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FF8D8" w14:textId="4B7101BB" w:rsidR="00B418F8" w:rsidRPr="00D2676E" w:rsidRDefault="007B5796" w:rsidP="00B418F8">
      <w:pPr>
        <w:jc w:val="center"/>
        <w:rPr>
          <w:rFonts w:cs="Times New Roman"/>
          <w:b/>
        </w:rPr>
      </w:pPr>
      <w:r w:rsidRPr="00D2676E">
        <w:rPr>
          <w:rFonts w:cs="Times New Roman"/>
          <w:b/>
        </w:rPr>
        <w:t>Evolution of structure</w:t>
      </w:r>
      <w:r w:rsidR="003B0908" w:rsidRPr="00D2676E">
        <w:rPr>
          <w:rFonts w:cs="Times New Roman"/>
          <w:b/>
        </w:rPr>
        <w:t xml:space="preserve"> </w:t>
      </w:r>
      <w:r w:rsidR="00F24B72" w:rsidRPr="00D2676E">
        <w:rPr>
          <w:rFonts w:cs="Times New Roman"/>
          <w:b/>
        </w:rPr>
        <w:t>in</w:t>
      </w:r>
      <w:r w:rsidR="003B0908" w:rsidRPr="00D2676E">
        <w:rPr>
          <w:rFonts w:cs="Times New Roman"/>
          <w:b/>
        </w:rPr>
        <w:t xml:space="preserve"> the</w:t>
      </w:r>
      <w:r w:rsidR="0033702C" w:rsidRPr="00D2676E">
        <w:rPr>
          <w:rFonts w:cs="Times New Roman"/>
          <w:b/>
        </w:rPr>
        <w:t xml:space="preserve"> incommensurate</w:t>
      </w:r>
      <w:r w:rsidR="00416453" w:rsidRPr="00D2676E">
        <w:rPr>
          <w:rFonts w:cs="Times New Roman"/>
          <w:b/>
        </w:rPr>
        <w:t xml:space="preserve"> modulated</w:t>
      </w:r>
      <w:r w:rsidR="00FF1AD6" w:rsidRPr="00D2676E">
        <w:rPr>
          <w:rFonts w:cs="Times New Roman"/>
          <w:b/>
        </w:rPr>
        <w:t xml:space="preserve"> </w:t>
      </w:r>
      <w:bookmarkStart w:id="0" w:name="_Hlk30077030"/>
      <w:r w:rsidR="00FF1AD6" w:rsidRPr="00D2676E">
        <w:rPr>
          <w:rFonts w:cs="Times New Roman"/>
          <w:b/>
        </w:rPr>
        <w:t>LaNb</w:t>
      </w:r>
      <w:r w:rsidR="00FF1AD6" w:rsidRPr="00D2676E">
        <w:rPr>
          <w:rFonts w:cs="Times New Roman"/>
          <w:b/>
          <w:vertAlign w:val="subscript"/>
        </w:rPr>
        <w:t>1-x</w:t>
      </w:r>
      <w:r w:rsidR="00FF1AD6" w:rsidRPr="00D2676E">
        <w:rPr>
          <w:rFonts w:cs="Times New Roman"/>
          <w:b/>
        </w:rPr>
        <w:t>W</w:t>
      </w:r>
      <w:r w:rsidR="00FF1AD6" w:rsidRPr="00D2676E">
        <w:rPr>
          <w:rFonts w:cs="Times New Roman"/>
          <w:b/>
          <w:vertAlign w:val="subscript"/>
        </w:rPr>
        <w:t>x</w:t>
      </w:r>
      <w:r w:rsidR="00FF1AD6" w:rsidRPr="00D2676E">
        <w:rPr>
          <w:rFonts w:cs="Times New Roman"/>
          <w:b/>
        </w:rPr>
        <w:t>O</w:t>
      </w:r>
      <w:r w:rsidR="00FF1AD6" w:rsidRPr="00D2676E">
        <w:rPr>
          <w:rFonts w:cs="Times New Roman"/>
          <w:b/>
          <w:vertAlign w:val="subscript"/>
        </w:rPr>
        <w:t>4+</w:t>
      </w:r>
      <w:r w:rsidR="00822909">
        <w:rPr>
          <w:rFonts w:cs="Times New Roman"/>
          <w:b/>
          <w:vertAlign w:val="subscript"/>
        </w:rPr>
        <w:t>x/2</w:t>
      </w:r>
      <w:bookmarkEnd w:id="0"/>
      <w:r w:rsidR="00FF1AD6" w:rsidRPr="00D2676E">
        <w:rPr>
          <w:rFonts w:cs="Times New Roman"/>
          <w:b/>
        </w:rPr>
        <w:t xml:space="preserve"> </w:t>
      </w:r>
      <w:r w:rsidR="0033702C" w:rsidRPr="00D2676E">
        <w:rPr>
          <w:rFonts w:cs="Times New Roman"/>
          <w:b/>
        </w:rPr>
        <w:t>(x = 0.</w:t>
      </w:r>
      <w:r w:rsidR="001F3DB7">
        <w:rPr>
          <w:rFonts w:cs="Times New Roman"/>
          <w:b/>
        </w:rPr>
        <w:t>0</w:t>
      </w:r>
      <w:r w:rsidR="00B75D1E">
        <w:rPr>
          <w:rFonts w:cs="Times New Roman"/>
          <w:b/>
        </w:rPr>
        <w:t>4</w:t>
      </w:r>
      <w:r w:rsidR="00DA611C" w:rsidRPr="00D2676E">
        <w:rPr>
          <w:rFonts w:cs="Times New Roman"/>
          <w:color w:val="000000"/>
          <w:sz w:val="27"/>
          <w:szCs w:val="27"/>
          <w:shd w:val="clear" w:color="auto" w:fill="FFFFFF"/>
        </w:rPr>
        <w:t>–</w:t>
      </w:r>
      <w:r w:rsidR="0033702C" w:rsidRPr="00D2676E">
        <w:rPr>
          <w:rFonts w:cs="Times New Roman"/>
          <w:b/>
        </w:rPr>
        <w:t>0.16)</w:t>
      </w:r>
      <w:r w:rsidR="009F5BD9" w:rsidRPr="00D2676E">
        <w:rPr>
          <w:rFonts w:cs="Times New Roman"/>
          <w:b/>
        </w:rPr>
        <w:t xml:space="preserve"> oxide ion conductors</w:t>
      </w:r>
    </w:p>
    <w:p w14:paraId="287DF9D5" w14:textId="77777777" w:rsidR="003A3AA1" w:rsidRPr="00D97DE7" w:rsidRDefault="003A3AA1" w:rsidP="003A3AA1">
      <w:pPr>
        <w:jc w:val="center"/>
        <w:rPr>
          <w:rFonts w:cs="Times New Roman"/>
          <w:szCs w:val="24"/>
        </w:rPr>
      </w:pPr>
      <w:r w:rsidRPr="00DF2B0D">
        <w:rPr>
          <w:rFonts w:cs="Times New Roman"/>
          <w:szCs w:val="24"/>
        </w:rPr>
        <w:t>Cheng Li</w:t>
      </w:r>
      <w:r>
        <w:rPr>
          <w:rFonts w:cs="Times New Roman"/>
          <w:szCs w:val="24"/>
        </w:rPr>
        <w:t>,</w:t>
      </w:r>
      <w:r w:rsidRPr="00DF2B0D">
        <w:rPr>
          <w:rFonts w:cs="Times New Roman"/>
          <w:szCs w:val="24"/>
          <w:vertAlign w:val="superscript"/>
        </w:rPr>
        <w:t>1</w:t>
      </w:r>
      <w:r w:rsidRPr="00DF2B0D">
        <w:rPr>
          <w:rFonts w:cs="Times New Roman" w:hint="eastAsia"/>
          <w:szCs w:val="24"/>
          <w:vertAlign w:val="superscript"/>
        </w:rPr>
        <w:t>,2</w:t>
      </w:r>
      <w:r>
        <w:rPr>
          <w:rFonts w:cs="Times New Roman"/>
          <w:szCs w:val="24"/>
          <w:vertAlign w:val="superscript"/>
        </w:rPr>
        <w:t>*</w:t>
      </w:r>
      <w:r w:rsidRPr="00DF2B0D">
        <w:rPr>
          <w:rFonts w:cs="Times New Roman"/>
          <w:szCs w:val="24"/>
        </w:rPr>
        <w:t xml:space="preserve"> Stevin Pramana</w:t>
      </w:r>
      <w:r>
        <w:rPr>
          <w:rFonts w:cs="Times New Roman"/>
          <w:szCs w:val="24"/>
        </w:rPr>
        <w:t>,</w:t>
      </w:r>
      <w:r w:rsidRPr="00DF2B0D">
        <w:rPr>
          <w:rFonts w:cs="Times New Roman"/>
          <w:szCs w:val="24"/>
          <w:vertAlign w:val="superscript"/>
        </w:rPr>
        <w:t>1,</w:t>
      </w:r>
      <w:r w:rsidRPr="00DF2B0D">
        <w:rPr>
          <w:rFonts w:cs="Times New Roman" w:hint="eastAsia"/>
          <w:szCs w:val="24"/>
          <w:vertAlign w:val="superscript"/>
        </w:rPr>
        <w:t>3</w:t>
      </w:r>
      <w:r>
        <w:rPr>
          <w:rFonts w:cs="Times New Roman"/>
          <w:szCs w:val="24"/>
        </w:rPr>
        <w:t xml:space="preserve"> Ryan </w:t>
      </w:r>
      <w:r w:rsidRPr="00393317">
        <w:rPr>
          <w:rFonts w:cs="Times New Roman"/>
          <w:szCs w:val="24"/>
        </w:rPr>
        <w:t>D. Bayliss</w:t>
      </w:r>
      <w:r>
        <w:rPr>
          <w:rFonts w:cs="Times New Roman"/>
          <w:szCs w:val="24"/>
        </w:rPr>
        <w:t>,</w:t>
      </w:r>
      <w:r>
        <w:rPr>
          <w:rFonts w:cs="Times New Roman"/>
          <w:szCs w:val="24"/>
          <w:vertAlign w:val="superscript"/>
        </w:rPr>
        <w:t>1</w:t>
      </w:r>
      <w:r>
        <w:rPr>
          <w:rFonts w:cs="Times New Roman"/>
          <w:szCs w:val="24"/>
        </w:rPr>
        <w:t xml:space="preserve"> Clare P. Grey,</w:t>
      </w:r>
      <w:r w:rsidRPr="00D97DE7">
        <w:rPr>
          <w:rFonts w:cs="Times New Roman"/>
          <w:szCs w:val="24"/>
          <w:vertAlign w:val="superscript"/>
        </w:rPr>
        <w:t>4</w:t>
      </w:r>
      <w:r w:rsidRPr="00A97E4B">
        <w:rPr>
          <w:rFonts w:cs="Times New Roman"/>
          <w:szCs w:val="24"/>
        </w:rPr>
        <w:t xml:space="preserve"> </w:t>
      </w:r>
      <w:r w:rsidRPr="00393317">
        <w:rPr>
          <w:rFonts w:cs="Times New Roman"/>
          <w:szCs w:val="24"/>
        </w:rPr>
        <w:t>F</w:t>
      </w:r>
      <w:r>
        <w:rPr>
          <w:rFonts w:cs="Times New Roman"/>
          <w:szCs w:val="24"/>
        </w:rPr>
        <w:t>rédéric Blanc,</w:t>
      </w:r>
      <w:r w:rsidRPr="007D63C5">
        <w:rPr>
          <w:rFonts w:cs="Times New Roman"/>
          <w:szCs w:val="24"/>
          <w:vertAlign w:val="superscript"/>
        </w:rPr>
        <w:t>4</w:t>
      </w:r>
      <w:r>
        <w:rPr>
          <w:rFonts w:cs="Times New Roman"/>
          <w:szCs w:val="24"/>
          <w:vertAlign w:val="superscript"/>
        </w:rPr>
        <w:t>,5</w:t>
      </w:r>
      <w:r>
        <w:rPr>
          <w:rFonts w:cs="Times New Roman"/>
          <w:szCs w:val="24"/>
        </w:rPr>
        <w:t xml:space="preserve"> </w:t>
      </w:r>
      <w:r w:rsidRPr="00DF2B0D">
        <w:rPr>
          <w:rFonts w:cs="Times New Roman"/>
          <w:szCs w:val="24"/>
        </w:rPr>
        <w:t>and Stephen J. Skinner</w:t>
      </w:r>
      <w:r w:rsidRPr="00DF2B0D">
        <w:rPr>
          <w:rFonts w:cs="Times New Roman"/>
          <w:szCs w:val="24"/>
          <w:vertAlign w:val="superscript"/>
        </w:rPr>
        <w:t>1</w:t>
      </w:r>
      <w:r>
        <w:rPr>
          <w:rFonts w:cs="Times New Roman"/>
          <w:szCs w:val="24"/>
          <w:vertAlign w:val="superscript"/>
        </w:rPr>
        <w:t>*</w:t>
      </w:r>
    </w:p>
    <w:p w14:paraId="41537A12" w14:textId="7B378FB8" w:rsidR="00B418F8" w:rsidRPr="00DF2B0D" w:rsidRDefault="00B418F8" w:rsidP="00B418F8">
      <w:pPr>
        <w:rPr>
          <w:rFonts w:cs="Times New Roman"/>
          <w:szCs w:val="24"/>
        </w:rPr>
      </w:pPr>
      <w:r w:rsidRPr="00DF2B0D">
        <w:rPr>
          <w:rFonts w:cs="Times New Roman"/>
          <w:szCs w:val="24"/>
          <w:vertAlign w:val="superscript"/>
        </w:rPr>
        <w:t>1</w:t>
      </w:r>
      <w:r w:rsidRPr="00DF2B0D">
        <w:rPr>
          <w:rFonts w:cs="Times New Roman"/>
          <w:szCs w:val="24"/>
        </w:rPr>
        <w:t xml:space="preserve">Department of Materials, Imperial College London, </w:t>
      </w:r>
      <w:r w:rsidR="00905E81" w:rsidRPr="00DF2B0D">
        <w:rPr>
          <w:rFonts w:cs="Times New Roman"/>
          <w:szCs w:val="24"/>
        </w:rPr>
        <w:t>Exhibition</w:t>
      </w:r>
      <w:r w:rsidRPr="00DF2B0D">
        <w:rPr>
          <w:rFonts w:cs="Times New Roman"/>
          <w:szCs w:val="24"/>
        </w:rPr>
        <w:t xml:space="preserve"> Road, London, SW7 </w:t>
      </w:r>
      <w:r w:rsidR="00905E81" w:rsidRPr="00DF2B0D">
        <w:rPr>
          <w:rFonts w:cs="Times New Roman"/>
          <w:szCs w:val="24"/>
        </w:rPr>
        <w:t>2AZ</w:t>
      </w:r>
      <w:r w:rsidRPr="00DF2B0D">
        <w:rPr>
          <w:rFonts w:cs="Times New Roman"/>
          <w:szCs w:val="24"/>
        </w:rPr>
        <w:t>, UK</w:t>
      </w:r>
    </w:p>
    <w:p w14:paraId="2A9EE83B" w14:textId="2D8548E4" w:rsidR="00EC57D2" w:rsidRPr="00DF2B0D" w:rsidRDefault="00EC57D2" w:rsidP="00EC57D2">
      <w:pPr>
        <w:rPr>
          <w:sz w:val="23"/>
          <w:szCs w:val="23"/>
        </w:rPr>
      </w:pPr>
      <w:r w:rsidRPr="00DF2B0D">
        <w:rPr>
          <w:rFonts w:cs="Times New Roman" w:hint="eastAsia"/>
          <w:szCs w:val="24"/>
          <w:vertAlign w:val="superscript"/>
        </w:rPr>
        <w:t>2</w:t>
      </w:r>
      <w:r w:rsidRPr="00DF2B0D">
        <w:rPr>
          <w:rFonts w:cs="Times New Roman"/>
          <w:szCs w:val="24"/>
        </w:rPr>
        <w:t>Jülich Centre for Neutron Science JCNS</w:t>
      </w:r>
      <w:r w:rsidRPr="00DF2B0D">
        <w:rPr>
          <w:rFonts w:cs="Times New Roman" w:hint="eastAsia"/>
          <w:szCs w:val="24"/>
        </w:rPr>
        <w:t xml:space="preserve">, </w:t>
      </w:r>
      <w:r w:rsidRPr="00DF2B0D">
        <w:rPr>
          <w:szCs w:val="24"/>
        </w:rPr>
        <w:t>Forschungszentrum Jülich GmbH, Outstation at SNS, Oak Ridge, TN 37831-6473</w:t>
      </w:r>
      <w:r w:rsidRPr="00DF2B0D">
        <w:rPr>
          <w:sz w:val="23"/>
          <w:szCs w:val="23"/>
        </w:rPr>
        <w:t>, USA</w:t>
      </w:r>
    </w:p>
    <w:p w14:paraId="6D4A204D" w14:textId="0997B1A1" w:rsidR="00297BFB" w:rsidRDefault="00D50585" w:rsidP="00297BFB">
      <w:pPr>
        <w:rPr>
          <w:rFonts w:cs="Times New Roman"/>
          <w:szCs w:val="24"/>
        </w:rPr>
      </w:pPr>
      <w:r w:rsidRPr="00DF2B0D">
        <w:rPr>
          <w:rFonts w:cs="Times New Roman"/>
          <w:szCs w:val="24"/>
          <w:vertAlign w:val="superscript"/>
        </w:rPr>
        <w:t>3</w:t>
      </w:r>
      <w:r w:rsidR="00297BFB" w:rsidRPr="00DF2B0D">
        <w:rPr>
          <w:rFonts w:cs="Times New Roman"/>
          <w:szCs w:val="24"/>
        </w:rPr>
        <w:t>School of Engineering, Newcastle University, Newcastle upon Tyne, NE1 7RU, UK</w:t>
      </w:r>
    </w:p>
    <w:p w14:paraId="1B862E61" w14:textId="29412D9B" w:rsidR="005D7928" w:rsidRDefault="005D7928" w:rsidP="00297BFB">
      <w:pPr>
        <w:rPr>
          <w:rFonts w:cs="Times New Roman"/>
          <w:szCs w:val="24"/>
        </w:rPr>
      </w:pPr>
      <w:r w:rsidRPr="00170B4B">
        <w:rPr>
          <w:rFonts w:cs="Times New Roman"/>
          <w:szCs w:val="24"/>
          <w:vertAlign w:val="superscript"/>
        </w:rPr>
        <w:t>4</w:t>
      </w:r>
      <w:r>
        <w:rPr>
          <w:rFonts w:cs="Times New Roman"/>
          <w:szCs w:val="24"/>
        </w:rPr>
        <w:t xml:space="preserve">Department of Chemistry, University of Cambridge, </w:t>
      </w:r>
      <w:r w:rsidR="00C7470A">
        <w:rPr>
          <w:rFonts w:cs="Times New Roman"/>
          <w:szCs w:val="24"/>
        </w:rPr>
        <w:t xml:space="preserve">Lensfield Road, </w:t>
      </w:r>
      <w:r>
        <w:rPr>
          <w:rFonts w:cs="Times New Roman"/>
          <w:szCs w:val="24"/>
        </w:rPr>
        <w:t>Cambridge, CB2 1EW</w:t>
      </w:r>
    </w:p>
    <w:p w14:paraId="7AEB96B9" w14:textId="24683020" w:rsidR="00693A1D" w:rsidRPr="00DF2B0D" w:rsidRDefault="005D7928" w:rsidP="00693A1D">
      <w:pPr>
        <w:rPr>
          <w:rFonts w:cs="Times New Roman"/>
          <w:szCs w:val="24"/>
        </w:rPr>
      </w:pPr>
      <w:r>
        <w:rPr>
          <w:rFonts w:cs="Times New Roman"/>
          <w:szCs w:val="24"/>
          <w:vertAlign w:val="superscript"/>
        </w:rPr>
        <w:t>5</w:t>
      </w:r>
      <w:r w:rsidR="00693A1D">
        <w:rPr>
          <w:rFonts w:cs="Times New Roman"/>
          <w:szCs w:val="24"/>
        </w:rPr>
        <w:t xml:space="preserve">Department of Chemistry, </w:t>
      </w:r>
      <w:r>
        <w:rPr>
          <w:rFonts w:cs="Times New Roman"/>
          <w:szCs w:val="24"/>
        </w:rPr>
        <w:t xml:space="preserve">Stephenson Institute for Renewable Energy, </w:t>
      </w:r>
      <w:r w:rsidR="00C7470A">
        <w:rPr>
          <w:rFonts w:cs="Times New Roman"/>
          <w:szCs w:val="24"/>
        </w:rPr>
        <w:t xml:space="preserve">Crown Street, </w:t>
      </w:r>
      <w:r w:rsidR="00693A1D">
        <w:rPr>
          <w:rFonts w:cs="Times New Roman"/>
          <w:szCs w:val="24"/>
        </w:rPr>
        <w:t>University of Liverpool, Liverpool, L69 3BX</w:t>
      </w:r>
    </w:p>
    <w:p w14:paraId="3B1CC55B" w14:textId="77777777" w:rsidR="007B5796" w:rsidRDefault="00B418F8" w:rsidP="00B418F8">
      <w:pPr>
        <w:rPr>
          <w:rFonts w:cs="Times New Roman"/>
          <w:szCs w:val="24"/>
        </w:rPr>
      </w:pPr>
      <w:r w:rsidRPr="00DF2B0D">
        <w:rPr>
          <w:rFonts w:cs="Times New Roman"/>
          <w:szCs w:val="24"/>
        </w:rPr>
        <w:t>*corresponding author</w:t>
      </w:r>
      <w:r w:rsidR="007B5796">
        <w:rPr>
          <w:rFonts w:cs="Times New Roman"/>
          <w:szCs w:val="24"/>
        </w:rPr>
        <w:t>s:</w:t>
      </w:r>
    </w:p>
    <w:p w14:paraId="2DD7AA65" w14:textId="060CCD69" w:rsidR="00CC54DD" w:rsidRDefault="00915B70" w:rsidP="00B418F8">
      <w:pPr>
        <w:rPr>
          <w:rFonts w:cs="Times New Roman"/>
          <w:szCs w:val="24"/>
        </w:rPr>
      </w:pPr>
      <w:r>
        <w:rPr>
          <w:rFonts w:cs="Times New Roman" w:hint="eastAsia"/>
          <w:szCs w:val="24"/>
        </w:rPr>
        <w:t>lic</w:t>
      </w:r>
      <w:r>
        <w:rPr>
          <w:rFonts w:cs="Times New Roman"/>
          <w:szCs w:val="24"/>
        </w:rPr>
        <w:t>1</w:t>
      </w:r>
      <w:r w:rsidR="00B418F8" w:rsidRPr="00DF2B0D">
        <w:rPr>
          <w:rFonts w:cs="Times New Roman"/>
          <w:szCs w:val="24"/>
        </w:rPr>
        <w:t>@</w:t>
      </w:r>
      <w:r>
        <w:rPr>
          <w:rFonts w:cs="Times New Roman"/>
          <w:szCs w:val="24"/>
        </w:rPr>
        <w:t>ornl.gov</w:t>
      </w:r>
      <w:r w:rsidR="00B418F8" w:rsidRPr="00DF2B0D">
        <w:rPr>
          <w:rFonts w:cs="Times New Roman"/>
          <w:szCs w:val="24"/>
        </w:rPr>
        <w:t>, tel</w:t>
      </w:r>
      <w:r w:rsidR="007572C4" w:rsidRPr="00DF2B0D">
        <w:rPr>
          <w:rFonts w:cs="Times New Roman"/>
          <w:szCs w:val="24"/>
        </w:rPr>
        <w:t xml:space="preserve"> </w:t>
      </w:r>
      <w:r w:rsidR="00B418F8" w:rsidRPr="00DF2B0D">
        <w:rPr>
          <w:rFonts w:cs="Times New Roman"/>
          <w:szCs w:val="24"/>
        </w:rPr>
        <w:t>+</w:t>
      </w:r>
      <w:r>
        <w:rPr>
          <w:rFonts w:cs="Times New Roman"/>
          <w:szCs w:val="24"/>
        </w:rPr>
        <w:t>1</w:t>
      </w:r>
      <w:r w:rsidR="00B418F8" w:rsidRPr="00DF2B0D">
        <w:rPr>
          <w:rFonts w:cs="Times New Roman"/>
          <w:szCs w:val="24"/>
        </w:rPr>
        <w:t xml:space="preserve"> </w:t>
      </w:r>
      <w:r>
        <w:rPr>
          <w:rFonts w:cs="Times New Roman"/>
          <w:szCs w:val="24"/>
        </w:rPr>
        <w:t>865</w:t>
      </w:r>
      <w:r w:rsidR="00B418F8" w:rsidRPr="00DF2B0D">
        <w:rPr>
          <w:rFonts w:cs="Times New Roman"/>
          <w:szCs w:val="24"/>
        </w:rPr>
        <w:t xml:space="preserve"> </w:t>
      </w:r>
      <w:r>
        <w:rPr>
          <w:rFonts w:cs="Times New Roman"/>
          <w:szCs w:val="24"/>
        </w:rPr>
        <w:t>232</w:t>
      </w:r>
      <w:r w:rsidR="00B418F8" w:rsidRPr="00DF2B0D">
        <w:rPr>
          <w:rFonts w:cs="Times New Roman"/>
          <w:szCs w:val="24"/>
        </w:rPr>
        <w:t xml:space="preserve"> </w:t>
      </w:r>
      <w:r>
        <w:rPr>
          <w:rFonts w:cs="Times New Roman"/>
          <w:szCs w:val="24"/>
        </w:rPr>
        <w:t>8422</w:t>
      </w:r>
      <w:r w:rsidR="00B418F8" w:rsidRPr="00DF2B0D">
        <w:rPr>
          <w:rFonts w:cs="Times New Roman"/>
          <w:szCs w:val="24"/>
        </w:rPr>
        <w:t xml:space="preserve">, address: </w:t>
      </w:r>
      <w:r>
        <w:rPr>
          <w:rFonts w:cs="Times New Roman"/>
          <w:szCs w:val="24"/>
        </w:rPr>
        <w:t xml:space="preserve">8600 </w:t>
      </w:r>
      <w:r w:rsidRPr="00915B70">
        <w:rPr>
          <w:rFonts w:cs="Times New Roman"/>
          <w:szCs w:val="24"/>
        </w:rPr>
        <w:t>Oak Ridge National Laboratory</w:t>
      </w:r>
      <w:r>
        <w:rPr>
          <w:rFonts w:cs="Times New Roman"/>
          <w:szCs w:val="24"/>
        </w:rPr>
        <w:t xml:space="preserve">, </w:t>
      </w:r>
      <w:r w:rsidRPr="00915B70">
        <w:rPr>
          <w:rFonts w:cs="Times New Roman"/>
          <w:szCs w:val="24"/>
        </w:rPr>
        <w:t>1 Bethel Valley Rd, Oak Ridge, TN 37830</w:t>
      </w:r>
    </w:p>
    <w:p w14:paraId="793D3A27" w14:textId="59CC19F6" w:rsidR="007B5796" w:rsidRPr="00DF2B0D" w:rsidRDefault="007B5796" w:rsidP="007B5796">
      <w:pPr>
        <w:rPr>
          <w:rFonts w:cs="Times New Roman"/>
          <w:szCs w:val="24"/>
        </w:rPr>
      </w:pPr>
      <w:r w:rsidRPr="00DF2B0D">
        <w:rPr>
          <w:rFonts w:cs="Times New Roman"/>
          <w:szCs w:val="24"/>
        </w:rPr>
        <w:t xml:space="preserve">s.skinner@imperial.ac.uk, tel +44 (0)20 7594 6782, address: Imperial College London, South Kensington Campus, London SW7 2AZ </w:t>
      </w:r>
    </w:p>
    <w:p w14:paraId="4EBE6533" w14:textId="77777777" w:rsidR="007B5796" w:rsidRPr="00DF2B0D" w:rsidRDefault="007B5796" w:rsidP="00B418F8">
      <w:pPr>
        <w:rPr>
          <w:rFonts w:cs="Times New Roman"/>
          <w:szCs w:val="24"/>
        </w:rPr>
      </w:pPr>
    </w:p>
    <w:p w14:paraId="25C718E5" w14:textId="3D96865A" w:rsidR="00CC54DD" w:rsidRDefault="00CC54DD" w:rsidP="00B418F8">
      <w:pPr>
        <w:rPr>
          <w:rFonts w:cs="Times New Roman"/>
          <w:szCs w:val="24"/>
        </w:rPr>
      </w:pPr>
    </w:p>
    <w:p w14:paraId="52AD0548" w14:textId="52B08C26" w:rsidR="006E0CEF" w:rsidRDefault="006E0CEF" w:rsidP="00B418F8">
      <w:pPr>
        <w:rPr>
          <w:rFonts w:cs="Times New Roman"/>
          <w:szCs w:val="24"/>
        </w:rPr>
      </w:pPr>
    </w:p>
    <w:p w14:paraId="59FD6458" w14:textId="68FF7C4D" w:rsidR="006E0CEF" w:rsidRDefault="006E0CEF" w:rsidP="00B418F8">
      <w:pPr>
        <w:rPr>
          <w:rFonts w:cs="Times New Roman"/>
          <w:szCs w:val="24"/>
        </w:rPr>
      </w:pPr>
    </w:p>
    <w:p w14:paraId="2C508B3D" w14:textId="28FA60E7" w:rsidR="006E0CEF" w:rsidRDefault="006E0CEF" w:rsidP="00B418F8">
      <w:pPr>
        <w:rPr>
          <w:rFonts w:cs="Times New Roman"/>
          <w:szCs w:val="24"/>
        </w:rPr>
      </w:pPr>
    </w:p>
    <w:p w14:paraId="28644B2C" w14:textId="2AA494E0" w:rsidR="006E0CEF" w:rsidRDefault="006E0CEF" w:rsidP="00B418F8">
      <w:pPr>
        <w:rPr>
          <w:rFonts w:cs="Times New Roman"/>
          <w:szCs w:val="24"/>
        </w:rPr>
      </w:pPr>
    </w:p>
    <w:p w14:paraId="06F03091" w14:textId="4783E053" w:rsidR="006E0CEF" w:rsidRDefault="006E0CEF" w:rsidP="00B418F8">
      <w:pPr>
        <w:rPr>
          <w:rFonts w:cs="Times New Roman"/>
          <w:szCs w:val="24"/>
        </w:rPr>
      </w:pPr>
    </w:p>
    <w:p w14:paraId="2941AC17" w14:textId="5773C353" w:rsidR="006E0CEF" w:rsidRDefault="006E0CEF" w:rsidP="00B418F8">
      <w:pPr>
        <w:rPr>
          <w:rFonts w:cs="Times New Roman"/>
          <w:szCs w:val="24"/>
        </w:rPr>
      </w:pPr>
    </w:p>
    <w:p w14:paraId="0F19203F" w14:textId="51F6C33D" w:rsidR="006E0CEF" w:rsidRDefault="006E0CEF" w:rsidP="00B418F8">
      <w:pPr>
        <w:rPr>
          <w:rFonts w:cs="Times New Roman"/>
          <w:szCs w:val="24"/>
        </w:rPr>
      </w:pPr>
    </w:p>
    <w:p w14:paraId="02ACD767" w14:textId="3BD02E89" w:rsidR="006E0CEF" w:rsidRDefault="006E0CEF" w:rsidP="00B418F8">
      <w:pPr>
        <w:rPr>
          <w:rFonts w:cs="Times New Roman"/>
          <w:szCs w:val="24"/>
        </w:rPr>
      </w:pPr>
    </w:p>
    <w:p w14:paraId="3C960661" w14:textId="77777777" w:rsidR="006E0CEF" w:rsidRPr="00DF2B0D" w:rsidRDefault="006E0CEF" w:rsidP="00B418F8">
      <w:pPr>
        <w:rPr>
          <w:rFonts w:cs="Times New Roman"/>
          <w:szCs w:val="24"/>
        </w:rPr>
      </w:pPr>
    </w:p>
    <w:p w14:paraId="3111B64E" w14:textId="2FCE46D6" w:rsidR="00B418F8" w:rsidRPr="00DF2B0D" w:rsidRDefault="00B418F8" w:rsidP="00CC54DD">
      <w:pPr>
        <w:pStyle w:val="Heading1"/>
        <w:numPr>
          <w:ilvl w:val="0"/>
          <w:numId w:val="0"/>
        </w:numPr>
      </w:pPr>
      <w:r w:rsidRPr="00DF2B0D">
        <w:lastRenderedPageBreak/>
        <w:t xml:space="preserve">Abstract </w:t>
      </w:r>
    </w:p>
    <w:p w14:paraId="09EFF365" w14:textId="250D6F9D" w:rsidR="00A86E71" w:rsidRPr="00DF2B0D" w:rsidRDefault="00A86E71" w:rsidP="007D5F0B">
      <w:r w:rsidRPr="00DF2B0D">
        <w:t>Hyper</w:t>
      </w:r>
      <w:r w:rsidR="00977AF3">
        <w:t>-</w:t>
      </w:r>
      <w:r w:rsidRPr="00DF2B0D">
        <w:t>stoichiometric CeNbO</w:t>
      </w:r>
      <w:r w:rsidRPr="00DF2B0D">
        <w:rPr>
          <w:vertAlign w:val="subscript"/>
        </w:rPr>
        <w:t xml:space="preserve">4+d </w:t>
      </w:r>
      <w:r w:rsidRPr="00DF2B0D">
        <w:t xml:space="preserve">phases </w:t>
      </w:r>
      <w:r w:rsidR="007D5F0B" w:rsidRPr="00DF2B0D">
        <w:t xml:space="preserve">demonstrate remarkable oxygen diffusivity and </w:t>
      </w:r>
      <w:r w:rsidR="005D3CD8" w:rsidRPr="00DF2B0D">
        <w:t>provide</w:t>
      </w:r>
      <w:r w:rsidR="007D5F0B" w:rsidRPr="00DF2B0D">
        <w:t xml:space="preserve"> an interesting structural template </w:t>
      </w:r>
      <w:r w:rsidR="005D3CD8" w:rsidRPr="00DF2B0D">
        <w:t>for oxygen ion conductors</w:t>
      </w:r>
      <w:r w:rsidR="007D5F0B" w:rsidRPr="00DF2B0D">
        <w:t xml:space="preserve">. </w:t>
      </w:r>
      <w:r w:rsidR="005D3CD8" w:rsidRPr="00DF2B0D">
        <w:t>Previously, w</w:t>
      </w:r>
      <w:r w:rsidR="007D5F0B" w:rsidRPr="00DF2B0D">
        <w:t>e have report</w:t>
      </w:r>
      <w:r w:rsidR="003330CC" w:rsidRPr="00DF2B0D">
        <w:rPr>
          <w:rFonts w:hint="eastAsia"/>
        </w:rPr>
        <w:t>ed</w:t>
      </w:r>
      <w:r w:rsidR="007D5F0B" w:rsidRPr="00DF2B0D">
        <w:t xml:space="preserve"> the room temperature </w:t>
      </w:r>
      <w:r w:rsidR="003330CC" w:rsidRPr="00DF2B0D">
        <w:t>structure</w:t>
      </w:r>
      <w:r w:rsidR="007D5F0B" w:rsidRPr="00DF2B0D">
        <w:t xml:space="preserve"> of </w:t>
      </w:r>
      <w:r w:rsidR="009A3368" w:rsidRPr="00DF2B0D">
        <w:t xml:space="preserve">the incommensurate modulated </w:t>
      </w:r>
      <w:r w:rsidR="007D5F0B" w:rsidRPr="00DF2B0D">
        <w:t>LaNb</w:t>
      </w:r>
      <w:r w:rsidR="007D5F0B"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7D5F0B" w:rsidRPr="00DF2B0D">
        <w:rPr>
          <w:vertAlign w:val="subscript"/>
        </w:rPr>
        <w:softHyphen/>
      </w:r>
      <w:r w:rsidR="00204213">
        <w:rPr>
          <w:vertAlign w:val="subscript"/>
        </w:rPr>
        <w:softHyphen/>
      </w:r>
      <w:r w:rsidR="00204213">
        <w:t xml:space="preserve">, </w:t>
      </w:r>
      <w:r w:rsidR="008D2551" w:rsidRPr="00DF2B0D">
        <w:t>a structural analogue of CeNbO</w:t>
      </w:r>
      <w:r w:rsidR="008D2551" w:rsidRPr="00DF2B0D">
        <w:rPr>
          <w:vertAlign w:val="subscript"/>
        </w:rPr>
        <w:t>4</w:t>
      </w:r>
      <w:r w:rsidR="008D2551" w:rsidRPr="00DF2B0D">
        <w:rPr>
          <w:rFonts w:hint="eastAsia"/>
          <w:vertAlign w:val="subscript"/>
        </w:rPr>
        <w:t>+d</w:t>
      </w:r>
      <w:r w:rsidR="00204213">
        <w:t xml:space="preserve">, </w:t>
      </w:r>
      <w:r w:rsidR="007D5F0B" w:rsidRPr="00DF2B0D">
        <w:rPr>
          <w:rFonts w:hint="eastAsia"/>
        </w:rPr>
        <w:t>a</w:t>
      </w:r>
      <w:r w:rsidR="007D5F0B" w:rsidRPr="00DF2B0D">
        <w:t xml:space="preserve">nd </w:t>
      </w:r>
      <w:r w:rsidR="00E475FE" w:rsidRPr="00DF2B0D">
        <w:t xml:space="preserve">suggested </w:t>
      </w:r>
      <w:r w:rsidR="00677592">
        <w:t>that it is</w:t>
      </w:r>
      <w:r w:rsidR="007D5F0B" w:rsidRPr="00DF2B0D">
        <w:t xml:space="preserve"> a pure oxygen ion conductor</w:t>
      </w:r>
      <w:r w:rsidR="00677592">
        <w:t xml:space="preserve">, the anions moving </w:t>
      </w:r>
      <w:r w:rsidR="00905E81" w:rsidRPr="00DF2B0D">
        <w:rPr>
          <w:i/>
        </w:rPr>
        <w:t>via</w:t>
      </w:r>
      <w:r w:rsidR="00905E81" w:rsidRPr="00DF2B0D">
        <w:t xml:space="preserve"> an </w:t>
      </w:r>
      <w:r w:rsidR="007D5F0B" w:rsidRPr="00DF2B0D">
        <w:t xml:space="preserve">interstitialcy mechanism. </w:t>
      </w:r>
      <w:r w:rsidR="00905E81" w:rsidRPr="00DF2B0D">
        <w:t>However, t</w:t>
      </w:r>
      <w:r w:rsidR="007D5F0B" w:rsidRPr="00DF2B0D">
        <w:t>he high temperature structural information for the LaNb</w:t>
      </w:r>
      <w:r w:rsidR="007D5F0B" w:rsidRPr="00DF2B0D">
        <w:rPr>
          <w:vertAlign w:val="subscript"/>
        </w:rPr>
        <w:t>1-x</w:t>
      </w:r>
      <w:r w:rsidR="007D5F0B" w:rsidRPr="00DF2B0D">
        <w:t>W</w:t>
      </w:r>
      <w:r w:rsidR="007D5F0B" w:rsidRPr="00DF2B0D">
        <w:rPr>
          <w:vertAlign w:val="subscript"/>
        </w:rPr>
        <w:t>x</w:t>
      </w:r>
      <w:r w:rsidR="007D5F0B" w:rsidRPr="00DF2B0D">
        <w:t>O</w:t>
      </w:r>
      <w:r w:rsidR="007D5F0B" w:rsidRPr="00DF2B0D">
        <w:rPr>
          <w:vertAlign w:val="subscript"/>
        </w:rPr>
        <w:t>4+</w:t>
      </w:r>
      <w:r w:rsidR="007D5F0B" w:rsidRPr="007311CF">
        <w:rPr>
          <w:vertAlign w:val="subscript"/>
        </w:rPr>
        <w:t>d</w:t>
      </w:r>
      <w:r w:rsidR="007D5F0B" w:rsidRPr="007311CF">
        <w:t xml:space="preserve"> </w:t>
      </w:r>
      <w:r w:rsidR="007311CF" w:rsidRPr="007311CF">
        <w:t>(x = 0.</w:t>
      </w:r>
      <w:r w:rsidR="004F0035">
        <w:t>0</w:t>
      </w:r>
      <w:r w:rsidR="007311CF" w:rsidRPr="007311CF">
        <w:t xml:space="preserve">4 </w:t>
      </w:r>
      <w:r w:rsidR="007311CF" w:rsidRPr="007311CF">
        <w:noBreakHyphen/>
        <w:t xml:space="preserve"> 0.16) </w:t>
      </w:r>
      <w:r w:rsidR="007D5F0B" w:rsidRPr="007311CF">
        <w:t>family</w:t>
      </w:r>
      <w:r w:rsidR="007D5F0B" w:rsidRPr="00DF2B0D">
        <w:t xml:space="preserve">, which is key to understanding </w:t>
      </w:r>
      <w:r w:rsidR="009A3368" w:rsidRPr="00DF2B0D">
        <w:t>the structure-property relationship in oxygen ionic conductors with complex structure</w:t>
      </w:r>
      <w:r w:rsidR="00905E81" w:rsidRPr="00DF2B0D">
        <w:t>s at operating conditions</w:t>
      </w:r>
      <w:r w:rsidR="007D5F0B" w:rsidRPr="00DF2B0D">
        <w:t xml:space="preserve">, is </w:t>
      </w:r>
      <w:r w:rsidR="00905E81" w:rsidRPr="00DF2B0D">
        <w:t>unreported</w:t>
      </w:r>
      <w:r w:rsidR="007D5F0B" w:rsidRPr="00DF2B0D">
        <w:t xml:space="preserve">. </w:t>
      </w:r>
      <w:r w:rsidR="00CD40EB" w:rsidRPr="00DF2B0D">
        <w:t>I</w:t>
      </w:r>
      <w:r w:rsidR="009A3368" w:rsidRPr="00DF2B0D">
        <w:t>n</w:t>
      </w:r>
      <w:r w:rsidR="007D5F0B" w:rsidRPr="00DF2B0D">
        <w:t xml:space="preserve"> this contribution, we </w:t>
      </w:r>
      <w:r w:rsidR="007A0932" w:rsidRPr="00DF2B0D">
        <w:t xml:space="preserve">address </w:t>
      </w:r>
      <w:r w:rsidR="00905E81" w:rsidRPr="00DF2B0D">
        <w:t xml:space="preserve">this </w:t>
      </w:r>
      <w:r w:rsidR="007A0932" w:rsidRPr="00DF2B0D">
        <w:t>question by investigating</w:t>
      </w:r>
      <w:r w:rsidR="007D5F0B" w:rsidRPr="00DF2B0D">
        <w:t xml:space="preserve"> the high temperature structural evolution of the LaNb</w:t>
      </w:r>
      <w:r w:rsidR="007D5F0B" w:rsidRPr="00DF2B0D">
        <w:rPr>
          <w:vertAlign w:val="subscript"/>
        </w:rPr>
        <w:t>1-x</w:t>
      </w:r>
      <w:r w:rsidR="007D5F0B" w:rsidRPr="00DF2B0D">
        <w:t>W</w:t>
      </w:r>
      <w:r w:rsidR="007D5F0B" w:rsidRPr="00DF2B0D">
        <w:rPr>
          <w:vertAlign w:val="subscript"/>
        </w:rPr>
        <w:t>x</w:t>
      </w:r>
      <w:r w:rsidR="007D5F0B" w:rsidRPr="00DF2B0D">
        <w:t>O</w:t>
      </w:r>
      <w:r w:rsidR="007D5F0B" w:rsidRPr="00DF2B0D">
        <w:rPr>
          <w:vertAlign w:val="subscript"/>
        </w:rPr>
        <w:t>4+</w:t>
      </w:r>
      <w:r w:rsidR="00392862">
        <w:rPr>
          <w:vertAlign w:val="subscript"/>
        </w:rPr>
        <w:t>2/x</w:t>
      </w:r>
      <w:r w:rsidR="007D5F0B" w:rsidRPr="007311CF">
        <w:t xml:space="preserve"> </w:t>
      </w:r>
      <w:r w:rsidR="007A0932" w:rsidRPr="00DF2B0D">
        <w:t>phases u</w:t>
      </w:r>
      <w:r w:rsidR="007D5F0B" w:rsidRPr="00DF2B0D">
        <w:t>sing a combination of thermal analysis</w:t>
      </w:r>
      <w:r w:rsidR="007311CF">
        <w:t xml:space="preserve">, </w:t>
      </w:r>
      <w:r w:rsidR="007D5F0B" w:rsidRPr="00DF2B0D">
        <w:t>scattering technique</w:t>
      </w:r>
      <w:r w:rsidR="00905E81" w:rsidRPr="00DF2B0D">
        <w:t>s</w:t>
      </w:r>
      <w:r w:rsidR="009F1F48">
        <w:t xml:space="preserve"> and </w:t>
      </w:r>
      <w:r w:rsidR="009F1F48" w:rsidRPr="007311CF">
        <w:rPr>
          <w:vertAlign w:val="superscript"/>
        </w:rPr>
        <w:t>17</w:t>
      </w:r>
      <w:r w:rsidR="009F1F48">
        <w:t xml:space="preserve">O </w:t>
      </w:r>
      <w:r w:rsidR="009E12A1">
        <w:t xml:space="preserve">and </w:t>
      </w:r>
      <w:r w:rsidR="009E12A1" w:rsidRPr="00083B4E">
        <w:rPr>
          <w:vertAlign w:val="superscript"/>
        </w:rPr>
        <w:t>93</w:t>
      </w:r>
      <w:r w:rsidR="009E12A1">
        <w:t xml:space="preserve">Nb </w:t>
      </w:r>
      <w:r w:rsidR="009F1F48">
        <w:t>nuclear magnetic resonance spectroscopy.</w:t>
      </w:r>
      <w:r w:rsidR="007A0932" w:rsidRPr="00DF2B0D">
        <w:t xml:space="preserve"> W</w:t>
      </w:r>
      <w:r w:rsidR="007D5F0B" w:rsidRPr="00DF2B0D">
        <w:t xml:space="preserve">e reveal a series </w:t>
      </w:r>
      <w:r w:rsidR="00351B97" w:rsidRPr="00DF2B0D">
        <w:t xml:space="preserve">of </w:t>
      </w:r>
      <w:r w:rsidR="007D5F0B" w:rsidRPr="00DF2B0D">
        <w:t>phase transition</w:t>
      </w:r>
      <w:r w:rsidR="00905E81" w:rsidRPr="00DF2B0D">
        <w:t>s</w:t>
      </w:r>
      <w:r w:rsidR="007D5F0B" w:rsidRPr="00DF2B0D">
        <w:t xml:space="preserve"> </w:t>
      </w:r>
      <w:r w:rsidR="00852046" w:rsidRPr="00DF2B0D">
        <w:t xml:space="preserve">between </w:t>
      </w:r>
      <w:r w:rsidR="00351B97" w:rsidRPr="00DF2B0D">
        <w:t xml:space="preserve">a </w:t>
      </w:r>
      <w:r w:rsidR="00852046" w:rsidRPr="00DF2B0D">
        <w:t xml:space="preserve">modulated </w:t>
      </w:r>
      <w:r w:rsidR="00351B97" w:rsidRPr="00DF2B0D">
        <w:t xml:space="preserve">monoclinic phase, a high temperature unmodulated tetragonal phase and a high temperature modulated tetragonal phase. </w:t>
      </w:r>
      <w:r w:rsidR="00905E81" w:rsidRPr="00DF2B0D">
        <w:t xml:space="preserve">These findings are correlated with the ion transport and offer insights into the design of new materials for solid state electrochemical devices. </w:t>
      </w:r>
    </w:p>
    <w:p w14:paraId="115D07EA" w14:textId="77777777" w:rsidR="007D5F0B" w:rsidRPr="00DF2B0D" w:rsidRDefault="007D5F0B" w:rsidP="007572C4">
      <w:pPr>
        <w:rPr>
          <w:u w:val="single"/>
        </w:rPr>
      </w:pPr>
    </w:p>
    <w:p w14:paraId="2185DF26" w14:textId="03DA7DD0" w:rsidR="00F225C9" w:rsidRPr="00DF2B0D" w:rsidRDefault="00F225C9" w:rsidP="007572C4">
      <w:r w:rsidRPr="00DF2B0D">
        <w:br w:type="page"/>
      </w:r>
    </w:p>
    <w:p w14:paraId="27CE7F36" w14:textId="77777777" w:rsidR="00F225C9" w:rsidRPr="00DF2B0D" w:rsidRDefault="00F225C9" w:rsidP="00F225C9">
      <w:pPr>
        <w:pStyle w:val="Heading1"/>
      </w:pPr>
      <w:r w:rsidRPr="00DF2B0D">
        <w:lastRenderedPageBreak/>
        <w:t xml:space="preserve">Introduction </w:t>
      </w:r>
    </w:p>
    <w:p w14:paraId="090BC599" w14:textId="0F7FB261" w:rsidR="00BC0CF1" w:rsidRDefault="00162D2E" w:rsidP="009B3587">
      <w:r>
        <w:t>Discover</w:t>
      </w:r>
      <w:r w:rsidR="00BC0CF1">
        <w:t>y</w:t>
      </w:r>
      <w:r>
        <w:t xml:space="preserve"> and </w:t>
      </w:r>
      <w:r w:rsidR="003575D9">
        <w:t>optimization of</w:t>
      </w:r>
      <w:r>
        <w:t xml:space="preserve"> ionic conducting electrolyte materials is crucial in </w:t>
      </w:r>
      <w:r>
        <w:rPr>
          <w:rFonts w:hint="eastAsia"/>
        </w:rPr>
        <w:t>obtaining</w:t>
      </w:r>
      <w:r>
        <w:t xml:space="preserve"> solid oxide fuel cell</w:t>
      </w:r>
      <w:r w:rsidR="00BC0CF1">
        <w:t>s</w:t>
      </w:r>
      <w:r>
        <w:t xml:space="preserve"> (SOFC</w:t>
      </w:r>
      <w:r w:rsidR="00BC0CF1">
        <w:t>s</w:t>
      </w:r>
      <w:r>
        <w:t xml:space="preserve">) </w:t>
      </w:r>
      <w:r>
        <w:rPr>
          <w:rFonts w:hint="eastAsia"/>
        </w:rPr>
        <w:t>with</w:t>
      </w:r>
      <w:r>
        <w:t xml:space="preserve"> lower operation temperature.</w:t>
      </w:r>
      <w:r w:rsidR="00142EE0">
        <w:fldChar w:fldCharType="begin" w:fldLock="1"/>
      </w:r>
      <w:r w:rsidR="004A419E">
        <w:instrText>ADDIN CSL_CITATION {"citationItems":[{"id":"ITEM-1","itemData":{"DOI":"10.1111/j.1151-2916.1998.tb02341.x","ISSN":"0002-7820","abstract":"Uniform spherical powders of Ce0.9Gd0.1O1.95 with an average diameter of 250 nm were obtained at 700°C from a sol-gel process of mixing nitrates and ethylene glycol. Broadening of the X-ray peaks of the fluorite structure reveals a small crystallite size within the powders. Sintering in air of pressed pellets of the powders at 1585°C gives ceramics of 99% theoretical density with grain sizes 1-10 µm and a cubic unit cell a= 5.422 ± 0.034 Å. The electrical conductivity σ=σo+σe has two components. In air or argon, the electronic component σe is negligible and the oxide-ion conductivity σo is not described by a classical Arrhenius equation; a pronounced curvature at T similar/congruent T* has been observed in the Arrhenius plot of the bulk conductivity. The system could be modeled by a condensation of mobile oxygen vacancies into ordered clusters below a temperature T* similar/congruent 583 ± 45°C and a motional enthalpy ΔHm= 0.63 ± 0.01 eV for the vacancies. A measured trapping energy ΔHt(1 - T/T*) has ΔHt= 0.19 ± 0.01 eV = 2.57 kT*. In a reducing atmosphere, σe exhibits a small-polaron motional enthalpy ΔHp= 0.40 ± 0.08 eV for transfer of a 4 f electron from a Ce3+ to a Ce4+ ion and a ΔHp+ΔHpt= 0.51 ± 0.04 eV at T &lt; T*.","author":[{"dropping-particle":"","family":"Huang","given":"Keqin","non-dropping-particle":"","parse-names":false,"suffix":""},{"dropping-particle":"","family":"Feng","given":"Man","non-dropping-particle":"","parse-names":false,"suffix":""},{"dropping-particle":"","family":"Goodenough","given":"John B.","non-dropping-particle":"","parse-names":false,"suffix":""}],"container-title":"Journal of the American Ceramic Society","id":"ITEM-1","issue":"2","issued":{"date-parts":[["2005"]]},"page":"357-362","title":"Synthesis and Electrical Properties of Dense Ce&lt;sub&gt;0.9&lt;/sub&gt;Gd&lt;sub&gt;0.1&lt;/sub&gt;O&lt;sub&gt;1.95&lt;/sub&gt; Ceramics","type":"article-journal","volume":"81"},"uris":["http://www.mendeley.com/documents/?uuid=9038ee28-7057-4336-9493-8625fd9e4d94"]},{"id":"ITEM-2","itemData":{"DOI":"10.1111/j.1151-2916.1998.tb02662.x","ISSN":"0002-7820","abstract":"The single-phase, cubic-perovskite region of the LaO1.5-SrO-Gao1.5-MgO phase diagram was determined from room-temperature and high-temperature X-ray diffraction. Two impurity phases were identified, LaSrGaO4 and aSrGa3O7. The conductivity of the oxygen-deficient perovskite phase was shown to be essentially a purely oxide-ion conductivity sigmao over a wide range of oxygen partial pressures 10-22 lessthan equal to PO2 lessthan equal to 1 atm. The highest values of sigmao = 0.17 and 0.08 S/cm were found for La0.8Sr0.2Ga0.83Mg0.17O0.2815 at 800° and 700°C, respectively; they remain stable over a week-long test. The Arrhenius plot of sigmao is curved, dividing into a high-temperature region T &gt; T* similar/congruent 600°C and a low-temperature region T &lt; T*. Above T* all the oxygen vacancies appear to be mobile; below T* they progressively condense into clusters of ordered vacancies.","author":[{"dropping-particle":"","family":"Huang","given":"Keqin","non-dropping-particle":"","parse-names":false,"suffix":""},{"dropping-particle":"","family":"Tichy","given":"Robin S.","non-dropping-particle":"","parse-names":false,"suffix":""},{"dropping-particle":"","family":"Goodenough","given":"John B.","non-dropping-particle":"","parse-names":false,"suffix":""}],"container-title":"Journal of the American Ceramic Society","id":"ITEM-2","issue":"10","issued":{"date-parts":[["2005"]]},"page":"2565-2575","title":"Superior Perovskite Oxide-Ion Conductor; Strontium- and Magnesium-Doped LaGaO&lt;sub&gt;3&lt;/sub&gt;: I, Phase Relationships and Electrical Properties","type":"article-journal","volume":"81"},"uris":["http://www.mendeley.com/documents/?uuid=ce84a30d-b066-4e68-b822-3a6b2e0b2ef0"]},{"id":"ITEM-3","itemData":{"DOI":"10.1038/35009069","ISBN":"0028-0836","ISSN":"00280836","PMID":"10786788","abstract":"The ability of solid oxides to conduct oxide ions has been known for more than a century, and fast oxide-ion conductors (or oxide electrolytes) are now being used for applications ranging from oxide fuel cells to oxygen pumping devices. To be technologically viable, these oxide electrolytes must exhibit high oxide-ion mobility at low operating temperatures. Because of the size and interaction of oxygen ions with the cationic network, high mobility can only be achieved with classes of materials with suitable structural features. So far, high mobility has been observed in only a small number of structural families, such as fluorite, perovskites, intergrowth perovskite/Bi2O2 layers and pyrochlores. Here we report a family of solid oxides based on the parent compound La2Mo2O9 (with a different crystal structure from all known oxide electrolytes) which exhibits fast oxide-ion conducting properties. Like other ionic conductors, this material undergoes a structural transition around 580 degrees C resulting in an increase of conduction by almost two orders of magnitude. Its conductivity is about 6 x 10(-2) S cm(-1) at 800 degrees C, which is comparable to that of stabilized zirconia, the most widely used oxide electrolyte. The structural similarity of La2Mo2O9 with beta-SnWO4 (ref. 14) suggests a structural model for the origin of the oxide-ion conduction. More generally, substitution of a cation that has a lone pair of electrons by a different cation that does not have a lone pair--and which has a higher oxidation state--could be used as an original way to design other oxide-ion conductors.","author":[{"dropping-particle":"","family":"Lacorre","given":"P.","non-dropping-particle":"","parse-names":false,"suffix":""},{"dropping-particle":"","family":"Goutenoire","given":"F.","non-dropping-particle":"","parse-names":false,"suffix":""},{"dropping-particle":"","family":"Bohnke","given":"O.","non-dropping-particle":"","parse-names":false,"suffix":""},{"dropping-particle":"","family":"Retoux","given":"R.","non-dropping-particle":"","parse-names":false,"suffix":""},{"dropping-particle":"","family":"Lallgant","given":"Y.","non-dropping-particle":"","parse-names":false,"suffix":""}],"container-title":"Nature","id":"ITEM-3","issue":"6780","issued":{"date-parts":[["2000"]]},"page":"856-858","title":"Designing fast oxide-ion conductors based on La&lt;sub&gt;2&lt;/sub&gt;Mo&lt;sub&gt;2&lt;/sub&gt;O&lt;sub&gt;9&lt;/sub&gt;","type":"article-journal","volume":"404"},"uris":["http://www.mendeley.com/documents/?uuid=3bf8e41d-50ad-4901-ab74-74e19d2af916"]},{"id":"ITEM-4","itemData":{"DOI":"10.1107/S0108768107024317","ISSN":"01087681","PMID":"17641430","abstract":"Oxygen conduction at low temperatures in apatites make these materials potentially useful as electrolytes in solid-oxide fuel cells, but our understanding of the defect structures enabling ion migration is incomplete. While conduction along [001] channels is dominant, considerable inter-tunnel mobility has been recognized. Using neutron powder diffraction of stoichiometric 'La(10)(GeO(4))(6)O(3)', it has been shown that this compound is more correctly described as an La(10)(GeO(4))(5-)(GeO(5))O(2) apatite, in which high concentrations of interstitial oxygen reside within the channel walls. It is suggested that these framework interstitial O atoms provide a reservoir of ions that can migrate into the conducting channels of apatite, via a mechanism of inter-tunnel oxygen diffusion that transiently converts GeO(4) tetrahedra to GeO(5) distorted trigonal bipyramids. This structural modification is consistent with known crystal chemistry and may occur generally in oxide apatites.","author":[{"dropping-particle":"","family":"Pramana","given":"Stevin S.","non-dropping-particle":"","parse-names":false,"suffix":""},{"dropping-particle":"","family":"Klooster","given":"Wim T.","non-dropping-particle":"","parse-names":false,"suffix":""},{"dropping-particle":"","family":"White","given":"T. J.","non-dropping-particle":"","parse-names":false,"suffix":""}],"container-title":"Acta Crystallographica Section B: Structural Science","id":"ITEM-4","issue":"4","issued":{"date-parts":[["2007"]]},"page":"597-602","title":"Framework interstitial oxygen in La&lt;sub&gt;10&lt;/sub&gt;(GeO&lt;sub&gt;4&lt;/sub&gt;)&lt;sub&gt;5&lt;/sub&gt;-(GeO&lt;sub&gt;5&lt;/sub&gt;)O&lt;sub&gt;2&lt;/sub&gt; apatite electrolyte","type":"article-journal","volume":"63"},"uris":["http://www.mendeley.com/documents/?uuid=f537637a-64a5-4b65-92f2-c9dcf8d96348"]},{"id":"ITEM-5","itemData":{"DOI":"10.1039/C4TA05132G","ISSN":"2050-7488","author":[{"dropping-particle":"","family":"Wei","given":"Fengxia","non-dropping-particle":"","parse-names":false,"suffix":""},{"dropping-particle":"","family":"Gasparyan","given":"Hripsime","non-dropping-particle":"","parse-names":false,"suffix":""},{"dropping-particle":"","family":"Keenan","given":"Philip J.","non-dropping-particle":"","parse-names":false,"suffix":""},{"dropping-particle":"","family":"Gutmann","given":"Matthias","non-dropping-particle":"","parse-names":false,"suffix":""},{"dropping-particle":"","family":"Fang","given":"Yanan","non-dropping-particle":"","parse-names":false,"suffix":""},{"dropping-particle":"","family":"Baikie","given":"Tom","non-dropping-particle":"","parse-names":false,"suffix":""},{"dropping-particle":"","family":"Claridge","given":"John B.","non-dropping-particle":"","parse-names":false,"suffix":""},{"dropping-particle":"","family":"Slater","given":"Peter R.","non-dropping-particle":"","parse-names":false,"suffix":""},{"dropping-particle":"","family":"Kloc","given":"Christian L.","non-dropping-particle":"","parse-names":false,"suffix":""},{"dropping-particle":"","family":"White","given":"Tim J.","non-dropping-particle":"","parse-names":false,"suffix":""}],"container-title":"J. Mater. Chem. A","id":"ITEM-5","issue":"6","issued":{"date-parts":[["2015"]]},"page":"3091-3096","publisher":"Royal Society of Chemistry","title":"Anisotropic oxide ion conduction in melilite intermediate temperature electrolytes","type":"article-journal","volume":"3"},"uris":["http://www.mendeley.com/documents/?uuid=8b3b7926-666b-4114-be0d-9d22bcc68403"]}],"mendeley":{"formattedCitation":"&lt;sup&gt;1–5&lt;/sup&gt;","plainTextFormattedCitation":"1–5","previouslyFormattedCitation":"&lt;sup&gt;1–5&lt;/sup&gt;"},"properties":{"noteIndex":0},"schema":"https://github.com/citation-style-language/schema/raw/master/csl-citation.json"}</w:instrText>
      </w:r>
      <w:r w:rsidR="00142EE0">
        <w:fldChar w:fldCharType="separate"/>
      </w:r>
      <w:r w:rsidR="00142EE0" w:rsidRPr="00142EE0">
        <w:rPr>
          <w:noProof/>
          <w:vertAlign w:val="superscript"/>
        </w:rPr>
        <w:t>1–5</w:t>
      </w:r>
      <w:r w:rsidR="00142EE0">
        <w:fldChar w:fldCharType="end"/>
      </w:r>
      <w:r>
        <w:t xml:space="preserve"> </w:t>
      </w:r>
      <w:r w:rsidR="00362D9C">
        <w:t>The established electrolyte materials are limited to fluorite and perovskite-based systems, which rely on an isotropic, vacancy hopping mechanism facilitated by the cubic or near cubic crystal lattice.</w:t>
      </w:r>
      <w:r w:rsidR="00142EE0">
        <w:fldChar w:fldCharType="begin" w:fldLock="1"/>
      </w:r>
      <w:r w:rsidR="004A419E">
        <w:instrText>ADDIN CSL_CITATION {"citationItems":[{"id":"ITEM-1","itemData":{"DOI":"10.1111/j.1151-2916.1998.tb02341.x","ISSN":"0002-7820","abstract":"Uniform spherical powders of Ce0.9Gd0.1O1.95 with an average diameter of 250 nm were obtained at 700°C from a sol-gel process of mixing nitrates and ethylene glycol. Broadening of the X-ray peaks of the fluorite structure reveals a small crystallite size within the powders. Sintering in air of pressed pellets of the powders at 1585°C gives ceramics of 99% theoretical density with grain sizes 1-10 µm and a cubic unit cell a= 5.422 ± 0.034 Å. The electrical conductivity σ=σo+σe has two components. In air or argon, the electronic component σe is negligible and the oxide-ion conductivity σo is not described by a classical Arrhenius equation; a pronounced curvature at T similar/congruent T* has been observed in the Arrhenius plot of the bulk conductivity. The system could be modeled by a condensation of mobile oxygen vacancies into ordered clusters below a temperature T* similar/congruent 583 ± 45°C and a motional enthalpy ΔHm= 0.63 ± 0.01 eV for the vacancies. A measured trapping energy ΔHt(1 - T/T*) has ΔHt= 0.19 ± 0.01 eV = 2.57 kT*. In a reducing atmosphere, σe exhibits a small-polaron motional enthalpy ΔHp= 0.40 ± 0.08 eV for transfer of a 4 f electron from a Ce3+ to a Ce4+ ion and a ΔHp+ΔHpt= 0.51 ± 0.04 eV at T &lt; T*.","author":[{"dropping-particle":"","family":"Huang","given":"Keqin","non-dropping-particle":"","parse-names":false,"suffix":""},{"dropping-particle":"","family":"Feng","given":"Man","non-dropping-particle":"","parse-names":false,"suffix":""},{"dropping-particle":"","family":"Goodenough","given":"John B.","non-dropping-particle":"","parse-names":false,"suffix":""}],"container-title":"Journal of the American Ceramic Society","id":"ITEM-1","issue":"2","issued":{"date-parts":[["2005"]]},"page":"357-362","title":"Synthesis and Electrical Properties of Dense Ce&lt;sub&gt;0.9&lt;/sub&gt;Gd&lt;sub&gt;0.1&lt;/sub&gt;O&lt;sub&gt;1.95&lt;/sub&gt; Ceramics","type":"article-journal","volume":"81"},"uris":["http://www.mendeley.com/documents/?uuid=9038ee28-7057-4336-9493-8625fd9e4d94"]},{"id":"ITEM-2","itemData":{"DOI":"10.1111/j.1151-2916.1998.tb02662.x","ISSN":"0002-7820","abstract":"The single-phase, cubic-perovskite region of the LaO1.5-SrO-Gao1.5-MgO phase diagram was determined from room-temperature and high-temperature X-ray diffraction. Two impurity phases were identified, LaSrGaO4 and aSrGa3O7. The conductivity of the oxygen-deficient perovskite phase was shown to be essentially a purely oxide-ion conductivity sigmao over a wide range of oxygen partial pressures 10-22 lessthan equal to PO2 lessthan equal to 1 atm. The highest values of sigmao = 0.17 and 0.08 S/cm were found for La0.8Sr0.2Ga0.83Mg0.17O0.2815 at 800° and 700°C, respectively; they remain stable over a week-long test. The Arrhenius plot of sigmao is curved, dividing into a high-temperature region T &gt; T* similar/congruent 600°C and a low-temperature region T &lt; T*. Above T* all the oxygen vacancies appear to be mobile; below T* they progressively condense into clusters of ordered vacancies.","author":[{"dropping-particle":"","family":"Huang","given":"Keqin","non-dropping-particle":"","parse-names":false,"suffix":""},{"dropping-particle":"","family":"Tichy","given":"Robin S.","non-dropping-particle":"","parse-names":false,"suffix":""},{"dropping-particle":"","family":"Goodenough","given":"John B.","non-dropping-particle":"","parse-names":false,"suffix":""}],"container-title":"Journal of the American Ceramic Society","id":"ITEM-2","issue":"10","issued":{"date-parts":[["2005"]]},"page":"2565-2575","title":"Superior Perovskite Oxide-Ion Conductor; Strontium- and Magnesium-Doped LaGaO&lt;sub&gt;3&lt;/sub&gt;: I, Phase Relationships and Electrical Properties","type":"article-journal","volume":"81"},"uris":["http://www.mendeley.com/documents/?uuid=ce84a30d-b066-4e68-b822-3a6b2e0b2ef0"]},{"id":"ITEM-3","itemData":{"DOI":"10.1038/35009069","ISBN":"0028-0836","ISSN":"00280836","PMID":"10786788","abstract":"The ability of solid oxides to conduct oxide ions has been known for more than a century, and fast oxide-ion conductors (or oxide electrolytes) are now being used for applications ranging from oxide fuel cells to oxygen pumping devices. To be technologically viable, these oxide electrolytes must exhibit high oxide-ion mobility at low operating temperatures. Because of the size and interaction of oxygen ions with the cationic network, high mobility can only be achieved with classes of materials with suitable structural features. So far, high mobility has been observed in only a small number of structural families, such as fluorite, perovskites, intergrowth perovskite/Bi2O2 layers and pyrochlores. Here we report a family of solid oxides based on the parent compound La2Mo2O9 (with a different crystal structure from all known oxide electrolytes) which exhibits fast oxide-ion conducting properties. Like other ionic conductors, this material undergoes a structural transition around 580 degrees C resulting in an increase of conduction by almost two orders of magnitude. Its conductivity is about 6 x 10(-2) S cm(-1) at 800 degrees C, which is comparable to that of stabilized zirconia, the most widely used oxide electrolyte. The structural similarity of La2Mo2O9 with beta-SnWO4 (ref. 14) suggests a structural model for the origin of the oxide-ion conduction. More generally, substitution of a cation that has a lone pair of electrons by a different cation that does not have a lone pair--and which has a higher oxidation state--could be used as an original way to design other oxide-ion conductors.","author":[{"dropping-particle":"","family":"Lacorre","given":"P.","non-dropping-particle":"","parse-names":false,"suffix":""},{"dropping-particle":"","family":"Goutenoire","given":"F.","non-dropping-particle":"","parse-names":false,"suffix":""},{"dropping-particle":"","family":"Bohnke","given":"O.","non-dropping-particle":"","parse-names":false,"suffix":""},{"dropping-particle":"","family":"Retoux","given":"R.","non-dropping-particle":"","parse-names":false,"suffix":""},{"dropping-particle":"","family":"Lallgant","given":"Y.","non-dropping-particle":"","parse-names":false,"suffix":""}],"container-title":"Nature","id":"ITEM-3","issue":"6780","issued":{"date-parts":[["2000"]]},"page":"856-858","title":"Designing fast oxide-ion conductors based on La&lt;sub&gt;2&lt;/sub&gt;Mo&lt;sub&gt;2&lt;/sub&gt;O&lt;sub&gt;9&lt;/sub&gt;","type":"article-journal","volume":"404"},"uris":["http://www.mendeley.com/documents/?uuid=3bf8e41d-50ad-4901-ab74-74e19d2af916"]}],"mendeley":{"formattedCitation":"&lt;sup&gt;1–3&lt;/sup&gt;","plainTextFormattedCitation":"1–3","previouslyFormattedCitation":"&lt;sup&gt;1–3&lt;/sup&gt;"},"properties":{"noteIndex":0},"schema":"https://github.com/citation-style-language/schema/raw/master/csl-citation.json"}</w:instrText>
      </w:r>
      <w:r w:rsidR="00142EE0">
        <w:fldChar w:fldCharType="separate"/>
      </w:r>
      <w:r w:rsidR="00142EE0" w:rsidRPr="00142EE0">
        <w:rPr>
          <w:noProof/>
          <w:vertAlign w:val="superscript"/>
        </w:rPr>
        <w:t>1–3</w:t>
      </w:r>
      <w:r w:rsidR="00142EE0">
        <w:fldChar w:fldCharType="end"/>
      </w:r>
      <w:r w:rsidR="003969FA">
        <w:t xml:space="preserve"> </w:t>
      </w:r>
    </w:p>
    <w:p w14:paraId="22260691" w14:textId="3F84E1F0" w:rsidR="00362D9C" w:rsidRDefault="000563D4" w:rsidP="009B3587">
      <w:r w:rsidRPr="00DF2B0D">
        <w:t>R</w:t>
      </w:r>
      <w:r w:rsidR="004F6C96" w:rsidRPr="00DF2B0D">
        <w:t>ecent years</w:t>
      </w:r>
      <w:r w:rsidR="003575D9">
        <w:t xml:space="preserve"> however</w:t>
      </w:r>
      <w:r w:rsidR="004F6C96" w:rsidRPr="00DF2B0D">
        <w:t xml:space="preserve"> have witness</w:t>
      </w:r>
      <w:r w:rsidR="00B641CB" w:rsidRPr="00DF2B0D">
        <w:t>ed</w:t>
      </w:r>
      <w:r w:rsidR="004F6C96" w:rsidRPr="00DF2B0D">
        <w:t xml:space="preserve"> </w:t>
      </w:r>
      <w:r w:rsidR="00BC7662">
        <w:t>a</w:t>
      </w:r>
      <w:r w:rsidR="00F34CB2">
        <w:t xml:space="preserve"> </w:t>
      </w:r>
      <w:r w:rsidR="00FB6A70" w:rsidRPr="00DF2B0D">
        <w:t xml:space="preserve">growing interest </w:t>
      </w:r>
      <w:r w:rsidR="003575D9">
        <w:t>towards</w:t>
      </w:r>
      <w:r w:rsidR="003575D9" w:rsidRPr="00DF2B0D">
        <w:t xml:space="preserve"> </w:t>
      </w:r>
      <w:r w:rsidR="00362D9C">
        <w:t>complex structure</w:t>
      </w:r>
      <w:r w:rsidR="00BC0CF1">
        <w:t>s</w:t>
      </w:r>
      <w:r w:rsidR="00362D9C">
        <w:t xml:space="preserve"> with anisotropic conducting pathways for </w:t>
      </w:r>
      <w:r w:rsidR="003575D9">
        <w:t xml:space="preserve">electrolyte applications. </w:t>
      </w:r>
      <w:r w:rsidR="00BC7662">
        <w:t>The apatite</w:t>
      </w:r>
      <w:r w:rsidR="00BC7662">
        <w:fldChar w:fldCharType="begin" w:fldLock="1"/>
      </w:r>
      <w:r w:rsidR="004A419E">
        <w:instrText>ADDIN CSL_CITATION {"citationItems":[{"id":"ITEM-1","itemData":{"DOI":"10.1107/S0108768107024317","ISSN":"01087681","PMID":"17641430","abstract":"Oxygen conduction at low temperatures in apatites make these materials potentially useful as electrolytes in solid-oxide fuel cells, but our understanding of the defect structures enabling ion migration is incomplete. While conduction along [001] channels is dominant, considerable inter-tunnel mobility has been recognized. Using neutron powder diffraction of stoichiometric 'La(10)(GeO(4))(6)O(3)', it has been shown that this compound is more correctly described as an La(10)(GeO(4))(5-)(GeO(5))O(2) apatite, in which high concentrations of interstitial oxygen reside within the channel walls. It is suggested that these framework interstitial O atoms provide a reservoir of ions that can migrate into the conducting channels of apatite, via a mechanism of inter-tunnel oxygen diffusion that transiently converts GeO(4) tetrahedra to GeO(5) distorted trigonal bipyramids. This structural modification is consistent with known crystal chemistry and may occur generally in oxide apatites.","author":[{"dropping-particle":"","family":"Pramana","given":"Stevin S.","non-dropping-particle":"","parse-names":false,"suffix":""},{"dropping-particle":"","family":"Klooster","given":"Wim T.","non-dropping-particle":"","parse-names":false,"suffix":""},{"dropping-particle":"","family":"White","given":"T. J.","non-dropping-particle":"","parse-names":false,"suffix":""}],"container-title":"Acta Crystallographica Section B: Structural Science","id":"ITEM-1","issue":"4","issued":{"date-parts":[["2007"]]},"page":"597-602","title":"Framework interstitial oxygen in La&lt;sub&gt;10&lt;/sub&gt;(GeO&lt;sub&gt;4&lt;/sub&gt;)&lt;sub&gt;5&lt;/sub&gt;-(GeO&lt;sub&gt;5&lt;/sub&gt;)O&lt;sub&gt;2&lt;/sub&gt; apatite electrolyte","type":"article-journal","volume":"63"},"uris":["http://www.mendeley.com/documents/?uuid=f537637a-64a5-4b65-92f2-c9dcf8d96348"]},{"id":"ITEM-2","itemData":{"DOI":"10.1002/adfm.201605625","ISSN":"16163028","abstract":"The new solid electrolyte Bi2La8[(GeO4)6]O3 is prepared and characterized by variable-temperature synchrotron X-ray and neutron diffraction, aberration-corrected scanning transmission electron microscopy, and physical property measurements (impedance spectroscopy and second harmonic generation). The material is a triclinic variant of the apatite structure type and owes its ionic conductivity to the presence of oxide ion interstitials. A combination of annular bright-field scanning transmission electron microscopy experiments and frozen-phonon multislice simulations enables direct imaging of the crucial interstitial oxygen atoms present at a level of 8 out of 1030 electrons per formula unit of the material, and crystallographically disordered, in the unit cell. Scanning transmission electron microscopy also leads to a direct observation of the local departures from the centrosymmetric average structure determined by diffraction. As no second harmonic generation signal is observed, these displacements are non-cooperative on the longer length scales probed by optical methods.","author":[{"dropping-particle":"","family":"Tate","given":"Matthew L.","non-dropping-particle":"","parse-names":false,"suffix":""},{"dropping-particle":"","family":"Blom","given":"Douglas A.","non-dropping-particle":"","parse-names":false,"suffix":""},{"dropping-particle":"","family":"Avdeev","given":"Maxim","non-dropping-particle":"","parse-names":false,"suffix":""},{"dropping-particle":"","family":"Brand","given":"Helen E.A.","non-dropping-particle":"","parse-names":false,"suffix":""},{"dropping-particle":"","family":"McIntyre","given":"Garry J.","non-dropping-particle":"","parse-names":false,"suffix":""},{"dropping-particle":"","family":"Vogt","given":"Thomas","non-dropping-particle":"","parse-names":false,"suffix":""},{"dropping-particle":"","family":"Evans","given":"Ivana Radosavljevic","non-dropping-particle":"","parse-names":false,"suffix":""}],"container-title":"Advanced Functional Materials","id":"ITEM-2","issue":"8","issued":{"date-parts":[["2017"]]},"page":"1605625","title":"New Apatite-Type Oxide Ion Conductor, Bi&lt;sub&gt;2&lt;/sub&gt;La&lt;sub&gt;8&lt;/sub&gt;[(GeO&lt;sub&gt;4&lt;/sub&gt;)&lt;sub&gt;6&lt;/sub&gt;]O&lt;sub&gt;3&lt;/sub&gt;: Structure, Properties, and Direct Imaging of Low-Level Interstitial Oxygen Atoms Using Aberration-Corrected Scanning Transmission Electron Micr","type":"article-journal","volume":"27"},"uris":["http://www.mendeley.com/documents/?uuid=6a588ceb-7e9b-4323-b6c5-e0070e809786"]}],"mendeley":{"formattedCitation":"&lt;sup&gt;4,6&lt;/sup&gt;","plainTextFormattedCitation":"4,6","previouslyFormattedCitation":"&lt;sup&gt;4,6&lt;/sup&gt;"},"properties":{"noteIndex":0},"schema":"https://github.com/citation-style-language/schema/raw/master/csl-citation.json"}</w:instrText>
      </w:r>
      <w:r w:rsidR="00BC7662">
        <w:fldChar w:fldCharType="separate"/>
      </w:r>
      <w:r w:rsidR="00142EE0" w:rsidRPr="00142EE0">
        <w:rPr>
          <w:noProof/>
          <w:vertAlign w:val="superscript"/>
        </w:rPr>
        <w:t>4,6</w:t>
      </w:r>
      <w:r w:rsidR="00BC7662">
        <w:fldChar w:fldCharType="end"/>
      </w:r>
      <w:r w:rsidR="00BC7662">
        <w:t xml:space="preserve"> and the melilite</w:t>
      </w:r>
      <w:r w:rsidR="00BC7662">
        <w:fldChar w:fldCharType="begin" w:fldLock="1"/>
      </w:r>
      <w:r w:rsidR="008375E8">
        <w:instrText>ADDIN CSL_CITATION {"citationItems":[{"id":"ITEM-1","itemData":{"DOI":"10.1039/C4TA05132G","ISSN":"2050-7488","author":[{"dropping-particle":"","family":"Wei","given":"Fengxia","non-dropping-particle":"","parse-names":false,"suffix":""},{"dropping-particle":"","family":"Gasparyan","given":"Hripsime","non-dropping-particle":"","parse-names":false,"suffix":""},{"dropping-particle":"","family":"Keenan","given":"Philip J.","non-dropping-particle":"","parse-names":false,"suffix":""},{"dropping-particle":"","family":"Gutmann","given":"Matthias","non-dropping-particle":"","parse-names":false,"suffix":""},{"dropping-particle":"","family":"Fang","given":"Yanan","non-dropping-particle":"","parse-names":false,"suffix":""},{"dropping-particle":"","family":"Baikie","given":"Tom","non-dropping-particle":"","parse-names":false,"suffix":""},{"dropping-particle":"","family":"Claridge","given":"John B.","non-dropping-particle":"","parse-names":false,"suffix":""},{"dropping-particle":"","family":"Slater","given":"Peter R.","non-dropping-particle":"","parse-names":false,"suffix":""},{"dropping-particle":"","family":"Kloc","given":"Christian L.","non-dropping-particle":"","parse-names":false,"suffix":""},{"dropping-particle":"","family":"White","given":"Tim J.","non-dropping-particle":"","parse-names":false,"suffix":""}],"container-title":"J. Mater. Chem. A","id":"ITEM-1","issue":"6","issued":{"date-parts":[["2015"]]},"page":"3091-3096","publisher":"Royal Society of Chemistry","title":"Anisotropic oxide ion conduction in melilite intermediate temperature electrolytes","type":"article-journal","volume":"3"},"uris":["http://www.mendeley.com/documents/?uuid=8b3b7926-666b-4114-be0d-9d22bcc68403"]},{"id":"ITEM-2","itemData":{"DOI":"10.1038/nmat2201","ISBN":"1476-1122","ISSN":"1476-1122","PMID":"18488032","abstract":"High-conductivity oxide ion electrolytes are needed to reduce the operating temperature of solid-oxide fuel cells. Oxide mobility in solids is associated with defects. Although anion vacancies are the charge carriers in most cases, excess (interstitial) oxide anions give high conductivities in isolated polyhedral anion structures such as the apatites. The development of new families of interstitial oxide conductors with less restrictive structural constraints requires an understanding of the mechanisms enabling both incorporation and mobility of the excess oxide. Here, we show how the two-dimensionally connected tetrahedral gallium oxide network in the melilite structure La(1.54)Sr(0.46)Ga(3)O(7.27) stabilizes oxygen interstitials by local relaxation around them, affording an oxide ion conductivity of 0.02-0.1 S cm(-1) over the 600-900 degrees C temperature range. Polyhedral frameworks with central elements exhibiting variable coordination number can have the flexibility needed to accommodate mobile interstitial oxide ions if non-bridging oxides are present to favour cooperative network distortions.","author":[{"dropping-particle":"","family":"Kuang","given":"Xiaojun","non-dropping-particle":"","parse-names":false,"suffix":""},{"dropping-particle":"","family":"Green","given":"Mark A.","non-dropping-particle":"","parse-names":false,"suffix":""},{"dropping-particle":"","family":"Niu","given":"Hongjun","non-dropping-particle":"","parse-names":false,"suffix":""},{"dropping-particle":"","family":"Zajdel","given":"Pawel","non-dropping-particle":"","parse-names":false,"suffix":""},{"dropping-particle":"","family":"Dickinson","given":"Calum","non-dropping-particle":"","parse-names":false,"suffix":""},{"dropping-particle":"","family":"Claridge","given":"John B","non-dropping-particle":"","parse-names":false,"suffix":""},{"dropping-particle":"","family":"Jantsky","given":"Laurent","non-dropping-particle":"","parse-names":false,"suffix":""},{"dropping-particle":"","family":"Rosseinsky","given":"Matthew J","non-dropping-particle":"","parse-names":false,"suffix":""}],"container-title":"Nature Materials","id":"ITEM-2","issue":"6","issued":{"date-parts":[["2008"]]},"page":"498-504","title":"Interstitial oxide ion conductivity in the layered tetrahedral network melilite structure","type":"article-journal","volume":"7"},"uris":["http://www.mendeley.com/documents/?uuid=cb9f98ac-b491-4329-be12-72dfe590ee81"]}],"mendeley":{"formattedCitation":"&lt;sup&gt;5,7&lt;/sup&gt;","plainTextFormattedCitation":"5,7","previouslyFormattedCitation":"&lt;sup&gt;5,7&lt;/sup&gt;"},"properties":{"noteIndex":0},"schema":"https://github.com/citation-style-language/schema/raw/master/csl-citation.json"}</w:instrText>
      </w:r>
      <w:r w:rsidR="00BC7662">
        <w:fldChar w:fldCharType="separate"/>
      </w:r>
      <w:r w:rsidR="00142EE0" w:rsidRPr="00142EE0">
        <w:rPr>
          <w:noProof/>
          <w:vertAlign w:val="superscript"/>
        </w:rPr>
        <w:t>5,7</w:t>
      </w:r>
      <w:r w:rsidR="00BC7662">
        <w:fldChar w:fldCharType="end"/>
      </w:r>
      <w:r w:rsidR="00BC7662">
        <w:t xml:space="preserve"> family for instance have shown </w:t>
      </w:r>
      <w:r w:rsidR="000D6C0A">
        <w:t>high oxide ion conductivity (</w:t>
      </w:r>
      <w:r w:rsidR="008F29CA">
        <w:t>~</w:t>
      </w:r>
      <w:r w:rsidR="000D6C0A">
        <w:t>0.001-0.01 S cm</w:t>
      </w:r>
      <w:r w:rsidR="000D6C0A" w:rsidRPr="00057994">
        <w:rPr>
          <w:vertAlign w:val="superscript"/>
        </w:rPr>
        <w:t>-1</w:t>
      </w:r>
      <w:r w:rsidR="000D6C0A">
        <w:t>)</w:t>
      </w:r>
      <w:r w:rsidR="00BC7662">
        <w:t xml:space="preserve"> </w:t>
      </w:r>
      <w:r w:rsidR="000D6C0A">
        <w:t xml:space="preserve">in the intermediate temperature range (500-700 </w:t>
      </w:r>
      <w:r w:rsidR="000D6C0A" w:rsidRPr="000D6C0A">
        <w:t>°C</w:t>
      </w:r>
      <w:r w:rsidR="000D6C0A">
        <w:t>)</w:t>
      </w:r>
      <w:r w:rsidR="00142EE0">
        <w:rPr>
          <w:rFonts w:hint="eastAsia"/>
        </w:rPr>
        <w:t>.</w:t>
      </w:r>
      <w:r w:rsidR="00142EE0">
        <w:t xml:space="preserve"> </w:t>
      </w:r>
    </w:p>
    <w:p w14:paraId="4CFC27E5" w14:textId="0BC0495F" w:rsidR="007550C7" w:rsidRDefault="00DE2789" w:rsidP="009B3587">
      <w:r>
        <w:t xml:space="preserve">Another family of particular interest is the </w:t>
      </w:r>
      <w:r w:rsidR="004F6C96" w:rsidRPr="00DF2B0D">
        <w:t>h</w:t>
      </w:r>
      <w:r w:rsidR="00693DD6" w:rsidRPr="00DF2B0D">
        <w:t>yper</w:t>
      </w:r>
      <w:r w:rsidR="005D7928" w:rsidRPr="00DF2B0D">
        <w:t>-</w:t>
      </w:r>
      <w:r w:rsidR="00693DD6" w:rsidRPr="00DF2B0D">
        <w:t xml:space="preserve">stoichiometric </w:t>
      </w:r>
      <w:r w:rsidR="004F6C96" w:rsidRPr="00DF2B0D">
        <w:t xml:space="preserve">fergusonite/scheelite </w:t>
      </w:r>
      <w:r>
        <w:t>structure</w:t>
      </w:r>
      <w:r w:rsidRPr="00DF2B0D">
        <w:t xml:space="preserve"> </w:t>
      </w:r>
      <w:r>
        <w:t xml:space="preserve">which </w:t>
      </w:r>
      <w:r w:rsidR="0050686E">
        <w:t>find</w:t>
      </w:r>
      <w:r>
        <w:t xml:space="preserve"> </w:t>
      </w:r>
      <w:r w:rsidR="0050686E">
        <w:t xml:space="preserve">application in a </w:t>
      </w:r>
      <w:r>
        <w:t>wide</w:t>
      </w:r>
      <w:r w:rsidR="0050686E">
        <w:t xml:space="preserve"> range of</w:t>
      </w:r>
      <w:r w:rsidR="005734B3" w:rsidRPr="00DF2B0D">
        <w:t xml:space="preserve"> electrochemical devices </w:t>
      </w:r>
      <w:r>
        <w:t>including</w:t>
      </w:r>
      <w:r w:rsidR="005734B3" w:rsidRPr="00DF2B0D">
        <w:t xml:space="preserve"> fuel cells, electrolysers and permeation membranes</w:t>
      </w:r>
      <w:r w:rsidR="001C12BE">
        <w:t>.</w:t>
      </w:r>
      <w:r w:rsidR="009B3587" w:rsidRPr="00DF2B0D">
        <w:fldChar w:fldCharType="begin" w:fldLock="1"/>
      </w:r>
      <w:r w:rsidR="00142EE0">
        <w:instrText>ADDIN CSL_CITATION {"citationItems":[{"id":"ITEM-1","itemData":{"DOI":"10.1002/fuce.201000052","ISBN":"1615-6854","ISSN":"16156846","abstract":"High temperature proton conducting solid oxide fuel cells (PC-SOFCs) are in a developing state. Electrolytes in these cells should exhibit proton conductivity with essentially no electronic and little other ionic conductivity, as well as long-term stability in acidic atmospheres. Acceptor substituted rare-earth ortho-niobates and ortho-tantalates were recently demonstrated to exhibit proton conductivity in wet atmospheres, with a maximum of similar to 10(-3) S cm(-1) for 1% Ca-doped LaNbO4. This modest proton conductivity requires that the electrolyte thickness is in the micron range to reach acceptable PC-SOFC performances. The long-term chemical stability and a proton transference number close to unity make these materials highly interesting for high temperature fuel cell applications, in contrast to the more investigated acceptor-doped BaCeO3 that shows instability towards acidic atmospheres. Here, we describe collaborative efforts between Norwegian partners: SINTEF, Norwegian University of Science and Technology (NTNU) and the University of Oslo for developments towards a fuel cell based on LaNbO4. This comprises identification of materials for the electrodes, interconnect and sealing, optimisation of the microstructures of all cell components, development of shaping processes and design of the fuel cell stack. We address the crucial technological issues of building and testing a PC-SOFC stack, as well as the comprehensive fundamental understanding of all the processes involved - from fabrication and behaviour of individual components to fabrication of PC-SOFC fuel cell stacks.","author":[{"dropping-particle":"","family":"Magrasó","given":"A","non-dropping-particle":"","parse-names":false,"suffix":""},{"dropping-particle":"","family":"Fontaine","given":"M. L.","non-dropping-particle":"","parse-names":false,"suffix":""},{"dropping-particle":"","family":"Larring","given":"Y.","non-dropping-particle":"","parse-names":false,"suffix":""},{"dropping-particle":"","family":"Bredesen","given":"R.","non-dropping-particle":"","parse-names":false,"suffix":""},{"dropping-particle":"","family":"Syvertsen","given":"G. E.","non-dropping-particle":"","parse-names":false,"suffix":""},{"dropping-particle":"","family":"Lein","given":"H. L.","non-dropping-particle":"","parse-names":false,"suffix":""},{"dropping-particle":"","family":"Grande","given":"T.","non-dropping-particle":"","parse-names":false,"suffix":""},{"dropping-particle":"","family":"Huse","given":"M.","non-dropping-particle":"","parse-names":false,"suffix":""},{"dropping-particle":"","family":"Strandbakke","given":"R.","non-dropping-particle":"","parse-names":false,"suffix":""},{"dropping-particle":"","family":"Haugsrud","given":"R.","non-dropping-particle":"","parse-names":false,"suffix":""},{"dropping-particle":"","family":"Norby","given":"T.","non-dropping-particle":"","parse-names":false,"suffix":""}],"container-title":"Fuel Cells","id":"ITEM-1","issue":"1","issued":{"date-parts":[["2011","2","17"]]},"page":"17-25","title":"Development of proton conducting SOFCs based on LaNbO&lt;sub&gt;4&lt;/sub&gt; electrolyte - Status in norway","type":"article-journal","volume":"11"},"uris":["http://www.mendeley.com/documents/?uuid=a7242e9f-ab31-4e90-8bea-bd29954858df"]},{"id":"ITEM-2","itemData":{"DOI":"10.1016/j.ssi.2006.03.044","ISBN":"0167-2738","ISSN":"01672738","abstract":"The tracer diffusion coefficient (D*) and the surface exchange coefficient (k*) provide vital information for materials used in high temperature electrochemical devices (e.g. solid oxide fuel cells or oxygen permeation membranes). These values were established for the high temperature tetragonal scheelite structured CeNbO4+?? (monoclinic fergusonite at room temperature), which is of interest due to its wide range of oxygen stoichiometries varying from stoichiometric CeNbO4 to CeNbO4.33. Measurements of D* and k* were performed by the isotopic exchange/line scan technique with SIMS (secondary ion mass spectrometry) used to determine 18O stable isotope depth distribution. This process was carried out between temperatures of 1073??K and 1173??K at 500??mbar of 16O/18O. These measurements were then correlated with oxide ion conductivity data previously determined from four probe d.c. and e.m.f. measurements using the Nernst-Einstein relation. ?? 2006 Elsevier B.V. All rights reserved.","author":[{"dropping-particle":"","family":"Packer","given":"R. J.","non-dropping-particle":"","parse-names":false,"suffix":""},{"dropping-particle":"V.","family":"Tsipis","given":"E.","non-dropping-particle":"","parse-names":false,"suffix":""},{"dropping-particle":"","family":"Munnings","given":"C. N.","non-dropping-particle":"","parse-names":false,"suffix":""},{"dropping-particle":"V.","family":"Kharton","given":"V.","non-dropping-particle":"","parse-names":false,"suffix":""},{"dropping-particle":"","family":"Skinner","given":"S. J.","non-dropping-particle":"","parse-names":false,"suffix":""},{"dropping-particle":"","family":"Frade","given":"J. R.","non-dropping-particle":"","parse-names":false,"suffix":""}],"container-title":"Solid State Ionics","id":"ITEM-2","issue":"19-25","issued":{"date-parts":[["2006","10","15"]]},"page":"2059-2064","title":"Diffusion and conductivity properties of cerium niobate","type":"article-journal","volume":"177"},"uris":["http://www.mendeley.com/documents/?uuid=fe48bda6-2a9d-40e8-acef-62ab42b78679"]},{"id":"ITEM-3","itemData":{"DOI":"10.1016/S0167-2738(00)00377-5","ISBN":"0167-2738","ISSN":"01672738","abstract":"In a search for new high temperature ionic conductors, various substituted scheelite-type samples were prepared by the solid state reaction and their electrical conduction was investigated. Typical scheelite-type oxides designated as ABO4 (A = Ca, Sr, Ba; B = W, Mo) are generally classified into the oxysalts. However, some oxides having cations with almost the same electronegativities, such as Pb and W in PbWO4, can be regarded as double oxides with a deformed fluorite-type structure. Therefore, in order to create appropriate conductors in each oxide type, A2+B6+O4, alternative substitutions were tried: A1-xM+2xBO4 for the former and A1-xM3+xBO4+x/2 for the latter. As a result, new types of ionic conductors were found: lithium ion conductors and oxide ion conductors in scheelite-type solid solutions based on ABO4 (A = Ca, Sr, Ba; B = W, Mo) and PbWO4, respectively. Lithium ion conduction was confirmed visually by neutron radiography.","author":[{"dropping-particle":"","family":"Esaka","given":"Takao","non-dropping-particle":"","parse-names":false,"suffix":""}],"container-title":"Solid State Ionics","id":"ITEM-3","issue":"1-2","issued":{"date-parts":[["2000","11","2"]]},"page":"1-9","title":"Ionic conduction in substituted scheelite-type oxides","type":"article-journal","volume":"136-137"},"uris":["http://www.mendeley.com/documents/?uuid=2f172ad6-038c-4679-a995-4dddbfa10c8f"]},{"id":"ITEM-4","itemData":{"DOI":"10.1039/c6ta03403a","ISBN":"9788578110796","ISSN":"20507496","PMID":"25246403","abstract":"The studies of mixed ionic–electronic conductivity and oxide ion diffusivity in a novel proton conductor, La 1−y Ca y Nb 1−x Sb x O 4−δ .","author":[{"dropping-particle":"","family":"Wachowski","given":"Sebastian","non-dropping-particle":"","parse-names":false,"suffix":""},{"dropping-particle":"","family":"Mielewczyk-Gryń","given":"Aleksandra","non-dropping-particle":"","parse-names":false,"suffix":""},{"dropping-particle":"","family":"Zagórski","given":"Krzysztof","non-dropping-particle":"","parse-names":false,"suffix":""},{"dropping-particle":"","family":"Li","given":"Cheng","non-dropping-particle":"","parse-names":false,"suffix":""},{"dropping-particle":"","family":"Jasiński","given":"Piotr","non-dropping-particle":"","parse-names":false,"suffix":""},{"dropping-particle":"","family":"Skinner","given":"Stephen J.","non-dropping-particle":"","parse-names":false,"suffix":""},{"dropping-particle":"","family":"Haugsrud","given":"Reidar","non-dropping-particle":"","parse-names":false,"suffix":""},{"dropping-particle":"","family":"Gazda","given":"Maria","non-dropping-particle":"","parse-names":false,"suffix":""}],"container-title":"Journal of Materials Chemistry A","id":"ITEM-4","issue":"30","issued":{"date-parts":[["2016"]]},"page":"11696-11707","title":"Influence of Sb-substitution on ionic transport in lanthanum orthoniobates","type":"article-journal","volume":"4"},"uris":["http://www.mendeley.com/documents/?uuid=c3570794-e243-4b0b-b8aa-4c3546d65a4c"]}],"mendeley":{"formattedCitation":"&lt;sup&gt;8–11&lt;/sup&gt;","plainTextFormattedCitation":"8–11","previouslyFormattedCitation":"&lt;sup&gt;8–11&lt;/sup&gt;"},"properties":{"noteIndex":0},"schema":"https://github.com/citation-style-language/schema/raw/master/csl-citation.json"}</w:instrText>
      </w:r>
      <w:r w:rsidR="009B3587" w:rsidRPr="00DF2B0D">
        <w:fldChar w:fldCharType="separate"/>
      </w:r>
      <w:r w:rsidR="00142EE0" w:rsidRPr="00142EE0">
        <w:rPr>
          <w:noProof/>
          <w:vertAlign w:val="superscript"/>
        </w:rPr>
        <w:t>8–11</w:t>
      </w:r>
      <w:r w:rsidR="009B3587" w:rsidRPr="00DF2B0D">
        <w:fldChar w:fldCharType="end"/>
      </w:r>
      <w:r w:rsidR="005734B3" w:rsidRPr="00DF2B0D">
        <w:t xml:space="preserve"> </w:t>
      </w:r>
      <w:r w:rsidR="0050686E">
        <w:t>Their</w:t>
      </w:r>
      <w:r w:rsidR="0050686E" w:rsidRPr="00DF2B0D">
        <w:t xml:space="preserve"> </w:t>
      </w:r>
      <w:r w:rsidR="0050686E">
        <w:t xml:space="preserve">unity </w:t>
      </w:r>
      <w:r w:rsidR="005734B3" w:rsidRPr="00DF2B0D">
        <w:t xml:space="preserve">oxide ionic </w:t>
      </w:r>
      <w:r w:rsidR="000563D4" w:rsidRPr="00DF2B0D">
        <w:t>transfer number,</w:t>
      </w:r>
      <w:r w:rsidR="005734B3" w:rsidRPr="00DF2B0D">
        <w:t xml:space="preserve"> good</w:t>
      </w:r>
      <w:r w:rsidR="000563D4" w:rsidRPr="00DF2B0D">
        <w:t xml:space="preserve"> thermal stability and high </w:t>
      </w:r>
      <w:r w:rsidR="005734B3" w:rsidRPr="00DF2B0D">
        <w:t xml:space="preserve">total </w:t>
      </w:r>
      <w:r w:rsidR="000563D4" w:rsidRPr="00DF2B0D">
        <w:t>electrical conductivity</w:t>
      </w:r>
      <w:r w:rsidR="005734B3" w:rsidRPr="00DF2B0D">
        <w:t xml:space="preserve"> make the</w:t>
      </w:r>
      <w:r w:rsidR="0050686E">
        <w:t>m</w:t>
      </w:r>
      <w:r w:rsidR="005734B3" w:rsidRPr="00DF2B0D">
        <w:t xml:space="preserve"> attractive alternative</w:t>
      </w:r>
      <w:r w:rsidR="0050686E">
        <w:t>s</w:t>
      </w:r>
      <w:r w:rsidR="005734B3" w:rsidRPr="00DF2B0D">
        <w:t xml:space="preserve"> to conventional materials</w:t>
      </w:r>
      <w:r w:rsidR="0036626F">
        <w:t xml:space="preserve"> (for instance,</w:t>
      </w:r>
      <w:r w:rsidR="00FB6380">
        <w:t xml:space="preserve"> conductivity of</w:t>
      </w:r>
      <w:r w:rsidR="0036626F">
        <w:t xml:space="preserve"> </w:t>
      </w:r>
      <w:r w:rsidR="0036626F" w:rsidRPr="0036626F">
        <w:t>σ</w:t>
      </w:r>
      <w:r w:rsidR="0036626F">
        <w:t xml:space="preserve"> = </w:t>
      </w:r>
      <w:r w:rsidR="00FB6380">
        <w:rPr>
          <w:rFonts w:hint="eastAsia"/>
        </w:rPr>
        <w:t>0.042</w:t>
      </w:r>
      <w:r w:rsidR="0036626F">
        <w:t xml:space="preserve"> S cm</w:t>
      </w:r>
      <w:r w:rsidR="0036626F" w:rsidRPr="00057994">
        <w:rPr>
          <w:vertAlign w:val="superscript"/>
        </w:rPr>
        <w:t>-1</w:t>
      </w:r>
      <w:r w:rsidR="00FB6380">
        <w:rPr>
          <w:vertAlign w:val="superscript"/>
        </w:rPr>
        <w:t xml:space="preserve"> </w:t>
      </w:r>
      <w:r w:rsidR="00FB6380">
        <w:t xml:space="preserve">at 800 </w:t>
      </w:r>
      <w:r w:rsidR="00FB6380" w:rsidRPr="000D6C0A">
        <w:t>°C</w:t>
      </w:r>
      <w:r w:rsidR="00FB6380">
        <w:t xml:space="preserve"> was reported for the scheelite Pb</w:t>
      </w:r>
      <w:r w:rsidR="00FB6380" w:rsidRPr="00057994">
        <w:rPr>
          <w:vertAlign w:val="subscript"/>
        </w:rPr>
        <w:t>0.</w:t>
      </w:r>
      <w:r w:rsidR="00FB6380">
        <w:rPr>
          <w:vertAlign w:val="subscript"/>
        </w:rPr>
        <w:t>8</w:t>
      </w:r>
      <w:r w:rsidR="00FB6380">
        <w:t>La</w:t>
      </w:r>
      <w:r w:rsidR="00FB6380" w:rsidRPr="004A5E5F">
        <w:rPr>
          <w:vertAlign w:val="subscript"/>
        </w:rPr>
        <w:t>0.2</w:t>
      </w:r>
      <w:r w:rsidR="00FB6380">
        <w:t>WO</w:t>
      </w:r>
      <w:r w:rsidR="00FB6380" w:rsidRPr="00057994">
        <w:rPr>
          <w:vertAlign w:val="subscript"/>
        </w:rPr>
        <w:t>4+d</w:t>
      </w:r>
      <w:r w:rsidR="003037EB">
        <w:t xml:space="preserve">, comparable to that of the </w:t>
      </w:r>
      <w:r w:rsidR="005734B3" w:rsidRPr="00DF2B0D">
        <w:t>yttria stabilised zirconia</w:t>
      </w:r>
      <w:r w:rsidR="00547EBF">
        <w:t>, or YSZ,</w:t>
      </w:r>
      <w:r w:rsidR="003037EB">
        <w:t xml:space="preserve"> </w:t>
      </w:r>
      <w:r w:rsidR="003037EB">
        <w:rPr>
          <w:rFonts w:hint="eastAsia"/>
        </w:rPr>
        <w:t>b</w:t>
      </w:r>
      <w:r w:rsidR="003037EB">
        <w:t>enchmark</w:t>
      </w:r>
      <w:r w:rsidR="009B3587" w:rsidRPr="00DF2B0D">
        <w:fldChar w:fldCharType="begin" w:fldLock="1"/>
      </w:r>
      <w:r w:rsidR="00142EE0">
        <w:instrText>ADDIN CSL_CITATION {"citationItems":[{"id":"ITEM-1","itemData":{"DOI":"10.1016/S0167-2738(00)00377-5","ISBN":"0167-2738","ISSN":"01672738","abstract":"In a search for new high temperature ionic conductors, various substituted scheelite-type samples were prepared by the solid state reaction and their electrical conduction was investigated. Typical scheelite-type oxides designated as ABO4 (A = Ca, Sr, Ba; B = W, Mo) are generally classified into the oxysalts. However, some oxides having cations with almost the same electronegativities, such as Pb and W in PbWO4, can be regarded as double oxides with a deformed fluorite-type structure. Therefore, in order to create appropriate conductors in each oxide type, A2+B6+O4, alternative substitutions were tried: A1-xM+2xBO4 for the former and A1-xM3+xBO4+x/2 for the latter. As a result, new types of ionic conductors were found: lithium ion conductors and oxide ion conductors in scheelite-type solid solutions based on ABO4 (A = Ca, Sr, Ba; B = W, Mo) and PbWO4, respectively. Lithium ion conduction was confirmed visually by neutron radiography.","author":[{"dropping-particle":"","family":"Esaka","given":"Takao","non-dropping-particle":"","parse-names":false,"suffix":""}],"container-title":"Solid State Ionics","id":"ITEM-1","issue":"1-2","issued":{"date-parts":[["2000","11","2"]]},"page":"1-9","title":"Ionic conduction in substituted scheelite-type oxides","type":"article-journal","volume":"136-137"},"uris":["http://www.mendeley.com/documents/?uuid=2f172ad6-038c-4679-a995-4dddbfa10c8f"]},{"id":"ITEM-2","itemData":{"DOI":"10.1002/adma.200902692","ISBN":"0935-9648","ISSN":"09359648","PMID":"20496390","abstract":"Fast oxide ion conductivity is observed in a structurally complex material, CeNbO4+d, at remarkably low temperatures (see figure), indicating that a new approach to bulk ionic conductors may be required, opening a new research direction for future electrochemical devices such as solid oxide fuel cells.","author":[{"dropping-particle":"","family":"Packer","given":"R. J.","non-dropping-particle":"","parse-names":false,"suffix":""},{"dropping-particle":"","family":"Skinner","given":"S. J.","non-dropping-particle":"","parse-names":false,"suffix":""}],"container-title":"Advanced Materials","id":"ITEM-2","issue":"14","issued":{"date-parts":[["2010","4","12"]]},"page":"1613-1616","title":"Remarkable oxide ion conductivity observed at low temperatures in a complex superstructured oxide","type":"article-journal","volume":"22"},"uris":["http://www.mendeley.com/documents/?uuid=6f9f8b17-e2c5-4d91-8ac5-439ae180e9ff"]}],"mendeley":{"formattedCitation":"&lt;sup&gt;10,12&lt;/sup&gt;","plainTextFormattedCitation":"10,12","previouslyFormattedCitation":"&lt;sup&gt;10,12&lt;/sup&gt;"},"properties":{"noteIndex":0},"schema":"https://github.com/citation-style-language/schema/raw/master/csl-citation.json"}</w:instrText>
      </w:r>
      <w:r w:rsidR="009B3587" w:rsidRPr="00DF2B0D">
        <w:fldChar w:fldCharType="separate"/>
      </w:r>
      <w:r w:rsidR="00142EE0" w:rsidRPr="00142EE0">
        <w:rPr>
          <w:noProof/>
          <w:vertAlign w:val="superscript"/>
        </w:rPr>
        <w:t>10,12</w:t>
      </w:r>
      <w:r w:rsidR="009B3587" w:rsidRPr="00DF2B0D">
        <w:fldChar w:fldCharType="end"/>
      </w:r>
      <w:r w:rsidR="003037EB">
        <w:t>).</w:t>
      </w:r>
      <w:r w:rsidR="004F6C96" w:rsidRPr="00DF2B0D">
        <w:t xml:space="preserve"> </w:t>
      </w:r>
      <w:r w:rsidR="00CA2BC8">
        <w:t>One</w:t>
      </w:r>
      <w:r w:rsidR="00547EBF">
        <w:t xml:space="preserve"> member of the</w:t>
      </w:r>
      <w:r w:rsidR="000563D4" w:rsidRPr="00DF2B0D">
        <w:t xml:space="preserve"> fergusonite/scheelite family, the h</w:t>
      </w:r>
      <w:r w:rsidR="006A425F" w:rsidRPr="00DF2B0D">
        <w:t>yper</w:t>
      </w:r>
      <w:r w:rsidR="005D7928" w:rsidRPr="00DF2B0D">
        <w:t>-</w:t>
      </w:r>
      <w:r w:rsidR="006A425F" w:rsidRPr="00DF2B0D">
        <w:t>stoichiometric CeNbO</w:t>
      </w:r>
      <w:r w:rsidR="006A425F" w:rsidRPr="00DF2B0D">
        <w:rPr>
          <w:vertAlign w:val="subscript"/>
        </w:rPr>
        <w:t>4+d</w:t>
      </w:r>
      <w:r w:rsidR="006A425F" w:rsidRPr="005D7928">
        <w:t xml:space="preserve"> </w:t>
      </w:r>
      <w:r w:rsidR="006A425F" w:rsidRPr="00DF2B0D">
        <w:t xml:space="preserve">phases have </w:t>
      </w:r>
      <w:r w:rsidR="000563D4" w:rsidRPr="00DF2B0D">
        <w:t>shown</w:t>
      </w:r>
      <w:r w:rsidR="006A425F" w:rsidRPr="00DF2B0D">
        <w:t xml:space="preserve"> remarkable oxygen diffusivity</w:t>
      </w:r>
      <w:r w:rsidR="00B343DC" w:rsidRPr="00DF2B0D">
        <w:t xml:space="preserve">, </w:t>
      </w:r>
      <w:r w:rsidR="00B343DC" w:rsidRPr="00C06FEA">
        <w:rPr>
          <w:i/>
          <w:iCs/>
        </w:rPr>
        <w:t>D</w:t>
      </w:r>
      <w:r w:rsidR="00B343DC" w:rsidRPr="00C06FEA">
        <w:rPr>
          <w:i/>
          <w:iCs/>
          <w:vertAlign w:val="superscript"/>
        </w:rPr>
        <w:t>*</w:t>
      </w:r>
      <w:r w:rsidR="00B343DC" w:rsidRPr="00DF2B0D">
        <w:t>,</w:t>
      </w:r>
      <w:r w:rsidR="006A425F" w:rsidRPr="00DF2B0D">
        <w:t xml:space="preserve"> </w:t>
      </w:r>
      <w:r w:rsidR="000563D4" w:rsidRPr="00DF2B0D">
        <w:t>in the range of 10</w:t>
      </w:r>
      <w:r w:rsidR="000563D4" w:rsidRPr="00DF2B0D">
        <w:rPr>
          <w:vertAlign w:val="superscript"/>
        </w:rPr>
        <w:t>-6</w:t>
      </w:r>
      <w:r w:rsidR="000563D4" w:rsidRPr="00DF2B0D">
        <w:t xml:space="preserve"> cm</w:t>
      </w:r>
      <w:r w:rsidR="000563D4" w:rsidRPr="00DF2B0D">
        <w:rPr>
          <w:vertAlign w:val="superscript"/>
        </w:rPr>
        <w:t>2</w:t>
      </w:r>
      <w:r w:rsidR="0084641E" w:rsidRPr="00DF2B0D">
        <w:t xml:space="preserve"> </w:t>
      </w:r>
      <w:r w:rsidR="000563D4" w:rsidRPr="00DF2B0D">
        <w:t>s</w:t>
      </w:r>
      <w:r w:rsidR="000563D4" w:rsidRPr="00DF2B0D">
        <w:rPr>
          <w:vertAlign w:val="superscript"/>
        </w:rPr>
        <w:t>-1</w:t>
      </w:r>
      <w:r w:rsidR="006A425F" w:rsidRPr="00DF2B0D">
        <w:t xml:space="preserve"> </w:t>
      </w:r>
      <w:r w:rsidR="000563D4" w:rsidRPr="00DF2B0D">
        <w:t>below 800 °C, about an</w:t>
      </w:r>
      <w:r w:rsidR="006A425F" w:rsidRPr="00DF2B0D">
        <w:t xml:space="preserve"> order of magnitude higher than the </w:t>
      </w:r>
      <w:r w:rsidR="00B343DC" w:rsidRPr="00DF2B0D">
        <w:t>YSZ</w:t>
      </w:r>
      <w:r w:rsidR="007550C7">
        <w:t>.</w:t>
      </w:r>
      <w:r w:rsidR="009B3587" w:rsidRPr="00DF2B0D">
        <w:fldChar w:fldCharType="begin" w:fldLock="1"/>
      </w:r>
      <w:r w:rsidR="00142EE0">
        <w:instrText>ADDIN CSL_CITATION {"citationItems":[{"id":"ITEM-1","itemData":{"DOI":"10.1002/adma.200902692","ISBN":"0935-9648","ISSN":"09359648","PMID":"20496390","abstract":"Fast oxide ion conductivity is observed in a structurally complex material, CeNbO4+d, at remarkably low temperatures (see figure), indicating that a new approach to bulk ionic conductors may be required, opening a new research direction for future electrochemical devices such as solid oxide fuel cells.","author":[{"dropping-particle":"","family":"Packer","given":"R. J.","non-dropping-particle":"","parse-names":false,"suffix":""},{"dropping-particle":"","family":"Skinner","given":"S. J.","non-dropping-particle":"","parse-names":false,"suffix":""}],"container-title":"Advanced Materials","id":"ITEM-1","issue":"14","issued":{"date-parts":[["2010","4","12"]]},"page":"1613-1616","title":"Remarkable oxide ion conductivity observed at low temperatures in a complex superstructured oxide","type":"article-journal","volume":"22"},"uris":["http://www.mendeley.com/documents/?uuid=6f9f8b17-e2c5-4d91-8ac5-439ae180e9ff"]},{"id":"ITEM-2","itemData":{"DOI":"10.1016/j.ssi.2006.03.044","ISBN":"0167-2738","ISSN":"01672738","abstract":"The tracer diffusion coefficient (D*) and the surface exchange coefficient (k*) provide vital information for materials used in high temperature electrochemical devices (e.g. solid oxide fuel cells or oxygen permeation membranes). These values were established for the high temperature tetragonal scheelite structured CeNbO4+?? (monoclinic fergusonite at room temperature), which is of interest due to its wide range of oxygen stoichiometries varying from stoichiometric CeNbO4 to CeNbO4.33. Measurements of D* and k* were performed by the isotopic exchange/line scan technique with SIMS (secondary ion mass spectrometry) used to determine 18O stable isotope depth distribution. This process was carried out between temperatures of 1073??K and 1173??K at 500??mbar of 16O/18O. These measurements were then correlated with oxide ion conductivity data previously determined from four probe d.c. and e.m.f. measurements using the Nernst-Einstein relation. ?? 2006 Elsevier B.V. All rights reserved.","author":[{"dropping-particle":"","family":"Packer","given":"R. J.","non-dropping-particle":"","parse-names":false,"suffix":""},{"dropping-particle":"V.","family":"Tsipis","given":"E.","non-dropping-particle":"","parse-names":false,"suffix":""},{"dropping-particle":"","family":"Munnings","given":"C. N.","non-dropping-particle":"","parse-names":false,"suffix":""},{"dropping-particle":"V.","family":"Kharton","given":"V.","non-dropping-particle":"","parse-names":false,"suffix":""},{"dropping-particle":"","family":"Skinner","given":"S. J.","non-dropping-particle":"","parse-names":false,"suffix":""},{"dropping-particle":"","family":"Frade","given":"J. R.","non-dropping-particle":"","parse-names":false,"suffix":""}],"container-title":"Solid State Ionics","id":"ITEM-2","issue":"19-25","issued":{"date-parts":[["2006","10","15"]]},"page":"2059-2064","title":"Diffusion and conductivity properties of cerium niobate","type":"article-journal","volume":"177"},"uris":["http://www.mendeley.com/documents/?uuid=fe48bda6-2a9d-40e8-acef-62ab42b78679"]}],"mendeley":{"formattedCitation":"&lt;sup&gt;9,12&lt;/sup&gt;","plainTextFormattedCitation":"9,12","previouslyFormattedCitation":"&lt;sup&gt;9,12&lt;/sup&gt;"},"properties":{"noteIndex":0},"schema":"https://github.com/citation-style-language/schema/raw/master/csl-citation.json"}</w:instrText>
      </w:r>
      <w:r w:rsidR="009B3587" w:rsidRPr="00DF2B0D">
        <w:fldChar w:fldCharType="separate"/>
      </w:r>
      <w:r w:rsidR="00142EE0" w:rsidRPr="00142EE0">
        <w:rPr>
          <w:noProof/>
          <w:vertAlign w:val="superscript"/>
        </w:rPr>
        <w:t>9,12</w:t>
      </w:r>
      <w:r w:rsidR="009B3587" w:rsidRPr="00DF2B0D">
        <w:fldChar w:fldCharType="end"/>
      </w:r>
      <w:r w:rsidR="008B610D">
        <w:t xml:space="preserve">  I</w:t>
      </w:r>
      <w:r w:rsidR="00D64E04" w:rsidRPr="00DF2B0D">
        <w:t xml:space="preserve">nterestingly, a sharp drop in diffusivity was observed on transition from </w:t>
      </w:r>
      <w:r w:rsidR="00B343DC" w:rsidRPr="00DF2B0D">
        <w:t xml:space="preserve">the </w:t>
      </w:r>
      <w:r w:rsidR="00D64E04" w:rsidRPr="00DF2B0D">
        <w:t xml:space="preserve">low temperature monoclinic phase to </w:t>
      </w:r>
      <w:r w:rsidR="00B343DC" w:rsidRPr="00DF2B0D">
        <w:t xml:space="preserve">the </w:t>
      </w:r>
      <w:r w:rsidR="00D64E04" w:rsidRPr="00DF2B0D">
        <w:t>high temperature tetragonal phase</w:t>
      </w:r>
      <w:r w:rsidR="008C2F7B" w:rsidRPr="00DF2B0D">
        <w:rPr>
          <w:rFonts w:hint="eastAsia"/>
        </w:rPr>
        <w:t>,</w:t>
      </w:r>
      <w:r w:rsidR="008C2F7B" w:rsidRPr="00DF2B0D">
        <w:t xml:space="preserve"> highlighting the link between</w:t>
      </w:r>
      <w:r w:rsidR="00D64E04" w:rsidRPr="00DF2B0D">
        <w:t xml:space="preserve"> </w:t>
      </w:r>
      <w:r w:rsidR="008B610D">
        <w:t>the</w:t>
      </w:r>
      <w:r w:rsidR="008B610D" w:rsidRPr="00DF2B0D">
        <w:t xml:space="preserve"> </w:t>
      </w:r>
      <w:r w:rsidR="00A86BEA" w:rsidRPr="00DF2B0D">
        <w:t>unique</w:t>
      </w:r>
      <w:r w:rsidR="008C2F7B" w:rsidRPr="00DF2B0D">
        <w:t xml:space="preserve"> </w:t>
      </w:r>
      <w:r w:rsidR="008C2F7B" w:rsidRPr="00DF2B0D">
        <w:rPr>
          <w:rFonts w:hint="eastAsia"/>
        </w:rPr>
        <w:t>modulated</w:t>
      </w:r>
      <w:r w:rsidR="00A86BEA" w:rsidRPr="00DF2B0D">
        <w:t xml:space="preserve"> crystal structure</w:t>
      </w:r>
      <w:r w:rsidR="00D64E04" w:rsidRPr="00DF2B0D">
        <w:t xml:space="preserve"> </w:t>
      </w:r>
      <w:r w:rsidR="008C2F7B" w:rsidRPr="00DF2B0D">
        <w:t>and</w:t>
      </w:r>
      <w:r w:rsidR="0084641E" w:rsidRPr="00DF2B0D">
        <w:t xml:space="preserve"> </w:t>
      </w:r>
      <w:r w:rsidR="008B610D">
        <w:t>the</w:t>
      </w:r>
      <w:r w:rsidR="008B610D" w:rsidRPr="00DF2B0D">
        <w:t xml:space="preserve"> </w:t>
      </w:r>
      <w:r w:rsidR="0084641E" w:rsidRPr="00DF2B0D">
        <w:t>remarkable oxygen diffusivity</w:t>
      </w:r>
      <w:r w:rsidR="008B610D">
        <w:t xml:space="preserve"> </w:t>
      </w:r>
      <w:r w:rsidR="00227308">
        <w:t>in CeNbO</w:t>
      </w:r>
      <w:r w:rsidR="00227308">
        <w:rPr>
          <w:vertAlign w:val="subscript"/>
        </w:rPr>
        <w:t>4+d</w:t>
      </w:r>
      <w:r w:rsidR="008B610D">
        <w:t xml:space="preserve"> </w:t>
      </w:r>
      <w:r w:rsidR="00227308">
        <w:rPr>
          <w:rFonts w:hint="eastAsia"/>
        </w:rPr>
        <w:t>phases</w:t>
      </w:r>
      <w:r w:rsidR="008C2F7B" w:rsidRPr="00DF2B0D">
        <w:t xml:space="preserve">. </w:t>
      </w:r>
      <w:r w:rsidR="0084641E" w:rsidRPr="00DF2B0D">
        <w:t>Indeed, CeNbO</w:t>
      </w:r>
      <w:r w:rsidR="0084641E" w:rsidRPr="00DF2B0D">
        <w:rPr>
          <w:vertAlign w:val="subscript"/>
        </w:rPr>
        <w:t xml:space="preserve">4+d </w:t>
      </w:r>
      <w:r w:rsidR="0084641E" w:rsidRPr="00DF2B0D">
        <w:t xml:space="preserve">provides an interesting structural template, </w:t>
      </w:r>
      <w:r w:rsidR="003969FA">
        <w:t>in which the</w:t>
      </w:r>
      <w:r w:rsidR="008C2F7B" w:rsidRPr="00DF2B0D">
        <w:t xml:space="preserve"> </w:t>
      </w:r>
      <w:r w:rsidR="003969FA">
        <w:t xml:space="preserve">modulation induced polyhedron </w:t>
      </w:r>
      <w:r w:rsidR="00507827" w:rsidRPr="00DF2B0D">
        <w:t>distort</w:t>
      </w:r>
      <w:r w:rsidR="00507827">
        <w:t>ion</w:t>
      </w:r>
      <w:r w:rsidR="00507827" w:rsidRPr="00DF2B0D">
        <w:t xml:space="preserve"> </w:t>
      </w:r>
      <w:r w:rsidR="003969FA">
        <w:t>is correlated with</w:t>
      </w:r>
      <w:r w:rsidR="008C2F7B" w:rsidRPr="00DF2B0D">
        <w:t xml:space="preserve"> enhance</w:t>
      </w:r>
      <w:r w:rsidR="007D05A0" w:rsidRPr="00DF2B0D">
        <w:t>d</w:t>
      </w:r>
      <w:r w:rsidR="008C2F7B" w:rsidRPr="00DF2B0D">
        <w:t xml:space="preserve"> oxygen diffusivity</w:t>
      </w:r>
      <w:r w:rsidR="007550C7">
        <w:t>.</w:t>
      </w:r>
      <w:r w:rsidR="009B3587" w:rsidRPr="00DF2B0D">
        <w:fldChar w:fldCharType="begin" w:fldLock="1"/>
      </w:r>
      <w:r w:rsidR="00142EE0">
        <w:instrText xml:space="preserve">ADDIN CSL_CITATION {"citationItems":[{"id":"ITEM-1","itemData":{"DOI":"10.1021/jacs.5b11373","ISSN":"15205126","abstract":"CeNbO4.25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142EE0">
        <w:rPr>
          <w:rFonts w:ascii="Cambria Math" w:hAnsi="Cambria Math" w:cs="Cambria Math"/>
        </w:rPr>
        <w:instrText>∼</w:instrText>
      </w:r>
      <w:r w:rsidR="00142EE0">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Society","id":"ITEM-1","issue":"4","issued":{"date-parts":[["2016","1","25"]]},"page":"1273-1279","publisher":"American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mendeley":{"formattedCitation":"&lt;sup&gt;13&lt;/sup&gt;","plainTextFormattedCitation":"13","previouslyFormattedCitation":"&lt;sup&gt;13&lt;/sup&gt;"},"properties":{"noteIndex":0},"schema":"https://github.com/citation-style-language/schema/raw/master/csl-citation.json"}</w:instrText>
      </w:r>
      <w:r w:rsidR="009B3587" w:rsidRPr="00DF2B0D">
        <w:fldChar w:fldCharType="separate"/>
      </w:r>
      <w:r w:rsidR="00142EE0" w:rsidRPr="00142EE0">
        <w:rPr>
          <w:noProof/>
          <w:vertAlign w:val="superscript"/>
        </w:rPr>
        <w:t>13</w:t>
      </w:r>
      <w:r w:rsidR="009B3587" w:rsidRPr="00DF2B0D">
        <w:fldChar w:fldCharType="end"/>
      </w:r>
    </w:p>
    <w:p w14:paraId="4E28BE6C" w14:textId="01817687" w:rsidR="009B3587" w:rsidRPr="00DF2B0D" w:rsidRDefault="009B3587" w:rsidP="009B3587">
      <w:r w:rsidRPr="00DF2B0D">
        <w:rPr>
          <w:rFonts w:hint="eastAsia"/>
        </w:rPr>
        <w:t>W</w:t>
      </w:r>
      <w:r w:rsidRPr="00DF2B0D">
        <w:t xml:space="preserve">e have recently </w:t>
      </w:r>
      <w:r w:rsidRPr="00DF2B0D">
        <w:rPr>
          <w:lang w:val="en-US"/>
        </w:rPr>
        <w:t>develop</w:t>
      </w:r>
      <w:r w:rsidRPr="00DF2B0D">
        <w:t>ed materials based on the CeNbO</w:t>
      </w:r>
      <w:r w:rsidRPr="00DF2B0D">
        <w:rPr>
          <w:vertAlign w:val="subscript"/>
        </w:rPr>
        <w:t>4+d</w:t>
      </w:r>
      <w:r w:rsidRPr="00DF2B0D">
        <w:t xml:space="preserve"> structural template and reported the room temperature structure and transport properties of the hyper-stoichiometric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7550C7">
        <w:t>.</w:t>
      </w:r>
      <w:r>
        <w:fldChar w:fldCharType="begin" w:fldLock="1"/>
      </w:r>
      <w:r w:rsidR="00142EE0">
        <w:instrText>ADDIN CSL_CITATION {"citationItems":[{"id":"ITEM-1","itemData":{"DOI":"10.1039/C8DT03958E","abstract":"The crystal structure of a (3 + 2)D incommensurate modulated LaNb0.88W0.12O4.06 phase{,} a novel oxygen ionic conductor{,} is refined using a combination of synchrotron X-ray diffraction and electron diffraction data. The superspace group I2/c(α10γ1)00(α20γ2)00 (a = 5.4131(1) Å{,} b = 11.6432(2) Å{,} c = 5.2963(1) Å{,} β = 91.540(1)°{,} q1 = 0.2847(5)a* + 0.1098(9)c* and q2= −0.1266(9)a* + 0.2953(1)c*) was chosen for the refinement. Similar to other scheelite type modulated structures{,} the modulation of LaNb0.88W0.12O4.06 stems from the cation occupancy ordering in the xz plane. To facilitate the modulated cation sub-lattice{,} and to compensate for the difference in their size and charge{,} the B site polyhedra are distorted by stretching the B–O bond lengths. Consequently{,} an extension in the B site coordination number from 6 to 8 is observed in the modulated phase. An interconnected 3D network of BOx polyhedra{,} similar to that of modulated CeNbO4.25{,} is obtained as a result of the structure modulation{,} which is not available in the unmodulated parent structure. Tracer diffusivity measurements indicate that the composition is an oxygen ion conductor{,} which relies on an intersticalcy conduction mechanism. Oxygen tracer diffusivity of 2.46 × 10−9 cm2 s−1{,} at 750 °C is reported.","author":[{"dropping-particle":"","family":"Li","given":"Cheng","non-dropping-particle":"","parse-names":false,"suffix":""},{"dropping-particle":"","family":"Pramana","given":"Stevin S","non-dropping-particle":"","parse-names":false,"suffix":""},{"dropping-particle":"","family":"Skinner","given":"Stephen J","non-dropping-particle":"","parse-names":false,"suffix":""}],"container-title":"Dalton Trans.","id":"ITEM-1","issue":"5","issued":{"date-parts":[["2019"]]},"page":"1633-1646","publisher":"The Royal Society of Chemistry","title":"Room temperature structure and transport properties of the incommensurate modulated LaNb&lt;sub&gt;0.88 &lt;/sub&gt;W&lt;sub&gt;0.12&lt;/sub&gt;O&lt;sub&gt;4.06&lt;/sub&gt;","type":"article-journal","volume":"48"},"uris":["http://www.mendeley.com/documents/?uuid=ede54f79-ff84-4ea2-b730-4d973e4b86f5"]}],"mendeley":{"formattedCitation":"&lt;sup&gt;14&lt;/sup&gt;","plainTextFormattedCitation":"14","previouslyFormattedCitation":"&lt;sup&gt;14&lt;/sup&gt;"},"properties":{"noteIndex":0},"schema":"https://github.com/citation-style-language/schema/raw/master/csl-citation.json"}</w:instrText>
      </w:r>
      <w:r>
        <w:fldChar w:fldCharType="separate"/>
      </w:r>
      <w:r w:rsidR="00142EE0" w:rsidRPr="00142EE0">
        <w:rPr>
          <w:noProof/>
          <w:vertAlign w:val="superscript"/>
        </w:rPr>
        <w:t>14</w:t>
      </w:r>
      <w:r>
        <w:fldChar w:fldCharType="end"/>
      </w:r>
      <w:r w:rsidRPr="00DF2B0D">
        <w:t xml:space="preserve"> Its room temperature structure has distorted </w:t>
      </w:r>
      <w:r w:rsidR="00FD74ED">
        <w:t>B</w:t>
      </w:r>
      <w:r w:rsidR="008B610D">
        <w:t>O</w:t>
      </w:r>
      <w:r w:rsidR="00B44EEA" w:rsidRPr="00C06FEA">
        <w:rPr>
          <w:vertAlign w:val="subscript"/>
        </w:rPr>
        <w:t>x</w:t>
      </w:r>
      <w:r w:rsidR="008B610D">
        <w:t xml:space="preserve"> </w:t>
      </w:r>
      <w:r w:rsidR="00B44EEA">
        <w:t>(</w:t>
      </w:r>
      <w:r w:rsidR="00FD74ED">
        <w:t>B</w:t>
      </w:r>
      <w:r w:rsidR="00B44EEA">
        <w:t xml:space="preserve"> = Nb,W) </w:t>
      </w:r>
      <w:r w:rsidRPr="00DF2B0D">
        <w:t xml:space="preserve">polyhedra, a </w:t>
      </w:r>
      <w:r w:rsidRPr="00FD74ED">
        <w:t>result of the B site cation ordering, that facilitates the difference in the charge and size between</w:t>
      </w:r>
      <w:r w:rsidRPr="00DF2B0D">
        <w:t xml:space="preserve"> </w:t>
      </w:r>
      <w:r w:rsidR="00FD74ED">
        <w:t>W and Nb</w:t>
      </w:r>
      <w:r w:rsidRPr="00DF2B0D">
        <w:t xml:space="preserve">. The distorted polyhedra form interconnected slabs along the </w:t>
      </w:r>
      <w:r w:rsidRPr="00DF2B0D">
        <w:rPr>
          <w:i/>
        </w:rPr>
        <w:t xml:space="preserve">ac </w:t>
      </w:r>
      <w:r w:rsidRPr="00DF2B0D">
        <w:t>plane</w:t>
      </w:r>
      <w:r w:rsidR="007550C7">
        <w:t>,</w:t>
      </w:r>
      <w:r>
        <w:fldChar w:fldCharType="begin" w:fldLock="1"/>
      </w:r>
      <w:r w:rsidR="00142EE0">
        <w:instrText>ADDIN CSL_CITATION {"citationItems":[{"id":"ITEM-1","itemData":{"DOI":"10.1039/C8DT03958E","abstract":"The crystal structure of a (3 + 2)D incommensurate modulated LaNb0.88W0.12O4.06 phase{,} a novel oxygen ionic conductor{,} is refined using a combination of synchrotron X-ray diffraction and electron diffraction data. The superspace group I2/c(α10γ1)00(α20γ2)00 (a = 5.4131(1) Å{,} b = 11.6432(2) Å{,} c = 5.2963(1) Å{,} β = 91.540(1)°{,} q1 = 0.2847(5)a* + 0.1098(9)c* and q2= −0.1266(9)a* + 0.2953(1)c*) was chosen for the refinement. Similar to other scheelite type modulated structures{,} the modulation of LaNb0.88W0.12O4.06 stems from the cation occupancy ordering in the xz plane. To facilitate the modulated cation sub-lattice{,} and to compensate for the difference in their size and charge{,} the B site polyhedra are distorted by stretching the B–O bond lengths. Consequently{,} an extension in the B site coordination number from 6 to 8 is observed in the modulated phase. An interconnected 3D network of BOx polyhedra{,} similar to that of modulated CeNbO4.25{,} is obtained as a result of the structure modulation{,} which is not available in the unmodulated parent structure. Tracer diffusivity measurements indicate that the composition is an oxygen ion conductor{,} which relies on an intersticalcy conduction mechanism. Oxygen tracer diffusivity of 2.46 × 10−9 cm2 s−1{,} at 750 °C is reported.","author":[{"dropping-particle":"","family":"Li","given":"Cheng","non-dropping-particle":"","parse-names":false,"suffix":""},{"dropping-particle":"","family":"Pramana","given":"Stevin S","non-dropping-particle":"","parse-names":false,"suffix":""},{"dropping-particle":"","family":"Skinner","given":"Stephen J","non-dropping-particle":"","parse-names":false,"suffix":""}],"container-title":"Dalton Trans.","id":"ITEM-1","issue":"5","issued":{"date-parts":[["2019"]]},"page":"1633-1646","publisher":"The Royal Society of Chemistry","title":"Room temperature structure and transport properties of the incommensurate modulated LaNb&lt;sub&gt;0.88 &lt;/sub&gt;W&lt;sub&gt;0.12&lt;/sub&gt;O&lt;sub&gt;4.06&lt;/sub&gt;","type":"article-journal","volume":"48"},"uris":["http://www.mendeley.com/documents/?uuid=ede54f79-ff84-4ea2-b730-4d973e4b86f5"]}],"mendeley":{"formattedCitation":"&lt;sup&gt;14&lt;/sup&gt;","plainTextFormattedCitation":"14","previouslyFormattedCitation":"&lt;sup&gt;14&lt;/sup&gt;"},"properties":{"noteIndex":0},"schema":"https://github.com/citation-style-language/schema/raw/master/csl-citation.json"}</w:instrText>
      </w:r>
      <w:r>
        <w:fldChar w:fldCharType="separate"/>
      </w:r>
      <w:r w:rsidR="00142EE0" w:rsidRPr="00142EE0">
        <w:rPr>
          <w:noProof/>
          <w:vertAlign w:val="superscript"/>
        </w:rPr>
        <w:t>14</w:t>
      </w:r>
      <w:r>
        <w:fldChar w:fldCharType="end"/>
      </w:r>
      <w:r w:rsidRPr="00DF2B0D">
        <w:t xml:space="preserve"> </w:t>
      </w:r>
      <w:r w:rsidRPr="00DF2B0D">
        <w:rPr>
          <w:rFonts w:hint="eastAsia"/>
        </w:rPr>
        <w:t>while</w:t>
      </w:r>
      <w:r w:rsidRPr="00DF2B0D">
        <w:t xml:space="preserve"> the undoped LaNbO</w:t>
      </w:r>
      <w:r w:rsidRPr="00DF2B0D">
        <w:rPr>
          <w:vertAlign w:val="subscript"/>
        </w:rPr>
        <w:t>4</w:t>
      </w:r>
      <w:r w:rsidRPr="00DF2B0D">
        <w:t xml:space="preserve"> parent phase features isolated polyhedra</w:t>
      </w:r>
      <w:r w:rsidR="007550C7" w:rsidRPr="007550C7">
        <w:t>.</w:t>
      </w:r>
      <w:r w:rsidRPr="00DF2B0D">
        <w:rPr>
          <w:vertAlign w:val="subscript"/>
        </w:rPr>
        <w:fldChar w:fldCharType="begin" w:fldLock="1"/>
      </w:r>
      <w:r w:rsidR="00142EE0">
        <w:rPr>
          <w:vertAlign w:val="subscript"/>
        </w:rPr>
        <w:instrText xml:space="preserve">ADDIN CSL_CITATION {"citationItems":[{"id":"ITEM-1","itemData":{"DOI":"10.1021/jacs.5b11373","ISSN":"15205126","abstract":"CeNbO4.25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142EE0">
        <w:rPr>
          <w:rFonts w:ascii="Cambria Math" w:hAnsi="Cambria Math" w:cs="Cambria Math"/>
          <w:vertAlign w:val="subscript"/>
        </w:rPr>
        <w:instrText>∼</w:instrText>
      </w:r>
      <w:r w:rsidR="00142EE0">
        <w:rPr>
          <w:vertAlign w:val="subscript"/>
        </w:rPr>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Society","id":"ITEM-1","issue":"4","issued":{"date-parts":[["2016","1","25"]]},"page":"1273-1279","publisher":"American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mendeley":{"formattedCitation":"&lt;sup&gt;13&lt;/sup&gt;","plainTextFormattedCitation":"13","previouslyFormattedCitation":"&lt;sup&gt;13&lt;/sup&gt;"},"properties":{"noteIndex":0},"schema":"https://github.com/citation-style-language/schema/raw/master/csl-citation.json"}</w:instrText>
      </w:r>
      <w:r w:rsidRPr="00DF2B0D">
        <w:rPr>
          <w:vertAlign w:val="subscript"/>
        </w:rPr>
        <w:fldChar w:fldCharType="separate"/>
      </w:r>
      <w:r w:rsidR="00142EE0" w:rsidRPr="00142EE0">
        <w:rPr>
          <w:noProof/>
          <w:vertAlign w:val="superscript"/>
        </w:rPr>
        <w:t>13</w:t>
      </w:r>
      <w:r w:rsidRPr="00DF2B0D">
        <w:rPr>
          <w:vertAlign w:val="subscript"/>
        </w:rPr>
        <w:fldChar w:fldCharType="end"/>
      </w:r>
      <w:r w:rsidRPr="00DF2B0D">
        <w:t xml:space="preserve"> </w:t>
      </w:r>
    </w:p>
    <w:p w14:paraId="7BC73472" w14:textId="5F62A8EB" w:rsidR="009B3587" w:rsidRPr="00DF2B0D" w:rsidRDefault="00CA4238" w:rsidP="009B3587">
      <w:r w:rsidRPr="00CA4238">
        <w:t xml:space="preserve">Despite great interest in </w:t>
      </w:r>
      <w:r w:rsidR="006A0641">
        <w:t xml:space="preserve">the conductivity and the diffusion mechanism in </w:t>
      </w:r>
      <w:r w:rsidRPr="00057994">
        <w:rPr>
          <w:rFonts w:cs="Times New Roman"/>
        </w:rPr>
        <w:t>LaNb</w:t>
      </w:r>
      <w:r w:rsidRPr="00057994">
        <w:rPr>
          <w:rFonts w:cs="Times New Roman"/>
          <w:vertAlign w:val="subscript"/>
        </w:rPr>
        <w:t>1-x</w:t>
      </w:r>
      <w:r w:rsidRPr="00057994">
        <w:rPr>
          <w:rFonts w:cs="Times New Roman"/>
        </w:rPr>
        <w:t>W</w:t>
      </w:r>
      <w:r w:rsidRPr="00057994">
        <w:rPr>
          <w:rFonts w:cs="Times New Roman"/>
          <w:vertAlign w:val="subscript"/>
        </w:rPr>
        <w:t>x</w:t>
      </w:r>
      <w:r w:rsidRPr="00057994">
        <w:rPr>
          <w:rFonts w:cs="Times New Roman"/>
        </w:rPr>
        <w:t>O</w:t>
      </w:r>
      <w:r w:rsidRPr="00057994">
        <w:rPr>
          <w:rFonts w:cs="Times New Roman"/>
          <w:vertAlign w:val="subscript"/>
        </w:rPr>
        <w:t>4+x/2</w:t>
      </w:r>
      <w:r w:rsidRPr="00057994">
        <w:rPr>
          <w:rFonts w:cs="Times New Roman"/>
        </w:rPr>
        <w:t xml:space="preserve"> </w:t>
      </w:r>
      <w:r>
        <w:rPr>
          <w:rFonts w:cs="Times New Roman"/>
        </w:rPr>
        <w:t>and related compounds</w:t>
      </w:r>
      <w:r w:rsidR="007914AB">
        <w:rPr>
          <w:rFonts w:cs="Times New Roman"/>
        </w:rPr>
        <w:t>,</w:t>
      </w:r>
      <w:r w:rsidR="00D44479">
        <w:rPr>
          <w:rFonts w:cs="Times New Roman"/>
        </w:rPr>
        <w:fldChar w:fldCharType="begin" w:fldLock="1"/>
      </w:r>
      <w:r w:rsidR="000A4126">
        <w:rPr>
          <w:rFonts w:cs="Times New Roman"/>
        </w:rPr>
        <w:instrText xml:space="preserve">ADDIN CSL_CITATION {"citationItems":[{"id":"ITEM-1","itemData":{"DOI":"10.1016/j.ssi.2006.03.044","ISBN":"0167-2738","ISSN":"01672738","abstract":"The tracer diffusion coefficient (D*) and the surface exchange coefficient (k*) provide vital information for materials used in high temperature electrochemical devices (e.g. solid oxide fuel cells or oxygen permeation membranes). These values were established for the high temperature tetragonal scheelite structured CeNbO4+?? (monoclinic fergusonite at room temperature), which is of interest due to its wide range of oxygen stoichiometries varying from stoichiometric CeNbO4 to CeNbO4.33. Measurements of D* and k* were performed by the isotopic exchange/line scan technique with SIMS (secondary ion mass spectrometry) used to determine 18O stable isotope depth distribution. This process was carried out between temperatures of 1073??K and 1173??K at 500??mbar of 16O/18O. These measurements were then correlated with oxide ion conductivity data previously determined from four probe d.c. and e.m.f. measurements using the Nernst-Einstein relation. ?? 2006 Elsevier B.V. All rights reserved.","author":[{"dropping-particle":"","family":"Packer","given":"R. J.","non-dropping-particle":"","parse-names":false,"suffix":""},{"dropping-particle":"V.","family":"Tsipis","given":"E.","non-dropping-particle":"","parse-names":false,"suffix":""},{"dropping-particle":"","family":"Munnings","given":"C. N.","non-dropping-particle":"","parse-names":false,"suffix":""},{"dropping-particle":"V.","family":"Kharton","given":"V.","non-dropping-particle":"","parse-names":false,"suffix":""},{"dropping-particle":"","family":"Skinner","given":"S. J.","non-dropping-particle":"","parse-names":false,"suffix":""},{"dropping-particle":"","family":"Frade","given":"J. R.","non-dropping-particle":"","parse-names":false,"suffix":""}],"container-title":"Solid State Ionics","id":"ITEM-1","issue":"19-25","issued":{"date-parts":[["2006","10","15"]]},"page":"2059-2064","title":"Diffusion and conductivity properties of cerium niobate","type":"article-journal","volume":"177"},"uris":["http://www.mendeley.com/documents/?uuid=fe48bda6-2a9d-40e8-acef-62ab42b78679"]},{"id":"ITEM-2","itemData":{"DOI":"10.1016/S0167-2738(00)00377-5","ISBN":"0167-2738","ISSN":"01672738","abstract":"In a search for new high temperature ionic conductors, various substituted scheelite-type samples were prepared by the solid state reaction and their electrical conduction was investigated. Typical scheelite-type oxides designated as ABO4 (A = Ca, Sr, Ba; B = W, Mo) are generally classified into the oxysalts. However, some oxides having cations with almost the same electronegativities, such as Pb and W in PbWO4, can be regarded as double oxides with a deformed fluorite-type structure. Therefore, in order to create appropriate conductors in each oxide type, A2+B6+O4, alternative substitutions were tried: A1-xM+2xBO4 for the former and A1-xM3+xBO4+x/2 for the latter. As a result, new types of ionic conductors were found: lithium ion conductors and oxide ion conductors in scheelite-type solid solutions based on ABO4 (A = Ca, Sr, Ba; B = W, Mo) and PbWO4, respectively. Lithium ion conduction was confirmed visually by neutron radiography.","author":[{"dropping-particle":"","family":"Esaka","given":"Takao","non-dropping-particle":"","parse-names":false,"suffix":""}],"container-title":"Solid State Ionics","id":"ITEM-2","issue":"1-2","issued":{"date-parts":[["2000","11","2"]]},"page":"1-9","title":"Ionic conduction in substituted scheelite-type oxides","type":"article-journal","volume":"136-137"},"uris":["http://www.mendeley.com/documents/?uuid=2f172ad6-038c-4679-a995-4dddbfa10c8f"]},{"id":"ITEM-3","itemData":{"DOI":"10.1039/c6ta03403a","ISBN":"9788578110796","ISSN":"20507496","PMID":"25246403","abstract":"The studies of mixed ionic–electronic conductivity and oxide ion diffusivity in a novel proton conductor, La 1−y Ca y Nb 1−x Sb x O 4−δ .","author":[{"dropping-particle":"","family":"Wachowski","given":"Sebastian","non-dropping-particle":"","parse-names":false,"suffix":""},{"dropping-particle":"","family":"Mielewczyk-Gryń","given":"Aleksandra","non-dropping-particle":"","parse-names":false,"suffix":""},{"dropping-particle":"","family":"Zagórski","given":"Krzysztof","non-dropping-particle":"","parse-names":false,"suffix":""},{"dropping-particle":"","family":"Li","given":"Cheng","non-dropping-particle":"","parse-names":false,"suffix":""},{"dropping-particle":"","family":"Jasiński","given":"Piotr","non-dropping-particle":"","parse-names":false,"suffix":""},{"dropping-particle":"","family":"Skinner","given":"Stephen J.","non-dropping-particle":"","parse-names":false,"suffix":""},{"dropping-particle":"","family":"Haugsrud","given":"Reidar","non-dropping-particle":"","parse-names":false,"suffix":""},{"dropping-particle":"","family":"Gazda","given":"Maria","non-dropping-particle":"","parse-names":false,"suffix":""}],"container-title":"Journal of Materials Chemistry A","id":"ITEM-3","issue":"30","issued":{"date-parts":[["2016"]]},"page":"11696-11707","title":"Influence of Sb-substitution on ionic transport in lanthanum orthoniobates","type":"article-journal","volume":"4"},"uris":["http://www.mendeley.com/documents/?uuid=c3570794-e243-4b0b-b8aa-4c3546d65a4c"]},{"id":"ITEM-4","itemData":{"DOI":"10.1039/C8DT03958E","abstract":"The crystal structure of a (3 + 2)D incommensurate modulated LaNb0.88W0.12O4.06 phase{,} a novel oxygen ionic conductor{,} is refined using a combination of synchrotron X-ray diffraction and electron diffraction data. The superspace group I2/c(α10γ1)00(α20γ2)00 (a = 5.4131(1) Å{,} b = 11.6432(2) Å{,} c = 5.2963(1) Å{,} β = 91.540(1)°{,} q1 = 0.2847(5)a* + 0.1098(9)c* and q2= −0.1266(9)a* + 0.2953(1)c*) was chosen for the refinement. Similar to other scheelite type modulated structures{,} the modulation of LaNb0.88W0.12O4.06 stems from the cation occupancy ordering in the xz plane. To facilitate the modulated cation sub-lattice{,} and to compensate for the difference in their size and charge{,} the B site polyhedra are distorted by stretching the B–O bond lengths. Consequently{,} an extension in the B site coordination number from 6 to 8 is observed in the modulated phase. An interconnected 3D network of BOx polyhedra{,} similar to that of modulated CeNbO4.25{,} is obtained as a result of the structure modulation{,} which is not available in the unmodulated parent structure. Tracer diffusivity measurements indicate that the composition is an oxygen ion conductor{,} which relies on an intersticalcy conduction mechanism. Oxygen tracer diffusivity of 2.46 × 10−9 cm2 s−1{,} at 750 °C is reported.","author":[{"dropping-particle":"","family":"Li","given":"Cheng","non-dropping-particle":"","parse-names":false,"suffix":""},{"dropping-particle":"","family":"Pramana","given":"Stevin S","non-dropping-particle":"","parse-names":false,"suffix":""},{"dropping-particle":"","family":"Skinner","given":"Stephen J","non-dropping-particle":"","parse-names":false,"suffix":""}],"container-title":"Dalton Trans.","id":"ITEM-4","issue":"5","issued":{"date-parts":[["2019"]]},"page":"1633-1646","publisher":"The Royal Society of Chemistry","title":"Room temperature structure and transport properties of the incommensurate modulated LaNb&lt;sub&gt;0.88 &lt;/sub&gt;W&lt;sub&gt;0.12&lt;/sub&gt;O&lt;sub&gt;4.06&lt;/sub&gt;","type":"article-journal","volume":"48"},"uris":["http://www.mendeley.com/documents/?uuid=ede54f79-ff84-4ea2-b730-4d973e4b86f5"]},{"id":"ITEM-5","itemData":{"DOI":"10.1039/c5ta06575e","ISBN":"2050-7488","ISSN":"2050-7488","abstract":"W-doped LnNbO(4+d) compounds (Ln = La, Nd) have been recently proposed as novel interstitial-based oxide ion conductors. In this study, a powerful combination of neutron diffraction, ab initio calculations and classical molecular dynamic simulations is used in a complementary way to investigate the high temperature behavior of this system, identify possible oxygen interstitial positions and investigate the mechanism of oxygen diffusion at a high temperature. The results indicate that both systems (LaNb0.84W0.16O4.08; NdNb0.84W0.16O4.08) undergo a phase transition from a monoclinic to a tetragonal phase as a function of temperature. In the scheelite phase more than one interstitial site is potentially accessible based on the calculated energy differences. The accessibility of such interstitial positions poses the basis for an efficient oxygen diffusion migration that is predicted to be roughly isotropic and based on a knock-on mechanism.","author":[{"dropping-particle":"","family":"Ferrara","given":"Chiara","non-dropping-particle":"","parse-names":false,"suffix":""},{"dropping-particle":"","family":"Mancini","given":"Alessandro","non-dropping-particle":"","parse-names":false,"suffix":""},{"dropping-particle":"","family":"Ritter","given":"Clemens","non-dropping-particle":"","parse-names":false,"suffix":""},{"dropping-particle":"","family":"Malavasi","given":"Lorenzo","non-dropping-particle":"","parse-names":false,"suffix":""},{"dropping-particle":"","family":"Tealdi","given":"Cristina","non-dropping-particle":"","parse-names":false,"suffix":""}],"container-title":"Journal of Materials Chemistry A","id":"ITEM-5","issue":"44","issued":{"date-parts":[["2015"]]},"page":"22258-22265","publisher":"Royal Society of Chemistry","title":"Interstitial oxide ion migration in scheelite-type electrolytes: a combined neutron diffraction and computational study","type":"article-journal","volume":"3"},"uris":["http://www.mendeley.com/documents/?uuid=e2687a14-2729-494b-950a-59412db76d03"]},{"id":"ITEM-6","itemData":{"DOI":"10.1016/j.ssi.2013.11.039","ISSN":"01672738","abstract":"LaNb0.84W0.16O4.08 has been successfully synthesized and proposed as an electrolyte for high temperature fuel cell and electrolysis applications due to its remarkable ionic conductivity. A single electrolyte-supported cell using standard electrodes has been fabricated and tested in both modes of operation, and it has been demonstrated that this material could compete with that of standard zirconia electrolytes, especially in the high temperature (HT) range. The measured current density of a non-optimized cell (~ 360 μm of electrolyte thickness) at 950 °C at 0.5 V (fuel cell mode) and 1.3 V (electrolysis mode) using 50%H2O-50% H2 as the fuel was about - 200 mA cm- 2 and about 250 mA cm- 2, respectively. The reason for the better performance in electrolysis mode is probably associated with the inherent oxygen excess of the LaNb0.84W0.16O4.08 phase. © 2013 Elsevier B.V.","author":[{"dropping-particle":"","family":"Laguna-Bercero","given":"Miguel A.","non-dropping-particle":"","parse-names":false,"suffix":""},{"dropping-particle":"","family":"Bayliss","given":"Ryan D.","non-dropping-particle":"","parse-names":false,"suffix":""},{"dropping-particle":"","family":"Skinner","given":"Stephen J.","non-dropping-particle":"","parse-names":false,"suffix":""}],"container-title":"Solid State Ionics","id":"ITEM-6","issued":{"date-parts":[["2014","9"]]},"note":"From Duplicate 1 (LaNb0.84W0.16O4.08 as a novel electrolyte for high temperature fuel cell and solid oxide electrolysis applications - Laguna-Bercero, Miguel A; Bayliss, Ryan D; Skinner, Stephen J)\n\nSolid State Ionics 19 Proceedings of the 19th International Conference on Solid State Ionics\n\nFrom Duplicate 2 (LaNb0.84W0.16O4.08 as a novel electrolyte for high temperature fuel cell and solid oxide electrolysis applications - Laguna-Bercero, Miguel A.; Bayliss, Ryan D.; Skinner, Stephen J.)\n\nFrom Duplicate 1 (LaNb0.84W0.16O4.08 as a novel electrolyte for high temperature fuel cell and solid oxide electrolysis applications - Laguna-Bercero, Miguel A; Bayliss, Ryan D; Skinner, Stephen J)\n\nSolid State Ionics 19 Proceedings of the 19th International Conference on Solid State Ionics\n\nFrom Duplicate 2 (LaNb0.84W0.16O4.08 as a novel electrolyte for high temperature fuel cell and solid oxide electrolysis applications - Laguna-Bercero, Miguel a.; Bayliss, Ryan D.; Skinner, Stephen J.)\n\nFrom Duplicate 2 (LaNb0.84W0.16O4.08 as a novel electrolyte for high temperature fuel cell and solid oxide electrolysis applications - Laguna-Bercero, Miguel A; Bayliss, Ryan D; Skinner, Stephen J)\n\nSolid State Ionics 19 Proceedings of the 19th International Conference on Solid State Ionics","page":"298-302","publisher":"Elsevier B.V.","title":"LaNb&lt;sub&gt;0.84&lt;/sub&gt;W&lt;sub&gt;0.16&lt;/sub&gt;O&lt;sub&gt;4.08&lt;/sub&gt; as a novel electrolyte for high temperature fuel cell and solid oxide electrolysis applications","type":"article-journal","volume":"262"},"uris":["http://www.mendeley.com/documents/?uuid=b3ffdb11-0b99-4e10-8aa2-254c187e86f1"]},{"id":"ITEM-7","itemData":{"DOI":"10.1038/s41467-018-06911-w","ISSN":"20411723","abstract":"Tetrahedral units can transport oxide anions via interstitial or vacancy defects owing to their great deformation and rotation flexibility. Compared with interstitial defects, vacancy-mediated oxide-ion conduction in tetrahedra-based structures is more difficult and occurs rarely. The isolated tetrahedral anion Scheelite structure has showed the advantage of conducting oxygen interstitials but oxygen vacancies can hardly be introduced into Scheelite to promote the oxide ion migration. Here we demonstrate that oxygen vacancies can be stabilized in the BiVO4 Scheelite structure through Sr2+ for Bi3+ substitution, leading to corner-sharing V2O7 tetrahedral dimers, and migrate via a cooperative mechanism involving V2O7-dimer breaking and reforming assisted by synergic rotation and deformation of neighboring VO4 tetrahedra. This finding reveals the ability of Scheelite structure to transport oxide ion through vacancies or interstitials, emphasizing the possibility to develop oxide-ion conductors with parallel vacancy and interstitial doping strategies within the same tetrahedra-based structure type.","author":[{"dropping-particle":"","family":"Yang","given":"Xiaoyan","non-dropping-particle":"","parse-names":false,"suffix":""},{"dropping-particle":"","family":"Fernández-Carrión","given":"Alberto J.","non-dropping-particle":"","parse-names":false,"suffix":""},{"dropping-particle":"","family":"Wang","given":"Jiehua","non-dropping-particle":"","parse-names":false,"suffix":""},{"dropping-particle":"","family":"Porcher","given":"Florence","non-dropping-particle":"","parse-names":false,"suffix":""},{"dropping-particle":"","family":"Fayon","given":"Franck","non-dropping-particle":"","parse-names":false,"suffix":""},{"dropping-particle":"","family":"Allix","given":"Mathieu","non-dropping-particle":"","parse-names":false,"suffix":""},{"dropping-particle":"","family":"Kuang","given":"Xiaojun","non-dropping-particle":"","parse-names":false,"suffix":""}],"container-title":"Nature Communications","id":"ITEM-7","issued":{"date-parts":[["2018"]]},"page":"4484","title":"Cooperative mechanisms of oxygen vacancy stabilization and migration in the isolated tetrahedral anion Scheelite structure","type":"article-journal","volume":"9"},"uris":["http://www.mendeley.com/documents/?uuid=1227d9d5-39fd-4b6e-bbd0-c7e79568c1d0"]},{"id":"ITEM-8","itemData":{"DOI":"10.1021/jacs.5b11373","ISSN":"15205126","abstract":"CeNbO4.25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0A4126">
        <w:rPr>
          <w:rFonts w:ascii="Cambria Math" w:hAnsi="Cambria Math" w:cs="Cambria Math"/>
        </w:rPr>
        <w:instrText>∼</w:instrText>
      </w:r>
      <w:r w:rsidR="000A4126">
        <w:rPr>
          <w:rFonts w:cs="Times New Roman"/>
        </w:rPr>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Society","id":"ITEM-8","issue":"4","issued":{"date-parts":[["2016","1","25"]]},"page":"1273-1279","publisher":"American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id":"ITEM-9","itemData":{"DOI":"10.1002/adma.200902692","ISBN":"0935-9648","ISSN":"09359648","PMID":"20496390","abstract":"Fast oxide ion conductivity is observed in a structurally complex material, CeNbO4+d, at remarkably low temperatures (see figure), indicating that a new approach to bulk ionic conductors may be required, opening a new research direction for future electrochemical devices such as solid oxide fuel cells.","author":[{"dropping-particle":"","family":"Packer","given":"R. J.","non-dropping-particle":"","parse-names":false,"suffix":""},{"dropping-particle":"","family":"Skinner","given":"S. J.","non-dropping-particle":"","parse-names":false,"suffix":""}],"container-title":"Advanced Materials","id":"ITEM-9","issue":"14","issued":{"date-parts":[["2010","4","12"]]},"page":"1613-1616","title":"Remarkable oxide ion conductivity observed at low temperatures in a complex superstructured oxide","type":"article-journal","volume":"22"},"uris":["http://www.mendeley.com/documents/?uuid=6f9f8b17-e2c5-4d91-8ac5-439ae180e9ff"]},{"id":"ITEM-10","itemData":{"DOI":"10.1016/j.ssi.2013.12.023","ISSN":"01672738","abstract":"Single phase LnNbO4 and LnNb0.92 W 0.08O4.04 (Ln = La, Pr and Nd) were prepared via solid state reaction. The crystal structure of the materials has been investigated by X-ray diffraction and Rietveld refinement. PrNb0.92 W 0.08O4.04 and NdNb0.92 W0.08O 4.04 were found to have the same crystal structure as the parent phases whereas LaNb0.92 W0.08O4.04 has a modulated structure. Electrical conductivity was studied by AC impedance spectroscopy. Substantial improvements in total conductivity were achieved by W doping on the B-site, with LaNb0.92 W0.08O4.04 having the highest overall conductivity of 3.0 ?? 10- 3 Scm - 1 at 800 ??C. ?? 2013 Elsevier B.V.","author":[{"dropping-particle":"","family":"Li","given":"Cheng","non-dropping-particle":"","parse-names":false,"suffix":""},{"dropping-particle":"","family":"Bayliss","given":"Ryan D.","non-dropping-particle":"","parse-names":false,"suffix":""},{"dropping-particle":"","family":"Skinner","given":"Stephen J.","non-dropping-particle":"","parse-names":false,"suffix":""}],"container-title":"Solid State Ionics","id":"ITEM-10","issued":{"date-parts":[["2014","9"]]},"page":"530-535","title":"Crystal structure and potential interstitial oxide ion conductivity of LnNbO&lt;sub&gt;4&lt;/sub&gt; and LnNb&lt;sub&gt;0.92&lt;/sub&gt;W&lt;sub&gt;0.08&lt;/sub&gt;O&lt;sub&gt;4.04&lt;/sub&gt; (Ln = La, Pr, Nd)","type":"article-journal","volume":"262"},"uris":["http://www.mendeley.com/documents/?uuid=b75dec79-2634-46d9-8f6a-fe30e4db6c99"]}],"mendeley":{"formattedCitation":"&lt;sup&gt;9–18&lt;/sup&gt;","plainTextFormattedCitation":"9–18","previouslyFormattedCitation":"&lt;sup&gt;9–17&lt;/sup&gt;"},"properties":{"noteIndex":0},"schema":"https://github.com/citation-style-language/schema/raw/master/csl-citation.json"}</w:instrText>
      </w:r>
      <w:r w:rsidR="00D44479">
        <w:rPr>
          <w:rFonts w:cs="Times New Roman"/>
        </w:rPr>
        <w:fldChar w:fldCharType="separate"/>
      </w:r>
      <w:r w:rsidR="000A4126" w:rsidRPr="000A4126">
        <w:rPr>
          <w:rFonts w:cs="Times New Roman"/>
          <w:noProof/>
          <w:vertAlign w:val="superscript"/>
        </w:rPr>
        <w:t>9–18</w:t>
      </w:r>
      <w:r w:rsidR="00D44479">
        <w:rPr>
          <w:rFonts w:cs="Times New Roman"/>
        </w:rPr>
        <w:fldChar w:fldCharType="end"/>
      </w:r>
      <w:r w:rsidRPr="00CA4238">
        <w:t xml:space="preserve"> </w:t>
      </w:r>
      <w:r>
        <w:t>the</w:t>
      </w:r>
      <w:r w:rsidR="00285088">
        <w:t>ir</w:t>
      </w:r>
      <w:r>
        <w:t xml:space="preserve"> high temperature structure</w:t>
      </w:r>
      <w:r w:rsidR="006A0641">
        <w:t>s</w:t>
      </w:r>
      <w:r>
        <w:t xml:space="preserve"> </w:t>
      </w:r>
      <w:r w:rsidRPr="00CA4238">
        <w:t>ha</w:t>
      </w:r>
      <w:r w:rsidR="006A0641">
        <w:t>ve</w:t>
      </w:r>
      <w:r w:rsidRPr="00CA4238">
        <w:t xml:space="preserve"> been scarcely investigated</w:t>
      </w:r>
      <w:r w:rsidR="004A7C57">
        <w:t xml:space="preserve">. </w:t>
      </w:r>
      <w:r w:rsidR="003828CC">
        <w:t>T</w:t>
      </w:r>
      <w:r w:rsidR="009B3587" w:rsidRPr="00DF2B0D">
        <w:t xml:space="preserve">he interplay between phase transition, crystal structure and the ionic </w:t>
      </w:r>
      <w:r w:rsidR="000907AD">
        <w:t xml:space="preserve">conductivity </w:t>
      </w:r>
      <w:r w:rsidR="009B3587" w:rsidRPr="00DF2B0D">
        <w:t xml:space="preserve">in </w:t>
      </w:r>
      <w:r w:rsidR="000907AD" w:rsidRPr="002C5610">
        <w:rPr>
          <w:rFonts w:cs="Times New Roman"/>
          <w:bCs/>
        </w:rPr>
        <w:lastRenderedPageBreak/>
        <w:t>LaNb</w:t>
      </w:r>
      <w:r w:rsidR="000907AD" w:rsidRPr="002C5610">
        <w:rPr>
          <w:rFonts w:cs="Times New Roman"/>
          <w:bCs/>
          <w:vertAlign w:val="subscript"/>
        </w:rPr>
        <w:t>1</w:t>
      </w:r>
      <w:r w:rsidR="003828CC">
        <w:rPr>
          <w:rFonts w:cs="Times New Roman"/>
          <w:bCs/>
          <w:vertAlign w:val="subscript"/>
        </w:rPr>
        <w:noBreakHyphen/>
      </w:r>
      <w:r w:rsidR="000907AD" w:rsidRPr="002C5610">
        <w:rPr>
          <w:rFonts w:cs="Times New Roman"/>
          <w:bCs/>
          <w:vertAlign w:val="subscript"/>
        </w:rPr>
        <w:t>x</w:t>
      </w:r>
      <w:r w:rsidR="000907AD" w:rsidRPr="002C5610">
        <w:rPr>
          <w:rFonts w:cs="Times New Roman"/>
          <w:bCs/>
        </w:rPr>
        <w:t>W</w:t>
      </w:r>
      <w:r w:rsidR="000907AD" w:rsidRPr="002C5610">
        <w:rPr>
          <w:rFonts w:cs="Times New Roman"/>
          <w:bCs/>
          <w:vertAlign w:val="subscript"/>
        </w:rPr>
        <w:t>x</w:t>
      </w:r>
      <w:r w:rsidR="000907AD" w:rsidRPr="002C5610">
        <w:rPr>
          <w:rFonts w:cs="Times New Roman"/>
          <w:bCs/>
        </w:rPr>
        <w:t>O</w:t>
      </w:r>
      <w:r w:rsidR="000907AD" w:rsidRPr="002C5610">
        <w:rPr>
          <w:rFonts w:cs="Times New Roman"/>
          <w:bCs/>
          <w:vertAlign w:val="subscript"/>
        </w:rPr>
        <w:t>4+</w:t>
      </w:r>
      <w:r w:rsidR="000907AD">
        <w:rPr>
          <w:rFonts w:cs="Times New Roman"/>
          <w:bCs/>
          <w:vertAlign w:val="subscript"/>
        </w:rPr>
        <w:t>x/2</w:t>
      </w:r>
      <w:r w:rsidR="000907AD">
        <w:t xml:space="preserve"> </w:t>
      </w:r>
      <w:r w:rsidR="009B3587" w:rsidRPr="00DF2B0D">
        <w:t>has not been established</w:t>
      </w:r>
      <w:r w:rsidR="003828CC">
        <w:t>, which is crucial in realizing the potential of the interstitial containing structural template.</w:t>
      </w:r>
      <w:r w:rsidR="003828CC" w:rsidRPr="00DF2B0D">
        <w:t xml:space="preserve"> </w:t>
      </w:r>
      <w:r w:rsidR="009B3587" w:rsidRPr="00DF2B0D">
        <w:t xml:space="preserve">The discrepancy is likely due to the complex modulated structure, </w:t>
      </w:r>
      <w:r w:rsidR="009B3587" w:rsidRPr="00DF2B0D">
        <w:rPr>
          <w:rFonts w:hint="eastAsia"/>
        </w:rPr>
        <w:t>and</w:t>
      </w:r>
      <w:r w:rsidR="009B3587" w:rsidRPr="00DF2B0D">
        <w:t xml:space="preserve"> literature reports often treated the high temperature structure as an unmodulated structure</w:t>
      </w:r>
      <w:r w:rsidR="00A72DA0">
        <w:t>,</w:t>
      </w:r>
      <w:r w:rsidR="009B3587" w:rsidRPr="00DF2B0D">
        <w:fldChar w:fldCharType="begin" w:fldLock="1"/>
      </w:r>
      <w:r w:rsidR="00142EE0">
        <w:instrText>ADDIN CSL_CITATION {"citationItems":[{"id":"ITEM-1","itemData":{"DOI":"10.1039/c5ta06575e","ISBN":"2050-7488","ISSN":"2050-7488","abstract":"W-doped LnNbO(4+d) compounds (Ln = La, Nd) have been recently proposed as novel interstitial-based oxide ion conductors. In this study, a powerful combination of neutron diffraction, ab initio calculations and classical molecular dynamic simulations is used in a complementary way to investigate the high temperature behavior of this system, identify possible oxygen interstitial positions and investigate the mechanism of oxygen diffusion at a high temperature. The results indicate that both systems (LaNb0.84W0.16O4.08; NdNb0.84W0.16O4.08) undergo a phase transition from a monoclinic to a tetragonal phase as a function of temperature. In the scheelite phase more than one interstitial site is potentially accessible based on the calculated energy differences. The accessibility of such interstitial positions poses the basis for an efficient oxygen diffusion migration that is predicted to be roughly isotropic and based on a knock-on mechanism.","author":[{"dropping-particle":"","family":"Ferrara","given":"Chiara","non-dropping-particle":"","parse-names":false,"suffix":""},{"dropping-particle":"","family":"Mancini","given":"Alessandro","non-dropping-particle":"","parse-names":false,"suffix":""},{"dropping-particle":"","family":"Ritter","given":"Clemens","non-dropping-particle":"","parse-names":false,"suffix":""},{"dropping-particle":"","family":"Malavasi","given":"Lorenzo","non-dropping-particle":"","parse-names":false,"suffix":""},{"dropping-particle":"","family":"Tealdi","given":"Cristina","non-dropping-particle":"","parse-names":false,"suffix":""}],"container-title":"Journal of Materials Chemistry A","id":"ITEM-1","issue":"44","issued":{"date-parts":[["2015"]]},"page":"22258-22265","publisher":"Royal Society of Chemistry","title":"Interstitial oxide ion migration in scheelite-type electrolytes: a combined neutron diffraction and computational study","type":"article-journal","volume":"3"},"uris":["http://www.mendeley.com/documents/?uuid=e2687a14-2729-494b-950a-59412db76d03"]},{"id":"ITEM-2","itemData":{"DOI":"10.1016/j.ssi.2013.11.039","ISSN":"01672738","abstract":"LaNb0.84W0.16O4.08 has been successfully synthesized and proposed as an electrolyte for high temperature fuel cell and electrolysis applications due to its remarkable ionic conductivity. A single electrolyte-supported cell using standard electrodes has been fabricated and tested in both modes of operation, and it has been demonstrated that this material could compete with that of standard zirconia electrolytes, especially in the high temperature (HT) range. The measured current density of a non-optimized cell (~ 360 μm of electrolyte thickness) at 950 °C at 0.5 V (fuel cell mode) and 1.3 V (electrolysis mode) using 50%H2O-50% H2 as the fuel was about - 200 mA cm- 2 and about 250 mA cm- 2, respectively. The reason for the better performance in electrolysis mode is probably associated with the inherent oxygen excess of the LaNb0.84W0.16O4.08 phase. © 2013 Elsevier B.V.","author":[{"dropping-particle":"","family":"Laguna-Bercero","given":"Miguel A.","non-dropping-particle":"","parse-names":false,"suffix":""},{"dropping-particle":"","family":"Bayliss","given":"Ryan D.","non-dropping-particle":"","parse-names":false,"suffix":""},{"dropping-particle":"","family":"Skinner","given":"Stephen J.","non-dropping-particle":"","parse-names":false,"suffix":""}],"container-title":"Solid State Ionics","id":"ITEM-2","issued":{"date-parts":[["2014","9"]]},"note":"From Duplicate 1 (LaNb0.84W0.16O4.08 as a novel electrolyte for high temperature fuel cell and solid oxide electrolysis applications - Laguna-Bercero, Miguel A; Bayliss, Ryan D; Skinner, Stephen J)\n\nSolid State Ionics 19 Proceedings of the 19th International Conference on Solid State Ionics\n\nFrom Duplicate 2 (LaNb0.84W0.16O4.08 as a novel electrolyte for high temperature fuel cell and solid oxide electrolysis applications - Laguna-Bercero, Miguel A.; Bayliss, Ryan D.; Skinner, Stephen J.)\n\nFrom Duplicate 1 (LaNb0.84W0.16O4.08 as a novel electrolyte for high temperature fuel cell and solid oxide electrolysis applications - Laguna-Bercero, Miguel A; Bayliss, Ryan D; Skinner, Stephen J)\n\nSolid State Ionics 19 Proceedings of the 19th International Conference on Solid State Ionics\n\nFrom Duplicate 2 (LaNb0.84W0.16O4.08 as a novel electrolyte for high temperature fuel cell and solid oxide electrolysis applications - Laguna-Bercero, Miguel a.; Bayliss, Ryan D.; Skinner, Stephen J.)\n\nFrom Duplicate 2 (LaNb0.84W0.16O4.08 as a novel electrolyte for high temperature fuel cell and solid oxide electrolysis applications - Laguna-Bercero, Miguel A; Bayliss, Ryan D; Skinner, Stephen J)\n\nSolid State Ionics 19 Proceedings of the 19th International Conference on Solid State Ionics","page":"298-302","publisher":"Elsevier B.V.","title":"LaNb&lt;sub&gt;0.84&lt;/sub&gt;W&lt;sub&gt;0.16&lt;/sub&gt;O&lt;sub&gt;4.08&lt;/sub&gt; as a novel electrolyte for high temperature fuel cell and solid oxide electrolysis applications","type":"article-journal","volume":"262"},"uris":["http://www.mendeley.com/documents/?uuid=b3ffdb11-0b99-4e10-8aa2-254c187e86f1"]}],"mendeley":{"formattedCitation":"&lt;sup&gt;15,16&lt;/sup&gt;","plainTextFormattedCitation":"15,16","previouslyFormattedCitation":"&lt;sup&gt;15,16&lt;/sup&gt;"},"properties":{"noteIndex":0},"schema":"https://github.com/citation-style-language/schema/raw/master/csl-citation.json"}</w:instrText>
      </w:r>
      <w:r w:rsidR="009B3587" w:rsidRPr="00DF2B0D">
        <w:fldChar w:fldCharType="separate"/>
      </w:r>
      <w:r w:rsidR="00142EE0" w:rsidRPr="00142EE0">
        <w:rPr>
          <w:noProof/>
          <w:vertAlign w:val="superscript"/>
        </w:rPr>
        <w:t>15,16</w:t>
      </w:r>
      <w:r w:rsidR="009B3587" w:rsidRPr="00DF2B0D">
        <w:fldChar w:fldCharType="end"/>
      </w:r>
      <w:r w:rsidR="00A72DA0">
        <w:t xml:space="preserve"> </w:t>
      </w:r>
      <w:r w:rsidR="003828CC">
        <w:t>and thus</w:t>
      </w:r>
      <w:r w:rsidR="003828CC" w:rsidRPr="00DF2B0D">
        <w:t xml:space="preserve"> </w:t>
      </w:r>
      <w:r w:rsidR="009B3587" w:rsidRPr="00DF2B0D">
        <w:t xml:space="preserve">risks oversimplifying the structure and missing subtle mechanistic details relating to the oxygen diffusion process.   </w:t>
      </w:r>
    </w:p>
    <w:p w14:paraId="4485E1B9" w14:textId="37ECB2ED" w:rsidR="006A425F" w:rsidRPr="00DF2B0D" w:rsidRDefault="00E1455C" w:rsidP="006A425F">
      <w:r w:rsidRPr="00DF2B0D">
        <w:t xml:space="preserve">In this current </w:t>
      </w:r>
      <w:r w:rsidR="008100BE" w:rsidRPr="00DF2B0D">
        <w:t>study</w:t>
      </w:r>
      <w:r w:rsidR="000A709C" w:rsidRPr="00DF2B0D">
        <w:t>,</w:t>
      </w:r>
      <w:r w:rsidR="008100BE" w:rsidRPr="00DF2B0D">
        <w:t xml:space="preserve"> the structur</w:t>
      </w:r>
      <w:r w:rsidR="007D05A0" w:rsidRPr="00DF2B0D">
        <w:t>al</w:t>
      </w:r>
      <w:r w:rsidR="008100BE" w:rsidRPr="00DF2B0D">
        <w:t xml:space="preserve"> evolution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8100BE" w:rsidRPr="005D7928">
        <w:t xml:space="preserve"> </w:t>
      </w:r>
      <w:r w:rsidR="008100BE" w:rsidRPr="00DF2B0D">
        <w:t>phases</w:t>
      </w:r>
      <w:r w:rsidRPr="00DF2B0D">
        <w:t xml:space="preserve"> </w:t>
      </w:r>
      <w:r w:rsidR="009B3587" w:rsidRPr="00DF2B0D">
        <w:t>w</w:t>
      </w:r>
      <w:r w:rsidR="009B3587">
        <w:t>ere</w:t>
      </w:r>
      <w:r w:rsidRPr="00DF2B0D">
        <w:t xml:space="preserve"> investigated using </w:t>
      </w:r>
      <w:r w:rsidR="008666E0">
        <w:t>high</w:t>
      </w:r>
      <w:r w:rsidR="00A74783">
        <w:t xml:space="preserve"> temperature </w:t>
      </w:r>
      <w:r w:rsidRPr="00DF2B0D">
        <w:t>diffraction</w:t>
      </w:r>
      <w:r w:rsidR="00A74783">
        <w:t xml:space="preserve">-based </w:t>
      </w:r>
      <w:r w:rsidRPr="00DF2B0D">
        <w:t>techniques</w:t>
      </w:r>
      <w:r w:rsidR="00A74783">
        <w:t xml:space="preserve"> and </w:t>
      </w:r>
      <w:r w:rsidR="00A74783" w:rsidRPr="00170B4B">
        <w:rPr>
          <w:vertAlign w:val="superscript"/>
        </w:rPr>
        <w:t>17</w:t>
      </w:r>
      <w:r w:rsidR="00A74783">
        <w:t>O</w:t>
      </w:r>
      <w:r w:rsidR="009A12F8">
        <w:t xml:space="preserve"> and </w:t>
      </w:r>
      <w:r w:rsidR="009A12F8" w:rsidRPr="00083B4E">
        <w:rPr>
          <w:vertAlign w:val="superscript"/>
        </w:rPr>
        <w:t>93</w:t>
      </w:r>
      <w:r w:rsidR="009A12F8">
        <w:t>Nb</w:t>
      </w:r>
      <w:r w:rsidR="00A74783">
        <w:t xml:space="preserve"> Magic Angle Spinning (MAS) Nuclear Magnetic Resonance (NMR) spectroscopy</w:t>
      </w:r>
      <w:r w:rsidR="008100BE" w:rsidRPr="00DF2B0D">
        <w:t xml:space="preserve">. </w:t>
      </w:r>
      <w:r w:rsidR="009B3587">
        <w:t>Investigation of th</w:t>
      </w:r>
      <w:r w:rsidR="002C3EB3" w:rsidRPr="00DF2B0D">
        <w:t>e h</w:t>
      </w:r>
      <w:r w:rsidR="006A425F" w:rsidRPr="00DF2B0D">
        <w:t>igh temperature</w:t>
      </w:r>
      <w:r w:rsidR="002C3EB3" w:rsidRPr="00DF2B0D">
        <w:t xml:space="preserve"> crystal</w:t>
      </w:r>
      <w:r w:rsidR="006A425F" w:rsidRPr="00DF2B0D">
        <w:t xml:space="preserve"> structure </w:t>
      </w:r>
      <w:r w:rsidR="009B3587">
        <w:t>allow us to</w:t>
      </w:r>
      <w:r w:rsidR="002C3EB3" w:rsidRPr="00DF2B0D">
        <w:t xml:space="preserve"> verify </w:t>
      </w:r>
      <w:r w:rsidR="009B3587">
        <w:t xml:space="preserve">temperature stability of the </w:t>
      </w:r>
      <w:r w:rsidR="006A425F" w:rsidRPr="00DF2B0D">
        <w:t xml:space="preserve">highly defective local structure. Key structural features, including the complex phase transition behaviour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6A425F" w:rsidRPr="005D7928">
        <w:t xml:space="preserve"> </w:t>
      </w:r>
      <w:r w:rsidR="006A425F" w:rsidRPr="00DF2B0D">
        <w:t>series</w:t>
      </w:r>
      <w:r w:rsidR="008A540A" w:rsidRPr="00DF2B0D">
        <w:t>,</w:t>
      </w:r>
      <w:r w:rsidR="006A425F" w:rsidRPr="00DF2B0D">
        <w:t xml:space="preserve"> the </w:t>
      </w:r>
      <w:r w:rsidR="006034D4">
        <w:t>distribution</w:t>
      </w:r>
      <w:r w:rsidR="006034D4" w:rsidRPr="00DF2B0D">
        <w:t xml:space="preserve"> </w:t>
      </w:r>
      <w:r w:rsidR="006A425F" w:rsidRPr="00DF2B0D">
        <w:t>of the interstitial oxygen</w:t>
      </w:r>
      <w:r w:rsidR="007D05A0" w:rsidRPr="00DF2B0D">
        <w:t xml:space="preserve"> ions</w:t>
      </w:r>
      <w:r w:rsidR="009A12F8">
        <w:t xml:space="preserve"> and </w:t>
      </w:r>
      <w:r w:rsidR="004E7840">
        <w:t xml:space="preserve">the </w:t>
      </w:r>
      <w:r w:rsidR="009A12F8">
        <w:t>change in Nb coordination environment</w:t>
      </w:r>
      <w:r w:rsidR="006A425F" w:rsidRPr="00DF2B0D">
        <w:t xml:space="preserve">, </w:t>
      </w:r>
      <w:r w:rsidRPr="00DF2B0D">
        <w:t>we</w:t>
      </w:r>
      <w:r w:rsidR="006A425F" w:rsidRPr="00DF2B0D">
        <w:t>re addressed using thermal analysis</w:t>
      </w:r>
      <w:r w:rsidR="00A74783">
        <w:t xml:space="preserve">, </w:t>
      </w:r>
      <w:r w:rsidR="00A74783" w:rsidRPr="00DF2B0D">
        <w:rPr>
          <w:i/>
        </w:rPr>
        <w:t>in situ</w:t>
      </w:r>
      <w:r w:rsidR="00A74783" w:rsidRPr="00DF2B0D">
        <w:t xml:space="preserve"> X-ray and neutron diffraction</w:t>
      </w:r>
      <w:r w:rsidR="00A74783">
        <w:t xml:space="preserve">, </w:t>
      </w:r>
      <w:r w:rsidR="00A74783" w:rsidRPr="00170B4B">
        <w:rPr>
          <w:vertAlign w:val="superscript"/>
        </w:rPr>
        <w:t>17</w:t>
      </w:r>
      <w:r w:rsidR="00A74783">
        <w:t xml:space="preserve">O </w:t>
      </w:r>
      <w:r w:rsidR="009A12F8">
        <w:t xml:space="preserve">and </w:t>
      </w:r>
      <w:r w:rsidR="009A12F8" w:rsidRPr="00C06FEA">
        <w:rPr>
          <w:vertAlign w:val="superscript"/>
        </w:rPr>
        <w:t>93</w:t>
      </w:r>
      <w:r w:rsidR="009A12F8">
        <w:t xml:space="preserve">Nb </w:t>
      </w:r>
      <w:r w:rsidR="00A74783">
        <w:t>MAS NMR</w:t>
      </w:r>
      <w:r w:rsidR="006A425F" w:rsidRPr="00DF2B0D">
        <w:t xml:space="preserve">. </w:t>
      </w:r>
      <w:r w:rsidRPr="00DF2B0D">
        <w:t>The nature of the phase transitions</w:t>
      </w:r>
      <w:r w:rsidR="003A2371" w:rsidRPr="00DF2B0D">
        <w:t xml:space="preserve"> in the </w:t>
      </w:r>
      <w:r w:rsidR="005F7684" w:rsidRPr="002C5610">
        <w:rPr>
          <w:rFonts w:cs="Times New Roman"/>
          <w:bCs/>
        </w:rPr>
        <w:t>LaNb</w:t>
      </w:r>
      <w:r w:rsidR="005F7684" w:rsidRPr="002C5610">
        <w:rPr>
          <w:rFonts w:cs="Times New Roman"/>
          <w:bCs/>
          <w:vertAlign w:val="subscript"/>
        </w:rPr>
        <w:t>1</w:t>
      </w:r>
      <w:r w:rsidR="003969FA">
        <w:rPr>
          <w:rFonts w:cs="Times New Roman"/>
          <w:bCs/>
          <w:vertAlign w:val="subscript"/>
        </w:rPr>
        <w:noBreakHyphen/>
      </w:r>
      <w:r w:rsidR="005F7684" w:rsidRPr="002C5610">
        <w:rPr>
          <w:rFonts w:cs="Times New Roman"/>
          <w:bCs/>
          <w:vertAlign w:val="subscript"/>
        </w:rPr>
        <w:t>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3A2371" w:rsidRPr="005D7928">
        <w:t xml:space="preserve"> </w:t>
      </w:r>
      <w:r w:rsidR="003A2371" w:rsidRPr="00DF2B0D">
        <w:t xml:space="preserve">family </w:t>
      </w:r>
      <w:r w:rsidR="003A2371" w:rsidRPr="00DF2B0D">
        <w:rPr>
          <w:rFonts w:hint="eastAsia"/>
        </w:rPr>
        <w:t>(</w:t>
      </w:r>
      <w:r w:rsidR="003A2371" w:rsidRPr="00DF2B0D">
        <w:t>x = 0.04 – 0.16)</w:t>
      </w:r>
      <w:r w:rsidR="00426638" w:rsidRPr="00DF2B0D">
        <w:t xml:space="preserve">, and </w:t>
      </w:r>
      <w:r w:rsidRPr="00DF2B0D">
        <w:t>their relationship to the oxygen ion diffusion process is discussed.</w:t>
      </w:r>
    </w:p>
    <w:p w14:paraId="0DC6D8B7" w14:textId="77777777" w:rsidR="00A76438" w:rsidRPr="00DF2B0D" w:rsidRDefault="00A76438" w:rsidP="006A425F"/>
    <w:p w14:paraId="7F3918C5" w14:textId="77777777" w:rsidR="00F225C9" w:rsidRPr="00DF2B0D" w:rsidRDefault="00F225C9" w:rsidP="007066CF">
      <w:pPr>
        <w:pStyle w:val="Heading1"/>
      </w:pPr>
      <w:r w:rsidRPr="00DF2B0D">
        <w:t xml:space="preserve">Experimental </w:t>
      </w:r>
    </w:p>
    <w:p w14:paraId="2DC69950" w14:textId="2866B0D2" w:rsidR="00972BF0" w:rsidRDefault="007B7461" w:rsidP="00A74783">
      <w:r w:rsidRPr="00DF2B0D">
        <w:t>The materials investigate</w:t>
      </w:r>
      <w:r w:rsidR="001835AD" w:rsidRPr="00DF2B0D">
        <w:t>d</w:t>
      </w:r>
      <w:r w:rsidRPr="00DF2B0D">
        <w:t xml:space="preserve"> in this work were prepared using solid state synthesis </w:t>
      </w:r>
      <w:r w:rsidR="003819D3" w:rsidRPr="00DF2B0D">
        <w:t xml:space="preserve">from a stoichiometric mix of </w:t>
      </w:r>
      <w:r w:rsidRPr="00DF2B0D">
        <w:t>La</w:t>
      </w:r>
      <w:r w:rsidRPr="00DF2B0D">
        <w:rPr>
          <w:vertAlign w:val="subscript"/>
        </w:rPr>
        <w:t>2</w:t>
      </w:r>
      <w:r w:rsidRPr="00DF2B0D">
        <w:t>O</w:t>
      </w:r>
      <w:r w:rsidRPr="00DF2B0D">
        <w:rPr>
          <w:vertAlign w:val="subscript"/>
        </w:rPr>
        <w:t>3</w:t>
      </w:r>
      <w:r w:rsidRPr="00DF2B0D">
        <w:rPr>
          <w:vertAlign w:val="subscript"/>
          <w:lang w:val="en-US"/>
        </w:rPr>
        <w:t> </w:t>
      </w:r>
      <w:r w:rsidRPr="00DF2B0D">
        <w:t>(99.9%), Nb</w:t>
      </w:r>
      <w:r w:rsidRPr="00DF2B0D">
        <w:rPr>
          <w:vertAlign w:val="subscript"/>
        </w:rPr>
        <w:t>2</w:t>
      </w:r>
      <w:r w:rsidRPr="00DF2B0D">
        <w:t>O</w:t>
      </w:r>
      <w:r w:rsidRPr="00DF2B0D">
        <w:rPr>
          <w:vertAlign w:val="subscript"/>
        </w:rPr>
        <w:t xml:space="preserve">5 </w:t>
      </w:r>
      <w:r w:rsidRPr="00DF2B0D">
        <w:t>(99.9%) and WO</w:t>
      </w:r>
      <w:r w:rsidRPr="00DF2B0D">
        <w:rPr>
          <w:vertAlign w:val="subscript"/>
        </w:rPr>
        <w:t xml:space="preserve">3 </w:t>
      </w:r>
      <w:r w:rsidRPr="00DF2B0D">
        <w:t xml:space="preserve">(99.9%) </w:t>
      </w:r>
      <w:r w:rsidR="003819D3" w:rsidRPr="00DF2B0D">
        <w:t>powders</w:t>
      </w:r>
      <w:r w:rsidR="008A540A" w:rsidRPr="00DF2B0D">
        <w:t xml:space="preserve"> (all from Sigma</w:t>
      </w:r>
      <w:r w:rsidR="008A540A" w:rsidRPr="00DF2B0D">
        <w:noBreakHyphen/>
        <w:t>Aldrich)</w:t>
      </w:r>
      <w:r w:rsidR="003819D3" w:rsidRPr="00DF2B0D">
        <w:t>.</w:t>
      </w:r>
      <w:r w:rsidRPr="00DF2B0D">
        <w:t xml:space="preserve"> Before </w:t>
      </w:r>
      <w:r w:rsidR="003819D3" w:rsidRPr="00DF2B0D">
        <w:t xml:space="preserve">the synthesis, </w:t>
      </w:r>
      <w:r w:rsidRPr="00DF2B0D">
        <w:t>La</w:t>
      </w:r>
      <w:r w:rsidRPr="00DF2B0D">
        <w:rPr>
          <w:vertAlign w:val="subscript"/>
        </w:rPr>
        <w:t>2</w:t>
      </w:r>
      <w:r w:rsidRPr="00DF2B0D">
        <w:t>O</w:t>
      </w:r>
      <w:r w:rsidRPr="00DF2B0D">
        <w:rPr>
          <w:vertAlign w:val="subscript"/>
        </w:rPr>
        <w:t>3</w:t>
      </w:r>
      <w:r w:rsidRPr="005D7928">
        <w:t xml:space="preserve"> </w:t>
      </w:r>
      <w:r w:rsidR="003819D3" w:rsidRPr="00DF2B0D">
        <w:t xml:space="preserve">powder was treated at </w:t>
      </w:r>
      <w:r w:rsidRPr="00DF2B0D">
        <w:t xml:space="preserve">1000 °C </w:t>
      </w:r>
      <w:r w:rsidR="003819D3" w:rsidRPr="00DF2B0D">
        <w:t xml:space="preserve">for 10 h </w:t>
      </w:r>
      <w:r w:rsidRPr="00DF2B0D">
        <w:t>to remove</w:t>
      </w:r>
      <w:r w:rsidR="003819D3" w:rsidRPr="00DF2B0D">
        <w:t xml:space="preserve"> moisture</w:t>
      </w:r>
      <w:r w:rsidR="005D7928">
        <w:t xml:space="preserve"> and the presence of La(OH)</w:t>
      </w:r>
      <w:r w:rsidR="005D7928" w:rsidRPr="005D7928">
        <w:rPr>
          <w:vertAlign w:val="subscript"/>
        </w:rPr>
        <w:t>3</w:t>
      </w:r>
      <w:r w:rsidR="003819D3" w:rsidRPr="00DF2B0D">
        <w:t xml:space="preserve">. </w:t>
      </w:r>
      <w:r w:rsidRPr="00DF2B0D">
        <w:t>All the starting powders were examined with X-ray diffraction</w:t>
      </w:r>
      <w:r w:rsidR="001835AD" w:rsidRPr="00DF2B0D">
        <w:t xml:space="preserve"> (XRD</w:t>
      </w:r>
      <w:r w:rsidR="008A540A" w:rsidRPr="00DF2B0D">
        <w:t>, PANalytical X’Pert Pro MPD, Cu K</w:t>
      </w:r>
      <w:r w:rsidR="008A540A" w:rsidRPr="00DF2B0D">
        <w:rPr>
          <w:sz w:val="23"/>
          <w:szCs w:val="23"/>
        </w:rPr>
        <w:t xml:space="preserve">α radiation, </w:t>
      </w:r>
      <w:r w:rsidR="008A540A" w:rsidRPr="00DF2B0D">
        <w:rPr>
          <w:i/>
          <w:sz w:val="23"/>
          <w:szCs w:val="23"/>
        </w:rPr>
        <w:t>λ</w:t>
      </w:r>
      <w:r w:rsidR="008A540A" w:rsidRPr="00DF2B0D">
        <w:t xml:space="preserve"> = 1.54056 </w:t>
      </w:r>
      <w:r w:rsidR="008A540A" w:rsidRPr="00DF2B0D">
        <w:rPr>
          <w:sz w:val="23"/>
          <w:szCs w:val="23"/>
        </w:rPr>
        <w:t>Å</w:t>
      </w:r>
      <w:r w:rsidR="001835AD" w:rsidRPr="00DF2B0D">
        <w:t>)</w:t>
      </w:r>
      <w:r w:rsidRPr="00DF2B0D">
        <w:t xml:space="preserve"> to </w:t>
      </w:r>
      <w:r w:rsidR="003819D3" w:rsidRPr="00DF2B0D">
        <w:t>confirm phase purity</w:t>
      </w:r>
      <w:r w:rsidRPr="00DF2B0D">
        <w:t xml:space="preserve">. The powder mixtures were ball milled for 24 h in acetone with zirconia balls to achieve a homogeneous mix. The mixed powders were first calcined under </w:t>
      </w:r>
      <w:r w:rsidR="001835AD" w:rsidRPr="00DF2B0D">
        <w:t>an ambient</w:t>
      </w:r>
      <w:r w:rsidRPr="00DF2B0D">
        <w:t xml:space="preserve"> </w:t>
      </w:r>
      <w:r w:rsidR="001835AD" w:rsidRPr="00DF2B0D">
        <w:t xml:space="preserve">atmosphere </w:t>
      </w:r>
      <w:r w:rsidRPr="00DF2B0D">
        <w:t>at 1200 °C for 10 h, then crushed, milled and calcined again at 1400 °C for 10 h</w:t>
      </w:r>
      <w:r w:rsidR="001835AD" w:rsidRPr="00DF2B0D">
        <w:t xml:space="preserve"> under ambient air</w:t>
      </w:r>
      <w:r w:rsidR="009B3587">
        <w:t xml:space="preserve"> (all heating rate 10 </w:t>
      </w:r>
      <w:r w:rsidR="009B3587" w:rsidRPr="00DF2B0D">
        <w:t>°C</w:t>
      </w:r>
      <w:r w:rsidR="009B3587">
        <w:t>/h)</w:t>
      </w:r>
      <w:r w:rsidRPr="00DF2B0D">
        <w:t xml:space="preserve">. Phase purity was </w:t>
      </w:r>
      <w:r w:rsidR="001835AD" w:rsidRPr="00DF2B0D">
        <w:t xml:space="preserve">verified </w:t>
      </w:r>
      <w:r w:rsidR="003819D3" w:rsidRPr="00DF2B0D">
        <w:t>with</w:t>
      </w:r>
      <w:r w:rsidRPr="00DF2B0D">
        <w:t xml:space="preserve"> XRD after each calcination step </w:t>
      </w:r>
      <w:r w:rsidR="003819D3" w:rsidRPr="00DF2B0D">
        <w:t>which</w:t>
      </w:r>
      <w:r w:rsidRPr="00DF2B0D">
        <w:t xml:space="preserve"> </w:t>
      </w:r>
      <w:r w:rsidR="001835AD" w:rsidRPr="00DF2B0D">
        <w:t xml:space="preserve">was </w:t>
      </w:r>
      <w:r w:rsidRPr="00DF2B0D">
        <w:t>repeated for 2 to 3 times until no change in phase composition was confirmed.</w:t>
      </w:r>
      <w:r w:rsidR="00171013">
        <w:t xml:space="preserve"> </w:t>
      </w:r>
      <w:r w:rsidR="00972BF0" w:rsidRPr="0083598A">
        <w:rPr>
          <w:szCs w:val="24"/>
          <w:vertAlign w:val="superscript"/>
        </w:rPr>
        <w:t>17</w:t>
      </w:r>
      <w:r w:rsidR="00972BF0" w:rsidRPr="0083598A">
        <w:rPr>
          <w:szCs w:val="24"/>
        </w:rPr>
        <w:t>O enriched LaNbO</w:t>
      </w:r>
      <w:r w:rsidR="00972BF0" w:rsidRPr="0083598A">
        <w:rPr>
          <w:szCs w:val="24"/>
          <w:vertAlign w:val="subscript"/>
        </w:rPr>
        <w:t>4</w:t>
      </w:r>
      <w:r w:rsidR="00972BF0" w:rsidRPr="0083598A">
        <w:rPr>
          <w:szCs w:val="24"/>
        </w:rPr>
        <w:t xml:space="preserve"> and LaNb</w:t>
      </w:r>
      <w:r w:rsidR="00972BF0" w:rsidRPr="0083598A">
        <w:rPr>
          <w:szCs w:val="24"/>
          <w:vertAlign w:val="subscript"/>
        </w:rPr>
        <w:t>0.86</w:t>
      </w:r>
      <w:r w:rsidR="00972BF0" w:rsidRPr="0083598A">
        <w:rPr>
          <w:szCs w:val="24"/>
        </w:rPr>
        <w:t>W</w:t>
      </w:r>
      <w:r w:rsidR="00972BF0" w:rsidRPr="0083598A">
        <w:rPr>
          <w:szCs w:val="24"/>
          <w:vertAlign w:val="subscript"/>
        </w:rPr>
        <w:t>0.14</w:t>
      </w:r>
      <w:r w:rsidR="00972BF0" w:rsidRPr="0083598A">
        <w:rPr>
          <w:szCs w:val="24"/>
        </w:rPr>
        <w:t>O</w:t>
      </w:r>
      <w:r w:rsidR="00972BF0" w:rsidRPr="0083598A">
        <w:rPr>
          <w:szCs w:val="24"/>
          <w:vertAlign w:val="subscript"/>
        </w:rPr>
        <w:t>4</w:t>
      </w:r>
      <w:r w:rsidR="00972BF0">
        <w:rPr>
          <w:szCs w:val="24"/>
          <w:vertAlign w:val="subscript"/>
        </w:rPr>
        <w:t>+d</w:t>
      </w:r>
      <w:r w:rsidR="00972BF0" w:rsidRPr="0083598A">
        <w:rPr>
          <w:szCs w:val="24"/>
        </w:rPr>
        <w:t xml:space="preserve"> </w:t>
      </w:r>
      <w:r w:rsidR="00972BF0">
        <w:rPr>
          <w:szCs w:val="24"/>
        </w:rPr>
        <w:t xml:space="preserve">samples </w:t>
      </w:r>
      <w:r w:rsidR="00972BF0" w:rsidRPr="0083598A">
        <w:rPr>
          <w:szCs w:val="24"/>
        </w:rPr>
        <w:t>were prepared by heating the as-synthe</w:t>
      </w:r>
      <w:r w:rsidR="00B44EEA">
        <w:rPr>
          <w:szCs w:val="24"/>
        </w:rPr>
        <w:t>si</w:t>
      </w:r>
      <w:r w:rsidR="00972BF0" w:rsidRPr="0083598A">
        <w:rPr>
          <w:szCs w:val="24"/>
        </w:rPr>
        <w:t>sed LaNbO</w:t>
      </w:r>
      <w:r w:rsidR="00972BF0" w:rsidRPr="0083598A">
        <w:rPr>
          <w:szCs w:val="24"/>
          <w:vertAlign w:val="subscript"/>
        </w:rPr>
        <w:t>4</w:t>
      </w:r>
      <w:r w:rsidR="00972BF0" w:rsidRPr="0083598A">
        <w:rPr>
          <w:szCs w:val="24"/>
        </w:rPr>
        <w:t xml:space="preserve"> and LaNb</w:t>
      </w:r>
      <w:r w:rsidR="00972BF0" w:rsidRPr="0083598A">
        <w:rPr>
          <w:szCs w:val="24"/>
          <w:vertAlign w:val="subscript"/>
        </w:rPr>
        <w:t>0.86</w:t>
      </w:r>
      <w:r w:rsidR="00972BF0" w:rsidRPr="0083598A">
        <w:rPr>
          <w:szCs w:val="24"/>
        </w:rPr>
        <w:t>W</w:t>
      </w:r>
      <w:r w:rsidR="00972BF0" w:rsidRPr="0083598A">
        <w:rPr>
          <w:szCs w:val="24"/>
          <w:vertAlign w:val="subscript"/>
        </w:rPr>
        <w:t>0.14</w:t>
      </w:r>
      <w:r w:rsidR="00972BF0" w:rsidRPr="0083598A">
        <w:rPr>
          <w:szCs w:val="24"/>
        </w:rPr>
        <w:t>O</w:t>
      </w:r>
      <w:r w:rsidR="00972BF0" w:rsidRPr="0083598A">
        <w:rPr>
          <w:szCs w:val="24"/>
          <w:vertAlign w:val="subscript"/>
        </w:rPr>
        <w:t>4</w:t>
      </w:r>
      <w:r w:rsidR="00972BF0">
        <w:rPr>
          <w:szCs w:val="24"/>
          <w:vertAlign w:val="subscript"/>
        </w:rPr>
        <w:t>+d</w:t>
      </w:r>
      <w:r w:rsidR="00972BF0" w:rsidRPr="0083598A">
        <w:rPr>
          <w:szCs w:val="24"/>
        </w:rPr>
        <w:t xml:space="preserve"> in a quartz tube under 60 % </w:t>
      </w:r>
      <w:r w:rsidR="00972BF0" w:rsidRPr="0083598A">
        <w:rPr>
          <w:szCs w:val="24"/>
          <w:vertAlign w:val="superscript"/>
        </w:rPr>
        <w:t>17</w:t>
      </w:r>
      <w:r w:rsidR="00972BF0" w:rsidRPr="0083598A">
        <w:rPr>
          <w:szCs w:val="24"/>
        </w:rPr>
        <w:t>O enriched O</w:t>
      </w:r>
      <w:r w:rsidR="00972BF0" w:rsidRPr="0083598A">
        <w:rPr>
          <w:szCs w:val="24"/>
          <w:vertAlign w:val="subscript"/>
        </w:rPr>
        <w:t>2</w:t>
      </w:r>
      <w:r w:rsidR="00972BF0" w:rsidRPr="0083598A">
        <w:rPr>
          <w:szCs w:val="24"/>
        </w:rPr>
        <w:t xml:space="preserve"> gas (Isotec, used as received) at 1000 °C in a tube furnace for 24 hours.</w:t>
      </w:r>
    </w:p>
    <w:p w14:paraId="71B06556" w14:textId="5C73977E" w:rsidR="009D2D15" w:rsidRPr="00DF2B0D" w:rsidRDefault="003B4CED" w:rsidP="003B4CED">
      <w:pPr>
        <w:rPr>
          <w:iCs/>
        </w:rPr>
      </w:pPr>
      <w:r w:rsidRPr="00DF2B0D">
        <w:t xml:space="preserve">Thermogravimetric analysis </w:t>
      </w:r>
      <w:r w:rsidR="006740D5" w:rsidRPr="00DF2B0D">
        <w:t xml:space="preserve">(TGA) </w:t>
      </w:r>
      <w:r w:rsidRPr="00DF2B0D">
        <w:t xml:space="preserve">measurements were conducted using a </w:t>
      </w:r>
      <w:r w:rsidR="001835AD" w:rsidRPr="00DF2B0D">
        <w:t xml:space="preserve">Netzsch </w:t>
      </w:r>
      <w:r w:rsidRPr="00DF2B0D">
        <w:t xml:space="preserve">STA 449C Jupiter heat flux instrument. Approximately 50 mg </w:t>
      </w:r>
      <w:r w:rsidR="001835AD" w:rsidRPr="00DF2B0D">
        <w:t xml:space="preserve">of </w:t>
      </w:r>
      <w:r w:rsidRPr="00DF2B0D">
        <w:t xml:space="preserve">sample was loaded into </w:t>
      </w:r>
      <w:r w:rsidR="001835AD" w:rsidRPr="00DF2B0D">
        <w:t xml:space="preserve">a </w:t>
      </w:r>
      <w:r w:rsidRPr="00DF2B0D">
        <w:t xml:space="preserve">Pt crucible and </w:t>
      </w:r>
      <w:r w:rsidRPr="00DF2B0D">
        <w:lastRenderedPageBreak/>
        <w:t xml:space="preserve">the </w:t>
      </w:r>
      <w:r w:rsidR="00CF3ABB" w:rsidRPr="00DF2B0D">
        <w:t>TGA</w:t>
      </w:r>
      <w:r w:rsidRPr="00DF2B0D">
        <w:t xml:space="preserve"> measurements were performed under static </w:t>
      </w:r>
      <w:r w:rsidR="00A76438" w:rsidRPr="00DF2B0D">
        <w:t>lab</w:t>
      </w:r>
      <w:r w:rsidR="001835AD" w:rsidRPr="00DF2B0D">
        <w:t>oratory</w:t>
      </w:r>
      <w:r w:rsidR="00A76438" w:rsidRPr="00DF2B0D">
        <w:t xml:space="preserve"> </w:t>
      </w:r>
      <w:r w:rsidRPr="00DF2B0D">
        <w:t xml:space="preserve">air </w:t>
      </w:r>
      <w:r w:rsidR="001835AD" w:rsidRPr="00DF2B0D">
        <w:t xml:space="preserve">over the temperature range </w:t>
      </w:r>
      <w:r w:rsidR="001835AD" w:rsidRPr="00DF2B0D">
        <w:rPr>
          <w:lang w:val="en-US"/>
        </w:rPr>
        <w:t>of</w:t>
      </w:r>
      <w:r w:rsidR="001835AD" w:rsidRPr="00DF2B0D">
        <w:t xml:space="preserve"> </w:t>
      </w:r>
      <w:r w:rsidRPr="00DF2B0D">
        <w:t xml:space="preserve">room temperature to </w:t>
      </w:r>
      <w:r w:rsidR="006740D5" w:rsidRPr="00DF2B0D">
        <w:t>95</w:t>
      </w:r>
      <w:r w:rsidRPr="00DF2B0D">
        <w:t xml:space="preserve">0 °C with a heating rate of 10 °C/min. The instrument was calibrated by measuring the </w:t>
      </w:r>
      <w:r w:rsidR="008242C8" w:rsidRPr="00DF2B0D">
        <w:rPr>
          <w:rFonts w:hint="eastAsia"/>
        </w:rPr>
        <w:t>empty</w:t>
      </w:r>
      <w:r w:rsidR="008242C8" w:rsidRPr="00DF2B0D">
        <w:t xml:space="preserve"> </w:t>
      </w:r>
      <w:r w:rsidRPr="00DF2B0D">
        <w:t>sample environment</w:t>
      </w:r>
      <w:r w:rsidR="008242C8" w:rsidRPr="00DF2B0D">
        <w:t xml:space="preserve"> under the same experimental conditions.</w:t>
      </w:r>
      <w:r w:rsidR="007C68F6" w:rsidRPr="00DF2B0D">
        <w:t xml:space="preserve"> S</w:t>
      </w:r>
      <w:r w:rsidR="009D2D15" w:rsidRPr="00DF2B0D">
        <w:rPr>
          <w:iCs/>
        </w:rPr>
        <w:t xml:space="preserve">intered, </w:t>
      </w:r>
      <w:proofErr w:type="gramStart"/>
      <w:r w:rsidR="009D2D15" w:rsidRPr="00DF2B0D">
        <w:rPr>
          <w:iCs/>
        </w:rPr>
        <w:t>rectangular-bar</w:t>
      </w:r>
      <w:r w:rsidR="001835AD" w:rsidRPr="00DF2B0D">
        <w:rPr>
          <w:iCs/>
        </w:rPr>
        <w:t>s</w:t>
      </w:r>
      <w:proofErr w:type="gramEnd"/>
      <w:r w:rsidR="009D2D15" w:rsidRPr="00DF2B0D">
        <w:rPr>
          <w:iCs/>
        </w:rPr>
        <w:t xml:space="preserve"> with the </w:t>
      </w:r>
      <w:r w:rsidR="000925C1" w:rsidRPr="00DF2B0D">
        <w:rPr>
          <w:iCs/>
        </w:rPr>
        <w:t>approximate dimension</w:t>
      </w:r>
      <w:r w:rsidR="009D2D15" w:rsidRPr="00DF2B0D">
        <w:rPr>
          <w:iCs/>
        </w:rPr>
        <w:t xml:space="preserve"> 4 mm </w:t>
      </w:r>
      <w:r w:rsidR="009D2D15" w:rsidRPr="00DF2B0D">
        <w:t>×</w:t>
      </w:r>
      <w:r w:rsidR="009D2D15" w:rsidRPr="00DF2B0D">
        <w:rPr>
          <w:iCs/>
        </w:rPr>
        <w:t xml:space="preserve"> 4 mm </w:t>
      </w:r>
      <w:r w:rsidR="009D2D15" w:rsidRPr="00DF2B0D">
        <w:t>×</w:t>
      </w:r>
      <w:r w:rsidR="009D2D15" w:rsidRPr="00DF2B0D">
        <w:rPr>
          <w:iCs/>
        </w:rPr>
        <w:t xml:space="preserve"> 25 mm were used for dilatometry measurements</w:t>
      </w:r>
      <w:r w:rsidR="008A540A" w:rsidRPr="00DF2B0D">
        <w:rPr>
          <w:iCs/>
        </w:rPr>
        <w:t xml:space="preserve">, to determine </w:t>
      </w:r>
      <w:r w:rsidR="00CF3ABB" w:rsidRPr="00DF2B0D">
        <w:rPr>
          <w:iCs/>
        </w:rPr>
        <w:t>the thermal expansion of the materials</w:t>
      </w:r>
      <w:r w:rsidR="00532CFB" w:rsidRPr="00DF2B0D">
        <w:rPr>
          <w:iCs/>
        </w:rPr>
        <w:t xml:space="preserve"> (</w:t>
      </w:r>
      <w:r w:rsidR="001835AD" w:rsidRPr="00DF2B0D">
        <w:rPr>
          <w:iCs/>
        </w:rPr>
        <w:t xml:space="preserve">Netzsch </w:t>
      </w:r>
      <w:r w:rsidR="00532CFB" w:rsidRPr="00DF2B0D">
        <w:rPr>
          <w:iCs/>
        </w:rPr>
        <w:t xml:space="preserve">DIL 402 E </w:t>
      </w:r>
      <w:r w:rsidR="001835AD" w:rsidRPr="00DF2B0D">
        <w:rPr>
          <w:iCs/>
        </w:rPr>
        <w:t>dilatometer</w:t>
      </w:r>
      <w:r w:rsidR="00532CFB" w:rsidRPr="00DF2B0D">
        <w:rPr>
          <w:iCs/>
        </w:rPr>
        <w:t>)</w:t>
      </w:r>
      <w:r w:rsidR="009D2D15" w:rsidRPr="00DF2B0D">
        <w:rPr>
          <w:iCs/>
        </w:rPr>
        <w:t xml:space="preserve">. The samples were prepared using </w:t>
      </w:r>
      <w:r w:rsidR="001835AD" w:rsidRPr="00DF2B0D">
        <w:rPr>
          <w:iCs/>
        </w:rPr>
        <w:t xml:space="preserve">a </w:t>
      </w:r>
      <w:r w:rsidR="009D2D15" w:rsidRPr="00DF2B0D">
        <w:rPr>
          <w:iCs/>
        </w:rPr>
        <w:t xml:space="preserve">uniaxial press at </w:t>
      </w:r>
      <w:r w:rsidR="008A540A" w:rsidRPr="00DF2B0D">
        <w:rPr>
          <w:iCs/>
        </w:rPr>
        <w:t xml:space="preserve">150 </w:t>
      </w:r>
      <w:r w:rsidR="009D2D15" w:rsidRPr="00DF2B0D">
        <w:rPr>
          <w:iCs/>
        </w:rPr>
        <w:t xml:space="preserve">MPa followed by </w:t>
      </w:r>
      <w:r w:rsidR="001835AD" w:rsidRPr="00DF2B0D">
        <w:rPr>
          <w:iCs/>
        </w:rPr>
        <w:t xml:space="preserve">an </w:t>
      </w:r>
      <w:r w:rsidR="009D2D15" w:rsidRPr="00DF2B0D">
        <w:rPr>
          <w:iCs/>
        </w:rPr>
        <w:t>isostatic press at 300 MPa for 1 min. Samples were sintered at 1400 °C for 10 h</w:t>
      </w:r>
      <w:r w:rsidR="00EC3204">
        <w:rPr>
          <w:iCs/>
        </w:rPr>
        <w:t xml:space="preserve">, with 10 </w:t>
      </w:r>
      <w:r w:rsidR="00EC3204" w:rsidRPr="00DF2B0D">
        <w:t>°C</w:t>
      </w:r>
      <w:r w:rsidR="00EC3204">
        <w:t>/h ramp rate,</w:t>
      </w:r>
      <w:r w:rsidR="009D2D15" w:rsidRPr="00DF2B0D">
        <w:rPr>
          <w:iCs/>
        </w:rPr>
        <w:t xml:space="preserve"> and reached more than 95% density. </w:t>
      </w:r>
      <w:r w:rsidR="000925C1" w:rsidRPr="00DF2B0D">
        <w:rPr>
          <w:iCs/>
        </w:rPr>
        <w:t xml:space="preserve">An </w:t>
      </w:r>
      <w:r w:rsidR="009D2D15" w:rsidRPr="00DF2B0D">
        <w:rPr>
          <w:iCs/>
        </w:rPr>
        <w:t xml:space="preserve">alumina </w:t>
      </w:r>
      <w:r w:rsidR="000925C1" w:rsidRPr="00DF2B0D">
        <w:rPr>
          <w:iCs/>
        </w:rPr>
        <w:t xml:space="preserve">rod </w:t>
      </w:r>
      <w:r w:rsidR="009D2D15" w:rsidRPr="00DF2B0D">
        <w:rPr>
          <w:iCs/>
        </w:rPr>
        <w:t xml:space="preserve">reference was used to calibrate the instrument prior to sample measurement. </w:t>
      </w:r>
      <w:r w:rsidR="00532CFB" w:rsidRPr="00DF2B0D">
        <w:rPr>
          <w:iCs/>
        </w:rPr>
        <w:t>Measurement were carried out from room</w:t>
      </w:r>
      <w:r w:rsidR="009D2D15" w:rsidRPr="00DF2B0D">
        <w:rPr>
          <w:iCs/>
        </w:rPr>
        <w:t xml:space="preserve"> temperature to 800 °C with a heating rate of 10 °C/min</w:t>
      </w:r>
      <w:r w:rsidR="00532CFB" w:rsidRPr="00DF2B0D">
        <w:rPr>
          <w:iCs/>
        </w:rPr>
        <w:t xml:space="preserve">. </w:t>
      </w:r>
    </w:p>
    <w:p w14:paraId="75306DD4" w14:textId="3426EE82" w:rsidR="005D65AF" w:rsidRDefault="00B61904" w:rsidP="00652DD8">
      <w:r w:rsidRPr="00DF2B0D">
        <w:rPr>
          <w:i/>
        </w:rPr>
        <w:t xml:space="preserve">In </w:t>
      </w:r>
      <w:r w:rsidR="00441742" w:rsidRPr="00DF2B0D">
        <w:rPr>
          <w:i/>
        </w:rPr>
        <w:t>situ</w:t>
      </w:r>
      <w:r w:rsidR="00441742" w:rsidRPr="00DF2B0D">
        <w:t xml:space="preserve"> neutron scattering measurements were performed at </w:t>
      </w:r>
      <w:r w:rsidRPr="00DF2B0D">
        <w:t xml:space="preserve">the </w:t>
      </w:r>
      <w:proofErr w:type="gramStart"/>
      <w:r w:rsidR="00A76438" w:rsidRPr="00DF2B0D">
        <w:t>High Resolution</w:t>
      </w:r>
      <w:proofErr w:type="gramEnd"/>
      <w:r w:rsidR="00A76438" w:rsidRPr="00DF2B0D">
        <w:t xml:space="preserve"> Powder Diffractometer (</w:t>
      </w:r>
      <w:r w:rsidR="00441742" w:rsidRPr="00DF2B0D">
        <w:t>HRPD</w:t>
      </w:r>
      <w:r w:rsidR="00A76438" w:rsidRPr="00DF2B0D">
        <w:t xml:space="preserve">, </w:t>
      </w:r>
      <w:r w:rsidR="00441742" w:rsidRPr="00DF2B0D">
        <w:t>ISIS</w:t>
      </w:r>
      <w:r w:rsidR="00A76438" w:rsidRPr="00DF2B0D">
        <w:t xml:space="preserve">, </w:t>
      </w:r>
      <w:r w:rsidR="00441742" w:rsidRPr="00DF2B0D">
        <w:t xml:space="preserve">Rutherford Appleton </w:t>
      </w:r>
      <w:r w:rsidRPr="00DF2B0D">
        <w:t>Laboratories</w:t>
      </w:r>
      <w:r w:rsidR="00441742" w:rsidRPr="00DF2B0D">
        <w:t>, UK</w:t>
      </w:r>
      <w:r w:rsidR="00A76438" w:rsidRPr="00DF2B0D">
        <w:t xml:space="preserve">). </w:t>
      </w:r>
      <w:r w:rsidR="00441742" w:rsidRPr="00DF2B0D">
        <w:t xml:space="preserve">Approximately 10 g </w:t>
      </w:r>
      <w:r w:rsidRPr="00DF2B0D">
        <w:t xml:space="preserve">of </w:t>
      </w:r>
      <w:r w:rsidR="00441742" w:rsidRPr="00DF2B0D">
        <w:t>sample was placed inside a quartz ampoule</w:t>
      </w:r>
      <w:r w:rsidR="006C3C8B" w:rsidRPr="00DF2B0D">
        <w:t xml:space="preserve"> </w:t>
      </w:r>
      <w:r w:rsidR="00441742" w:rsidRPr="00DF2B0D">
        <w:t xml:space="preserve">heated </w:t>
      </w:r>
      <w:r w:rsidR="006C3C8B" w:rsidRPr="00DF2B0D">
        <w:t xml:space="preserve">in </w:t>
      </w:r>
      <w:r w:rsidR="00441742" w:rsidRPr="00DF2B0D">
        <w:t xml:space="preserve">a vanadium furnace. </w:t>
      </w:r>
      <w:bookmarkStart w:id="1" w:name="_Hlk29826209"/>
      <w:r w:rsidR="00441742" w:rsidRPr="00DF2B0D">
        <w:t xml:space="preserve">Diffraction patterns </w:t>
      </w:r>
      <w:r w:rsidR="00E65AB6" w:rsidRPr="00DF2B0D">
        <w:t xml:space="preserve">were gathered from </w:t>
      </w:r>
      <w:r w:rsidR="00C3241D">
        <w:rPr>
          <w:rFonts w:hint="eastAsia"/>
        </w:rPr>
        <w:t>5</w:t>
      </w:r>
      <w:r w:rsidR="00E65AB6" w:rsidRPr="00DF2B0D">
        <w:t xml:space="preserve">00 °C to 800 °C with 50 </w:t>
      </w:r>
      <w:r w:rsidR="00F10B53" w:rsidRPr="00DF2B0D">
        <w:t>°C</w:t>
      </w:r>
      <w:r w:rsidR="00F10B53" w:rsidRPr="00DF2B0D" w:rsidDel="00F10B53">
        <w:t xml:space="preserve"> </w:t>
      </w:r>
      <w:r w:rsidR="00E65AB6" w:rsidRPr="00DF2B0D">
        <w:t>interval</w:t>
      </w:r>
      <w:r w:rsidR="00134C06">
        <w:t>, under static air</w:t>
      </w:r>
      <w:r w:rsidR="00E65AB6" w:rsidRPr="00DF2B0D">
        <w:rPr>
          <w:rFonts w:hint="eastAsia"/>
        </w:rPr>
        <w:t>.</w:t>
      </w:r>
      <w:r w:rsidR="00441742" w:rsidRPr="00DF2B0D">
        <w:rPr>
          <w:rFonts w:cs="Times New Roman"/>
          <w:szCs w:val="24"/>
        </w:rPr>
        <w:t xml:space="preserve"> </w:t>
      </w:r>
      <w:bookmarkEnd w:id="1"/>
      <w:r w:rsidR="00441742" w:rsidRPr="00DF2B0D">
        <w:rPr>
          <w:rFonts w:cs="Times New Roman"/>
          <w:szCs w:val="24"/>
        </w:rPr>
        <w:t xml:space="preserve">Datasets from the </w:t>
      </w:r>
      <w:r w:rsidR="009D56A3" w:rsidRPr="00DF2B0D">
        <w:rPr>
          <w:rFonts w:cs="Times New Roman"/>
          <w:szCs w:val="24"/>
        </w:rPr>
        <w:t xml:space="preserve">high-resolution </w:t>
      </w:r>
      <w:r w:rsidR="00441742" w:rsidRPr="00DF2B0D">
        <w:rPr>
          <w:rFonts w:cs="Times New Roman"/>
          <w:szCs w:val="24"/>
        </w:rPr>
        <w:t>backscattered bank (2</w:t>
      </w:r>
      <w:r w:rsidR="00441742" w:rsidRPr="00DF2B0D">
        <w:rPr>
          <w:rFonts w:cs="Times New Roman"/>
          <w:i/>
          <w:szCs w:val="24"/>
        </w:rPr>
        <w:t>θ</w:t>
      </w:r>
      <w:r w:rsidR="00441742" w:rsidRPr="00DF2B0D">
        <w:rPr>
          <w:rFonts w:eastAsia="SimSun" w:cs="Times New Roman"/>
          <w:szCs w:val="24"/>
        </w:rPr>
        <w:t> ≈ 145°</w:t>
      </w:r>
      <w:r w:rsidR="00441742" w:rsidRPr="00DF2B0D">
        <w:rPr>
          <w:rFonts w:cs="Times New Roman"/>
          <w:szCs w:val="24"/>
        </w:rPr>
        <w:t xml:space="preserve">) in the range of 2.6 Å ≥ </w:t>
      </w:r>
      <w:r w:rsidR="00441742" w:rsidRPr="00DF2B0D">
        <w:rPr>
          <w:rFonts w:cs="Times New Roman"/>
          <w:i/>
          <w:szCs w:val="24"/>
        </w:rPr>
        <w:t>d-</w:t>
      </w:r>
      <w:r w:rsidR="00441742" w:rsidRPr="00DF2B0D">
        <w:rPr>
          <w:rFonts w:cs="Times New Roman"/>
          <w:szCs w:val="24"/>
        </w:rPr>
        <w:t>spacing</w:t>
      </w:r>
      <w:r w:rsidR="00441742" w:rsidRPr="00DF2B0D">
        <w:rPr>
          <w:rFonts w:cs="Times New Roman"/>
          <w:i/>
          <w:szCs w:val="24"/>
        </w:rPr>
        <w:t xml:space="preserve"> </w:t>
      </w:r>
      <w:r w:rsidR="00441742" w:rsidRPr="00DF2B0D">
        <w:rPr>
          <w:rFonts w:cs="Times New Roman"/>
          <w:szCs w:val="24"/>
        </w:rPr>
        <w:t xml:space="preserve">≥ 0.9 Å were used for the </w:t>
      </w:r>
      <w:r w:rsidRPr="00DF2B0D">
        <w:rPr>
          <w:rFonts w:cs="Times New Roman"/>
          <w:szCs w:val="24"/>
        </w:rPr>
        <w:t xml:space="preserve">structure </w:t>
      </w:r>
      <w:r w:rsidR="00441742" w:rsidRPr="00DF2B0D">
        <w:rPr>
          <w:rFonts w:cs="Times New Roman"/>
          <w:szCs w:val="24"/>
        </w:rPr>
        <w:t xml:space="preserve">refinement. </w:t>
      </w:r>
      <w:r w:rsidR="003906F4" w:rsidRPr="00DF2B0D">
        <w:rPr>
          <w:i/>
        </w:rPr>
        <w:t>In</w:t>
      </w:r>
      <w:r w:rsidR="003C25AB" w:rsidRPr="00DF2B0D">
        <w:rPr>
          <w:i/>
        </w:rPr>
        <w:t xml:space="preserve">-situ </w:t>
      </w:r>
      <w:r w:rsidR="003C25AB" w:rsidRPr="00DF2B0D">
        <w:t xml:space="preserve">high temperature XRD </w:t>
      </w:r>
      <w:r w:rsidR="003906F4" w:rsidRPr="00DF2B0D">
        <w:t xml:space="preserve">(HTXRD) </w:t>
      </w:r>
      <w:r w:rsidRPr="00DF2B0D">
        <w:t xml:space="preserve">data were </w:t>
      </w:r>
      <w:r w:rsidR="003C25AB" w:rsidRPr="00DF2B0D">
        <w:t xml:space="preserve">measured </w:t>
      </w:r>
      <w:r w:rsidRPr="00DF2B0D">
        <w:t xml:space="preserve">using a </w:t>
      </w:r>
      <w:r w:rsidR="003C25AB" w:rsidRPr="00DF2B0D">
        <w:t>PANalytical X'Pert diffractometer (Cu K</w:t>
      </w:r>
      <w:r w:rsidR="003C25AB" w:rsidRPr="00DF2B0D">
        <w:rPr>
          <w:rFonts w:cs="Times New Roman"/>
        </w:rPr>
        <w:t>α</w:t>
      </w:r>
      <w:r w:rsidR="003C25AB" w:rsidRPr="00DF2B0D">
        <w:rPr>
          <w:rFonts w:cs="Times New Roman"/>
          <w:vertAlign w:val="subscript"/>
        </w:rPr>
        <w:t>1</w:t>
      </w:r>
      <w:r w:rsidR="003C25AB" w:rsidRPr="00DF2B0D">
        <w:t xml:space="preserve"> radiation with </w:t>
      </w:r>
      <w:r w:rsidR="003C25AB" w:rsidRPr="00DF2B0D">
        <w:rPr>
          <w:rFonts w:cs="Times New Roman"/>
          <w:i/>
        </w:rPr>
        <w:t>λ</w:t>
      </w:r>
      <w:r w:rsidR="003C25AB" w:rsidRPr="00DF2B0D">
        <w:t xml:space="preserve"> = 1.54056 Å) fitted with Bühler HDK 2.4 high-temperature chamber. Samples were placed on a Pt heating </w:t>
      </w:r>
      <w:r w:rsidRPr="00DF2B0D">
        <w:t xml:space="preserve">strip </w:t>
      </w:r>
      <w:r w:rsidR="003C25AB" w:rsidRPr="00DF2B0D">
        <w:t xml:space="preserve">whose temperature was controlled with joule heating. Diffraction patterns were collected from room temperature up to 800 °C with the heating rate set to 60 °C/min and a </w:t>
      </w:r>
      <w:r w:rsidRPr="00DF2B0D">
        <w:t xml:space="preserve">hold </w:t>
      </w:r>
      <w:r w:rsidR="003C25AB" w:rsidRPr="00DF2B0D">
        <w:t>time of 1 min</w:t>
      </w:r>
      <w:r w:rsidR="003906F4" w:rsidRPr="00DF2B0D">
        <w:t xml:space="preserve">. </w:t>
      </w:r>
      <w:r w:rsidR="003C25AB" w:rsidRPr="00DF2B0D">
        <w:t xml:space="preserve">The actual temperature of the Pt strip was calibrated by refining the lattice parameter of the Pt. </w:t>
      </w:r>
      <w:r w:rsidR="00E436B0" w:rsidRPr="00DF2B0D">
        <w:t>All t</w:t>
      </w:r>
      <w:r w:rsidR="005D65AF" w:rsidRPr="00DF2B0D">
        <w:t xml:space="preserve">he crystal </w:t>
      </w:r>
      <w:r w:rsidR="00DA0769" w:rsidRPr="00DF2B0D">
        <w:t>structure</w:t>
      </w:r>
      <w:r w:rsidR="00E436B0" w:rsidRPr="00DF2B0D">
        <w:t>s</w:t>
      </w:r>
      <w:r w:rsidR="00DA0769" w:rsidRPr="00DF2B0D">
        <w:t xml:space="preserve"> </w:t>
      </w:r>
      <w:r w:rsidR="00E436B0" w:rsidRPr="00DF2B0D">
        <w:t>were</w:t>
      </w:r>
      <w:r w:rsidR="005D65AF" w:rsidRPr="00DF2B0D">
        <w:t xml:space="preserve"> refined using JANA2006</w:t>
      </w:r>
      <w:r w:rsidR="00A72DA0">
        <w:t>.</w:t>
      </w:r>
      <w:r w:rsidR="00DA5B5C">
        <w:rPr>
          <w:noProof/>
          <w:vertAlign w:val="superscript"/>
        </w:rPr>
        <w:fldChar w:fldCharType="begin" w:fldLock="1"/>
      </w:r>
      <w:r w:rsidR="000A4126">
        <w:rPr>
          <w:noProof/>
          <w:vertAlign w:val="superscript"/>
        </w:rPr>
        <w:instrText>ADDIN CSL_CITATION {"citationItems":[{"id":"ITEM-1","itemData":{"author":[{"dropping-particle":"","family":"Petříček","given":"Václav","non-dropping-particle":"","parse-names":false,"suffix":""},{"dropping-particle":"","family":"Dušek","given":"Michal","non-dropping-particle":"","parse-names":false,"suffix":""},{"dropping-particle":"","family":"Petricek","given":"Vaclav","non-dropping-particle":"","parse-names":false,"suffix":""},{"dropping-particle":"","family":"Dusek","given":"Michal","non-dropping-particle":"","parse-names":false,"suffix":""}],"container-title":"Karla Fejfarová &amp; Lukáš Palatinus Praha","id":"ITEM-1","issued":{"date-parts":[["2003"]]},"page":"137","title":"Jana2000 - Crystallographic computing system","type":"article-journal"},"uris":["http://www.mendeley.com/documents/?uuid=c12864bf-4163-4b11-b737-36aceeb189b1"]}],"mendeley":{"formattedCitation":"&lt;sup&gt;19&lt;/sup&gt;","plainTextFormattedCitation":"19","previouslyFormattedCitation":"&lt;sup&gt;18&lt;/sup&gt;"},"properties":{"noteIndex":0},"schema":"https://github.com/citation-style-language/schema/raw/master/csl-citation.json"}</w:instrText>
      </w:r>
      <w:r w:rsidR="00DA5B5C">
        <w:rPr>
          <w:noProof/>
          <w:vertAlign w:val="superscript"/>
        </w:rPr>
        <w:fldChar w:fldCharType="separate"/>
      </w:r>
      <w:r w:rsidR="000A4126" w:rsidRPr="000A4126">
        <w:rPr>
          <w:noProof/>
          <w:vertAlign w:val="superscript"/>
        </w:rPr>
        <w:t>19</w:t>
      </w:r>
      <w:r w:rsidR="00DA5B5C">
        <w:rPr>
          <w:noProof/>
          <w:vertAlign w:val="superscript"/>
        </w:rPr>
        <w:fldChar w:fldCharType="end"/>
      </w:r>
    </w:p>
    <w:p w14:paraId="10DA0B2E" w14:textId="48570B07" w:rsidR="00972BF0" w:rsidRDefault="00A74783" w:rsidP="00A74783">
      <w:pPr>
        <w:rPr>
          <w:rFonts w:cs="Times New Roman"/>
          <w:szCs w:val="24"/>
          <w:lang w:val="en-US"/>
        </w:rPr>
      </w:pPr>
      <w:r w:rsidRPr="00A74783">
        <w:rPr>
          <w:rFonts w:cs="Times New Roman"/>
          <w:szCs w:val="24"/>
          <w:vertAlign w:val="superscript"/>
          <w:lang w:val="en-US"/>
        </w:rPr>
        <w:t>17</w:t>
      </w:r>
      <w:r w:rsidRPr="00A74783">
        <w:rPr>
          <w:rFonts w:cs="Times New Roman"/>
          <w:szCs w:val="24"/>
          <w:lang w:val="en-US"/>
        </w:rPr>
        <w:t xml:space="preserve">O NMR experiments on </w:t>
      </w:r>
      <w:r w:rsidRPr="00A74783">
        <w:rPr>
          <w:rFonts w:cs="Times New Roman"/>
          <w:szCs w:val="24"/>
          <w:vertAlign w:val="superscript"/>
          <w:lang w:val="en-US"/>
        </w:rPr>
        <w:t>17</w:t>
      </w:r>
      <w:r w:rsidRPr="00A74783">
        <w:rPr>
          <w:rFonts w:cs="Times New Roman"/>
          <w:szCs w:val="24"/>
          <w:lang w:val="en-US"/>
        </w:rPr>
        <w:t xml:space="preserve">O enriched samples were carried out on a 16.4 T Bruker Avance III spectrometer. All one-dimensional spectra were obtained with a rotor synchronized Hahn echo pulse sequence experiment with one rotor period as </w:t>
      </w:r>
      <w:r w:rsidR="00B44EEA">
        <w:rPr>
          <w:rFonts w:cs="Times New Roman"/>
          <w:szCs w:val="24"/>
          <w:lang w:val="en-US"/>
        </w:rPr>
        <w:t xml:space="preserve">a </w:t>
      </w:r>
      <w:r w:rsidRPr="00A74783">
        <w:rPr>
          <w:rFonts w:cs="Times New Roman"/>
          <w:szCs w:val="24"/>
          <w:lang w:val="en-US"/>
        </w:rPr>
        <w:t xml:space="preserve">dephasing delay. All isotropic resonances have been identified by recording the </w:t>
      </w:r>
      <w:r w:rsidRPr="00A74783">
        <w:rPr>
          <w:rFonts w:cs="Times New Roman"/>
          <w:szCs w:val="24"/>
          <w:vertAlign w:val="superscript"/>
          <w:lang w:val="en-US"/>
        </w:rPr>
        <w:t>17</w:t>
      </w:r>
      <w:r w:rsidRPr="00A74783">
        <w:rPr>
          <w:rFonts w:cs="Times New Roman"/>
          <w:szCs w:val="24"/>
          <w:lang w:val="en-US"/>
        </w:rPr>
        <w:t>O NMR spectra at two different magic angle spinning (MAS</w:t>
      </w:r>
      <w:r w:rsidRPr="00E64B37">
        <w:rPr>
          <w:rFonts w:cs="Times New Roman"/>
          <w:szCs w:val="24"/>
          <w:lang w:val="en-US"/>
        </w:rPr>
        <w:t>)</w:t>
      </w:r>
      <w:r w:rsidRPr="00391AF4">
        <w:rPr>
          <w:rFonts w:cs="Times New Roman"/>
          <w:szCs w:val="24"/>
          <w:lang w:val="en-US"/>
        </w:rPr>
        <w:t xml:space="preserve"> rates minimum. Experiments in the 22 – 140 °C temperature range were performed with a Bruker 3.2 mm HXY triple-resonance MAS probe (in double resonance mode) tuned to </w:t>
      </w:r>
      <w:r w:rsidRPr="00255C5A">
        <w:rPr>
          <w:rFonts w:cs="Times New Roman"/>
          <w:szCs w:val="24"/>
          <w:vertAlign w:val="superscript"/>
          <w:lang w:val="en-US"/>
        </w:rPr>
        <w:t>17</w:t>
      </w:r>
      <w:r w:rsidRPr="00255C5A">
        <w:rPr>
          <w:rFonts w:cs="Times New Roman"/>
          <w:szCs w:val="24"/>
          <w:lang w:val="en-US"/>
        </w:rPr>
        <w:t xml:space="preserve">O at </w:t>
      </w:r>
      <w:r w:rsidRPr="00255C5A">
        <w:rPr>
          <w:rFonts w:ascii="Symbol" w:hAnsi="Symbol" w:cs="Times New Roman"/>
          <w:szCs w:val="24"/>
          <w:lang w:val="en-US"/>
        </w:rPr>
        <w:t></w:t>
      </w:r>
      <w:r w:rsidRPr="00A74783">
        <w:rPr>
          <w:rFonts w:cs="Times New Roman"/>
          <w:szCs w:val="24"/>
          <w:vertAlign w:val="subscript"/>
          <w:lang w:val="en-US"/>
        </w:rPr>
        <w:t>0</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 xml:space="preserve">O) = 94.96 MHz. 1D spectra were obtained with π/2 pulse length of 1.7 μs at a radio frequency field (rf) amplitude of </w:t>
      </w:r>
      <w:r w:rsidRPr="00A74783">
        <w:rPr>
          <w:rFonts w:ascii="Symbol" w:hAnsi="Symbol" w:cs="Times New Roman"/>
          <w:szCs w:val="24"/>
          <w:lang w:val="en-US"/>
        </w:rPr>
        <w:t></w:t>
      </w:r>
      <w:r w:rsidRPr="00A74783">
        <w:rPr>
          <w:rFonts w:cs="Times New Roman"/>
          <w:szCs w:val="24"/>
          <w:vertAlign w:val="subscript"/>
          <w:lang w:val="en-US"/>
        </w:rPr>
        <w:t>1</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O) = 50 kHz. Two-dimensional triple-quantum (TQ) MAS experiments were performed with a z-filter pulse sequence</w:t>
      </w:r>
      <w:r w:rsidR="00DA5B5C">
        <w:rPr>
          <w:rFonts w:cs="Times New Roman"/>
          <w:szCs w:val="24"/>
          <w:lang w:val="en-US"/>
        </w:rPr>
        <w:t>.</w:t>
      </w:r>
      <w:r w:rsidR="00C44152">
        <w:rPr>
          <w:rFonts w:cs="Times New Roman"/>
          <w:szCs w:val="24"/>
          <w:lang w:val="en-US"/>
        </w:rPr>
        <w:fldChar w:fldCharType="begin" w:fldLock="1"/>
      </w:r>
      <w:r w:rsidR="000A4126">
        <w:rPr>
          <w:rFonts w:cs="Times New Roman"/>
          <w:szCs w:val="24"/>
          <w:lang w:val="en-US"/>
        </w:rPr>
        <w:instrText>ADDIN CSL_CITATION {"citationItems":[{"id":"ITEM-1","itemData":{"DOI":"Doi 10.1021/Ja00124a023","ISSN":"0002-7863","author":[{"dropping-particle":"","family":"Frydman","given":"L","non-dropping-particle":"","parse-names":false,"suffix":""},{"dropping-particle":"","family":"Harwood","given":"J S","non-dropping-particle":"","parse-names":false,"suffix":""}],"container-title":"Journal of the American Chemical Society","id":"ITEM-1","issue":"19","issued":{"date-parts":[["1995","5"]]},"page":"5367-5368","publisher-place":"Frydman, L Univ Illinois,Dept Chem,M-C 111,845 W Taylor St,Chicago,Il 60607, USA Univ Illinois,Dept Chem,M-C 111,845 W Taylor St,Chicago,Il 60607, USA","title":"Isotropic Spectra of Half-Integer Quadrupolar Spins from Bidimensional Magic-Angle-Spinning Nmr","type":"article-journal","volume":"117"},"uris":["http://www.mendeley.com/documents/?uuid=057fa9f2-7a6f-489f-9273-4e25fbd19575"]},{"id":"ITEM-2","itemData":{"DOI":"10.1006/JMRA.1996.0221","ISSN":"1064-1858","author":[{"dropping-particle":"","family":"Amoureux","given":"Jean-Paul","non-dropping-particle":"","parse-names":false,"suffix":""},{"dropping-particle":"","family":"Fernandez","given":"Christian","non-dropping-particle":"","parse-names":false,"suffix":""},{"dropping-particle":"","family":"Steuernagel","given":"Stefan","non-dropping-particle":"","parse-names":false,"suffix":""}],"container-title":"Journal of Magnetic Resonance, Series A","id":"ITEM-2","issue":"1","issued":{"date-parts":[["1996","11","1"]]},"page":"116-118","publisher":"Academic Press","title":"ZFiltering in MQMAS NMR","type":"article-journal","volume":"123"},"uris":["http://www.mendeley.com/documents/?uuid=fe2b4dd4-8a35-3180-a65a-5dfbc4577336"]}],"mendeley":{"formattedCitation":"&lt;sup&gt;20,21&lt;/sup&gt;","plainTextFormattedCitation":"20,21","previouslyFormattedCitation":"&lt;sup&gt;19,20&lt;/sup&gt;"},"properties":{"noteIndex":0},"schema":"https://github.com/citation-style-language/schema/raw/master/csl-citation.json"}</w:instrText>
      </w:r>
      <w:r w:rsidR="00C44152">
        <w:rPr>
          <w:rFonts w:cs="Times New Roman"/>
          <w:szCs w:val="24"/>
          <w:lang w:val="en-US"/>
        </w:rPr>
        <w:fldChar w:fldCharType="separate"/>
      </w:r>
      <w:r w:rsidR="000A4126" w:rsidRPr="000A4126">
        <w:rPr>
          <w:rFonts w:cs="Times New Roman"/>
          <w:noProof/>
          <w:szCs w:val="24"/>
          <w:vertAlign w:val="superscript"/>
          <w:lang w:val="en-US"/>
        </w:rPr>
        <w:t>20,21</w:t>
      </w:r>
      <w:r w:rsidR="00C44152">
        <w:rPr>
          <w:rFonts w:cs="Times New Roman"/>
          <w:szCs w:val="24"/>
          <w:lang w:val="en-US"/>
        </w:rPr>
        <w:fldChar w:fldCharType="end"/>
      </w:r>
      <w:r w:rsidR="00C44152">
        <w:rPr>
          <w:rFonts w:cs="Times New Roman"/>
          <w:szCs w:val="24"/>
          <w:lang w:val="en-US"/>
        </w:rPr>
        <w:t xml:space="preserve"> 1</w:t>
      </w:r>
      <w:r w:rsidRPr="00A74783">
        <w:rPr>
          <w:rFonts w:cs="Times New Roman"/>
          <w:szCs w:val="24"/>
          <w:lang w:val="en-US"/>
        </w:rPr>
        <w:t>20 and 720 scans were averaged for each of 38 and 25 t</w:t>
      </w:r>
      <w:r w:rsidRPr="00A74783">
        <w:rPr>
          <w:rFonts w:cs="Times New Roman"/>
          <w:szCs w:val="24"/>
          <w:vertAlign w:val="subscript"/>
          <w:lang w:val="en-US"/>
        </w:rPr>
        <w:t>1</w:t>
      </w:r>
      <w:r w:rsidRPr="00A74783">
        <w:rPr>
          <w:rFonts w:cs="Times New Roman"/>
          <w:szCs w:val="24"/>
          <w:lang w:val="en-US"/>
        </w:rPr>
        <w:t xml:space="preserve"> points, incremented by 70.83 </w:t>
      </w:r>
      <w:r w:rsidRPr="00A74783">
        <w:rPr>
          <w:rFonts w:ascii="Symbol" w:hAnsi="Symbol" w:cs="Times New Roman"/>
          <w:szCs w:val="24"/>
          <w:lang w:val="en-US"/>
        </w:rPr>
        <w:t></w:t>
      </w:r>
      <w:r w:rsidRPr="00A74783">
        <w:rPr>
          <w:rFonts w:cs="Times New Roman"/>
          <w:szCs w:val="24"/>
          <w:lang w:val="en-US"/>
        </w:rPr>
        <w:t xml:space="preserve">s, for </w:t>
      </w:r>
      <w:r w:rsidRPr="00A74783">
        <w:rPr>
          <w:rFonts w:cs="Times New Roman"/>
          <w:szCs w:val="24"/>
          <w:vertAlign w:val="superscript"/>
        </w:rPr>
        <w:t>17</w:t>
      </w:r>
      <w:r w:rsidRPr="00A74783">
        <w:rPr>
          <w:rFonts w:cs="Times New Roman"/>
          <w:szCs w:val="24"/>
        </w:rPr>
        <w:t>O enriched LaNbO</w:t>
      </w:r>
      <w:r w:rsidRPr="00A74783">
        <w:rPr>
          <w:rFonts w:cs="Times New Roman"/>
          <w:szCs w:val="24"/>
          <w:vertAlign w:val="subscript"/>
        </w:rPr>
        <w:t>4</w:t>
      </w:r>
      <w:r w:rsidRPr="00A74783">
        <w:rPr>
          <w:rFonts w:cs="Times New Roman"/>
          <w:szCs w:val="24"/>
          <w:lang w:val="en-US"/>
        </w:rPr>
        <w:t xml:space="preserve"> and </w:t>
      </w:r>
      <w:r w:rsidRPr="00A74783">
        <w:rPr>
          <w:rFonts w:cs="Times New Roman"/>
          <w:szCs w:val="24"/>
        </w:rPr>
        <w:t>LaNb</w:t>
      </w:r>
      <w:r w:rsidRPr="00A74783">
        <w:rPr>
          <w:rFonts w:cs="Times New Roman"/>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A74783">
        <w:rPr>
          <w:rFonts w:cs="Times New Roman"/>
          <w:szCs w:val="24"/>
          <w:lang w:val="en-US"/>
        </w:rPr>
        <w:t xml:space="preserve"> respectively. Hard and soft pulses were performed at rf fields </w:t>
      </w:r>
      <w:r w:rsidRPr="00A74783">
        <w:rPr>
          <w:rFonts w:cs="Times New Roman"/>
          <w:szCs w:val="24"/>
          <w:lang w:val="en-US"/>
        </w:rPr>
        <w:lastRenderedPageBreak/>
        <w:t>of ~ 80 kHz and ~ 8 kHz, respectively. All the samples were packed in ZrO</w:t>
      </w:r>
      <w:r w:rsidRPr="00A74783">
        <w:rPr>
          <w:rFonts w:cs="Times New Roman"/>
          <w:szCs w:val="24"/>
          <w:vertAlign w:val="subscript"/>
          <w:lang w:val="en-US"/>
        </w:rPr>
        <w:t>2</w:t>
      </w:r>
      <w:r w:rsidRPr="00A74783">
        <w:rPr>
          <w:rFonts w:cs="Times New Roman"/>
          <w:szCs w:val="24"/>
          <w:lang w:val="en-US"/>
        </w:rPr>
        <w:t xml:space="preserve"> rotors and spun at a spinning frequency of </w:t>
      </w:r>
      <w:r w:rsidRPr="00A74783">
        <w:rPr>
          <w:rFonts w:ascii="Symbol" w:hAnsi="Symbol" w:cs="Times New Roman"/>
          <w:szCs w:val="24"/>
          <w:lang w:val="en-US"/>
        </w:rPr>
        <w:t></w:t>
      </w:r>
      <w:r w:rsidRPr="00A74783">
        <w:rPr>
          <w:rFonts w:cs="Times New Roman"/>
          <w:szCs w:val="24"/>
          <w:vertAlign w:val="subscript"/>
          <w:lang w:val="en-US"/>
        </w:rPr>
        <w:t>r</w:t>
      </w:r>
      <w:r w:rsidRPr="00A74783">
        <w:rPr>
          <w:rFonts w:cs="Times New Roman"/>
          <w:szCs w:val="24"/>
          <w:lang w:val="en-US"/>
        </w:rPr>
        <w:t xml:space="preserve"> = 20 kHz. Temperature calibration of the probe was performed in separate MAS experiments using the </w:t>
      </w:r>
      <w:r w:rsidRPr="00A74783">
        <w:rPr>
          <w:rFonts w:cs="Times New Roman"/>
          <w:szCs w:val="24"/>
          <w:vertAlign w:val="superscript"/>
          <w:lang w:val="en-US"/>
        </w:rPr>
        <w:t>207</w:t>
      </w:r>
      <w:r w:rsidRPr="00A74783">
        <w:rPr>
          <w:rFonts w:cs="Times New Roman"/>
          <w:szCs w:val="24"/>
          <w:lang w:val="en-US"/>
        </w:rPr>
        <w:t>Pb resonance of Pb(NO</w:t>
      </w:r>
      <w:r w:rsidRPr="00A74783">
        <w:rPr>
          <w:rFonts w:cs="Times New Roman"/>
          <w:szCs w:val="24"/>
          <w:vertAlign w:val="subscript"/>
          <w:lang w:val="en-US"/>
        </w:rPr>
        <w:t>3</w:t>
      </w:r>
      <w:r w:rsidRPr="00A74783">
        <w:rPr>
          <w:rFonts w:cs="Times New Roman"/>
          <w:szCs w:val="24"/>
          <w:lang w:val="en-US"/>
        </w:rPr>
        <w:t>)</w:t>
      </w:r>
      <w:r w:rsidRPr="00A74783">
        <w:rPr>
          <w:rFonts w:cs="Times New Roman"/>
          <w:szCs w:val="24"/>
          <w:vertAlign w:val="subscript"/>
          <w:lang w:val="en-US"/>
        </w:rPr>
        <w:t>2</w:t>
      </w:r>
      <w:r w:rsidR="00DF4521" w:rsidRPr="00DF4521">
        <w:rPr>
          <w:rFonts w:cs="Times New Roman"/>
          <w:szCs w:val="24"/>
          <w:lang w:val="en-US"/>
        </w:rPr>
        <w:t>.</w:t>
      </w:r>
      <w:r w:rsidR="00E64B16">
        <w:rPr>
          <w:rFonts w:cs="Times New Roman"/>
          <w:szCs w:val="24"/>
          <w:vertAlign w:val="subscript"/>
          <w:lang w:val="en-US"/>
        </w:rPr>
        <w:fldChar w:fldCharType="begin" w:fldLock="1"/>
      </w:r>
      <w:r w:rsidR="000A4126">
        <w:rPr>
          <w:rFonts w:cs="Times New Roman"/>
          <w:szCs w:val="24"/>
          <w:vertAlign w:val="subscript"/>
          <w:lang w:val="en-US"/>
        </w:rPr>
        <w:instrText>ADDIN CSL_CITATION {"citationItems":[{"id":"ITEM-1","itemData":{"DOI":"10.1006/jmra.1995.0010","ISSN":"10641858","abstract":"The remarkably sensitive temperature dependence of the207Pb chemical shift in magic-angle-spinning (MAS) spectra of lead nitrate provides an excellent method for thermometry in solid-state NMR. The temperature dependence is uniform over a range of at least -130 to +150°C, and also the NMR sensitivity and linewidth are very favorable. It is demonstrated that lead nitrate can be used in MAS probes to measure sample temperature changes, temperature gradients, MAS heating effects, and the dynamics of temperature jumps. © 1995 Academic Press, Inc.","author":[{"dropping-particle":"","family":"Bielecki","given":"Anthony","non-dropping-particle":"","parse-names":false,"suffix":""},{"dropping-particle":"","family":"Burum","given":"Douglas P.","non-dropping-particle":"","parse-names":false,"suffix":""}],"container-title":"Journal of Magnetic Resonance, Series A","id":"ITEM-1","issue":"2","issued":{"date-parts":[["1995"]]},"page":"215-220","title":"Temperature Dependence of &lt;sup&gt;207&lt;/sup&gt;Pb MAS Spectra of Solid Lead Nitrate. An Accurate, Sensitive Thermometer for Variable-Temperature MAS","type":"article-journal","volume":"116"},"uris":["http://www.mendeley.com/documents/?uuid=d5bc288b-c1ce-4b5c-8814-83e5f99b16cd"]}],"mendeley":{"formattedCitation":"&lt;sup&gt;22&lt;/sup&gt;","plainTextFormattedCitation":"22","previouslyFormattedCitation":"&lt;sup&gt;21&lt;/sup&gt;"},"properties":{"noteIndex":0},"schema":"https://github.com/citation-style-language/schema/raw/master/csl-citation.json"}</w:instrText>
      </w:r>
      <w:r w:rsidR="00E64B16">
        <w:rPr>
          <w:rFonts w:cs="Times New Roman"/>
          <w:szCs w:val="24"/>
          <w:vertAlign w:val="subscript"/>
          <w:lang w:val="en-US"/>
        </w:rPr>
        <w:fldChar w:fldCharType="separate"/>
      </w:r>
      <w:r w:rsidR="000A4126" w:rsidRPr="000A4126">
        <w:rPr>
          <w:rFonts w:cs="Times New Roman"/>
          <w:noProof/>
          <w:szCs w:val="24"/>
          <w:vertAlign w:val="superscript"/>
          <w:lang w:val="en-US"/>
        </w:rPr>
        <w:t>22</w:t>
      </w:r>
      <w:r w:rsidR="00E64B16">
        <w:rPr>
          <w:rFonts w:cs="Times New Roman"/>
          <w:szCs w:val="24"/>
          <w:vertAlign w:val="subscript"/>
          <w:lang w:val="en-US"/>
        </w:rPr>
        <w:fldChar w:fldCharType="end"/>
      </w:r>
      <w:r w:rsidR="00E64B16">
        <w:rPr>
          <w:rFonts w:cs="Times New Roman"/>
          <w:szCs w:val="24"/>
          <w:lang w:val="en-US"/>
        </w:rPr>
        <w:t xml:space="preserve"> </w:t>
      </w:r>
      <w:r w:rsidRPr="00A74783">
        <w:rPr>
          <w:rFonts w:cs="Times New Roman"/>
          <w:szCs w:val="24"/>
          <w:lang w:val="en-US"/>
        </w:rPr>
        <w:t xml:space="preserve">The sample temperatures quoted subsequently have all been corrected according to this </w:t>
      </w:r>
      <w:r w:rsidR="008F5246" w:rsidRPr="00A74783">
        <w:rPr>
          <w:rFonts w:cs="Times New Roman"/>
          <w:szCs w:val="24"/>
          <w:lang w:val="en-US"/>
        </w:rPr>
        <w:t>calibration and</w:t>
      </w:r>
      <w:r w:rsidRPr="00A74783">
        <w:rPr>
          <w:rFonts w:cs="Times New Roman"/>
          <w:szCs w:val="24"/>
          <w:lang w:val="en-US"/>
        </w:rPr>
        <w:t xml:space="preserve"> have an accuracy of ± 5 °C. Experiments at 270 °C were performed with a Bruker 4 mm X single-channel MAS probe tuned to </w:t>
      </w:r>
      <w:r w:rsidRPr="00A74783">
        <w:rPr>
          <w:rFonts w:cs="Times New Roman"/>
          <w:szCs w:val="24"/>
          <w:vertAlign w:val="superscript"/>
          <w:lang w:val="en-US"/>
        </w:rPr>
        <w:t>17</w:t>
      </w:r>
      <w:r w:rsidRPr="00A74783">
        <w:rPr>
          <w:rFonts w:cs="Times New Roman"/>
          <w:szCs w:val="24"/>
          <w:lang w:val="en-US"/>
        </w:rPr>
        <w:t xml:space="preserve">O at </w:t>
      </w:r>
      <w:r w:rsidRPr="00A74783">
        <w:rPr>
          <w:rFonts w:ascii="Symbol" w:hAnsi="Symbol" w:cs="Times New Roman"/>
          <w:szCs w:val="24"/>
          <w:lang w:val="en-US"/>
        </w:rPr>
        <w:t></w:t>
      </w:r>
      <w:r w:rsidRPr="00A74783">
        <w:rPr>
          <w:rFonts w:cs="Times New Roman"/>
          <w:szCs w:val="24"/>
          <w:vertAlign w:val="subscript"/>
          <w:lang w:val="en-US"/>
        </w:rPr>
        <w:t>0</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 xml:space="preserve">O) = 94.96 MHz. 1D spectra were obtained with π/2 pulse length of 1.7 μs at a rf field of </w:t>
      </w:r>
      <w:r w:rsidRPr="00A74783">
        <w:rPr>
          <w:rFonts w:ascii="Symbol" w:hAnsi="Symbol" w:cs="Times New Roman"/>
          <w:szCs w:val="24"/>
          <w:lang w:val="en-US"/>
        </w:rPr>
        <w:t></w:t>
      </w:r>
      <w:r w:rsidRPr="00A74783">
        <w:rPr>
          <w:rFonts w:cs="Times New Roman"/>
          <w:szCs w:val="24"/>
          <w:vertAlign w:val="subscript"/>
          <w:lang w:val="en-US"/>
        </w:rPr>
        <w:t>1</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O) = 50 kHz. All the samples were packed in ZrO</w:t>
      </w:r>
      <w:r w:rsidRPr="00A74783">
        <w:rPr>
          <w:rFonts w:cs="Times New Roman"/>
          <w:szCs w:val="24"/>
          <w:vertAlign w:val="subscript"/>
          <w:lang w:val="en-US"/>
        </w:rPr>
        <w:t>2</w:t>
      </w:r>
      <w:r w:rsidRPr="00A74783">
        <w:rPr>
          <w:rFonts w:cs="Times New Roman"/>
          <w:szCs w:val="24"/>
          <w:lang w:val="en-US"/>
        </w:rPr>
        <w:t xml:space="preserve"> rotors and spun at a spinning frequency of </w:t>
      </w:r>
      <w:r w:rsidRPr="00170B4B">
        <w:rPr>
          <w:rFonts w:ascii="Symbol" w:hAnsi="Symbol" w:cs="Times New Roman"/>
          <w:szCs w:val="24"/>
          <w:lang w:val="en-US"/>
        </w:rPr>
        <w:t></w:t>
      </w:r>
      <w:r w:rsidRPr="00A74783">
        <w:rPr>
          <w:rFonts w:cs="Times New Roman"/>
          <w:szCs w:val="24"/>
          <w:vertAlign w:val="subscript"/>
          <w:lang w:val="en-US"/>
        </w:rPr>
        <w:t>r</w:t>
      </w:r>
      <w:r w:rsidRPr="00A74783">
        <w:rPr>
          <w:rFonts w:cs="Times New Roman"/>
          <w:szCs w:val="24"/>
          <w:lang w:val="en-US"/>
        </w:rPr>
        <w:t xml:space="preserve"> = 14 kHz. Temperature calibration of the probe was performed in separate MAS experiments using the </w:t>
      </w:r>
      <w:r w:rsidRPr="00A74783">
        <w:rPr>
          <w:rFonts w:cs="Times New Roman"/>
          <w:szCs w:val="24"/>
          <w:vertAlign w:val="superscript"/>
          <w:lang w:val="en-US"/>
        </w:rPr>
        <w:t>79</w:t>
      </w:r>
      <w:r w:rsidRPr="00A74783">
        <w:rPr>
          <w:rFonts w:cs="Times New Roman"/>
          <w:szCs w:val="24"/>
          <w:lang w:val="en-US"/>
        </w:rPr>
        <w:t>Br resonance of KBr</w:t>
      </w:r>
      <w:r w:rsidR="00DF4521">
        <w:rPr>
          <w:rFonts w:cs="Times New Roman"/>
          <w:szCs w:val="24"/>
          <w:lang w:val="en-US"/>
        </w:rPr>
        <w:t>.</w:t>
      </w:r>
      <w:r w:rsidR="001E7ED2">
        <w:rPr>
          <w:rFonts w:cs="Times New Roman"/>
          <w:szCs w:val="24"/>
          <w:lang w:val="en-US"/>
        </w:rPr>
        <w:fldChar w:fldCharType="begin" w:fldLock="1"/>
      </w:r>
      <w:r w:rsidR="000A4126">
        <w:rPr>
          <w:rFonts w:cs="Times New Roman"/>
          <w:szCs w:val="24"/>
          <w:lang w:val="en-US"/>
        </w:rPr>
        <w:instrText>ADDIN CSL_CITATION {"citationItems":[{"id":"ITEM-1","itemData":{"DOI":"10.1016/j.jmr.2008.09.019","ISSN":"10907807","abstract":"Accurate determination of sample temperatures in solid state nuclear magnetic resonance (NMR) with magic-angle spinning (MAS) can be problematic, particularly because frictional heating and heating by radio-frequency irradiation can make the internal sample temperature significantly different from the temperature outside the MAS rotor. This paper demonstrates the use of 79Br chemical shifts and spin-lattice relaxation rates in KBr powder as temperature-dependent parameters for the determination of internal sample temperatures. Advantages of this method include high signal-to-noise, proximity of the 79Br NMR frequency to that of 13C, applicability from 20 K to 320 K or higher, and simultaneity with adjustment of the MAS axis direction. We show that spin-lattice relaxation in KBr is driven by a quadrupolar mechanism. We demonstrate a simple approach to including KBr powder in hydrated samples, such as biological membrane samples, hydrated amyloid fibrils, and hydrated microcrystalline proteins, that allows direct assessment of the effects of frictional and radio-frequency heating under experimentally relevant conditions.","author":[{"dropping-particle":"","family":"Thurber","given":"Kent R.","non-dropping-particle":"","parse-names":false,"suffix":""},{"dropping-particle":"","family":"Tycko","given":"Robert","non-dropping-particle":"","parse-names":false,"suffix":""}],"container-title":"Journal of Magnetic Resonance","id":"ITEM-1","issue":"1","issued":{"date-parts":[["2009"]]},"page":"84-87","title":"Measurement of sample temperatures under magic-angle spinning from the chemical shift and spin-lattice relaxation rate of &lt;sup&gt;79&lt;/sup&gt;Br in KBr powder","type":"article-journal","volume":"196"},"uris":["http://www.mendeley.com/documents/?uuid=c9c44a8b-cfa2-40fd-bdff-ad0683f464b2"]}],"mendeley":{"formattedCitation":"&lt;sup&gt;23&lt;/sup&gt;","plainTextFormattedCitation":"23","previouslyFormattedCitation":"&lt;sup&gt;22&lt;/sup&gt;"},"properties":{"noteIndex":0},"schema":"https://github.com/citation-style-language/schema/raw/master/csl-citation.json"}</w:instrText>
      </w:r>
      <w:r w:rsidR="001E7ED2">
        <w:rPr>
          <w:rFonts w:cs="Times New Roman"/>
          <w:szCs w:val="24"/>
          <w:lang w:val="en-US"/>
        </w:rPr>
        <w:fldChar w:fldCharType="separate"/>
      </w:r>
      <w:r w:rsidR="000A4126" w:rsidRPr="000A4126">
        <w:rPr>
          <w:rFonts w:cs="Times New Roman"/>
          <w:noProof/>
          <w:szCs w:val="24"/>
          <w:vertAlign w:val="superscript"/>
          <w:lang w:val="en-US"/>
        </w:rPr>
        <w:t>23</w:t>
      </w:r>
      <w:r w:rsidR="001E7ED2">
        <w:rPr>
          <w:rFonts w:cs="Times New Roman"/>
          <w:szCs w:val="24"/>
          <w:lang w:val="en-US"/>
        </w:rPr>
        <w:fldChar w:fldCharType="end"/>
      </w:r>
      <w:r w:rsidRPr="00A74783">
        <w:rPr>
          <w:rFonts w:cs="Times New Roman"/>
          <w:szCs w:val="24"/>
          <w:lang w:val="en-US"/>
        </w:rPr>
        <w:t xml:space="preserve"> The sample temperatures quoted subsequently have all been corrected according to this calibration, and have an accuracy of ±</w:t>
      </w:r>
      <w:r w:rsidR="00DF4521">
        <w:rPr>
          <w:rFonts w:cs="Times New Roman"/>
          <w:szCs w:val="24"/>
          <w:lang w:val="en-US"/>
        </w:rPr>
        <w:t> </w:t>
      </w:r>
      <w:r w:rsidRPr="00A74783">
        <w:rPr>
          <w:rFonts w:cs="Times New Roman"/>
          <w:szCs w:val="24"/>
          <w:lang w:val="en-US"/>
        </w:rPr>
        <w:t>5 °C. Experiments above 270 °C were performed with a Bruker 7 mm HX laser heated</w:t>
      </w:r>
      <w:r w:rsidR="001E7ED2">
        <w:rPr>
          <w:rFonts w:cs="Times New Roman"/>
          <w:szCs w:val="24"/>
          <w:lang w:val="en-US"/>
        </w:rPr>
        <w:fldChar w:fldCharType="begin" w:fldLock="1"/>
      </w:r>
      <w:r w:rsidR="000A4126">
        <w:rPr>
          <w:rFonts w:cs="Times New Roman"/>
          <w:szCs w:val="24"/>
          <w:lang w:val="en-US"/>
        </w:rPr>
        <w:instrText>ADDIN CSL_CITATION {"citationItems":[{"id":"ITEM-1","itemData":{"DOI":"10.1016/0926-2040(95)01214-1","ISSN":"09262040","abstract":"The temperature of zeolite samples containing various adsorbed molecules was rapidly changed (within 15 s) from room temperature to 600 K by means of a laser beam. The location of the sealed glass ampoule in a boron nitride container decreases the temperature gradient in the sample and avoids laser-induced reactions. The technique facilitates time-dependent magic-angle-spinning (MAS) NMR spectroscopy of high-temperature reactions which take place within 60 s. The H-D exchange in the hydrogen form of zeolites loaded with fully deuterated molecules, the methanol-to-gasoline conversion and the catalytic ethylbenzene disproportionation in zeolites were monitored by 13C and 1H MAS NMR by means of a \"stop and go\" method.","author":[{"dropping-particle":"","family":"Ernst","given":"Horst","non-dropping-particle":"","parse-names":false,"suffix":""},{"dropping-particle":"","family":"Freude","given":"Dieter","non-dropping-particle":"","parse-names":false,"suffix":""},{"dropping-particle":"","family":"Mildner","given":"Toralf","non-dropping-particle":"","parse-names":false,"suffix":""},{"dropping-particle":"","family":"Wolf","given":"Ingo","non-dropping-particle":"","parse-names":false,"suffix":""}],"container-title":"Solid State Nuclear Magnetic Resonance","id":"ITEM-1","issue":"2","issued":{"date-parts":[["1996","4"]]},"page":"147-156","publisher-place":"Univ Leipzig, Abt Grenzflachenphys,D-04103 Leipzig,Germany","title":"Laser-supported high-temperature MAS NMR for time-resolved in situ studies of reaction steps in heterogeneous catalysis","type":"article-journal","volume":"6"},"uris":["http://www.mendeley.com/documents/?uuid=b8aaf9ab-dd56-4464-95f8-89347ca88702"]}],"mendeley":{"formattedCitation":"&lt;sup&gt;24&lt;/sup&gt;","plainTextFormattedCitation":"24","previouslyFormattedCitation":"&lt;sup&gt;23&lt;/sup&gt;"},"properties":{"noteIndex":0},"schema":"https://github.com/citation-style-language/schema/raw/master/csl-citation.json"}</w:instrText>
      </w:r>
      <w:r w:rsidR="001E7ED2">
        <w:rPr>
          <w:rFonts w:cs="Times New Roman"/>
          <w:szCs w:val="24"/>
          <w:lang w:val="en-US"/>
        </w:rPr>
        <w:fldChar w:fldCharType="separate"/>
      </w:r>
      <w:r w:rsidR="000A4126" w:rsidRPr="000A4126">
        <w:rPr>
          <w:rFonts w:cs="Times New Roman"/>
          <w:noProof/>
          <w:szCs w:val="24"/>
          <w:vertAlign w:val="superscript"/>
          <w:lang w:val="en-US"/>
        </w:rPr>
        <w:t>24</w:t>
      </w:r>
      <w:r w:rsidR="001E7ED2">
        <w:rPr>
          <w:rFonts w:cs="Times New Roman"/>
          <w:szCs w:val="24"/>
          <w:lang w:val="en-US"/>
        </w:rPr>
        <w:fldChar w:fldCharType="end"/>
      </w:r>
      <w:r w:rsidR="001E7ED2">
        <w:rPr>
          <w:rFonts w:cs="Times New Roman"/>
          <w:szCs w:val="24"/>
          <w:lang w:val="en-US"/>
        </w:rPr>
        <w:t>.</w:t>
      </w:r>
      <w:r w:rsidR="001E7ED2">
        <w:rPr>
          <w:rStyle w:val="CommentReference"/>
        </w:rPr>
        <w:t xml:space="preserve"> </w:t>
      </w:r>
      <w:r w:rsidRPr="00A74783">
        <w:rPr>
          <w:rFonts w:cs="Times New Roman"/>
          <w:szCs w:val="24"/>
          <w:lang w:val="en-US"/>
        </w:rPr>
        <w:t xml:space="preserve"> MAS probe tuned to </w:t>
      </w:r>
      <w:r w:rsidRPr="00A74783">
        <w:rPr>
          <w:rFonts w:cs="Times New Roman"/>
          <w:szCs w:val="24"/>
          <w:vertAlign w:val="superscript"/>
          <w:lang w:val="en-US"/>
        </w:rPr>
        <w:t>17</w:t>
      </w:r>
      <w:r w:rsidRPr="00A74783">
        <w:rPr>
          <w:rFonts w:cs="Times New Roman"/>
          <w:szCs w:val="24"/>
          <w:lang w:val="en-US"/>
        </w:rPr>
        <w:t xml:space="preserve">O at </w:t>
      </w:r>
      <w:r w:rsidRPr="00A74783">
        <w:rPr>
          <w:rFonts w:ascii="Symbol" w:hAnsi="Symbol" w:cs="Times New Roman"/>
          <w:szCs w:val="24"/>
          <w:lang w:val="en-US"/>
        </w:rPr>
        <w:t></w:t>
      </w:r>
      <w:r w:rsidRPr="00A74783">
        <w:rPr>
          <w:rFonts w:cs="Times New Roman"/>
          <w:szCs w:val="24"/>
          <w:vertAlign w:val="subscript"/>
          <w:lang w:val="en-US"/>
        </w:rPr>
        <w:t>0</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 xml:space="preserve">O) = 94.96 MHz. 1D spectra were obtained with π/2 pulse length of 3.3 μs at a rf field of </w:t>
      </w:r>
      <w:r w:rsidRPr="00A74783">
        <w:rPr>
          <w:rFonts w:ascii="Symbol" w:hAnsi="Symbol" w:cs="Times New Roman"/>
          <w:szCs w:val="24"/>
          <w:lang w:val="en-US"/>
        </w:rPr>
        <w:t></w:t>
      </w:r>
      <w:r w:rsidRPr="00A74783">
        <w:rPr>
          <w:rFonts w:cs="Times New Roman"/>
          <w:szCs w:val="24"/>
          <w:vertAlign w:val="subscript"/>
          <w:lang w:val="en-US"/>
        </w:rPr>
        <w:t>1</w:t>
      </w:r>
      <w:r w:rsidRPr="00A74783">
        <w:rPr>
          <w:rFonts w:cs="Times New Roman"/>
          <w:szCs w:val="24"/>
          <w:lang w:val="en-US"/>
        </w:rPr>
        <w:t>(</w:t>
      </w:r>
      <w:r w:rsidRPr="00A74783">
        <w:rPr>
          <w:rFonts w:cs="Times New Roman"/>
          <w:szCs w:val="24"/>
          <w:vertAlign w:val="superscript"/>
          <w:lang w:val="en-US"/>
        </w:rPr>
        <w:t>17</w:t>
      </w:r>
      <w:r w:rsidRPr="00A74783">
        <w:rPr>
          <w:rFonts w:cs="Times New Roman"/>
          <w:szCs w:val="24"/>
          <w:lang w:val="en-US"/>
        </w:rPr>
        <w:t xml:space="preserve">O) = 25 kHz. All the samples were packed in BN containers and spun at a spinning frequency of </w:t>
      </w:r>
      <w:r w:rsidRPr="00A74783">
        <w:rPr>
          <w:rFonts w:ascii="Symbol" w:hAnsi="Symbol" w:cs="Times New Roman"/>
          <w:szCs w:val="24"/>
          <w:lang w:val="en-US"/>
        </w:rPr>
        <w:t></w:t>
      </w:r>
      <w:r w:rsidRPr="00A74783">
        <w:rPr>
          <w:rFonts w:cs="Times New Roman"/>
          <w:szCs w:val="24"/>
          <w:vertAlign w:val="subscript"/>
          <w:lang w:val="en-US"/>
        </w:rPr>
        <w:t>r</w:t>
      </w:r>
      <w:r w:rsidRPr="00A74783">
        <w:rPr>
          <w:rFonts w:cs="Times New Roman"/>
          <w:szCs w:val="24"/>
          <w:lang w:val="en-US"/>
        </w:rPr>
        <w:t xml:space="preserve"> = 14 kHz in ZrO</w:t>
      </w:r>
      <w:r w:rsidRPr="00A74783">
        <w:rPr>
          <w:rFonts w:cs="Times New Roman"/>
          <w:szCs w:val="24"/>
          <w:vertAlign w:val="subscript"/>
          <w:lang w:val="en-US"/>
        </w:rPr>
        <w:t>2</w:t>
      </w:r>
      <w:r w:rsidRPr="00A74783">
        <w:rPr>
          <w:rFonts w:cs="Times New Roman"/>
          <w:szCs w:val="24"/>
          <w:lang w:val="en-US"/>
        </w:rPr>
        <w:t xml:space="preserve"> rotors. Temperature calibration of the probe was performed in separate MAS experiments using the </w:t>
      </w:r>
      <w:r w:rsidRPr="00A74783">
        <w:rPr>
          <w:rFonts w:cs="Times New Roman"/>
          <w:szCs w:val="24"/>
          <w:vertAlign w:val="superscript"/>
          <w:lang w:val="en-US"/>
        </w:rPr>
        <w:t>79</w:t>
      </w:r>
      <w:r w:rsidRPr="00A74783">
        <w:rPr>
          <w:rFonts w:cs="Times New Roman"/>
          <w:szCs w:val="24"/>
          <w:lang w:val="en-US"/>
        </w:rPr>
        <w:t xml:space="preserve">Br resonance of KBr. The sample temperatures quoted subsequently have all been corrected according to this calibration, and have an accuracy of ± 10 °C with a temperature gradient across the BN sample holder of ~ 30 °C. </w:t>
      </w:r>
    </w:p>
    <w:p w14:paraId="3B900171" w14:textId="3E91773C" w:rsidR="0029613B" w:rsidRDefault="006C2B7F" w:rsidP="0029613B">
      <w:pPr>
        <w:rPr>
          <w:rFonts w:cs="Times New Roman"/>
          <w:szCs w:val="24"/>
          <w:lang w:val="en-US"/>
        </w:rPr>
      </w:pPr>
      <w:r w:rsidRPr="00C06FEA">
        <w:rPr>
          <w:rFonts w:cs="Times New Roman"/>
          <w:szCs w:val="24"/>
          <w:vertAlign w:val="superscript"/>
          <w:lang w:val="en-US"/>
        </w:rPr>
        <w:t>93</w:t>
      </w:r>
      <w:r>
        <w:rPr>
          <w:rFonts w:cs="Times New Roman"/>
          <w:szCs w:val="24"/>
          <w:lang w:val="en-US"/>
        </w:rPr>
        <w:t xml:space="preserve">Nb </w:t>
      </w:r>
      <w:r w:rsidRPr="00A74783">
        <w:rPr>
          <w:rFonts w:cs="Times New Roman"/>
          <w:szCs w:val="24"/>
          <w:lang w:val="en-US"/>
        </w:rPr>
        <w:t xml:space="preserve">NMR experiments were </w:t>
      </w:r>
      <w:r w:rsidR="0029613B">
        <w:rPr>
          <w:rFonts w:cs="Times New Roman"/>
          <w:szCs w:val="24"/>
          <w:lang w:val="en-US"/>
        </w:rPr>
        <w:t xml:space="preserve">performed </w:t>
      </w:r>
      <w:r w:rsidRPr="00A74783">
        <w:rPr>
          <w:rFonts w:cs="Times New Roman"/>
          <w:szCs w:val="24"/>
          <w:lang w:val="en-US"/>
        </w:rPr>
        <w:t xml:space="preserve">on a </w:t>
      </w:r>
      <w:r>
        <w:rPr>
          <w:rFonts w:cs="Times New Roman"/>
          <w:szCs w:val="24"/>
          <w:lang w:val="en-US"/>
        </w:rPr>
        <w:t>20</w:t>
      </w:r>
      <w:r w:rsidRPr="00A74783">
        <w:rPr>
          <w:rFonts w:cs="Times New Roman"/>
          <w:szCs w:val="24"/>
          <w:lang w:val="en-US"/>
        </w:rPr>
        <w:t xml:space="preserve"> T Bruker Avance II spectrometer</w:t>
      </w:r>
      <w:r w:rsidR="0029613B">
        <w:rPr>
          <w:rFonts w:cs="Times New Roman"/>
          <w:szCs w:val="24"/>
          <w:lang w:val="en-US"/>
        </w:rPr>
        <w:t xml:space="preserve"> using a Jeol double resonance 1 mm HX probe </w:t>
      </w:r>
      <w:r w:rsidR="0029613B" w:rsidRPr="00A74783">
        <w:rPr>
          <w:rFonts w:cs="Times New Roman"/>
          <w:szCs w:val="24"/>
          <w:lang w:val="en-US"/>
        </w:rPr>
        <w:t xml:space="preserve">tuned to </w:t>
      </w:r>
      <w:r w:rsidR="0029613B" w:rsidRPr="00A74783">
        <w:rPr>
          <w:rFonts w:ascii="Symbol" w:hAnsi="Symbol" w:cs="Times New Roman"/>
          <w:szCs w:val="24"/>
          <w:lang w:val="en-US"/>
        </w:rPr>
        <w:t></w:t>
      </w:r>
      <w:r w:rsidR="0029613B" w:rsidRPr="00A74783">
        <w:rPr>
          <w:rFonts w:cs="Times New Roman"/>
          <w:szCs w:val="24"/>
          <w:vertAlign w:val="subscript"/>
          <w:lang w:val="en-US"/>
        </w:rPr>
        <w:t>0</w:t>
      </w:r>
      <w:r w:rsidR="0029613B" w:rsidRPr="00A74783">
        <w:rPr>
          <w:rFonts w:cs="Times New Roman"/>
          <w:szCs w:val="24"/>
          <w:lang w:val="en-US"/>
        </w:rPr>
        <w:t>(</w:t>
      </w:r>
      <w:r w:rsidR="0029613B">
        <w:rPr>
          <w:rFonts w:cs="Times New Roman"/>
          <w:szCs w:val="24"/>
          <w:vertAlign w:val="superscript"/>
          <w:lang w:val="en-US"/>
        </w:rPr>
        <w:t>93</w:t>
      </w:r>
      <w:r w:rsidR="0029613B">
        <w:rPr>
          <w:rFonts w:cs="Times New Roman"/>
          <w:szCs w:val="24"/>
          <w:lang w:val="en-US"/>
        </w:rPr>
        <w:t>Nb</w:t>
      </w:r>
      <w:r w:rsidR="0029613B" w:rsidRPr="00A74783">
        <w:rPr>
          <w:rFonts w:cs="Times New Roman"/>
          <w:szCs w:val="24"/>
          <w:lang w:val="en-US"/>
        </w:rPr>
        <w:t xml:space="preserve">) = </w:t>
      </w:r>
      <w:r w:rsidR="0029613B">
        <w:rPr>
          <w:rFonts w:cs="Times New Roman"/>
          <w:szCs w:val="24"/>
          <w:lang w:val="en-US"/>
        </w:rPr>
        <w:t>207</w:t>
      </w:r>
      <w:r w:rsidR="0029613B" w:rsidRPr="00A74783">
        <w:rPr>
          <w:rFonts w:cs="Times New Roman"/>
          <w:szCs w:val="24"/>
          <w:lang w:val="en-US"/>
        </w:rPr>
        <w:t>.9</w:t>
      </w:r>
      <w:r w:rsidR="0029613B">
        <w:rPr>
          <w:rFonts w:cs="Times New Roman"/>
          <w:szCs w:val="24"/>
          <w:lang w:val="en-US"/>
        </w:rPr>
        <w:t>0</w:t>
      </w:r>
      <w:r w:rsidR="0029613B" w:rsidRPr="00A74783">
        <w:rPr>
          <w:rFonts w:cs="Times New Roman"/>
          <w:szCs w:val="24"/>
          <w:lang w:val="en-US"/>
        </w:rPr>
        <w:t xml:space="preserve"> MHz</w:t>
      </w:r>
      <w:r w:rsidR="0029613B">
        <w:rPr>
          <w:rFonts w:cs="Times New Roman"/>
          <w:szCs w:val="24"/>
          <w:lang w:val="en-US"/>
        </w:rPr>
        <w:t xml:space="preserve"> and under MAS at </w:t>
      </w:r>
      <w:r w:rsidR="0029613B" w:rsidRPr="00A74783">
        <w:rPr>
          <w:rFonts w:cs="Times New Roman"/>
          <w:szCs w:val="24"/>
          <w:lang w:val="en-US"/>
        </w:rPr>
        <w:t xml:space="preserve">a spinning frequency of </w:t>
      </w:r>
      <w:r w:rsidR="0029613B" w:rsidRPr="00170B4B">
        <w:rPr>
          <w:rFonts w:ascii="Symbol" w:hAnsi="Symbol" w:cs="Times New Roman"/>
          <w:szCs w:val="24"/>
          <w:lang w:val="en-US"/>
        </w:rPr>
        <w:t></w:t>
      </w:r>
      <w:r w:rsidR="0029613B" w:rsidRPr="00A74783">
        <w:rPr>
          <w:rFonts w:cs="Times New Roman"/>
          <w:szCs w:val="24"/>
          <w:vertAlign w:val="subscript"/>
          <w:lang w:val="en-US"/>
        </w:rPr>
        <w:t>r</w:t>
      </w:r>
      <w:r w:rsidR="0029613B" w:rsidRPr="00A74783">
        <w:rPr>
          <w:rFonts w:cs="Times New Roman"/>
          <w:szCs w:val="24"/>
          <w:lang w:val="en-US"/>
        </w:rPr>
        <w:t xml:space="preserve"> = </w:t>
      </w:r>
      <w:r w:rsidR="0029613B">
        <w:rPr>
          <w:rFonts w:cs="Times New Roman"/>
          <w:szCs w:val="24"/>
          <w:lang w:val="en-US"/>
        </w:rPr>
        <w:t>78</w:t>
      </w:r>
      <w:r w:rsidR="0029613B" w:rsidRPr="00A74783">
        <w:rPr>
          <w:rFonts w:cs="Times New Roman"/>
          <w:szCs w:val="24"/>
          <w:lang w:val="en-US"/>
        </w:rPr>
        <w:t xml:space="preserve"> kHz</w:t>
      </w:r>
      <w:r w:rsidR="00ED0089">
        <w:rPr>
          <w:rFonts w:cs="Times New Roman"/>
          <w:szCs w:val="24"/>
          <w:lang w:val="en-US"/>
        </w:rPr>
        <w:t xml:space="preserve"> with recycle delays of 0.1 s. </w:t>
      </w:r>
      <w:r w:rsidR="0029613B">
        <w:rPr>
          <w:rFonts w:cs="Times New Roman"/>
          <w:szCs w:val="24"/>
          <w:lang w:val="en-US"/>
        </w:rPr>
        <w:t>O</w:t>
      </w:r>
      <w:r w:rsidRPr="00A74783">
        <w:rPr>
          <w:rFonts w:cs="Times New Roman"/>
          <w:szCs w:val="24"/>
          <w:lang w:val="en-US"/>
        </w:rPr>
        <w:t xml:space="preserve">ne-dimensional spectra were obtained with a </w:t>
      </w:r>
      <w:r w:rsidR="0029613B">
        <w:rPr>
          <w:rFonts w:cs="Times New Roman"/>
          <w:szCs w:val="24"/>
          <w:lang w:val="en-US"/>
        </w:rPr>
        <w:t xml:space="preserve">pulse acquire </w:t>
      </w:r>
      <w:r w:rsidRPr="00A74783">
        <w:rPr>
          <w:rFonts w:cs="Times New Roman"/>
          <w:szCs w:val="24"/>
          <w:lang w:val="en-US"/>
        </w:rPr>
        <w:t xml:space="preserve">sequence experiment </w:t>
      </w:r>
      <w:r w:rsidR="0029613B">
        <w:rPr>
          <w:rFonts w:cs="Times New Roman"/>
          <w:szCs w:val="24"/>
          <w:lang w:val="en-US"/>
        </w:rPr>
        <w:t xml:space="preserve">using selective </w:t>
      </w:r>
      <w:r w:rsidR="0029613B" w:rsidRPr="00A74783">
        <w:rPr>
          <w:rFonts w:cs="Times New Roman"/>
          <w:szCs w:val="24"/>
          <w:lang w:val="en-US"/>
        </w:rPr>
        <w:t xml:space="preserve">π/2 pulse length of </w:t>
      </w:r>
      <w:r w:rsidR="00932DD5">
        <w:rPr>
          <w:rFonts w:cs="Times New Roman"/>
          <w:szCs w:val="24"/>
          <w:lang w:val="en-US"/>
        </w:rPr>
        <w:t>2.5</w:t>
      </w:r>
      <w:r w:rsidR="0029613B" w:rsidRPr="00A74783">
        <w:rPr>
          <w:rFonts w:cs="Times New Roman"/>
          <w:szCs w:val="24"/>
          <w:lang w:val="en-US"/>
        </w:rPr>
        <w:t xml:space="preserve"> μs at a rf field of </w:t>
      </w:r>
      <w:r w:rsidR="0029613B" w:rsidRPr="00A74783">
        <w:rPr>
          <w:rFonts w:ascii="Symbol" w:hAnsi="Symbol" w:cs="Times New Roman"/>
          <w:szCs w:val="24"/>
          <w:lang w:val="en-US"/>
        </w:rPr>
        <w:t></w:t>
      </w:r>
      <w:r w:rsidR="0029613B" w:rsidRPr="00A74783">
        <w:rPr>
          <w:rFonts w:cs="Times New Roman"/>
          <w:szCs w:val="24"/>
          <w:vertAlign w:val="subscript"/>
          <w:lang w:val="en-US"/>
        </w:rPr>
        <w:t>1</w:t>
      </w:r>
      <w:r w:rsidR="0029613B" w:rsidRPr="00A74783">
        <w:rPr>
          <w:rFonts w:cs="Times New Roman"/>
          <w:szCs w:val="24"/>
          <w:lang w:val="en-US"/>
        </w:rPr>
        <w:t>(</w:t>
      </w:r>
      <w:r w:rsidR="00932DD5">
        <w:rPr>
          <w:rFonts w:cs="Times New Roman"/>
          <w:szCs w:val="24"/>
          <w:vertAlign w:val="superscript"/>
          <w:lang w:val="en-US"/>
        </w:rPr>
        <w:t>93</w:t>
      </w:r>
      <w:r w:rsidR="00932DD5">
        <w:rPr>
          <w:rFonts w:cs="Times New Roman"/>
          <w:szCs w:val="24"/>
          <w:lang w:val="en-US"/>
        </w:rPr>
        <w:t>Nb</w:t>
      </w:r>
      <w:r w:rsidR="0029613B" w:rsidRPr="00A74783">
        <w:rPr>
          <w:rFonts w:cs="Times New Roman"/>
          <w:szCs w:val="24"/>
          <w:lang w:val="en-US"/>
        </w:rPr>
        <w:t xml:space="preserve">) </w:t>
      </w:r>
      <w:r w:rsidR="00932DD5">
        <w:rPr>
          <w:rFonts w:cs="Times New Roman"/>
          <w:szCs w:val="24"/>
          <w:lang w:val="en-US"/>
        </w:rPr>
        <w:t>~ 20</w:t>
      </w:r>
      <w:r w:rsidR="0029613B" w:rsidRPr="00A74783">
        <w:rPr>
          <w:rFonts w:cs="Times New Roman"/>
          <w:szCs w:val="24"/>
          <w:lang w:val="en-US"/>
        </w:rPr>
        <w:t xml:space="preserve"> kHz</w:t>
      </w:r>
      <w:r w:rsidR="00932DD5">
        <w:rPr>
          <w:rFonts w:cs="Times New Roman"/>
          <w:szCs w:val="24"/>
          <w:lang w:val="en-US"/>
        </w:rPr>
        <w:t xml:space="preserve"> and satisfying the weak rf regime irradiation condition. </w:t>
      </w:r>
      <w:r w:rsidR="0029613B" w:rsidRPr="00A74783">
        <w:rPr>
          <w:rFonts w:cs="Times New Roman"/>
          <w:szCs w:val="24"/>
          <w:lang w:val="en-US"/>
        </w:rPr>
        <w:t>All the samples were packed in ZrO</w:t>
      </w:r>
      <w:r w:rsidR="0029613B" w:rsidRPr="00A74783">
        <w:rPr>
          <w:rFonts w:cs="Times New Roman"/>
          <w:szCs w:val="24"/>
          <w:vertAlign w:val="subscript"/>
          <w:lang w:val="en-US"/>
        </w:rPr>
        <w:t>2</w:t>
      </w:r>
      <w:r w:rsidR="0029613B" w:rsidRPr="00A74783">
        <w:rPr>
          <w:rFonts w:cs="Times New Roman"/>
          <w:szCs w:val="24"/>
          <w:lang w:val="en-US"/>
        </w:rPr>
        <w:t xml:space="preserve"> rotors. </w:t>
      </w:r>
      <w:r w:rsidR="00932DD5" w:rsidRPr="00A74783">
        <w:rPr>
          <w:rFonts w:cs="Times New Roman"/>
          <w:szCs w:val="24"/>
          <w:lang w:val="en-US"/>
        </w:rPr>
        <w:t>TQ MAS experiments were performed with a z-filter pulse sequence</w:t>
      </w:r>
      <w:r w:rsidR="00932DD5">
        <w:rPr>
          <w:rFonts w:cs="Times New Roman"/>
          <w:szCs w:val="24"/>
          <w:lang w:val="en-US"/>
        </w:rPr>
        <w:t xml:space="preserve"> and 20480</w:t>
      </w:r>
      <w:r w:rsidR="00932DD5" w:rsidRPr="00A74783">
        <w:rPr>
          <w:rFonts w:cs="Times New Roman"/>
          <w:szCs w:val="24"/>
          <w:lang w:val="en-US"/>
        </w:rPr>
        <w:t xml:space="preserve"> scans were averaged for each of </w:t>
      </w:r>
      <w:r w:rsidR="00932DD5">
        <w:rPr>
          <w:rFonts w:cs="Times New Roman"/>
          <w:szCs w:val="24"/>
          <w:lang w:val="en-US"/>
        </w:rPr>
        <w:t>32</w:t>
      </w:r>
      <w:r w:rsidR="00932DD5" w:rsidRPr="00A74783">
        <w:rPr>
          <w:rFonts w:cs="Times New Roman"/>
          <w:szCs w:val="24"/>
          <w:lang w:val="en-US"/>
        </w:rPr>
        <w:t xml:space="preserve"> t</w:t>
      </w:r>
      <w:r w:rsidR="00932DD5" w:rsidRPr="00A74783">
        <w:rPr>
          <w:rFonts w:cs="Times New Roman"/>
          <w:szCs w:val="24"/>
          <w:vertAlign w:val="subscript"/>
          <w:lang w:val="en-US"/>
        </w:rPr>
        <w:t>1</w:t>
      </w:r>
      <w:r w:rsidR="00932DD5" w:rsidRPr="00A74783">
        <w:rPr>
          <w:rFonts w:cs="Times New Roman"/>
          <w:szCs w:val="24"/>
          <w:lang w:val="en-US"/>
        </w:rPr>
        <w:t xml:space="preserve"> points. Hard and soft pulses were performed at rf fields of ~ </w:t>
      </w:r>
      <w:r w:rsidR="00932DD5">
        <w:rPr>
          <w:rFonts w:cs="Times New Roman"/>
          <w:szCs w:val="24"/>
          <w:lang w:val="en-US"/>
        </w:rPr>
        <w:t>10</w:t>
      </w:r>
      <w:r w:rsidR="00932DD5" w:rsidRPr="00A74783">
        <w:rPr>
          <w:rFonts w:cs="Times New Roman"/>
          <w:szCs w:val="24"/>
          <w:lang w:val="en-US"/>
        </w:rPr>
        <w:t xml:space="preserve">0 kHz and ~ </w:t>
      </w:r>
      <w:r w:rsidR="00932DD5">
        <w:rPr>
          <w:rFonts w:cs="Times New Roman"/>
          <w:szCs w:val="24"/>
          <w:lang w:val="en-US"/>
        </w:rPr>
        <w:t>20</w:t>
      </w:r>
      <w:r w:rsidR="00932DD5" w:rsidRPr="00A74783">
        <w:rPr>
          <w:rFonts w:cs="Times New Roman"/>
          <w:szCs w:val="24"/>
          <w:lang w:val="en-US"/>
        </w:rPr>
        <w:t xml:space="preserve"> kHz, respectively.</w:t>
      </w:r>
      <w:r w:rsidR="00164649">
        <w:rPr>
          <w:rFonts w:cs="Times New Roman"/>
          <w:szCs w:val="24"/>
          <w:lang w:val="en-US"/>
        </w:rPr>
        <w:t xml:space="preserve"> The </w:t>
      </w:r>
      <w:r w:rsidR="00164649" w:rsidRPr="00C06FEA">
        <w:rPr>
          <w:rFonts w:cs="Times New Roman"/>
          <w:szCs w:val="24"/>
          <w:vertAlign w:val="superscript"/>
          <w:lang w:val="en-US"/>
        </w:rPr>
        <w:t>93</w:t>
      </w:r>
      <w:r w:rsidR="00164649">
        <w:rPr>
          <w:rFonts w:cs="Times New Roman"/>
          <w:szCs w:val="24"/>
          <w:lang w:val="en-US"/>
        </w:rPr>
        <w:t>Nb isotropic chemical shifts and quadrupolar products were obtained from the center of gravity of the NMR lines in the TQ MAS data according to the literature</w:t>
      </w:r>
      <w:r w:rsidR="00DF4521">
        <w:rPr>
          <w:rFonts w:cs="Times New Roman"/>
          <w:szCs w:val="24"/>
          <w:lang w:val="en-US"/>
        </w:rPr>
        <w:t>.</w:t>
      </w:r>
      <w:r w:rsidR="00A95E94">
        <w:rPr>
          <w:rFonts w:cs="Times New Roman"/>
          <w:szCs w:val="24"/>
          <w:lang w:val="en-US"/>
        </w:rPr>
        <w:fldChar w:fldCharType="begin" w:fldLock="1"/>
      </w:r>
      <w:r w:rsidR="000A4126">
        <w:rPr>
          <w:rFonts w:cs="Times New Roman"/>
          <w:szCs w:val="24"/>
          <w:lang w:val="en-US"/>
        </w:rPr>
        <w:instrText>ADDIN CSL_CITATION {"citationItems":[{"id":"ITEM-1","itemData":{"DOI":"10.1006/snmr.2001.0043","ISSN":"09262040","abstract":"The increasing development and application of the multiple-quantum MAS NMR for half-integer quadrupole spins has led to various RF pulse sequences for improving the excitation of multiple-quantum coherences and their conversion to single-quantum coherences. As a result, several conventions for labeling the F1 dimension of a 2D MQ-MAS spectrum appear in the literature. The corresponding relations for extracting the isotropic chemical shift, the quadrupole coupling constant, and the asymmetry parameter from experimental data are not always provided. We analyze these various conventions systematically and propose a new one, similar to that introduced by J.-P. Amoureux and C. Fernandez (2000, Solid State NMR 10, 339-343). These various conventions are illustrated with 27Al (I = 5/2) nuclei in aluminum acetylacetonate Al(CH3COCHCOCH3)3. Another experimental problem often met, the aliasing of peaks in the 2D spectrum, is analyzed and illustrated with 27Al (I = 5/2) in NH4Y zeolite and 23Na (I = 3/2) in sodium pyrophosphate Na4P2O7. © 2002 Elsevier Science (USA).","author":[{"dropping-particle":"","family":"Millot","given":"Yannick","non-dropping-particle":"","parse-names":false,"suffix":""},{"dropping-particle":"","family":"Man","given":"Pascal P.","non-dropping-particle":"","parse-names":false,"suffix":""}],"container-title":"Solid State Nuclear Magnetic Resonance","id":"ITEM-1","issue":"1-2","issued":{"date-parts":[["2002"]]},"page":"21-43","title":"Procedures for labeling the high-resolution axis of two-dimensional MQ-MAS NMR spectra of half-integer quadrupole spins","type":"article-journal","volume":"21"},"uris":["http://www.mendeley.com/documents/?uuid=0ba708a6-d69b-4941-90b0-a55f46620b1b"]},{"id":"ITEM-2","itemData":{"DOI":"10.1039/b907183k","ISSN":"14639076","abstract":"Nuclear magnetic resonance (NMR) spectroscopy of quadrupolar nuclei (i.e., those with a spin quantum number I &gt; 1/2) has always been viewed as \"difficult\" owing to the presence of an anisotropic broadening arising from the interaction of the nuclear electric quadrupole moment with the electric field gradient. This quadrupolar interaction can be considerable, resulting in broadening of the spectral resonances often over many MHz. Furthermore, magic-angle spinning (MAS), a conventional approach for increasing the resolution in solid-state NMR, is often unable to remove the broadening completely and high-resolution spectra are generally not obtained. Despite the vast amount of information contained in the anisotropic linewidths and lineshapes, the resolution and sensitivity challenges have, until recently, somewhat limited the application of solid-state NMR for quadrupolar nuclei. In general, structural information, such as that obtained through recoupling techniques or from two-dimensional correlation spectroscopy, is much more difficult to extract easily and accurately. However, recent advances in magnet design, probe hardware and pulse sequence development have significantly improved the ease with which quadrupolar spins can be studied and high-resolution spectra can be obtained, and recent applications are beginning to exploit the wealth of information available. In this discussion, we highlight just a few of the recent developments in this area, including new state-of-the art correlation experiments, the expanding study of nuclei with low gyromagnetic ratio, [gamma], the increasing application of first-principles calculations in the solid state, and methods which exploit the quadrupolar broadening to provide information on dynamics. Whilst not a complete review, it is hoped that this brief overview of some of the more exciting recent developments can provide insight into the challenges, and the rewards, involved in the NMR study of quadrupolar nuclei.","author":[{"dropping-particle":"","family":"Ashbrook","given":"Sharon E.","non-dropping-particle":"","parse-names":false,"suffix":""}],"container-title":"Physical Chemistry Chemical Physics","id":"ITEM-2","issue":"32","issued":{"date-parts":[["2009"]]},"page":"6876-6891","title":"Recent advances in solid-state NMR spectroscopy of quadrupolar nuclei","type":"article-journal","volume":"11"},"uris":["http://www.mendeley.com/documents/?uuid=57c517b6-6a3d-4be5-ba8e-9c293eccdf9a"]}],"mendeley":{"formattedCitation":"&lt;sup&gt;25,26&lt;/sup&gt;","plainTextFormattedCitation":"25,26","previouslyFormattedCitation":"&lt;sup&gt;24,25&lt;/sup&gt;"},"properties":{"noteIndex":0},"schema":"https://github.com/citation-style-language/schema/raw/master/csl-citation.json"}</w:instrText>
      </w:r>
      <w:r w:rsidR="00A95E94">
        <w:rPr>
          <w:rFonts w:cs="Times New Roman"/>
          <w:szCs w:val="24"/>
          <w:lang w:val="en-US"/>
        </w:rPr>
        <w:fldChar w:fldCharType="separate"/>
      </w:r>
      <w:r w:rsidR="000A4126" w:rsidRPr="000A4126">
        <w:rPr>
          <w:rFonts w:cs="Times New Roman"/>
          <w:noProof/>
          <w:szCs w:val="24"/>
          <w:vertAlign w:val="superscript"/>
          <w:lang w:val="en-US"/>
        </w:rPr>
        <w:t>25,26</w:t>
      </w:r>
      <w:r w:rsidR="00A95E94">
        <w:rPr>
          <w:rFonts w:cs="Times New Roman"/>
          <w:szCs w:val="24"/>
          <w:lang w:val="en-US"/>
        </w:rPr>
        <w:fldChar w:fldCharType="end"/>
      </w:r>
      <w:r w:rsidR="00B56546">
        <w:rPr>
          <w:rFonts w:cs="Times New Roman"/>
          <w:szCs w:val="24"/>
          <w:lang w:val="en-US"/>
        </w:rPr>
        <w:t xml:space="preserve"> Previous work identifying links between </w:t>
      </w:r>
      <w:r w:rsidR="00B56546" w:rsidRPr="00C06FEA">
        <w:rPr>
          <w:rFonts w:cs="Times New Roman"/>
          <w:szCs w:val="24"/>
          <w:vertAlign w:val="superscript"/>
          <w:lang w:val="en-US"/>
        </w:rPr>
        <w:t>93</w:t>
      </w:r>
      <w:r w:rsidR="00B56546">
        <w:rPr>
          <w:rFonts w:cs="Times New Roman"/>
          <w:szCs w:val="24"/>
          <w:lang w:val="en-US"/>
        </w:rPr>
        <w:t>Nb parameters and local structure was used for tentative spectral assignments</w:t>
      </w:r>
      <w:r w:rsidR="00DF4521">
        <w:rPr>
          <w:rFonts w:cs="Times New Roman"/>
          <w:szCs w:val="24"/>
          <w:lang w:val="en-US"/>
        </w:rPr>
        <w:t>.</w:t>
      </w:r>
      <w:r w:rsidR="00A95E94">
        <w:rPr>
          <w:rFonts w:cs="Times New Roman"/>
          <w:szCs w:val="24"/>
          <w:lang w:val="en-US"/>
        </w:rPr>
        <w:fldChar w:fldCharType="begin" w:fldLock="1"/>
      </w:r>
      <w:r w:rsidR="000A4126">
        <w:rPr>
          <w:rFonts w:cs="Times New Roman"/>
          <w:szCs w:val="24"/>
          <w:lang w:val="en-US"/>
        </w:rPr>
        <w:instrText>ADDIN CSL_CITATION {"citationItems":[{"id":"ITEM-1","itemData":{"DOI":"10.1021/jp020457q","ISSN":"10895639","abstract":"State 93 Nb, 19 F, and 113 Cd Nuclear Magnetic Resonance Study of Niobium Oxyfluorides: / .","author":[{"dropping-particle":"","family":"Du","given":"Lin Shu","non-dropping-particle":"","parse-names":false,"suffix":""},{"dropping-particle":"","family":"Schurko","given":"Robert W.","non-dropping-particle":"","parse-names":false,"suffix":""},{"dropping-particle":"","family":"Kim","given":"Namjun","non-dropping-particle":"","parse-names":false,"suffix":""},{"dropping-particle":"","family":"Grey","given":"Clare P.","non-dropping-particle":"","parse-names":false,"suffix":""}],"container-title":"Journal of Physical Chemistry A","id":"ITEM-1","issue":"34","issued":{"date-parts":[["2002"]]},"page":"7876-7886","title":"Solid-state &lt;sup&gt;93&lt;/sup&gt;Nb, &lt;sup&gt;19&lt;/sup&gt;F, and &lt;sup&gt;113&lt;/sup&gt;Cd nuclear magnetic resonance study of niobium oxyfluorides: Characterization of local distortions and oxygen/fluorine ordering","type":"article-journal","volume":"106"},"uris":["http://www.mendeley.com/documents/?uuid=3d57f968-77b8-4dfb-ad69-d7f60b70d8fc"]},{"id":"ITEM-2","itemData":{"DOI":"10.1039/c3cp44016h","ISSN":"14639076","abstract":"Ab initio DFT calculations of 93Nb NMR parameters using the NMR-CASTEP code were performed for a series of over fifty individual niobates, and a good agreement has been found with experimental NMR parameters. New experimental and calculated 93Nb NMR data were obtained for several compounds, AlNbO4, VNb9O25, K 8Nb6O19 and Cs3NbO8, which are of particular interest for catalysis. Several interesting trends have been identified between 93Nb NMR parameters and the specifics of niobium site environments in niobates. These trends may serve as useful guidelines in interpreting 93Nb NMR spectra of complex niobium oxide systems, including amorphous samples and niobium-based multicomponent heterogeneous catalysts. Potential applications of 93Nb NMR to study solid polyoxoniobates are discussed. ? 2013 The Owner Societies.","author":[{"dropping-particle":"","family":"Papulovskiy","given":"Evgeniy","non-dropping-particle":"","parse-names":false,"suffix":""},{"dropping-particle":"","family":"Shubin","given":"Alexandre A.","non-dropping-particle":"","parse-names":false,"suffix":""},{"dropping-particle":"V.","family":"Terskikh","given":"Victor","non-dropping-particle":"","parse-names":false,"suffix":""},{"dropping-particle":"","family":"Pickard","given":"Chris J.","non-dropping-particle":"","parse-names":false,"suffix":""},{"dropping-particle":"","family":"Lapina","given":"Olga B.","non-dropping-particle":"","parse-names":false,"suffix":""}],"container-title":"Physical Chemistry Chemical Physics","id":"ITEM-2","issued":{"date-parts":[["2013"]]},"page":"5115-5131","title":"Theoretical and experimental insights into applicability of solid-state &lt;sup&gt;93&lt;/sup&gt;Nb NMR in catalysis","type":"article-journal","volume":"15"},"uris":["http://www.mendeley.com/documents/?uuid=5823cd11-1303-4ce2-b80c-d1506452a535"]},{"id":"ITEM-3","itemData":{"DOI":"10.1021/cm4014656","ISSN":"08974756","abstract":"In a study combining high-resolution single-crystal neutron diffraction and solid-state nuclear magnetic resonance, the mixed ionic-electronic conductor ?-Ba4Nb2O9 is shown to have a unique structure type, incorporating niobium in 4-, 5-, and 6-coordinate environments. The 4-and 5-coordinate niobium tetrahedra and trigonal bipyrimids exist in discrete layers, within and among which their orientations vary systematically to form a complex superstructure. Through analysis and comparison of data obtained from hydrated versus dehydrated samples, a mechanism is proposed for the ready hydration of the material by atmospheric water. This mechanism, and the resulting hydrated structure, help explain the high protonic and oxide ionic conductivity of ?-Ba4Nb2O9. ? 2013 American Chemical Society.","author":[{"dropping-particle":"","family":"Dunstan","given":"Matthew T.","non-dropping-particle":"","parse-names":false,"suffix":""},{"dropping-particle":"","family":"Blanc","given":"Frédéric","non-dropping-particle":"","parse-names":false,"suffix":""},{"dropping-particle":"","family":"Avdeev","given":"Maxim","non-dropping-particle":"","parse-names":false,"suffix":""},{"dropping-particle":"","family":"McIntyre","given":"Garry J.","non-dropping-particle":"","parse-names":false,"suffix":""},{"dropping-particle":"","family":"Grey","given":"Clare P.","non-dropping-particle":"","parse-names":false,"suffix":""},{"dropping-particle":"","family":"Ling","given":"Chris D.","non-dropping-particle":"","parse-names":false,"suffix":""}],"container-title":"Chemistry of Materials","id":"ITEM-3","issued":{"date-parts":[["2013"]]},"page":"3154-3161","title":"Long-Range-Ordered Coexistence of 4-, 5-, and 6-Coordinate Niobium in the Mixed Ionic-Electronic Conductor γ-Ba&lt;sub&gt;4&lt;/sub&gt;Nb&lt;sub&gt;2&lt;/sub&gt;O&lt;sub&gt;9&lt;/sub&gt;","type":"article-journal","volume":"25"},"uris":["http://www.mendeley.com/documents/?uuid=ac4db284-23af-4df0-9223-b70eabffcdd7"]},{"id":"ITEM-4","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Journal","id":"ITEM-4","issue":"10","issued":{"date-parts":[["2010"]]},"page":"3222-3239","title":"A &lt;sup&gt;93&lt;/sup&gt;Nb solid-state NMR and density functional theory study of four- and six-coordinate niobate systems","type":"article-journal","volume":"16"},"uris":["http://www.mendeley.com/documents/?uuid=5506ed75-1758-4567-8e07-2790092fbf05"]}],"mendeley":{"formattedCitation":"&lt;sup&gt;27–30&lt;/sup&gt;","plainTextFormattedCitation":"27–30","previouslyFormattedCitation":"&lt;sup&gt;26–29&lt;/sup&gt;"},"properties":{"noteIndex":0},"schema":"https://github.com/citation-style-language/schema/raw/master/csl-citation.json"}</w:instrText>
      </w:r>
      <w:r w:rsidR="00A95E94">
        <w:rPr>
          <w:rFonts w:cs="Times New Roman"/>
          <w:szCs w:val="24"/>
          <w:lang w:val="en-US"/>
        </w:rPr>
        <w:fldChar w:fldCharType="separate"/>
      </w:r>
      <w:r w:rsidR="000A4126" w:rsidRPr="000A4126">
        <w:rPr>
          <w:rFonts w:cs="Times New Roman"/>
          <w:noProof/>
          <w:szCs w:val="24"/>
          <w:vertAlign w:val="superscript"/>
          <w:lang w:val="en-US"/>
        </w:rPr>
        <w:t>27–30</w:t>
      </w:r>
      <w:r w:rsidR="00A95E94">
        <w:rPr>
          <w:rFonts w:cs="Times New Roman"/>
          <w:szCs w:val="24"/>
          <w:lang w:val="en-US"/>
        </w:rPr>
        <w:fldChar w:fldCharType="end"/>
      </w:r>
    </w:p>
    <w:p w14:paraId="298DCE2A" w14:textId="5F61DD47" w:rsidR="00A74783" w:rsidRPr="00A74783" w:rsidRDefault="00A74783" w:rsidP="00A74783">
      <w:pPr>
        <w:rPr>
          <w:rFonts w:cs="Times New Roman"/>
          <w:szCs w:val="24"/>
          <w:lang w:val="en-US"/>
        </w:rPr>
      </w:pPr>
      <w:r w:rsidRPr="00A74783">
        <w:rPr>
          <w:rFonts w:cs="Times New Roman"/>
          <w:szCs w:val="24"/>
          <w:lang w:val="en-US"/>
        </w:rPr>
        <w:t xml:space="preserve">All </w:t>
      </w:r>
      <w:r w:rsidRPr="00A74783">
        <w:rPr>
          <w:rFonts w:cs="Times New Roman"/>
          <w:szCs w:val="24"/>
          <w:vertAlign w:val="superscript"/>
          <w:lang w:val="en-US"/>
        </w:rPr>
        <w:t>17</w:t>
      </w:r>
      <w:r w:rsidRPr="00A74783">
        <w:rPr>
          <w:rFonts w:cs="Times New Roman"/>
          <w:szCs w:val="24"/>
          <w:lang w:val="en-US"/>
        </w:rPr>
        <w:t>O shifts were externally referenced to water at 0.0 ppm</w:t>
      </w:r>
      <w:r w:rsidR="006C2B7F">
        <w:rPr>
          <w:rFonts w:cs="Times New Roman"/>
          <w:szCs w:val="24"/>
          <w:lang w:val="en-US"/>
        </w:rPr>
        <w:t xml:space="preserve">. All </w:t>
      </w:r>
      <w:r w:rsidR="006C2B7F" w:rsidRPr="00E973C1">
        <w:rPr>
          <w:rFonts w:cs="Times New Roman"/>
          <w:szCs w:val="24"/>
          <w:vertAlign w:val="superscript"/>
          <w:lang w:val="en-US"/>
        </w:rPr>
        <w:t>93</w:t>
      </w:r>
      <w:r w:rsidR="006C2B7F">
        <w:rPr>
          <w:rFonts w:cs="Times New Roman"/>
          <w:szCs w:val="24"/>
          <w:lang w:val="en-US"/>
        </w:rPr>
        <w:t xml:space="preserve">Nb </w:t>
      </w:r>
      <w:r w:rsidR="006C2B7F" w:rsidRPr="00A74783">
        <w:rPr>
          <w:rFonts w:cs="Times New Roman"/>
          <w:szCs w:val="24"/>
          <w:lang w:val="en-US"/>
        </w:rPr>
        <w:t>shifts</w:t>
      </w:r>
      <w:r w:rsidR="00972BF0">
        <w:rPr>
          <w:rFonts w:cs="Times New Roman"/>
          <w:szCs w:val="24"/>
          <w:lang w:val="en-US"/>
        </w:rPr>
        <w:t xml:space="preserve"> </w:t>
      </w:r>
      <w:r w:rsidR="006C2B7F">
        <w:rPr>
          <w:rFonts w:cs="Times New Roman"/>
          <w:szCs w:val="24"/>
          <w:lang w:val="en-US"/>
        </w:rPr>
        <w:t xml:space="preserve">were externally referenced to </w:t>
      </w:r>
      <w:r w:rsidR="00972BF0">
        <w:rPr>
          <w:rFonts w:cs="Times New Roman"/>
          <w:szCs w:val="24"/>
          <w:lang w:val="en-US"/>
        </w:rPr>
        <w:t>LiNbO</w:t>
      </w:r>
      <w:r w:rsidR="00972BF0" w:rsidRPr="00C06FEA">
        <w:rPr>
          <w:rFonts w:cs="Times New Roman"/>
          <w:szCs w:val="24"/>
          <w:vertAlign w:val="subscript"/>
          <w:lang w:val="en-US"/>
        </w:rPr>
        <w:t>3</w:t>
      </w:r>
      <w:r w:rsidR="00972BF0">
        <w:rPr>
          <w:rFonts w:cs="Times New Roman"/>
          <w:szCs w:val="24"/>
          <w:lang w:val="en-US"/>
        </w:rPr>
        <w:t xml:space="preserve"> at the center of gravity of the line at – </w:t>
      </w:r>
      <w:r w:rsidR="002D4A8F">
        <w:rPr>
          <w:rFonts w:cs="Times New Roman"/>
          <w:szCs w:val="24"/>
          <w:lang w:val="en-US"/>
        </w:rPr>
        <w:t>100</w:t>
      </w:r>
      <w:r w:rsidR="009A69D8">
        <w:rPr>
          <w:rFonts w:cs="Times New Roman"/>
          <w:szCs w:val="24"/>
          <w:lang w:val="en-US"/>
        </w:rPr>
        <w:t>3</w:t>
      </w:r>
      <w:r w:rsidR="00972BF0">
        <w:rPr>
          <w:rFonts w:cs="Times New Roman"/>
          <w:szCs w:val="24"/>
          <w:lang w:val="en-US"/>
        </w:rPr>
        <w:t xml:space="preserve"> ppm (</w:t>
      </w:r>
      <w:r w:rsidR="006C2B7F">
        <w:rPr>
          <w:rFonts w:cs="Times New Roman"/>
          <w:szCs w:val="24"/>
          <w:lang w:val="en-US"/>
        </w:rPr>
        <w:t>from the known isotropic shift of this phase of – 988 ppm</w:t>
      </w:r>
      <w:r w:rsidR="00A95E94">
        <w:rPr>
          <w:rFonts w:cs="Times New Roman"/>
          <w:szCs w:val="24"/>
          <w:lang w:val="en-US"/>
        </w:rPr>
        <w:fldChar w:fldCharType="begin" w:fldLock="1"/>
      </w:r>
      <w:r w:rsidR="000A4126">
        <w:rPr>
          <w:rFonts w:cs="Times New Roman"/>
          <w:szCs w:val="24"/>
          <w:lang w:val="en-US"/>
        </w:rPr>
        <w:instrText>ADDIN CSL_CITATION {"citationItems":[{"id":"ITEM-1","itemData":{"DOI":"10.1002/chem.200901581","ISSN":"15213765","abstract":"A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Journal","id":"ITEM-1","issue":"10","issued":{"date-parts":[["2010"]]},"page":"3222-3239","title":"A &lt;sup&gt;93&lt;/sup&gt;Nb solid-state NMR and density functional theory study of four- and six-coordinate niobate systems","type":"article-journal","volume":"16"},"uris":["http://www.mendeley.com/documents/?uuid=5506ed75-1758-4567-8e07-2790092fbf05"]}],"mendeley":{"formattedCitation":"&lt;sup&gt;30&lt;/sup&gt;","plainTextFormattedCitation":"30","previouslyFormattedCitation":"&lt;sup&gt;29&lt;/sup&gt;"},"properties":{"noteIndex":0},"schema":"https://github.com/citation-style-language/schema/raw/master/csl-citation.json"}</w:instrText>
      </w:r>
      <w:r w:rsidR="00A95E94">
        <w:rPr>
          <w:rFonts w:cs="Times New Roman"/>
          <w:szCs w:val="24"/>
          <w:lang w:val="en-US"/>
        </w:rPr>
        <w:fldChar w:fldCharType="separate"/>
      </w:r>
      <w:r w:rsidR="000A4126" w:rsidRPr="000A4126">
        <w:rPr>
          <w:rFonts w:cs="Times New Roman"/>
          <w:noProof/>
          <w:szCs w:val="24"/>
          <w:vertAlign w:val="superscript"/>
          <w:lang w:val="en-US"/>
        </w:rPr>
        <w:t>30</w:t>
      </w:r>
      <w:r w:rsidR="00A95E94">
        <w:rPr>
          <w:rFonts w:cs="Times New Roman"/>
          <w:szCs w:val="24"/>
          <w:lang w:val="en-US"/>
        </w:rPr>
        <w:fldChar w:fldCharType="end"/>
      </w:r>
      <w:r w:rsidR="006C2B7F">
        <w:rPr>
          <w:rFonts w:cs="Times New Roman"/>
          <w:szCs w:val="24"/>
          <w:lang w:val="en-US"/>
        </w:rPr>
        <w:t xml:space="preserve"> and a quadrupolar-induced shift</w:t>
      </w:r>
      <w:r w:rsidR="00A95E94">
        <w:rPr>
          <w:rFonts w:cs="Times New Roman"/>
          <w:szCs w:val="24"/>
          <w:lang w:val="en-US"/>
        </w:rPr>
        <w:fldChar w:fldCharType="begin" w:fldLock="1"/>
      </w:r>
      <w:r w:rsidR="000A4126">
        <w:rPr>
          <w:rFonts w:cs="Times New Roman"/>
          <w:szCs w:val="24"/>
          <w:lang w:val="en-US"/>
        </w:rPr>
        <w:instrText>ADDIN CSL_CITATION {"citationItems":[{"id":"ITEM-1","itemData":{"DOI":"10.1021/ja00045a023","ISSN":"15205126","abstract":"Five inorganic rubidium salts, RbCl, RbClO4, Rb2SO4, Rb2CrO4, and RbNO3, were examined using Rb-87 NMR spectroscopy. Significant line narrowing occurs under dynamic-angle spinning (DAS) compared to magic-angle spinning (MAS) or variable-angle spinning (VAS). From DAS spectra acquired at various magnetic field strengths, isotropic chemical shifts and isotropic second-order quadrupolar shifts were obtained. By simulations of single-site line shapes obtained from MAS-detected DAS experiments, complete chemical shift and quadrupolar parameters were determined for each of the three crystallographically distinct rubidium sites in RbNO3.","author":[{"dropping-particle":"","family":"Baltisberger","given":"J. H.","non-dropping-particle":"","parse-names":false,"suffix":""},{"dropping-particle":"","family":"Gann","given":"S. L.","non-dropping-particle":"","parse-names":false,"suffix":""},{"dropping-particle":"","family":"Pines","given":"A.","non-dropping-particle":"","parse-names":false,"suffix":""},{"dropping-particle":"","family":"Wooten","given":"E. W.","non-dropping-particle":"","parse-names":false,"suffix":""},{"dropping-particle":"","family":"Chang","given":"T. H.","non-dropping-particle":"","parse-names":false,"suffix":""},{"dropping-particle":"","family":"Mueller","given":"K. T.","non-dropping-particle":"","parse-names":false,"suffix":""}],"container-title":"Journal of the American Chemical Society","id":"ITEM-1","issue":"19","issued":{"date-parts":[["1992"]]},"page":"7489-7493","title":"&lt;sup&gt;87&lt;/sup&gt;Rb Dynamic-Angle Spinning NMR Spectroscopy of Inorganic Rubidium Salts","type":"article-journal","volume":"114"},"uris":["http://www.mendeley.com/documents/?uuid=c949285b-75ed-4bc4-99e1-ae4a93f42385"]}],"mendeley":{"formattedCitation":"&lt;sup&gt;31&lt;/sup&gt;","plainTextFormattedCitation":"31","previouslyFormattedCitation":"&lt;sup&gt;30&lt;/sup&gt;"},"properties":{"noteIndex":0},"schema":"https://github.com/citation-style-language/schema/raw/master/csl-citation.json"}</w:instrText>
      </w:r>
      <w:r w:rsidR="00A95E94">
        <w:rPr>
          <w:rFonts w:cs="Times New Roman"/>
          <w:szCs w:val="24"/>
          <w:lang w:val="en-US"/>
        </w:rPr>
        <w:fldChar w:fldCharType="separate"/>
      </w:r>
      <w:r w:rsidR="000A4126" w:rsidRPr="000A4126">
        <w:rPr>
          <w:rFonts w:cs="Times New Roman"/>
          <w:noProof/>
          <w:szCs w:val="24"/>
          <w:vertAlign w:val="superscript"/>
          <w:lang w:val="en-US"/>
        </w:rPr>
        <w:t>31</w:t>
      </w:r>
      <w:r w:rsidR="00A95E94">
        <w:rPr>
          <w:rFonts w:cs="Times New Roman"/>
          <w:szCs w:val="24"/>
          <w:lang w:val="en-US"/>
        </w:rPr>
        <w:fldChar w:fldCharType="end"/>
      </w:r>
      <w:r w:rsidR="006C2B7F">
        <w:rPr>
          <w:rFonts w:cs="Times New Roman"/>
          <w:szCs w:val="24"/>
          <w:lang w:val="en-US"/>
        </w:rPr>
        <w:t xml:space="preserve"> calculated to be </w:t>
      </w:r>
      <w:r w:rsidR="006C2B7F">
        <w:rPr>
          <w:rFonts w:cs="Times New Roman"/>
          <w:szCs w:val="24"/>
          <w:lang w:val="en-US"/>
        </w:rPr>
        <w:lastRenderedPageBreak/>
        <w:t>1</w:t>
      </w:r>
      <w:r w:rsidR="009A69D8">
        <w:rPr>
          <w:rFonts w:cs="Times New Roman"/>
          <w:szCs w:val="24"/>
          <w:lang w:val="en-US"/>
        </w:rPr>
        <w:t>5</w:t>
      </w:r>
      <w:r w:rsidR="006C2B7F">
        <w:rPr>
          <w:rFonts w:cs="Times New Roman"/>
          <w:szCs w:val="24"/>
          <w:lang w:val="en-US"/>
        </w:rPr>
        <w:t xml:space="preserve"> ppm at the 20 T magnetic field used for </w:t>
      </w:r>
      <w:r w:rsidR="006C2B7F" w:rsidRPr="00C06FEA">
        <w:rPr>
          <w:rFonts w:cs="Times New Roman"/>
          <w:szCs w:val="24"/>
          <w:vertAlign w:val="superscript"/>
          <w:lang w:val="en-US"/>
        </w:rPr>
        <w:t>93</w:t>
      </w:r>
      <w:r w:rsidR="006C2B7F">
        <w:rPr>
          <w:rFonts w:cs="Times New Roman"/>
          <w:szCs w:val="24"/>
          <w:lang w:val="en-US"/>
        </w:rPr>
        <w:t xml:space="preserve">Nb) which </w:t>
      </w:r>
      <w:r w:rsidR="00972BF0">
        <w:rPr>
          <w:rFonts w:cs="Times New Roman"/>
          <w:szCs w:val="24"/>
          <w:lang w:val="en-US"/>
        </w:rPr>
        <w:t>correspond</w:t>
      </w:r>
      <w:r w:rsidR="006C2B7F">
        <w:rPr>
          <w:rFonts w:cs="Times New Roman"/>
          <w:szCs w:val="24"/>
          <w:lang w:val="en-US"/>
        </w:rPr>
        <w:t>s</w:t>
      </w:r>
      <w:r w:rsidR="00972BF0">
        <w:rPr>
          <w:rFonts w:cs="Times New Roman"/>
          <w:szCs w:val="24"/>
          <w:lang w:val="en-US"/>
        </w:rPr>
        <w:t xml:space="preserve"> to the</w:t>
      </w:r>
      <w:r w:rsidR="00621505">
        <w:rPr>
          <w:rFonts w:cs="Times New Roman"/>
          <w:szCs w:val="24"/>
          <w:lang w:val="en-US"/>
        </w:rPr>
        <w:t xml:space="preserve"> primary reference of saturated K[NbCl</w:t>
      </w:r>
      <w:r w:rsidR="00621505" w:rsidRPr="00C06FEA">
        <w:rPr>
          <w:rFonts w:cs="Times New Roman"/>
          <w:szCs w:val="24"/>
          <w:vertAlign w:val="subscript"/>
          <w:lang w:val="en-US"/>
        </w:rPr>
        <w:t>6</w:t>
      </w:r>
      <w:r w:rsidR="00621505">
        <w:rPr>
          <w:rFonts w:cs="Times New Roman"/>
          <w:szCs w:val="24"/>
          <w:lang w:val="en-US"/>
        </w:rPr>
        <w:t>]</w:t>
      </w:r>
      <w:r w:rsidR="00972BF0">
        <w:rPr>
          <w:rFonts w:cs="Times New Roman"/>
          <w:szCs w:val="24"/>
          <w:lang w:val="en-US"/>
        </w:rPr>
        <w:t xml:space="preserve"> </w:t>
      </w:r>
      <w:r w:rsidR="00621505">
        <w:rPr>
          <w:rFonts w:cs="Times New Roman"/>
          <w:szCs w:val="24"/>
          <w:lang w:val="en-US"/>
        </w:rPr>
        <w:t>in CH</w:t>
      </w:r>
      <w:r w:rsidR="00621505" w:rsidRPr="00C06FEA">
        <w:rPr>
          <w:rFonts w:cs="Times New Roman"/>
          <w:szCs w:val="24"/>
          <w:vertAlign w:val="subscript"/>
          <w:lang w:val="en-US"/>
        </w:rPr>
        <w:t>3</w:t>
      </w:r>
      <w:r w:rsidR="00621505">
        <w:rPr>
          <w:rFonts w:cs="Times New Roman"/>
          <w:szCs w:val="24"/>
          <w:lang w:val="en-US"/>
        </w:rPr>
        <w:t>CN</w:t>
      </w:r>
      <w:r w:rsidR="006C2B7F">
        <w:rPr>
          <w:rFonts w:cs="Times New Roman"/>
          <w:szCs w:val="24"/>
          <w:lang w:val="en-US"/>
        </w:rPr>
        <w:t xml:space="preserve"> at 0 ppm</w:t>
      </w:r>
      <w:r w:rsidR="00621505">
        <w:rPr>
          <w:rFonts w:cs="Times New Roman"/>
          <w:szCs w:val="24"/>
          <w:lang w:val="en-US"/>
        </w:rPr>
        <w:t>.</w:t>
      </w:r>
      <w:r w:rsidRPr="00A74783">
        <w:rPr>
          <w:rFonts w:cs="Times New Roman"/>
          <w:szCs w:val="24"/>
          <w:lang w:val="en-US"/>
        </w:rPr>
        <w:t xml:space="preserve"> NMR data were processed using the MatNMR package implemented within MatLab. </w:t>
      </w:r>
    </w:p>
    <w:p w14:paraId="5CFE79A6" w14:textId="77777777" w:rsidR="00A74783" w:rsidRPr="00DF2B0D" w:rsidRDefault="00A74783" w:rsidP="00652DD8"/>
    <w:p w14:paraId="517372CF" w14:textId="5B82588A" w:rsidR="00F225C9" w:rsidRDefault="00F225C9" w:rsidP="00F225C9">
      <w:pPr>
        <w:pStyle w:val="Heading1"/>
      </w:pPr>
      <w:r w:rsidRPr="00DF2B0D">
        <w:t xml:space="preserve">Results and discussion </w:t>
      </w:r>
    </w:p>
    <w:p w14:paraId="2DA21AA8" w14:textId="46359D37" w:rsidR="00D47475" w:rsidRPr="00DF2B0D" w:rsidRDefault="00D47475" w:rsidP="00D47475">
      <w:pPr>
        <w:pStyle w:val="Heading2"/>
      </w:pPr>
      <w:r>
        <w:rPr>
          <w:rFonts w:hint="eastAsia"/>
        </w:rPr>
        <w:t>The</w:t>
      </w:r>
      <w:r>
        <w:t>rmal analysis</w:t>
      </w:r>
    </w:p>
    <w:p w14:paraId="1E1837B0" w14:textId="0275AA41" w:rsidR="009F7CE2" w:rsidRPr="00821B72" w:rsidRDefault="009F7CE2" w:rsidP="00D47475">
      <w:pPr>
        <w:pStyle w:val="Heading3"/>
        <w:numPr>
          <w:ilvl w:val="0"/>
          <w:numId w:val="0"/>
        </w:numPr>
        <w:ind w:left="720" w:hanging="720"/>
        <w:rPr>
          <w:rFonts w:ascii="Times New Roman" w:hAnsi="Times New Roman" w:cs="Times New Roman"/>
        </w:rPr>
      </w:pPr>
      <w:bookmarkStart w:id="2" w:name="_Toc464943408"/>
      <w:r w:rsidRPr="00821B72">
        <w:rPr>
          <w:rFonts w:ascii="Times New Roman" w:hAnsi="Times New Roman" w:cs="Times New Roman"/>
        </w:rPr>
        <w:t>Thermogravimetric Analysis (TGA)</w:t>
      </w:r>
      <w:bookmarkEnd w:id="2"/>
      <w:r w:rsidRPr="00821B72">
        <w:rPr>
          <w:rFonts w:ascii="Times New Roman" w:hAnsi="Times New Roman" w:cs="Times New Roman"/>
        </w:rPr>
        <w:t xml:space="preserve"> </w:t>
      </w:r>
    </w:p>
    <w:p w14:paraId="221D2C16" w14:textId="01793AAD" w:rsidR="009F7CE2" w:rsidRPr="00DF2B0D" w:rsidRDefault="009F7CE2" w:rsidP="009F7CE2">
      <w:r w:rsidRPr="00DF2B0D">
        <w:t xml:space="preserve">The mass change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w:t>
      </w:r>
      <w:r w:rsidR="00315A70" w:rsidRPr="00DF2B0D">
        <w:rPr>
          <w:rFonts w:hint="eastAsia"/>
        </w:rPr>
        <w:t>(</w:t>
      </w:r>
      <w:r w:rsidR="00315A70" w:rsidRPr="00DF2B0D">
        <w:t>x = 0.04 – 0.16)</w:t>
      </w:r>
      <w:r w:rsidR="00315A70">
        <w:t xml:space="preserve"> </w:t>
      </w:r>
      <w:r w:rsidRPr="00DF2B0D">
        <w:t>series</w:t>
      </w:r>
      <w:r w:rsidR="00B44EEA">
        <w:t>,</w:t>
      </w:r>
      <w:r w:rsidRPr="00DF2B0D">
        <w:t xml:space="preserve"> </w:t>
      </w:r>
      <w:r w:rsidR="000231B6" w:rsidRPr="00DF2B0D">
        <w:t xml:space="preserve">measured </w:t>
      </w:r>
      <w:r w:rsidRPr="00DF2B0D">
        <w:t>from room temperature to 900 °C</w:t>
      </w:r>
      <w:r w:rsidR="00B44EEA">
        <w:t>,</w:t>
      </w:r>
      <w:r w:rsidRPr="00DF2B0D">
        <w:t xml:space="preserve"> </w:t>
      </w:r>
      <w:r w:rsidR="000231B6" w:rsidRPr="00DF2B0D">
        <w:t xml:space="preserve">is </w:t>
      </w:r>
      <w:r w:rsidR="000C33A0" w:rsidRPr="00DF2B0D">
        <w:t xml:space="preserve">plotted in </w:t>
      </w:r>
      <w:r w:rsidR="00B35992">
        <w:fldChar w:fldCharType="begin"/>
      </w:r>
      <w:r w:rsidR="00B35992">
        <w:instrText xml:space="preserve"> REF _Ref501836807 \h </w:instrText>
      </w:r>
      <w:r w:rsidR="00B35992">
        <w:fldChar w:fldCharType="separate"/>
      </w:r>
      <w:r w:rsidR="00564E5A">
        <w:t xml:space="preserve">Figure </w:t>
      </w:r>
      <w:r w:rsidR="00564E5A">
        <w:rPr>
          <w:noProof/>
        </w:rPr>
        <w:t>1</w:t>
      </w:r>
      <w:r w:rsidR="00B35992">
        <w:fldChar w:fldCharType="end"/>
      </w:r>
      <w:r w:rsidR="000231B6" w:rsidRPr="00DF2B0D">
        <w:t xml:space="preserve"> and </w:t>
      </w:r>
      <w:r w:rsidR="00B44EEA">
        <w:t>shows</w:t>
      </w:r>
      <w:r w:rsidR="000231B6" w:rsidRPr="00DF2B0D">
        <w:t xml:space="preserve"> </w:t>
      </w:r>
      <w:r w:rsidR="0001786C" w:rsidRPr="00DF2B0D">
        <w:t xml:space="preserve">no significant weight change from room temperature up to 900 °C. </w:t>
      </w:r>
      <w:r w:rsidR="009631A4">
        <w:t>A</w:t>
      </w:r>
      <w:r w:rsidR="0001786C" w:rsidRPr="00DF2B0D">
        <w:t xml:space="preserve"> small drift of about 0.1% weight change up to 900 °C</w:t>
      </w:r>
      <w:r w:rsidR="005E5D87">
        <w:t xml:space="preserve"> is seen in all measurement</w:t>
      </w:r>
      <w:r w:rsidR="00882055">
        <w:t>s</w:t>
      </w:r>
      <w:r w:rsidR="009631A4">
        <w:t>,</w:t>
      </w:r>
      <w:r w:rsidR="00225AEB" w:rsidRPr="00DF2B0D">
        <w:t xml:space="preserve"> which i</w:t>
      </w:r>
      <w:r w:rsidR="0001786C" w:rsidRPr="00DF2B0D">
        <w:t xml:space="preserve">s mostly likely associated with instrumental effects. A weight loss of about 0.15% was observed </w:t>
      </w:r>
      <w:r w:rsidR="000231B6" w:rsidRPr="00DF2B0D">
        <w:t>for</w:t>
      </w:r>
      <w:r w:rsidR="0001786C" w:rsidRPr="00DF2B0D">
        <w:t xml:space="preserve"> LaNb</w:t>
      </w:r>
      <w:r w:rsidR="0001786C" w:rsidRPr="00DF2B0D">
        <w:rPr>
          <w:vertAlign w:val="subscript"/>
        </w:rPr>
        <w:t>0.96</w:t>
      </w:r>
      <w:r w:rsidR="0001786C" w:rsidRPr="00DF2B0D">
        <w:t>W</w:t>
      </w:r>
      <w:r w:rsidR="0001786C" w:rsidRPr="00DF2B0D">
        <w:rPr>
          <w:vertAlign w:val="subscript"/>
        </w:rPr>
        <w:t>0.04</w:t>
      </w:r>
      <w:r w:rsidR="0001786C" w:rsidRPr="00DF2B0D">
        <w:t>O</w:t>
      </w:r>
      <w:r w:rsidR="0001786C" w:rsidRPr="00DF2B0D">
        <w:rPr>
          <w:vertAlign w:val="subscript"/>
        </w:rPr>
        <w:t>4</w:t>
      </w:r>
      <w:r w:rsidR="00392862">
        <w:rPr>
          <w:vertAlign w:val="subscript"/>
        </w:rPr>
        <w:t>.02</w:t>
      </w:r>
      <w:r w:rsidR="0001786C" w:rsidRPr="00DF2B0D">
        <w:t xml:space="preserve"> upon heating (&lt;50 °C) which is </w:t>
      </w:r>
      <w:r w:rsidR="000231B6" w:rsidRPr="00DF2B0D">
        <w:t xml:space="preserve">likely </w:t>
      </w:r>
      <w:r w:rsidR="0001786C" w:rsidRPr="00DF2B0D">
        <w:t xml:space="preserve">due to the loss of adsorbed water. </w:t>
      </w:r>
      <w:r w:rsidR="00842713">
        <w:t>The observation is in direct contrast to the CeNbO</w:t>
      </w:r>
      <w:r w:rsidR="00842713" w:rsidRPr="00842713">
        <w:rPr>
          <w:vertAlign w:val="subscript"/>
        </w:rPr>
        <w:t>4+d</w:t>
      </w:r>
      <w:r w:rsidR="00842713">
        <w:rPr>
          <w:vertAlign w:val="subscript"/>
        </w:rPr>
        <w:t xml:space="preserve"> </w:t>
      </w:r>
      <w:r w:rsidR="00842713">
        <w:t>system which sees a wide range of oxygen stoichiometry during heating</w:t>
      </w:r>
      <w:r w:rsidR="00DF4521">
        <w:t>.</w:t>
      </w:r>
      <w:r w:rsidR="00842713">
        <w:fldChar w:fldCharType="begin" w:fldLock="1"/>
      </w:r>
      <w:r w:rsidR="000A4126">
        <w:instrText>ADDIN CSL_CITATION {"citationItems":[{"id":"ITEM-1","itemData":{"DOI":"10.1016/j.solidstatesciences.2003.09.001","ISBN":"1293-2558","ISSN":"12932558","abstract":"Investigation of CeNbO4±δ has revealed that the previously determined phase transformations should be revised. Whereas previous studies have indicated that a reduced tetragonal modification of CeNbO4 is produced on heating in vacuum the present study shows no evidence for this phase transformation. In contrast, a monoclinic–tetragonal phase transformation on heating in air was observed, indicating that the high temperature phase (</w:instrText>
      </w:r>
      <w:r w:rsidR="000A4126">
        <w:rPr>
          <w:rFonts w:ascii="Cambria Math" w:hAnsi="Cambria Math" w:cs="Cambria Math"/>
        </w:rPr>
        <w:instrText>∼</w:instrText>
      </w:r>
      <w:r w:rsidR="000A4126">
        <w:instrText>800</w:instrText>
      </w:r>
      <w:r w:rsidR="000A4126">
        <w:rPr>
          <w:rFonts w:cs="Times New Roman"/>
        </w:rPr>
        <w:instrText>°</w:instrText>
      </w:r>
      <w:r w:rsidR="000A4126">
        <w:instrText>C) was a stable, oxygen excess tetragonal phase with a similar structure to the Scheelite mineral, CaWO4. Lattice parameters for this phase were calculated to be a=5.3839(1) Å and c=11.6168(3) Å.","author":[{"dropping-particle":"","family":"Skinner","given":"S.J.","non-dropping-particle":"","parse-names":false,"suffix":""},{"dropping-particle":"","family":"Kang","given":"Y.","non-dropping-particle":"","parse-names":false,"suffix":""}],"container-title":"Solid State Sciences","id":"ITEM-1","issue":"11-12","issued":{"date-parts":[["2003","11"]]},"page":"1475-1479","title":"X-ray diffraction studies and phase transformations of CeNbO&lt;sub&gt;4+δ&lt;/sub&gt; using in situ techniques","type":"article-journal","volume":"5"},"uris":["http://www.mendeley.com/documents/?uuid=e56b1ad4-57bb-42ef-b03d-5ee1af7c2e78"]}],"mendeley":{"formattedCitation":"&lt;sup&gt;32&lt;/sup&gt;","plainTextFormattedCitation":"32","previouslyFormattedCitation":"&lt;sup&gt;31&lt;/sup&gt;"},"properties":{"noteIndex":0},"schema":"https://github.com/citation-style-language/schema/raw/master/csl-citation.json"}</w:instrText>
      </w:r>
      <w:r w:rsidR="00842713">
        <w:fldChar w:fldCharType="separate"/>
      </w:r>
      <w:r w:rsidR="000A4126" w:rsidRPr="000A4126">
        <w:rPr>
          <w:noProof/>
          <w:vertAlign w:val="superscript"/>
        </w:rPr>
        <w:t>32</w:t>
      </w:r>
      <w:r w:rsidR="00842713">
        <w:fldChar w:fldCharType="end"/>
      </w:r>
      <w:r w:rsidR="00842713">
        <w:t xml:space="preserve"> </w:t>
      </w:r>
      <w:r w:rsidR="0001786C" w:rsidRPr="00DF2B0D">
        <w:t>Overall the TGA measurements suggest no detectable change in sample mass from room temperature to 900 °C, indicating good thermal stability and a stable valence state of W</w:t>
      </w:r>
      <w:r w:rsidR="0001786C" w:rsidRPr="00DF2B0D">
        <w:rPr>
          <w:vertAlign w:val="superscript"/>
        </w:rPr>
        <w:t>6+</w:t>
      </w:r>
      <w:r w:rsidR="004A419E">
        <w:t>.</w:t>
      </w:r>
    </w:p>
    <w:p w14:paraId="543116F7" w14:textId="06B23950" w:rsidR="009F7CE2" w:rsidRPr="00DF2B0D" w:rsidRDefault="00C81A24" w:rsidP="009F7CE2">
      <w:pPr>
        <w:jc w:val="center"/>
      </w:pPr>
      <w:r>
        <w:rPr>
          <w:noProof/>
        </w:rPr>
        <w:drawing>
          <wp:inline distT="0" distB="0" distL="0" distR="0" wp14:anchorId="5D71BBFF" wp14:editId="5A117A01">
            <wp:extent cx="3783474" cy="269149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3123" cy="2705474"/>
                    </a:xfrm>
                    <a:prstGeom prst="rect">
                      <a:avLst/>
                    </a:prstGeom>
                  </pic:spPr>
                </pic:pic>
              </a:graphicData>
            </a:graphic>
          </wp:inline>
        </w:drawing>
      </w:r>
    </w:p>
    <w:p w14:paraId="7A4AECCD" w14:textId="2F8FEFE5" w:rsidR="009F7CE2" w:rsidRPr="00DF2B0D" w:rsidRDefault="00B35992" w:rsidP="009F7CE2">
      <w:pPr>
        <w:pStyle w:val="Caption"/>
      </w:pPr>
      <w:bookmarkStart w:id="3" w:name="_Ref501836807"/>
      <w:bookmarkStart w:id="4" w:name="_Toc464943510"/>
      <w:r>
        <w:t xml:space="preserve">Figure </w:t>
      </w:r>
      <w:r w:rsidR="0019656C">
        <w:fldChar w:fldCharType="begin"/>
      </w:r>
      <w:r w:rsidR="0019656C">
        <w:instrText xml:space="preserve"> SEQ Figure \* ARABIC </w:instrText>
      </w:r>
      <w:r w:rsidR="0019656C">
        <w:fldChar w:fldCharType="separate"/>
      </w:r>
      <w:r w:rsidR="00564E5A">
        <w:rPr>
          <w:noProof/>
        </w:rPr>
        <w:t>1</w:t>
      </w:r>
      <w:r w:rsidR="0019656C">
        <w:rPr>
          <w:noProof/>
        </w:rPr>
        <w:fldChar w:fldCharType="end"/>
      </w:r>
      <w:bookmarkEnd w:id="3"/>
      <w:r w:rsidR="009F7CE2" w:rsidRPr="00DF2B0D">
        <w:rPr>
          <w:noProof/>
        </w:rPr>
        <w:t>:</w:t>
      </w:r>
      <w:r w:rsidR="009F7CE2" w:rsidRPr="00DF2B0D">
        <w:t xml:space="preserve"> TGA measurement of various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9F7CE2" w:rsidRPr="00DF2B0D">
        <w:t xml:space="preserve"> </w:t>
      </w:r>
      <w:r w:rsidR="00315A70" w:rsidRPr="00DF2B0D">
        <w:rPr>
          <w:rFonts w:hint="eastAsia"/>
        </w:rPr>
        <w:t>(</w:t>
      </w:r>
      <w:r w:rsidR="00315A70" w:rsidRPr="00DF2B0D">
        <w:t>x = 0.04 – 0.16)</w:t>
      </w:r>
      <w:r w:rsidR="00315A70">
        <w:t xml:space="preserve"> </w:t>
      </w:r>
      <w:r w:rsidR="009F7CE2" w:rsidRPr="00DF2B0D">
        <w:t>samples from room temperature to 800°C under lab</w:t>
      </w:r>
      <w:r w:rsidR="005E5D87">
        <w:t>oratory</w:t>
      </w:r>
      <w:r w:rsidR="009F7CE2" w:rsidRPr="00DF2B0D">
        <w:t xml:space="preserve"> air</w:t>
      </w:r>
      <w:r w:rsidR="00315A70">
        <w:t>. The data for CeNbO</w:t>
      </w:r>
      <w:r w:rsidR="00315A70" w:rsidRPr="00315A70">
        <w:rPr>
          <w:vertAlign w:val="subscript"/>
        </w:rPr>
        <w:t>4</w:t>
      </w:r>
      <w:r w:rsidR="00315A70">
        <w:t xml:space="preserve"> </w:t>
      </w:r>
      <w:r w:rsidR="00842713">
        <w:t>from Skinner and Kang is listed for comparison</w:t>
      </w:r>
      <w:r w:rsidR="00842713">
        <w:fldChar w:fldCharType="begin" w:fldLock="1"/>
      </w:r>
      <w:r w:rsidR="000A4126">
        <w:instrText>ADDIN CSL_CITATION {"citationItems":[{"id":"ITEM-1","itemData":{"DOI":"10.1016/j.solidstatesciences.2003.09.001","ISBN":"1293-2558","ISSN":"12932558","abstract":"Investigation of CeNbO4±δ has revealed that the previously determined phase transformations should be revised. Whereas previous studies have indicated that a reduced tetragonal modification of CeNbO4 is produced on heating in vacuum the present study shows no evidence for this phase transformation. In contrast, a monoclinic–tetragonal phase transformation on heating in air was observed, indicating that the high temperature phase (</w:instrText>
      </w:r>
      <w:r w:rsidR="000A4126">
        <w:rPr>
          <w:rFonts w:ascii="Cambria Math" w:hAnsi="Cambria Math" w:cs="Cambria Math"/>
        </w:rPr>
        <w:instrText>∼</w:instrText>
      </w:r>
      <w:r w:rsidR="000A4126">
        <w:instrText>800</w:instrText>
      </w:r>
      <w:r w:rsidR="000A4126">
        <w:rPr>
          <w:rFonts w:cs="Times New Roman"/>
        </w:rPr>
        <w:instrText>°</w:instrText>
      </w:r>
      <w:r w:rsidR="000A4126">
        <w:instrText xml:space="preserve">C) was a stable, oxygen excess tetragonal phase with a similar structure to the Scheelite mineral, CaWO4. Lattice parameters for this phase were calculated to be a=5.3839(1) </w:instrText>
      </w:r>
      <w:r w:rsidR="000A4126">
        <w:rPr>
          <w:rFonts w:cs="Times New Roman"/>
        </w:rPr>
        <w:instrText>Å</w:instrText>
      </w:r>
      <w:r w:rsidR="000A4126">
        <w:instrText xml:space="preserve"> and c=11.6168(3) </w:instrText>
      </w:r>
      <w:r w:rsidR="000A4126">
        <w:rPr>
          <w:rFonts w:cs="Times New Roman"/>
        </w:rPr>
        <w:instrText>Å</w:instrText>
      </w:r>
      <w:r w:rsidR="000A4126">
        <w:instrText>.","author":[{"dropping-particle":"","family":"Skinner","given":"S.J.","non-dropping-particle":"","parse-names":false,"suffix":""},{"dropping-particle":"","family":"Kang","given":"Y.","non-dropping-particle":"","parse-names":false,"suffix":""}],"container-title":"Solid State Sciences","id":"ITEM-1","issue":"11-12","issued":{"date-parts":[["2003","11"]]},"page":"1475-1479","title":"X-ray diffraction studies and phase transformations of CeNbO&lt;sub&gt;4+δ&lt;/sub&gt; using in situ techniques","type":"article-journal","volume":"5"},"uris":["http://www.mendeley.com/documents/?uuid=e56b1ad4-57bb-42ef-b03d-5ee1af7c2e78"]}],"mendeley":{"formattedCitation":"&lt;sup&gt;32&lt;/sup&gt;","plainTextFormattedCitation":"32","previouslyFormattedCitation":"&lt;sup&gt;31&lt;/sup&gt;"},"properties":{"noteIndex":0},"schema":"https://github.com/citation-style-language/schema/raw/master/csl-citation.json"}</w:instrText>
      </w:r>
      <w:r w:rsidR="00842713">
        <w:fldChar w:fldCharType="separate"/>
      </w:r>
      <w:r w:rsidR="000A4126" w:rsidRPr="000A4126">
        <w:rPr>
          <w:b w:val="0"/>
          <w:noProof/>
          <w:vertAlign w:val="superscript"/>
        </w:rPr>
        <w:t>32</w:t>
      </w:r>
      <w:r w:rsidR="00842713">
        <w:fldChar w:fldCharType="end"/>
      </w:r>
      <w:r w:rsidR="00842713">
        <w:t xml:space="preserve">. </w:t>
      </w:r>
      <w:bookmarkEnd w:id="4"/>
    </w:p>
    <w:p w14:paraId="5DE6DF5C" w14:textId="33D54FB1" w:rsidR="009F7CE2" w:rsidRPr="00821B72" w:rsidRDefault="009F7CE2" w:rsidP="00D47475">
      <w:pPr>
        <w:pStyle w:val="Heading3"/>
        <w:numPr>
          <w:ilvl w:val="0"/>
          <w:numId w:val="0"/>
        </w:numPr>
        <w:ind w:left="720" w:hanging="720"/>
        <w:rPr>
          <w:rFonts w:ascii="Times New Roman" w:hAnsi="Times New Roman" w:cs="Times New Roman"/>
        </w:rPr>
      </w:pPr>
      <w:bookmarkStart w:id="5" w:name="_Toc464943409"/>
      <w:r w:rsidRPr="00821B72">
        <w:rPr>
          <w:rFonts w:ascii="Times New Roman" w:hAnsi="Times New Roman" w:cs="Times New Roman"/>
        </w:rPr>
        <w:t>Dilatometry</w:t>
      </w:r>
      <w:bookmarkEnd w:id="5"/>
      <w:r w:rsidRPr="00821B72">
        <w:rPr>
          <w:rFonts w:ascii="Times New Roman" w:hAnsi="Times New Roman" w:cs="Times New Roman"/>
        </w:rPr>
        <w:t xml:space="preserve"> </w:t>
      </w:r>
    </w:p>
    <w:p w14:paraId="3F2210BE" w14:textId="63B05762" w:rsidR="002140A2" w:rsidRPr="00DF2B0D" w:rsidRDefault="002140A2" w:rsidP="002140A2">
      <w:r w:rsidRPr="00DF2B0D">
        <w:t>Dilatometry curves of the LaNbO</w:t>
      </w:r>
      <w:r w:rsidRPr="00DF2B0D">
        <w:rPr>
          <w:vertAlign w:val="subscript"/>
        </w:rPr>
        <w:t xml:space="preserve">4 </w:t>
      </w:r>
      <w:r w:rsidRPr="00DF2B0D">
        <w:t xml:space="preserve">reference, as well as the W doped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compositions, recorded in the temperature range from 200 °C to 900 °C, are shown in </w:t>
      </w:r>
      <w:r w:rsidR="00B35992">
        <w:fldChar w:fldCharType="begin"/>
      </w:r>
      <w:r w:rsidR="00B35992">
        <w:instrText xml:space="preserve"> REF _Ref15917539 \h </w:instrText>
      </w:r>
      <w:r w:rsidR="00B35992">
        <w:fldChar w:fldCharType="separate"/>
      </w:r>
      <w:r w:rsidR="00564E5A">
        <w:t xml:space="preserve">Figure </w:t>
      </w:r>
      <w:r w:rsidR="00564E5A">
        <w:rPr>
          <w:noProof/>
        </w:rPr>
        <w:lastRenderedPageBreak/>
        <w:t>2</w:t>
      </w:r>
      <w:r w:rsidR="00B35992">
        <w:fldChar w:fldCharType="end"/>
      </w:r>
      <w:r w:rsidRPr="00DF2B0D">
        <w:t>. For the undoped LaNbO</w:t>
      </w:r>
      <w:r w:rsidRPr="00DF2B0D">
        <w:rPr>
          <w:vertAlign w:val="subscript"/>
        </w:rPr>
        <w:t>4</w:t>
      </w:r>
      <w:r w:rsidRPr="00DF2B0D">
        <w:t xml:space="preserve">, two distinct regions, corresponding to the low temperature monoclinic phase and the high temperature tetragonal phases respectively, are well separated. A sharp decrease in the </w:t>
      </w:r>
      <w:r w:rsidRPr="00DF2B0D">
        <w:rPr>
          <w:rFonts w:cs="Times New Roman"/>
          <w:szCs w:val="24"/>
        </w:rPr>
        <w:t xml:space="preserve">thermal expansion rate was observed and </w:t>
      </w:r>
      <w:r w:rsidR="00601214">
        <w:rPr>
          <w:rFonts w:cs="Times New Roman"/>
          <w:szCs w:val="24"/>
        </w:rPr>
        <w:t>i</w:t>
      </w:r>
      <w:r w:rsidRPr="00DF2B0D">
        <w:rPr>
          <w:rFonts w:cs="Times New Roman"/>
          <w:szCs w:val="24"/>
        </w:rPr>
        <w:t>s attributed to the monoclinic (</w:t>
      </w:r>
      <w:r w:rsidRPr="00DF2B0D">
        <w:rPr>
          <w:rFonts w:cs="Times New Roman"/>
          <w:i/>
          <w:szCs w:val="24"/>
        </w:rPr>
        <w:t>m</w:t>
      </w:r>
      <w:r w:rsidRPr="00DF2B0D">
        <w:rPr>
          <w:rFonts w:cs="Times New Roman"/>
          <w:szCs w:val="24"/>
        </w:rPr>
        <w:t>) to tetragonal (</w:t>
      </w:r>
      <w:r w:rsidRPr="00DF2B0D">
        <w:rPr>
          <w:rFonts w:cs="Times New Roman"/>
          <w:i/>
          <w:szCs w:val="24"/>
        </w:rPr>
        <w:t>t</w:t>
      </w:r>
      <w:r w:rsidRPr="00DF2B0D">
        <w:rPr>
          <w:rFonts w:cs="Times New Roman"/>
          <w:szCs w:val="24"/>
        </w:rPr>
        <w:t>) phase transition</w:t>
      </w:r>
      <w:r w:rsidR="003F32AB">
        <w:rPr>
          <w:rFonts w:cs="Times New Roman"/>
          <w:szCs w:val="24"/>
        </w:rPr>
        <w:t>.</w:t>
      </w:r>
      <w:r w:rsidRPr="00DF2B0D">
        <w:rPr>
          <w:rFonts w:eastAsia="Times New Roman" w:cs="Times New Roman"/>
          <w:color w:val="000000"/>
          <w:szCs w:val="24"/>
        </w:rPr>
        <w:fldChar w:fldCharType="begin" w:fldLock="1"/>
      </w:r>
      <w:r w:rsidR="000A4126">
        <w:rPr>
          <w:rFonts w:eastAsia="Times New Roman" w:cs="Times New Roman"/>
          <w:color w:val="000000"/>
          <w:szCs w:val="24"/>
        </w:rPr>
        <w:instrText>ADDIN CSL_CITATION {"citationItems":[{"id":"ITEM-1","itemData":{"DOI":"10.1016/j.jssc.2008.06.032","ISBN":"0022-4596","ISSN":"00224596","abstract":"The solid solubility between LaNbO4 and LaTaO4 was investigated by X-ray diffraction, and a two-phase region was observed in the composition region LaNb1-xTaxO4 where 0.4 &lt;= x &lt;= 0.8. Single-phase LaNb1-xTaxO4 (0 &lt;= x &lt;= 0.4) with the monoclinic Fergusonite structure at ambient temperature, was observed to transform to a tetragonal Scheelite Structure by in-situ high-temperature X-ray diffraction, and the phase transition temperature was shown to increase with increasing Ta-content. This ferroelastic to paraelastic second-order phase transition was described by Landau theory using spontaneous Strait) as an order parameter. The thermal expansion of LaNb1-xTaxO4(0 &lt;= x0.4) was shown to be significantly higher below the phase transition than above. Single-phase LaNb1-xTaxO4 (0.8 &lt;= x &lt;= 1) with another monoclinic crystal structure at ambient temperature was shown to transform to all orthorhombic crystal Structure by X-ray diffraction and differential scanning calormetry. The phase transition temperature was observed to decrease with decreasing Ta-content. Finally, orthorhombic, LaTaO4 could also be transformed to monoclinic LaTaO4 at ambient temperature by applying a uniaxial pressure of 150-170 MPa, reflecting the lower molar volume of monoclinic LaTaO4. (c) 2008 Elsevier Inc. All rights reserved.","author":[{"dropping-particle":"","family":"Vullum","given":"Fride","non-dropping-particle":"","parse-names":false,"suffix":""},{"dropping-particle":"","family":"Nitsche","given":"Fabian","non-dropping-particle":"","parse-names":false,"suffix":""},{"dropping-particle":"","family":"Selbach","given":"Sverre Magnus","non-dropping-particle":"","parse-names":false,"suffix":""},{"dropping-particle":"","family":"Grande","given":"Tor","non-dropping-particle":"","parse-names":false,"suffix":""}],"container-title":"Journal of Solid State Chemistry","id":"ITEM-1","issue":"10","issued":{"date-parts":[["2008","10"]]},"page":"2580-2585","title":"Solid solubility and phase transitions in the system LaNb&lt;sub&gt;1-x&lt;/sub&gt;Ta&lt;sub&gt;x&lt;/sub&gt;O&lt;sub&gt;4&lt;/sub&gt;","type":"article-journal","volume":"181"},"uris":["http://www.mendeley.com/documents/?uuid=a2e28422-45f5-40bf-8a69-c11dba492292"]}],"mendeley":{"formattedCitation":"&lt;sup&gt;33&lt;/sup&gt;","plainTextFormattedCitation":"33","previouslyFormattedCitation":"&lt;sup&gt;32&lt;/sup&gt;"},"properties":{"noteIndex":0},"schema":"https://github.com/citation-style-language/schema/raw/master/csl-citation.json"}</w:instrText>
      </w:r>
      <w:r w:rsidRPr="00DF2B0D">
        <w:rPr>
          <w:rFonts w:eastAsia="Times New Roman" w:cs="Times New Roman"/>
          <w:color w:val="000000"/>
          <w:szCs w:val="24"/>
        </w:rPr>
        <w:fldChar w:fldCharType="separate"/>
      </w:r>
      <w:r w:rsidR="000A4126" w:rsidRPr="000A4126">
        <w:rPr>
          <w:rFonts w:eastAsia="Times New Roman" w:cs="Times New Roman"/>
          <w:noProof/>
          <w:color w:val="000000"/>
          <w:szCs w:val="24"/>
          <w:vertAlign w:val="superscript"/>
        </w:rPr>
        <w:t>33</w:t>
      </w:r>
      <w:r w:rsidRPr="00DF2B0D">
        <w:rPr>
          <w:rFonts w:eastAsia="Times New Roman" w:cs="Times New Roman"/>
          <w:color w:val="000000"/>
          <w:szCs w:val="24"/>
        </w:rPr>
        <w:fldChar w:fldCharType="end"/>
      </w:r>
      <w:r w:rsidRPr="00DF2B0D">
        <w:rPr>
          <w:rFonts w:eastAsia="Times New Roman" w:cs="Times New Roman"/>
          <w:color w:val="000000"/>
          <w:szCs w:val="24"/>
        </w:rPr>
        <w:t xml:space="preserve"> </w:t>
      </w:r>
      <w:r w:rsidRPr="00DF2B0D">
        <w:rPr>
          <w:rFonts w:cs="Times New Roman"/>
          <w:szCs w:val="24"/>
        </w:rPr>
        <w:t>The phase transition temperature was determined by first</w:t>
      </w:r>
      <w:r w:rsidRPr="00DF2B0D">
        <w:t xml:space="preserve"> extrapolating the linear part of the expansion curve (the red lines in </w:t>
      </w:r>
      <w:r w:rsidR="00B35992">
        <w:fldChar w:fldCharType="begin"/>
      </w:r>
      <w:r w:rsidR="00B35992">
        <w:instrText xml:space="preserve"> REF _Ref15917539 \h </w:instrText>
      </w:r>
      <w:r w:rsidR="00B35992">
        <w:fldChar w:fldCharType="separate"/>
      </w:r>
      <w:r w:rsidR="00564E5A">
        <w:t xml:space="preserve">Figure </w:t>
      </w:r>
      <w:r w:rsidR="00564E5A">
        <w:rPr>
          <w:noProof/>
        </w:rPr>
        <w:t>2</w:t>
      </w:r>
      <w:r w:rsidR="00B35992">
        <w:fldChar w:fldCharType="end"/>
      </w:r>
      <w:r w:rsidRPr="00DF2B0D">
        <w:t>a), and then finding the intersection between the low and high temperature regions. The phase transition temperature (</w:t>
      </w:r>
      <w:r w:rsidRPr="00DF2B0D">
        <w:rPr>
          <w:i/>
        </w:rPr>
        <w:t>T</w:t>
      </w:r>
      <w:r w:rsidRPr="00DF2B0D">
        <w:rPr>
          <w:i/>
          <w:vertAlign w:val="subscript"/>
        </w:rPr>
        <w:t>tr</w:t>
      </w:r>
      <w:r w:rsidRPr="00DF2B0D">
        <w:t xml:space="preserve">, reported in </w:t>
      </w:r>
      <w:r w:rsidR="00BA0DF7">
        <w:fldChar w:fldCharType="begin"/>
      </w:r>
      <w:r w:rsidR="00BA0DF7">
        <w:instrText xml:space="preserve"> REF _Ref501837083 \h </w:instrText>
      </w:r>
      <w:r w:rsidR="00BA0DF7">
        <w:fldChar w:fldCharType="separate"/>
      </w:r>
      <w:r w:rsidR="00564E5A">
        <w:t xml:space="preserve">Table </w:t>
      </w:r>
      <w:r w:rsidR="00564E5A">
        <w:rPr>
          <w:noProof/>
        </w:rPr>
        <w:t>1</w:t>
      </w:r>
      <w:r w:rsidR="00BA0DF7">
        <w:fldChar w:fldCharType="end"/>
      </w:r>
      <w:r w:rsidRPr="00DF2B0D">
        <w:t>) was estimated to be 490 ± 10 °C for the undoped LaNbO</w:t>
      </w:r>
      <w:r w:rsidRPr="00DF2B0D">
        <w:rPr>
          <w:vertAlign w:val="subscript"/>
        </w:rPr>
        <w:t>4</w:t>
      </w:r>
      <w:r w:rsidRPr="00DF2B0D">
        <w:t xml:space="preserve"> which is in good agreement with </w:t>
      </w:r>
      <w:r w:rsidR="00601214">
        <w:t>the literature</w:t>
      </w:r>
      <w:r w:rsidR="003F32AB">
        <w:t>.</w:t>
      </w:r>
      <w:r w:rsidRPr="00DF2B0D">
        <w:fldChar w:fldCharType="begin" w:fldLock="1"/>
      </w:r>
      <w:r w:rsidR="000A4126">
        <w:instrText>ADDIN CSL_CITATION {"citationItems":[{"id":"ITEM-1","itemData":{"DOI":"10.1016/j.ceramint.2009.03.041","ISSN":"02728842","abstract":"Thermal and mechanical properties of polycrystalline La1-xAxNbO4 (x = 0, 0.005, 0.02 and A = Ca, Sr and Ba) are reported. The materials possess a ferroelastic to paraelastic phase transition close to 500 °C, and the linear thermal expansion is significantly lower (</w:instrText>
      </w:r>
      <w:r w:rsidR="000A4126">
        <w:rPr>
          <w:rFonts w:ascii="Cambria Math" w:hAnsi="Cambria Math" w:cs="Cambria Math"/>
        </w:rPr>
        <w:instrText>∼</w:instrText>
      </w:r>
      <w:r w:rsidR="000A4126">
        <w:instrText xml:space="preserve">8.6 </w:instrText>
      </w:r>
      <w:r w:rsidR="000A4126">
        <w:rPr>
          <w:rFonts w:cs="Times New Roman"/>
        </w:rPr>
        <w:instrText>±</w:instrText>
      </w:r>
      <w:r w:rsidR="000A4126">
        <w:instrText xml:space="preserve"> 0.5 </w:instrText>
      </w:r>
      <w:r w:rsidR="000A4126">
        <w:rPr>
          <w:rFonts w:cs="Times New Roman"/>
        </w:rPr>
        <w:instrText>×</w:instrText>
      </w:r>
      <w:r w:rsidR="000A4126">
        <w:instrText xml:space="preserve"> 10-6 </w:instrText>
      </w:r>
      <w:r w:rsidR="000A4126">
        <w:rPr>
          <w:rFonts w:cs="Times New Roman"/>
        </w:rPr>
        <w:instrText>°</w:instrText>
      </w:r>
      <w:r w:rsidR="000A4126">
        <w:instrText>C-1) for the paraelastic phase compared to the ferroelastic phase (</w:instrText>
      </w:r>
      <w:r w:rsidR="000A4126">
        <w:rPr>
          <w:rFonts w:ascii="Cambria Math" w:hAnsi="Cambria Math" w:cs="Cambria Math"/>
        </w:rPr>
        <w:instrText>∼</w:instrText>
      </w:r>
      <w:r w:rsidR="000A4126">
        <w:instrText xml:space="preserve">15 </w:instrText>
      </w:r>
      <w:r w:rsidR="000A4126">
        <w:rPr>
          <w:rFonts w:cs="Times New Roman"/>
        </w:rPr>
        <w:instrText>±</w:instrText>
      </w:r>
      <w:r w:rsidR="000A4126">
        <w:instrText xml:space="preserve"> 3 </w:instrText>
      </w:r>
      <w:r w:rsidR="000A4126">
        <w:rPr>
          <w:rFonts w:cs="Times New Roman"/>
        </w:rPr>
        <w:instrText>×</w:instrText>
      </w:r>
      <w:r w:rsidR="000A4126">
        <w:instrText xml:space="preserve"> 10-6 </w:instrText>
      </w:r>
      <w:r w:rsidR="000A4126">
        <w:rPr>
          <w:rFonts w:cs="Times New Roman"/>
        </w:rPr>
        <w:instrText>°</w:instrText>
      </w:r>
      <w:r w:rsidR="000A4126">
        <w:instrText>C-1). The hardness was significantly higher for acceptor doped materials (</w:instrText>
      </w:r>
      <w:r w:rsidR="000A4126">
        <w:rPr>
          <w:rFonts w:ascii="Cambria Math" w:hAnsi="Cambria Math" w:cs="Cambria Math"/>
        </w:rPr>
        <w:instrText>∼</w:instrText>
      </w:r>
      <w:r w:rsidR="000A4126">
        <w:instrText>6 GPa) compared to pure LaNbO4 (</w:instrText>
      </w:r>
      <w:r w:rsidR="000A4126">
        <w:rPr>
          <w:rFonts w:ascii="Cambria Math" w:hAnsi="Cambria Math" w:cs="Cambria Math"/>
        </w:rPr>
        <w:instrText>∼</w:instrText>
      </w:r>
      <w:r w:rsidR="000A4126">
        <w:instrText>3 GPa) due to a significantly smaller average grain size. The fracture toughness of La0.98Sr0.02NbO4, measured by single edge V-notched beam method, was 1.7 ± 0.2 MPa m1/2 independent of temperature up to 600 °C. The ferroelastic properties of the materials were confirmed by non-linear relationships between stress and strain during compression/decompression, a remnant strain after decompression and the presence of ferroelastic domains. The mechanical properties of LaNbO4-based materials are discussed with focus on ferroelasticity, microcracking due to crystallographic anisotropy and pinning of ferroelastic domain boundaries. © 2009 Elsevier Ltd and Techna Group S.r.l.","author":[{"dropping-particle":"","family":"Mokkelbost","given":"Tommy","non-dropping-particle":"","parse-names":false,"suffix":""},{"dropping-particle":"","family":"Lein","given":"Hilde Lea","non-dropping-particle":"","parse-names":false,"suffix":""},{"dropping-particle":"","family":"Vullum","given":"Per Erik","non-dropping-particle":"","parse-names":false,"suffix":""},{"dropping-particle":"","family":"Holmestad","given":"Randi","non-dropping-particle":"","parse-names":false,"suffix":""},{"dropping-particle":"","family":"Grande","given":"Tor","non-dropping-particle":"","parse-names":false,"suffix":""},{"dropping-particle":"","family":"Einarsrud","given":"Mari Ann","non-dropping-particle":"","parse-names":false,"suffix":""}],"container-title":"Ceramics International","id":"ITEM-1","issue":"7","issued":{"date-parts":[["2009"]]},"page":"2877-2883","title":"Thermal and mechanical properties of LaNbO&lt;sub&gt;4&lt;/sub&gt;-based ceramics","type":"article-journal","volume":"35"},"uris":["http://www.mendeley.com/documents/?uuid=16dccfd7-8f35-44ba-8bae-c4dada5ad935"]},{"id":"ITEM-2","itemData":{"DOI":"10.1016/j.jssc.2008.06.032","ISBN":"0022-4596","ISSN":"00224596","abstract":"The solid solubility between LaNbO4 and LaTaO4 was investigated by X-ray diffraction, and a two-phase region was observed in the composition region LaNb1-xTaxO4 where 0.4 &lt;= x &lt;= 0.8. Single-phase LaNb1-xTaxO4 (0 &lt;= x &lt;= 0.4) with the monoclinic Fergusonite structure at ambient temperature, was observed to transform to a tetragonal Scheelite Structure by in-situ high-temperature X-ray diffraction, and the phase transition temperature was shown to increase with increasing Ta-content. This ferroelastic to paraelastic second-order phase transition was described by Landau theory using spontaneous Strait) as an order parameter. The thermal expansion of LaNb1-xTaxO4(0 &lt;= x0.4) was shown to be significantly higher below the phase transition than above. Single-phase LaNb1-xTaxO4 (0.8 &lt;= x &lt;= 1) with another monoclinic crystal structure at ambient temperature was shown to transform to all orthorhombic crystal Structure by X-ray diffraction and differential scanning calormetry. The phase transition temperature was observed to decrease with decreasing Ta-content. Finally, orthorhombic, LaTaO4 could also be transformed to monoclinic LaTaO4 at ambient temperature by applying a uniaxial pressure of 150-170 MPa, reflecting the lower molar volume of monoclinic LaTaO4. (c) 2008 Elsevier Inc. All rights reserved.","author":[{"dropping-particle":"","family":"Vullum","given":"Fride","non-dropping-particle":"","parse-names":false,"suffix":""},{"dropping-particle":"","family":"Nitsche","given":"Fabian","non-dropping-particle":"","parse-names":false,"suffix":""},{"dropping-particle":"","family":"Selbach","given":"Sverre Magnus","non-dropping-particle":"","parse-names":false,"suffix":""},{"dropping-particle":"","family":"Grande","given":"Tor","non-dropping-particle":"","parse-names":false,"suffix":""}],"container-title":"Journal of Solid State Chemistry","id":"ITEM-2","issue":"10","issued":{"date-parts":[["2008","10"]]},"page":"2580-2585","title":"Solid solubility and phase transitions in the system LaNb&lt;sub&gt;1-x&lt;/sub&gt;Ta&lt;sub&gt;x&lt;/sub&gt;O&lt;sub&gt;4&lt;/sub&gt;","type":"article-journal","volume":"181"},"uris":["http://www.mendeley.com/documents/?uuid=a2e28422-45f5-40bf-8a69-c11dba492292"]}],"mendeley":{"formattedCitation":"&lt;sup&gt;33,34&lt;/sup&gt;","plainTextFormattedCitation":"33,34","previouslyFormattedCitation":"&lt;sup&gt;32,33&lt;/sup&gt;"},"properties":{"noteIndex":0},"schema":"https://github.com/citation-style-language/schema/raw/master/csl-citation.json"}</w:instrText>
      </w:r>
      <w:r w:rsidRPr="00DF2B0D">
        <w:fldChar w:fldCharType="separate"/>
      </w:r>
      <w:r w:rsidR="000A4126" w:rsidRPr="000A4126">
        <w:rPr>
          <w:noProof/>
          <w:vertAlign w:val="superscript"/>
        </w:rPr>
        <w:t>33,34</w:t>
      </w:r>
      <w:r w:rsidRPr="00DF2B0D">
        <w:fldChar w:fldCharType="end"/>
      </w:r>
    </w:p>
    <w:p w14:paraId="758ACDC2" w14:textId="7F153C0A" w:rsidR="009F7CE2" w:rsidRPr="00DF2B0D" w:rsidRDefault="00B44E81" w:rsidP="009F7CE2">
      <w:pPr>
        <w:ind w:left="-142"/>
        <w:jc w:val="center"/>
      </w:pPr>
      <w:r>
        <w:object w:dxaOrig="8061" w:dyaOrig="4596" w14:anchorId="39538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385.95pt;height:220.55pt" o:ole="">
            <v:imagedata r:id="rId9" o:title=""/>
          </v:shape>
          <o:OLEObject Type="Embed" ProgID="Origin50.Graph" ShapeID="_x0000_i1237" DrawAspect="Content" ObjectID="_1641996757" r:id="rId10"/>
        </w:object>
      </w:r>
    </w:p>
    <w:p w14:paraId="69048FB9" w14:textId="39A9FF82" w:rsidR="009F7CE2" w:rsidRPr="00DF2B0D" w:rsidRDefault="00B35992" w:rsidP="009F7CE2">
      <w:pPr>
        <w:pStyle w:val="Caption"/>
      </w:pPr>
      <w:bookmarkStart w:id="6" w:name="_Ref15917539"/>
      <w:bookmarkStart w:id="7" w:name="_Toc464943511"/>
      <w:r>
        <w:t xml:space="preserve">Figure </w:t>
      </w:r>
      <w:r w:rsidR="0019656C">
        <w:fldChar w:fldCharType="begin"/>
      </w:r>
      <w:r w:rsidR="0019656C">
        <w:instrText xml:space="preserve"> SEQ Figure \* ARABIC </w:instrText>
      </w:r>
      <w:r w:rsidR="0019656C">
        <w:fldChar w:fldCharType="separate"/>
      </w:r>
      <w:r w:rsidR="00564E5A">
        <w:rPr>
          <w:noProof/>
        </w:rPr>
        <w:t>2</w:t>
      </w:r>
      <w:r w:rsidR="0019656C">
        <w:rPr>
          <w:noProof/>
        </w:rPr>
        <w:fldChar w:fldCharType="end"/>
      </w:r>
      <w:bookmarkEnd w:id="6"/>
      <w:r>
        <w:rPr>
          <w:rFonts w:hint="eastAsia"/>
        </w:rPr>
        <w:t>:</w:t>
      </w:r>
      <w:r>
        <w:t xml:space="preserve"> </w:t>
      </w:r>
      <w:r w:rsidR="009F7CE2" w:rsidRPr="00DF2B0D">
        <w:t>Dilatometry curves show the length change and the linear expansion rate as a function of temperature for (a) LaNbO</w:t>
      </w:r>
      <w:r w:rsidR="009F7CE2" w:rsidRPr="00DF2B0D">
        <w:rPr>
          <w:vertAlign w:val="subscript"/>
        </w:rPr>
        <w:t xml:space="preserve">4 </w:t>
      </w:r>
      <w:r w:rsidR="009F7CE2" w:rsidRPr="00DF2B0D">
        <w:t xml:space="preserve">and various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9F7CE2" w:rsidRPr="00DF2B0D">
        <w:t xml:space="preserve"> compounds with (b) x = 0.08 (c) x = 0.12 and (d) x = 0.16. The phase transition in LaNbO</w:t>
      </w:r>
      <w:r w:rsidR="009F7CE2" w:rsidRPr="00DF2B0D">
        <w:rPr>
          <w:vertAlign w:val="subscript"/>
        </w:rPr>
        <w:t>4</w:t>
      </w:r>
      <w:r w:rsidR="009F7CE2" w:rsidRPr="00DF2B0D">
        <w:t xml:space="preserve"> was determined </w:t>
      </w:r>
      <w:r w:rsidR="00821B72">
        <w:t>from the</w:t>
      </w:r>
      <w:r w:rsidR="009F7CE2" w:rsidRPr="00DF2B0D">
        <w:t xml:space="preserve"> intercept of the linear part of the expansion cur</w:t>
      </w:r>
      <w:r w:rsidR="0090004C" w:rsidRPr="00DF2B0D">
        <w:t>v</w:t>
      </w:r>
      <w:r w:rsidR="009F7CE2" w:rsidRPr="00DF2B0D">
        <w:t>e, highlighted by the red lines in (a).</w:t>
      </w:r>
      <w:bookmarkEnd w:id="7"/>
    </w:p>
    <w:p w14:paraId="53C861D3" w14:textId="663864E2" w:rsidR="00F74B69" w:rsidRDefault="009F7CE2" w:rsidP="009F7CE2">
      <w:r w:rsidRPr="00DF2B0D">
        <w:t>The therm</w:t>
      </w:r>
      <w:r w:rsidR="0090004C" w:rsidRPr="00DF2B0D">
        <w:t>o</w:t>
      </w:r>
      <w:r w:rsidRPr="00DF2B0D">
        <w:t xml:space="preserve">mechanical behaviour of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compositions, however</w:t>
      </w:r>
      <w:r w:rsidR="0090004C" w:rsidRPr="00DF2B0D">
        <w:t>,</w:t>
      </w:r>
      <w:r w:rsidRPr="00DF2B0D">
        <w:t xml:space="preserve"> is more complicated; instead of a sudden decrease of the thermal expansion rate approaching the phase transition, the change in LaNb</w:t>
      </w:r>
      <w:r w:rsidRPr="00DF2B0D">
        <w:rPr>
          <w:vertAlign w:val="subscript"/>
        </w:rPr>
        <w:t>0.92</w:t>
      </w:r>
      <w:r w:rsidRPr="00DF2B0D">
        <w:t>W</w:t>
      </w:r>
      <w:r w:rsidRPr="00DF2B0D">
        <w:rPr>
          <w:vertAlign w:val="subscript"/>
        </w:rPr>
        <w:t>0.08</w:t>
      </w:r>
      <w:r w:rsidRPr="00DF2B0D">
        <w:t>O</w:t>
      </w:r>
      <w:r w:rsidRPr="00DF2B0D">
        <w:rPr>
          <w:vertAlign w:val="subscript"/>
        </w:rPr>
        <w:t>4</w:t>
      </w:r>
      <w:r w:rsidR="00392862">
        <w:rPr>
          <w:vertAlign w:val="subscript"/>
        </w:rPr>
        <w:t>.04</w:t>
      </w:r>
      <w:r w:rsidRPr="00DF2B0D">
        <w:t xml:space="preserve"> and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rPr>
          <w:vertAlign w:val="subscript"/>
        </w:rPr>
        <w:t xml:space="preserve"> </w:t>
      </w:r>
      <w:r w:rsidRPr="00DF2B0D">
        <w:t>was less abrupt (</w:t>
      </w:r>
      <w:r w:rsidR="00B35992">
        <w:fldChar w:fldCharType="begin"/>
      </w:r>
      <w:r w:rsidR="00B35992">
        <w:instrText xml:space="preserve"> REF _Ref15917539 \h </w:instrText>
      </w:r>
      <w:r w:rsidR="00B35992">
        <w:fldChar w:fldCharType="separate"/>
      </w:r>
      <w:r w:rsidR="00564E5A">
        <w:t xml:space="preserve">Figure </w:t>
      </w:r>
      <w:r w:rsidR="00564E5A">
        <w:rPr>
          <w:noProof/>
        </w:rPr>
        <w:t>2</w:t>
      </w:r>
      <w:r w:rsidR="00B35992">
        <w:fldChar w:fldCharType="end"/>
      </w:r>
      <w:r w:rsidRPr="00DF2B0D">
        <w:t xml:space="preserve">b and c). For samples with 8 at% to 12 at% W </w:t>
      </w:r>
      <w:proofErr w:type="gramStart"/>
      <w:r w:rsidRPr="00DF2B0D">
        <w:t>dopant</w:t>
      </w:r>
      <w:proofErr w:type="gramEnd"/>
      <w:r w:rsidRPr="00DF2B0D">
        <w:t xml:space="preserve">, the thermal expansion rate increased gradually before reaching a transition point, after which a slow decrease in the expansion rate was observed. Such a transition was absent </w:t>
      </w:r>
      <w:r w:rsidR="00601214">
        <w:t>in</w:t>
      </w:r>
      <w:r w:rsidRPr="00DF2B0D">
        <w:t xml:space="preserv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w:t>
      </w:r>
      <w:r w:rsidR="00B35992">
        <w:fldChar w:fldCharType="begin"/>
      </w:r>
      <w:r w:rsidR="00B35992">
        <w:instrText xml:space="preserve"> REF _Ref15917539 \h </w:instrText>
      </w:r>
      <w:r w:rsidR="00B35992">
        <w:fldChar w:fldCharType="separate"/>
      </w:r>
      <w:r w:rsidR="00564E5A">
        <w:t xml:space="preserve">Figure </w:t>
      </w:r>
      <w:r w:rsidR="00564E5A">
        <w:rPr>
          <w:noProof/>
        </w:rPr>
        <w:t>2</w:t>
      </w:r>
      <w:r w:rsidR="00B35992">
        <w:fldChar w:fldCharType="end"/>
      </w:r>
      <w:r w:rsidRPr="00DF2B0D">
        <w:t xml:space="preserve">d). The thermal expansion coefficients (TECs, reported in </w:t>
      </w:r>
      <w:r w:rsidR="00BA0DF7">
        <w:fldChar w:fldCharType="begin"/>
      </w:r>
      <w:r w:rsidR="00BA0DF7">
        <w:instrText xml:space="preserve"> REF _Ref501837083 \h </w:instrText>
      </w:r>
      <w:r w:rsidR="00BA0DF7">
        <w:fldChar w:fldCharType="separate"/>
      </w:r>
      <w:r w:rsidR="00564E5A">
        <w:t xml:space="preserve">Table </w:t>
      </w:r>
      <w:r w:rsidR="00564E5A">
        <w:rPr>
          <w:noProof/>
        </w:rPr>
        <w:t>1</w:t>
      </w:r>
      <w:r w:rsidR="00BA0DF7">
        <w:fldChar w:fldCharType="end"/>
      </w:r>
      <w:r w:rsidRPr="00DF2B0D">
        <w:t>), before and after the transition, were obtained by averaging the length change of the samples over the respective temperature regions. Comparing with the LaNbO</w:t>
      </w:r>
      <w:r w:rsidRPr="00DF2B0D">
        <w:rPr>
          <w:vertAlign w:val="subscript"/>
        </w:rPr>
        <w:t>4</w:t>
      </w:r>
      <w:r w:rsidRPr="00DF2B0D">
        <w:t xml:space="preserve"> parent phase, the W dopant reduces the discrepancy in TEC between the low and high temperature regions (reported in </w:t>
      </w:r>
      <w:r w:rsidR="00BA0DF7">
        <w:fldChar w:fldCharType="begin"/>
      </w:r>
      <w:r w:rsidR="00BA0DF7">
        <w:instrText xml:space="preserve"> REF _Ref501837083 \h </w:instrText>
      </w:r>
      <w:r w:rsidR="00BA0DF7">
        <w:fldChar w:fldCharType="separate"/>
      </w:r>
      <w:r w:rsidR="00564E5A">
        <w:t xml:space="preserve">Table </w:t>
      </w:r>
      <w:r w:rsidR="00564E5A">
        <w:rPr>
          <w:noProof/>
        </w:rPr>
        <w:t>1</w:t>
      </w:r>
      <w:r w:rsidR="00BA0DF7">
        <w:fldChar w:fldCharType="end"/>
      </w:r>
      <w:r w:rsidRPr="00DF2B0D">
        <w:t xml:space="preserve">). For fuel cell applications, a sudden change in TEC promotes mismatch between the electrolyte and </w:t>
      </w:r>
      <w:r w:rsidR="002140A2" w:rsidRPr="00DF2B0D">
        <w:t xml:space="preserve">electrode during the </w:t>
      </w:r>
      <w:r w:rsidR="002140A2" w:rsidRPr="00DF2B0D">
        <w:lastRenderedPageBreak/>
        <w:t>start-up stage and thus often leads to mechanical failure;</w:t>
      </w:r>
      <w:r w:rsidR="00D44479" w:rsidRPr="00DF2B0D">
        <w:fldChar w:fldCharType="begin" w:fldLock="1"/>
      </w:r>
      <w:r w:rsidR="000A4126">
        <w:instrText>ADDIN CSL_CITATION {"citationItems":[{"id":"ITEM-1","itemData":{"ISBN":"9781856173872\\r1856173879","abstract":"The growing interest in fuel cells as a sustainable source of energy is pulling with it the need for new books which provide comprehensive and practical information on specific types of fuel cell and their application. This landmark volume on solid oxide fuel cells contains contributions from experts of international repute, and provides a single source of the latest knowledge on this topic","author":[{"dropping-particle":"","family":"Singhal","given":"Subhash C","non-dropping-particle":"","parse-names":false,"suffix":""},{"dropping-particle":"","family":"Kendall","given":"Kevin","non-dropping-particle":"","parse-names":false,"suffix":""}],"container-title":"Book","edition":"1st","id":"ITEM-1","issued":{"date-parts":[["2003"]]},"number-of-pages":"xvi, 405 p.","publisher":"Elsevier B.V.","title":"High-temperature solid oxide fuel cells: fundamentals, design, and applicatons","type":"book"},"uris":["http://www.mendeley.com/documents/?uuid=2ac74802-e916-487a-889d-6336d466d79c"]}],"mendeley":{"formattedCitation":"&lt;sup&gt;35&lt;/sup&gt;","plainTextFormattedCitation":"35","previouslyFormattedCitation":"&lt;sup&gt;34&lt;/sup&gt;"},"properties":{"noteIndex":0},"schema":"https://github.com/citation-style-language/schema/raw/master/csl-citation.json"}</w:instrText>
      </w:r>
      <w:r w:rsidR="00D44479" w:rsidRPr="00DF2B0D">
        <w:fldChar w:fldCharType="separate"/>
      </w:r>
      <w:r w:rsidR="000A4126" w:rsidRPr="000A4126">
        <w:rPr>
          <w:noProof/>
          <w:vertAlign w:val="superscript"/>
        </w:rPr>
        <w:t>35</w:t>
      </w:r>
      <w:r w:rsidR="00D44479" w:rsidRPr="00DF2B0D">
        <w:fldChar w:fldCharType="end"/>
      </w:r>
      <w:r w:rsidR="002140A2" w:rsidRPr="00DF2B0D">
        <w:t xml:space="preserve"> dilatometry </w:t>
      </w:r>
      <w:r w:rsidRPr="00DF2B0D">
        <w:t xml:space="preserve">results therefore suggest improved mechanical stability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electrolyte with </w:t>
      </w:r>
      <w:r w:rsidR="002140A2" w:rsidRPr="00DF2B0D">
        <w:t xml:space="preserve">W substitution. In addition, the TEC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2140A2" w:rsidRPr="00DF2B0D">
        <w:t xml:space="preserve"> phases are higher than the conventional electrolyte (i.e. the TEC of Ce</w:t>
      </w:r>
      <w:r w:rsidR="002140A2" w:rsidRPr="00DF2B0D">
        <w:rPr>
          <w:vertAlign w:val="subscript"/>
        </w:rPr>
        <w:t>0.9</w:t>
      </w:r>
      <w:r w:rsidR="002140A2" w:rsidRPr="00DF2B0D">
        <w:t>G</w:t>
      </w:r>
      <w:r w:rsidR="002140A2" w:rsidRPr="00DF2B0D">
        <w:rPr>
          <w:vertAlign w:val="subscript"/>
        </w:rPr>
        <w:t>0.1</w:t>
      </w:r>
      <w:r w:rsidR="002140A2" w:rsidRPr="00DF2B0D">
        <w:t>O</w:t>
      </w:r>
      <w:r w:rsidR="002140A2" w:rsidRPr="00DF2B0D">
        <w:rPr>
          <w:vertAlign w:val="subscript"/>
        </w:rPr>
        <w:t>2-d</w:t>
      </w:r>
      <w:r w:rsidR="002140A2" w:rsidRPr="00DF2B0D">
        <w:t xml:space="preserve"> is ~12 × 10</w:t>
      </w:r>
      <w:r w:rsidR="002140A2" w:rsidRPr="00DF2B0D">
        <w:rPr>
          <w:vertAlign w:val="superscript"/>
        </w:rPr>
        <w:t>-6</w:t>
      </w:r>
      <w:r w:rsidR="002140A2" w:rsidRPr="00DF2B0D">
        <w:t>/K from room temperature to 800°C</w:t>
      </w:r>
      <w:r w:rsidR="002140A2" w:rsidRPr="00DF2B0D">
        <w:fldChar w:fldCharType="begin" w:fldLock="1"/>
      </w:r>
      <w:r w:rsidR="000A4126">
        <w:instrText>ADDIN CSL_CITATION {"citationItems":[{"id":"ITEM-1","itemData":{"DOI":"10.1016/j.solidstatesciences.2005.05.007","ISBN":"1293-2558","ISSN":"12932558","abstract":"The reactivity of typical electrode materials for solid oxide fuel cells, namely La0.6Sr0.4Co0.2Fe0.8O 3-?? (LSCF), La0.8Sr0.2MnO 3-?? (LSM) and Ce0.9Gd0.1O1.95 (CGO), with fast oxide-ion conductor La2Mo2O9 is thoroughly studied using X-ray diffractometry. Modifications in the materials diffraction patterns and occurrence of impurity diffraction peaks are evidenced in LSCF and LSM above 700-800 ??C. They are interpreted in terms of cationic migrations from one material phase to the other (typically strontium depletion/substitution), and subsequent formation of subsidiary phases (for instance strontium molybdate). With CGO no reactivity is observed up to 1000 ??C. For all three electrode materials the thermal expansion coefficient (TEC) is measured from X-ray thermodiffractograms and compared to that of La2Mo2O9. ?? 2005 Elsevier SAS. All rights reserved.","author":[{"dropping-particle":"","family":"Corbel","given":"Gwena??l","non-dropping-particle":"","parse-names":false,"suffix":""},{"dropping-particle":"","family":"Mestiri","given":"Samih","non-dropping-particle":"","parse-names":false,"suffix":""},{"dropping-particle":"","family":"Lacorre","given":"Philippe","non-dropping-particle":"","parse-names":false,"suffix":""}],"container-title":"Solid State Sciences","id":"ITEM-1","issue":"10","issued":{"date-parts":[["2005"]]},"page":"1216-1224","title":"Physicochemical compatibility of CGO fluorite, LSM and LSCF perovskite electrode materials with La&lt;sub&gt;2&lt;/sub&gt;Mo&lt;sub&gt;2&lt;/sub&gt;O&lt;sub&gt;9&lt;/sub&gt; fast oxide-ion conductor","type":"article-journal","volume":"7"},"uris":["http://www.mendeley.com/documents/?uuid=20a2d0a5-6c16-4177-8691-77c9858e342e"]}],"mendeley":{"formattedCitation":"&lt;sup&gt;36&lt;/sup&gt;","plainTextFormattedCitation":"36","previouslyFormattedCitation":"&lt;sup&gt;35&lt;/sup&gt;"},"properties":{"noteIndex":0},"schema":"https://github.com/citation-style-language/schema/raw/master/csl-citation.json"}</w:instrText>
      </w:r>
      <w:r w:rsidR="002140A2" w:rsidRPr="00DF2B0D">
        <w:fldChar w:fldCharType="separate"/>
      </w:r>
      <w:r w:rsidR="000A4126" w:rsidRPr="000A4126">
        <w:rPr>
          <w:noProof/>
          <w:vertAlign w:val="superscript"/>
        </w:rPr>
        <w:t>36</w:t>
      </w:r>
      <w:r w:rsidR="002140A2" w:rsidRPr="00DF2B0D">
        <w:fldChar w:fldCharType="end"/>
      </w:r>
      <w:r w:rsidR="002140A2" w:rsidRPr="00DF2B0D">
        <w:t xml:space="preserve">) and has a closer match with conventional electrodes such as </w:t>
      </w:r>
      <w:r w:rsidR="002140A2">
        <w:t>La</w:t>
      </w:r>
      <w:r w:rsidR="002140A2" w:rsidRPr="00170B4B">
        <w:rPr>
          <w:vertAlign w:val="subscript"/>
        </w:rPr>
        <w:t>0.6</w:t>
      </w:r>
      <w:r w:rsidR="002140A2">
        <w:t>Sr</w:t>
      </w:r>
      <w:r w:rsidR="002140A2" w:rsidRPr="00170B4B">
        <w:rPr>
          <w:vertAlign w:val="subscript"/>
        </w:rPr>
        <w:t>0.4</w:t>
      </w:r>
      <w:r w:rsidR="002140A2">
        <w:t>Co</w:t>
      </w:r>
      <w:r w:rsidR="002140A2" w:rsidRPr="00170B4B">
        <w:rPr>
          <w:vertAlign w:val="subscript"/>
        </w:rPr>
        <w:t>0.2</w:t>
      </w:r>
      <w:r w:rsidR="002140A2">
        <w:t>Fe</w:t>
      </w:r>
      <w:r w:rsidR="002140A2" w:rsidRPr="00170B4B">
        <w:rPr>
          <w:vertAlign w:val="subscript"/>
        </w:rPr>
        <w:t>0.8</w:t>
      </w:r>
      <w:r w:rsidR="002140A2">
        <w:t>O</w:t>
      </w:r>
      <w:r w:rsidR="002140A2" w:rsidRPr="00170B4B">
        <w:rPr>
          <w:vertAlign w:val="subscript"/>
        </w:rPr>
        <w:t xml:space="preserve">3-d </w:t>
      </w:r>
      <w:r w:rsidR="002140A2">
        <w:t>(</w:t>
      </w:r>
      <w:r w:rsidR="002140A2" w:rsidRPr="00DF2B0D">
        <w:t>LSCF</w:t>
      </w:r>
      <w:r w:rsidR="002140A2">
        <w:t xml:space="preserve">) </w:t>
      </w:r>
      <w:r w:rsidR="002140A2" w:rsidRPr="00DF2B0D">
        <w:t>of 16.6 × 10</w:t>
      </w:r>
      <w:r w:rsidR="002140A2">
        <w:rPr>
          <w:vertAlign w:val="superscript"/>
        </w:rPr>
        <w:noBreakHyphen/>
      </w:r>
      <w:r w:rsidR="002140A2" w:rsidRPr="00DF2B0D">
        <w:rPr>
          <w:vertAlign w:val="superscript"/>
        </w:rPr>
        <w:t>6</w:t>
      </w:r>
      <w:r w:rsidR="002140A2" w:rsidRPr="00DF2B0D">
        <w:t>/K from room temperature to 650 °C</w:t>
      </w:r>
      <w:r w:rsidR="002140A2" w:rsidRPr="00DF2B0D">
        <w:fldChar w:fldCharType="begin" w:fldLock="1"/>
      </w:r>
      <w:r w:rsidR="000A4126">
        <w:instrText>ADDIN CSL_CITATION {"citationItems":[{"id":"ITEM-1","itemData":{"DOI":"10.1016/j.jallcom.2006.12.132","ISSN":"09258388","abstract":"The structure, electrical conducting and thermal expansion properties of La0.6Sr0.4Co0.8Fe0.2O3-??-Ce0.8Sm0.2O2-?? composite cathodes have been investigated with respect to the fraction of Ce0.8Sm0.2O2-?? electrolyte. No chemical reaction product between the two constituents was detected for the composite cathodes sintered at 1200 ??C for 4 h. A dense microstructure composing of homogeneously distributed constituent phases was observed. It was found that the electrical conducting and thermal expansion properties of the composite cathodes are sensitive to the fraction of Ce0.8Sm0.2O2-?? electrolyte. In terms of both electrical conducting and thermal expansion properties, the composite cathode containing 50 wt.% Ce0.8Sm0.2O2-?? electrolyte was ascertained to be the optimum composition. This composition offers sufficiently high electrical conductivities of 100-116 ??-1 cm-1 at intermediate temperatures (600-800 ??C) and a moderate thermal expansion coefficient of 14.4 ?? 10-6 K-1 averaged between 100 and 730 ??C. ?? 2007 Elsevier B.V. All rights reserved.","author":[{"dropping-particle":"","family":"Xu","given":"Qing","non-dropping-particle":"","parse-names":false,"suffix":""},{"dropping-particle":"","family":"Huang","given":"Duanping.","non-dropping-particle":"","parse-names":false,"suffix":""},{"dropping-particle":"","family":"Zhang","given":"Feng","non-dropping-particle":"","parse-names":false,"suffix":""},{"dropping-particle":"","family":"Chen","given":"Wen","non-dropping-particle":"","parse-names":false,"suffix":""},{"dropping-particle":"","family":"Chen","given":"Min","non-dropping-particle":"","parse-names":false,"suffix":""},{"dropping-particle":"","family":"Liu","given":"Han xing","non-dropping-particle":"","parse-names":false,"suffix":""}],"container-title":"Journal of Alloys and Compounds","id":"ITEM-1","issue":"1-2","issued":{"date-parts":[["2008"]]},"page":"460-465","title":"Structure, electrical conducting and thermal expansion properties of La&lt;sub&gt;0.6&lt;/sub&gt;Sr&lt;sub&gt;0.4&lt;/sub&gt;Co&lt;sub&gt;0.8&lt;/sub&gt;Fe&lt;sub&gt;0.2&lt;/sub&gt;O&lt;sub&gt;3-d&lt;/sub&gt;-Ce&lt;sub&gt;0.8&lt;/sub&gt;Sm&lt;sub&gt;0.2&lt;/sub&gt;O&lt;sub&gt;2-d&lt;/sub&gt; composite cathodes","type":"article-journal","volume":"454"},"uris":["http://www.mendeley.com/documents/?uuid=c5aee6b5-a14f-419f-9391-4fdbfb1fe134"]}],"mendeley":{"formattedCitation":"&lt;sup&gt;37&lt;/sup&gt;","plainTextFormattedCitation":"37","previouslyFormattedCitation":"&lt;sup&gt;36&lt;/sup&gt;"},"properties":{"noteIndex":0},"schema":"https://github.com/citation-style-language/schema/raw/master/csl-citation.json"}</w:instrText>
      </w:r>
      <w:r w:rsidR="002140A2" w:rsidRPr="00DF2B0D">
        <w:fldChar w:fldCharType="separate"/>
      </w:r>
      <w:r w:rsidR="000A4126" w:rsidRPr="000A4126">
        <w:rPr>
          <w:noProof/>
          <w:vertAlign w:val="superscript"/>
        </w:rPr>
        <w:t>37</w:t>
      </w:r>
      <w:r w:rsidR="002140A2" w:rsidRPr="00DF2B0D">
        <w:fldChar w:fldCharType="end"/>
      </w:r>
      <w:r w:rsidR="002140A2" w:rsidRPr="00DF2B0D">
        <w:t xml:space="preserve"> indicating that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2140A2" w:rsidRPr="00DF2B0D">
        <w:t xml:space="preserve"> phases have suitable mechanical properties to function in fuel cells.</w:t>
      </w:r>
    </w:p>
    <w:p w14:paraId="0622C02B" w14:textId="1EC62841" w:rsidR="00F74B69" w:rsidRPr="00DF2B0D" w:rsidRDefault="00B35992" w:rsidP="00B35992">
      <w:pPr>
        <w:pStyle w:val="Caption"/>
        <w:keepNext/>
      </w:pPr>
      <w:bookmarkStart w:id="8" w:name="_Ref501837083"/>
      <w:r>
        <w:t xml:space="preserve">Table </w:t>
      </w:r>
      <w:r w:rsidR="0019656C">
        <w:fldChar w:fldCharType="begin"/>
      </w:r>
      <w:r w:rsidR="0019656C">
        <w:instrText xml:space="preserve"> SEQ Table \* ARABIC </w:instrText>
      </w:r>
      <w:r w:rsidR="0019656C">
        <w:fldChar w:fldCharType="separate"/>
      </w:r>
      <w:r w:rsidR="00564E5A">
        <w:rPr>
          <w:noProof/>
        </w:rPr>
        <w:t>1</w:t>
      </w:r>
      <w:r w:rsidR="0019656C">
        <w:rPr>
          <w:noProof/>
        </w:rPr>
        <w:fldChar w:fldCharType="end"/>
      </w:r>
      <w:bookmarkEnd w:id="8"/>
      <w:r w:rsidR="00F74B69" w:rsidRPr="00DF2B0D">
        <w:rPr>
          <w:noProof/>
        </w:rPr>
        <w:t>:</w:t>
      </w:r>
      <w:r w:rsidR="00F74B69" w:rsidRPr="00DF2B0D">
        <w:t xml:space="preserve"> Thermal expansion coefficients of the LaNbO</w:t>
      </w:r>
      <w:r w:rsidR="00F74B69" w:rsidRPr="00DF2B0D">
        <w:rPr>
          <w:vertAlign w:val="subscript"/>
        </w:rPr>
        <w:t xml:space="preserve">4 </w:t>
      </w:r>
      <w:r w:rsidR="00F74B69" w:rsidRPr="00DF2B0D">
        <w:t xml:space="preserve">and various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F74B69" w:rsidRPr="00DF2B0D">
        <w:t xml:space="preserve"> compositions determined from dilatometry measurements shown in </w:t>
      </w:r>
      <w:r>
        <w:fldChar w:fldCharType="begin"/>
      </w:r>
      <w:r>
        <w:instrText xml:space="preserve"> REF _Ref15917539 \h </w:instrText>
      </w:r>
      <w:r>
        <w:fldChar w:fldCharType="separate"/>
      </w:r>
      <w:r w:rsidR="00564E5A">
        <w:t xml:space="preserve">Figure </w:t>
      </w:r>
      <w:r w:rsidR="00564E5A">
        <w:rPr>
          <w:noProof/>
        </w:rPr>
        <w:t>2</w:t>
      </w:r>
      <w:r>
        <w:fldChar w:fldCharType="end"/>
      </w:r>
      <w:r w:rsidR="00F74B69" w:rsidRPr="00DF2B0D">
        <w:t xml:space="preserve">. </w:t>
      </w:r>
    </w:p>
    <w:tbl>
      <w:tblPr>
        <w:tblW w:w="7882" w:type="dxa"/>
        <w:jc w:val="center"/>
        <w:tblLook w:val="04A0" w:firstRow="1" w:lastRow="0" w:firstColumn="1" w:lastColumn="0" w:noHBand="0" w:noVBand="1"/>
      </w:tblPr>
      <w:tblGrid>
        <w:gridCol w:w="1758"/>
        <w:gridCol w:w="1956"/>
        <w:gridCol w:w="1639"/>
        <w:gridCol w:w="1062"/>
        <w:gridCol w:w="1500"/>
      </w:tblGrid>
      <w:tr w:rsidR="00F74B69" w:rsidRPr="00392862" w14:paraId="3BA28B7F" w14:textId="77777777" w:rsidTr="00F74B69">
        <w:trPr>
          <w:trHeight w:val="330"/>
          <w:jc w:val="center"/>
        </w:trPr>
        <w:tc>
          <w:tcPr>
            <w:tcW w:w="1725" w:type="dxa"/>
            <w:tcBorders>
              <w:top w:val="single" w:sz="4" w:space="0" w:color="auto"/>
              <w:left w:val="nil"/>
              <w:bottom w:val="single" w:sz="4" w:space="0" w:color="auto"/>
              <w:right w:val="single" w:sz="4" w:space="0" w:color="auto"/>
            </w:tcBorders>
            <w:shd w:val="clear" w:color="auto" w:fill="auto"/>
            <w:noWrap/>
            <w:vAlign w:val="center"/>
            <w:hideMark/>
          </w:tcPr>
          <w:p w14:paraId="7E32F713"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Composition</w:t>
            </w:r>
          </w:p>
        </w:tc>
        <w:tc>
          <w:tcPr>
            <w:tcW w:w="1956" w:type="dxa"/>
            <w:tcBorders>
              <w:top w:val="single" w:sz="4" w:space="0" w:color="auto"/>
              <w:left w:val="nil"/>
              <w:bottom w:val="single" w:sz="4" w:space="0" w:color="auto"/>
              <w:right w:val="nil"/>
            </w:tcBorders>
            <w:shd w:val="clear" w:color="auto" w:fill="auto"/>
            <w:noWrap/>
            <w:vAlign w:val="center"/>
            <w:hideMark/>
          </w:tcPr>
          <w:p w14:paraId="043DA2B8"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 xml:space="preserve">TEC high temperature </w:t>
            </w:r>
          </w:p>
          <w:p w14:paraId="4B982869"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(10</w:t>
            </w:r>
            <w:r w:rsidRPr="00057994">
              <w:rPr>
                <w:rFonts w:asciiTheme="minorHAnsi" w:eastAsia="Times New Roman" w:hAnsiTheme="minorHAnsi" w:cstheme="minorHAnsi"/>
                <w:color w:val="000000"/>
                <w:sz w:val="22"/>
                <w:vertAlign w:val="superscript"/>
              </w:rPr>
              <w:t>-6</w:t>
            </w:r>
            <w:r w:rsidRPr="00057994">
              <w:rPr>
                <w:rFonts w:asciiTheme="minorHAnsi" w:eastAsia="Times New Roman" w:hAnsiTheme="minorHAnsi" w:cstheme="minorHAnsi"/>
                <w:color w:val="000000"/>
                <w:sz w:val="22"/>
              </w:rPr>
              <w:t>/K)</w:t>
            </w:r>
          </w:p>
        </w:tc>
        <w:tc>
          <w:tcPr>
            <w:tcW w:w="1639" w:type="dxa"/>
            <w:tcBorders>
              <w:top w:val="single" w:sz="4" w:space="0" w:color="auto"/>
              <w:left w:val="nil"/>
              <w:bottom w:val="single" w:sz="4" w:space="0" w:color="auto"/>
              <w:right w:val="nil"/>
            </w:tcBorders>
            <w:shd w:val="clear" w:color="auto" w:fill="auto"/>
            <w:noWrap/>
            <w:vAlign w:val="center"/>
            <w:hideMark/>
          </w:tcPr>
          <w:p w14:paraId="27532D7F"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TEC low temperature (10</w:t>
            </w:r>
            <w:r w:rsidRPr="00057994">
              <w:rPr>
                <w:rFonts w:asciiTheme="minorHAnsi" w:eastAsia="Times New Roman" w:hAnsiTheme="minorHAnsi" w:cstheme="minorHAnsi"/>
                <w:color w:val="000000"/>
                <w:sz w:val="22"/>
                <w:vertAlign w:val="superscript"/>
              </w:rPr>
              <w:t>-6</w:t>
            </w:r>
            <w:r w:rsidRPr="00057994">
              <w:rPr>
                <w:rFonts w:asciiTheme="minorHAnsi" w:eastAsia="Times New Roman" w:hAnsiTheme="minorHAnsi" w:cstheme="minorHAnsi"/>
                <w:color w:val="000000"/>
                <w:sz w:val="22"/>
              </w:rPr>
              <w:t>/K)</w:t>
            </w:r>
          </w:p>
        </w:tc>
        <w:tc>
          <w:tcPr>
            <w:tcW w:w="1062" w:type="dxa"/>
            <w:tcBorders>
              <w:top w:val="single" w:sz="4" w:space="0" w:color="auto"/>
              <w:left w:val="nil"/>
              <w:bottom w:val="single" w:sz="4" w:space="0" w:color="auto"/>
              <w:right w:val="nil"/>
            </w:tcBorders>
            <w:shd w:val="clear" w:color="auto" w:fill="auto"/>
            <w:noWrap/>
            <w:vAlign w:val="center"/>
            <w:hideMark/>
          </w:tcPr>
          <w:p w14:paraId="3D052373"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i/>
                <w:color w:val="000000"/>
                <w:sz w:val="22"/>
              </w:rPr>
              <w:t>T</w:t>
            </w:r>
            <w:r w:rsidRPr="00057994">
              <w:rPr>
                <w:rFonts w:asciiTheme="minorHAnsi" w:eastAsia="Times New Roman" w:hAnsiTheme="minorHAnsi" w:cstheme="minorHAnsi"/>
                <w:i/>
                <w:color w:val="000000"/>
                <w:sz w:val="22"/>
                <w:vertAlign w:val="subscript"/>
              </w:rPr>
              <w:t>tr</w:t>
            </w:r>
            <w:r w:rsidRPr="00057994">
              <w:rPr>
                <w:rFonts w:asciiTheme="minorHAnsi" w:eastAsia="Times New Roman" w:hAnsiTheme="minorHAnsi" w:cstheme="minorHAnsi"/>
                <w:color w:val="000000"/>
                <w:sz w:val="22"/>
              </w:rPr>
              <w:t xml:space="preserve"> (°C)</w:t>
            </w:r>
          </w:p>
        </w:tc>
        <w:tc>
          <w:tcPr>
            <w:tcW w:w="1500" w:type="dxa"/>
            <w:tcBorders>
              <w:top w:val="single" w:sz="4" w:space="0" w:color="auto"/>
              <w:left w:val="nil"/>
              <w:bottom w:val="single" w:sz="4" w:space="0" w:color="auto"/>
              <w:right w:val="nil"/>
            </w:tcBorders>
            <w:shd w:val="clear" w:color="auto" w:fill="auto"/>
            <w:noWrap/>
            <w:vAlign w:val="center"/>
            <w:hideMark/>
          </w:tcPr>
          <w:p w14:paraId="092DC31B"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references</w:t>
            </w:r>
          </w:p>
        </w:tc>
      </w:tr>
      <w:tr w:rsidR="00F74B69" w:rsidRPr="00392862" w14:paraId="1D12CF01" w14:textId="77777777" w:rsidTr="00F74B69">
        <w:trPr>
          <w:trHeight w:val="330"/>
          <w:jc w:val="center"/>
        </w:trPr>
        <w:tc>
          <w:tcPr>
            <w:tcW w:w="17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5CE52D0"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LaNbO</w:t>
            </w:r>
            <w:r w:rsidRPr="00057994">
              <w:rPr>
                <w:rFonts w:asciiTheme="minorHAnsi" w:eastAsia="Times New Roman" w:hAnsiTheme="minorHAnsi" w:cstheme="minorHAnsi"/>
                <w:color w:val="000000"/>
                <w:sz w:val="22"/>
                <w:vertAlign w:val="subscript"/>
              </w:rPr>
              <w:t>4</w:t>
            </w:r>
          </w:p>
        </w:tc>
        <w:tc>
          <w:tcPr>
            <w:tcW w:w="1956" w:type="dxa"/>
            <w:tcBorders>
              <w:top w:val="nil"/>
              <w:left w:val="nil"/>
              <w:bottom w:val="nil"/>
              <w:right w:val="nil"/>
            </w:tcBorders>
            <w:shd w:val="clear" w:color="auto" w:fill="auto"/>
            <w:noWrap/>
            <w:vAlign w:val="center"/>
            <w:hideMark/>
          </w:tcPr>
          <w:p w14:paraId="374BE0F0"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17.3</w:t>
            </w:r>
          </w:p>
        </w:tc>
        <w:tc>
          <w:tcPr>
            <w:tcW w:w="1639" w:type="dxa"/>
            <w:tcBorders>
              <w:top w:val="nil"/>
              <w:left w:val="nil"/>
              <w:bottom w:val="nil"/>
              <w:right w:val="nil"/>
            </w:tcBorders>
            <w:shd w:val="clear" w:color="auto" w:fill="auto"/>
            <w:noWrap/>
            <w:vAlign w:val="center"/>
            <w:hideMark/>
          </w:tcPr>
          <w:p w14:paraId="750115D3"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9.3</w:t>
            </w:r>
          </w:p>
        </w:tc>
        <w:tc>
          <w:tcPr>
            <w:tcW w:w="1062" w:type="dxa"/>
            <w:tcBorders>
              <w:top w:val="nil"/>
              <w:left w:val="nil"/>
              <w:bottom w:val="nil"/>
              <w:right w:val="nil"/>
            </w:tcBorders>
            <w:shd w:val="clear" w:color="auto" w:fill="auto"/>
            <w:noWrap/>
            <w:vAlign w:val="center"/>
            <w:hideMark/>
          </w:tcPr>
          <w:p w14:paraId="45AF3A29"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490 ± 10</w:t>
            </w:r>
          </w:p>
        </w:tc>
        <w:tc>
          <w:tcPr>
            <w:tcW w:w="1500" w:type="dxa"/>
            <w:tcBorders>
              <w:top w:val="nil"/>
              <w:left w:val="nil"/>
              <w:bottom w:val="nil"/>
              <w:right w:val="nil"/>
            </w:tcBorders>
            <w:shd w:val="clear" w:color="auto" w:fill="auto"/>
            <w:noWrap/>
            <w:vAlign w:val="center"/>
            <w:hideMark/>
          </w:tcPr>
          <w:p w14:paraId="6E571022"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this work</w:t>
            </w:r>
          </w:p>
        </w:tc>
      </w:tr>
      <w:tr w:rsidR="00F74B69" w:rsidRPr="00392862" w14:paraId="7E2C0F66" w14:textId="77777777" w:rsidTr="00F74B69">
        <w:trPr>
          <w:trHeight w:val="330"/>
          <w:jc w:val="center"/>
        </w:trPr>
        <w:tc>
          <w:tcPr>
            <w:tcW w:w="1725" w:type="dxa"/>
            <w:vMerge/>
            <w:tcBorders>
              <w:top w:val="single" w:sz="4" w:space="0" w:color="000000"/>
              <w:left w:val="nil"/>
              <w:bottom w:val="single" w:sz="4" w:space="0" w:color="auto"/>
              <w:right w:val="single" w:sz="4" w:space="0" w:color="auto"/>
            </w:tcBorders>
            <w:vAlign w:val="center"/>
            <w:hideMark/>
          </w:tcPr>
          <w:p w14:paraId="759C2D81"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p>
        </w:tc>
        <w:tc>
          <w:tcPr>
            <w:tcW w:w="1956" w:type="dxa"/>
            <w:tcBorders>
              <w:top w:val="nil"/>
              <w:left w:val="nil"/>
              <w:right w:val="nil"/>
            </w:tcBorders>
            <w:shd w:val="clear" w:color="auto" w:fill="auto"/>
            <w:noWrap/>
            <w:vAlign w:val="center"/>
            <w:hideMark/>
          </w:tcPr>
          <w:p w14:paraId="038AAD65"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17.3</w:t>
            </w:r>
          </w:p>
        </w:tc>
        <w:tc>
          <w:tcPr>
            <w:tcW w:w="1639" w:type="dxa"/>
            <w:tcBorders>
              <w:top w:val="nil"/>
              <w:left w:val="nil"/>
              <w:right w:val="nil"/>
            </w:tcBorders>
            <w:shd w:val="clear" w:color="auto" w:fill="auto"/>
            <w:noWrap/>
            <w:vAlign w:val="center"/>
            <w:hideMark/>
          </w:tcPr>
          <w:p w14:paraId="7A2AB528"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7.1</w:t>
            </w:r>
          </w:p>
        </w:tc>
        <w:tc>
          <w:tcPr>
            <w:tcW w:w="1062" w:type="dxa"/>
            <w:tcBorders>
              <w:top w:val="nil"/>
              <w:left w:val="nil"/>
              <w:right w:val="nil"/>
            </w:tcBorders>
            <w:shd w:val="clear" w:color="auto" w:fill="auto"/>
            <w:noWrap/>
            <w:vAlign w:val="center"/>
            <w:hideMark/>
          </w:tcPr>
          <w:p w14:paraId="5374CBF2"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510 ± 10</w:t>
            </w:r>
          </w:p>
        </w:tc>
        <w:tc>
          <w:tcPr>
            <w:tcW w:w="1500" w:type="dxa"/>
            <w:tcBorders>
              <w:top w:val="nil"/>
              <w:left w:val="nil"/>
              <w:right w:val="nil"/>
            </w:tcBorders>
            <w:shd w:val="clear" w:color="auto" w:fill="auto"/>
            <w:noWrap/>
            <w:vAlign w:val="center"/>
            <w:hideMark/>
          </w:tcPr>
          <w:p w14:paraId="42C0EC0A"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noProof/>
                <w:color w:val="000000"/>
                <w:sz w:val="22"/>
                <w:vertAlign w:val="superscript"/>
              </w:rPr>
              <w:t>11</w:t>
            </w:r>
          </w:p>
        </w:tc>
      </w:tr>
      <w:tr w:rsidR="00F74B69" w:rsidRPr="00392862" w14:paraId="6A133603" w14:textId="77777777" w:rsidTr="00F74B69">
        <w:trPr>
          <w:trHeight w:val="330"/>
          <w:jc w:val="center"/>
        </w:trPr>
        <w:tc>
          <w:tcPr>
            <w:tcW w:w="1725" w:type="dxa"/>
            <w:vMerge/>
            <w:tcBorders>
              <w:top w:val="single" w:sz="4" w:space="0" w:color="000000"/>
              <w:left w:val="nil"/>
              <w:bottom w:val="single" w:sz="4" w:space="0" w:color="auto"/>
              <w:right w:val="single" w:sz="4" w:space="0" w:color="auto"/>
            </w:tcBorders>
            <w:vAlign w:val="center"/>
            <w:hideMark/>
          </w:tcPr>
          <w:p w14:paraId="7B57BF1A"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p>
        </w:tc>
        <w:tc>
          <w:tcPr>
            <w:tcW w:w="1956" w:type="dxa"/>
            <w:tcBorders>
              <w:top w:val="nil"/>
              <w:left w:val="nil"/>
              <w:bottom w:val="single" w:sz="4" w:space="0" w:color="auto"/>
              <w:right w:val="nil"/>
            </w:tcBorders>
            <w:shd w:val="clear" w:color="auto" w:fill="auto"/>
            <w:noWrap/>
            <w:vAlign w:val="center"/>
            <w:hideMark/>
          </w:tcPr>
          <w:p w14:paraId="704B3CCE"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14.0</w:t>
            </w:r>
          </w:p>
        </w:tc>
        <w:tc>
          <w:tcPr>
            <w:tcW w:w="1639" w:type="dxa"/>
            <w:tcBorders>
              <w:top w:val="nil"/>
              <w:left w:val="nil"/>
              <w:bottom w:val="single" w:sz="4" w:space="0" w:color="auto"/>
              <w:right w:val="nil"/>
            </w:tcBorders>
            <w:shd w:val="clear" w:color="auto" w:fill="auto"/>
            <w:noWrap/>
            <w:vAlign w:val="center"/>
            <w:hideMark/>
          </w:tcPr>
          <w:p w14:paraId="1168AE7D"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8.4</w:t>
            </w:r>
          </w:p>
        </w:tc>
        <w:tc>
          <w:tcPr>
            <w:tcW w:w="1062" w:type="dxa"/>
            <w:tcBorders>
              <w:top w:val="nil"/>
              <w:left w:val="nil"/>
              <w:bottom w:val="single" w:sz="4" w:space="0" w:color="auto"/>
              <w:right w:val="nil"/>
            </w:tcBorders>
            <w:shd w:val="clear" w:color="auto" w:fill="auto"/>
            <w:noWrap/>
            <w:vAlign w:val="center"/>
            <w:hideMark/>
          </w:tcPr>
          <w:p w14:paraId="77FAAA6D"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504 ± 10</w:t>
            </w:r>
          </w:p>
        </w:tc>
        <w:tc>
          <w:tcPr>
            <w:tcW w:w="1500" w:type="dxa"/>
            <w:tcBorders>
              <w:top w:val="nil"/>
              <w:left w:val="nil"/>
              <w:bottom w:val="single" w:sz="4" w:space="0" w:color="auto"/>
              <w:right w:val="nil"/>
            </w:tcBorders>
            <w:shd w:val="clear" w:color="auto" w:fill="auto"/>
            <w:noWrap/>
            <w:vAlign w:val="center"/>
            <w:hideMark/>
          </w:tcPr>
          <w:p w14:paraId="66692091" w14:textId="4D0ED839"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noProof/>
                <w:color w:val="000000"/>
                <w:sz w:val="22"/>
                <w:vertAlign w:val="superscript"/>
              </w:rPr>
              <w:t>12</w:t>
            </w:r>
          </w:p>
        </w:tc>
      </w:tr>
      <w:tr w:rsidR="00F74B69" w:rsidRPr="00392862" w14:paraId="3BDDBC6E" w14:textId="77777777" w:rsidTr="00F74B69">
        <w:trPr>
          <w:trHeight w:val="330"/>
          <w:jc w:val="center"/>
        </w:trPr>
        <w:tc>
          <w:tcPr>
            <w:tcW w:w="1725" w:type="dxa"/>
            <w:tcBorders>
              <w:top w:val="single" w:sz="4" w:space="0" w:color="auto"/>
              <w:left w:val="nil"/>
              <w:bottom w:val="nil"/>
              <w:right w:val="single" w:sz="4" w:space="0" w:color="auto"/>
            </w:tcBorders>
            <w:vAlign w:val="center"/>
          </w:tcPr>
          <w:p w14:paraId="7E0BFB09" w14:textId="3302FF29"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LaNb</w:t>
            </w:r>
            <w:r w:rsidRPr="00057994">
              <w:rPr>
                <w:rFonts w:asciiTheme="minorHAnsi" w:eastAsia="Times New Roman" w:hAnsiTheme="minorHAnsi" w:cstheme="minorHAnsi"/>
                <w:color w:val="000000"/>
                <w:sz w:val="22"/>
                <w:vertAlign w:val="subscript"/>
              </w:rPr>
              <w:t>0.92</w:t>
            </w:r>
            <w:r w:rsidRPr="00057994">
              <w:rPr>
                <w:rFonts w:asciiTheme="minorHAnsi" w:eastAsia="Times New Roman" w:hAnsiTheme="minorHAnsi" w:cstheme="minorHAnsi"/>
                <w:color w:val="000000"/>
                <w:sz w:val="22"/>
              </w:rPr>
              <w:t>W</w:t>
            </w:r>
            <w:r w:rsidRPr="00057994">
              <w:rPr>
                <w:rFonts w:asciiTheme="minorHAnsi" w:eastAsia="Times New Roman" w:hAnsiTheme="minorHAnsi" w:cstheme="minorHAnsi"/>
                <w:color w:val="000000"/>
                <w:sz w:val="22"/>
                <w:vertAlign w:val="subscript"/>
              </w:rPr>
              <w:t>0.08</w:t>
            </w:r>
            <w:r w:rsidRPr="00057994">
              <w:rPr>
                <w:rFonts w:asciiTheme="minorHAnsi" w:eastAsia="Times New Roman" w:hAnsiTheme="minorHAnsi" w:cstheme="minorHAnsi"/>
                <w:color w:val="000000"/>
                <w:sz w:val="22"/>
              </w:rPr>
              <w:t>O</w:t>
            </w:r>
            <w:r w:rsidRPr="00057994">
              <w:rPr>
                <w:rFonts w:asciiTheme="minorHAnsi" w:eastAsia="Times New Roman" w:hAnsiTheme="minorHAnsi" w:cstheme="minorHAnsi"/>
                <w:color w:val="000000"/>
                <w:sz w:val="22"/>
                <w:vertAlign w:val="subscript"/>
              </w:rPr>
              <w:t>4</w:t>
            </w:r>
            <w:r w:rsidR="00392862" w:rsidRPr="00057994">
              <w:rPr>
                <w:rFonts w:asciiTheme="minorHAnsi" w:eastAsia="Times New Roman" w:hAnsiTheme="minorHAnsi" w:cstheme="minorHAnsi"/>
                <w:color w:val="000000"/>
                <w:sz w:val="22"/>
                <w:vertAlign w:val="subscript"/>
              </w:rPr>
              <w:t>.04</w:t>
            </w:r>
          </w:p>
        </w:tc>
        <w:tc>
          <w:tcPr>
            <w:tcW w:w="1956" w:type="dxa"/>
            <w:tcBorders>
              <w:top w:val="single" w:sz="4" w:space="0" w:color="auto"/>
              <w:left w:val="nil"/>
              <w:bottom w:val="nil"/>
              <w:right w:val="nil"/>
            </w:tcBorders>
            <w:shd w:val="clear" w:color="auto" w:fill="auto"/>
            <w:noWrap/>
            <w:vAlign w:val="center"/>
          </w:tcPr>
          <w:p w14:paraId="2CAA8254"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17.5</w:t>
            </w:r>
          </w:p>
        </w:tc>
        <w:tc>
          <w:tcPr>
            <w:tcW w:w="1639" w:type="dxa"/>
            <w:tcBorders>
              <w:top w:val="single" w:sz="4" w:space="0" w:color="auto"/>
              <w:left w:val="nil"/>
              <w:bottom w:val="nil"/>
              <w:right w:val="nil"/>
            </w:tcBorders>
            <w:shd w:val="clear" w:color="auto" w:fill="auto"/>
            <w:noWrap/>
            <w:vAlign w:val="center"/>
          </w:tcPr>
          <w:p w14:paraId="2456A64F"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12.7</w:t>
            </w:r>
          </w:p>
        </w:tc>
        <w:tc>
          <w:tcPr>
            <w:tcW w:w="1062" w:type="dxa"/>
            <w:tcBorders>
              <w:top w:val="single" w:sz="4" w:space="0" w:color="auto"/>
              <w:left w:val="nil"/>
              <w:bottom w:val="nil"/>
              <w:right w:val="nil"/>
            </w:tcBorders>
            <w:shd w:val="clear" w:color="auto" w:fill="auto"/>
            <w:noWrap/>
            <w:vAlign w:val="center"/>
          </w:tcPr>
          <w:p w14:paraId="2B36FDB7" w14:textId="3B04B316"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468 ± 5</w:t>
            </w:r>
          </w:p>
        </w:tc>
        <w:tc>
          <w:tcPr>
            <w:tcW w:w="1500" w:type="dxa"/>
            <w:tcBorders>
              <w:top w:val="single" w:sz="4" w:space="0" w:color="auto"/>
              <w:left w:val="nil"/>
              <w:right w:val="nil"/>
            </w:tcBorders>
            <w:shd w:val="clear" w:color="auto" w:fill="auto"/>
            <w:noWrap/>
            <w:vAlign w:val="center"/>
          </w:tcPr>
          <w:p w14:paraId="77B02739" w14:textId="2183F3B7" w:rsidR="00F74B69" w:rsidRPr="00057994" w:rsidRDefault="00821B72" w:rsidP="00821B72">
            <w:pPr>
              <w:spacing w:before="0" w:after="0" w:line="240" w:lineRule="auto"/>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 xml:space="preserve">     </w:t>
            </w:r>
            <w:r w:rsidR="00F74B69" w:rsidRPr="00057994">
              <w:rPr>
                <w:rFonts w:asciiTheme="minorHAnsi" w:eastAsia="Times New Roman" w:hAnsiTheme="minorHAnsi" w:cstheme="minorHAnsi"/>
                <w:color w:val="000000"/>
                <w:sz w:val="22"/>
              </w:rPr>
              <w:t>this work</w:t>
            </w:r>
          </w:p>
        </w:tc>
      </w:tr>
      <w:tr w:rsidR="00F74B69" w:rsidRPr="00392862" w14:paraId="3B2DEF40" w14:textId="77777777" w:rsidTr="00F74B69">
        <w:trPr>
          <w:trHeight w:val="330"/>
          <w:jc w:val="center"/>
        </w:trPr>
        <w:tc>
          <w:tcPr>
            <w:tcW w:w="1725" w:type="dxa"/>
            <w:tcBorders>
              <w:top w:val="nil"/>
              <w:left w:val="nil"/>
              <w:bottom w:val="nil"/>
              <w:right w:val="single" w:sz="4" w:space="0" w:color="auto"/>
            </w:tcBorders>
            <w:vAlign w:val="center"/>
          </w:tcPr>
          <w:p w14:paraId="44929237" w14:textId="673E105D"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LaNb</w:t>
            </w:r>
            <w:r w:rsidRPr="00057994">
              <w:rPr>
                <w:rFonts w:asciiTheme="minorHAnsi" w:eastAsia="Times New Roman" w:hAnsiTheme="minorHAnsi" w:cstheme="minorHAnsi"/>
                <w:color w:val="000000"/>
                <w:sz w:val="22"/>
                <w:vertAlign w:val="subscript"/>
              </w:rPr>
              <w:t>0.88</w:t>
            </w:r>
            <w:r w:rsidR="005F7684" w:rsidRPr="00057994">
              <w:rPr>
                <w:rFonts w:asciiTheme="minorHAnsi" w:hAnsiTheme="minorHAnsi" w:cstheme="minorHAnsi"/>
                <w:sz w:val="22"/>
              </w:rPr>
              <w:t>W</w:t>
            </w:r>
            <w:r w:rsidR="005F7684" w:rsidRPr="00057994">
              <w:rPr>
                <w:rFonts w:asciiTheme="minorHAnsi" w:hAnsiTheme="minorHAnsi" w:cstheme="minorHAnsi"/>
                <w:sz w:val="22"/>
                <w:vertAlign w:val="subscript"/>
              </w:rPr>
              <w:t>0.12</w:t>
            </w:r>
            <w:r w:rsidR="005F7684" w:rsidRPr="00057994">
              <w:rPr>
                <w:rFonts w:asciiTheme="minorHAnsi" w:hAnsiTheme="minorHAnsi" w:cstheme="minorHAnsi"/>
                <w:sz w:val="22"/>
              </w:rPr>
              <w:t>O</w:t>
            </w:r>
            <w:r w:rsidR="005F7684" w:rsidRPr="00057994">
              <w:rPr>
                <w:rFonts w:asciiTheme="minorHAnsi" w:hAnsiTheme="minorHAnsi" w:cstheme="minorHAnsi"/>
                <w:sz w:val="22"/>
                <w:vertAlign w:val="subscript"/>
              </w:rPr>
              <w:t>4.06</w:t>
            </w:r>
          </w:p>
        </w:tc>
        <w:tc>
          <w:tcPr>
            <w:tcW w:w="1956" w:type="dxa"/>
            <w:tcBorders>
              <w:top w:val="nil"/>
              <w:left w:val="nil"/>
              <w:bottom w:val="nil"/>
              <w:right w:val="nil"/>
            </w:tcBorders>
            <w:shd w:val="clear" w:color="auto" w:fill="auto"/>
            <w:noWrap/>
            <w:vAlign w:val="center"/>
          </w:tcPr>
          <w:p w14:paraId="4600220B"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16.2</w:t>
            </w:r>
          </w:p>
        </w:tc>
        <w:tc>
          <w:tcPr>
            <w:tcW w:w="1639" w:type="dxa"/>
            <w:tcBorders>
              <w:top w:val="nil"/>
              <w:left w:val="nil"/>
              <w:bottom w:val="nil"/>
              <w:right w:val="nil"/>
            </w:tcBorders>
            <w:shd w:val="clear" w:color="auto" w:fill="auto"/>
            <w:noWrap/>
            <w:vAlign w:val="center"/>
          </w:tcPr>
          <w:p w14:paraId="0E26E694"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13.1</w:t>
            </w:r>
          </w:p>
        </w:tc>
        <w:tc>
          <w:tcPr>
            <w:tcW w:w="1062" w:type="dxa"/>
            <w:tcBorders>
              <w:top w:val="nil"/>
              <w:left w:val="nil"/>
              <w:bottom w:val="nil"/>
              <w:right w:val="nil"/>
            </w:tcBorders>
            <w:shd w:val="clear" w:color="auto" w:fill="auto"/>
            <w:noWrap/>
            <w:vAlign w:val="center"/>
          </w:tcPr>
          <w:p w14:paraId="0568626F"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669 ± 5</w:t>
            </w:r>
          </w:p>
        </w:tc>
        <w:tc>
          <w:tcPr>
            <w:tcW w:w="1500" w:type="dxa"/>
            <w:tcBorders>
              <w:left w:val="nil"/>
              <w:right w:val="nil"/>
            </w:tcBorders>
            <w:shd w:val="clear" w:color="auto" w:fill="auto"/>
            <w:noWrap/>
            <w:vAlign w:val="center"/>
          </w:tcPr>
          <w:p w14:paraId="1094E550" w14:textId="3C3366BB" w:rsidR="00F74B69" w:rsidRPr="00057994" w:rsidRDefault="007B145F"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this work</w:t>
            </w:r>
          </w:p>
        </w:tc>
      </w:tr>
      <w:tr w:rsidR="00F74B69" w:rsidRPr="00392862" w14:paraId="6F5FCD82" w14:textId="77777777" w:rsidTr="00F74B69">
        <w:trPr>
          <w:trHeight w:val="330"/>
          <w:jc w:val="center"/>
        </w:trPr>
        <w:tc>
          <w:tcPr>
            <w:tcW w:w="1725" w:type="dxa"/>
            <w:tcBorders>
              <w:top w:val="nil"/>
              <w:left w:val="nil"/>
              <w:bottom w:val="single" w:sz="4" w:space="0" w:color="000000"/>
              <w:right w:val="single" w:sz="4" w:space="0" w:color="auto"/>
            </w:tcBorders>
            <w:vAlign w:val="center"/>
          </w:tcPr>
          <w:p w14:paraId="6C404523" w14:textId="1C788984"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LaNb</w:t>
            </w:r>
            <w:r w:rsidRPr="00057994">
              <w:rPr>
                <w:rFonts w:asciiTheme="minorHAnsi" w:eastAsia="Times New Roman" w:hAnsiTheme="minorHAnsi" w:cstheme="minorHAnsi"/>
                <w:color w:val="000000"/>
                <w:sz w:val="22"/>
                <w:vertAlign w:val="subscript"/>
              </w:rPr>
              <w:t>0.84</w:t>
            </w:r>
            <w:r w:rsidR="002524DD" w:rsidRPr="00057994">
              <w:rPr>
                <w:rFonts w:asciiTheme="minorHAnsi" w:hAnsiTheme="minorHAnsi" w:cstheme="minorHAnsi"/>
                <w:sz w:val="22"/>
              </w:rPr>
              <w:t>W</w:t>
            </w:r>
            <w:r w:rsidR="002524DD" w:rsidRPr="00057994">
              <w:rPr>
                <w:rFonts w:asciiTheme="minorHAnsi" w:hAnsiTheme="minorHAnsi" w:cstheme="minorHAnsi"/>
                <w:sz w:val="22"/>
                <w:vertAlign w:val="subscript"/>
              </w:rPr>
              <w:t>0.16</w:t>
            </w:r>
            <w:r w:rsidR="002524DD" w:rsidRPr="00057994">
              <w:rPr>
                <w:rFonts w:asciiTheme="minorHAnsi" w:hAnsiTheme="minorHAnsi" w:cstheme="minorHAnsi"/>
                <w:sz w:val="22"/>
              </w:rPr>
              <w:t>O</w:t>
            </w:r>
            <w:r w:rsidR="002524DD" w:rsidRPr="00057994">
              <w:rPr>
                <w:rFonts w:asciiTheme="minorHAnsi" w:hAnsiTheme="minorHAnsi" w:cstheme="minorHAnsi"/>
                <w:sz w:val="22"/>
                <w:vertAlign w:val="subscript"/>
              </w:rPr>
              <w:t>4.08</w:t>
            </w:r>
          </w:p>
        </w:tc>
        <w:tc>
          <w:tcPr>
            <w:tcW w:w="3595" w:type="dxa"/>
            <w:gridSpan w:val="2"/>
            <w:tcBorders>
              <w:top w:val="nil"/>
              <w:left w:val="nil"/>
              <w:bottom w:val="single" w:sz="4" w:space="0" w:color="auto"/>
              <w:right w:val="nil"/>
            </w:tcBorders>
            <w:shd w:val="clear" w:color="auto" w:fill="auto"/>
            <w:noWrap/>
            <w:vAlign w:val="center"/>
          </w:tcPr>
          <w:p w14:paraId="78A93637"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14.5</w:t>
            </w:r>
          </w:p>
        </w:tc>
        <w:tc>
          <w:tcPr>
            <w:tcW w:w="1062" w:type="dxa"/>
            <w:tcBorders>
              <w:top w:val="nil"/>
              <w:left w:val="nil"/>
              <w:bottom w:val="single" w:sz="4" w:space="0" w:color="auto"/>
              <w:right w:val="nil"/>
            </w:tcBorders>
            <w:shd w:val="clear" w:color="auto" w:fill="auto"/>
            <w:noWrap/>
            <w:vAlign w:val="center"/>
          </w:tcPr>
          <w:p w14:paraId="0E91C868" w14:textId="77777777" w:rsidR="00F74B69" w:rsidRPr="00057994" w:rsidRDefault="00F74B69"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w:t>
            </w:r>
          </w:p>
        </w:tc>
        <w:tc>
          <w:tcPr>
            <w:tcW w:w="1500" w:type="dxa"/>
            <w:tcBorders>
              <w:left w:val="nil"/>
              <w:bottom w:val="single" w:sz="4" w:space="0" w:color="auto"/>
              <w:right w:val="nil"/>
            </w:tcBorders>
            <w:shd w:val="clear" w:color="auto" w:fill="auto"/>
            <w:noWrap/>
            <w:vAlign w:val="center"/>
          </w:tcPr>
          <w:p w14:paraId="09C1EAF7" w14:textId="1AF8FB1D" w:rsidR="00F74B69" w:rsidRPr="00057994" w:rsidRDefault="007B145F" w:rsidP="00F74B69">
            <w:pPr>
              <w:spacing w:before="0" w:after="0" w:line="240" w:lineRule="auto"/>
              <w:jc w:val="center"/>
              <w:rPr>
                <w:rFonts w:asciiTheme="minorHAnsi" w:eastAsia="Times New Roman" w:hAnsiTheme="minorHAnsi" w:cstheme="minorHAnsi"/>
                <w:color w:val="000000"/>
                <w:sz w:val="22"/>
              </w:rPr>
            </w:pPr>
            <w:r w:rsidRPr="00057994">
              <w:rPr>
                <w:rFonts w:asciiTheme="minorHAnsi" w:eastAsia="Times New Roman" w:hAnsiTheme="minorHAnsi" w:cstheme="minorHAnsi"/>
                <w:color w:val="000000"/>
                <w:sz w:val="22"/>
              </w:rPr>
              <w:t>this work</w:t>
            </w:r>
          </w:p>
        </w:tc>
      </w:tr>
    </w:tbl>
    <w:p w14:paraId="03DA0CDB" w14:textId="668DFE55" w:rsidR="00D47475" w:rsidRDefault="00D47475" w:rsidP="00D47475">
      <w:bookmarkStart w:id="9" w:name="_Ref460272766"/>
      <w:bookmarkStart w:id="10" w:name="_Toc464943410"/>
    </w:p>
    <w:p w14:paraId="7D2CC3BA" w14:textId="1BD0A822" w:rsidR="00D47475" w:rsidRPr="00D47475" w:rsidRDefault="00D47475" w:rsidP="00D47475">
      <w:pPr>
        <w:pStyle w:val="Heading2"/>
      </w:pPr>
      <w:r>
        <w:t>High Temperature XRD</w:t>
      </w:r>
      <w:r w:rsidRPr="00DF2B0D">
        <w:t xml:space="preserve"> </w:t>
      </w:r>
      <w:r w:rsidR="008A5602" w:rsidRPr="00DF2B0D">
        <w:t xml:space="preserve">of the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8A5602" w:rsidRPr="00DF2B0D">
        <w:t xml:space="preserve"> (x = 0.04 – 0.16) series</w:t>
      </w:r>
    </w:p>
    <w:bookmarkEnd w:id="9"/>
    <w:bookmarkEnd w:id="10"/>
    <w:p w14:paraId="3C8342BB" w14:textId="2E0E47FF" w:rsidR="003273E1" w:rsidRPr="00DF2B0D" w:rsidRDefault="009F7CE2" w:rsidP="009F7CE2">
      <w:r w:rsidRPr="00DF2B0D">
        <w:t xml:space="preserve">The evolution of the structure and the phase transition of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rPr>
          <w:vertAlign w:val="subscript"/>
        </w:rPr>
        <w:t xml:space="preserve"> </w:t>
      </w:r>
      <w:r w:rsidRPr="00DF2B0D">
        <w:t xml:space="preserve">(x = 0.04–0.16) </w:t>
      </w:r>
      <w:r w:rsidR="0090004C" w:rsidRPr="00DF2B0D">
        <w:t xml:space="preserve">materials </w:t>
      </w:r>
      <w:r w:rsidRPr="00DF2B0D">
        <w:t>from room temperature to 850 °</w:t>
      </w:r>
      <w:r w:rsidR="004917ED" w:rsidRPr="00DF2B0D">
        <w:t>C</w:t>
      </w:r>
      <w:r w:rsidRPr="00DF2B0D">
        <w:t xml:space="preserve"> was investigated using </w:t>
      </w:r>
      <w:r w:rsidRPr="00DF2B0D">
        <w:rPr>
          <w:i/>
        </w:rPr>
        <w:t>in situ</w:t>
      </w:r>
      <w:r w:rsidRPr="00DF2B0D">
        <w:t xml:space="preserve"> high temperature X-ray diffraction</w:t>
      </w:r>
      <w:r w:rsidR="007B1A65" w:rsidRPr="00DF2B0D">
        <w:t xml:space="preserve">. </w:t>
      </w:r>
      <w:r w:rsidRPr="00DF2B0D">
        <w:t xml:space="preserve">The complexity of the phase transition behaviour is well illustrated by the </w:t>
      </w:r>
      <w:r w:rsidR="00CD7715" w:rsidRPr="00DF2B0D">
        <w:t>LaNb</w:t>
      </w:r>
      <w:r w:rsidR="00CD7715"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CD7715" w:rsidRPr="00F74B69">
        <w:t xml:space="preserve"> </w:t>
      </w:r>
      <w:r w:rsidRPr="00DF2B0D">
        <w:t>composition</w:t>
      </w:r>
      <w:r w:rsidR="00B35992">
        <w:t xml:space="preserve"> (</w:t>
      </w:r>
      <w:r w:rsidR="00B35992">
        <w:fldChar w:fldCharType="begin"/>
      </w:r>
      <w:r w:rsidR="00B35992">
        <w:instrText xml:space="preserve"> REF _Ref15917621 \h </w:instrText>
      </w:r>
      <w:r w:rsidR="00B35992">
        <w:fldChar w:fldCharType="separate"/>
      </w:r>
      <w:r w:rsidR="00564E5A">
        <w:t xml:space="preserve">Figure </w:t>
      </w:r>
      <w:r w:rsidR="00564E5A">
        <w:rPr>
          <w:noProof/>
        </w:rPr>
        <w:t>3</w:t>
      </w:r>
      <w:r w:rsidR="00B35992">
        <w:fldChar w:fldCharType="end"/>
      </w:r>
      <w:r w:rsidR="00B35992">
        <w:t>)</w:t>
      </w:r>
      <w:r w:rsidR="00475056" w:rsidRPr="00DF2B0D">
        <w:t>: at room temperature, th</w:t>
      </w:r>
      <w:r w:rsidR="00D030A0">
        <w:t>is</w:t>
      </w:r>
      <w:r w:rsidR="00475056" w:rsidRPr="00DF2B0D">
        <w:t xml:space="preserve"> composition has </w:t>
      </w:r>
      <w:r w:rsidR="0090004C" w:rsidRPr="00DF2B0D">
        <w:t xml:space="preserve">a </w:t>
      </w:r>
      <w:r w:rsidR="00475056" w:rsidRPr="00DF2B0D">
        <w:t>(3</w:t>
      </w:r>
      <w:r w:rsidR="008A5602" w:rsidRPr="00DF2B0D">
        <w:rPr>
          <w:rFonts w:ascii="Tahoma" w:hAnsi="Tahoma" w:cs="Tahoma"/>
          <w:lang w:val="en-US"/>
        </w:rPr>
        <w:t> </w:t>
      </w:r>
      <w:r w:rsidR="00475056" w:rsidRPr="00DF2B0D">
        <w:t>+</w:t>
      </w:r>
      <w:r w:rsidR="008A5602" w:rsidRPr="00DF2B0D">
        <w:rPr>
          <w:lang w:val="en-US"/>
        </w:rPr>
        <w:t> </w:t>
      </w:r>
      <w:r w:rsidR="00475056" w:rsidRPr="00DF2B0D">
        <w:t>2)D modulated structure, with a monoclinic parent phase</w:t>
      </w:r>
      <w:r w:rsidR="0090004C" w:rsidRPr="00DF2B0D">
        <w:t>, indicated by the satellite peaks in the diffraction pattern</w:t>
      </w:r>
      <w:r w:rsidR="00475056" w:rsidRPr="00DF2B0D">
        <w:t xml:space="preserve">. </w:t>
      </w:r>
      <w:r w:rsidR="0090004C" w:rsidRPr="00DF2B0D">
        <w:t xml:space="preserve">Increasing </w:t>
      </w:r>
      <w:r w:rsidR="00475056" w:rsidRPr="00DF2B0D">
        <w:t>the temperature lowers the intensity of the</w:t>
      </w:r>
      <w:r w:rsidR="0090004C" w:rsidRPr="00DF2B0D">
        <w:t>se</w:t>
      </w:r>
      <w:r w:rsidR="00475056" w:rsidRPr="00DF2B0D">
        <w:t xml:space="preserve"> satellite peaks</w:t>
      </w:r>
      <w:r w:rsidR="003273E1" w:rsidRPr="00DF2B0D">
        <w:t>.</w:t>
      </w:r>
      <w:r w:rsidR="00475056" w:rsidRPr="00DF2B0D">
        <w:t xml:space="preserve"> </w:t>
      </w:r>
      <w:r w:rsidR="00401FFC">
        <w:t xml:space="preserve">At 500 </w:t>
      </w:r>
      <w:r w:rsidR="00401FFC" w:rsidRPr="00DF2B0D">
        <w:t>°C</w:t>
      </w:r>
      <w:r w:rsidR="00401FFC">
        <w:t>, t</w:t>
      </w:r>
      <w:r w:rsidR="003273E1" w:rsidRPr="00DF2B0D">
        <w:t xml:space="preserve">he modulation reflections (the position of the modulation peak with the highest intensity is marked with an arrow in </w:t>
      </w:r>
      <w:r w:rsidR="00B35992">
        <w:fldChar w:fldCharType="begin"/>
      </w:r>
      <w:r w:rsidR="00B35992">
        <w:instrText xml:space="preserve"> REF _Ref15917621 \h </w:instrText>
      </w:r>
      <w:r w:rsidR="00B35992">
        <w:fldChar w:fldCharType="separate"/>
      </w:r>
      <w:r w:rsidR="00564E5A">
        <w:t xml:space="preserve">Figure </w:t>
      </w:r>
      <w:r w:rsidR="00564E5A">
        <w:rPr>
          <w:noProof/>
        </w:rPr>
        <w:t>3</w:t>
      </w:r>
      <w:r w:rsidR="00B35992">
        <w:fldChar w:fldCharType="end"/>
      </w:r>
      <w:r w:rsidR="003273E1" w:rsidRPr="00DF2B0D">
        <w:t>) were still observable</w:t>
      </w:r>
      <w:r w:rsidR="006D4E7D">
        <w:t>,</w:t>
      </w:r>
      <w:r w:rsidR="003273E1" w:rsidRPr="00DF2B0D">
        <w:t xml:space="preserve"> </w:t>
      </w:r>
      <w:r w:rsidR="00401FFC">
        <w:t xml:space="preserve">whereas the parent structure seems to </w:t>
      </w:r>
      <w:r w:rsidR="006D4E7D">
        <w:t xml:space="preserve">have transformed to </w:t>
      </w:r>
      <w:r w:rsidR="00401FFC">
        <w:t>tetragonal symmetry</w:t>
      </w:r>
      <w:r w:rsidR="003273E1" w:rsidRPr="00DF2B0D">
        <w:t xml:space="preserve">. </w:t>
      </w:r>
      <w:r w:rsidR="00EB6128" w:rsidRPr="00DF2B0D">
        <w:rPr>
          <w:i/>
        </w:rPr>
        <w:t>In situ</w:t>
      </w:r>
      <w:r w:rsidR="00EB6128" w:rsidRPr="00DF2B0D">
        <w:t xml:space="preserve"> neutron </w:t>
      </w:r>
      <w:r w:rsidR="0096049D" w:rsidRPr="00DF2B0D">
        <w:t xml:space="preserve">diffraction </w:t>
      </w:r>
      <w:r w:rsidR="00EB6128" w:rsidRPr="00DF2B0D">
        <w:t>data indicate that the satellite</w:t>
      </w:r>
      <w:r w:rsidR="003273E1" w:rsidRPr="00DF2B0D">
        <w:t xml:space="preserve"> peak</w:t>
      </w:r>
      <w:r w:rsidR="00EB6128" w:rsidRPr="00DF2B0D">
        <w:t>s</w:t>
      </w:r>
      <w:r w:rsidR="003273E1" w:rsidRPr="00DF2B0D">
        <w:t xml:space="preserve"> become indistinguishable from the background </w:t>
      </w:r>
      <w:r w:rsidR="00B35992">
        <w:rPr>
          <w:rFonts w:hint="eastAsia"/>
        </w:rPr>
        <w:t>between</w:t>
      </w:r>
      <w:r w:rsidR="003273E1" w:rsidRPr="00DF2B0D">
        <w:t xml:space="preserve"> 650 °C</w:t>
      </w:r>
      <w:r w:rsidR="00B35992">
        <w:t xml:space="preserve"> and 800 </w:t>
      </w:r>
      <w:r w:rsidR="00B35992" w:rsidRPr="00DF2B0D">
        <w:t>°C</w:t>
      </w:r>
      <w:r w:rsidR="003469ED" w:rsidRPr="00DF2B0D">
        <w:t xml:space="preserve"> (</w:t>
      </w:r>
      <w:r w:rsidR="003469ED" w:rsidRPr="00DF2B0D">
        <w:rPr>
          <w:rFonts w:hint="eastAsia"/>
        </w:rPr>
        <w:t>Figure</w:t>
      </w:r>
      <w:r w:rsidR="003469ED" w:rsidRPr="00DF2B0D">
        <w:t xml:space="preserve"> </w:t>
      </w:r>
      <w:r w:rsidR="003469ED" w:rsidRPr="00DF2B0D">
        <w:rPr>
          <w:rFonts w:hint="eastAsia"/>
        </w:rPr>
        <w:t>S</w:t>
      </w:r>
      <w:r w:rsidR="00553032" w:rsidRPr="00DF2B0D">
        <w:t>1</w:t>
      </w:r>
      <w:r w:rsidR="00422F02" w:rsidRPr="00DF2B0D">
        <w:t xml:space="preserve"> &amp;</w:t>
      </w:r>
      <w:r w:rsidR="00553032" w:rsidRPr="00DF2B0D">
        <w:t xml:space="preserve"> S2</w:t>
      </w:r>
      <w:r w:rsidR="00255C5A">
        <w:t xml:space="preserve"> in the supporting information</w:t>
      </w:r>
      <w:r w:rsidR="003469ED" w:rsidRPr="00DF2B0D">
        <w:t>)</w:t>
      </w:r>
      <w:r w:rsidR="003273E1" w:rsidRPr="00DF2B0D">
        <w:t xml:space="preserve">. At </w:t>
      </w:r>
      <w:r w:rsidR="00B35992">
        <w:t xml:space="preserve">800 </w:t>
      </w:r>
      <w:r w:rsidR="00B35992" w:rsidRPr="00DF2B0D">
        <w:t>°C</w:t>
      </w:r>
      <w:r w:rsidR="003273E1" w:rsidRPr="00DF2B0D">
        <w:t xml:space="preserve"> an unmodulated high temperature tetragonal phase formed, </w:t>
      </w:r>
      <w:proofErr w:type="gramStart"/>
      <w:r w:rsidR="003273E1" w:rsidRPr="00DF2B0D">
        <w:t>similar to</w:t>
      </w:r>
      <w:proofErr w:type="gramEnd"/>
      <w:r w:rsidR="003273E1" w:rsidRPr="00DF2B0D">
        <w:t xml:space="preserve"> the high temperature parent structure of LaNbO</w:t>
      </w:r>
      <w:r w:rsidR="003273E1" w:rsidRPr="00DF2B0D">
        <w:rPr>
          <w:vertAlign w:val="subscript"/>
        </w:rPr>
        <w:t>4</w:t>
      </w:r>
      <w:r w:rsidR="003273E1" w:rsidRPr="00DF2B0D">
        <w:t>.</w:t>
      </w:r>
    </w:p>
    <w:p w14:paraId="1480E7BD" w14:textId="2067799D" w:rsidR="00230A17" w:rsidRPr="00DF2B0D" w:rsidRDefault="000A4126" w:rsidP="00230A17">
      <w:pPr>
        <w:jc w:val="center"/>
      </w:pPr>
      <w:r>
        <w:rPr>
          <w:noProof/>
        </w:rPr>
        <w:lastRenderedPageBreak/>
        <w:pict w14:anchorId="3A40CDDA">
          <v:shape id="_x0000_i1238" type="#_x0000_t75" alt="" style="width:370.5pt;height:254.75pt;mso-width-percent:0;mso-height-percent:0;mso-width-percent:0;mso-height-percent:0">
            <v:imagedata r:id="rId11" o:title=""/>
          </v:shape>
        </w:pict>
      </w:r>
    </w:p>
    <w:p w14:paraId="30470585" w14:textId="7D3AF001" w:rsidR="00230A17" w:rsidRPr="00DF2B0D" w:rsidRDefault="00B35992" w:rsidP="00230A17">
      <w:pPr>
        <w:pStyle w:val="Caption"/>
      </w:pPr>
      <w:bookmarkStart w:id="11" w:name="_Ref15917621"/>
      <w:bookmarkStart w:id="12" w:name="_Toc464943514"/>
      <w:r>
        <w:t xml:space="preserve">Figure </w:t>
      </w:r>
      <w:r w:rsidR="0019656C">
        <w:fldChar w:fldCharType="begin"/>
      </w:r>
      <w:r w:rsidR="0019656C">
        <w:instrText xml:space="preserve"> SEQ Figure \* ARABIC </w:instrText>
      </w:r>
      <w:r w:rsidR="0019656C">
        <w:fldChar w:fldCharType="separate"/>
      </w:r>
      <w:r w:rsidR="00564E5A">
        <w:rPr>
          <w:noProof/>
        </w:rPr>
        <w:t>3</w:t>
      </w:r>
      <w:r w:rsidR="0019656C">
        <w:rPr>
          <w:noProof/>
        </w:rPr>
        <w:fldChar w:fldCharType="end"/>
      </w:r>
      <w:bookmarkEnd w:id="11"/>
      <w:r w:rsidR="00230A17" w:rsidRPr="00DF2B0D">
        <w:rPr>
          <w:noProof/>
        </w:rPr>
        <w:t>: S</w:t>
      </w:r>
      <w:r w:rsidR="00230A17" w:rsidRPr="00DF2B0D">
        <w:t xml:space="preserve">elected high temperature XRD patterns </w:t>
      </w:r>
      <w:r w:rsidR="0004666E" w:rsidRPr="00DF2B0D">
        <w:t>for the</w:t>
      </w:r>
      <w:r w:rsidR="00230A17" w:rsidRPr="00DF2B0D">
        <w:t xml:space="preserve"> LaNb</w:t>
      </w:r>
      <w:r w:rsidR="00230A17"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230A17" w:rsidRPr="00DF2B0D">
        <w:t xml:space="preserve"> phase</w:t>
      </w:r>
      <w:r w:rsidR="0004666E" w:rsidRPr="00DF2B0D">
        <w:t xml:space="preserve">; </w:t>
      </w:r>
      <w:r w:rsidR="00230A17" w:rsidRPr="00DF2B0D">
        <w:t>the position of the satellite reflection with highest intensity is highlighted by the arrow.</w:t>
      </w:r>
      <w:bookmarkEnd w:id="12"/>
    </w:p>
    <w:p w14:paraId="776F9D2F" w14:textId="75A7BF0F" w:rsidR="009F7CE2" w:rsidRDefault="009F7CE2" w:rsidP="009F7CE2">
      <w:r w:rsidRPr="00DF2B0D">
        <w:t xml:space="preserve">The lattice parameters of the </w:t>
      </w:r>
      <w:r w:rsidR="00230A17" w:rsidRPr="00DF2B0D">
        <w:t>LaNb</w:t>
      </w:r>
      <w:r w:rsidR="00230A17"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rPr>
          <w:vertAlign w:val="subscript"/>
        </w:rPr>
        <w:t xml:space="preserve"> </w:t>
      </w:r>
      <w:r w:rsidRPr="00DF2B0D">
        <w:t xml:space="preserve">composition, obtained using the Le Bail method, are plotted in </w:t>
      </w:r>
      <w:r w:rsidR="00B35992">
        <w:fldChar w:fldCharType="begin"/>
      </w:r>
      <w:r w:rsidR="00B35992">
        <w:instrText xml:space="preserve"> REF _Ref15917731 \h </w:instrText>
      </w:r>
      <w:r w:rsidR="00B35992">
        <w:fldChar w:fldCharType="separate"/>
      </w:r>
      <w:r w:rsidR="00564E5A">
        <w:t xml:space="preserve">Figure </w:t>
      </w:r>
      <w:r w:rsidR="00564E5A">
        <w:rPr>
          <w:noProof/>
        </w:rPr>
        <w:t>4</w:t>
      </w:r>
      <w:r w:rsidR="00B35992">
        <w:fldChar w:fldCharType="end"/>
      </w:r>
      <w:r w:rsidRPr="00DF2B0D">
        <w:t>. The subscript “</w:t>
      </w:r>
      <w:r w:rsidRPr="00DF2B0D">
        <w:rPr>
          <w:i/>
        </w:rPr>
        <w:t>m</w:t>
      </w:r>
      <w:r w:rsidRPr="00DF2B0D">
        <w:t>” and “</w:t>
      </w:r>
      <w:r w:rsidRPr="00DF2B0D">
        <w:rPr>
          <w:i/>
        </w:rPr>
        <w:t>t</w:t>
      </w:r>
      <w:r w:rsidRPr="00DF2B0D">
        <w:t xml:space="preserve">” indicate the monoclinic and tetragonal structure respectively. </w:t>
      </w:r>
      <w:r w:rsidR="00D030A0">
        <w:t>The</w:t>
      </w:r>
      <w:r w:rsidRPr="00DF2B0D">
        <w:t xml:space="preserve"> </w:t>
      </w:r>
      <w:r w:rsidRPr="00DF2B0D">
        <w:rPr>
          <w:i/>
        </w:rPr>
        <w:t>b</w:t>
      </w:r>
      <w:r w:rsidRPr="00DF2B0D">
        <w:rPr>
          <w:i/>
          <w:vertAlign w:val="subscript"/>
        </w:rPr>
        <w:t>m</w:t>
      </w:r>
      <w:r w:rsidRPr="00DF2B0D">
        <w:rPr>
          <w:i/>
        </w:rPr>
        <w:t xml:space="preserve"> </w:t>
      </w:r>
      <w:r w:rsidRPr="00DF2B0D">
        <w:t>axis was chosen as the unique axis for the monoclinic phase which coincide</w:t>
      </w:r>
      <w:r w:rsidR="0004666E" w:rsidRPr="00DF2B0D">
        <w:t>s</w:t>
      </w:r>
      <w:r w:rsidRPr="00DF2B0D">
        <w:t xml:space="preserve"> with the </w:t>
      </w:r>
      <w:r w:rsidRPr="00DF2B0D">
        <w:rPr>
          <w:i/>
        </w:rPr>
        <w:t>c</w:t>
      </w:r>
      <w:r w:rsidRPr="00DF2B0D">
        <w:rPr>
          <w:i/>
          <w:vertAlign w:val="subscript"/>
        </w:rPr>
        <w:t>t</w:t>
      </w:r>
      <w:r w:rsidRPr="00DF2B0D">
        <w:t xml:space="preserve"> axis in the tetragonal unit cell. </w:t>
      </w:r>
      <w:r w:rsidR="002140A2" w:rsidRPr="00DF2B0D">
        <w:t>Th</w:t>
      </w:r>
      <w:r w:rsidR="00D030A0">
        <w:t>is</w:t>
      </w:r>
      <w:r w:rsidR="002140A2" w:rsidRPr="00DF2B0D">
        <w:t xml:space="preserve"> choice of unique axes is consistent with the previous report, and aims to avert confusion</w:t>
      </w:r>
      <w:r w:rsidR="00E82801">
        <w:t>.</w:t>
      </w:r>
      <w:r w:rsidR="002140A2" w:rsidRPr="00DF2B0D">
        <w:fldChar w:fldCharType="begin" w:fldLock="1"/>
      </w:r>
      <w:r w:rsidR="000A4126">
        <w:instrText>ADDIN CSL_CITATION {"citationItems":[{"id":"ITEM-1","itemData":{"abstract":"Ph.D. thesis, Department of Materials, Imperial College London","author":[{"dropping-particle":"","family":"Bayliss","given":"Ryan D","non-dropping-particle":"","parse-names":false,"suffix":""}],"id":"ITEM-1","issued":{"date-parts":[["2014"]]},"publisher":"Imperial College London","title":"Synthetic, Structural and Electrochemical Studies of Superstructured Rare-Earth Niobates, Ph.D. Thesis","type":"thesis"},"uris":["http://www.mendeley.com/documents/?uuid=1bab67d7-a7cf-417b-9337-802cacec9235"]}],"mendeley":{"formattedCitation":"&lt;sup&gt;38&lt;/sup&gt;","plainTextFormattedCitation":"38","previouslyFormattedCitation":"&lt;sup&gt;37&lt;/sup&gt;"},"properties":{"noteIndex":0},"schema":"https://github.com/citation-style-language/schema/raw/master/csl-citation.json"}</w:instrText>
      </w:r>
      <w:r w:rsidR="002140A2" w:rsidRPr="00DF2B0D">
        <w:fldChar w:fldCharType="separate"/>
      </w:r>
      <w:r w:rsidR="000A4126" w:rsidRPr="000A4126">
        <w:rPr>
          <w:noProof/>
          <w:vertAlign w:val="superscript"/>
        </w:rPr>
        <w:t>38</w:t>
      </w:r>
      <w:r w:rsidR="002140A2" w:rsidRPr="00DF2B0D">
        <w:fldChar w:fldCharType="end"/>
      </w:r>
      <w:r w:rsidR="002140A2" w:rsidRPr="00DF2B0D">
        <w:t xml:space="preserve"> </w:t>
      </w:r>
      <w:r w:rsidRPr="00DF2B0D">
        <w:t>Approaching the phase transition temperature</w:t>
      </w:r>
      <w:r w:rsidR="0004666E" w:rsidRPr="00DF2B0D">
        <w:t>,</w:t>
      </w:r>
      <w:r w:rsidRPr="00DF2B0D">
        <w:t xml:space="preserve"> </w:t>
      </w:r>
      <w:r w:rsidRPr="00DF2B0D">
        <w:rPr>
          <w:i/>
        </w:rPr>
        <w:t>T</w:t>
      </w:r>
      <w:r w:rsidRPr="00DF2B0D">
        <w:rPr>
          <w:i/>
          <w:vertAlign w:val="subscript"/>
        </w:rPr>
        <w:t>tr</w:t>
      </w:r>
      <w:r w:rsidRPr="00DF2B0D">
        <w:t xml:space="preserve">, </w:t>
      </w:r>
      <w:r w:rsidRPr="00DF2B0D">
        <w:rPr>
          <w:i/>
        </w:rPr>
        <w:t>a</w:t>
      </w:r>
      <w:r w:rsidRPr="00DF2B0D">
        <w:rPr>
          <w:i/>
          <w:vertAlign w:val="subscript"/>
        </w:rPr>
        <w:t>m</w:t>
      </w:r>
      <w:r w:rsidRPr="00DF2B0D">
        <w:rPr>
          <w:vertAlign w:val="subscript"/>
        </w:rPr>
        <w:t xml:space="preserve"> </w:t>
      </w:r>
      <w:r w:rsidRPr="00DF2B0D">
        <w:t xml:space="preserve">decreases while </w:t>
      </w:r>
      <w:r w:rsidRPr="00DF2B0D">
        <w:rPr>
          <w:i/>
        </w:rPr>
        <w:t>c</w:t>
      </w:r>
      <w:r w:rsidRPr="00DF2B0D">
        <w:rPr>
          <w:i/>
          <w:vertAlign w:val="subscript"/>
        </w:rPr>
        <w:t>m</w:t>
      </w:r>
      <w:r w:rsidRPr="00DF2B0D">
        <w:rPr>
          <w:vertAlign w:val="subscript"/>
        </w:rPr>
        <w:t xml:space="preserve"> </w:t>
      </w:r>
      <w:r w:rsidRPr="00DF2B0D">
        <w:t xml:space="preserve">increases, resulting in the merging of </w:t>
      </w:r>
      <w:r w:rsidR="0004666E" w:rsidRPr="00DF2B0D">
        <w:t xml:space="preserve">the </w:t>
      </w:r>
      <w:r w:rsidRPr="00DF2B0D">
        <w:t xml:space="preserve">monoclinic </w:t>
      </w:r>
      <w:r w:rsidR="0004666E" w:rsidRPr="00DF2B0D">
        <w:t>symmetry-</w:t>
      </w:r>
      <w:r w:rsidRPr="00DF2B0D">
        <w:t xml:space="preserve">related peaks in the XRD pattern </w:t>
      </w:r>
      <w:r w:rsidR="0004666E" w:rsidRPr="00DF2B0D">
        <w:t xml:space="preserve">consistent with a transformation </w:t>
      </w:r>
      <w:r w:rsidRPr="00DF2B0D">
        <w:t>to tetragonal</w:t>
      </w:r>
      <w:r w:rsidR="0004666E" w:rsidRPr="00DF2B0D">
        <w:t xml:space="preserve"> symmetry</w:t>
      </w:r>
      <w:r w:rsidRPr="00DF2B0D">
        <w:t xml:space="preserve">. The </w:t>
      </w:r>
      <w:r w:rsidRPr="00DF2B0D">
        <w:rPr>
          <w:i/>
        </w:rPr>
        <w:t>b</w:t>
      </w:r>
      <w:r w:rsidRPr="00DF2B0D">
        <w:rPr>
          <w:i/>
          <w:vertAlign w:val="subscript"/>
        </w:rPr>
        <w:t>m</w:t>
      </w:r>
      <w:r w:rsidRPr="00DF2B0D">
        <w:t xml:space="preserve"> increases almost linearly with temperature, while the </w:t>
      </w:r>
      <w:r w:rsidRPr="00DF2B0D">
        <w:rPr>
          <w:rFonts w:cs="Times New Roman"/>
          <w:i/>
        </w:rPr>
        <w:t>β</w:t>
      </w:r>
      <w:r w:rsidRPr="00DF2B0D">
        <w:t xml:space="preserve"> angle decreases gradually and becomes 90° above the transition temperature</w:t>
      </w:r>
      <w:r w:rsidR="00E24307" w:rsidRPr="00DF2B0D">
        <w:t>.</w:t>
      </w:r>
    </w:p>
    <w:p w14:paraId="03D113F1" w14:textId="77777777" w:rsidR="00C75BFC" w:rsidRPr="00DF2B0D" w:rsidRDefault="00C75BFC" w:rsidP="009F7CE2"/>
    <w:p w14:paraId="0FEE0DB0" w14:textId="1DAD81DB" w:rsidR="009F7CE2" w:rsidRPr="00DF2B0D" w:rsidRDefault="000A4126" w:rsidP="00CD7715">
      <w:r>
        <w:rPr>
          <w:noProof/>
        </w:rPr>
        <w:lastRenderedPageBreak/>
        <w:pict w14:anchorId="54A361FA">
          <v:shape id="_x0000_i1239" type="#_x0000_t75" alt="" style="width:451.15pt;height:190.95pt;mso-width-percent:0;mso-height-percent:0;mso-width-percent:0;mso-height-percent:0">
            <v:imagedata r:id="rId12" o:title=""/>
          </v:shape>
        </w:pict>
      </w:r>
    </w:p>
    <w:p w14:paraId="3A8FC4EC" w14:textId="5C24967F" w:rsidR="009F7CE2" w:rsidRPr="00DF2B0D" w:rsidRDefault="00B35992" w:rsidP="009F7CE2">
      <w:pPr>
        <w:pStyle w:val="Caption"/>
      </w:pPr>
      <w:bookmarkStart w:id="13" w:name="_Ref15917731"/>
      <w:bookmarkStart w:id="14" w:name="_Hlk30512264"/>
      <w:bookmarkStart w:id="15" w:name="_Toc464943513"/>
      <w:bookmarkStart w:id="16" w:name="_Hlk501817867"/>
      <w:r>
        <w:t xml:space="preserve">Figure </w:t>
      </w:r>
      <w:r w:rsidR="0019656C">
        <w:fldChar w:fldCharType="begin"/>
      </w:r>
      <w:r w:rsidR="0019656C">
        <w:instrText xml:space="preserve"> SEQ Figure \* ARABIC </w:instrText>
      </w:r>
      <w:r w:rsidR="0019656C">
        <w:fldChar w:fldCharType="separate"/>
      </w:r>
      <w:r w:rsidR="00564E5A">
        <w:rPr>
          <w:noProof/>
        </w:rPr>
        <w:t>4</w:t>
      </w:r>
      <w:r w:rsidR="0019656C">
        <w:rPr>
          <w:noProof/>
        </w:rPr>
        <w:fldChar w:fldCharType="end"/>
      </w:r>
      <w:bookmarkEnd w:id="13"/>
      <w:r w:rsidR="009F7CE2" w:rsidRPr="00DF2B0D">
        <w:rPr>
          <w:noProof/>
        </w:rPr>
        <w:t>:</w:t>
      </w:r>
      <w:r w:rsidR="009F7CE2" w:rsidRPr="00DF2B0D">
        <w:t xml:space="preserve"> Refined lattice parameters (a) and cell volume (b) of the LaNb</w:t>
      </w:r>
      <w:r w:rsidR="009F7CE2" w:rsidRPr="00DF2B0D">
        <w:rPr>
          <w:vertAlign w:val="subscript"/>
        </w:rPr>
        <w:t>0.</w:t>
      </w:r>
      <w:r w:rsidR="00CD7715" w:rsidRPr="00DF2B0D">
        <w:rPr>
          <w:rFonts w:hint="eastAsia"/>
          <w:vertAlign w:val="subscript"/>
        </w:rPr>
        <w:t>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9F7CE2" w:rsidRPr="00DF2B0D">
        <w:t xml:space="preserve"> composition as a function of temperature</w:t>
      </w:r>
      <w:r w:rsidR="00CB7110">
        <w:t xml:space="preserve"> from the X-ray data</w:t>
      </w:r>
      <w:r w:rsidR="002C21F7">
        <w:t xml:space="preserve"> shown in Figure 3</w:t>
      </w:r>
      <w:r w:rsidR="00114B27" w:rsidRPr="00DF2B0D">
        <w:t>.</w:t>
      </w:r>
      <w:r w:rsidR="009F7CE2" w:rsidRPr="00DF2B0D">
        <w:t xml:space="preserve"> </w:t>
      </w:r>
      <w:bookmarkEnd w:id="14"/>
      <w:r w:rsidR="009F7CE2" w:rsidRPr="00DF2B0D">
        <w:t xml:space="preserve">Error bars are smaller than </w:t>
      </w:r>
      <w:r w:rsidR="00114B27" w:rsidRPr="00DF2B0D">
        <w:t xml:space="preserve">the </w:t>
      </w:r>
      <w:r w:rsidR="009F7CE2" w:rsidRPr="00DF2B0D">
        <w:t>symbols. The subscript</w:t>
      </w:r>
      <w:r w:rsidR="00114B27" w:rsidRPr="00DF2B0D">
        <w:t>s</w:t>
      </w:r>
      <w:r w:rsidR="009F7CE2" w:rsidRPr="00DF2B0D">
        <w:t xml:space="preserve"> “</w:t>
      </w:r>
      <w:r w:rsidR="009F7CE2" w:rsidRPr="00DF2B0D">
        <w:rPr>
          <w:i/>
        </w:rPr>
        <w:t>m</w:t>
      </w:r>
      <w:r w:rsidR="009F7CE2" w:rsidRPr="00DF2B0D">
        <w:t>” and “</w:t>
      </w:r>
      <w:r w:rsidR="009F7CE2" w:rsidRPr="00DF2B0D">
        <w:rPr>
          <w:i/>
        </w:rPr>
        <w:t>t</w:t>
      </w:r>
      <w:r w:rsidR="009F7CE2" w:rsidRPr="00DF2B0D">
        <w:t>” refer to the monoclinic and tetragonal structure</w:t>
      </w:r>
      <w:r w:rsidR="00114B27" w:rsidRPr="00DF2B0D">
        <w:t>s</w:t>
      </w:r>
      <w:r w:rsidR="009F7CE2" w:rsidRPr="00DF2B0D">
        <w:t xml:space="preserve"> respectively.</w:t>
      </w:r>
      <w:bookmarkEnd w:id="15"/>
    </w:p>
    <w:bookmarkEnd w:id="16"/>
    <w:p w14:paraId="5E870C43" w14:textId="245B740A" w:rsidR="009F7CE2" w:rsidRPr="00DF2B0D" w:rsidRDefault="00414913" w:rsidP="00414913">
      <w:r w:rsidRPr="00DF2B0D">
        <w:t xml:space="preserve">The </w:t>
      </w:r>
      <w:r w:rsidRPr="00DF2B0D">
        <w:rPr>
          <w:i/>
        </w:rPr>
        <w:t>m</w:t>
      </w:r>
      <w:r w:rsidRPr="00DF2B0D">
        <w:t xml:space="preserve"> to </w:t>
      </w:r>
      <w:r w:rsidRPr="00DF2B0D">
        <w:rPr>
          <w:i/>
        </w:rPr>
        <w:t>t</w:t>
      </w:r>
      <w:r w:rsidRPr="00DF2B0D">
        <w:t xml:space="preserve"> transition temperature of the parent phase varies with the W dopant concentration. For instance, </w:t>
      </w:r>
      <w:r w:rsidR="00EB6128" w:rsidRPr="00DF2B0D">
        <w:t xml:space="preserve">neutron scattering data indicates </w:t>
      </w:r>
      <w:bookmarkStart w:id="17" w:name="_Hlk30512008"/>
      <w:r w:rsidR="00EB6128" w:rsidRPr="00DF2B0D">
        <w:t xml:space="preserve">that </w:t>
      </w:r>
      <w:r w:rsidR="009F7CE2" w:rsidRPr="00DF2B0D">
        <w:t xml:space="preserve">increasing the dopant level (W = 16 at%) sees </w:t>
      </w:r>
      <w:r w:rsidR="00CB7110">
        <w:t>a</w:t>
      </w:r>
      <w:r w:rsidR="00CB7110" w:rsidRPr="00DF2B0D">
        <w:t xml:space="preserve"> </w:t>
      </w:r>
      <w:r w:rsidR="00CB7110">
        <w:t>tetragonal-monoclinic mix</w:t>
      </w:r>
      <w:r w:rsidR="009F7CE2" w:rsidRPr="00DF2B0D">
        <w:t xml:space="preserve"> at room temperature</w:t>
      </w:r>
      <w:r w:rsidR="00CB7110">
        <w:t>, where the tetragonal phase dominates</w:t>
      </w:r>
      <w:r w:rsidRPr="00DF2B0D">
        <w:t xml:space="preserve"> </w:t>
      </w:r>
      <w:r w:rsidR="009F7CE2" w:rsidRPr="00DF2B0D">
        <w:t>(</w:t>
      </w:r>
      <w:r w:rsidRPr="00DF2B0D">
        <w:rPr>
          <w:rFonts w:hint="eastAsia"/>
        </w:rPr>
        <w:t>Figure</w:t>
      </w:r>
      <w:r w:rsidRPr="00DF2B0D">
        <w:t xml:space="preserve"> </w:t>
      </w:r>
      <w:r w:rsidR="00422F02" w:rsidRPr="00DF2B0D">
        <w:t>S3</w:t>
      </w:r>
      <w:r w:rsidR="00220F07">
        <w:t>&amp;S4</w:t>
      </w:r>
      <w:r w:rsidR="00EF691C" w:rsidRPr="00DF2B0D">
        <w:t>)</w:t>
      </w:r>
      <w:bookmarkEnd w:id="17"/>
      <w:r w:rsidR="00114B27" w:rsidRPr="00DF2B0D">
        <w:t>,</w:t>
      </w:r>
      <w:r w:rsidR="009F7CE2" w:rsidRPr="00DF2B0D">
        <w:t xml:space="preserve"> </w:t>
      </w:r>
      <w:r w:rsidR="00114B27" w:rsidRPr="00DF2B0D">
        <w:t xml:space="preserve">whereas </w:t>
      </w:r>
      <w:r w:rsidRPr="00DF2B0D">
        <w:t xml:space="preserve">the </w:t>
      </w:r>
      <w:r w:rsidRPr="00915B70">
        <w:rPr>
          <w:i/>
          <w:iCs/>
        </w:rPr>
        <w:t>x</w:t>
      </w:r>
      <w:r w:rsidR="00915B70">
        <w:rPr>
          <w:lang w:val="en-US"/>
        </w:rPr>
        <w:t> </w:t>
      </w:r>
      <w:r w:rsidRPr="00DF2B0D">
        <w:t>= 0.04 composition has a phase transition temperature closer to the undoped LaNbO</w:t>
      </w:r>
      <w:r w:rsidRPr="00DF2B0D">
        <w:rPr>
          <w:vertAlign w:val="subscript"/>
        </w:rPr>
        <w:t xml:space="preserve">4 </w:t>
      </w:r>
      <w:r w:rsidRPr="00DF2B0D">
        <w:t xml:space="preserve">phase (Figure </w:t>
      </w:r>
      <w:r w:rsidR="00220F07">
        <w:rPr>
          <w:rFonts w:hint="eastAsia"/>
        </w:rPr>
        <w:t>S</w:t>
      </w:r>
      <w:r w:rsidR="00220F07">
        <w:t>5</w:t>
      </w:r>
      <w:r w:rsidRPr="00DF2B0D">
        <w:t xml:space="preserve">). </w:t>
      </w:r>
      <w:r w:rsidR="009F7CE2" w:rsidRPr="00DF2B0D">
        <w:t xml:space="preserve">Based on the HTXRD data </w:t>
      </w:r>
      <w:r w:rsidRPr="00DF2B0D">
        <w:t>at least three</w:t>
      </w:r>
      <w:r w:rsidR="009F7CE2" w:rsidRPr="00DF2B0D">
        <w:t xml:space="preserve"> phase</w:t>
      </w:r>
      <w:r w:rsidRPr="00DF2B0D">
        <w:t xml:space="preserve">s, namely a modulated monoclinic phase, a modulated tetragonal structure and an unmodulated tetragonal phase, have been identified. </w:t>
      </w:r>
    </w:p>
    <w:p w14:paraId="2369482F" w14:textId="77777777" w:rsidR="0055717F" w:rsidRDefault="0055717F">
      <w:pPr>
        <w:spacing w:before="0" w:after="200" w:line="276" w:lineRule="auto"/>
        <w:jc w:val="left"/>
        <w:rPr>
          <w:rFonts w:eastAsiaTheme="majorEastAsia" w:cstheme="majorBidi"/>
          <w:b/>
          <w:bCs/>
          <w:i/>
          <w:szCs w:val="26"/>
        </w:rPr>
      </w:pPr>
      <w:r>
        <w:br w:type="page"/>
      </w:r>
    </w:p>
    <w:p w14:paraId="3505DE92" w14:textId="0DB7EBC9" w:rsidR="00886A15" w:rsidRPr="00DF2B0D" w:rsidRDefault="00886A15" w:rsidP="0097424C">
      <w:pPr>
        <w:pStyle w:val="Heading2"/>
      </w:pPr>
      <w:r w:rsidRPr="00DF2B0D">
        <w:lastRenderedPageBreak/>
        <w:t xml:space="preserve">In situ neutron scattering of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p>
    <w:p w14:paraId="199CEECB" w14:textId="11C96641" w:rsidR="006B32D1" w:rsidRPr="00DF2B0D" w:rsidRDefault="006B32D1" w:rsidP="00DD6F9C">
      <w:pPr>
        <w:pStyle w:val="Heading3"/>
        <w:numPr>
          <w:ilvl w:val="0"/>
          <w:numId w:val="0"/>
        </w:numPr>
        <w:ind w:left="720" w:hanging="720"/>
      </w:pPr>
      <w:r w:rsidRPr="00DF2B0D">
        <w:rPr>
          <w:rFonts w:cs="Times New Roman"/>
          <w:i/>
          <w:color w:val="222222"/>
        </w:rPr>
        <w:t>In situ</w:t>
      </w:r>
      <w:r w:rsidRPr="00DF2B0D">
        <w:t xml:space="preserve"> neutron scattering of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t xml:space="preserve"> </w:t>
      </w:r>
    </w:p>
    <w:p w14:paraId="081A7886" w14:textId="2E0FF185" w:rsidR="00250A5B" w:rsidRPr="00DF2B0D" w:rsidRDefault="005329D5" w:rsidP="001677FD">
      <w:r w:rsidRPr="00DF2B0D">
        <w:t>The HTXRD study clearly identifie</w:t>
      </w:r>
      <w:r w:rsidR="000D14CE">
        <w:t>d</w:t>
      </w:r>
      <w:r w:rsidRPr="00DF2B0D">
        <w:t xml:space="preserve"> </w:t>
      </w:r>
      <w:r w:rsidR="00601C9C" w:rsidRPr="00DF2B0D">
        <w:t xml:space="preserve">various </w:t>
      </w:r>
      <w:r w:rsidR="000D14CE">
        <w:t>structural polymorphs</w:t>
      </w:r>
      <w:r w:rsidRPr="00DF2B0D">
        <w:t>, although detailed structural information</w:t>
      </w:r>
      <w:r w:rsidR="008A7DFF" w:rsidRPr="00DF2B0D">
        <w:t xml:space="preserve">, such </w:t>
      </w:r>
      <w:r w:rsidR="006F6C78" w:rsidRPr="00DF2B0D">
        <w:t xml:space="preserve">as </w:t>
      </w:r>
      <w:r w:rsidR="008A7DFF" w:rsidRPr="00DF2B0D">
        <w:t>atomic position, especially the interstitial position,</w:t>
      </w:r>
      <w:r w:rsidRPr="00DF2B0D">
        <w:t xml:space="preserve"> </w:t>
      </w:r>
      <w:r w:rsidR="006F6C78" w:rsidRPr="00DF2B0D">
        <w:t xml:space="preserve">could </w:t>
      </w:r>
      <w:r w:rsidRPr="00DF2B0D">
        <w:t xml:space="preserve">not </w:t>
      </w:r>
      <w:r w:rsidR="006F6C78" w:rsidRPr="00DF2B0D">
        <w:t xml:space="preserve">be obtained </w:t>
      </w:r>
      <w:r w:rsidRPr="00DF2B0D">
        <w:t>due to the limitation</w:t>
      </w:r>
      <w:r w:rsidR="006F6C78" w:rsidRPr="00DF2B0D">
        <w:t>s</w:t>
      </w:r>
      <w:r w:rsidRPr="00DF2B0D">
        <w:t xml:space="preserve"> of instrument resolution and insensitivity</w:t>
      </w:r>
      <w:r w:rsidR="006F6C78" w:rsidRPr="00DF2B0D">
        <w:t xml:space="preserve"> to oxygen scattering</w:t>
      </w:r>
      <w:r w:rsidRPr="00DF2B0D">
        <w:t xml:space="preserve">. </w:t>
      </w:r>
      <w:r w:rsidR="001677FD" w:rsidRPr="00DF2B0D">
        <w:t>The structure of LaNb</w:t>
      </w:r>
      <w:r w:rsidR="001677FD"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1677FD" w:rsidRPr="00DF2B0D">
        <w:t xml:space="preserve"> </w:t>
      </w:r>
      <w:r w:rsidR="009960BD" w:rsidRPr="00DF2B0D">
        <w:t xml:space="preserve">was </w:t>
      </w:r>
      <w:r w:rsidRPr="00DF2B0D">
        <w:t>therefore</w:t>
      </w:r>
      <w:r w:rsidR="001677FD" w:rsidRPr="00DF2B0D">
        <w:t xml:space="preserve"> examined</w:t>
      </w:r>
      <w:r w:rsidRPr="00DF2B0D">
        <w:t xml:space="preserve"> using </w:t>
      </w:r>
      <w:r w:rsidRPr="00DF2B0D">
        <w:rPr>
          <w:i/>
        </w:rPr>
        <w:t>in situ</w:t>
      </w:r>
      <w:r w:rsidRPr="00DF2B0D">
        <w:t xml:space="preserve"> </w:t>
      </w:r>
      <w:r w:rsidR="00156777" w:rsidRPr="00DF2B0D">
        <w:t>high-</w:t>
      </w:r>
      <w:r w:rsidR="00F600EF" w:rsidRPr="00DF2B0D">
        <w:t xml:space="preserve">resolution </w:t>
      </w:r>
      <w:r w:rsidRPr="00DF2B0D">
        <w:t xml:space="preserve">neutron scattering, </w:t>
      </w:r>
      <w:r w:rsidR="00156777" w:rsidRPr="00DF2B0D">
        <w:t xml:space="preserve">in the temperature range </w:t>
      </w:r>
      <w:r w:rsidR="00377621">
        <w:rPr>
          <w:rFonts w:hint="eastAsia"/>
        </w:rPr>
        <w:t>5</w:t>
      </w:r>
      <w:r w:rsidRPr="00DF2B0D">
        <w:t>00 °C to 800 °C</w:t>
      </w:r>
      <w:r w:rsidR="001677FD" w:rsidRPr="00DF2B0D">
        <w:t xml:space="preserve">. This temperature range is of interest as the HTXRD result hinted </w:t>
      </w:r>
      <w:r w:rsidR="006F6C78" w:rsidRPr="00DF2B0D">
        <w:t xml:space="preserve">at </w:t>
      </w:r>
      <w:r w:rsidR="001677FD" w:rsidRPr="00DF2B0D">
        <w:t xml:space="preserve">a phase transition between a modulated and an unmodulated tetragonal phase. </w:t>
      </w:r>
    </w:p>
    <w:p w14:paraId="37A2C684" w14:textId="4DFFDAB4" w:rsidR="00EA395B" w:rsidRPr="00DF2B0D" w:rsidRDefault="009960BD" w:rsidP="001677FD">
      <w:pPr>
        <w:rPr>
          <w:strike/>
        </w:rPr>
      </w:pPr>
      <w:r w:rsidRPr="00DF2B0D">
        <w:t>The</w:t>
      </w:r>
      <w:r w:rsidR="001677FD" w:rsidRPr="00DF2B0D">
        <w:t xml:space="preserve"> neutron scattering pattern of LaNb</w:t>
      </w:r>
      <w:r w:rsidR="001677FD"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1677FD" w:rsidRPr="00DF2B0D">
        <w:t xml:space="preserve"> recorded at </w:t>
      </w:r>
      <w:r w:rsidR="009764C9">
        <w:rPr>
          <w:rFonts w:hint="eastAsia"/>
        </w:rPr>
        <w:t>5</w:t>
      </w:r>
      <w:r w:rsidR="001677FD" w:rsidRPr="00DF2B0D">
        <w:t xml:space="preserve">00 °C in static air was first refined with </w:t>
      </w:r>
      <w:r w:rsidRPr="00DF2B0D">
        <w:t>only the unmodulated</w:t>
      </w:r>
      <w:r w:rsidR="001677FD" w:rsidRPr="00DF2B0D">
        <w:t xml:space="preserve"> </w:t>
      </w:r>
      <w:r w:rsidRPr="00DF2B0D">
        <w:t>scheelite phase (</w:t>
      </w:r>
      <w:r w:rsidR="001677FD" w:rsidRPr="00DF2B0D">
        <w:rPr>
          <w:i/>
        </w:rPr>
        <w:t>I</w:t>
      </w:r>
      <w:r w:rsidR="001677FD" w:rsidRPr="00DF2B0D">
        <w:t>4</w:t>
      </w:r>
      <w:r w:rsidR="001677FD" w:rsidRPr="00DF2B0D">
        <w:rPr>
          <w:vertAlign w:val="subscript"/>
        </w:rPr>
        <w:t>1</w:t>
      </w:r>
      <w:r w:rsidR="001677FD" w:rsidRPr="00DF2B0D">
        <w:rPr>
          <w:i/>
        </w:rPr>
        <w:t>/a</w:t>
      </w:r>
      <w:r w:rsidRPr="00DF2B0D">
        <w:t xml:space="preserve">, </w:t>
      </w:r>
      <w:r w:rsidR="001677FD" w:rsidRPr="00DF2B0D">
        <w:t xml:space="preserve">space group </w:t>
      </w:r>
      <w:r w:rsidRPr="00DF2B0D">
        <w:t>88)</w:t>
      </w:r>
      <w:r w:rsidR="00454265" w:rsidRPr="00DF2B0D">
        <w:t>. S</w:t>
      </w:r>
      <w:r w:rsidR="001677FD" w:rsidRPr="00DF2B0D">
        <w:t>ite occupancy of all the elements w</w:t>
      </w:r>
      <w:r w:rsidR="006F6C78" w:rsidRPr="00DF2B0D">
        <w:t>ere</w:t>
      </w:r>
      <w:r w:rsidR="001677FD" w:rsidRPr="00DF2B0D">
        <w:t xml:space="preserve"> fixed according to the nominal composition</w:t>
      </w:r>
      <w:r w:rsidR="00454265" w:rsidRPr="00DF2B0D">
        <w:t xml:space="preserve"> when refining the lattice parameter, atomic position and atomic displacement parameters (ADP). </w:t>
      </w:r>
      <w:r w:rsidR="001677FD" w:rsidRPr="00DF2B0D">
        <w:t xml:space="preserve">Constraints on the occupancy were </w:t>
      </w:r>
      <w:r w:rsidR="00633480" w:rsidRPr="00DF2B0D">
        <w:t xml:space="preserve">released </w:t>
      </w:r>
      <w:r w:rsidR="00454265" w:rsidRPr="00DF2B0D">
        <w:t xml:space="preserve">in the final refinement, </w:t>
      </w:r>
      <w:r w:rsidR="001677FD" w:rsidRPr="00DF2B0D">
        <w:t xml:space="preserve">although the Nb/W ratio was still fixed at </w:t>
      </w:r>
      <w:r w:rsidR="00B44E81" w:rsidRPr="00DF2B0D">
        <w:t>88</w:t>
      </w:r>
      <w:r w:rsidR="00B44E81">
        <w:rPr>
          <w:lang w:val="en-US"/>
        </w:rPr>
        <w:t> </w:t>
      </w:r>
      <w:r w:rsidR="001677FD" w:rsidRPr="00DF2B0D">
        <w:t xml:space="preserve">at%/12 at% at the B site. </w:t>
      </w:r>
      <w:bookmarkStart w:id="18" w:name="_Hlk30081156"/>
      <w:r w:rsidR="001677FD" w:rsidRPr="00DF2B0D">
        <w:t xml:space="preserve">No significant deviation from ideal stoichiometry was </w:t>
      </w:r>
      <w:r w:rsidR="007B1A65" w:rsidRPr="00DF2B0D">
        <w:t>observed</w:t>
      </w:r>
      <w:bookmarkEnd w:id="18"/>
      <w:r w:rsidR="001677FD" w:rsidRPr="00DF2B0D">
        <w:t xml:space="preserve"> and</w:t>
      </w:r>
      <w:r w:rsidR="00216778">
        <w:t xml:space="preserve"> </w:t>
      </w:r>
      <w:bookmarkStart w:id="19" w:name="_Hlk30081666"/>
      <w:r w:rsidR="00216778">
        <w:t xml:space="preserve">therefore nominal stoichiometry was used </w:t>
      </w:r>
      <w:r w:rsidR="001E73FE">
        <w:t>for</w:t>
      </w:r>
      <w:r w:rsidR="00216778">
        <w:t xml:space="preserve"> the subsequent data analysi</w:t>
      </w:r>
      <w:r w:rsidR="001E73FE">
        <w:t>s</w:t>
      </w:r>
      <w:bookmarkEnd w:id="19"/>
      <w:r w:rsidR="00216778">
        <w:t>. T</w:t>
      </w:r>
      <w:r w:rsidR="001677FD" w:rsidRPr="00DF2B0D">
        <w:t xml:space="preserve">he refinement of the parent structure finally converged to </w:t>
      </w:r>
      <w:r w:rsidR="001677FD" w:rsidRPr="00DF2B0D">
        <w:rPr>
          <w:i/>
        </w:rPr>
        <w:t>R</w:t>
      </w:r>
      <w:r w:rsidR="001677FD" w:rsidRPr="00DF2B0D">
        <w:rPr>
          <w:i/>
          <w:vertAlign w:val="subscript"/>
        </w:rPr>
        <w:t>p</w:t>
      </w:r>
      <w:r w:rsidR="001677FD" w:rsidRPr="00DF2B0D">
        <w:t xml:space="preserve"> = 0.028 and </w:t>
      </w:r>
      <w:r w:rsidR="001677FD" w:rsidRPr="00DF2B0D">
        <w:rPr>
          <w:i/>
        </w:rPr>
        <w:t>R</w:t>
      </w:r>
      <w:r w:rsidR="001677FD" w:rsidRPr="00DF2B0D">
        <w:rPr>
          <w:i/>
          <w:vertAlign w:val="subscript"/>
        </w:rPr>
        <w:t>wp</w:t>
      </w:r>
      <w:r w:rsidR="001677FD" w:rsidRPr="00DF2B0D">
        <w:t xml:space="preserve"> = 0.032. Visual inspection of the refined pattern</w:t>
      </w:r>
      <w:r w:rsidR="00633480" w:rsidRPr="00DF2B0D">
        <w:t xml:space="preserve"> however</w:t>
      </w:r>
      <w:r w:rsidR="001677FD" w:rsidRPr="00DF2B0D">
        <w:t xml:space="preserve"> revealed additional peaks</w:t>
      </w:r>
      <w:r w:rsidR="002171E6" w:rsidRPr="00DF2B0D">
        <w:t xml:space="preserve"> (</w:t>
      </w:r>
      <w:r w:rsidR="00170B4B">
        <w:t xml:space="preserve">insert in </w:t>
      </w:r>
      <w:r w:rsidR="002171E6" w:rsidRPr="00DF2B0D">
        <w:t>Figure S</w:t>
      </w:r>
      <w:r w:rsidR="00220F07">
        <w:t>6</w:t>
      </w:r>
      <w:r w:rsidR="002171E6" w:rsidRPr="00DF2B0D">
        <w:t>)</w:t>
      </w:r>
      <w:r w:rsidR="001677FD" w:rsidRPr="00DF2B0D">
        <w:t xml:space="preserve">, </w:t>
      </w:r>
      <w:r w:rsidR="00633480" w:rsidRPr="00DF2B0D">
        <w:t xml:space="preserve">whose position coincides with the satellite reflections, therefore confirming the presence of superstructure </w:t>
      </w:r>
      <w:r w:rsidR="001677FD" w:rsidRPr="00DF2B0D">
        <w:t>at elevated temperature</w:t>
      </w:r>
      <w:r w:rsidR="00633480" w:rsidRPr="00DF2B0D">
        <w:t>.</w:t>
      </w:r>
      <w:r w:rsidR="001677FD" w:rsidRPr="00DF2B0D">
        <w:t xml:space="preserve"> These peaks were </w:t>
      </w:r>
      <w:r w:rsidR="00633480" w:rsidRPr="00DF2B0D">
        <w:t>not observed</w:t>
      </w:r>
      <w:r w:rsidR="001677FD" w:rsidRPr="00DF2B0D">
        <w:t xml:space="preserve"> by the in-house </w:t>
      </w:r>
      <w:r w:rsidR="007B1A65" w:rsidRPr="00DF2B0D">
        <w:t xml:space="preserve">HTXRD and are </w:t>
      </w:r>
      <w:r w:rsidR="009E281C" w:rsidRPr="00DF2B0D">
        <w:t>possibly</w:t>
      </w:r>
      <w:r w:rsidR="007B1A65" w:rsidRPr="00DF2B0D">
        <w:t xml:space="preserve"> related to long-range oxygen</w:t>
      </w:r>
      <w:r w:rsidR="00633480" w:rsidRPr="00DF2B0D">
        <w:t xml:space="preserve"> ordering</w:t>
      </w:r>
      <w:r w:rsidR="001677FD" w:rsidRPr="00DF2B0D">
        <w:t xml:space="preserve">. The </w:t>
      </w:r>
      <w:r w:rsidR="001906CA" w:rsidRPr="00DF2B0D">
        <w:t>structural modulation</w:t>
      </w:r>
      <w:r w:rsidR="001677FD" w:rsidRPr="00DF2B0D">
        <w:t xml:space="preserve"> </w:t>
      </w:r>
      <w:r w:rsidR="00156777" w:rsidRPr="00DF2B0D">
        <w:t>had to be</w:t>
      </w:r>
      <w:r w:rsidR="001677FD" w:rsidRPr="00DF2B0D">
        <w:t xml:space="preserve"> addressed before the interstitial</w:t>
      </w:r>
      <w:r w:rsidR="00156777" w:rsidRPr="00DF2B0D">
        <w:t>s</w:t>
      </w:r>
      <w:r w:rsidR="001677FD" w:rsidRPr="00DF2B0D">
        <w:t xml:space="preserve"> </w:t>
      </w:r>
      <w:r w:rsidR="00156777" w:rsidRPr="00DF2B0D">
        <w:t>could</w:t>
      </w:r>
      <w:r w:rsidR="001652EE" w:rsidRPr="00DF2B0D">
        <w:t xml:space="preserve"> be investigated</w:t>
      </w:r>
      <w:r w:rsidR="001677FD" w:rsidRPr="00DF2B0D">
        <w:t xml:space="preserve"> as both superstructure and the interstitial </w:t>
      </w:r>
      <w:r w:rsidR="006F6C78" w:rsidRPr="00DF2B0D">
        <w:t xml:space="preserve">content </w:t>
      </w:r>
      <w:r w:rsidR="001677FD" w:rsidRPr="00DF2B0D">
        <w:t>contribute to the observed intensity</w:t>
      </w:r>
      <w:r w:rsidR="007B1A65" w:rsidRPr="00DF2B0D">
        <w:t xml:space="preserve"> at the peak position in the </w:t>
      </w:r>
      <w:r w:rsidR="007F2E16" w:rsidRPr="00DF2B0D">
        <w:t>parent phase</w:t>
      </w:r>
      <w:r w:rsidR="00CD7F5B">
        <w:t>.</w:t>
      </w:r>
      <w:r w:rsidR="007F2E16" w:rsidRPr="00DF2B0D">
        <w:fldChar w:fldCharType="begin" w:fldLock="1"/>
      </w:r>
      <w:r w:rsidR="000A4126">
        <w:instrText>ADDIN CSL_CITATION {"citationItems":[{"id":"ITEM-1","itemData":{"DOI":"10.1093/acprof:oso/9780198570820.001.0001","ISBN":"9780191718762","abstract":"Aperiodic crystals are crystalline materials with atomic structures that lack translational symmetry. This book gives a comprehensive account of the superspace theory for the description of the crystal structures, and symmetries of incommensurately modulated crystals and composite crystals. It also gives a brief introduction to quasicrystals, thus providing the necessary background for understanding the distinctive features of aperiodic crystals, and it provides the tools for the application of quantitative methods from the realms of crystallography, solid state chemistry, and solid state physics to aperiodic crystal structures. The second half of the book is devoted to crystallographic methods of structural analysis of incommensurate crystals. Thorough accounts are given of the diffraction by incommensurate crystals, the choice of parameters in structure refinements, and the use of superspace in analysing crystal structures. The presentation of methods of structure determination includes direct methods, Fourier methods, Patterson function methods, the maximum entropy method (MEM), and charge flipping. So-called t-plots are introduced as a versatile method for the crystal chemical analysis of incommensurately modulated structures and composite crystals.","author":[{"dropping-particle":"","family":"Smaalen","given":"Sander","non-dropping-particle":"van","parse-names":false,"suffix":""}],"container-title":"Incommensurate Crystallography","id":"ITEM-1","issued":{"date-parts":[["2008"]]},"number-of-pages":"1-288","publisher":"Oxford Scholarship,","title":"Incommensurate Crystallography","type":"book"},"uris":["http://www.mendeley.com/documents/?uuid=308465f3-7a48-4f2b-bb17-406ad267e673"]}],"mendeley":{"formattedCitation":"&lt;sup&gt;39&lt;/sup&gt;","plainTextFormattedCitation":"39","previouslyFormattedCitation":"&lt;sup&gt;38&lt;/sup&gt;"},"properties":{"noteIndex":0},"schema":"https://github.com/citation-style-language/schema/raw/master/csl-citation.json"}</w:instrText>
      </w:r>
      <w:r w:rsidR="007F2E16" w:rsidRPr="00DF2B0D">
        <w:fldChar w:fldCharType="separate"/>
      </w:r>
      <w:r w:rsidR="000A4126" w:rsidRPr="000A4126">
        <w:rPr>
          <w:noProof/>
          <w:vertAlign w:val="superscript"/>
        </w:rPr>
        <w:t>39</w:t>
      </w:r>
      <w:r w:rsidR="007F2E16" w:rsidRPr="00DF2B0D">
        <w:fldChar w:fldCharType="end"/>
      </w:r>
    </w:p>
    <w:p w14:paraId="0A4804D1" w14:textId="3568480B" w:rsidR="007F2E16" w:rsidRPr="00DF2B0D" w:rsidRDefault="008A7DFF" w:rsidP="007F2E16">
      <w:r w:rsidRPr="00DF2B0D">
        <w:t>To refine the modulated structure, t</w:t>
      </w:r>
      <w:r w:rsidR="001677FD" w:rsidRPr="00DF2B0D">
        <w:t xml:space="preserve">he superspace group </w:t>
      </w:r>
      <w:r w:rsidR="001652EE" w:rsidRPr="00DF2B0D">
        <w:t xml:space="preserve">(SSG) </w:t>
      </w:r>
      <w:r w:rsidR="001677FD" w:rsidRPr="00DF2B0D">
        <w:rPr>
          <w:i/>
        </w:rPr>
        <w:t>I</w:t>
      </w:r>
      <w:r w:rsidR="001677FD" w:rsidRPr="00DF2B0D">
        <w:t>4</w:t>
      </w:r>
      <w:r w:rsidR="001677FD" w:rsidRPr="00DF2B0D">
        <w:rPr>
          <w:vertAlign w:val="subscript"/>
        </w:rPr>
        <w:t>1</w:t>
      </w:r>
      <w:r w:rsidR="001677FD" w:rsidRPr="00DF2B0D">
        <w:rPr>
          <w:i/>
        </w:rPr>
        <w:t>/a</w:t>
      </w:r>
      <w:r w:rsidR="001677FD" w:rsidRPr="00DF2B0D">
        <w:t>(</w:t>
      </w:r>
      <w:r w:rsidR="001677FD" w:rsidRPr="00DF2B0D">
        <w:rPr>
          <w:i/>
        </w:rPr>
        <w:t>α</w:t>
      </w:r>
      <w:r w:rsidR="001677FD" w:rsidRPr="00DF2B0D">
        <w:t>, </w:t>
      </w:r>
      <w:r w:rsidR="001677FD" w:rsidRPr="00DF2B0D">
        <w:rPr>
          <w:i/>
        </w:rPr>
        <w:t>β</w:t>
      </w:r>
      <w:r w:rsidR="001677FD" w:rsidRPr="00DF2B0D">
        <w:t>, 0)00(</w:t>
      </w:r>
      <w:r w:rsidR="001677FD" w:rsidRPr="00DF2B0D">
        <w:rPr>
          <w:i/>
        </w:rPr>
        <w:noBreakHyphen/>
        <w:t>β</w:t>
      </w:r>
      <w:r w:rsidR="001677FD" w:rsidRPr="00DF2B0D">
        <w:t>, </w:t>
      </w:r>
      <w:r w:rsidR="001677FD" w:rsidRPr="00DF2B0D">
        <w:rPr>
          <w:i/>
        </w:rPr>
        <w:t>α</w:t>
      </w:r>
      <w:r w:rsidR="001677FD" w:rsidRPr="00DF2B0D">
        <w:t xml:space="preserve">, 0)00 was </w:t>
      </w:r>
      <w:r w:rsidR="00645E35" w:rsidRPr="00DF2B0D">
        <w:t>used, based on the space group of the parent structure</w:t>
      </w:r>
      <w:r w:rsidR="001677FD" w:rsidRPr="00DF2B0D">
        <w:t xml:space="preserve">. There were other </w:t>
      </w:r>
      <w:r w:rsidR="001652EE" w:rsidRPr="00DF2B0D">
        <w:t>SSGs</w:t>
      </w:r>
      <w:r w:rsidR="001677FD" w:rsidRPr="00DF2B0D">
        <w:t xml:space="preserve"> available which are derived from same parent group however the other choices all have a modulation component along the unique axis (</w:t>
      </w:r>
      <w:r w:rsidR="001677FD" w:rsidRPr="00DF2B0D">
        <w:rPr>
          <w:i/>
        </w:rPr>
        <w:t>c</w:t>
      </w:r>
      <w:r w:rsidR="001677FD" w:rsidRPr="00DF2B0D">
        <w:rPr>
          <w:i/>
          <w:vertAlign w:val="subscript"/>
        </w:rPr>
        <w:t>t</w:t>
      </w:r>
      <w:r w:rsidR="001677FD" w:rsidRPr="00DF2B0D">
        <w:t xml:space="preserve">), which is inconsistent with the modulation waves in the </w:t>
      </w:r>
      <w:r w:rsidR="007F2E16" w:rsidRPr="00DF2B0D">
        <w:t>low temperature structure</w:t>
      </w:r>
      <w:r w:rsidR="00CD7F5B">
        <w:t>.</w:t>
      </w:r>
      <w:r w:rsidR="007F2E16" w:rsidRPr="00DF2B0D">
        <w:fldChar w:fldCharType="begin" w:fldLock="1"/>
      </w:r>
      <w:r w:rsidR="000A4126">
        <w:instrText>ADDIN CSL_CITATION {"citationItems":[{"id":"ITEM-1","itemData":{"DOI":"10.1107/S0108767310042297","ISBN":"0108767310","ISSN":"01087673","PMID":"21173472","abstract":"A complete table of (3 + 1)D, (3 + 2)D and (3 + 3)D superspace groups (SSGs) has been enumerated that corrects omissions and duplicate entries in previous tables of superspace groups and Bravais classes. The theoretical methods employed are not new, though the implementation is both novel and robust. The paper also describes conventions for assigning a unique one-line symbol for each group in the table. Finally, a new online data repository is introduced that delivers more complete information about each SSG than has been presented previously.","author":[{"dropping-particle":"","family":"Stokes","given":"Harold T.","non-dropping-particle":"","parse-names":false,"suffix":""},{"dropping-particle":"","family":"Campbell","given":"Branton J.","non-dropping-particle":"","parse-names":false,"suffix":""},{"dropping-particle":"","family":"Smaalen","given":"Sander","non-dropping-particle":"Van","parse-names":false,"suffix":""}],"container-title":"Acta Crystallographica Section A: Foundations of Crystallography","id":"ITEM-1","issue":"1","issued":{"date-parts":[["2011","1"]]},"page":"45-55","publisher":"International Union of Crystallography","title":"Generation of (3 + d)-dimensional superspace groups for describing the symmetry of modulated crystalline structures","type":"article-journal","volume":"67"},"uris":["http://www.mendeley.com/documents/?uuid=09bf53cf-de51-41ea-8b27-2d49a15094e8"]}],"mendeley":{"formattedCitation":"&lt;sup&gt;40&lt;/sup&gt;","plainTextFormattedCitation":"40","previouslyFormattedCitation":"&lt;sup&gt;39&lt;/sup&gt;"},"properties":{"noteIndex":0},"schema":"https://github.com/citation-style-language/schema/raw/master/csl-citation.json"}</w:instrText>
      </w:r>
      <w:r w:rsidR="007F2E16" w:rsidRPr="00DF2B0D">
        <w:fldChar w:fldCharType="separate"/>
      </w:r>
      <w:r w:rsidR="000A4126" w:rsidRPr="000A4126">
        <w:rPr>
          <w:noProof/>
          <w:vertAlign w:val="superscript"/>
        </w:rPr>
        <w:t>40</w:t>
      </w:r>
      <w:r w:rsidR="007F2E16" w:rsidRPr="00DF2B0D">
        <w:fldChar w:fldCharType="end"/>
      </w:r>
      <w:r w:rsidR="007F2E16" w:rsidRPr="00DF2B0D">
        <w:t xml:space="preserve"> The chosen SSG was also used in the literature to refine the (3 +</w:t>
      </w:r>
      <w:r w:rsidR="007F2E16">
        <w:rPr>
          <w:rFonts w:eastAsia="Times New Roman" w:cs="Times New Roman"/>
          <w:lang w:val="en-US"/>
        </w:rPr>
        <w:t> </w:t>
      </w:r>
      <w:r w:rsidR="007F2E16" w:rsidRPr="00DF2B0D">
        <w:t>2)D modulated Na</w:t>
      </w:r>
      <w:r w:rsidR="007F2E16" w:rsidRPr="00DF2B0D">
        <w:rPr>
          <w:vertAlign w:val="subscript"/>
        </w:rPr>
        <w:t>2/7</w:t>
      </w:r>
      <w:r w:rsidR="007F2E16" w:rsidRPr="00DF2B0D">
        <w:t>Gd</w:t>
      </w:r>
      <w:r w:rsidR="007F2E16" w:rsidRPr="00DF2B0D">
        <w:rPr>
          <w:vertAlign w:val="subscript"/>
        </w:rPr>
        <w:t>4/7</w:t>
      </w:r>
      <w:r w:rsidR="007F2E16" w:rsidRPr="00DF2B0D">
        <w:t>MoO</w:t>
      </w:r>
      <w:r w:rsidR="007F2E16" w:rsidRPr="00DF2B0D">
        <w:rPr>
          <w:vertAlign w:val="subscript"/>
        </w:rPr>
        <w:t xml:space="preserve">4 </w:t>
      </w:r>
      <w:r w:rsidR="007F2E16" w:rsidRPr="00DF2B0D">
        <w:t>scheelite</w:t>
      </w:r>
      <w:r w:rsidR="007F2E16" w:rsidRPr="00DF2B0D">
        <w:fldChar w:fldCharType="begin" w:fldLock="1"/>
      </w:r>
      <w:r w:rsidR="000A4126">
        <w:instrText>ADDIN CSL_CITATION {"citationItems":[{"id":"ITEM-1","itemData":{"DOI":"10.1021/ic300221m","ISBN":"1520-510X (Electronic)\\r0020-1669 (Linking)","ISSN":"00201669","PMID":"22515515","abstract":"Scheelite-type compounds with the general formula (A1,A2)(n)[(B</w:instrText>
      </w:r>
      <w:r w:rsidR="000A4126">
        <w:rPr>
          <w:rFonts w:hint="eastAsia"/>
        </w:rPr>
        <w:instrText xml:space="preserve">1,B2)O(4)](m) (2/3 </w:instrText>
      </w:r>
      <w:r w:rsidR="000A4126">
        <w:rPr>
          <w:rFonts w:hint="eastAsia"/>
        </w:rPr>
        <w:instrText>≤</w:instrText>
      </w:r>
      <w:r w:rsidR="000A4126">
        <w:rPr>
          <w:rFonts w:hint="eastAsia"/>
        </w:rPr>
        <w:instrText xml:space="preserve"> n/m </w:instrText>
      </w:r>
      <w:r w:rsidR="000A4126">
        <w:rPr>
          <w:rFonts w:hint="eastAsia"/>
        </w:rPr>
        <w:instrText>≤</w:instrText>
      </w:r>
      <w:r w:rsidR="000A4126">
        <w:rPr>
          <w:rFonts w:hint="eastAsia"/>
        </w:rPr>
        <w:instrText xml:space="preserve"> 3/2) are the subject of large interest owing to their stability, relatively simple preparation, and optical properties. The creation of cation vacancies (</w:instrText>
      </w:r>
      <w:r w:rsidR="000A4126">
        <w:rPr>
          <w:rFonts w:hint="eastAsia"/>
        </w:rPr>
        <w:instrText>□</w:instrText>
      </w:r>
      <w:r w:rsidR="000A4126">
        <w:rPr>
          <w:rFonts w:hint="eastAsia"/>
        </w:rPr>
        <w:instrText>) in the scheelite-type framework and the ordering of A cations and vacancies can be a new factor in controlling the scheelite-type structure and properties. For a long time, cation-deficient Nd(3+):M(2/7)Gd(4/7)</w:instrText>
      </w:r>
      <w:r w:rsidR="000A4126">
        <w:rPr>
          <w:rFonts w:hint="eastAsia"/>
        </w:rPr>
        <w:instrText>□</w:instrText>
      </w:r>
      <w:r w:rsidR="000A4126">
        <w:rPr>
          <w:rFonts w:hint="eastAsia"/>
        </w:rPr>
        <w:instrText>(1/7)MoO(4) (M = Li, Na) compounds were considered as potential lasers with diode pumping. They have a defect schee</w:instrText>
      </w:r>
      <w:r w:rsidR="000A4126">
        <w:instrText>lite-type 3D structure (space group I4(1)/a) with a random distribution of Li(+)(Na(+)), Gd(3+), and vacancies in the crystal. A Na(2/7)Gd(4/7)MoO(4) single crystal with scheelite-type structure has been grown by the Czochralski method. Transmission electron microscopy revealed that Na(2/7)Gd(4/7)MoO(4) has a (3 + 2)D incommensurately modulated structure. The (3 + 2)D incommensurately modulated scheelite-type cation-deficient structure of Na(2/7)Gd(4/7)MoO(4) [super space group I4 (α-β0,βα0)00] has been solved from single-crystal diffraction data. The solution of the (3 + 2)D incommensurately modulated structure revealed the partially disordered distribution of vacancies and Na and Gd cations. High-temperature conductivity measurements performed along the [100] and [001] orientation of the single crystal revealed that the conductivity of Na(2/7)Gd(4/7)MoO(4) at T = 973 K equals σ = 1.13 × 10(-5) Ω(-1) cm(-1).","author":[{"dropping-particle":"","family":"Morozov","given":"V.","non-dropping-particle":"","parse-names":false,"suffix":""},{"dropping-particle":"","family":"Arakcheeva","given":"A.","non-dropping-particle":"","parse-names":false,"suffix":""},{"dropping-particle":"","family":"Redkin","given":"B.","non-dropping-particle":"","parse-names":false,"suffix":""},{"dropping-particle":"","family":"Sinitsyn","given":"V.","non-dropping-particle":"","parse-names":false,"suffix":""},{"dropping-particle":"","family":"Khasanov","given":"S.","non-dropping-particle":"","parse-names":false,"suffix":""},{"dropping-particle":"","family":"Kudrenko","given":"E.","non-dropping-particle":"","parse-names":false,"suffix":""},{"dropping-particle":"","family":"Raskina","given":"M.","non-dropping-particle":"","parse-names":false,"suffix":""},{"dropping-particle":"","family":"Lebedev","given":"O.","non-dropping-particle":"","parse-names":false,"suffix":""},{"dropping-particle":"","family":"Tendeloo","given":"G.","non-dropping-particle":"Van","parse-names":false,"suffix":""}],"container-title":"Inorganic Chemistry","id":"ITEM-1","issue":"9","issued":{"date-parts":[["2012","5","7"]]},"page":"5313-5324","title":"Na&lt;sub&gt;2/7&lt;/sub&gt;Gd&lt;sub&gt;4/7&lt;/sub&gt;MoO&lt;sub&gt;4&lt;/sub&gt;: A modulated scheelite-type structure and conductivity properties","type":"article-journal","volume":"51"},"uris":["http://www.mendeley.com/documents/?uuid=e05038d0-de95-41f5-9d37-bf08aeb78976"]}],"mendeley":{"formattedCitation":"&lt;sup&gt;41&lt;/sup&gt;","plainTextFormattedCitation":"41","previouslyFormattedCitation":"&lt;sup&gt;40&lt;/sup&gt;"},"properties":{"noteIndex":0},"schema":"https://github.com/citation-style-language/schema/raw/master/csl-citation.json"}</w:instrText>
      </w:r>
      <w:r w:rsidR="007F2E16" w:rsidRPr="00DF2B0D">
        <w:fldChar w:fldCharType="separate"/>
      </w:r>
      <w:r w:rsidR="000A4126" w:rsidRPr="000A4126">
        <w:rPr>
          <w:noProof/>
          <w:vertAlign w:val="superscript"/>
        </w:rPr>
        <w:t>41</w:t>
      </w:r>
      <w:r w:rsidR="007F2E16" w:rsidRPr="00DF2B0D">
        <w:fldChar w:fldCharType="end"/>
      </w:r>
      <w:r w:rsidR="007F2E16" w:rsidRPr="00DF2B0D">
        <w:t xml:space="preserve"> and CaEu(MoO</w:t>
      </w:r>
      <w:r w:rsidR="007F2E16" w:rsidRPr="00DF2B0D">
        <w:rPr>
          <w:vertAlign w:val="subscript"/>
        </w:rPr>
        <w:t>4</w:t>
      </w:r>
      <w:r w:rsidR="007F2E16" w:rsidRPr="00DF2B0D">
        <w:t>)</w:t>
      </w:r>
      <w:r w:rsidR="007F2E16" w:rsidRPr="00DF2B0D">
        <w:rPr>
          <w:vertAlign w:val="subscript"/>
        </w:rPr>
        <w:t>4</w:t>
      </w:r>
      <w:r w:rsidR="00CD7F5B">
        <w:t>.</w:t>
      </w:r>
      <w:r w:rsidR="007F2E16" w:rsidRPr="00DF2B0D">
        <w:fldChar w:fldCharType="begin" w:fldLock="1"/>
      </w:r>
      <w:r w:rsidR="000A4126">
        <w:instrText>ADDIN CSL_CITATION {"citationItems":[{"id":"ITEM-1","itemData":{"DOI":"10.1021/ic5015412","ISSN":"1520510X","PMID":"25144135","abstract":"The factors mediating cation ordering in the scheelite-based molybdates and tungstates are discussed on the basis of the incommensurately modulated crystal structures of the CaEu2(BO4)4 (B = Mo, W) red phosphors solved from high-resolution synchrotron powder X-ray diffraction data. Monoclinic CaEu2(WO4)4 adopts a (3 + 1)-dimensionally modulated structure [superspace group I2/b(αβ0)00, a = 5.238 73(1)Å, b = 5.266 35(1) Å, c = 11.463 19(9) Å, γ = 91.1511(2)°, q = 0.56153(6)a* + 0.7708(9)b*, RF = 0.050, RP = 0.069], whereas tetragonal CaEu2(MoO4)4 is (3 + 2)-dimensionally modulated [superspace group I41/a(αβ0)00(-βα0)00, a = 5.238 672(7) Å, c = 11.548 43(2) Å, q1 = 0.55331(8)a* + 0.82068(9)b*, q2 = -0.82068(9)a* + 0.55331(8)b*, RF = 0.061, RP = 0.082]. In both cases the modulation arises from the ordering of the Ca/Eu cations and the cation vacancies at the A-sublattice of the parent scheelite ABO4 structure. The cation ordering is incomplete and better described with harmonic rather than with steplike occupational modulation functions. The structures respond to the variation of the effective charge and cation size at the A-position through the flexible geometry of the MoO4(2-) and WO4(2-) tetrahedra demonstrating an alternation of stretching the B-O bond lengths and bending the O-B-O bond angles. The tendency towards A-site cation ordering in scheelites is rationalized using the difference in ionic radii and concentration of the A-site vacancies as parameters and presented in the form of a structure map.","author":[{"dropping-particle":"","family":"Abakumov","given":"Artem M.","non-dropping-particle":"","parse-names":false,"suffix":""},{"dropping-particle":"","family":"Morozov","given":"Vladimir A.","non-dropping-particle":"","parse-names":false,"suffix":""},{"dropping-particle":"","family":"Tsirlin","given":"Alexander A.","non-dropping-particle":"","parse-names":false,"suffix":""},{"dropping-particle":"","family":"Verbeeck","given":"Johan","non-dropping-particle":"","parse-names":false,"suffix":""},{"dropping-particle":"","family":"Hadermann","given":"Joke","non-dropping-particle":"","parse-names":false,"suffix":""}],"container-title":"Inorganic Chemistry","id":"ITEM-1","issue":"17","issued":{"date-parts":[["2014"]]},"page":"9407-9415","title":"Cation ordering and flexibility of the BO&lt;sub&gt;4&lt;/sub&gt;&lt;sup&gt;2-&lt;/sup&gt; tetrahedra in incommensurately modulated CaEu&lt;sub&gt;2&lt;/sub&gt;(BO&lt;sub&gt;4&lt;/sub&gt;)&lt;sub&gt;4&lt;/sub&gt; (B = Mo, W) scheelites","type":"article-journal","volume":"53"},"uris":["http://www.mendeley.com/documents/?uuid=48f08690-6296-4491-8405-331c8daaf255"]}],"mendeley":{"formattedCitation":"&lt;sup&gt;42&lt;/sup&gt;","plainTextFormattedCitation":"42","previouslyFormattedCitation":"&lt;sup&gt;41&lt;/sup&gt;"},"properties":{"noteIndex":0},"schema":"https://github.com/citation-style-language/schema/raw/master/csl-citation.json"}</w:instrText>
      </w:r>
      <w:r w:rsidR="007F2E16" w:rsidRPr="00DF2B0D">
        <w:fldChar w:fldCharType="separate"/>
      </w:r>
      <w:r w:rsidR="000A4126" w:rsidRPr="000A4126">
        <w:rPr>
          <w:noProof/>
          <w:vertAlign w:val="superscript"/>
        </w:rPr>
        <w:t>42</w:t>
      </w:r>
      <w:r w:rsidR="007F2E16" w:rsidRPr="00DF2B0D">
        <w:fldChar w:fldCharType="end"/>
      </w:r>
    </w:p>
    <w:p w14:paraId="42A37987" w14:textId="0D4424E4" w:rsidR="00170B4B" w:rsidRPr="00DF2B0D" w:rsidRDefault="00170B4B" w:rsidP="001677FD"/>
    <w:p w14:paraId="14A0F3C5" w14:textId="658C8487" w:rsidR="001677FD" w:rsidRPr="00DF2B0D" w:rsidRDefault="000A4126" w:rsidP="001677FD">
      <w:pPr>
        <w:jc w:val="center"/>
      </w:pPr>
      <w:bookmarkStart w:id="20" w:name="_Hlk31116750"/>
      <w:r>
        <w:rPr>
          <w:noProof/>
        </w:rPr>
        <w:lastRenderedPageBreak/>
        <w:pict w14:anchorId="47EBF47A">
          <v:shape id="_x0000_i1240" type="#_x0000_t75" alt="" style="width:398.75pt;height:276.15pt;mso-width-percent:0;mso-height-percent:0;mso-width-percent:0;mso-height-percent:0">
            <v:imagedata r:id="rId13" o:title=""/>
          </v:shape>
        </w:pict>
      </w:r>
      <w:bookmarkEnd w:id="20"/>
    </w:p>
    <w:p w14:paraId="7DB49AA3" w14:textId="29389C3E" w:rsidR="001677FD" w:rsidRPr="00DF2B0D" w:rsidRDefault="00B35992" w:rsidP="001677FD">
      <w:pPr>
        <w:pStyle w:val="Caption"/>
      </w:pPr>
      <w:bookmarkStart w:id="21" w:name="_Ref15917926"/>
      <w:bookmarkStart w:id="22" w:name="_Toc464943521"/>
      <w:r>
        <w:t xml:space="preserve">Figure </w:t>
      </w:r>
      <w:r w:rsidR="0019656C">
        <w:fldChar w:fldCharType="begin"/>
      </w:r>
      <w:r w:rsidR="0019656C">
        <w:instrText xml:space="preserve"> SEQ Figure \* ARABIC </w:instrText>
      </w:r>
      <w:r w:rsidR="0019656C">
        <w:fldChar w:fldCharType="separate"/>
      </w:r>
      <w:r w:rsidR="00564E5A">
        <w:rPr>
          <w:noProof/>
        </w:rPr>
        <w:t>5</w:t>
      </w:r>
      <w:r w:rsidR="0019656C">
        <w:rPr>
          <w:noProof/>
        </w:rPr>
        <w:fldChar w:fldCharType="end"/>
      </w:r>
      <w:bookmarkEnd w:id="21"/>
      <w:r w:rsidR="001677FD" w:rsidRPr="00DF2B0D">
        <w:rPr>
          <w:noProof/>
        </w:rPr>
        <w:t>:</w:t>
      </w:r>
      <w:r w:rsidR="001677FD" w:rsidRPr="00DF2B0D">
        <w:t xml:space="preserve"> Rietveld refinement of neutron powder scattering data of the LaNb</w:t>
      </w:r>
      <w:r w:rsidR="001677FD"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1677FD" w:rsidRPr="00DF2B0D">
        <w:t xml:space="preserve"> composition </w:t>
      </w:r>
      <w:r w:rsidR="00156777" w:rsidRPr="00DF2B0D">
        <w:t xml:space="preserve">recorded </w:t>
      </w:r>
      <w:r w:rsidR="001677FD" w:rsidRPr="00DF2B0D">
        <w:t xml:space="preserve">at </w:t>
      </w:r>
      <w:r w:rsidR="00C3241D">
        <w:rPr>
          <w:rFonts w:hint="eastAsia"/>
        </w:rPr>
        <w:t>5</w:t>
      </w:r>
      <w:r w:rsidR="001677FD" w:rsidRPr="00DF2B0D">
        <w:t>00</w:t>
      </w:r>
      <w:r w:rsidR="007A4775">
        <w:t xml:space="preserve"> </w:t>
      </w:r>
      <w:r w:rsidR="001677FD" w:rsidRPr="00DF2B0D">
        <w:t xml:space="preserve">°C using the </w:t>
      </w:r>
      <w:r w:rsidR="00DD6F9C">
        <w:t>SSG</w:t>
      </w:r>
      <w:r w:rsidR="004409DF">
        <w:t xml:space="preserve"> </w:t>
      </w:r>
      <w:r w:rsidR="001677FD" w:rsidRPr="00DF2B0D">
        <w:rPr>
          <w:i/>
        </w:rPr>
        <w:t>I</w:t>
      </w:r>
      <w:r w:rsidR="001677FD" w:rsidRPr="00DF2B0D">
        <w:t>4</w:t>
      </w:r>
      <w:r w:rsidR="001677FD" w:rsidRPr="00DF2B0D">
        <w:rPr>
          <w:vertAlign w:val="subscript"/>
        </w:rPr>
        <w:t>1</w:t>
      </w:r>
      <w:r w:rsidR="001677FD" w:rsidRPr="00DF2B0D">
        <w:rPr>
          <w:i/>
        </w:rPr>
        <w:t>/a</w:t>
      </w:r>
      <w:r w:rsidR="001677FD" w:rsidRPr="00DF2B0D">
        <w:t>(</w:t>
      </w:r>
      <w:r w:rsidR="001677FD" w:rsidRPr="00DF2B0D">
        <w:rPr>
          <w:i/>
        </w:rPr>
        <w:t>α</w:t>
      </w:r>
      <w:r w:rsidR="001677FD" w:rsidRPr="00DF2B0D">
        <w:t xml:space="preserve">, </w:t>
      </w:r>
      <w:r w:rsidR="001677FD" w:rsidRPr="00DF2B0D">
        <w:rPr>
          <w:i/>
        </w:rPr>
        <w:t>β</w:t>
      </w:r>
      <w:r w:rsidR="001677FD" w:rsidRPr="00DF2B0D">
        <w:t>, 0)00(</w:t>
      </w:r>
      <w:r w:rsidR="001677FD" w:rsidRPr="00DF2B0D">
        <w:rPr>
          <w:i/>
        </w:rPr>
        <w:t>-β</w:t>
      </w:r>
      <w:r w:rsidR="001677FD" w:rsidRPr="00DF2B0D">
        <w:t xml:space="preserve">, </w:t>
      </w:r>
      <w:r w:rsidR="001677FD" w:rsidRPr="00DF2B0D">
        <w:rPr>
          <w:i/>
        </w:rPr>
        <w:t>α</w:t>
      </w:r>
      <w:r w:rsidR="001677FD" w:rsidRPr="00DF2B0D">
        <w:t xml:space="preserve">, 0)00. Improved fitting with </w:t>
      </w:r>
      <w:r w:rsidR="001677FD" w:rsidRPr="00DF2B0D">
        <w:rPr>
          <w:i/>
        </w:rPr>
        <w:t>R</w:t>
      </w:r>
      <w:r w:rsidR="001677FD" w:rsidRPr="00DF2B0D">
        <w:rPr>
          <w:i/>
          <w:vertAlign w:val="subscript"/>
        </w:rPr>
        <w:t>p</w:t>
      </w:r>
      <w:r w:rsidR="001677FD" w:rsidRPr="00DF2B0D">
        <w:t xml:space="preserve"> = 0.022 and </w:t>
      </w:r>
      <w:r w:rsidR="001677FD" w:rsidRPr="00DF2B0D">
        <w:rPr>
          <w:i/>
        </w:rPr>
        <w:t>R</w:t>
      </w:r>
      <w:r w:rsidR="001677FD" w:rsidRPr="00DF2B0D">
        <w:rPr>
          <w:i/>
          <w:vertAlign w:val="subscript"/>
        </w:rPr>
        <w:t>wp</w:t>
      </w:r>
      <w:r w:rsidR="001677FD" w:rsidRPr="00DF2B0D">
        <w:t xml:space="preserve"> = 0.02</w:t>
      </w:r>
      <w:r w:rsidR="00467967" w:rsidRPr="00DF2B0D">
        <w:t>3</w:t>
      </w:r>
      <w:r w:rsidR="001677FD" w:rsidRPr="00DF2B0D">
        <w:t xml:space="preserve"> were obtained, by including the structural modulation in the model. Black, red and blue lines show the experimental data, modelled data and the difference plot respectively. The black ticks mark the theoretical Bragg peak position. The inset shows the enlarged pattern in the </w:t>
      </w:r>
      <w:r w:rsidR="001677FD" w:rsidRPr="00DF2B0D">
        <w:rPr>
          <w:i/>
        </w:rPr>
        <w:t>d</w:t>
      </w:r>
      <w:r w:rsidR="001677FD" w:rsidRPr="00DF2B0D">
        <w:t>-spacing of 0.84 Å to 1.40 Å range.</w:t>
      </w:r>
      <w:bookmarkEnd w:id="22"/>
    </w:p>
    <w:p w14:paraId="6AAA6A4F" w14:textId="09F84F27" w:rsidR="00C75BFC" w:rsidRPr="007A4775" w:rsidRDefault="007A4775" w:rsidP="007A4775">
      <w:pPr>
        <w:pStyle w:val="Caption"/>
        <w:rPr>
          <w:rFonts w:cs="Times New Roman"/>
        </w:rPr>
      </w:pPr>
      <w:r w:rsidRPr="007A4775">
        <w:rPr>
          <w:rFonts w:cs="Times New Roman"/>
        </w:rPr>
        <w:t xml:space="preserve">Table </w:t>
      </w:r>
      <w:r w:rsidRPr="007A4775">
        <w:rPr>
          <w:rFonts w:cs="Times New Roman"/>
        </w:rPr>
        <w:fldChar w:fldCharType="begin"/>
      </w:r>
      <w:r w:rsidRPr="007A4775">
        <w:rPr>
          <w:rFonts w:cs="Times New Roman"/>
        </w:rPr>
        <w:instrText xml:space="preserve"> SEQ Table \* ARABIC </w:instrText>
      </w:r>
      <w:r w:rsidRPr="007A4775">
        <w:rPr>
          <w:rFonts w:cs="Times New Roman"/>
        </w:rPr>
        <w:fldChar w:fldCharType="separate"/>
      </w:r>
      <w:r w:rsidR="00564E5A">
        <w:rPr>
          <w:rFonts w:cs="Times New Roman"/>
          <w:noProof/>
        </w:rPr>
        <w:t>2</w:t>
      </w:r>
      <w:r w:rsidRPr="007A4775">
        <w:rPr>
          <w:rFonts w:cs="Times New Roman"/>
        </w:rPr>
        <w:fldChar w:fldCharType="end"/>
      </w:r>
      <w:r w:rsidRPr="007A4775">
        <w:rPr>
          <w:rFonts w:cs="Times New Roman"/>
          <w:noProof/>
        </w:rPr>
        <w:t xml:space="preserve">: </w:t>
      </w:r>
      <w:r w:rsidRPr="007A4775">
        <w:rPr>
          <w:rFonts w:cs="Times New Roman"/>
        </w:rPr>
        <w:t xml:space="preserve">Summary of the experimental conditions for the </w:t>
      </w:r>
      <w:proofErr w:type="gramStart"/>
      <w:r w:rsidRPr="007A4775">
        <w:rPr>
          <w:rFonts w:cs="Times New Roman"/>
          <w:i/>
        </w:rPr>
        <w:t>in situ</w:t>
      </w:r>
      <w:proofErr w:type="gramEnd"/>
      <w:r w:rsidRPr="007A4775">
        <w:rPr>
          <w:rFonts w:cs="Times New Roman"/>
        </w:rPr>
        <w:t xml:space="preserve"> neutron data of </w:t>
      </w:r>
      <w:r w:rsidRPr="007A4775">
        <w:rPr>
          <w:rFonts w:eastAsia="Times New Roman" w:cs="Times New Roman"/>
        </w:rPr>
        <w:t>LaNb</w:t>
      </w:r>
      <w:r w:rsidRPr="007A4775">
        <w:rPr>
          <w:rFonts w:eastAsia="Times New Roman" w:cs="Times New Roman"/>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7A4775">
        <w:rPr>
          <w:rFonts w:eastAsia="Times New Roman" w:cs="Times New Roman"/>
          <w:vertAlign w:val="subscript"/>
        </w:rPr>
        <w:t xml:space="preserve"> </w:t>
      </w:r>
      <w:r w:rsidRPr="007A4775">
        <w:rPr>
          <w:rFonts w:eastAsia="Times New Roman" w:cs="Times New Roman"/>
        </w:rPr>
        <w:t xml:space="preserve">at </w:t>
      </w:r>
      <w:r w:rsidR="00C3241D">
        <w:rPr>
          <w:rFonts w:cs="Times New Roman" w:hint="eastAsia"/>
        </w:rPr>
        <w:t>5</w:t>
      </w:r>
      <w:r w:rsidRPr="007A4775">
        <w:rPr>
          <w:rFonts w:cs="Times New Roman"/>
        </w:rPr>
        <w:t>00 °C</w:t>
      </w:r>
    </w:p>
    <w:tbl>
      <w:tblPr>
        <w:tblW w:w="9149" w:type="dxa"/>
        <w:tblInd w:w="93" w:type="dxa"/>
        <w:tblLayout w:type="fixed"/>
        <w:tblLook w:val="04A0" w:firstRow="1" w:lastRow="0" w:firstColumn="1" w:lastColumn="0" w:noHBand="0" w:noVBand="1"/>
      </w:tblPr>
      <w:tblGrid>
        <w:gridCol w:w="9149"/>
      </w:tblGrid>
      <w:tr w:rsidR="00C75BFC" w:rsidRPr="00DF2B0D" w14:paraId="1434A09A" w14:textId="77777777" w:rsidTr="009759B3">
        <w:trPr>
          <w:trHeight w:val="300"/>
        </w:trPr>
        <w:tc>
          <w:tcPr>
            <w:tcW w:w="9149" w:type="dxa"/>
            <w:tcBorders>
              <w:top w:val="nil"/>
              <w:left w:val="nil"/>
              <w:bottom w:val="nil"/>
              <w:right w:val="nil"/>
            </w:tcBorders>
            <w:shd w:val="clear" w:color="auto" w:fill="auto"/>
            <w:noWrap/>
            <w:vAlign w:val="bottom"/>
          </w:tcPr>
          <w:tbl>
            <w:tblPr>
              <w:tblW w:w="7775" w:type="dxa"/>
              <w:jc w:val="center"/>
              <w:tblBorders>
                <w:top w:val="single" w:sz="4" w:space="0" w:color="auto"/>
                <w:bottom w:val="single" w:sz="4" w:space="0" w:color="auto"/>
              </w:tblBorders>
              <w:tblLayout w:type="fixed"/>
              <w:tblLook w:val="04A0" w:firstRow="1" w:lastRow="0" w:firstColumn="1" w:lastColumn="0" w:noHBand="0" w:noVBand="1"/>
            </w:tblPr>
            <w:tblGrid>
              <w:gridCol w:w="3593"/>
              <w:gridCol w:w="3556"/>
              <w:gridCol w:w="617"/>
              <w:gridCol w:w="9"/>
            </w:tblGrid>
            <w:tr w:rsidR="00C75BFC" w:rsidRPr="00DF2B0D" w14:paraId="4ACE68BB" w14:textId="77777777" w:rsidTr="009759B3">
              <w:trPr>
                <w:gridAfter w:val="2"/>
                <w:wAfter w:w="626" w:type="dxa"/>
                <w:trHeight w:val="290"/>
                <w:jc w:val="center"/>
              </w:trPr>
              <w:tc>
                <w:tcPr>
                  <w:tcW w:w="3593" w:type="dxa"/>
                  <w:shd w:val="clear" w:color="auto" w:fill="auto"/>
                  <w:noWrap/>
                  <w:vAlign w:val="center"/>
                  <w:hideMark/>
                </w:tcPr>
                <w:p w14:paraId="26BD5AA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Composition</w:t>
                  </w:r>
                </w:p>
              </w:tc>
              <w:tc>
                <w:tcPr>
                  <w:tcW w:w="3556" w:type="dxa"/>
                  <w:tcBorders>
                    <w:top w:val="single" w:sz="4" w:space="0" w:color="auto"/>
                    <w:bottom w:val="nil"/>
                  </w:tcBorders>
                  <w:shd w:val="clear" w:color="auto" w:fill="auto"/>
                  <w:noWrap/>
                  <w:vAlign w:val="center"/>
                  <w:hideMark/>
                </w:tcPr>
                <w:p w14:paraId="494A849D" w14:textId="28F4D58B" w:rsidR="00C75BFC" w:rsidRPr="00392862" w:rsidRDefault="00C75BFC" w:rsidP="009759B3">
                  <w:pPr>
                    <w:spacing w:before="0" w:after="0" w:line="240" w:lineRule="auto"/>
                    <w:jc w:val="center"/>
                    <w:rPr>
                      <w:rFonts w:asciiTheme="minorHAnsi" w:eastAsia="Times New Roman" w:hAnsiTheme="minorHAnsi" w:cstheme="minorHAnsi"/>
                      <w:color w:val="000000"/>
                      <w:sz w:val="20"/>
                      <w:szCs w:val="20"/>
                    </w:rPr>
                  </w:pPr>
                  <w:r w:rsidRPr="00822909">
                    <w:rPr>
                      <w:rFonts w:asciiTheme="minorHAnsi" w:eastAsia="Times New Roman" w:hAnsiTheme="minorHAnsi" w:cstheme="minorHAnsi"/>
                      <w:color w:val="000000"/>
                      <w:sz w:val="20"/>
                      <w:szCs w:val="20"/>
                    </w:rPr>
                    <w:t>LaNb</w:t>
                  </w:r>
                  <w:r w:rsidRPr="00822909">
                    <w:rPr>
                      <w:rFonts w:asciiTheme="minorHAnsi" w:eastAsia="Times New Roman" w:hAnsiTheme="minorHAnsi" w:cstheme="minorHAnsi"/>
                      <w:color w:val="000000"/>
                      <w:sz w:val="20"/>
                      <w:szCs w:val="20"/>
                      <w:vertAlign w:val="subscript"/>
                    </w:rPr>
                    <w:t>0.88</w:t>
                  </w:r>
                  <w:r w:rsidR="005F7684" w:rsidRPr="00057994">
                    <w:rPr>
                      <w:rFonts w:asciiTheme="minorHAnsi" w:hAnsiTheme="minorHAnsi" w:cstheme="minorHAnsi"/>
                      <w:sz w:val="20"/>
                      <w:szCs w:val="20"/>
                    </w:rPr>
                    <w:t>W</w:t>
                  </w:r>
                  <w:r w:rsidR="005F7684" w:rsidRPr="00057994">
                    <w:rPr>
                      <w:rFonts w:asciiTheme="minorHAnsi" w:hAnsiTheme="minorHAnsi" w:cstheme="minorHAnsi"/>
                      <w:sz w:val="20"/>
                      <w:szCs w:val="20"/>
                      <w:vertAlign w:val="subscript"/>
                    </w:rPr>
                    <w:t>0.12</w:t>
                  </w:r>
                  <w:r w:rsidR="005F7684" w:rsidRPr="00057994">
                    <w:rPr>
                      <w:rFonts w:asciiTheme="minorHAnsi" w:hAnsiTheme="minorHAnsi" w:cstheme="minorHAnsi"/>
                      <w:sz w:val="20"/>
                      <w:szCs w:val="20"/>
                    </w:rPr>
                    <w:t>O</w:t>
                  </w:r>
                  <w:r w:rsidR="005F7684" w:rsidRPr="00057994">
                    <w:rPr>
                      <w:rFonts w:asciiTheme="minorHAnsi" w:hAnsiTheme="minorHAnsi" w:cstheme="minorHAnsi"/>
                      <w:sz w:val="20"/>
                      <w:szCs w:val="20"/>
                      <w:vertAlign w:val="subscript"/>
                    </w:rPr>
                    <w:t>4.06</w:t>
                  </w:r>
                </w:p>
              </w:tc>
            </w:tr>
            <w:tr w:rsidR="00C75BFC" w:rsidRPr="00DF2B0D" w14:paraId="5D22E9DB" w14:textId="77777777" w:rsidTr="009759B3">
              <w:trPr>
                <w:gridAfter w:val="1"/>
                <w:wAfter w:w="9" w:type="dxa"/>
                <w:trHeight w:val="290"/>
                <w:jc w:val="center"/>
              </w:trPr>
              <w:tc>
                <w:tcPr>
                  <w:tcW w:w="3593" w:type="dxa"/>
                  <w:shd w:val="clear" w:color="auto" w:fill="auto"/>
                  <w:noWrap/>
                  <w:vAlign w:val="center"/>
                  <w:hideMark/>
                </w:tcPr>
                <w:p w14:paraId="6B94A4C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Space group</w:t>
                  </w:r>
                </w:p>
              </w:tc>
              <w:tc>
                <w:tcPr>
                  <w:tcW w:w="4173" w:type="dxa"/>
                  <w:gridSpan w:val="2"/>
                  <w:tcBorders>
                    <w:top w:val="nil"/>
                    <w:bottom w:val="nil"/>
                  </w:tcBorders>
                  <w:shd w:val="clear" w:color="auto" w:fill="auto"/>
                  <w:noWrap/>
                  <w:vAlign w:val="center"/>
                  <w:hideMark/>
                </w:tcPr>
                <w:p w14:paraId="40822DC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I</w:t>
                  </w:r>
                  <w:r w:rsidRPr="00DF2B0D">
                    <w:rPr>
                      <w:rFonts w:asciiTheme="minorHAnsi" w:eastAsia="Times New Roman" w:hAnsiTheme="minorHAnsi" w:cs="Times New Roman"/>
                      <w:color w:val="000000"/>
                      <w:sz w:val="20"/>
                      <w:szCs w:val="18"/>
                    </w:rPr>
                    <w:t>4</w:t>
                  </w:r>
                  <w:r w:rsidRPr="00DF2B0D">
                    <w:rPr>
                      <w:rFonts w:asciiTheme="minorHAnsi" w:eastAsia="Times New Roman" w:hAnsiTheme="minorHAnsi" w:cs="Times New Roman"/>
                      <w:color w:val="000000"/>
                      <w:sz w:val="20"/>
                      <w:szCs w:val="18"/>
                      <w:vertAlign w:val="subscript"/>
                    </w:rPr>
                    <w:t>1</w:t>
                  </w:r>
                  <w:r w:rsidRPr="00DF2B0D">
                    <w:rPr>
                      <w:rFonts w:asciiTheme="minorHAnsi" w:eastAsia="Times New Roman" w:hAnsiTheme="minorHAnsi" w:cs="Times New Roman"/>
                      <w:i/>
                      <w:color w:val="000000"/>
                      <w:sz w:val="20"/>
                      <w:szCs w:val="18"/>
                    </w:rPr>
                    <w:t>/a</w:t>
                  </w:r>
                  <w:r w:rsidRPr="00DF2B0D">
                    <w:rPr>
                      <w:rFonts w:asciiTheme="minorHAnsi" w:eastAsia="Times New Roman" w:hAnsiTheme="minorHAnsi" w:cs="Times New Roman"/>
                      <w:color w:val="000000"/>
                      <w:sz w:val="20"/>
                      <w:szCs w:val="18"/>
                    </w:rPr>
                    <w:t>(</w:t>
                  </w:r>
                  <w:r w:rsidRPr="00DF2B0D">
                    <w:rPr>
                      <w:rFonts w:asciiTheme="minorHAnsi" w:eastAsia="Times New Roman" w:hAnsiTheme="minorHAnsi" w:cs="Times New Roman"/>
                      <w:i/>
                      <w:color w:val="000000"/>
                      <w:sz w:val="20"/>
                      <w:szCs w:val="18"/>
                    </w:rPr>
                    <w:t>α</w:t>
                  </w:r>
                  <w:r w:rsidRPr="00DF2B0D">
                    <w:rPr>
                      <w:rFonts w:asciiTheme="minorHAnsi" w:eastAsia="Times New Roman" w:hAnsiTheme="minorHAnsi" w:cs="Times New Roman"/>
                      <w:color w:val="000000"/>
                      <w:sz w:val="20"/>
                      <w:szCs w:val="18"/>
                    </w:rPr>
                    <w:t>,</w:t>
                  </w:r>
                  <w:r w:rsidRPr="00DF2B0D">
                    <w:rPr>
                      <w:rFonts w:asciiTheme="minorHAnsi" w:eastAsia="Times New Roman" w:hAnsiTheme="minorHAnsi" w:cs="Times New Roman"/>
                      <w:i/>
                      <w:color w:val="000000"/>
                      <w:sz w:val="20"/>
                      <w:szCs w:val="18"/>
                    </w:rPr>
                    <w:t xml:space="preserve"> β</w:t>
                  </w:r>
                  <w:r w:rsidRPr="00DF2B0D">
                    <w:rPr>
                      <w:rFonts w:asciiTheme="minorHAnsi" w:eastAsia="Times New Roman" w:hAnsiTheme="minorHAnsi" w:cs="Times New Roman"/>
                      <w:color w:val="000000"/>
                      <w:sz w:val="20"/>
                      <w:szCs w:val="18"/>
                    </w:rPr>
                    <w:t>, 0)00(</w:t>
                  </w:r>
                  <w:r w:rsidRPr="00DF2B0D">
                    <w:rPr>
                      <w:rFonts w:asciiTheme="minorHAnsi" w:eastAsia="Times New Roman" w:hAnsiTheme="minorHAnsi" w:cs="Times New Roman"/>
                      <w:i/>
                      <w:color w:val="000000"/>
                      <w:sz w:val="20"/>
                      <w:szCs w:val="18"/>
                    </w:rPr>
                    <w:t>-β</w:t>
                  </w:r>
                  <w:r w:rsidRPr="00DF2B0D">
                    <w:rPr>
                      <w:rFonts w:asciiTheme="minorHAnsi" w:eastAsia="Times New Roman" w:hAnsiTheme="minorHAnsi" w:cs="Times New Roman"/>
                      <w:color w:val="000000"/>
                      <w:sz w:val="20"/>
                      <w:szCs w:val="18"/>
                    </w:rPr>
                    <w:t>,</w:t>
                  </w:r>
                  <w:r w:rsidRPr="00DF2B0D">
                    <w:rPr>
                      <w:rFonts w:asciiTheme="minorHAnsi" w:eastAsia="Times New Roman" w:hAnsiTheme="minorHAnsi" w:cs="Times New Roman"/>
                      <w:i/>
                      <w:color w:val="000000"/>
                      <w:sz w:val="20"/>
                      <w:szCs w:val="18"/>
                    </w:rPr>
                    <w:t xml:space="preserve"> α</w:t>
                  </w:r>
                  <w:r w:rsidRPr="00DF2B0D">
                    <w:rPr>
                      <w:rFonts w:asciiTheme="minorHAnsi" w:eastAsia="Times New Roman" w:hAnsiTheme="minorHAnsi" w:cs="Times New Roman"/>
                      <w:color w:val="000000"/>
                      <w:sz w:val="20"/>
                      <w:szCs w:val="18"/>
                    </w:rPr>
                    <w:t>, 0)00</w:t>
                  </w:r>
                </w:p>
              </w:tc>
            </w:tr>
            <w:tr w:rsidR="00C75BFC" w:rsidRPr="007A4775" w14:paraId="2662DB76" w14:textId="77777777" w:rsidTr="009759B3">
              <w:trPr>
                <w:trHeight w:val="290"/>
                <w:jc w:val="center"/>
              </w:trPr>
              <w:tc>
                <w:tcPr>
                  <w:tcW w:w="3593" w:type="dxa"/>
                  <w:shd w:val="clear" w:color="auto" w:fill="auto"/>
                  <w:noWrap/>
                  <w:vAlign w:val="center"/>
                  <w:hideMark/>
                </w:tcPr>
                <w:p w14:paraId="1F726A1A"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Temperature</w:t>
                  </w:r>
                </w:p>
              </w:tc>
              <w:tc>
                <w:tcPr>
                  <w:tcW w:w="4182" w:type="dxa"/>
                  <w:gridSpan w:val="3"/>
                  <w:shd w:val="clear" w:color="auto" w:fill="auto"/>
                  <w:noWrap/>
                  <w:vAlign w:val="center"/>
                  <w:hideMark/>
                </w:tcPr>
                <w:p w14:paraId="035D1E5F" w14:textId="5F60102A" w:rsidR="00C75BFC" w:rsidRPr="00DF2B0D" w:rsidRDefault="007A4775" w:rsidP="007A4775">
                  <w:pPr>
                    <w:pStyle w:val="ListParagraph"/>
                    <w:rPr>
                      <w:rFonts w:eastAsia="Times New Roman" w:cs="Times New Roman"/>
                      <w:color w:val="000000"/>
                      <w:szCs w:val="18"/>
                    </w:rPr>
                  </w:pPr>
                  <w:r>
                    <w:t xml:space="preserve">                      </w:t>
                  </w:r>
                  <w:r w:rsidR="00C3241D">
                    <w:rPr>
                      <w:rFonts w:hint="eastAsia"/>
                    </w:rPr>
                    <w:t>5</w:t>
                  </w:r>
                  <w:r w:rsidRPr="00DF2B0D">
                    <w:t>00</w:t>
                  </w:r>
                  <w:r>
                    <w:t xml:space="preserve"> </w:t>
                  </w:r>
                  <w:r w:rsidRPr="00DF2B0D">
                    <w:t>°C</w:t>
                  </w:r>
                </w:p>
              </w:tc>
            </w:tr>
            <w:tr w:rsidR="00C75BFC" w:rsidRPr="00DF2B0D" w14:paraId="7992F057" w14:textId="77777777" w:rsidTr="009759B3">
              <w:trPr>
                <w:trHeight w:val="290"/>
                <w:jc w:val="center"/>
              </w:trPr>
              <w:tc>
                <w:tcPr>
                  <w:tcW w:w="3593" w:type="dxa"/>
                  <w:shd w:val="clear" w:color="auto" w:fill="auto"/>
                  <w:noWrap/>
                  <w:vAlign w:val="center"/>
                  <w:hideMark/>
                </w:tcPr>
                <w:p w14:paraId="3989F324"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 xml:space="preserve">a b c </w:t>
                  </w:r>
                  <w:r w:rsidRPr="00DF2B0D">
                    <w:rPr>
                      <w:rFonts w:asciiTheme="minorHAnsi" w:eastAsia="Times New Roman" w:hAnsiTheme="minorHAnsi" w:cs="Times New Roman"/>
                      <w:color w:val="000000"/>
                      <w:sz w:val="20"/>
                      <w:szCs w:val="18"/>
                    </w:rPr>
                    <w:t>(Å)</w:t>
                  </w:r>
                </w:p>
              </w:tc>
              <w:tc>
                <w:tcPr>
                  <w:tcW w:w="4182" w:type="dxa"/>
                  <w:gridSpan w:val="3"/>
                  <w:shd w:val="clear" w:color="auto" w:fill="auto"/>
                  <w:noWrap/>
                  <w:vAlign w:val="center"/>
                  <w:hideMark/>
                </w:tcPr>
                <w:p w14:paraId="7C418B8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5.37466(8) 5.37466(8) 11.72917(18)</w:t>
                  </w:r>
                </w:p>
              </w:tc>
            </w:tr>
            <w:tr w:rsidR="00C75BFC" w:rsidRPr="00DF2B0D" w14:paraId="08FC92FE" w14:textId="77777777" w:rsidTr="009759B3">
              <w:trPr>
                <w:trHeight w:val="290"/>
                <w:jc w:val="center"/>
              </w:trPr>
              <w:tc>
                <w:tcPr>
                  <w:tcW w:w="3593" w:type="dxa"/>
                  <w:shd w:val="clear" w:color="auto" w:fill="auto"/>
                  <w:noWrap/>
                  <w:vAlign w:val="center"/>
                  <w:hideMark/>
                </w:tcPr>
                <w:p w14:paraId="151B3743"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V</w:t>
                  </w:r>
                  <w:r w:rsidRPr="00DF2B0D">
                    <w:rPr>
                      <w:rFonts w:asciiTheme="minorHAnsi" w:eastAsia="Times New Roman" w:hAnsiTheme="minorHAnsi" w:cs="Times New Roman"/>
                      <w:color w:val="000000"/>
                      <w:sz w:val="20"/>
                      <w:szCs w:val="18"/>
                    </w:rPr>
                    <w:t xml:space="preserve"> (Å</w:t>
                  </w:r>
                  <w:r w:rsidRPr="00DF2B0D">
                    <w:rPr>
                      <w:rFonts w:asciiTheme="minorHAnsi" w:eastAsia="Times New Roman" w:hAnsiTheme="minorHAnsi" w:cs="Times New Roman"/>
                      <w:color w:val="000000"/>
                      <w:sz w:val="20"/>
                      <w:szCs w:val="18"/>
                      <w:vertAlign w:val="superscript"/>
                    </w:rPr>
                    <w:t>3</w:t>
                  </w:r>
                  <w:r w:rsidRPr="00DF2B0D">
                    <w:rPr>
                      <w:rFonts w:asciiTheme="minorHAnsi" w:eastAsia="Times New Roman" w:hAnsiTheme="minorHAnsi" w:cs="Times New Roman"/>
                      <w:color w:val="000000"/>
                      <w:sz w:val="20"/>
                      <w:szCs w:val="18"/>
                    </w:rPr>
                    <w:t>)</w:t>
                  </w:r>
                </w:p>
              </w:tc>
              <w:tc>
                <w:tcPr>
                  <w:tcW w:w="4182" w:type="dxa"/>
                  <w:gridSpan w:val="3"/>
                  <w:shd w:val="clear" w:color="auto" w:fill="auto"/>
                  <w:noWrap/>
                  <w:vAlign w:val="center"/>
                  <w:hideMark/>
                </w:tcPr>
                <w:p w14:paraId="5023D05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338.821(9)</w:t>
                  </w:r>
                </w:p>
              </w:tc>
            </w:tr>
            <w:tr w:rsidR="00C75BFC" w:rsidRPr="00DF2B0D" w14:paraId="28C27231" w14:textId="77777777" w:rsidTr="009759B3">
              <w:trPr>
                <w:trHeight w:val="290"/>
                <w:jc w:val="center"/>
              </w:trPr>
              <w:tc>
                <w:tcPr>
                  <w:tcW w:w="3593" w:type="dxa"/>
                  <w:shd w:val="clear" w:color="auto" w:fill="auto"/>
                  <w:noWrap/>
                  <w:vAlign w:val="center"/>
                  <w:hideMark/>
                </w:tcPr>
                <w:p w14:paraId="5C9FD7A3"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modulation waves</w:t>
                  </w:r>
                </w:p>
              </w:tc>
              <w:tc>
                <w:tcPr>
                  <w:tcW w:w="4182" w:type="dxa"/>
                  <w:gridSpan w:val="3"/>
                  <w:shd w:val="clear" w:color="auto" w:fill="auto"/>
                  <w:noWrap/>
                  <w:vAlign w:val="center"/>
                  <w:hideMark/>
                </w:tcPr>
                <w:p w14:paraId="7B207F5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b/>
                      <w:i/>
                      <w:color w:val="000000"/>
                      <w:sz w:val="20"/>
                      <w:szCs w:val="18"/>
                    </w:rPr>
                    <w:t>q</w:t>
                  </w:r>
                  <w:r w:rsidRPr="00DF2B0D">
                    <w:rPr>
                      <w:rFonts w:asciiTheme="minorHAnsi" w:eastAsia="Times New Roman" w:hAnsiTheme="minorHAnsi" w:cs="Times New Roman"/>
                      <w:b/>
                      <w:i/>
                      <w:color w:val="000000"/>
                      <w:sz w:val="20"/>
                      <w:szCs w:val="18"/>
                      <w:vertAlign w:val="subscript"/>
                    </w:rPr>
                    <w:t>1</w:t>
                  </w:r>
                  <w:r w:rsidRPr="00DF2B0D">
                    <w:rPr>
                      <w:rFonts w:asciiTheme="minorHAnsi" w:eastAsia="Times New Roman" w:hAnsiTheme="minorHAnsi" w:cs="Times New Roman"/>
                      <w:color w:val="000000"/>
                      <w:sz w:val="20"/>
                      <w:szCs w:val="18"/>
                    </w:rPr>
                    <w:t xml:space="preserve"> = 0.3033(3)</w:t>
                  </w:r>
                  <w:r w:rsidRPr="00DF2B0D">
                    <w:rPr>
                      <w:rFonts w:asciiTheme="minorHAnsi" w:eastAsia="Times New Roman" w:hAnsiTheme="minorHAnsi" w:cs="Times New Roman"/>
                      <w:b/>
                      <w:i/>
                      <w:color w:val="000000"/>
                      <w:sz w:val="20"/>
                      <w:szCs w:val="18"/>
                    </w:rPr>
                    <w:t>a</w:t>
                  </w:r>
                  <w:r w:rsidRPr="00DF2B0D">
                    <w:rPr>
                      <w:rFonts w:asciiTheme="minorHAnsi" w:eastAsia="Times New Roman" w:hAnsiTheme="minorHAnsi" w:cs="Times New Roman"/>
                      <w:b/>
                      <w:i/>
                      <w:color w:val="000000"/>
                      <w:sz w:val="20"/>
                      <w:szCs w:val="18"/>
                      <w:vertAlign w:val="superscript"/>
                    </w:rPr>
                    <w:t>*</w:t>
                  </w:r>
                  <w:r w:rsidRPr="00DF2B0D">
                    <w:rPr>
                      <w:rFonts w:asciiTheme="minorHAnsi" w:eastAsia="Times New Roman" w:hAnsiTheme="minorHAnsi" w:cs="Times New Roman"/>
                      <w:color w:val="000000"/>
                      <w:sz w:val="20"/>
                      <w:szCs w:val="18"/>
                    </w:rPr>
                    <w:t xml:space="preserve"> + 0.1177(4)</w:t>
                  </w:r>
                  <w:r w:rsidRPr="00DF2B0D">
                    <w:rPr>
                      <w:rFonts w:asciiTheme="minorHAnsi" w:eastAsia="Times New Roman" w:hAnsiTheme="minorHAnsi" w:cs="Times New Roman"/>
                      <w:b/>
                      <w:i/>
                      <w:color w:val="000000"/>
                      <w:sz w:val="20"/>
                      <w:szCs w:val="18"/>
                    </w:rPr>
                    <w:t>b</w:t>
                  </w:r>
                  <w:r w:rsidRPr="00DF2B0D">
                    <w:rPr>
                      <w:rFonts w:asciiTheme="minorHAnsi" w:eastAsia="Times New Roman" w:hAnsiTheme="minorHAnsi" w:cs="Times New Roman"/>
                      <w:b/>
                      <w:i/>
                      <w:color w:val="000000"/>
                      <w:sz w:val="20"/>
                      <w:szCs w:val="18"/>
                      <w:vertAlign w:val="superscript"/>
                    </w:rPr>
                    <w:t>*</w:t>
                  </w:r>
                </w:p>
              </w:tc>
            </w:tr>
            <w:tr w:rsidR="00C75BFC" w:rsidRPr="00DF2B0D" w14:paraId="53E7594B" w14:textId="77777777" w:rsidTr="009759B3">
              <w:trPr>
                <w:trHeight w:val="290"/>
                <w:jc w:val="center"/>
              </w:trPr>
              <w:tc>
                <w:tcPr>
                  <w:tcW w:w="3593" w:type="dxa"/>
                  <w:shd w:val="clear" w:color="auto" w:fill="auto"/>
                  <w:noWrap/>
                  <w:vAlign w:val="center"/>
                  <w:hideMark/>
                </w:tcPr>
                <w:p w14:paraId="46A39B31"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p>
              </w:tc>
              <w:tc>
                <w:tcPr>
                  <w:tcW w:w="4182" w:type="dxa"/>
                  <w:gridSpan w:val="3"/>
                  <w:shd w:val="clear" w:color="auto" w:fill="auto"/>
                  <w:noWrap/>
                  <w:vAlign w:val="center"/>
                  <w:hideMark/>
                </w:tcPr>
                <w:p w14:paraId="0D85750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b/>
                      <w:i/>
                      <w:color w:val="000000"/>
                      <w:sz w:val="20"/>
                      <w:szCs w:val="18"/>
                    </w:rPr>
                    <w:t>q</w:t>
                  </w:r>
                  <w:r w:rsidRPr="00DF2B0D">
                    <w:rPr>
                      <w:rFonts w:asciiTheme="minorHAnsi" w:eastAsia="Times New Roman" w:hAnsiTheme="minorHAnsi" w:cs="Times New Roman"/>
                      <w:b/>
                      <w:i/>
                      <w:color w:val="000000"/>
                      <w:sz w:val="20"/>
                      <w:szCs w:val="18"/>
                      <w:vertAlign w:val="subscript"/>
                    </w:rPr>
                    <w:t>2</w:t>
                  </w:r>
                  <w:r w:rsidRPr="00DF2B0D">
                    <w:rPr>
                      <w:rFonts w:asciiTheme="minorHAnsi" w:eastAsia="Times New Roman" w:hAnsiTheme="minorHAnsi" w:cs="Times New Roman"/>
                      <w:color w:val="000000"/>
                      <w:sz w:val="20"/>
                      <w:szCs w:val="18"/>
                    </w:rPr>
                    <w:t xml:space="preserve"> = -0.1177(4)</w:t>
                  </w:r>
                  <w:r w:rsidRPr="00DF2B0D">
                    <w:rPr>
                      <w:rFonts w:asciiTheme="minorHAnsi" w:eastAsia="Times New Roman" w:hAnsiTheme="minorHAnsi" w:cs="Times New Roman"/>
                      <w:b/>
                      <w:i/>
                      <w:color w:val="000000"/>
                      <w:sz w:val="20"/>
                      <w:szCs w:val="18"/>
                    </w:rPr>
                    <w:t>a</w:t>
                  </w:r>
                  <w:r w:rsidRPr="00DF2B0D">
                    <w:rPr>
                      <w:rFonts w:asciiTheme="minorHAnsi" w:eastAsia="Times New Roman" w:hAnsiTheme="minorHAnsi" w:cs="Times New Roman"/>
                      <w:b/>
                      <w:i/>
                      <w:color w:val="000000"/>
                      <w:sz w:val="20"/>
                      <w:szCs w:val="18"/>
                      <w:vertAlign w:val="superscript"/>
                    </w:rPr>
                    <w:t>*</w:t>
                  </w:r>
                  <w:r w:rsidRPr="00DF2B0D">
                    <w:rPr>
                      <w:rFonts w:asciiTheme="minorHAnsi" w:eastAsia="Times New Roman" w:hAnsiTheme="minorHAnsi" w:cs="Times New Roman"/>
                      <w:color w:val="000000"/>
                      <w:sz w:val="20"/>
                      <w:szCs w:val="18"/>
                    </w:rPr>
                    <w:t xml:space="preserve"> + 0.3033(3)</w:t>
                  </w:r>
                  <w:r w:rsidRPr="00DF2B0D">
                    <w:rPr>
                      <w:rFonts w:asciiTheme="minorHAnsi" w:eastAsia="Times New Roman" w:hAnsiTheme="minorHAnsi" w:cs="Times New Roman"/>
                      <w:b/>
                      <w:i/>
                      <w:color w:val="000000"/>
                      <w:sz w:val="20"/>
                      <w:szCs w:val="18"/>
                    </w:rPr>
                    <w:t>b</w:t>
                  </w:r>
                  <w:r w:rsidRPr="00DF2B0D">
                    <w:rPr>
                      <w:rFonts w:asciiTheme="minorHAnsi" w:eastAsia="Times New Roman" w:hAnsiTheme="minorHAnsi" w:cs="Times New Roman"/>
                      <w:b/>
                      <w:i/>
                      <w:color w:val="000000"/>
                      <w:sz w:val="20"/>
                      <w:szCs w:val="18"/>
                      <w:vertAlign w:val="superscript"/>
                    </w:rPr>
                    <w:t>*</w:t>
                  </w:r>
                </w:p>
              </w:tc>
            </w:tr>
            <w:tr w:rsidR="00C75BFC" w:rsidRPr="00DF2B0D" w14:paraId="2431EA79" w14:textId="77777777" w:rsidTr="009759B3">
              <w:trPr>
                <w:trHeight w:val="290"/>
                <w:jc w:val="center"/>
              </w:trPr>
              <w:tc>
                <w:tcPr>
                  <w:tcW w:w="3593" w:type="dxa"/>
                  <w:shd w:val="clear" w:color="auto" w:fill="auto"/>
                  <w:noWrap/>
                  <w:vAlign w:val="center"/>
                  <w:hideMark/>
                </w:tcPr>
                <w:p w14:paraId="6D59849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data collection</w:t>
                  </w:r>
                </w:p>
              </w:tc>
              <w:tc>
                <w:tcPr>
                  <w:tcW w:w="4182" w:type="dxa"/>
                  <w:gridSpan w:val="3"/>
                  <w:shd w:val="clear" w:color="auto" w:fill="auto"/>
                  <w:vAlign w:val="center"/>
                </w:tcPr>
                <w:p w14:paraId="1E404F6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p>
              </w:tc>
            </w:tr>
            <w:tr w:rsidR="00C75BFC" w:rsidRPr="00DF2B0D" w14:paraId="4F64F3FB" w14:textId="77777777" w:rsidTr="009759B3">
              <w:trPr>
                <w:trHeight w:val="290"/>
                <w:jc w:val="center"/>
              </w:trPr>
              <w:tc>
                <w:tcPr>
                  <w:tcW w:w="3593" w:type="dxa"/>
                  <w:shd w:val="clear" w:color="auto" w:fill="auto"/>
                  <w:noWrap/>
                  <w:vAlign w:val="center"/>
                </w:tcPr>
                <w:p w14:paraId="29FCDA35"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instrument</w:t>
                  </w:r>
                </w:p>
              </w:tc>
              <w:tc>
                <w:tcPr>
                  <w:tcW w:w="4182" w:type="dxa"/>
                  <w:gridSpan w:val="3"/>
                  <w:shd w:val="clear" w:color="auto" w:fill="auto"/>
                  <w:vAlign w:val="center"/>
                </w:tcPr>
                <w:p w14:paraId="644BEA3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HRPD at ISIS</w:t>
                  </w:r>
                </w:p>
              </w:tc>
            </w:tr>
            <w:tr w:rsidR="00C75BFC" w:rsidRPr="00DF2B0D" w14:paraId="7DDE964D" w14:textId="77777777" w:rsidTr="009759B3">
              <w:trPr>
                <w:trHeight w:val="290"/>
                <w:jc w:val="center"/>
              </w:trPr>
              <w:tc>
                <w:tcPr>
                  <w:tcW w:w="3593" w:type="dxa"/>
                  <w:shd w:val="clear" w:color="auto" w:fill="auto"/>
                  <w:noWrap/>
                  <w:vAlign w:val="center"/>
                  <w:hideMark/>
                </w:tcPr>
                <w:p w14:paraId="6EF0C045"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data range</w:t>
                  </w:r>
                </w:p>
              </w:tc>
              <w:tc>
                <w:tcPr>
                  <w:tcW w:w="4182" w:type="dxa"/>
                  <w:gridSpan w:val="3"/>
                  <w:shd w:val="clear" w:color="auto" w:fill="auto"/>
                  <w:noWrap/>
                  <w:vAlign w:val="center"/>
                  <w:hideMark/>
                </w:tcPr>
                <w:p w14:paraId="250CF9F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d</w:t>
                  </w:r>
                  <w:r w:rsidRPr="00DF2B0D">
                    <w:rPr>
                      <w:rFonts w:asciiTheme="minorHAnsi" w:eastAsia="Times New Roman" w:hAnsiTheme="minorHAnsi" w:cs="Times New Roman"/>
                      <w:color w:val="000000"/>
                      <w:sz w:val="20"/>
                      <w:szCs w:val="18"/>
                    </w:rPr>
                    <w:t xml:space="preserve"> = 2.5889 Å to 0.8696 Å</w:t>
                  </w:r>
                </w:p>
              </w:tc>
            </w:tr>
            <w:tr w:rsidR="00C75BFC" w:rsidRPr="00DF2B0D" w14:paraId="07DDDF7F" w14:textId="77777777" w:rsidTr="009759B3">
              <w:trPr>
                <w:trHeight w:val="290"/>
                <w:jc w:val="center"/>
              </w:trPr>
              <w:tc>
                <w:tcPr>
                  <w:tcW w:w="3593" w:type="dxa"/>
                  <w:shd w:val="clear" w:color="auto" w:fill="auto"/>
                  <w:noWrap/>
                  <w:vAlign w:val="center"/>
                  <w:hideMark/>
                </w:tcPr>
                <w:p w14:paraId="5F3907CC"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resolution</w:t>
                  </w:r>
                </w:p>
              </w:tc>
              <w:tc>
                <w:tcPr>
                  <w:tcW w:w="4182" w:type="dxa"/>
                  <w:gridSpan w:val="3"/>
                  <w:shd w:val="clear" w:color="auto" w:fill="auto"/>
                  <w:noWrap/>
                  <w:vAlign w:val="center"/>
                  <w:hideMark/>
                </w:tcPr>
                <w:p w14:paraId="29ED18D1" w14:textId="53B10345"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Δd/d</w:t>
                  </w:r>
                  <w:r w:rsidRPr="00DF2B0D">
                    <w:rPr>
                      <w:rFonts w:asciiTheme="minorHAnsi" w:eastAsia="Times New Roman" w:hAnsiTheme="minorHAnsi" w:cs="Times New Roman"/>
                      <w:color w:val="000000"/>
                      <w:sz w:val="20"/>
                      <w:szCs w:val="18"/>
                    </w:rPr>
                    <w:t xml:space="preserve"> = 4x 10</w:t>
                  </w:r>
                  <w:r w:rsidRPr="00DF2B0D">
                    <w:rPr>
                      <w:rFonts w:asciiTheme="minorHAnsi" w:eastAsia="Times New Roman" w:hAnsiTheme="minorHAnsi" w:cs="Times New Roman"/>
                      <w:color w:val="000000"/>
                      <w:sz w:val="20"/>
                      <w:szCs w:val="18"/>
                      <w:vertAlign w:val="superscript"/>
                    </w:rPr>
                    <w:t>-4</w:t>
                  </w:r>
                  <w:r w:rsidRPr="00DF2B0D">
                    <w:rPr>
                      <w:rFonts w:asciiTheme="minorHAnsi" w:eastAsia="Times New Roman" w:hAnsiTheme="minorHAnsi" w:cs="Times New Roman"/>
                      <w:color w:val="000000"/>
                      <w:sz w:val="20"/>
                      <w:szCs w:val="18"/>
                    </w:rPr>
                    <w:t xml:space="preserve"> </w:t>
                  </w:r>
                </w:p>
              </w:tc>
            </w:tr>
            <w:tr w:rsidR="00C75BFC" w:rsidRPr="00DF2B0D" w14:paraId="0601F2E0" w14:textId="77777777" w:rsidTr="009759B3">
              <w:trPr>
                <w:trHeight w:val="290"/>
                <w:jc w:val="center"/>
              </w:trPr>
              <w:tc>
                <w:tcPr>
                  <w:tcW w:w="3593" w:type="dxa"/>
                  <w:shd w:val="clear" w:color="auto" w:fill="auto"/>
                  <w:noWrap/>
                  <w:vAlign w:val="center"/>
                  <w:hideMark/>
                </w:tcPr>
                <w:p w14:paraId="65D3CF3F"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p>
              </w:tc>
              <w:tc>
                <w:tcPr>
                  <w:tcW w:w="4182" w:type="dxa"/>
                  <w:gridSpan w:val="3"/>
                  <w:shd w:val="clear" w:color="auto" w:fill="auto"/>
                  <w:noWrap/>
                  <w:vAlign w:val="center"/>
                  <w:hideMark/>
                </w:tcPr>
                <w:p w14:paraId="09C2820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p>
              </w:tc>
            </w:tr>
            <w:tr w:rsidR="00C75BFC" w:rsidRPr="00DF2B0D" w14:paraId="56C2BD95" w14:textId="77777777" w:rsidTr="009759B3">
              <w:trPr>
                <w:trHeight w:val="290"/>
                <w:jc w:val="center"/>
              </w:trPr>
              <w:tc>
                <w:tcPr>
                  <w:tcW w:w="3593" w:type="dxa"/>
                  <w:shd w:val="clear" w:color="auto" w:fill="auto"/>
                  <w:noWrap/>
                  <w:vAlign w:val="center"/>
                  <w:hideMark/>
                </w:tcPr>
                <w:p w14:paraId="13CF29AF"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Reflections (all/observed)</w:t>
                  </w:r>
                </w:p>
              </w:tc>
              <w:tc>
                <w:tcPr>
                  <w:tcW w:w="4182" w:type="dxa"/>
                  <w:gridSpan w:val="3"/>
                  <w:shd w:val="clear" w:color="auto" w:fill="auto"/>
                  <w:noWrap/>
                  <w:vAlign w:val="center"/>
                  <w:hideMark/>
                </w:tcPr>
                <w:p w14:paraId="0D7EDBC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1173/758</w:t>
                  </w:r>
                </w:p>
              </w:tc>
            </w:tr>
            <w:tr w:rsidR="00C75BFC" w:rsidRPr="00DF2B0D" w14:paraId="092E6449" w14:textId="77777777" w:rsidTr="009759B3">
              <w:trPr>
                <w:trHeight w:val="290"/>
                <w:jc w:val="center"/>
              </w:trPr>
              <w:tc>
                <w:tcPr>
                  <w:tcW w:w="3593" w:type="dxa"/>
                  <w:shd w:val="clear" w:color="auto" w:fill="auto"/>
                  <w:noWrap/>
                  <w:vAlign w:val="center"/>
                  <w:hideMark/>
                </w:tcPr>
                <w:p w14:paraId="07EFD7DF"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among them</w:t>
                  </w:r>
                  <w:r w:rsidRPr="00DF2B0D">
                    <w:rPr>
                      <w:rFonts w:ascii="SimSun" w:eastAsia="SimSun" w:hAnsi="SimSun" w:cs="SimSun"/>
                      <w:color w:val="000000"/>
                      <w:sz w:val="20"/>
                      <w:szCs w:val="18"/>
                    </w:rPr>
                    <w:t>,</w:t>
                  </w:r>
                </w:p>
              </w:tc>
              <w:tc>
                <w:tcPr>
                  <w:tcW w:w="4182" w:type="dxa"/>
                  <w:gridSpan w:val="3"/>
                  <w:shd w:val="clear" w:color="auto" w:fill="auto"/>
                  <w:noWrap/>
                  <w:vAlign w:val="center"/>
                  <w:hideMark/>
                </w:tcPr>
                <w:p w14:paraId="17393837"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p>
              </w:tc>
            </w:tr>
            <w:tr w:rsidR="00C75BFC" w:rsidRPr="00DF2B0D" w14:paraId="519F3B7A" w14:textId="77777777" w:rsidTr="009759B3">
              <w:trPr>
                <w:trHeight w:val="290"/>
                <w:jc w:val="center"/>
              </w:trPr>
              <w:tc>
                <w:tcPr>
                  <w:tcW w:w="3593" w:type="dxa"/>
                  <w:shd w:val="clear" w:color="auto" w:fill="auto"/>
                  <w:noWrap/>
                  <w:vAlign w:val="center"/>
                  <w:hideMark/>
                </w:tcPr>
                <w:p w14:paraId="53C9F0E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 xml:space="preserve">     Main Reflections (all/observed)</w:t>
                  </w:r>
                </w:p>
              </w:tc>
              <w:tc>
                <w:tcPr>
                  <w:tcW w:w="4182" w:type="dxa"/>
                  <w:gridSpan w:val="3"/>
                  <w:shd w:val="clear" w:color="auto" w:fill="auto"/>
                  <w:noWrap/>
                  <w:vAlign w:val="center"/>
                  <w:hideMark/>
                </w:tcPr>
                <w:p w14:paraId="052AAF9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119/9</w:t>
                  </w:r>
                </w:p>
              </w:tc>
            </w:tr>
            <w:tr w:rsidR="00C75BFC" w:rsidRPr="00DF2B0D" w14:paraId="31D4FBF8" w14:textId="77777777" w:rsidTr="009759B3">
              <w:trPr>
                <w:trHeight w:val="290"/>
                <w:jc w:val="center"/>
              </w:trPr>
              <w:tc>
                <w:tcPr>
                  <w:tcW w:w="3593" w:type="dxa"/>
                  <w:shd w:val="clear" w:color="auto" w:fill="auto"/>
                  <w:noWrap/>
                  <w:vAlign w:val="center"/>
                </w:tcPr>
                <w:p w14:paraId="64B98851"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 xml:space="preserve">     1</w:t>
                  </w:r>
                  <w:r w:rsidRPr="00DF2B0D">
                    <w:rPr>
                      <w:rFonts w:asciiTheme="minorHAnsi" w:eastAsia="Times New Roman" w:hAnsiTheme="minorHAnsi" w:cs="Times New Roman"/>
                      <w:color w:val="000000"/>
                      <w:sz w:val="20"/>
                      <w:szCs w:val="18"/>
                      <w:vertAlign w:val="superscript"/>
                    </w:rPr>
                    <w:t>st</w:t>
                  </w:r>
                  <w:r w:rsidRPr="00DF2B0D">
                    <w:rPr>
                      <w:rFonts w:asciiTheme="minorHAnsi" w:eastAsia="Times New Roman" w:hAnsiTheme="minorHAnsi" w:cs="Times New Roman"/>
                      <w:color w:val="000000"/>
                      <w:sz w:val="20"/>
                      <w:szCs w:val="18"/>
                    </w:rPr>
                    <w:t xml:space="preserve"> order (all/observed)</w:t>
                  </w:r>
                </w:p>
              </w:tc>
              <w:tc>
                <w:tcPr>
                  <w:tcW w:w="4182" w:type="dxa"/>
                  <w:gridSpan w:val="3"/>
                  <w:shd w:val="clear" w:color="auto" w:fill="auto"/>
                  <w:noWrap/>
                  <w:vAlign w:val="center"/>
                </w:tcPr>
                <w:p w14:paraId="3CAF72D4"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20"/>
                      <w:szCs w:val="18"/>
                    </w:rPr>
                  </w:pPr>
                  <w:r w:rsidRPr="00DF2B0D">
                    <w:rPr>
                      <w:rFonts w:asciiTheme="minorHAnsi" w:eastAsia="Times New Roman" w:hAnsiTheme="minorHAnsi" w:cs="Times New Roman"/>
                      <w:color w:val="000000"/>
                      <w:sz w:val="20"/>
                      <w:szCs w:val="18"/>
                    </w:rPr>
                    <w:t>1045/639</w:t>
                  </w:r>
                </w:p>
              </w:tc>
            </w:tr>
            <w:tr w:rsidR="00C75BFC" w:rsidRPr="00DF2B0D" w14:paraId="177C9D01" w14:textId="77777777" w:rsidTr="009759B3">
              <w:trPr>
                <w:trHeight w:val="290"/>
                <w:jc w:val="center"/>
              </w:trPr>
              <w:tc>
                <w:tcPr>
                  <w:tcW w:w="3593" w:type="dxa"/>
                  <w:shd w:val="clear" w:color="auto" w:fill="auto"/>
                  <w:noWrap/>
                  <w:vAlign w:val="center"/>
                </w:tcPr>
                <w:p w14:paraId="52D3217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R, R</w:t>
                  </w:r>
                  <w:r w:rsidRPr="00DF2B0D">
                    <w:rPr>
                      <w:rFonts w:asciiTheme="minorHAnsi" w:eastAsia="Times New Roman" w:hAnsiTheme="minorHAnsi" w:cs="Times New Roman"/>
                      <w:i/>
                      <w:color w:val="000000"/>
                      <w:sz w:val="20"/>
                      <w:szCs w:val="18"/>
                      <w:vertAlign w:val="subscript"/>
                    </w:rPr>
                    <w:t xml:space="preserve">w </w:t>
                  </w:r>
                  <w:r w:rsidRPr="00DF2B0D">
                    <w:rPr>
                      <w:rFonts w:asciiTheme="minorHAnsi" w:eastAsia="Times New Roman" w:hAnsiTheme="minorHAnsi" w:cs="Times New Roman"/>
                      <w:color w:val="000000"/>
                      <w:sz w:val="20"/>
                      <w:szCs w:val="18"/>
                    </w:rPr>
                    <w:t>for Bragg reflections (</w:t>
                  </w:r>
                  <w:r w:rsidRPr="00DF2B0D">
                    <w:rPr>
                      <w:rFonts w:asciiTheme="minorHAnsi" w:eastAsia="Times New Roman" w:hAnsiTheme="minorHAnsi" w:cs="Times New Roman"/>
                      <w:i/>
                      <w:color w:val="000000"/>
                      <w:sz w:val="20"/>
                      <w:szCs w:val="18"/>
                    </w:rPr>
                    <w:t>R</w:t>
                  </w:r>
                  <w:r w:rsidRPr="00DF2B0D">
                    <w:rPr>
                      <w:rFonts w:asciiTheme="minorHAnsi" w:eastAsia="Times New Roman" w:hAnsiTheme="minorHAnsi" w:cs="Times New Roman"/>
                      <w:i/>
                      <w:color w:val="000000"/>
                      <w:sz w:val="20"/>
                      <w:szCs w:val="18"/>
                      <w:vertAlign w:val="subscript"/>
                    </w:rPr>
                    <w:t>all</w:t>
                  </w:r>
                  <w:r w:rsidRPr="00DF2B0D">
                    <w:rPr>
                      <w:rFonts w:asciiTheme="minorHAnsi" w:eastAsia="Times New Roman" w:hAnsiTheme="minorHAnsi" w:cs="Times New Roman"/>
                      <w:color w:val="000000"/>
                      <w:sz w:val="20"/>
                      <w:szCs w:val="18"/>
                    </w:rPr>
                    <w:t>)</w:t>
                  </w:r>
                </w:p>
              </w:tc>
              <w:tc>
                <w:tcPr>
                  <w:tcW w:w="4182" w:type="dxa"/>
                  <w:gridSpan w:val="3"/>
                  <w:shd w:val="clear" w:color="auto" w:fill="auto"/>
                  <w:noWrap/>
                  <w:vAlign w:val="center"/>
                </w:tcPr>
                <w:p w14:paraId="08B80AA2"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20"/>
                      <w:szCs w:val="18"/>
                    </w:rPr>
                  </w:pPr>
                  <w:r w:rsidRPr="00DF2B0D">
                    <w:rPr>
                      <w:rFonts w:asciiTheme="minorHAnsi" w:eastAsia="Times New Roman" w:hAnsiTheme="minorHAnsi" w:cs="Times New Roman"/>
                      <w:color w:val="000000"/>
                      <w:sz w:val="20"/>
                      <w:szCs w:val="18"/>
                    </w:rPr>
                    <w:t>7.2%, 5.9%</w:t>
                  </w:r>
                </w:p>
              </w:tc>
            </w:tr>
            <w:tr w:rsidR="00C75BFC" w:rsidRPr="00DF2B0D" w14:paraId="0CA8BB12" w14:textId="77777777" w:rsidTr="009759B3">
              <w:trPr>
                <w:trHeight w:val="290"/>
                <w:jc w:val="center"/>
              </w:trPr>
              <w:tc>
                <w:tcPr>
                  <w:tcW w:w="3593" w:type="dxa"/>
                  <w:shd w:val="clear" w:color="auto" w:fill="auto"/>
                  <w:noWrap/>
                  <w:vAlign w:val="center"/>
                </w:tcPr>
                <w:p w14:paraId="229FF307"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among them,</w:t>
                  </w:r>
                </w:p>
              </w:tc>
              <w:tc>
                <w:tcPr>
                  <w:tcW w:w="4182" w:type="dxa"/>
                  <w:gridSpan w:val="3"/>
                  <w:shd w:val="clear" w:color="auto" w:fill="auto"/>
                  <w:noWrap/>
                  <w:vAlign w:val="center"/>
                </w:tcPr>
                <w:p w14:paraId="6D3B07D7"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20"/>
                      <w:szCs w:val="18"/>
                    </w:rPr>
                  </w:pPr>
                </w:p>
              </w:tc>
            </w:tr>
            <w:tr w:rsidR="00C75BFC" w:rsidRPr="00DF2B0D" w14:paraId="1FA7B7BB" w14:textId="77777777" w:rsidTr="009759B3">
              <w:trPr>
                <w:trHeight w:val="290"/>
                <w:jc w:val="center"/>
              </w:trPr>
              <w:tc>
                <w:tcPr>
                  <w:tcW w:w="3593" w:type="dxa"/>
                  <w:shd w:val="clear" w:color="auto" w:fill="auto"/>
                  <w:noWrap/>
                  <w:vAlign w:val="center"/>
                </w:tcPr>
                <w:p w14:paraId="401D4DAC"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 xml:space="preserve">     Main Reflections (</w:t>
                  </w:r>
                  <w:r w:rsidRPr="00DF2B0D">
                    <w:rPr>
                      <w:rFonts w:asciiTheme="minorHAnsi" w:eastAsia="Times New Roman" w:hAnsiTheme="minorHAnsi" w:cs="Times New Roman"/>
                      <w:i/>
                      <w:color w:val="000000"/>
                      <w:sz w:val="20"/>
                      <w:szCs w:val="18"/>
                    </w:rPr>
                    <w:t>R, R</w:t>
                  </w:r>
                  <w:r w:rsidRPr="00DF2B0D">
                    <w:rPr>
                      <w:rFonts w:asciiTheme="minorHAnsi" w:eastAsia="Times New Roman" w:hAnsiTheme="minorHAnsi" w:cs="Times New Roman"/>
                      <w:i/>
                      <w:color w:val="000000"/>
                      <w:sz w:val="20"/>
                      <w:szCs w:val="18"/>
                      <w:vertAlign w:val="subscript"/>
                    </w:rPr>
                    <w:t>w</w:t>
                  </w:r>
                  <w:r w:rsidRPr="00DF2B0D">
                    <w:rPr>
                      <w:rFonts w:asciiTheme="minorHAnsi" w:eastAsia="Times New Roman" w:hAnsiTheme="minorHAnsi" w:cs="Times New Roman"/>
                      <w:color w:val="000000"/>
                      <w:sz w:val="20"/>
                      <w:szCs w:val="18"/>
                    </w:rPr>
                    <w:t>)</w:t>
                  </w:r>
                </w:p>
              </w:tc>
              <w:tc>
                <w:tcPr>
                  <w:tcW w:w="4182" w:type="dxa"/>
                  <w:gridSpan w:val="3"/>
                  <w:shd w:val="clear" w:color="auto" w:fill="auto"/>
                  <w:noWrap/>
                  <w:vAlign w:val="center"/>
                </w:tcPr>
                <w:p w14:paraId="3F3998CD"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3.7%, 4.1%</w:t>
                  </w:r>
                </w:p>
              </w:tc>
            </w:tr>
            <w:tr w:rsidR="00C75BFC" w:rsidRPr="00DF2B0D" w14:paraId="5884FCE0" w14:textId="77777777" w:rsidTr="009759B3">
              <w:trPr>
                <w:trHeight w:val="290"/>
                <w:jc w:val="center"/>
              </w:trPr>
              <w:tc>
                <w:tcPr>
                  <w:tcW w:w="3593" w:type="dxa"/>
                  <w:shd w:val="clear" w:color="auto" w:fill="auto"/>
                  <w:noWrap/>
                  <w:vAlign w:val="center"/>
                </w:tcPr>
                <w:p w14:paraId="004050D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 xml:space="preserve">     </w:t>
                  </w:r>
                  <w:r w:rsidRPr="00DF2B0D">
                    <w:rPr>
                      <w:rFonts w:asciiTheme="minorHAnsi" w:eastAsia="Times New Roman" w:hAnsiTheme="minorHAnsi" w:cs="Times New Roman"/>
                      <w:b/>
                      <w:i/>
                      <w:color w:val="000000"/>
                      <w:sz w:val="20"/>
                      <w:szCs w:val="18"/>
                    </w:rPr>
                    <w:t>q</w:t>
                  </w:r>
                  <w:r w:rsidRPr="00DF2B0D">
                    <w:rPr>
                      <w:rFonts w:asciiTheme="minorHAnsi" w:eastAsia="Times New Roman" w:hAnsiTheme="minorHAnsi" w:cs="Times New Roman"/>
                      <w:b/>
                      <w:i/>
                      <w:color w:val="000000"/>
                      <w:sz w:val="20"/>
                      <w:szCs w:val="18"/>
                      <w:vertAlign w:val="subscript"/>
                    </w:rPr>
                    <w:t>1</w:t>
                  </w:r>
                  <w:r w:rsidRPr="00DF2B0D">
                    <w:rPr>
                      <w:rFonts w:asciiTheme="minorHAnsi" w:eastAsia="Times New Roman" w:hAnsiTheme="minorHAnsi" w:cs="Times New Roman"/>
                      <w:color w:val="000000"/>
                      <w:sz w:val="20"/>
                      <w:szCs w:val="18"/>
                    </w:rPr>
                    <w:t xml:space="preserve"> 1</w:t>
                  </w:r>
                  <w:r w:rsidRPr="00DF2B0D">
                    <w:rPr>
                      <w:rFonts w:asciiTheme="minorHAnsi" w:eastAsia="Times New Roman" w:hAnsiTheme="minorHAnsi" w:cs="Times New Roman"/>
                      <w:color w:val="000000"/>
                      <w:sz w:val="20"/>
                      <w:szCs w:val="18"/>
                      <w:vertAlign w:val="superscript"/>
                    </w:rPr>
                    <w:t>st</w:t>
                  </w:r>
                  <w:r w:rsidRPr="00DF2B0D">
                    <w:rPr>
                      <w:rFonts w:asciiTheme="minorHAnsi" w:eastAsia="Times New Roman" w:hAnsiTheme="minorHAnsi" w:cs="Times New Roman"/>
                      <w:color w:val="000000"/>
                      <w:sz w:val="20"/>
                      <w:szCs w:val="18"/>
                    </w:rPr>
                    <w:t xml:space="preserve"> order (</w:t>
                  </w:r>
                  <w:r w:rsidRPr="00DF2B0D">
                    <w:rPr>
                      <w:rFonts w:asciiTheme="minorHAnsi" w:eastAsia="Times New Roman" w:hAnsiTheme="minorHAnsi" w:cs="Times New Roman"/>
                      <w:i/>
                      <w:color w:val="000000"/>
                      <w:sz w:val="20"/>
                      <w:szCs w:val="18"/>
                    </w:rPr>
                    <w:t>R, R</w:t>
                  </w:r>
                  <w:r w:rsidRPr="00DF2B0D">
                    <w:rPr>
                      <w:rFonts w:asciiTheme="minorHAnsi" w:eastAsia="Times New Roman" w:hAnsiTheme="minorHAnsi" w:cs="Times New Roman"/>
                      <w:i/>
                      <w:color w:val="000000"/>
                      <w:sz w:val="20"/>
                      <w:szCs w:val="18"/>
                      <w:vertAlign w:val="subscript"/>
                    </w:rPr>
                    <w:t>w</w:t>
                  </w:r>
                  <w:r w:rsidRPr="00DF2B0D">
                    <w:rPr>
                      <w:rFonts w:asciiTheme="minorHAnsi" w:eastAsia="Times New Roman" w:hAnsiTheme="minorHAnsi" w:cs="Times New Roman"/>
                      <w:color w:val="000000"/>
                      <w:sz w:val="20"/>
                      <w:szCs w:val="18"/>
                    </w:rPr>
                    <w:t>)</w:t>
                  </w:r>
                </w:p>
              </w:tc>
              <w:tc>
                <w:tcPr>
                  <w:tcW w:w="4182" w:type="dxa"/>
                  <w:gridSpan w:val="3"/>
                  <w:shd w:val="clear" w:color="auto" w:fill="auto"/>
                  <w:noWrap/>
                  <w:vAlign w:val="center"/>
                </w:tcPr>
                <w:p w14:paraId="3E68E0CD"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12.3%, 6.5%</w:t>
                  </w:r>
                </w:p>
              </w:tc>
            </w:tr>
            <w:tr w:rsidR="00C75BFC" w:rsidRPr="00DF2B0D" w14:paraId="6BDC0EC2" w14:textId="77777777" w:rsidTr="009759B3">
              <w:trPr>
                <w:trHeight w:val="290"/>
                <w:jc w:val="center"/>
              </w:trPr>
              <w:tc>
                <w:tcPr>
                  <w:tcW w:w="3593" w:type="dxa"/>
                  <w:shd w:val="clear" w:color="auto" w:fill="auto"/>
                  <w:noWrap/>
                  <w:vAlign w:val="center"/>
                </w:tcPr>
                <w:p w14:paraId="00E614E4"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 xml:space="preserve">     </w:t>
                  </w:r>
                  <w:r w:rsidRPr="00DF2B0D">
                    <w:rPr>
                      <w:rFonts w:asciiTheme="minorHAnsi" w:eastAsia="Times New Roman" w:hAnsiTheme="minorHAnsi" w:cs="Times New Roman"/>
                      <w:b/>
                      <w:i/>
                      <w:color w:val="000000"/>
                      <w:sz w:val="20"/>
                      <w:szCs w:val="18"/>
                    </w:rPr>
                    <w:t>q</w:t>
                  </w:r>
                  <w:r w:rsidRPr="00DF2B0D">
                    <w:rPr>
                      <w:rFonts w:asciiTheme="minorHAnsi" w:eastAsia="Times New Roman" w:hAnsiTheme="minorHAnsi" w:cs="Times New Roman"/>
                      <w:b/>
                      <w:i/>
                      <w:color w:val="000000"/>
                      <w:sz w:val="20"/>
                      <w:szCs w:val="18"/>
                      <w:vertAlign w:val="subscript"/>
                    </w:rPr>
                    <w:t>2</w:t>
                  </w:r>
                  <w:r w:rsidRPr="00DF2B0D">
                    <w:rPr>
                      <w:rFonts w:asciiTheme="minorHAnsi" w:eastAsia="Times New Roman" w:hAnsiTheme="minorHAnsi" w:cs="Times New Roman"/>
                      <w:color w:val="000000"/>
                      <w:sz w:val="20"/>
                      <w:szCs w:val="18"/>
                    </w:rPr>
                    <w:t xml:space="preserve"> 1</w:t>
                  </w:r>
                  <w:r w:rsidRPr="00DF2B0D">
                    <w:rPr>
                      <w:rFonts w:asciiTheme="minorHAnsi" w:eastAsia="Times New Roman" w:hAnsiTheme="minorHAnsi" w:cs="Times New Roman"/>
                      <w:color w:val="000000"/>
                      <w:sz w:val="20"/>
                      <w:szCs w:val="18"/>
                      <w:vertAlign w:val="superscript"/>
                    </w:rPr>
                    <w:t>st</w:t>
                  </w:r>
                  <w:r w:rsidRPr="00DF2B0D">
                    <w:rPr>
                      <w:rFonts w:asciiTheme="minorHAnsi" w:eastAsia="Times New Roman" w:hAnsiTheme="minorHAnsi" w:cs="Times New Roman"/>
                      <w:color w:val="000000"/>
                      <w:sz w:val="20"/>
                      <w:szCs w:val="18"/>
                    </w:rPr>
                    <w:t xml:space="preserve"> order (</w:t>
                  </w:r>
                  <w:r w:rsidRPr="00DF2B0D">
                    <w:rPr>
                      <w:rFonts w:asciiTheme="minorHAnsi" w:eastAsia="Times New Roman" w:hAnsiTheme="minorHAnsi" w:cs="Times New Roman"/>
                      <w:i/>
                      <w:color w:val="000000"/>
                      <w:sz w:val="20"/>
                      <w:szCs w:val="18"/>
                    </w:rPr>
                    <w:t>R, R</w:t>
                  </w:r>
                  <w:r w:rsidRPr="00DF2B0D">
                    <w:rPr>
                      <w:rFonts w:asciiTheme="minorHAnsi" w:eastAsia="Times New Roman" w:hAnsiTheme="minorHAnsi" w:cs="Times New Roman"/>
                      <w:i/>
                      <w:color w:val="000000"/>
                      <w:sz w:val="20"/>
                      <w:szCs w:val="18"/>
                      <w:vertAlign w:val="subscript"/>
                    </w:rPr>
                    <w:t>w</w:t>
                  </w:r>
                  <w:r w:rsidRPr="00DF2B0D">
                    <w:rPr>
                      <w:rFonts w:asciiTheme="minorHAnsi" w:eastAsia="Times New Roman" w:hAnsiTheme="minorHAnsi" w:cs="Times New Roman"/>
                      <w:color w:val="000000"/>
                      <w:sz w:val="20"/>
                      <w:szCs w:val="18"/>
                    </w:rPr>
                    <w:t>)</w:t>
                  </w:r>
                </w:p>
              </w:tc>
              <w:tc>
                <w:tcPr>
                  <w:tcW w:w="4182" w:type="dxa"/>
                  <w:gridSpan w:val="3"/>
                  <w:shd w:val="clear" w:color="auto" w:fill="auto"/>
                  <w:noWrap/>
                  <w:vAlign w:val="center"/>
                </w:tcPr>
                <w:p w14:paraId="15BC1771"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11.7%, 6.6%</w:t>
                  </w:r>
                </w:p>
              </w:tc>
            </w:tr>
            <w:tr w:rsidR="00C75BFC" w:rsidRPr="00DF2B0D" w14:paraId="2F99A41A" w14:textId="77777777" w:rsidTr="009759B3">
              <w:trPr>
                <w:trHeight w:val="290"/>
                <w:jc w:val="center"/>
              </w:trPr>
              <w:tc>
                <w:tcPr>
                  <w:tcW w:w="3593" w:type="dxa"/>
                  <w:shd w:val="clear" w:color="auto" w:fill="auto"/>
                  <w:noWrap/>
                  <w:vAlign w:val="center"/>
                </w:tcPr>
                <w:p w14:paraId="742F237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i/>
                      <w:color w:val="000000"/>
                      <w:sz w:val="20"/>
                      <w:szCs w:val="18"/>
                    </w:rPr>
                    <w:t>R</w:t>
                  </w:r>
                  <w:r w:rsidRPr="00DF2B0D">
                    <w:rPr>
                      <w:rFonts w:asciiTheme="minorHAnsi" w:eastAsia="Times New Roman" w:hAnsiTheme="minorHAnsi" w:cs="Times New Roman"/>
                      <w:i/>
                      <w:color w:val="000000"/>
                      <w:sz w:val="20"/>
                      <w:szCs w:val="18"/>
                      <w:vertAlign w:val="subscript"/>
                    </w:rPr>
                    <w:t>p</w:t>
                  </w:r>
                  <w:r w:rsidRPr="00DF2B0D">
                    <w:rPr>
                      <w:rFonts w:asciiTheme="minorHAnsi" w:eastAsia="Times New Roman" w:hAnsiTheme="minorHAnsi" w:cs="Times New Roman"/>
                      <w:color w:val="000000"/>
                      <w:sz w:val="20"/>
                      <w:szCs w:val="18"/>
                    </w:rPr>
                    <w:t>,</w:t>
                  </w:r>
                  <w:r w:rsidRPr="00DF2B0D">
                    <w:rPr>
                      <w:rFonts w:asciiTheme="minorHAnsi" w:eastAsia="Times New Roman" w:hAnsiTheme="minorHAnsi" w:cs="Times New Roman"/>
                      <w:i/>
                      <w:color w:val="000000"/>
                      <w:sz w:val="20"/>
                      <w:szCs w:val="18"/>
                      <w:vertAlign w:val="subscript"/>
                    </w:rPr>
                    <w:t xml:space="preserve"> </w:t>
                  </w:r>
                  <w:r w:rsidRPr="00DF2B0D">
                    <w:rPr>
                      <w:rFonts w:asciiTheme="minorHAnsi" w:eastAsia="Times New Roman" w:hAnsiTheme="minorHAnsi" w:cs="Times New Roman"/>
                      <w:i/>
                      <w:color w:val="000000"/>
                      <w:sz w:val="20"/>
                      <w:szCs w:val="18"/>
                    </w:rPr>
                    <w:t>R</w:t>
                  </w:r>
                  <w:r w:rsidRPr="00DF2B0D">
                    <w:rPr>
                      <w:rFonts w:asciiTheme="minorHAnsi" w:eastAsia="Times New Roman" w:hAnsiTheme="minorHAnsi" w:cs="Times New Roman"/>
                      <w:i/>
                      <w:color w:val="000000"/>
                      <w:sz w:val="20"/>
                      <w:szCs w:val="18"/>
                      <w:vertAlign w:val="subscript"/>
                    </w:rPr>
                    <w:t>wp</w:t>
                  </w:r>
                </w:p>
              </w:tc>
              <w:tc>
                <w:tcPr>
                  <w:tcW w:w="4182" w:type="dxa"/>
                  <w:gridSpan w:val="3"/>
                  <w:shd w:val="clear" w:color="auto" w:fill="auto"/>
                  <w:noWrap/>
                  <w:vAlign w:val="center"/>
                </w:tcPr>
                <w:p w14:paraId="4F70A5E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20"/>
                      <w:szCs w:val="18"/>
                    </w:rPr>
                  </w:pPr>
                  <w:r w:rsidRPr="00DF2B0D">
                    <w:rPr>
                      <w:rFonts w:asciiTheme="minorHAnsi" w:eastAsia="Times New Roman" w:hAnsiTheme="minorHAnsi" w:cs="Times New Roman"/>
                      <w:color w:val="000000"/>
                      <w:sz w:val="20"/>
                      <w:szCs w:val="18"/>
                    </w:rPr>
                    <w:t>2.2%, 2.3%</w:t>
                  </w:r>
                </w:p>
              </w:tc>
            </w:tr>
          </w:tbl>
          <w:p w14:paraId="343945B9" w14:textId="77777777" w:rsidR="00C75BFC" w:rsidRPr="00DF2B0D" w:rsidRDefault="00C75BFC" w:rsidP="009759B3">
            <w:pPr>
              <w:spacing w:before="0" w:after="0" w:line="240" w:lineRule="auto"/>
              <w:jc w:val="left"/>
              <w:rPr>
                <w:rFonts w:ascii="Calibri" w:eastAsia="Times New Roman" w:hAnsi="Calibri" w:cs="Times New Roman"/>
                <w:color w:val="000000"/>
                <w:sz w:val="22"/>
              </w:rPr>
            </w:pPr>
          </w:p>
        </w:tc>
      </w:tr>
    </w:tbl>
    <w:p w14:paraId="39438A97" w14:textId="651B9405" w:rsidR="00D47475" w:rsidRDefault="001677FD">
      <w:r w:rsidRPr="00DF2B0D">
        <w:lastRenderedPageBreak/>
        <w:t xml:space="preserve">To refine the modulated phase, the </w:t>
      </w:r>
      <w:r w:rsidRPr="00DF2B0D">
        <w:rPr>
          <w:i/>
        </w:rPr>
        <w:t>q</w:t>
      </w:r>
      <w:r w:rsidRPr="00DF2B0D">
        <w:t xml:space="preserve"> </w:t>
      </w:r>
      <w:r w:rsidR="007B1A65" w:rsidRPr="00DF2B0D">
        <w:t xml:space="preserve">modulation </w:t>
      </w:r>
      <w:r w:rsidRPr="00DF2B0D">
        <w:t>vectors and the Fourier magnitudes of the low temperature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t xml:space="preserve"> structure </w:t>
      </w:r>
      <w:r w:rsidR="00B001F3" w:rsidRPr="00DF2B0D">
        <w:t>w</w:t>
      </w:r>
      <w:r w:rsidR="00B001F3">
        <w:t>as</w:t>
      </w:r>
      <w:r w:rsidR="00B001F3" w:rsidRPr="00DF2B0D">
        <w:t xml:space="preserve"> </w:t>
      </w:r>
      <w:r w:rsidRPr="00DF2B0D">
        <w:t xml:space="preserve">used as the input for the subsequent refinement. Only first order modulation waves were refined as </w:t>
      </w:r>
      <w:r w:rsidR="007A4775" w:rsidRPr="00DF2B0D">
        <w:t>most</w:t>
      </w:r>
      <w:r w:rsidRPr="00DF2B0D">
        <w:t xml:space="preserve"> higher order reflections had intensity lower than the 3</w:t>
      </w:r>
      <w:r w:rsidRPr="00DF2B0D">
        <w:rPr>
          <w:rFonts w:cs="Times New Roman"/>
        </w:rPr>
        <w:t>σ</w:t>
      </w:r>
      <w:r w:rsidRPr="00DF2B0D">
        <w:t xml:space="preserve"> detection limit. Nb and W were set to have identical fractional coordinates, ADP and displacive modulation amplitude </w:t>
      </w:r>
      <w:r w:rsidR="007B1A65" w:rsidRPr="00DF2B0D">
        <w:t>were refined based on the site and geometry constrain</w:t>
      </w:r>
      <w:r w:rsidR="00D25286" w:rsidRPr="00DF2B0D">
        <w:t>t</w:t>
      </w:r>
      <w:r w:rsidR="007B1A65" w:rsidRPr="00DF2B0D">
        <w:t>s</w:t>
      </w:r>
      <w:r w:rsidRPr="00DF2B0D">
        <w:t xml:space="preserve">. The magnitude of the modulation waves was initially fixed at 0.2, which was later released during the final stage of the refinement. </w:t>
      </w:r>
      <w:r w:rsidR="00E576B5" w:rsidRPr="00DF2B0D">
        <w:t>T</w:t>
      </w:r>
      <w:r w:rsidRPr="00DF2B0D">
        <w:t xml:space="preserve">he 748 observed peaks allowed the refinement of 33 independent parameters, including the anisotropic displacement parameters. The refinement finally converged with </w:t>
      </w:r>
      <w:r w:rsidRPr="00DF2B0D">
        <w:rPr>
          <w:i/>
        </w:rPr>
        <w:t>R</w:t>
      </w:r>
      <w:r w:rsidRPr="00DF2B0D">
        <w:rPr>
          <w:i/>
          <w:vertAlign w:val="subscript"/>
        </w:rPr>
        <w:t>p</w:t>
      </w:r>
      <w:r w:rsidRPr="00DF2B0D">
        <w:t xml:space="preserve"> = 0.022 and </w:t>
      </w:r>
      <w:r w:rsidRPr="00DF2B0D">
        <w:rPr>
          <w:i/>
        </w:rPr>
        <w:t>R</w:t>
      </w:r>
      <w:r w:rsidRPr="00DF2B0D">
        <w:rPr>
          <w:i/>
          <w:vertAlign w:val="subscript"/>
        </w:rPr>
        <w:t>wp</w:t>
      </w:r>
      <w:r w:rsidRPr="00DF2B0D">
        <w:t xml:space="preserve"> = 0.023. The refined pattern is shown in </w:t>
      </w:r>
      <w:r w:rsidR="007A4775">
        <w:fldChar w:fldCharType="begin"/>
      </w:r>
      <w:r w:rsidR="007A4775">
        <w:instrText xml:space="preserve"> REF _Ref15917926 \h </w:instrText>
      </w:r>
      <w:r w:rsidR="007A4775">
        <w:fldChar w:fldCharType="separate"/>
      </w:r>
      <w:r w:rsidR="00564E5A">
        <w:t xml:space="preserve">Figure </w:t>
      </w:r>
      <w:r w:rsidR="00564E5A">
        <w:rPr>
          <w:noProof/>
        </w:rPr>
        <w:t>5</w:t>
      </w:r>
      <w:r w:rsidR="007A4775">
        <w:fldChar w:fldCharType="end"/>
      </w:r>
      <w:r w:rsidRPr="00DF2B0D">
        <w:t xml:space="preserve">, and the experimental </w:t>
      </w:r>
      <w:r w:rsidR="00035F96" w:rsidRPr="00DF2B0D">
        <w:t>parameters</w:t>
      </w:r>
      <w:r w:rsidRPr="00DF2B0D">
        <w:t>, the refined</w:t>
      </w:r>
      <w:r w:rsidR="00035F96" w:rsidRPr="00DF2B0D">
        <w:t xml:space="preserve"> atomic positions and </w:t>
      </w:r>
      <w:r w:rsidRPr="00DF2B0D">
        <w:t xml:space="preserve">the </w:t>
      </w:r>
      <w:r w:rsidR="00447DD0" w:rsidRPr="00DF2B0D">
        <w:t>modulati</w:t>
      </w:r>
      <w:r w:rsidR="00D25286" w:rsidRPr="00DF2B0D">
        <w:t>on</w:t>
      </w:r>
      <w:r w:rsidR="00447DD0" w:rsidRPr="00DF2B0D">
        <w:t xml:space="preserve"> magnitude </w:t>
      </w:r>
      <w:r w:rsidRPr="00DF2B0D">
        <w:t xml:space="preserve">are summarized in </w:t>
      </w:r>
      <w:r w:rsidR="002D3C9F" w:rsidRPr="00DF2B0D">
        <w:t>Table</w:t>
      </w:r>
      <w:r w:rsidR="00B559E0" w:rsidRPr="00DF2B0D">
        <w:t xml:space="preserve">s </w:t>
      </w:r>
      <w:r w:rsidR="00197CA6">
        <w:t>2</w:t>
      </w:r>
      <w:r w:rsidR="00B559E0" w:rsidRPr="00DF2B0D">
        <w:t>-</w:t>
      </w:r>
      <w:r w:rsidR="00F07432">
        <w:t>4</w:t>
      </w:r>
      <w:r w:rsidR="002D3C9F" w:rsidRPr="00DF2B0D">
        <w:t xml:space="preserve"> </w:t>
      </w:r>
      <w:r w:rsidRPr="00DF2B0D">
        <w:t xml:space="preserve">respectively. </w:t>
      </w:r>
      <w:bookmarkStart w:id="23" w:name="_Ref501845365"/>
    </w:p>
    <w:p w14:paraId="7E1E5264" w14:textId="77777777" w:rsidR="000D14CE" w:rsidRDefault="000D14CE"/>
    <w:tbl>
      <w:tblPr>
        <w:tblW w:w="9149" w:type="dxa"/>
        <w:tblInd w:w="93" w:type="dxa"/>
        <w:tblLayout w:type="fixed"/>
        <w:tblLook w:val="04A0" w:firstRow="1" w:lastRow="0" w:firstColumn="1" w:lastColumn="0" w:noHBand="0" w:noVBand="1"/>
      </w:tblPr>
      <w:tblGrid>
        <w:gridCol w:w="9149"/>
      </w:tblGrid>
      <w:tr w:rsidR="00C75BFC" w:rsidRPr="00DF2B0D" w14:paraId="7344286B" w14:textId="77777777" w:rsidTr="009759B3">
        <w:trPr>
          <w:trHeight w:val="300"/>
        </w:trPr>
        <w:tc>
          <w:tcPr>
            <w:tcW w:w="9149" w:type="dxa"/>
            <w:tcBorders>
              <w:top w:val="nil"/>
              <w:left w:val="nil"/>
              <w:bottom w:val="nil"/>
              <w:right w:val="nil"/>
            </w:tcBorders>
            <w:shd w:val="clear" w:color="auto" w:fill="auto"/>
            <w:noWrap/>
            <w:vAlign w:val="bottom"/>
          </w:tcPr>
          <w:p w14:paraId="12C97C92" w14:textId="3E75D60D" w:rsidR="00C75BFC" w:rsidRPr="00DF2B0D" w:rsidRDefault="00B35992" w:rsidP="009759B3">
            <w:pPr>
              <w:pStyle w:val="Caption"/>
            </w:pPr>
            <w:bookmarkStart w:id="24" w:name="_Ref15922715"/>
            <w:bookmarkEnd w:id="23"/>
            <w:r>
              <w:t xml:space="preserve">Table </w:t>
            </w:r>
            <w:r w:rsidR="0019656C">
              <w:fldChar w:fldCharType="begin"/>
            </w:r>
            <w:r w:rsidR="0019656C">
              <w:instrText xml:space="preserve"> SEQ Table \* ARABIC </w:instrText>
            </w:r>
            <w:r w:rsidR="0019656C">
              <w:fldChar w:fldCharType="separate"/>
            </w:r>
            <w:r w:rsidR="00564E5A">
              <w:rPr>
                <w:noProof/>
              </w:rPr>
              <w:t>3</w:t>
            </w:r>
            <w:r w:rsidR="0019656C">
              <w:rPr>
                <w:noProof/>
              </w:rPr>
              <w:fldChar w:fldCharType="end"/>
            </w:r>
            <w:bookmarkEnd w:id="24"/>
            <w:r>
              <w:t xml:space="preserve">: </w:t>
            </w:r>
            <w:r w:rsidR="00C75BFC" w:rsidRPr="00DF2B0D">
              <w:t xml:space="preserve">Summary of the refined atomic parameters of the average structure reported in </w:t>
            </w:r>
            <w:r w:rsidR="007A4775">
              <w:fldChar w:fldCharType="begin"/>
            </w:r>
            <w:r w:rsidR="007A4775">
              <w:instrText xml:space="preserve"> REF _Ref15917926 \h </w:instrText>
            </w:r>
            <w:r w:rsidR="007A4775">
              <w:fldChar w:fldCharType="separate"/>
            </w:r>
            <w:r w:rsidR="00564E5A">
              <w:t xml:space="preserve">Figure </w:t>
            </w:r>
            <w:r w:rsidR="00564E5A">
              <w:rPr>
                <w:noProof/>
              </w:rPr>
              <w:t>5</w:t>
            </w:r>
            <w:r w:rsidR="007A4775">
              <w:fldChar w:fldCharType="end"/>
            </w:r>
            <w:r w:rsidR="00C75BFC" w:rsidRPr="00DF2B0D">
              <w:t>.</w:t>
            </w:r>
          </w:p>
          <w:tbl>
            <w:tblPr>
              <w:tblW w:w="9219" w:type="dxa"/>
              <w:jc w:val="center"/>
              <w:tblLayout w:type="fixed"/>
              <w:tblCellMar>
                <w:left w:w="0" w:type="dxa"/>
                <w:right w:w="0" w:type="dxa"/>
              </w:tblCellMar>
              <w:tblLook w:val="04A0" w:firstRow="1" w:lastRow="0" w:firstColumn="1" w:lastColumn="0" w:noHBand="0" w:noVBand="1"/>
            </w:tblPr>
            <w:tblGrid>
              <w:gridCol w:w="947"/>
              <w:gridCol w:w="771"/>
              <w:gridCol w:w="702"/>
              <w:gridCol w:w="778"/>
              <w:gridCol w:w="783"/>
              <w:gridCol w:w="874"/>
              <w:gridCol w:w="873"/>
              <w:gridCol w:w="873"/>
              <w:gridCol w:w="872"/>
              <w:gridCol w:w="873"/>
              <w:gridCol w:w="873"/>
            </w:tblGrid>
            <w:tr w:rsidR="00C75BFC" w:rsidRPr="00DF2B0D" w14:paraId="60D8E7D8" w14:textId="77777777" w:rsidTr="009759B3">
              <w:trPr>
                <w:cantSplit/>
                <w:trHeight w:val="343"/>
                <w:jc w:val="center"/>
              </w:trPr>
              <w:tc>
                <w:tcPr>
                  <w:tcW w:w="947" w:type="dxa"/>
                  <w:tcBorders>
                    <w:top w:val="single" w:sz="4" w:space="0" w:color="auto"/>
                    <w:bottom w:val="single" w:sz="4" w:space="0" w:color="auto"/>
                    <w:right w:val="single" w:sz="4" w:space="0" w:color="auto"/>
                  </w:tcBorders>
                  <w:vAlign w:val="center"/>
                  <w:hideMark/>
                </w:tcPr>
                <w:p w14:paraId="56BC9B58"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bookmarkStart w:id="25" w:name="_Ref460273672"/>
                </w:p>
              </w:tc>
              <w:tc>
                <w:tcPr>
                  <w:tcW w:w="771" w:type="dxa"/>
                  <w:tcBorders>
                    <w:top w:val="single" w:sz="4" w:space="0" w:color="auto"/>
                    <w:left w:val="single" w:sz="4" w:space="0" w:color="auto"/>
                    <w:bottom w:val="single" w:sz="4" w:space="0" w:color="auto"/>
                  </w:tcBorders>
                  <w:vAlign w:val="center"/>
                  <w:hideMark/>
                </w:tcPr>
                <w:p w14:paraId="1CA0628D"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Occ.</w:t>
                  </w:r>
                </w:p>
              </w:tc>
              <w:tc>
                <w:tcPr>
                  <w:tcW w:w="702" w:type="dxa"/>
                  <w:tcBorders>
                    <w:top w:val="single" w:sz="4" w:space="0" w:color="auto"/>
                    <w:bottom w:val="single" w:sz="4" w:space="0" w:color="auto"/>
                  </w:tcBorders>
                  <w:shd w:val="clear" w:color="auto" w:fill="auto"/>
                  <w:noWrap/>
                  <w:vAlign w:val="center"/>
                  <w:hideMark/>
                </w:tcPr>
                <w:p w14:paraId="4FF17E0F"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x</w:t>
                  </w:r>
                </w:p>
              </w:tc>
              <w:tc>
                <w:tcPr>
                  <w:tcW w:w="778" w:type="dxa"/>
                  <w:tcBorders>
                    <w:top w:val="single" w:sz="4" w:space="0" w:color="auto"/>
                    <w:bottom w:val="single" w:sz="4" w:space="0" w:color="auto"/>
                  </w:tcBorders>
                  <w:shd w:val="clear" w:color="auto" w:fill="auto"/>
                  <w:noWrap/>
                  <w:vAlign w:val="center"/>
                  <w:hideMark/>
                </w:tcPr>
                <w:p w14:paraId="7E7DE02F"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y</w:t>
                  </w:r>
                </w:p>
              </w:tc>
              <w:tc>
                <w:tcPr>
                  <w:tcW w:w="783" w:type="dxa"/>
                  <w:tcBorders>
                    <w:top w:val="single" w:sz="4" w:space="0" w:color="auto"/>
                    <w:bottom w:val="single" w:sz="4" w:space="0" w:color="auto"/>
                  </w:tcBorders>
                  <w:shd w:val="clear" w:color="auto" w:fill="auto"/>
                  <w:noWrap/>
                  <w:vAlign w:val="center"/>
                  <w:hideMark/>
                </w:tcPr>
                <w:p w14:paraId="3E0E6A01"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z</w:t>
                  </w:r>
                </w:p>
              </w:tc>
              <w:tc>
                <w:tcPr>
                  <w:tcW w:w="874" w:type="dxa"/>
                  <w:tcBorders>
                    <w:top w:val="single" w:sz="4" w:space="0" w:color="auto"/>
                    <w:bottom w:val="single" w:sz="4" w:space="0" w:color="auto"/>
                  </w:tcBorders>
                  <w:shd w:val="clear" w:color="auto" w:fill="auto"/>
                  <w:noWrap/>
                  <w:vAlign w:val="center"/>
                  <w:hideMark/>
                </w:tcPr>
                <w:p w14:paraId="4A0576D0"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11</w:t>
                  </w:r>
                </w:p>
              </w:tc>
              <w:tc>
                <w:tcPr>
                  <w:tcW w:w="873" w:type="dxa"/>
                  <w:tcBorders>
                    <w:top w:val="single" w:sz="4" w:space="0" w:color="auto"/>
                    <w:bottom w:val="single" w:sz="4" w:space="0" w:color="auto"/>
                  </w:tcBorders>
                  <w:shd w:val="clear" w:color="auto" w:fill="auto"/>
                  <w:noWrap/>
                  <w:vAlign w:val="center"/>
                  <w:hideMark/>
                </w:tcPr>
                <w:p w14:paraId="4EABEA38"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22</w:t>
                  </w:r>
                </w:p>
              </w:tc>
              <w:tc>
                <w:tcPr>
                  <w:tcW w:w="873" w:type="dxa"/>
                  <w:tcBorders>
                    <w:top w:val="single" w:sz="4" w:space="0" w:color="auto"/>
                    <w:bottom w:val="single" w:sz="4" w:space="0" w:color="auto"/>
                  </w:tcBorders>
                  <w:shd w:val="clear" w:color="auto" w:fill="auto"/>
                  <w:noWrap/>
                  <w:vAlign w:val="center"/>
                  <w:hideMark/>
                </w:tcPr>
                <w:p w14:paraId="34454C52"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33</w:t>
                  </w:r>
                </w:p>
              </w:tc>
              <w:tc>
                <w:tcPr>
                  <w:tcW w:w="872" w:type="dxa"/>
                  <w:tcBorders>
                    <w:top w:val="single" w:sz="4" w:space="0" w:color="auto"/>
                    <w:bottom w:val="single" w:sz="4" w:space="0" w:color="auto"/>
                  </w:tcBorders>
                  <w:shd w:val="clear" w:color="auto" w:fill="auto"/>
                  <w:noWrap/>
                  <w:vAlign w:val="center"/>
                  <w:hideMark/>
                </w:tcPr>
                <w:p w14:paraId="618DC7CB"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12</w:t>
                  </w:r>
                </w:p>
              </w:tc>
              <w:tc>
                <w:tcPr>
                  <w:tcW w:w="873" w:type="dxa"/>
                  <w:tcBorders>
                    <w:top w:val="single" w:sz="4" w:space="0" w:color="auto"/>
                    <w:bottom w:val="single" w:sz="4" w:space="0" w:color="auto"/>
                  </w:tcBorders>
                  <w:shd w:val="clear" w:color="auto" w:fill="auto"/>
                  <w:noWrap/>
                  <w:vAlign w:val="center"/>
                  <w:hideMark/>
                </w:tcPr>
                <w:p w14:paraId="1736A711"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13</w:t>
                  </w:r>
                </w:p>
              </w:tc>
              <w:tc>
                <w:tcPr>
                  <w:tcW w:w="873" w:type="dxa"/>
                  <w:tcBorders>
                    <w:top w:val="single" w:sz="4" w:space="0" w:color="auto"/>
                    <w:bottom w:val="single" w:sz="4" w:space="0" w:color="auto"/>
                    <w:right w:val="nil"/>
                  </w:tcBorders>
                  <w:shd w:val="clear" w:color="auto" w:fill="auto"/>
                  <w:noWrap/>
                  <w:vAlign w:val="center"/>
                  <w:hideMark/>
                </w:tcPr>
                <w:p w14:paraId="26B3F55E" w14:textId="77777777" w:rsidR="00C75BFC" w:rsidRPr="00DF2B0D" w:rsidRDefault="00C75BFC" w:rsidP="009759B3">
                  <w:pPr>
                    <w:spacing w:before="0" w:after="0" w:line="240" w:lineRule="auto"/>
                    <w:jc w:val="center"/>
                    <w:rPr>
                      <w:rFonts w:asciiTheme="minorHAnsi" w:eastAsia="Times New Roman" w:hAnsiTheme="minorHAnsi" w:cs="Times New Roman"/>
                      <w:i/>
                      <w:color w:val="000000"/>
                      <w:sz w:val="18"/>
                      <w:szCs w:val="18"/>
                    </w:rPr>
                  </w:pPr>
                  <w:r w:rsidRPr="00DF2B0D">
                    <w:rPr>
                      <w:rFonts w:asciiTheme="minorHAnsi" w:eastAsia="Times New Roman" w:hAnsiTheme="minorHAnsi" w:cs="Times New Roman"/>
                      <w:i/>
                      <w:color w:val="000000"/>
                      <w:sz w:val="18"/>
                      <w:szCs w:val="18"/>
                    </w:rPr>
                    <w:t>U</w:t>
                  </w:r>
                  <w:r w:rsidRPr="00DF2B0D">
                    <w:rPr>
                      <w:rFonts w:asciiTheme="minorHAnsi" w:eastAsia="Times New Roman" w:hAnsiTheme="minorHAnsi" w:cs="Times New Roman"/>
                      <w:i/>
                      <w:color w:val="000000"/>
                      <w:sz w:val="18"/>
                      <w:szCs w:val="18"/>
                      <w:vertAlign w:val="subscript"/>
                    </w:rPr>
                    <w:t>23</w:t>
                  </w:r>
                </w:p>
              </w:tc>
            </w:tr>
            <w:tr w:rsidR="00C75BFC" w:rsidRPr="00DF2B0D" w14:paraId="19A6DA86" w14:textId="77777777" w:rsidTr="009759B3">
              <w:trPr>
                <w:cantSplit/>
                <w:trHeight w:val="327"/>
                <w:jc w:val="center"/>
              </w:trPr>
              <w:tc>
                <w:tcPr>
                  <w:tcW w:w="947" w:type="dxa"/>
                  <w:tcBorders>
                    <w:top w:val="single" w:sz="4" w:space="0" w:color="auto"/>
                    <w:left w:val="nil"/>
                    <w:bottom w:val="nil"/>
                    <w:right w:val="single" w:sz="4" w:space="0" w:color="auto"/>
                  </w:tcBorders>
                  <w:shd w:val="clear" w:color="auto" w:fill="auto"/>
                  <w:noWrap/>
                  <w:vAlign w:val="center"/>
                  <w:hideMark/>
                </w:tcPr>
                <w:p w14:paraId="7C433B5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La</w:t>
                  </w:r>
                </w:p>
              </w:tc>
              <w:tc>
                <w:tcPr>
                  <w:tcW w:w="771" w:type="dxa"/>
                  <w:tcBorders>
                    <w:top w:val="single" w:sz="4" w:space="0" w:color="auto"/>
                    <w:left w:val="single" w:sz="4" w:space="0" w:color="auto"/>
                    <w:bottom w:val="nil"/>
                  </w:tcBorders>
                  <w:shd w:val="clear" w:color="auto" w:fill="auto"/>
                  <w:noWrap/>
                  <w:vAlign w:val="center"/>
                  <w:hideMark/>
                </w:tcPr>
                <w:p w14:paraId="3A4915DC" w14:textId="6E0A64FF" w:rsidR="00C75BFC" w:rsidRPr="00DF2B0D" w:rsidRDefault="001E73FE" w:rsidP="009759B3">
                  <w:pPr>
                    <w:spacing w:before="0" w:after="0" w:line="240" w:lineRule="auto"/>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0.997(12)</w:t>
                  </w:r>
                </w:p>
              </w:tc>
              <w:tc>
                <w:tcPr>
                  <w:tcW w:w="702" w:type="dxa"/>
                  <w:tcBorders>
                    <w:top w:val="single" w:sz="4" w:space="0" w:color="auto"/>
                    <w:bottom w:val="nil"/>
                  </w:tcBorders>
                  <w:shd w:val="clear" w:color="auto" w:fill="auto"/>
                  <w:noWrap/>
                  <w:vAlign w:val="center"/>
                  <w:hideMark/>
                </w:tcPr>
                <w:p w14:paraId="20D85FE2"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778" w:type="dxa"/>
                  <w:tcBorders>
                    <w:top w:val="single" w:sz="4" w:space="0" w:color="auto"/>
                    <w:bottom w:val="nil"/>
                  </w:tcBorders>
                  <w:shd w:val="clear" w:color="auto" w:fill="auto"/>
                  <w:noWrap/>
                  <w:vAlign w:val="center"/>
                  <w:hideMark/>
                </w:tcPr>
                <w:p w14:paraId="27E3151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0.25</w:t>
                  </w:r>
                </w:p>
              </w:tc>
              <w:tc>
                <w:tcPr>
                  <w:tcW w:w="783" w:type="dxa"/>
                  <w:tcBorders>
                    <w:top w:val="single" w:sz="4" w:space="0" w:color="auto"/>
                    <w:bottom w:val="nil"/>
                  </w:tcBorders>
                  <w:shd w:val="clear" w:color="auto" w:fill="auto"/>
                  <w:noWrap/>
                  <w:vAlign w:val="center"/>
                  <w:hideMark/>
                </w:tcPr>
                <w:p w14:paraId="4DAD628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0.625</w:t>
                  </w:r>
                </w:p>
              </w:tc>
              <w:tc>
                <w:tcPr>
                  <w:tcW w:w="874" w:type="dxa"/>
                  <w:tcBorders>
                    <w:top w:val="single" w:sz="4" w:space="0" w:color="auto"/>
                    <w:bottom w:val="nil"/>
                  </w:tcBorders>
                  <w:shd w:val="clear" w:color="auto" w:fill="auto"/>
                  <w:noWrap/>
                  <w:vAlign w:val="center"/>
                  <w:hideMark/>
                </w:tcPr>
                <w:p w14:paraId="0FA9DE51"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0.0397(12)</w:t>
                  </w:r>
                </w:p>
              </w:tc>
              <w:tc>
                <w:tcPr>
                  <w:tcW w:w="873" w:type="dxa"/>
                  <w:tcBorders>
                    <w:top w:val="single" w:sz="4" w:space="0" w:color="auto"/>
                    <w:bottom w:val="nil"/>
                  </w:tcBorders>
                  <w:shd w:val="clear" w:color="auto" w:fill="auto"/>
                  <w:noWrap/>
                  <w:vAlign w:val="center"/>
                  <w:hideMark/>
                </w:tcPr>
                <w:p w14:paraId="02C273EA"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0.0397(12)</w:t>
                  </w:r>
                </w:p>
              </w:tc>
              <w:tc>
                <w:tcPr>
                  <w:tcW w:w="873" w:type="dxa"/>
                  <w:tcBorders>
                    <w:top w:val="single" w:sz="4" w:space="0" w:color="auto"/>
                    <w:bottom w:val="nil"/>
                  </w:tcBorders>
                  <w:shd w:val="clear" w:color="auto" w:fill="auto"/>
                  <w:noWrap/>
                  <w:vAlign w:val="center"/>
                  <w:hideMark/>
                </w:tcPr>
                <w:p w14:paraId="78E58B1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0.0176(13)</w:t>
                  </w:r>
                </w:p>
              </w:tc>
              <w:tc>
                <w:tcPr>
                  <w:tcW w:w="872" w:type="dxa"/>
                  <w:tcBorders>
                    <w:top w:val="single" w:sz="4" w:space="0" w:color="auto"/>
                    <w:bottom w:val="nil"/>
                  </w:tcBorders>
                  <w:shd w:val="clear" w:color="auto" w:fill="auto"/>
                  <w:noWrap/>
                  <w:vAlign w:val="center"/>
                  <w:hideMark/>
                </w:tcPr>
                <w:p w14:paraId="1916865F"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873" w:type="dxa"/>
                  <w:tcBorders>
                    <w:top w:val="single" w:sz="4" w:space="0" w:color="auto"/>
                    <w:bottom w:val="nil"/>
                  </w:tcBorders>
                  <w:shd w:val="clear" w:color="auto" w:fill="auto"/>
                  <w:noWrap/>
                  <w:vAlign w:val="center"/>
                  <w:hideMark/>
                </w:tcPr>
                <w:p w14:paraId="102DA2C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873" w:type="dxa"/>
                  <w:tcBorders>
                    <w:top w:val="single" w:sz="4" w:space="0" w:color="auto"/>
                    <w:bottom w:val="nil"/>
                    <w:right w:val="nil"/>
                  </w:tcBorders>
                  <w:shd w:val="clear" w:color="auto" w:fill="auto"/>
                  <w:noWrap/>
                  <w:vAlign w:val="center"/>
                  <w:hideMark/>
                </w:tcPr>
                <w:p w14:paraId="41CABC4E"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r>
            <w:tr w:rsidR="00C75BFC" w:rsidRPr="00DF2B0D" w14:paraId="20C91CA2" w14:textId="77777777" w:rsidTr="009759B3">
              <w:trPr>
                <w:cantSplit/>
                <w:trHeight w:val="327"/>
                <w:jc w:val="center"/>
              </w:trPr>
              <w:tc>
                <w:tcPr>
                  <w:tcW w:w="947" w:type="dxa"/>
                  <w:tcBorders>
                    <w:top w:val="nil"/>
                    <w:left w:val="nil"/>
                    <w:bottom w:val="nil"/>
                    <w:right w:val="single" w:sz="4" w:space="0" w:color="auto"/>
                  </w:tcBorders>
                  <w:shd w:val="clear" w:color="auto" w:fill="auto"/>
                  <w:noWrap/>
                  <w:vAlign w:val="center"/>
                  <w:hideMark/>
                </w:tcPr>
                <w:p w14:paraId="311A0685"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Nb/W</w:t>
                  </w:r>
                </w:p>
              </w:tc>
              <w:tc>
                <w:tcPr>
                  <w:tcW w:w="771" w:type="dxa"/>
                  <w:tcBorders>
                    <w:top w:val="nil"/>
                    <w:left w:val="single" w:sz="4" w:space="0" w:color="auto"/>
                    <w:bottom w:val="nil"/>
                  </w:tcBorders>
                  <w:shd w:val="clear" w:color="auto" w:fill="auto"/>
                  <w:noWrap/>
                  <w:vAlign w:val="center"/>
                  <w:hideMark/>
                </w:tcPr>
                <w:p w14:paraId="4E78ECDD" w14:textId="1FD17B08" w:rsidR="00C75BFC" w:rsidRPr="00DF2B0D" w:rsidRDefault="00216778" w:rsidP="009759B3">
                  <w:pPr>
                    <w:spacing w:before="0" w:after="0" w:line="240" w:lineRule="auto"/>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0.88/0.12</w:t>
                  </w:r>
                </w:p>
              </w:tc>
              <w:tc>
                <w:tcPr>
                  <w:tcW w:w="702" w:type="dxa"/>
                  <w:tcBorders>
                    <w:top w:val="nil"/>
                    <w:bottom w:val="nil"/>
                  </w:tcBorders>
                  <w:shd w:val="clear" w:color="auto" w:fill="auto"/>
                  <w:noWrap/>
                  <w:vAlign w:val="center"/>
                  <w:hideMark/>
                </w:tcPr>
                <w:p w14:paraId="1023BE3E"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778" w:type="dxa"/>
                  <w:tcBorders>
                    <w:top w:val="nil"/>
                    <w:bottom w:val="nil"/>
                  </w:tcBorders>
                  <w:shd w:val="clear" w:color="auto" w:fill="auto"/>
                  <w:noWrap/>
                  <w:vAlign w:val="center"/>
                  <w:hideMark/>
                </w:tcPr>
                <w:p w14:paraId="46460FD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0.25</w:t>
                  </w:r>
                </w:p>
              </w:tc>
              <w:tc>
                <w:tcPr>
                  <w:tcW w:w="783" w:type="dxa"/>
                  <w:tcBorders>
                    <w:top w:val="nil"/>
                    <w:bottom w:val="nil"/>
                  </w:tcBorders>
                  <w:shd w:val="clear" w:color="auto" w:fill="auto"/>
                  <w:noWrap/>
                  <w:vAlign w:val="center"/>
                  <w:hideMark/>
                </w:tcPr>
                <w:p w14:paraId="08DA713E"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0.125</w:t>
                  </w:r>
                </w:p>
              </w:tc>
              <w:tc>
                <w:tcPr>
                  <w:tcW w:w="874" w:type="dxa"/>
                  <w:tcBorders>
                    <w:top w:val="nil"/>
                    <w:bottom w:val="nil"/>
                  </w:tcBorders>
                  <w:shd w:val="clear" w:color="auto" w:fill="auto"/>
                  <w:noWrap/>
                  <w:vAlign w:val="center"/>
                  <w:hideMark/>
                </w:tcPr>
                <w:p w14:paraId="3F370B9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0.0356(14)</w:t>
                  </w:r>
                </w:p>
              </w:tc>
              <w:tc>
                <w:tcPr>
                  <w:tcW w:w="873" w:type="dxa"/>
                  <w:tcBorders>
                    <w:top w:val="nil"/>
                    <w:bottom w:val="nil"/>
                  </w:tcBorders>
                  <w:shd w:val="clear" w:color="auto" w:fill="auto"/>
                  <w:noWrap/>
                  <w:vAlign w:val="center"/>
                  <w:hideMark/>
                </w:tcPr>
                <w:p w14:paraId="3DC4CFA3"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0.0356(14)</w:t>
                  </w:r>
                </w:p>
              </w:tc>
              <w:tc>
                <w:tcPr>
                  <w:tcW w:w="873" w:type="dxa"/>
                  <w:tcBorders>
                    <w:top w:val="nil"/>
                    <w:bottom w:val="nil"/>
                  </w:tcBorders>
                  <w:shd w:val="clear" w:color="auto" w:fill="auto"/>
                  <w:noWrap/>
                  <w:vAlign w:val="center"/>
                  <w:hideMark/>
                </w:tcPr>
                <w:p w14:paraId="425E7F00"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0.0390(01)</w:t>
                  </w:r>
                </w:p>
              </w:tc>
              <w:tc>
                <w:tcPr>
                  <w:tcW w:w="872" w:type="dxa"/>
                  <w:tcBorders>
                    <w:top w:val="nil"/>
                    <w:bottom w:val="nil"/>
                  </w:tcBorders>
                  <w:shd w:val="clear" w:color="auto" w:fill="auto"/>
                  <w:noWrap/>
                  <w:vAlign w:val="center"/>
                  <w:hideMark/>
                </w:tcPr>
                <w:p w14:paraId="3E3AF43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873" w:type="dxa"/>
                  <w:tcBorders>
                    <w:top w:val="nil"/>
                    <w:bottom w:val="nil"/>
                  </w:tcBorders>
                  <w:shd w:val="clear" w:color="auto" w:fill="auto"/>
                  <w:noWrap/>
                  <w:vAlign w:val="center"/>
                  <w:hideMark/>
                </w:tcPr>
                <w:p w14:paraId="76B804A6"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c>
                <w:tcPr>
                  <w:tcW w:w="873" w:type="dxa"/>
                  <w:tcBorders>
                    <w:top w:val="nil"/>
                    <w:bottom w:val="nil"/>
                    <w:right w:val="nil"/>
                  </w:tcBorders>
                  <w:shd w:val="clear" w:color="auto" w:fill="auto"/>
                  <w:noWrap/>
                  <w:vAlign w:val="center"/>
                  <w:hideMark/>
                </w:tcPr>
                <w:p w14:paraId="0C973B42"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w:t>
                  </w:r>
                </w:p>
              </w:tc>
            </w:tr>
            <w:tr w:rsidR="00C75BFC" w:rsidRPr="00DF2B0D" w14:paraId="7E99DE25" w14:textId="77777777" w:rsidTr="009759B3">
              <w:trPr>
                <w:cantSplit/>
                <w:trHeight w:val="327"/>
                <w:jc w:val="center"/>
              </w:trPr>
              <w:tc>
                <w:tcPr>
                  <w:tcW w:w="947" w:type="dxa"/>
                  <w:tcBorders>
                    <w:top w:val="nil"/>
                    <w:left w:val="nil"/>
                    <w:bottom w:val="nil"/>
                    <w:right w:val="single" w:sz="4" w:space="0" w:color="auto"/>
                  </w:tcBorders>
                  <w:shd w:val="clear" w:color="auto" w:fill="auto"/>
                  <w:noWrap/>
                  <w:vAlign w:val="center"/>
                  <w:hideMark/>
                </w:tcPr>
                <w:p w14:paraId="5E5C3B88"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O</w:t>
                  </w:r>
                </w:p>
              </w:tc>
              <w:tc>
                <w:tcPr>
                  <w:tcW w:w="771" w:type="dxa"/>
                  <w:tcBorders>
                    <w:top w:val="nil"/>
                    <w:left w:val="single" w:sz="4" w:space="0" w:color="auto"/>
                    <w:bottom w:val="nil"/>
                  </w:tcBorders>
                  <w:shd w:val="clear" w:color="auto" w:fill="auto"/>
                  <w:noWrap/>
                  <w:vAlign w:val="center"/>
                  <w:hideMark/>
                </w:tcPr>
                <w:p w14:paraId="1364B197" w14:textId="4269A711" w:rsidR="00C75BFC" w:rsidRPr="00DF2B0D" w:rsidRDefault="001E73FE" w:rsidP="009759B3">
                  <w:pPr>
                    <w:spacing w:before="0" w:after="0" w:line="240" w:lineRule="auto"/>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1.005(8)</w:t>
                  </w:r>
                </w:p>
              </w:tc>
              <w:tc>
                <w:tcPr>
                  <w:tcW w:w="702" w:type="dxa"/>
                  <w:tcBorders>
                    <w:top w:val="nil"/>
                    <w:bottom w:val="nil"/>
                  </w:tcBorders>
                  <w:shd w:val="clear" w:color="auto" w:fill="auto"/>
                  <w:noWrap/>
                  <w:vAlign w:val="center"/>
                  <w:hideMark/>
                </w:tcPr>
                <w:p w14:paraId="18FDB7E3"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0.2407(4)</w:t>
                  </w:r>
                </w:p>
              </w:tc>
              <w:tc>
                <w:tcPr>
                  <w:tcW w:w="778" w:type="dxa"/>
                  <w:tcBorders>
                    <w:top w:val="nil"/>
                    <w:bottom w:val="nil"/>
                  </w:tcBorders>
                  <w:shd w:val="clear" w:color="auto" w:fill="auto"/>
                  <w:noWrap/>
                  <w:vAlign w:val="center"/>
                  <w:hideMark/>
                </w:tcPr>
                <w:p w14:paraId="5884449F"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0.0910(3)</w:t>
                  </w:r>
                </w:p>
              </w:tc>
              <w:tc>
                <w:tcPr>
                  <w:tcW w:w="783" w:type="dxa"/>
                  <w:tcBorders>
                    <w:top w:val="nil"/>
                    <w:bottom w:val="nil"/>
                  </w:tcBorders>
                  <w:shd w:val="clear" w:color="auto" w:fill="auto"/>
                  <w:noWrap/>
                  <w:vAlign w:val="center"/>
                  <w:hideMark/>
                </w:tcPr>
                <w:p w14:paraId="65497AB3"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0.0414(2)</w:t>
                  </w:r>
                </w:p>
              </w:tc>
              <w:tc>
                <w:tcPr>
                  <w:tcW w:w="874" w:type="dxa"/>
                  <w:tcBorders>
                    <w:top w:val="nil"/>
                    <w:bottom w:val="nil"/>
                  </w:tcBorders>
                  <w:shd w:val="clear" w:color="auto" w:fill="auto"/>
                  <w:noWrap/>
                  <w:vAlign w:val="center"/>
                  <w:hideMark/>
                </w:tcPr>
                <w:p w14:paraId="4EF5174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0.0544(14)</w:t>
                  </w:r>
                </w:p>
              </w:tc>
              <w:tc>
                <w:tcPr>
                  <w:tcW w:w="873" w:type="dxa"/>
                  <w:tcBorders>
                    <w:top w:val="nil"/>
                    <w:bottom w:val="nil"/>
                  </w:tcBorders>
                  <w:shd w:val="clear" w:color="auto" w:fill="auto"/>
                  <w:vAlign w:val="center"/>
                </w:tcPr>
                <w:p w14:paraId="2B8B722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0.0690(01)</w:t>
                  </w:r>
                </w:p>
              </w:tc>
              <w:tc>
                <w:tcPr>
                  <w:tcW w:w="873" w:type="dxa"/>
                  <w:tcBorders>
                    <w:top w:val="nil"/>
                    <w:bottom w:val="nil"/>
                  </w:tcBorders>
                  <w:shd w:val="clear" w:color="auto" w:fill="auto"/>
                  <w:vAlign w:val="center"/>
                </w:tcPr>
                <w:p w14:paraId="1FA7678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0.0382(10)</w:t>
                  </w:r>
                </w:p>
              </w:tc>
              <w:tc>
                <w:tcPr>
                  <w:tcW w:w="872" w:type="dxa"/>
                  <w:tcBorders>
                    <w:top w:val="nil"/>
                    <w:bottom w:val="nil"/>
                  </w:tcBorders>
                  <w:shd w:val="clear" w:color="auto" w:fill="auto"/>
                  <w:vAlign w:val="center"/>
                </w:tcPr>
                <w:p w14:paraId="743BC809"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0.0150(1)</w:t>
                  </w:r>
                </w:p>
              </w:tc>
              <w:tc>
                <w:tcPr>
                  <w:tcW w:w="873" w:type="dxa"/>
                  <w:tcBorders>
                    <w:top w:val="nil"/>
                    <w:bottom w:val="nil"/>
                  </w:tcBorders>
                  <w:shd w:val="clear" w:color="auto" w:fill="auto"/>
                  <w:vAlign w:val="center"/>
                </w:tcPr>
                <w:p w14:paraId="3475F63C"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0.0088(11)</w:t>
                  </w:r>
                </w:p>
              </w:tc>
              <w:tc>
                <w:tcPr>
                  <w:tcW w:w="873" w:type="dxa"/>
                  <w:tcBorders>
                    <w:top w:val="nil"/>
                    <w:bottom w:val="nil"/>
                  </w:tcBorders>
                  <w:shd w:val="clear" w:color="auto" w:fill="auto"/>
                  <w:vAlign w:val="center"/>
                </w:tcPr>
                <w:p w14:paraId="2C74241B" w14:textId="77777777" w:rsidR="00C75BFC" w:rsidRPr="00DF2B0D" w:rsidRDefault="00C75BFC" w:rsidP="009759B3">
                  <w:pPr>
                    <w:spacing w:before="0" w:after="0" w:line="240" w:lineRule="auto"/>
                    <w:jc w:val="center"/>
                    <w:rPr>
                      <w:rFonts w:asciiTheme="minorHAnsi" w:eastAsia="Times New Roman" w:hAnsiTheme="minorHAnsi" w:cs="Times New Roman"/>
                      <w:color w:val="000000"/>
                      <w:sz w:val="18"/>
                      <w:szCs w:val="18"/>
                    </w:rPr>
                  </w:pPr>
                  <w:r w:rsidRPr="00DF2B0D">
                    <w:rPr>
                      <w:rFonts w:asciiTheme="minorHAnsi" w:eastAsia="Times New Roman" w:hAnsiTheme="minorHAnsi" w:cs="Times New Roman"/>
                      <w:color w:val="000000"/>
                      <w:sz w:val="18"/>
                      <w:szCs w:val="18"/>
                    </w:rPr>
                    <w:t>0.0230(13)</w:t>
                  </w:r>
                </w:p>
              </w:tc>
            </w:tr>
            <w:tr w:rsidR="00C75BFC" w:rsidRPr="00DF2B0D" w14:paraId="74EF728F" w14:textId="77777777" w:rsidTr="009759B3">
              <w:trPr>
                <w:cantSplit/>
                <w:trHeight w:val="327"/>
                <w:jc w:val="center"/>
              </w:trPr>
              <w:tc>
                <w:tcPr>
                  <w:tcW w:w="947" w:type="dxa"/>
                  <w:tcBorders>
                    <w:top w:val="single" w:sz="4" w:space="0" w:color="auto"/>
                    <w:left w:val="nil"/>
                    <w:right w:val="single" w:sz="4" w:space="0" w:color="auto"/>
                  </w:tcBorders>
                  <w:shd w:val="clear" w:color="auto" w:fill="auto"/>
                  <w:noWrap/>
                  <w:vAlign w:val="center"/>
                </w:tcPr>
                <w:p w14:paraId="6FEC367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Cation site</w:t>
                  </w:r>
                </w:p>
              </w:tc>
              <w:tc>
                <w:tcPr>
                  <w:tcW w:w="3908" w:type="dxa"/>
                  <w:gridSpan w:val="5"/>
                  <w:tcBorders>
                    <w:top w:val="single" w:sz="4" w:space="0" w:color="auto"/>
                    <w:left w:val="single" w:sz="4" w:space="0" w:color="auto"/>
                  </w:tcBorders>
                  <w:shd w:val="clear" w:color="auto" w:fill="auto"/>
                  <w:noWrap/>
                  <w:vAlign w:val="center"/>
                </w:tcPr>
                <w:p w14:paraId="53F15069" w14:textId="6A3B03C0" w:rsidR="00C75BFC" w:rsidRPr="00DF2B0D" w:rsidRDefault="00485C41" w:rsidP="009759B3">
                  <w:pPr>
                    <w:spacing w:before="0" w:line="240" w:lineRule="auto"/>
                    <w:jc w:val="center"/>
                    <w:rPr>
                      <w:rFonts w:ascii="Calibri" w:hAnsi="Calibri"/>
                      <w:color w:val="000000"/>
                      <w:sz w:val="18"/>
                      <w:szCs w:val="18"/>
                    </w:rPr>
                  </w:pPr>
                  <w:r>
                    <w:rPr>
                      <w:rFonts w:ascii="Calibri" w:eastAsia="Times New Roman" w:hAnsi="Calibri" w:cs="Times New Roman"/>
                      <w:color w:val="000000"/>
                      <w:sz w:val="20"/>
                      <w:szCs w:val="20"/>
                    </w:rPr>
                    <w:t>B</w:t>
                  </w:r>
                  <w:r w:rsidR="00C75BFC" w:rsidRPr="00DF2B0D">
                    <w:rPr>
                      <w:rFonts w:ascii="Calibri" w:eastAsia="Times New Roman" w:hAnsi="Calibri" w:cs="Times New Roman"/>
                      <w:color w:val="000000"/>
                      <w:sz w:val="20"/>
                      <w:szCs w:val="20"/>
                    </w:rPr>
                    <w:t>ond length (Å)</w:t>
                  </w:r>
                </w:p>
              </w:tc>
              <w:tc>
                <w:tcPr>
                  <w:tcW w:w="4364" w:type="dxa"/>
                  <w:gridSpan w:val="5"/>
                  <w:tcBorders>
                    <w:top w:val="single" w:sz="4" w:space="0" w:color="auto"/>
                  </w:tcBorders>
                  <w:shd w:val="clear" w:color="auto" w:fill="auto"/>
                  <w:vAlign w:val="center"/>
                </w:tcPr>
                <w:p w14:paraId="6BA6B15F" w14:textId="77777777" w:rsidR="00C75BFC" w:rsidRPr="00DF2B0D" w:rsidRDefault="00C75BFC" w:rsidP="009759B3">
                  <w:pPr>
                    <w:spacing w:before="0" w:line="240" w:lineRule="auto"/>
                    <w:jc w:val="center"/>
                    <w:rPr>
                      <w:rFonts w:ascii="Calibri" w:hAnsi="Calibri"/>
                      <w:color w:val="000000"/>
                      <w:sz w:val="18"/>
                      <w:szCs w:val="18"/>
                    </w:rPr>
                  </w:pPr>
                  <w:r w:rsidRPr="00DF2B0D">
                    <w:rPr>
                      <w:rFonts w:ascii="Calibri" w:eastAsia="Times New Roman" w:hAnsi="Calibri" w:cs="Times New Roman"/>
                      <w:color w:val="000000"/>
                      <w:sz w:val="20"/>
                      <w:szCs w:val="20"/>
                    </w:rPr>
                    <w:t>Bond valence sum (BVS)</w:t>
                  </w:r>
                </w:p>
              </w:tc>
            </w:tr>
            <w:tr w:rsidR="00C75BFC" w:rsidRPr="00DF2B0D" w14:paraId="27677361" w14:textId="77777777" w:rsidTr="009759B3">
              <w:trPr>
                <w:cantSplit/>
                <w:trHeight w:val="327"/>
                <w:jc w:val="center"/>
              </w:trPr>
              <w:tc>
                <w:tcPr>
                  <w:tcW w:w="947" w:type="dxa"/>
                  <w:tcBorders>
                    <w:left w:val="nil"/>
                    <w:right w:val="single" w:sz="4" w:space="0" w:color="auto"/>
                  </w:tcBorders>
                  <w:shd w:val="clear" w:color="auto" w:fill="auto"/>
                  <w:noWrap/>
                  <w:vAlign w:val="center"/>
                </w:tcPr>
                <w:p w14:paraId="210ACB44"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La</w:t>
                  </w:r>
                </w:p>
              </w:tc>
              <w:tc>
                <w:tcPr>
                  <w:tcW w:w="3908" w:type="dxa"/>
                  <w:gridSpan w:val="5"/>
                  <w:tcBorders>
                    <w:left w:val="single" w:sz="4" w:space="0" w:color="auto"/>
                  </w:tcBorders>
                  <w:shd w:val="clear" w:color="auto" w:fill="auto"/>
                  <w:noWrap/>
                  <w:vAlign w:val="center"/>
                </w:tcPr>
                <w:p w14:paraId="3624B829" w14:textId="750BCF03" w:rsidR="00C75BFC" w:rsidRPr="00DF2B0D" w:rsidRDefault="00C75BFC" w:rsidP="009759B3">
                  <w:pPr>
                    <w:spacing w:before="0" w:line="240" w:lineRule="auto"/>
                    <w:jc w:val="center"/>
                    <w:rPr>
                      <w:rFonts w:ascii="Calibri" w:hAnsi="Calibri"/>
                      <w:color w:val="000000"/>
                      <w:sz w:val="18"/>
                      <w:szCs w:val="18"/>
                    </w:rPr>
                  </w:pPr>
                  <w:r w:rsidRPr="00DF2B0D">
                    <w:rPr>
                      <w:rFonts w:ascii="Calibri" w:eastAsia="Times New Roman" w:hAnsi="Calibri" w:cs="Times New Roman"/>
                      <w:color w:val="000000"/>
                      <w:sz w:val="20"/>
                      <w:szCs w:val="20"/>
                    </w:rPr>
                    <w:t>2.5</w:t>
                  </w:r>
                  <w:r w:rsidR="00704136">
                    <w:rPr>
                      <w:rFonts w:ascii="Calibri" w:eastAsia="Times New Roman" w:hAnsi="Calibri" w:cs="Times New Roman"/>
                      <w:color w:val="000000"/>
                      <w:sz w:val="20"/>
                      <w:szCs w:val="20"/>
                    </w:rPr>
                    <w:t xml:space="preserve">03(2) </w:t>
                  </w:r>
                  <w:r w:rsidR="00704136" w:rsidRPr="00DF2B0D">
                    <w:rPr>
                      <w:rFonts w:ascii="Calibri" w:eastAsia="Times New Roman" w:hAnsi="Calibri" w:cs="Times New Roman"/>
                      <w:color w:val="000000"/>
                      <w:sz w:val="20"/>
                      <w:szCs w:val="20"/>
                    </w:rPr>
                    <w:t>Å</w:t>
                  </w:r>
                  <w:r w:rsidR="00704136">
                    <w:rPr>
                      <w:rFonts w:ascii="Calibri" w:eastAsia="Times New Roman" w:hAnsi="Calibri" w:cs="Times New Roman"/>
                      <w:color w:val="000000"/>
                      <w:sz w:val="20"/>
                      <w:szCs w:val="20"/>
                    </w:rPr>
                    <w:t xml:space="preserve"> </w:t>
                  </w:r>
                  <w:r w:rsidR="00704136" w:rsidRPr="00704136">
                    <w:rPr>
                      <w:rFonts w:ascii="Calibri" w:eastAsia="Times New Roman" w:hAnsi="Calibri" w:cs="Times New Roman"/>
                      <w:color w:val="000000"/>
                      <w:sz w:val="20"/>
                      <w:szCs w:val="20"/>
                    </w:rPr>
                    <w:t>×</w:t>
                  </w:r>
                  <w:r w:rsidR="00704136">
                    <w:rPr>
                      <w:rFonts w:ascii="Calibri" w:eastAsia="Times New Roman" w:hAnsi="Calibri" w:cs="Times New Roman"/>
                      <w:color w:val="000000"/>
                      <w:sz w:val="20"/>
                      <w:szCs w:val="20"/>
                    </w:rPr>
                    <w:t xml:space="preserve"> 4, 2.546(2) </w:t>
                  </w:r>
                  <w:r w:rsidR="00704136" w:rsidRPr="00DF2B0D">
                    <w:rPr>
                      <w:rFonts w:ascii="Calibri" w:eastAsia="Times New Roman" w:hAnsi="Calibri" w:cs="Times New Roman"/>
                      <w:color w:val="000000"/>
                      <w:sz w:val="20"/>
                      <w:szCs w:val="20"/>
                    </w:rPr>
                    <w:t>Å</w:t>
                  </w:r>
                  <w:r w:rsidR="00704136">
                    <w:rPr>
                      <w:rFonts w:ascii="Calibri" w:eastAsia="Times New Roman" w:hAnsi="Calibri" w:cs="Times New Roman"/>
                      <w:color w:val="000000"/>
                      <w:sz w:val="20"/>
                      <w:szCs w:val="20"/>
                    </w:rPr>
                    <w:t xml:space="preserve"> </w:t>
                  </w:r>
                  <w:r w:rsidR="00704136" w:rsidRPr="00704136">
                    <w:rPr>
                      <w:rFonts w:ascii="Calibri" w:eastAsia="Times New Roman" w:hAnsi="Calibri" w:cs="Times New Roman"/>
                      <w:color w:val="000000"/>
                      <w:sz w:val="20"/>
                      <w:szCs w:val="20"/>
                    </w:rPr>
                    <w:t>×</w:t>
                  </w:r>
                  <w:r w:rsidR="00704136">
                    <w:rPr>
                      <w:rFonts w:ascii="Calibri" w:eastAsia="Times New Roman" w:hAnsi="Calibri" w:cs="Times New Roman"/>
                      <w:color w:val="000000"/>
                      <w:sz w:val="20"/>
                      <w:szCs w:val="20"/>
                    </w:rPr>
                    <w:t xml:space="preserve"> 4</w:t>
                  </w:r>
                </w:p>
              </w:tc>
              <w:tc>
                <w:tcPr>
                  <w:tcW w:w="4364" w:type="dxa"/>
                  <w:gridSpan w:val="5"/>
                  <w:shd w:val="clear" w:color="auto" w:fill="auto"/>
                  <w:vAlign w:val="center"/>
                </w:tcPr>
                <w:p w14:paraId="39B9C92C" w14:textId="6111A65E" w:rsidR="00C75BFC" w:rsidRPr="00DF2B0D" w:rsidRDefault="00C75BFC" w:rsidP="009759B3">
                  <w:pPr>
                    <w:spacing w:before="0" w:line="240" w:lineRule="auto"/>
                    <w:jc w:val="center"/>
                    <w:rPr>
                      <w:rFonts w:ascii="Calibri" w:hAnsi="Calibri"/>
                      <w:color w:val="000000"/>
                      <w:sz w:val="18"/>
                      <w:szCs w:val="18"/>
                    </w:rPr>
                  </w:pPr>
                  <w:r w:rsidRPr="00DF2B0D">
                    <w:rPr>
                      <w:rFonts w:ascii="Calibri" w:eastAsia="Times New Roman" w:hAnsi="Calibri" w:cs="Times New Roman"/>
                      <w:color w:val="000000"/>
                      <w:sz w:val="20"/>
                      <w:szCs w:val="20"/>
                    </w:rPr>
                    <w:t>3.1</w:t>
                  </w:r>
                  <w:r w:rsidR="00704136">
                    <w:rPr>
                      <w:rFonts w:ascii="Calibri" w:eastAsia="Times New Roman" w:hAnsi="Calibri" w:cs="Times New Roman"/>
                      <w:color w:val="000000"/>
                      <w:sz w:val="20"/>
                      <w:szCs w:val="20"/>
                    </w:rPr>
                    <w:t>(1)</w:t>
                  </w:r>
                </w:p>
              </w:tc>
            </w:tr>
            <w:tr w:rsidR="00C75BFC" w:rsidRPr="00DF2B0D" w14:paraId="479482FC" w14:textId="77777777" w:rsidTr="009759B3">
              <w:trPr>
                <w:cantSplit/>
                <w:trHeight w:val="327"/>
                <w:jc w:val="center"/>
              </w:trPr>
              <w:tc>
                <w:tcPr>
                  <w:tcW w:w="947" w:type="dxa"/>
                  <w:tcBorders>
                    <w:left w:val="nil"/>
                    <w:bottom w:val="single" w:sz="4" w:space="0" w:color="auto"/>
                    <w:right w:val="single" w:sz="4" w:space="0" w:color="auto"/>
                  </w:tcBorders>
                  <w:shd w:val="clear" w:color="auto" w:fill="auto"/>
                  <w:noWrap/>
                  <w:vAlign w:val="center"/>
                </w:tcPr>
                <w:p w14:paraId="46C2144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Nb/W</w:t>
                  </w:r>
                </w:p>
              </w:tc>
              <w:tc>
                <w:tcPr>
                  <w:tcW w:w="3908" w:type="dxa"/>
                  <w:gridSpan w:val="5"/>
                  <w:tcBorders>
                    <w:left w:val="single" w:sz="4" w:space="0" w:color="auto"/>
                    <w:bottom w:val="single" w:sz="4" w:space="0" w:color="auto"/>
                  </w:tcBorders>
                  <w:shd w:val="clear" w:color="auto" w:fill="auto"/>
                  <w:noWrap/>
                  <w:vAlign w:val="center"/>
                </w:tcPr>
                <w:p w14:paraId="1E909893" w14:textId="413E06F7" w:rsidR="00C75BFC" w:rsidRPr="00DF2B0D" w:rsidRDefault="00C75BFC" w:rsidP="009759B3">
                  <w:pPr>
                    <w:spacing w:before="0" w:line="240" w:lineRule="auto"/>
                    <w:jc w:val="center"/>
                    <w:rPr>
                      <w:rFonts w:ascii="Calibri" w:hAnsi="Calibri"/>
                      <w:color w:val="000000"/>
                      <w:sz w:val="18"/>
                      <w:szCs w:val="18"/>
                    </w:rPr>
                  </w:pPr>
                  <w:r w:rsidRPr="00DF2B0D">
                    <w:rPr>
                      <w:rFonts w:ascii="Calibri" w:eastAsia="Times New Roman" w:hAnsi="Calibri" w:cs="Times New Roman"/>
                      <w:color w:val="000000"/>
                      <w:sz w:val="20"/>
                      <w:szCs w:val="20"/>
                    </w:rPr>
                    <w:t>1.835</w:t>
                  </w:r>
                  <w:r w:rsidR="00704136">
                    <w:rPr>
                      <w:rFonts w:ascii="Calibri" w:eastAsia="Times New Roman" w:hAnsi="Calibri" w:cs="Times New Roman"/>
                      <w:color w:val="000000"/>
                      <w:sz w:val="20"/>
                      <w:szCs w:val="20"/>
                    </w:rPr>
                    <w:t xml:space="preserve">(2) </w:t>
                  </w:r>
                  <w:r w:rsidR="00704136" w:rsidRPr="00DF2B0D">
                    <w:rPr>
                      <w:rFonts w:ascii="Calibri" w:eastAsia="Times New Roman" w:hAnsi="Calibri" w:cs="Times New Roman"/>
                      <w:color w:val="000000"/>
                      <w:sz w:val="20"/>
                      <w:szCs w:val="20"/>
                    </w:rPr>
                    <w:t>Å</w:t>
                  </w:r>
                  <w:r w:rsidR="00704136">
                    <w:rPr>
                      <w:rFonts w:ascii="Calibri" w:eastAsia="Times New Roman" w:hAnsi="Calibri" w:cs="Times New Roman"/>
                      <w:color w:val="000000"/>
                      <w:sz w:val="20"/>
                      <w:szCs w:val="20"/>
                    </w:rPr>
                    <w:t xml:space="preserve"> </w:t>
                  </w:r>
                  <w:r w:rsidR="00704136" w:rsidRPr="00704136">
                    <w:rPr>
                      <w:rFonts w:ascii="Calibri" w:eastAsia="Times New Roman" w:hAnsi="Calibri" w:cs="Times New Roman"/>
                      <w:color w:val="000000"/>
                      <w:sz w:val="20"/>
                      <w:szCs w:val="20"/>
                    </w:rPr>
                    <w:t>×</w:t>
                  </w:r>
                  <w:r w:rsidR="00704136">
                    <w:rPr>
                      <w:rFonts w:ascii="Calibri" w:eastAsia="Times New Roman" w:hAnsi="Calibri" w:cs="Times New Roman"/>
                      <w:color w:val="000000"/>
                      <w:sz w:val="20"/>
                      <w:szCs w:val="20"/>
                    </w:rPr>
                    <w:t xml:space="preserve"> 4</w:t>
                  </w:r>
                  <w:r w:rsidR="002524DD">
                    <w:rPr>
                      <w:rFonts w:ascii="Calibri" w:eastAsia="Times New Roman" w:hAnsi="Calibri" w:cs="Times New Roman"/>
                      <w:color w:val="000000"/>
                      <w:sz w:val="20"/>
                      <w:szCs w:val="20"/>
                    </w:rPr>
                    <w:t xml:space="preserve">, 2.973(2) </w:t>
                  </w:r>
                  <w:r w:rsidR="002524DD" w:rsidRPr="00DF2B0D">
                    <w:rPr>
                      <w:rFonts w:ascii="Calibri" w:eastAsia="Times New Roman" w:hAnsi="Calibri" w:cs="Times New Roman"/>
                      <w:color w:val="000000"/>
                      <w:sz w:val="20"/>
                      <w:szCs w:val="20"/>
                    </w:rPr>
                    <w:t>Å</w:t>
                  </w:r>
                  <w:r w:rsidR="002524DD" w:rsidRPr="00704136">
                    <w:rPr>
                      <w:rFonts w:ascii="Calibri" w:eastAsia="Times New Roman" w:hAnsi="Calibri" w:cs="Times New Roman"/>
                      <w:color w:val="000000"/>
                      <w:sz w:val="20"/>
                      <w:szCs w:val="20"/>
                    </w:rPr>
                    <w:t xml:space="preserve"> ×</w:t>
                  </w:r>
                  <w:r w:rsidR="002524DD">
                    <w:rPr>
                      <w:rFonts w:ascii="Calibri" w:eastAsia="Times New Roman" w:hAnsi="Calibri" w:cs="Times New Roman"/>
                      <w:color w:val="000000"/>
                      <w:sz w:val="20"/>
                      <w:szCs w:val="20"/>
                    </w:rPr>
                    <w:t xml:space="preserve"> 4</w:t>
                  </w:r>
                </w:p>
              </w:tc>
              <w:tc>
                <w:tcPr>
                  <w:tcW w:w="4364" w:type="dxa"/>
                  <w:gridSpan w:val="5"/>
                  <w:tcBorders>
                    <w:bottom w:val="single" w:sz="4" w:space="0" w:color="auto"/>
                  </w:tcBorders>
                  <w:shd w:val="clear" w:color="auto" w:fill="auto"/>
                  <w:vAlign w:val="center"/>
                </w:tcPr>
                <w:p w14:paraId="2C39FC65" w14:textId="7D283CC9" w:rsidR="00C75BFC" w:rsidRPr="00DF2B0D" w:rsidRDefault="00C75BFC" w:rsidP="009759B3">
                  <w:pPr>
                    <w:spacing w:before="0" w:line="240" w:lineRule="auto"/>
                    <w:jc w:val="center"/>
                    <w:rPr>
                      <w:rFonts w:ascii="Calibri" w:hAnsi="Calibri"/>
                      <w:color w:val="000000"/>
                      <w:sz w:val="18"/>
                      <w:szCs w:val="18"/>
                    </w:rPr>
                  </w:pPr>
                  <w:r w:rsidRPr="00DF2B0D">
                    <w:rPr>
                      <w:rFonts w:ascii="Calibri" w:eastAsia="Times New Roman" w:hAnsi="Calibri" w:cs="Times New Roman"/>
                      <w:color w:val="000000"/>
                      <w:sz w:val="20"/>
                      <w:szCs w:val="20"/>
                    </w:rPr>
                    <w:t>5.0</w:t>
                  </w:r>
                  <w:r w:rsidR="00704136">
                    <w:rPr>
                      <w:rFonts w:ascii="Calibri" w:eastAsia="Times New Roman" w:hAnsi="Calibri" w:cs="Times New Roman"/>
                      <w:color w:val="000000"/>
                      <w:sz w:val="20"/>
                      <w:szCs w:val="20"/>
                    </w:rPr>
                    <w:t>(1)</w:t>
                  </w:r>
                </w:p>
              </w:tc>
            </w:tr>
          </w:tbl>
          <w:p w14:paraId="01D71195" w14:textId="77777777" w:rsidR="00D47475" w:rsidRDefault="00D47475" w:rsidP="009759B3">
            <w:pPr>
              <w:pStyle w:val="Caption"/>
              <w:jc w:val="center"/>
            </w:pPr>
            <w:bookmarkStart w:id="26" w:name="_Ref461737864"/>
            <w:bookmarkStart w:id="27" w:name="_Ref501845387"/>
            <w:bookmarkEnd w:id="25"/>
          </w:p>
          <w:p w14:paraId="14285AC7" w14:textId="282AF404" w:rsidR="00D47475" w:rsidRDefault="00D47475" w:rsidP="009759B3">
            <w:pPr>
              <w:pStyle w:val="Caption"/>
              <w:jc w:val="center"/>
            </w:pPr>
          </w:p>
          <w:p w14:paraId="12DFFDAB" w14:textId="36135626" w:rsidR="000D14CE" w:rsidRDefault="000D14CE" w:rsidP="00CF3B0A"/>
          <w:p w14:paraId="1EDCBF28" w14:textId="159E22B9" w:rsidR="000D14CE" w:rsidRDefault="000D14CE" w:rsidP="00CF3B0A"/>
          <w:p w14:paraId="6EA6C7BB" w14:textId="0F493770" w:rsidR="000D14CE" w:rsidRDefault="000D14CE" w:rsidP="00CF3B0A"/>
          <w:p w14:paraId="06E089C0" w14:textId="6F1137DB" w:rsidR="000D14CE" w:rsidRDefault="000D14CE" w:rsidP="00CF3B0A"/>
          <w:p w14:paraId="0298B3BD" w14:textId="373411C8" w:rsidR="000D14CE" w:rsidRDefault="000D14CE" w:rsidP="00CF3B0A"/>
          <w:p w14:paraId="639B015E" w14:textId="4C907094" w:rsidR="000D14CE" w:rsidRDefault="000D14CE" w:rsidP="00CF3B0A"/>
          <w:p w14:paraId="5C3BBA27" w14:textId="7A614295" w:rsidR="000D14CE" w:rsidRDefault="000D14CE" w:rsidP="00CF3B0A"/>
          <w:p w14:paraId="004434DC" w14:textId="53AC9098" w:rsidR="000D14CE" w:rsidRDefault="000D14CE" w:rsidP="00CF3B0A"/>
          <w:p w14:paraId="2C844BE2" w14:textId="77777777" w:rsidR="000D14CE" w:rsidRDefault="000D14CE" w:rsidP="009759B3">
            <w:pPr>
              <w:pStyle w:val="Caption"/>
              <w:jc w:val="center"/>
            </w:pPr>
          </w:p>
          <w:p w14:paraId="12EB521A" w14:textId="3C43AC49" w:rsidR="00C75BFC" w:rsidRPr="00DF2B0D" w:rsidRDefault="00B35992" w:rsidP="009759B3">
            <w:pPr>
              <w:pStyle w:val="Caption"/>
              <w:jc w:val="center"/>
            </w:pPr>
            <w:r>
              <w:lastRenderedPageBreak/>
              <w:t xml:space="preserve">Table </w:t>
            </w:r>
            <w:r w:rsidR="0019656C">
              <w:fldChar w:fldCharType="begin"/>
            </w:r>
            <w:r w:rsidR="0019656C">
              <w:instrText xml:space="preserve"> SEQ Table \* ARABIC </w:instrText>
            </w:r>
            <w:r w:rsidR="0019656C">
              <w:fldChar w:fldCharType="separate"/>
            </w:r>
            <w:r w:rsidR="00564E5A">
              <w:rPr>
                <w:noProof/>
              </w:rPr>
              <w:t>4</w:t>
            </w:r>
            <w:r w:rsidR="0019656C">
              <w:rPr>
                <w:noProof/>
              </w:rPr>
              <w:fldChar w:fldCharType="end"/>
            </w:r>
            <w:bookmarkEnd w:id="26"/>
            <w:bookmarkEnd w:id="27"/>
            <w:r w:rsidR="00C75BFC" w:rsidRPr="00DF2B0D">
              <w:rPr>
                <w:noProof/>
              </w:rPr>
              <w:t xml:space="preserve">: </w:t>
            </w:r>
            <w:r w:rsidR="00C75BFC" w:rsidRPr="00DF2B0D">
              <w:t>Refined Fourier magnitudes for the LaNb</w:t>
            </w:r>
            <w:r w:rsidR="00C75BFC"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C75BFC" w:rsidRPr="00DF2B0D">
              <w:t xml:space="preserve"> phase at </w:t>
            </w:r>
            <w:r w:rsidR="00C3241D">
              <w:rPr>
                <w:rFonts w:hint="eastAsia"/>
              </w:rPr>
              <w:t>5</w:t>
            </w:r>
            <w:r w:rsidR="00C75BFC" w:rsidRPr="00DF2B0D">
              <w:t>00 °C.</w:t>
            </w:r>
          </w:p>
          <w:tbl>
            <w:tblPr>
              <w:tblpPr w:leftFromText="180" w:rightFromText="180" w:vertAnchor="text" w:tblpXSpec="center" w:tblpY="1"/>
              <w:tblOverlap w:val="never"/>
              <w:tblW w:w="7473" w:type="dxa"/>
              <w:tblLayout w:type="fixed"/>
              <w:tblLook w:val="04A0" w:firstRow="1" w:lastRow="0" w:firstColumn="1" w:lastColumn="0" w:noHBand="0" w:noVBand="1"/>
            </w:tblPr>
            <w:tblGrid>
              <w:gridCol w:w="1494"/>
              <w:gridCol w:w="1494"/>
              <w:gridCol w:w="1494"/>
              <w:gridCol w:w="1494"/>
              <w:gridCol w:w="1497"/>
            </w:tblGrid>
            <w:tr w:rsidR="00C75BFC" w:rsidRPr="00DF2B0D" w14:paraId="727CA251" w14:textId="77777777" w:rsidTr="009759B3">
              <w:trPr>
                <w:trHeight w:val="286"/>
              </w:trPr>
              <w:tc>
                <w:tcPr>
                  <w:tcW w:w="1494" w:type="dxa"/>
                  <w:tcBorders>
                    <w:top w:val="single" w:sz="8" w:space="0" w:color="auto"/>
                    <w:left w:val="nil"/>
                    <w:bottom w:val="single" w:sz="8" w:space="0" w:color="auto"/>
                    <w:right w:val="nil"/>
                  </w:tcBorders>
                  <w:shd w:val="clear" w:color="auto" w:fill="auto"/>
                  <w:noWrap/>
                  <w:vAlign w:val="center"/>
                  <w:hideMark/>
                </w:tcPr>
                <w:p w14:paraId="68B95C40"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r w:rsidRPr="00DF2B0D">
                    <w:rPr>
                      <w:rFonts w:ascii="Calibri" w:eastAsia="Times New Roman" w:hAnsi="Calibri" w:cs="Times New Roman"/>
                      <w:color w:val="000000"/>
                      <w:sz w:val="22"/>
                    </w:rPr>
                    <w:t>site</w:t>
                  </w:r>
                </w:p>
              </w:tc>
              <w:tc>
                <w:tcPr>
                  <w:tcW w:w="1494" w:type="dxa"/>
                  <w:tcBorders>
                    <w:top w:val="single" w:sz="8" w:space="0" w:color="auto"/>
                    <w:left w:val="nil"/>
                    <w:bottom w:val="single" w:sz="8" w:space="0" w:color="auto"/>
                    <w:right w:val="nil"/>
                  </w:tcBorders>
                  <w:shd w:val="clear" w:color="auto" w:fill="auto"/>
                  <w:noWrap/>
                  <w:vAlign w:val="center"/>
                  <w:hideMark/>
                </w:tcPr>
                <w:p w14:paraId="2A14F4EB"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single" w:sz="8" w:space="0" w:color="auto"/>
                    <w:left w:val="nil"/>
                    <w:bottom w:val="single" w:sz="8" w:space="0" w:color="auto"/>
                    <w:right w:val="nil"/>
                  </w:tcBorders>
                  <w:shd w:val="clear" w:color="auto" w:fill="auto"/>
                  <w:noWrap/>
                  <w:vAlign w:val="center"/>
                  <w:hideMark/>
                </w:tcPr>
                <w:p w14:paraId="0104A3E8"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x</w:t>
                  </w:r>
                </w:p>
              </w:tc>
              <w:tc>
                <w:tcPr>
                  <w:tcW w:w="1494" w:type="dxa"/>
                  <w:tcBorders>
                    <w:top w:val="single" w:sz="8" w:space="0" w:color="auto"/>
                    <w:left w:val="nil"/>
                    <w:bottom w:val="single" w:sz="8" w:space="0" w:color="auto"/>
                    <w:right w:val="nil"/>
                  </w:tcBorders>
                  <w:shd w:val="clear" w:color="auto" w:fill="auto"/>
                  <w:noWrap/>
                  <w:vAlign w:val="center"/>
                  <w:hideMark/>
                </w:tcPr>
                <w:p w14:paraId="2A10A82A"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y</w:t>
                  </w:r>
                </w:p>
              </w:tc>
              <w:tc>
                <w:tcPr>
                  <w:tcW w:w="1497" w:type="dxa"/>
                  <w:tcBorders>
                    <w:top w:val="single" w:sz="8" w:space="0" w:color="auto"/>
                    <w:left w:val="nil"/>
                    <w:bottom w:val="single" w:sz="8" w:space="0" w:color="auto"/>
                    <w:right w:val="nil"/>
                  </w:tcBorders>
                  <w:shd w:val="clear" w:color="auto" w:fill="auto"/>
                  <w:noWrap/>
                  <w:vAlign w:val="center"/>
                  <w:hideMark/>
                </w:tcPr>
                <w:p w14:paraId="5C102587"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z</w:t>
                  </w:r>
                </w:p>
              </w:tc>
            </w:tr>
            <w:tr w:rsidR="00C75BFC" w:rsidRPr="00DF2B0D" w14:paraId="23308B2B" w14:textId="77777777" w:rsidTr="009759B3">
              <w:trPr>
                <w:trHeight w:val="286"/>
              </w:trPr>
              <w:tc>
                <w:tcPr>
                  <w:tcW w:w="1494" w:type="dxa"/>
                  <w:tcBorders>
                    <w:top w:val="nil"/>
                    <w:left w:val="nil"/>
                    <w:bottom w:val="nil"/>
                    <w:right w:val="nil"/>
                  </w:tcBorders>
                  <w:shd w:val="clear" w:color="auto" w:fill="auto"/>
                  <w:noWrap/>
                  <w:vAlign w:val="center"/>
                  <w:hideMark/>
                </w:tcPr>
                <w:p w14:paraId="326BDFBC"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La</w:t>
                  </w:r>
                </w:p>
              </w:tc>
              <w:tc>
                <w:tcPr>
                  <w:tcW w:w="1494" w:type="dxa"/>
                  <w:tcBorders>
                    <w:top w:val="nil"/>
                    <w:left w:val="nil"/>
                    <w:bottom w:val="nil"/>
                    <w:right w:val="nil"/>
                  </w:tcBorders>
                  <w:shd w:val="clear" w:color="auto" w:fill="auto"/>
                  <w:noWrap/>
                  <w:vAlign w:val="center"/>
                  <w:hideMark/>
                </w:tcPr>
                <w:p w14:paraId="6F72EEC2"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r w:rsidRPr="00DF2B0D">
                    <w:rPr>
                      <w:rFonts w:ascii="Calibri" w:eastAsia="Times New Roman" w:hAnsi="Calibri" w:cs="Times New Roman"/>
                      <w:color w:val="000000"/>
                      <w:sz w:val="20"/>
                      <w:szCs w:val="20"/>
                    </w:rPr>
                    <w:t>position</w:t>
                  </w:r>
                </w:p>
              </w:tc>
              <w:tc>
                <w:tcPr>
                  <w:tcW w:w="1494" w:type="dxa"/>
                  <w:tcBorders>
                    <w:top w:val="nil"/>
                    <w:left w:val="nil"/>
                    <w:bottom w:val="nil"/>
                    <w:right w:val="nil"/>
                  </w:tcBorders>
                  <w:shd w:val="clear" w:color="auto" w:fill="auto"/>
                  <w:noWrap/>
                  <w:vAlign w:val="center"/>
                  <w:hideMark/>
                </w:tcPr>
                <w:p w14:paraId="273E82E9"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2430F6FE"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0.25</w:t>
                  </w:r>
                </w:p>
              </w:tc>
              <w:tc>
                <w:tcPr>
                  <w:tcW w:w="1497" w:type="dxa"/>
                  <w:tcBorders>
                    <w:top w:val="nil"/>
                    <w:left w:val="nil"/>
                    <w:bottom w:val="nil"/>
                    <w:right w:val="nil"/>
                  </w:tcBorders>
                  <w:shd w:val="clear" w:color="auto" w:fill="auto"/>
                  <w:noWrap/>
                  <w:vAlign w:val="center"/>
                  <w:hideMark/>
                </w:tcPr>
                <w:p w14:paraId="058039A8"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0.625</w:t>
                  </w:r>
                </w:p>
              </w:tc>
            </w:tr>
            <w:tr w:rsidR="00C75BFC" w:rsidRPr="00DF2B0D" w14:paraId="5CF2808E" w14:textId="77777777" w:rsidTr="009759B3">
              <w:trPr>
                <w:trHeight w:val="286"/>
              </w:trPr>
              <w:tc>
                <w:tcPr>
                  <w:tcW w:w="1494" w:type="dxa"/>
                  <w:tcBorders>
                    <w:top w:val="nil"/>
                    <w:left w:val="nil"/>
                    <w:bottom w:val="nil"/>
                    <w:right w:val="nil"/>
                  </w:tcBorders>
                  <w:shd w:val="clear" w:color="auto" w:fill="auto"/>
                  <w:noWrap/>
                  <w:vAlign w:val="center"/>
                  <w:hideMark/>
                </w:tcPr>
                <w:p w14:paraId="1857BFC0"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7963D508" w14:textId="66FC110F"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r w:rsidR="0097424C" w:rsidRPr="0097424C">
                    <w:rPr>
                      <w:rFonts w:ascii="Calibri" w:eastAsia="Times New Roman" w:hAnsi="Calibri" w:cs="Times New Roman"/>
                      <w:i/>
                      <w:color w:val="000000"/>
                      <w:sz w:val="20"/>
                      <w:szCs w:val="20"/>
                      <w:vertAlign w:val="superscript"/>
                    </w:rPr>
                    <w:t>a</w:t>
                  </w:r>
                </w:p>
              </w:tc>
              <w:tc>
                <w:tcPr>
                  <w:tcW w:w="1494" w:type="dxa"/>
                  <w:tcBorders>
                    <w:top w:val="nil"/>
                    <w:left w:val="nil"/>
                    <w:bottom w:val="nil"/>
                    <w:right w:val="nil"/>
                  </w:tcBorders>
                  <w:shd w:val="clear" w:color="auto" w:fill="auto"/>
                  <w:noWrap/>
                  <w:vAlign w:val="center"/>
                  <w:hideMark/>
                </w:tcPr>
                <w:p w14:paraId="05F07B29"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75B1930E"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7" w:type="dxa"/>
                  <w:tcBorders>
                    <w:top w:val="nil"/>
                    <w:left w:val="nil"/>
                    <w:bottom w:val="nil"/>
                    <w:right w:val="nil"/>
                  </w:tcBorders>
                  <w:shd w:val="clear" w:color="auto" w:fill="auto"/>
                  <w:noWrap/>
                  <w:vAlign w:val="center"/>
                  <w:hideMark/>
                </w:tcPr>
                <w:p w14:paraId="3863850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-0.0030(7)</w:t>
                  </w:r>
                </w:p>
              </w:tc>
            </w:tr>
            <w:tr w:rsidR="00C75BFC" w:rsidRPr="00DF2B0D" w14:paraId="1CB877E3" w14:textId="77777777" w:rsidTr="009759B3">
              <w:trPr>
                <w:trHeight w:val="286"/>
              </w:trPr>
              <w:tc>
                <w:tcPr>
                  <w:tcW w:w="1494" w:type="dxa"/>
                  <w:tcBorders>
                    <w:top w:val="nil"/>
                    <w:left w:val="nil"/>
                    <w:bottom w:val="nil"/>
                    <w:right w:val="nil"/>
                  </w:tcBorders>
                  <w:shd w:val="clear" w:color="auto" w:fill="auto"/>
                  <w:noWrap/>
                  <w:vAlign w:val="center"/>
                  <w:hideMark/>
                </w:tcPr>
                <w:p w14:paraId="5E3AB7D4"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0DAB1D9B"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p>
              </w:tc>
              <w:tc>
                <w:tcPr>
                  <w:tcW w:w="1494" w:type="dxa"/>
                  <w:tcBorders>
                    <w:top w:val="nil"/>
                    <w:left w:val="nil"/>
                    <w:bottom w:val="nil"/>
                    <w:right w:val="nil"/>
                  </w:tcBorders>
                  <w:shd w:val="clear" w:color="auto" w:fill="auto"/>
                  <w:noWrap/>
                  <w:vAlign w:val="center"/>
                  <w:hideMark/>
                </w:tcPr>
                <w:p w14:paraId="789B71C3"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-0.0123(15)</w:t>
                  </w:r>
                </w:p>
              </w:tc>
              <w:tc>
                <w:tcPr>
                  <w:tcW w:w="1494" w:type="dxa"/>
                  <w:tcBorders>
                    <w:top w:val="nil"/>
                    <w:left w:val="nil"/>
                    <w:bottom w:val="nil"/>
                    <w:right w:val="nil"/>
                  </w:tcBorders>
                  <w:shd w:val="clear" w:color="auto" w:fill="auto"/>
                  <w:noWrap/>
                  <w:vAlign w:val="center"/>
                  <w:hideMark/>
                </w:tcPr>
                <w:p w14:paraId="7E68375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0.0220(11)</w:t>
                  </w:r>
                </w:p>
              </w:tc>
              <w:tc>
                <w:tcPr>
                  <w:tcW w:w="1497" w:type="dxa"/>
                  <w:tcBorders>
                    <w:top w:val="nil"/>
                    <w:left w:val="nil"/>
                    <w:bottom w:val="nil"/>
                    <w:right w:val="nil"/>
                  </w:tcBorders>
                  <w:shd w:val="clear" w:color="auto" w:fill="auto"/>
                  <w:noWrap/>
                  <w:vAlign w:val="center"/>
                  <w:hideMark/>
                </w:tcPr>
                <w:p w14:paraId="7F207F1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r>
            <w:tr w:rsidR="00C75BFC" w:rsidRPr="00DF2B0D" w14:paraId="73D4E365" w14:textId="77777777" w:rsidTr="009759B3">
              <w:trPr>
                <w:trHeight w:val="286"/>
              </w:trPr>
              <w:tc>
                <w:tcPr>
                  <w:tcW w:w="1494" w:type="dxa"/>
                  <w:tcBorders>
                    <w:top w:val="nil"/>
                    <w:left w:val="nil"/>
                    <w:bottom w:val="nil"/>
                    <w:right w:val="nil"/>
                  </w:tcBorders>
                  <w:shd w:val="clear" w:color="auto" w:fill="auto"/>
                  <w:noWrap/>
                  <w:vAlign w:val="center"/>
                  <w:hideMark/>
                </w:tcPr>
                <w:p w14:paraId="6BDC13E8"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74F4A051"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nil"/>
                    <w:right w:val="nil"/>
                  </w:tcBorders>
                  <w:shd w:val="clear" w:color="auto" w:fill="auto"/>
                  <w:noWrap/>
                  <w:vAlign w:val="center"/>
                  <w:hideMark/>
                </w:tcPr>
                <w:p w14:paraId="67B73923"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7B17DB5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7" w:type="dxa"/>
                  <w:tcBorders>
                    <w:top w:val="nil"/>
                    <w:left w:val="nil"/>
                    <w:bottom w:val="nil"/>
                    <w:right w:val="nil"/>
                  </w:tcBorders>
                  <w:shd w:val="clear" w:color="auto" w:fill="auto"/>
                  <w:noWrap/>
                  <w:vAlign w:val="center"/>
                  <w:hideMark/>
                </w:tcPr>
                <w:p w14:paraId="5D467A7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0.0032(6)</w:t>
                  </w:r>
                </w:p>
              </w:tc>
            </w:tr>
            <w:tr w:rsidR="00C75BFC" w:rsidRPr="00DF2B0D" w14:paraId="1C013494" w14:textId="77777777" w:rsidTr="009759B3">
              <w:trPr>
                <w:trHeight w:val="286"/>
              </w:trPr>
              <w:tc>
                <w:tcPr>
                  <w:tcW w:w="1494" w:type="dxa"/>
                  <w:tcBorders>
                    <w:top w:val="nil"/>
                    <w:left w:val="nil"/>
                    <w:bottom w:val="single" w:sz="8" w:space="0" w:color="auto"/>
                    <w:right w:val="nil"/>
                  </w:tcBorders>
                  <w:shd w:val="clear" w:color="auto" w:fill="auto"/>
                  <w:noWrap/>
                  <w:vAlign w:val="center"/>
                  <w:hideMark/>
                </w:tcPr>
                <w:p w14:paraId="4924946C"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single" w:sz="8" w:space="0" w:color="auto"/>
                    <w:right w:val="nil"/>
                  </w:tcBorders>
                  <w:shd w:val="clear" w:color="auto" w:fill="auto"/>
                  <w:noWrap/>
                  <w:vAlign w:val="center"/>
                  <w:hideMark/>
                </w:tcPr>
                <w:p w14:paraId="1B5EE175"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single" w:sz="8" w:space="0" w:color="auto"/>
                    <w:right w:val="nil"/>
                  </w:tcBorders>
                  <w:shd w:val="clear" w:color="auto" w:fill="auto"/>
                  <w:noWrap/>
                  <w:vAlign w:val="center"/>
                  <w:hideMark/>
                </w:tcPr>
                <w:p w14:paraId="21FC006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0.0220(11)</w:t>
                  </w:r>
                </w:p>
              </w:tc>
              <w:tc>
                <w:tcPr>
                  <w:tcW w:w="1494" w:type="dxa"/>
                  <w:tcBorders>
                    <w:top w:val="nil"/>
                    <w:left w:val="nil"/>
                    <w:bottom w:val="single" w:sz="8" w:space="0" w:color="auto"/>
                    <w:right w:val="nil"/>
                  </w:tcBorders>
                  <w:shd w:val="clear" w:color="auto" w:fill="auto"/>
                  <w:noWrap/>
                  <w:vAlign w:val="center"/>
                  <w:hideMark/>
                </w:tcPr>
                <w:p w14:paraId="5BA81A0D"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-0.0123(15)</w:t>
                  </w:r>
                </w:p>
              </w:tc>
              <w:tc>
                <w:tcPr>
                  <w:tcW w:w="1497" w:type="dxa"/>
                  <w:tcBorders>
                    <w:top w:val="nil"/>
                    <w:left w:val="nil"/>
                    <w:bottom w:val="single" w:sz="8" w:space="0" w:color="auto"/>
                    <w:right w:val="nil"/>
                  </w:tcBorders>
                  <w:shd w:val="clear" w:color="auto" w:fill="auto"/>
                  <w:noWrap/>
                  <w:vAlign w:val="center"/>
                  <w:hideMark/>
                </w:tcPr>
                <w:p w14:paraId="5AFC4C1F"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r>
            <w:tr w:rsidR="00C75BFC" w:rsidRPr="00DF2B0D" w14:paraId="15515281" w14:textId="77777777" w:rsidTr="009759B3">
              <w:trPr>
                <w:trHeight w:val="286"/>
              </w:trPr>
              <w:tc>
                <w:tcPr>
                  <w:tcW w:w="1494" w:type="dxa"/>
                  <w:tcBorders>
                    <w:top w:val="nil"/>
                    <w:left w:val="nil"/>
                    <w:bottom w:val="nil"/>
                    <w:right w:val="nil"/>
                  </w:tcBorders>
                  <w:shd w:val="clear" w:color="auto" w:fill="auto"/>
                  <w:noWrap/>
                  <w:vAlign w:val="center"/>
                  <w:hideMark/>
                </w:tcPr>
                <w:p w14:paraId="754ADA25"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Nb/W</w:t>
                  </w:r>
                </w:p>
              </w:tc>
              <w:tc>
                <w:tcPr>
                  <w:tcW w:w="1494" w:type="dxa"/>
                  <w:tcBorders>
                    <w:top w:val="nil"/>
                    <w:left w:val="nil"/>
                    <w:bottom w:val="nil"/>
                    <w:right w:val="nil"/>
                  </w:tcBorders>
                  <w:shd w:val="clear" w:color="auto" w:fill="auto"/>
                  <w:noWrap/>
                  <w:vAlign w:val="center"/>
                  <w:hideMark/>
                </w:tcPr>
                <w:p w14:paraId="539FA91D"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r w:rsidRPr="00DF2B0D">
                    <w:rPr>
                      <w:rFonts w:ascii="Calibri" w:eastAsia="Times New Roman" w:hAnsi="Calibri" w:cs="Times New Roman"/>
                      <w:color w:val="000000"/>
                      <w:sz w:val="20"/>
                      <w:szCs w:val="20"/>
                    </w:rPr>
                    <w:t>position</w:t>
                  </w:r>
                </w:p>
              </w:tc>
              <w:tc>
                <w:tcPr>
                  <w:tcW w:w="1494" w:type="dxa"/>
                  <w:tcBorders>
                    <w:top w:val="nil"/>
                    <w:left w:val="nil"/>
                    <w:bottom w:val="nil"/>
                    <w:right w:val="nil"/>
                  </w:tcBorders>
                  <w:shd w:val="clear" w:color="auto" w:fill="auto"/>
                  <w:noWrap/>
                  <w:vAlign w:val="center"/>
                  <w:hideMark/>
                </w:tcPr>
                <w:p w14:paraId="2F27982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1D03CE4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0.25</w:t>
                  </w:r>
                </w:p>
              </w:tc>
              <w:tc>
                <w:tcPr>
                  <w:tcW w:w="1497" w:type="dxa"/>
                  <w:tcBorders>
                    <w:top w:val="nil"/>
                    <w:left w:val="nil"/>
                    <w:bottom w:val="nil"/>
                    <w:right w:val="nil"/>
                  </w:tcBorders>
                  <w:shd w:val="clear" w:color="auto" w:fill="auto"/>
                  <w:noWrap/>
                  <w:vAlign w:val="center"/>
                  <w:hideMark/>
                </w:tcPr>
                <w:p w14:paraId="360C6A28"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0.125</w:t>
                  </w:r>
                </w:p>
              </w:tc>
            </w:tr>
            <w:tr w:rsidR="00C75BFC" w:rsidRPr="00DF2B0D" w14:paraId="060A3B62" w14:textId="77777777" w:rsidTr="009759B3">
              <w:trPr>
                <w:trHeight w:val="286"/>
              </w:trPr>
              <w:tc>
                <w:tcPr>
                  <w:tcW w:w="1494" w:type="dxa"/>
                  <w:tcBorders>
                    <w:top w:val="nil"/>
                    <w:left w:val="nil"/>
                    <w:bottom w:val="nil"/>
                    <w:right w:val="nil"/>
                  </w:tcBorders>
                  <w:shd w:val="clear" w:color="auto" w:fill="auto"/>
                  <w:noWrap/>
                  <w:vAlign w:val="center"/>
                  <w:hideMark/>
                </w:tcPr>
                <w:p w14:paraId="6BD6EDC3"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2F6C35F2"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p>
              </w:tc>
              <w:tc>
                <w:tcPr>
                  <w:tcW w:w="1494" w:type="dxa"/>
                  <w:tcBorders>
                    <w:top w:val="nil"/>
                    <w:left w:val="nil"/>
                    <w:bottom w:val="nil"/>
                    <w:right w:val="nil"/>
                  </w:tcBorders>
                  <w:shd w:val="clear" w:color="auto" w:fill="auto"/>
                  <w:noWrap/>
                  <w:vAlign w:val="center"/>
                  <w:hideMark/>
                </w:tcPr>
                <w:p w14:paraId="655E522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6E82F98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7" w:type="dxa"/>
                  <w:tcBorders>
                    <w:top w:val="nil"/>
                    <w:left w:val="nil"/>
                    <w:bottom w:val="nil"/>
                    <w:right w:val="nil"/>
                  </w:tcBorders>
                  <w:shd w:val="clear" w:color="auto" w:fill="auto"/>
                  <w:noWrap/>
                  <w:vAlign w:val="center"/>
                  <w:hideMark/>
                </w:tcPr>
                <w:p w14:paraId="31AAF1C7"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0.0088(8)</w:t>
                  </w:r>
                </w:p>
              </w:tc>
            </w:tr>
            <w:tr w:rsidR="00C75BFC" w:rsidRPr="00DF2B0D" w14:paraId="4456D834" w14:textId="77777777" w:rsidTr="009759B3">
              <w:trPr>
                <w:trHeight w:val="286"/>
              </w:trPr>
              <w:tc>
                <w:tcPr>
                  <w:tcW w:w="1494" w:type="dxa"/>
                  <w:tcBorders>
                    <w:top w:val="nil"/>
                    <w:left w:val="nil"/>
                    <w:bottom w:val="nil"/>
                    <w:right w:val="nil"/>
                  </w:tcBorders>
                  <w:shd w:val="clear" w:color="auto" w:fill="auto"/>
                  <w:noWrap/>
                  <w:vAlign w:val="center"/>
                  <w:hideMark/>
                </w:tcPr>
                <w:p w14:paraId="5194DB25"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56A7EB4A"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p>
              </w:tc>
              <w:tc>
                <w:tcPr>
                  <w:tcW w:w="1494" w:type="dxa"/>
                  <w:tcBorders>
                    <w:top w:val="nil"/>
                    <w:left w:val="nil"/>
                    <w:bottom w:val="nil"/>
                    <w:right w:val="nil"/>
                  </w:tcBorders>
                  <w:shd w:val="clear" w:color="auto" w:fill="auto"/>
                  <w:noWrap/>
                  <w:vAlign w:val="center"/>
                  <w:hideMark/>
                </w:tcPr>
                <w:p w14:paraId="02FA4F5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-0.0076(16)</w:t>
                  </w:r>
                </w:p>
              </w:tc>
              <w:tc>
                <w:tcPr>
                  <w:tcW w:w="1494" w:type="dxa"/>
                  <w:tcBorders>
                    <w:top w:val="nil"/>
                    <w:left w:val="nil"/>
                    <w:bottom w:val="nil"/>
                    <w:right w:val="nil"/>
                  </w:tcBorders>
                  <w:shd w:val="clear" w:color="auto" w:fill="auto"/>
                  <w:noWrap/>
                  <w:vAlign w:val="center"/>
                  <w:hideMark/>
                </w:tcPr>
                <w:p w14:paraId="57C2DE86"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0.0218(13)</w:t>
                  </w:r>
                </w:p>
              </w:tc>
              <w:tc>
                <w:tcPr>
                  <w:tcW w:w="1497" w:type="dxa"/>
                  <w:tcBorders>
                    <w:top w:val="nil"/>
                    <w:left w:val="nil"/>
                    <w:bottom w:val="nil"/>
                    <w:right w:val="nil"/>
                  </w:tcBorders>
                  <w:shd w:val="clear" w:color="auto" w:fill="auto"/>
                  <w:noWrap/>
                  <w:vAlign w:val="center"/>
                  <w:hideMark/>
                </w:tcPr>
                <w:p w14:paraId="69DFA8AD"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r>
            <w:tr w:rsidR="00C75BFC" w:rsidRPr="00DF2B0D" w14:paraId="7F3DF4F0" w14:textId="77777777" w:rsidTr="009759B3">
              <w:trPr>
                <w:trHeight w:val="286"/>
              </w:trPr>
              <w:tc>
                <w:tcPr>
                  <w:tcW w:w="1494" w:type="dxa"/>
                  <w:tcBorders>
                    <w:top w:val="nil"/>
                    <w:left w:val="nil"/>
                    <w:bottom w:val="nil"/>
                    <w:right w:val="nil"/>
                  </w:tcBorders>
                  <w:shd w:val="clear" w:color="auto" w:fill="auto"/>
                  <w:noWrap/>
                  <w:vAlign w:val="center"/>
                  <w:hideMark/>
                </w:tcPr>
                <w:p w14:paraId="52B1172F"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6ED34D2C"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nil"/>
                    <w:right w:val="nil"/>
                  </w:tcBorders>
                  <w:shd w:val="clear" w:color="auto" w:fill="auto"/>
                  <w:noWrap/>
                  <w:vAlign w:val="center"/>
                  <w:hideMark/>
                </w:tcPr>
                <w:p w14:paraId="3B448EC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4" w:type="dxa"/>
                  <w:tcBorders>
                    <w:top w:val="nil"/>
                    <w:left w:val="nil"/>
                    <w:bottom w:val="nil"/>
                    <w:right w:val="nil"/>
                  </w:tcBorders>
                  <w:shd w:val="clear" w:color="auto" w:fill="auto"/>
                  <w:noWrap/>
                  <w:vAlign w:val="center"/>
                  <w:hideMark/>
                </w:tcPr>
                <w:p w14:paraId="5026B45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c>
                <w:tcPr>
                  <w:tcW w:w="1497" w:type="dxa"/>
                  <w:tcBorders>
                    <w:top w:val="nil"/>
                    <w:left w:val="nil"/>
                    <w:bottom w:val="nil"/>
                    <w:right w:val="nil"/>
                  </w:tcBorders>
                  <w:shd w:val="clear" w:color="auto" w:fill="auto"/>
                  <w:noWrap/>
                  <w:vAlign w:val="center"/>
                  <w:hideMark/>
                </w:tcPr>
                <w:p w14:paraId="77E09EED"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-0.0088(8)</w:t>
                  </w:r>
                </w:p>
              </w:tc>
            </w:tr>
            <w:tr w:rsidR="00C75BFC" w:rsidRPr="00DF2B0D" w14:paraId="11C829FA" w14:textId="77777777" w:rsidTr="009759B3">
              <w:trPr>
                <w:trHeight w:val="286"/>
              </w:trPr>
              <w:tc>
                <w:tcPr>
                  <w:tcW w:w="1494" w:type="dxa"/>
                  <w:tcBorders>
                    <w:top w:val="nil"/>
                    <w:left w:val="nil"/>
                    <w:bottom w:val="nil"/>
                    <w:right w:val="nil"/>
                  </w:tcBorders>
                  <w:shd w:val="clear" w:color="auto" w:fill="auto"/>
                  <w:noWrap/>
                  <w:vAlign w:val="center"/>
                  <w:hideMark/>
                </w:tcPr>
                <w:p w14:paraId="06EA8B5C"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6EF0F8C0"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nil"/>
                    <w:right w:val="nil"/>
                  </w:tcBorders>
                  <w:shd w:val="clear" w:color="auto" w:fill="auto"/>
                  <w:noWrap/>
                  <w:vAlign w:val="center"/>
                  <w:hideMark/>
                </w:tcPr>
                <w:p w14:paraId="2D83BDA9"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-0.0218(13)</w:t>
                  </w:r>
                </w:p>
              </w:tc>
              <w:tc>
                <w:tcPr>
                  <w:tcW w:w="1494" w:type="dxa"/>
                  <w:tcBorders>
                    <w:top w:val="nil"/>
                    <w:left w:val="nil"/>
                    <w:bottom w:val="nil"/>
                    <w:right w:val="nil"/>
                  </w:tcBorders>
                  <w:shd w:val="clear" w:color="auto" w:fill="auto"/>
                  <w:noWrap/>
                  <w:vAlign w:val="center"/>
                  <w:hideMark/>
                </w:tcPr>
                <w:p w14:paraId="320FC30E"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-0.0076(16)</w:t>
                  </w:r>
                </w:p>
              </w:tc>
              <w:tc>
                <w:tcPr>
                  <w:tcW w:w="1497" w:type="dxa"/>
                  <w:tcBorders>
                    <w:top w:val="nil"/>
                    <w:left w:val="nil"/>
                    <w:bottom w:val="nil"/>
                    <w:right w:val="nil"/>
                  </w:tcBorders>
                  <w:shd w:val="clear" w:color="auto" w:fill="auto"/>
                  <w:noWrap/>
                  <w:vAlign w:val="center"/>
                  <w:hideMark/>
                </w:tcPr>
                <w:p w14:paraId="21BAAE94"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w:t>
                  </w:r>
                </w:p>
              </w:tc>
            </w:tr>
            <w:tr w:rsidR="00C75BFC" w:rsidRPr="00DF2B0D" w14:paraId="75DB8C90" w14:textId="77777777" w:rsidTr="009759B3">
              <w:trPr>
                <w:trHeight w:val="286"/>
              </w:trPr>
              <w:tc>
                <w:tcPr>
                  <w:tcW w:w="1494" w:type="dxa"/>
                  <w:tcBorders>
                    <w:top w:val="nil"/>
                    <w:left w:val="nil"/>
                    <w:bottom w:val="single" w:sz="8" w:space="0" w:color="auto"/>
                    <w:right w:val="nil"/>
                  </w:tcBorders>
                  <w:shd w:val="clear" w:color="auto" w:fill="auto"/>
                  <w:noWrap/>
                  <w:vAlign w:val="center"/>
                  <w:hideMark/>
                </w:tcPr>
                <w:p w14:paraId="46FF16DD"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single" w:sz="8" w:space="0" w:color="auto"/>
                    <w:right w:val="nil"/>
                  </w:tcBorders>
                  <w:shd w:val="clear" w:color="auto" w:fill="auto"/>
                  <w:noWrap/>
                  <w:vAlign w:val="center"/>
                  <w:hideMark/>
                </w:tcPr>
                <w:p w14:paraId="431CFB38" w14:textId="5CAE96F1"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p</w:t>
                  </w:r>
                  <w:r w:rsidRPr="00DF2B0D">
                    <w:rPr>
                      <w:rFonts w:ascii="Calibri" w:eastAsia="Times New Roman" w:hAnsi="Calibri" w:cs="Times New Roman"/>
                      <w:i/>
                      <w:color w:val="000000"/>
                      <w:sz w:val="20"/>
                      <w:szCs w:val="20"/>
                      <w:vertAlign w:val="subscript"/>
                    </w:rPr>
                    <w:t>c1</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 xml:space="preserve"> p</w:t>
                  </w:r>
                  <w:r w:rsidRPr="00DF2B0D">
                    <w:rPr>
                      <w:rFonts w:ascii="Calibri" w:eastAsia="Times New Roman" w:hAnsi="Calibri" w:cs="Times New Roman"/>
                      <w:i/>
                      <w:color w:val="000000"/>
                      <w:sz w:val="20"/>
                      <w:szCs w:val="20"/>
                      <w:vertAlign w:val="subscript"/>
                    </w:rPr>
                    <w:t>c2</w:t>
                  </w:r>
                  <w:r w:rsidR="0097424C" w:rsidRPr="0097424C">
                    <w:rPr>
                      <w:rFonts w:ascii="Calibri" w:eastAsia="Times New Roman" w:hAnsi="Calibri" w:cs="Times New Roman"/>
                      <w:i/>
                      <w:color w:val="000000"/>
                      <w:sz w:val="20"/>
                      <w:szCs w:val="20"/>
                      <w:vertAlign w:val="superscript"/>
                    </w:rPr>
                    <w:t>b</w:t>
                  </w:r>
                </w:p>
              </w:tc>
              <w:tc>
                <w:tcPr>
                  <w:tcW w:w="4485" w:type="dxa"/>
                  <w:gridSpan w:val="3"/>
                  <w:tcBorders>
                    <w:top w:val="nil"/>
                    <w:left w:val="nil"/>
                    <w:bottom w:val="single" w:sz="8" w:space="0" w:color="auto"/>
                    <w:right w:val="nil"/>
                  </w:tcBorders>
                  <w:shd w:val="clear" w:color="auto" w:fill="auto"/>
                  <w:noWrap/>
                  <w:vAlign w:val="center"/>
                  <w:hideMark/>
                </w:tcPr>
                <w:p w14:paraId="49DE7281"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-0.25(6),</w:t>
                  </w:r>
                  <w:r w:rsidRPr="00DF2B0D">
                    <w:t xml:space="preserve"> </w:t>
                  </w:r>
                  <w:r w:rsidRPr="00DF2B0D">
                    <w:rPr>
                      <w:rFonts w:ascii="Calibri" w:eastAsia="Times New Roman" w:hAnsi="Calibri" w:cs="Times New Roman"/>
                      <w:color w:val="000000"/>
                      <w:sz w:val="20"/>
                      <w:szCs w:val="20"/>
                    </w:rPr>
                    <w:t>-0.25(6)</w:t>
                  </w:r>
                </w:p>
              </w:tc>
            </w:tr>
            <w:tr w:rsidR="00C75BFC" w:rsidRPr="00DF2B0D" w14:paraId="3B2A953C" w14:textId="77777777" w:rsidTr="009759B3">
              <w:trPr>
                <w:trHeight w:val="286"/>
              </w:trPr>
              <w:tc>
                <w:tcPr>
                  <w:tcW w:w="1494" w:type="dxa"/>
                  <w:tcBorders>
                    <w:top w:val="nil"/>
                    <w:left w:val="nil"/>
                    <w:bottom w:val="nil"/>
                    <w:right w:val="nil"/>
                  </w:tcBorders>
                  <w:shd w:val="clear" w:color="auto" w:fill="auto"/>
                  <w:noWrap/>
                  <w:vAlign w:val="center"/>
                  <w:hideMark/>
                </w:tcPr>
                <w:p w14:paraId="02AC5804"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O</w:t>
                  </w:r>
                </w:p>
              </w:tc>
              <w:tc>
                <w:tcPr>
                  <w:tcW w:w="1494" w:type="dxa"/>
                  <w:tcBorders>
                    <w:top w:val="nil"/>
                    <w:left w:val="nil"/>
                    <w:bottom w:val="nil"/>
                    <w:right w:val="nil"/>
                  </w:tcBorders>
                  <w:shd w:val="clear" w:color="auto" w:fill="auto"/>
                  <w:noWrap/>
                  <w:vAlign w:val="center"/>
                  <w:hideMark/>
                </w:tcPr>
                <w:p w14:paraId="28B953EB"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r w:rsidRPr="00DF2B0D">
                    <w:rPr>
                      <w:rFonts w:ascii="Calibri" w:eastAsia="Times New Roman" w:hAnsi="Calibri" w:cs="Times New Roman"/>
                      <w:color w:val="000000"/>
                      <w:sz w:val="20"/>
                      <w:szCs w:val="20"/>
                    </w:rPr>
                    <w:t>position</w:t>
                  </w:r>
                </w:p>
              </w:tc>
              <w:tc>
                <w:tcPr>
                  <w:tcW w:w="1494" w:type="dxa"/>
                  <w:tcBorders>
                    <w:top w:val="nil"/>
                    <w:left w:val="nil"/>
                    <w:bottom w:val="nil"/>
                    <w:right w:val="nil"/>
                  </w:tcBorders>
                  <w:shd w:val="clear" w:color="auto" w:fill="auto"/>
                  <w:noWrap/>
                  <w:vAlign w:val="center"/>
                  <w:hideMark/>
                </w:tcPr>
                <w:p w14:paraId="68D51645"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0.240(1)</w:t>
                  </w:r>
                </w:p>
              </w:tc>
              <w:tc>
                <w:tcPr>
                  <w:tcW w:w="1494" w:type="dxa"/>
                  <w:tcBorders>
                    <w:top w:val="nil"/>
                    <w:left w:val="nil"/>
                    <w:bottom w:val="nil"/>
                    <w:right w:val="nil"/>
                  </w:tcBorders>
                  <w:shd w:val="clear" w:color="auto" w:fill="auto"/>
                  <w:noWrap/>
                  <w:vAlign w:val="center"/>
                  <w:hideMark/>
                </w:tcPr>
                <w:p w14:paraId="51C432E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0.092(3)</w:t>
                  </w:r>
                </w:p>
              </w:tc>
              <w:tc>
                <w:tcPr>
                  <w:tcW w:w="1497" w:type="dxa"/>
                  <w:tcBorders>
                    <w:top w:val="nil"/>
                    <w:left w:val="nil"/>
                    <w:bottom w:val="nil"/>
                    <w:right w:val="nil"/>
                  </w:tcBorders>
                  <w:shd w:val="clear" w:color="auto" w:fill="auto"/>
                  <w:noWrap/>
                  <w:vAlign w:val="center"/>
                  <w:hideMark/>
                </w:tcPr>
                <w:p w14:paraId="6EE0A519"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0.042 (1)</w:t>
                  </w:r>
                </w:p>
              </w:tc>
            </w:tr>
            <w:tr w:rsidR="00C75BFC" w:rsidRPr="00DF2B0D" w14:paraId="6B48BDD5" w14:textId="77777777" w:rsidTr="009759B3">
              <w:trPr>
                <w:trHeight w:val="200"/>
              </w:trPr>
              <w:tc>
                <w:tcPr>
                  <w:tcW w:w="1494" w:type="dxa"/>
                  <w:tcBorders>
                    <w:top w:val="nil"/>
                    <w:left w:val="nil"/>
                    <w:bottom w:val="nil"/>
                    <w:right w:val="nil"/>
                  </w:tcBorders>
                  <w:shd w:val="clear" w:color="auto" w:fill="auto"/>
                  <w:noWrap/>
                  <w:vAlign w:val="center"/>
                  <w:hideMark/>
                </w:tcPr>
                <w:p w14:paraId="6BAC0107"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p>
              </w:tc>
              <w:tc>
                <w:tcPr>
                  <w:tcW w:w="1494" w:type="dxa"/>
                  <w:tcBorders>
                    <w:top w:val="nil"/>
                    <w:left w:val="nil"/>
                    <w:bottom w:val="nil"/>
                    <w:right w:val="nil"/>
                  </w:tcBorders>
                  <w:shd w:val="clear" w:color="auto" w:fill="auto"/>
                  <w:noWrap/>
                  <w:vAlign w:val="center"/>
                  <w:hideMark/>
                </w:tcPr>
                <w:p w14:paraId="40B04867"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p>
              </w:tc>
              <w:tc>
                <w:tcPr>
                  <w:tcW w:w="1494" w:type="dxa"/>
                  <w:tcBorders>
                    <w:top w:val="nil"/>
                    <w:left w:val="nil"/>
                    <w:bottom w:val="nil"/>
                    <w:right w:val="nil"/>
                  </w:tcBorders>
                  <w:shd w:val="clear" w:color="auto" w:fill="auto"/>
                  <w:noWrap/>
                  <w:vAlign w:val="center"/>
                  <w:hideMark/>
                </w:tcPr>
                <w:p w14:paraId="45D66FC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-0.0008(18)</w:t>
                  </w:r>
                </w:p>
              </w:tc>
              <w:tc>
                <w:tcPr>
                  <w:tcW w:w="1494" w:type="dxa"/>
                  <w:tcBorders>
                    <w:top w:val="nil"/>
                    <w:left w:val="nil"/>
                    <w:bottom w:val="nil"/>
                    <w:right w:val="nil"/>
                  </w:tcBorders>
                  <w:shd w:val="clear" w:color="auto" w:fill="auto"/>
                  <w:noWrap/>
                  <w:vAlign w:val="center"/>
                  <w:hideMark/>
                </w:tcPr>
                <w:p w14:paraId="4E8A453C"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0.0043(16)</w:t>
                  </w:r>
                </w:p>
              </w:tc>
              <w:tc>
                <w:tcPr>
                  <w:tcW w:w="1497" w:type="dxa"/>
                  <w:tcBorders>
                    <w:top w:val="nil"/>
                    <w:left w:val="nil"/>
                    <w:bottom w:val="nil"/>
                    <w:right w:val="nil"/>
                  </w:tcBorders>
                  <w:shd w:val="clear" w:color="auto" w:fill="auto"/>
                  <w:noWrap/>
                  <w:vAlign w:val="center"/>
                  <w:hideMark/>
                </w:tcPr>
                <w:p w14:paraId="298EEDE2"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0.0031(7)</w:t>
                  </w:r>
                </w:p>
              </w:tc>
            </w:tr>
            <w:tr w:rsidR="00C75BFC" w:rsidRPr="00DF2B0D" w14:paraId="55DDAFC3" w14:textId="77777777" w:rsidTr="009759B3">
              <w:trPr>
                <w:trHeight w:val="286"/>
              </w:trPr>
              <w:tc>
                <w:tcPr>
                  <w:tcW w:w="1494" w:type="dxa"/>
                  <w:tcBorders>
                    <w:top w:val="nil"/>
                    <w:left w:val="nil"/>
                    <w:bottom w:val="nil"/>
                    <w:right w:val="nil"/>
                  </w:tcBorders>
                  <w:shd w:val="clear" w:color="auto" w:fill="auto"/>
                  <w:noWrap/>
                  <w:vAlign w:val="center"/>
                  <w:hideMark/>
                </w:tcPr>
                <w:p w14:paraId="60A78033"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p>
              </w:tc>
              <w:tc>
                <w:tcPr>
                  <w:tcW w:w="1494" w:type="dxa"/>
                  <w:tcBorders>
                    <w:top w:val="nil"/>
                    <w:left w:val="nil"/>
                    <w:bottom w:val="nil"/>
                    <w:right w:val="nil"/>
                  </w:tcBorders>
                  <w:shd w:val="clear" w:color="auto" w:fill="auto"/>
                  <w:noWrap/>
                  <w:vAlign w:val="center"/>
                  <w:hideMark/>
                </w:tcPr>
                <w:p w14:paraId="14EE0D0E"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1</w:t>
                  </w:r>
                </w:p>
              </w:tc>
              <w:tc>
                <w:tcPr>
                  <w:tcW w:w="1494" w:type="dxa"/>
                  <w:tcBorders>
                    <w:top w:val="nil"/>
                    <w:left w:val="nil"/>
                    <w:bottom w:val="nil"/>
                    <w:right w:val="nil"/>
                  </w:tcBorders>
                  <w:shd w:val="clear" w:color="auto" w:fill="auto"/>
                  <w:noWrap/>
                  <w:vAlign w:val="center"/>
                  <w:hideMark/>
                </w:tcPr>
                <w:p w14:paraId="0B77947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-0.0022(19)</w:t>
                  </w:r>
                </w:p>
              </w:tc>
              <w:tc>
                <w:tcPr>
                  <w:tcW w:w="1494" w:type="dxa"/>
                  <w:tcBorders>
                    <w:top w:val="nil"/>
                    <w:left w:val="nil"/>
                    <w:bottom w:val="nil"/>
                    <w:right w:val="nil"/>
                  </w:tcBorders>
                  <w:shd w:val="clear" w:color="auto" w:fill="auto"/>
                  <w:noWrap/>
                  <w:vAlign w:val="center"/>
                  <w:hideMark/>
                </w:tcPr>
                <w:p w14:paraId="0587BD41"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0.0334(15)</w:t>
                  </w:r>
                </w:p>
              </w:tc>
              <w:tc>
                <w:tcPr>
                  <w:tcW w:w="1497" w:type="dxa"/>
                  <w:tcBorders>
                    <w:top w:val="nil"/>
                    <w:left w:val="nil"/>
                    <w:bottom w:val="nil"/>
                    <w:right w:val="nil"/>
                  </w:tcBorders>
                  <w:shd w:val="clear" w:color="auto" w:fill="auto"/>
                  <w:noWrap/>
                  <w:vAlign w:val="center"/>
                  <w:hideMark/>
                </w:tcPr>
                <w:p w14:paraId="43740B2E"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0.0036(7)</w:t>
                  </w:r>
                </w:p>
              </w:tc>
            </w:tr>
            <w:tr w:rsidR="00C75BFC" w:rsidRPr="00DF2B0D" w14:paraId="17D3FE99" w14:textId="77777777" w:rsidTr="009759B3">
              <w:trPr>
                <w:trHeight w:val="286"/>
              </w:trPr>
              <w:tc>
                <w:tcPr>
                  <w:tcW w:w="1494" w:type="dxa"/>
                  <w:tcBorders>
                    <w:top w:val="nil"/>
                    <w:left w:val="nil"/>
                    <w:bottom w:val="nil"/>
                    <w:right w:val="nil"/>
                  </w:tcBorders>
                  <w:shd w:val="clear" w:color="auto" w:fill="auto"/>
                  <w:noWrap/>
                  <w:vAlign w:val="center"/>
                  <w:hideMark/>
                </w:tcPr>
                <w:p w14:paraId="34ACB3B1"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p>
              </w:tc>
              <w:tc>
                <w:tcPr>
                  <w:tcW w:w="1494" w:type="dxa"/>
                  <w:tcBorders>
                    <w:top w:val="nil"/>
                    <w:left w:val="nil"/>
                    <w:bottom w:val="nil"/>
                    <w:right w:val="nil"/>
                  </w:tcBorders>
                  <w:shd w:val="clear" w:color="auto" w:fill="auto"/>
                  <w:noWrap/>
                  <w:vAlign w:val="center"/>
                  <w:hideMark/>
                </w:tcPr>
                <w:p w14:paraId="60765DB2"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s</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nil"/>
                    <w:right w:val="nil"/>
                  </w:tcBorders>
                  <w:shd w:val="clear" w:color="auto" w:fill="auto"/>
                  <w:noWrap/>
                  <w:vAlign w:val="center"/>
                  <w:hideMark/>
                </w:tcPr>
                <w:p w14:paraId="37F5720C"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-0.0001(15)</w:t>
                  </w:r>
                </w:p>
              </w:tc>
              <w:tc>
                <w:tcPr>
                  <w:tcW w:w="1494" w:type="dxa"/>
                  <w:tcBorders>
                    <w:top w:val="nil"/>
                    <w:left w:val="nil"/>
                    <w:bottom w:val="nil"/>
                    <w:right w:val="nil"/>
                  </w:tcBorders>
                  <w:shd w:val="clear" w:color="auto" w:fill="auto"/>
                  <w:noWrap/>
                  <w:vAlign w:val="center"/>
                  <w:hideMark/>
                </w:tcPr>
                <w:p w14:paraId="5E24FDE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-0.0040(2)</w:t>
                  </w:r>
                </w:p>
              </w:tc>
              <w:tc>
                <w:tcPr>
                  <w:tcW w:w="1497" w:type="dxa"/>
                  <w:tcBorders>
                    <w:top w:val="nil"/>
                    <w:left w:val="nil"/>
                    <w:bottom w:val="nil"/>
                    <w:right w:val="nil"/>
                  </w:tcBorders>
                  <w:shd w:val="clear" w:color="auto" w:fill="auto"/>
                  <w:noWrap/>
                  <w:vAlign w:val="center"/>
                  <w:hideMark/>
                </w:tcPr>
                <w:p w14:paraId="4C2DE5C1"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-0.0034(7)</w:t>
                  </w:r>
                </w:p>
              </w:tc>
            </w:tr>
            <w:tr w:rsidR="00C75BFC" w:rsidRPr="00DF2B0D" w14:paraId="5BC1C99C" w14:textId="77777777" w:rsidTr="009759B3">
              <w:trPr>
                <w:trHeight w:val="286"/>
              </w:trPr>
              <w:tc>
                <w:tcPr>
                  <w:tcW w:w="1494" w:type="dxa"/>
                  <w:tcBorders>
                    <w:top w:val="nil"/>
                    <w:left w:val="nil"/>
                    <w:bottom w:val="single" w:sz="8" w:space="0" w:color="auto"/>
                    <w:right w:val="nil"/>
                  </w:tcBorders>
                  <w:shd w:val="clear" w:color="auto" w:fill="auto"/>
                  <w:noWrap/>
                  <w:vAlign w:val="center"/>
                  <w:hideMark/>
                </w:tcPr>
                <w:p w14:paraId="3ADAF31F"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p>
              </w:tc>
              <w:tc>
                <w:tcPr>
                  <w:tcW w:w="1494" w:type="dxa"/>
                  <w:tcBorders>
                    <w:top w:val="nil"/>
                    <w:left w:val="nil"/>
                    <w:bottom w:val="single" w:sz="8" w:space="0" w:color="auto"/>
                    <w:right w:val="nil"/>
                  </w:tcBorders>
                  <w:shd w:val="clear" w:color="auto" w:fill="auto"/>
                  <w:noWrap/>
                  <w:vAlign w:val="center"/>
                  <w:hideMark/>
                </w:tcPr>
                <w:p w14:paraId="7CADC74C" w14:textId="77777777" w:rsidR="00C75BFC" w:rsidRPr="00DF2B0D" w:rsidRDefault="00C75BFC" w:rsidP="009759B3">
                  <w:pPr>
                    <w:spacing w:before="0" w:after="0" w:line="240" w:lineRule="auto"/>
                    <w:jc w:val="center"/>
                    <w:rPr>
                      <w:rFonts w:ascii="Calibri" w:eastAsia="Times New Roman" w:hAnsi="Calibri" w:cs="Times New Roman"/>
                      <w:i/>
                      <w:color w:val="000000"/>
                      <w:sz w:val="20"/>
                      <w:szCs w:val="20"/>
                    </w:rPr>
                  </w:pPr>
                  <w:r w:rsidRPr="00DF2B0D">
                    <w:rPr>
                      <w:rFonts w:ascii="Calibri" w:eastAsia="Times New Roman" w:hAnsi="Calibri" w:cs="Times New Roman"/>
                      <w:i/>
                      <w:color w:val="000000"/>
                      <w:sz w:val="20"/>
                      <w:szCs w:val="20"/>
                    </w:rPr>
                    <w:t>c</w:t>
                  </w:r>
                  <w:r w:rsidRPr="00DF2B0D">
                    <w:rPr>
                      <w:rFonts w:ascii="Calibri" w:eastAsia="Times New Roman" w:hAnsi="Calibri" w:cs="Times New Roman"/>
                      <w:color w:val="000000"/>
                      <w:sz w:val="20"/>
                      <w:szCs w:val="20"/>
                    </w:rPr>
                    <w:t>,</w:t>
                  </w:r>
                  <w:r w:rsidRPr="00DF2B0D">
                    <w:rPr>
                      <w:rFonts w:ascii="Calibri" w:eastAsia="Times New Roman" w:hAnsi="Calibri" w:cs="Times New Roman"/>
                      <w:i/>
                      <w:color w:val="000000"/>
                      <w:sz w:val="20"/>
                      <w:szCs w:val="20"/>
                    </w:rPr>
                    <w:t>2</w:t>
                  </w:r>
                </w:p>
              </w:tc>
              <w:tc>
                <w:tcPr>
                  <w:tcW w:w="1494" w:type="dxa"/>
                  <w:tcBorders>
                    <w:top w:val="nil"/>
                    <w:left w:val="nil"/>
                    <w:bottom w:val="single" w:sz="8" w:space="0" w:color="auto"/>
                    <w:right w:val="nil"/>
                  </w:tcBorders>
                  <w:shd w:val="clear" w:color="auto" w:fill="auto"/>
                  <w:noWrap/>
                  <w:vAlign w:val="center"/>
                  <w:hideMark/>
                </w:tcPr>
                <w:p w14:paraId="31C3A30D"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-0.0289(13)</w:t>
                  </w:r>
                </w:p>
              </w:tc>
              <w:tc>
                <w:tcPr>
                  <w:tcW w:w="1494" w:type="dxa"/>
                  <w:tcBorders>
                    <w:top w:val="nil"/>
                    <w:left w:val="nil"/>
                    <w:bottom w:val="single" w:sz="8" w:space="0" w:color="auto"/>
                    <w:right w:val="nil"/>
                  </w:tcBorders>
                  <w:shd w:val="clear" w:color="auto" w:fill="auto"/>
                  <w:noWrap/>
                  <w:vAlign w:val="center"/>
                  <w:hideMark/>
                </w:tcPr>
                <w:p w14:paraId="3952E7B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-0.0143(19)</w:t>
                  </w:r>
                </w:p>
              </w:tc>
              <w:tc>
                <w:tcPr>
                  <w:tcW w:w="1497" w:type="dxa"/>
                  <w:tcBorders>
                    <w:top w:val="nil"/>
                    <w:left w:val="nil"/>
                    <w:bottom w:val="single" w:sz="8" w:space="0" w:color="auto"/>
                    <w:right w:val="nil"/>
                  </w:tcBorders>
                  <w:shd w:val="clear" w:color="auto" w:fill="auto"/>
                  <w:noWrap/>
                  <w:vAlign w:val="center"/>
                  <w:hideMark/>
                </w:tcPr>
                <w:p w14:paraId="3C8F2D18"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0.0021(8)</w:t>
                  </w:r>
                </w:p>
              </w:tc>
            </w:tr>
            <w:tr w:rsidR="00C75BFC" w:rsidRPr="00DF2B0D" w14:paraId="28E06921" w14:textId="77777777" w:rsidTr="009759B3">
              <w:trPr>
                <w:trHeight w:val="286"/>
              </w:trPr>
              <w:tc>
                <w:tcPr>
                  <w:tcW w:w="1494" w:type="dxa"/>
                  <w:tcBorders>
                    <w:top w:val="nil"/>
                    <w:left w:val="nil"/>
                    <w:bottom w:val="nil"/>
                    <w:right w:val="nil"/>
                  </w:tcBorders>
                  <w:shd w:val="clear" w:color="auto" w:fill="auto"/>
                  <w:noWrap/>
                  <w:vAlign w:val="center"/>
                  <w:hideMark/>
                </w:tcPr>
                <w:p w14:paraId="346041FC"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bottom w:val="nil"/>
                    <w:right w:val="nil"/>
                  </w:tcBorders>
                  <w:shd w:val="clear" w:color="auto" w:fill="auto"/>
                  <w:noWrap/>
                  <w:vAlign w:val="center"/>
                  <w:hideMark/>
                </w:tcPr>
                <w:p w14:paraId="6BD031FE"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Distance (Å)</w:t>
                  </w:r>
                </w:p>
              </w:tc>
              <w:tc>
                <w:tcPr>
                  <w:tcW w:w="1494" w:type="dxa"/>
                  <w:tcBorders>
                    <w:top w:val="nil"/>
                    <w:left w:val="nil"/>
                    <w:bottom w:val="nil"/>
                    <w:right w:val="nil"/>
                  </w:tcBorders>
                  <w:shd w:val="clear" w:color="auto" w:fill="auto"/>
                  <w:noWrap/>
                  <w:vAlign w:val="center"/>
                  <w:hideMark/>
                </w:tcPr>
                <w:p w14:paraId="2D1AC81F"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average</w:t>
                  </w:r>
                </w:p>
              </w:tc>
              <w:tc>
                <w:tcPr>
                  <w:tcW w:w="1494" w:type="dxa"/>
                  <w:tcBorders>
                    <w:top w:val="nil"/>
                    <w:left w:val="nil"/>
                    <w:bottom w:val="nil"/>
                    <w:right w:val="nil"/>
                  </w:tcBorders>
                  <w:shd w:val="clear" w:color="auto" w:fill="auto"/>
                  <w:noWrap/>
                  <w:vAlign w:val="center"/>
                  <w:hideMark/>
                </w:tcPr>
                <w:p w14:paraId="777C27FF"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min</w:t>
                  </w:r>
                </w:p>
              </w:tc>
              <w:tc>
                <w:tcPr>
                  <w:tcW w:w="1497" w:type="dxa"/>
                  <w:tcBorders>
                    <w:top w:val="nil"/>
                    <w:left w:val="nil"/>
                    <w:bottom w:val="nil"/>
                    <w:right w:val="nil"/>
                  </w:tcBorders>
                  <w:shd w:val="clear" w:color="auto" w:fill="auto"/>
                  <w:noWrap/>
                  <w:vAlign w:val="center"/>
                  <w:hideMark/>
                </w:tcPr>
                <w:p w14:paraId="7117609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max</w:t>
                  </w:r>
                </w:p>
              </w:tc>
            </w:tr>
            <w:tr w:rsidR="00C75BFC" w:rsidRPr="00DF2B0D" w14:paraId="7511D490" w14:textId="77777777" w:rsidTr="009759B3">
              <w:trPr>
                <w:trHeight w:val="286"/>
              </w:trPr>
              <w:tc>
                <w:tcPr>
                  <w:tcW w:w="1494" w:type="dxa"/>
                  <w:tcBorders>
                    <w:top w:val="nil"/>
                    <w:left w:val="nil"/>
                    <w:right w:val="nil"/>
                  </w:tcBorders>
                  <w:shd w:val="clear" w:color="auto" w:fill="auto"/>
                  <w:noWrap/>
                  <w:vAlign w:val="center"/>
                  <w:hideMark/>
                </w:tcPr>
                <w:p w14:paraId="442DD15C"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top w:val="nil"/>
                    <w:left w:val="nil"/>
                    <w:right w:val="nil"/>
                  </w:tcBorders>
                  <w:shd w:val="clear" w:color="auto" w:fill="auto"/>
                  <w:noWrap/>
                  <w:vAlign w:val="center"/>
                  <w:hideMark/>
                </w:tcPr>
                <w:p w14:paraId="2CC57D01"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La-O</w:t>
                  </w:r>
                </w:p>
              </w:tc>
              <w:tc>
                <w:tcPr>
                  <w:tcW w:w="1494" w:type="dxa"/>
                  <w:tcBorders>
                    <w:top w:val="nil"/>
                    <w:left w:val="nil"/>
                    <w:right w:val="nil"/>
                  </w:tcBorders>
                  <w:shd w:val="clear" w:color="auto" w:fill="auto"/>
                  <w:noWrap/>
                  <w:vAlign w:val="center"/>
                  <w:hideMark/>
                </w:tcPr>
                <w:p w14:paraId="2F596D40"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2.533</w:t>
                  </w:r>
                </w:p>
              </w:tc>
              <w:tc>
                <w:tcPr>
                  <w:tcW w:w="1494" w:type="dxa"/>
                  <w:tcBorders>
                    <w:top w:val="nil"/>
                    <w:left w:val="nil"/>
                    <w:right w:val="nil"/>
                  </w:tcBorders>
                  <w:shd w:val="clear" w:color="auto" w:fill="auto"/>
                  <w:noWrap/>
                  <w:vAlign w:val="center"/>
                  <w:hideMark/>
                </w:tcPr>
                <w:p w14:paraId="14C0FA95"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2.462</w:t>
                  </w:r>
                </w:p>
              </w:tc>
              <w:tc>
                <w:tcPr>
                  <w:tcW w:w="1497" w:type="dxa"/>
                  <w:tcBorders>
                    <w:top w:val="nil"/>
                    <w:left w:val="nil"/>
                    <w:right w:val="nil"/>
                  </w:tcBorders>
                  <w:shd w:val="clear" w:color="auto" w:fill="auto"/>
                  <w:noWrap/>
                  <w:vAlign w:val="center"/>
                  <w:hideMark/>
                </w:tcPr>
                <w:p w14:paraId="4A59E0CC"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2.572</w:t>
                  </w:r>
                </w:p>
              </w:tc>
            </w:tr>
            <w:tr w:rsidR="00C75BFC" w:rsidRPr="00DF2B0D" w14:paraId="7A7A6BFA" w14:textId="77777777" w:rsidTr="009759B3">
              <w:trPr>
                <w:trHeight w:val="286"/>
              </w:trPr>
              <w:tc>
                <w:tcPr>
                  <w:tcW w:w="1494" w:type="dxa"/>
                  <w:tcBorders>
                    <w:left w:val="nil"/>
                    <w:bottom w:val="single" w:sz="4" w:space="0" w:color="auto"/>
                    <w:right w:val="nil"/>
                  </w:tcBorders>
                  <w:shd w:val="clear" w:color="auto" w:fill="auto"/>
                  <w:noWrap/>
                  <w:vAlign w:val="center"/>
                  <w:hideMark/>
                </w:tcPr>
                <w:p w14:paraId="48148C14" w14:textId="77777777" w:rsidR="00C75BFC" w:rsidRPr="00DF2B0D" w:rsidRDefault="00C75BFC" w:rsidP="009759B3">
                  <w:pPr>
                    <w:spacing w:before="0" w:after="0" w:line="240" w:lineRule="auto"/>
                    <w:jc w:val="center"/>
                    <w:rPr>
                      <w:rFonts w:ascii="Calibri" w:eastAsia="Times New Roman" w:hAnsi="Calibri" w:cs="Times New Roman"/>
                      <w:color w:val="000000"/>
                      <w:sz w:val="22"/>
                    </w:rPr>
                  </w:pPr>
                </w:p>
              </w:tc>
              <w:tc>
                <w:tcPr>
                  <w:tcW w:w="1494" w:type="dxa"/>
                  <w:tcBorders>
                    <w:left w:val="nil"/>
                    <w:bottom w:val="single" w:sz="4" w:space="0" w:color="auto"/>
                    <w:right w:val="nil"/>
                  </w:tcBorders>
                  <w:shd w:val="clear" w:color="auto" w:fill="auto"/>
                  <w:noWrap/>
                  <w:vAlign w:val="center"/>
                  <w:hideMark/>
                </w:tcPr>
                <w:p w14:paraId="574EA72B"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Nb-O</w:t>
                  </w:r>
                </w:p>
              </w:tc>
              <w:tc>
                <w:tcPr>
                  <w:tcW w:w="1494" w:type="dxa"/>
                  <w:tcBorders>
                    <w:left w:val="nil"/>
                    <w:bottom w:val="single" w:sz="4" w:space="0" w:color="auto"/>
                    <w:right w:val="nil"/>
                  </w:tcBorders>
                  <w:shd w:val="clear" w:color="auto" w:fill="auto"/>
                  <w:noWrap/>
                  <w:vAlign w:val="center"/>
                  <w:hideMark/>
                </w:tcPr>
                <w:p w14:paraId="7F6FF688"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1.832</w:t>
                  </w:r>
                </w:p>
              </w:tc>
              <w:tc>
                <w:tcPr>
                  <w:tcW w:w="1494" w:type="dxa"/>
                  <w:tcBorders>
                    <w:left w:val="nil"/>
                    <w:bottom w:val="single" w:sz="4" w:space="0" w:color="auto"/>
                    <w:right w:val="nil"/>
                  </w:tcBorders>
                  <w:shd w:val="clear" w:color="auto" w:fill="auto"/>
                  <w:noWrap/>
                  <w:vAlign w:val="center"/>
                  <w:hideMark/>
                </w:tcPr>
                <w:p w14:paraId="0551BE6A"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1.772</w:t>
                  </w:r>
                </w:p>
              </w:tc>
              <w:tc>
                <w:tcPr>
                  <w:tcW w:w="1497" w:type="dxa"/>
                  <w:tcBorders>
                    <w:left w:val="nil"/>
                    <w:bottom w:val="single" w:sz="4" w:space="0" w:color="auto"/>
                    <w:right w:val="nil"/>
                  </w:tcBorders>
                  <w:shd w:val="clear" w:color="auto" w:fill="auto"/>
                  <w:noWrap/>
                  <w:vAlign w:val="center"/>
                  <w:hideMark/>
                </w:tcPr>
                <w:p w14:paraId="2C02977D" w14:textId="77777777" w:rsidR="00C75BFC" w:rsidRPr="00DF2B0D" w:rsidRDefault="00C75BFC" w:rsidP="009759B3">
                  <w:pPr>
                    <w:spacing w:before="0" w:after="0" w:line="240" w:lineRule="auto"/>
                    <w:jc w:val="center"/>
                    <w:rPr>
                      <w:rFonts w:ascii="Calibri" w:eastAsia="Times New Roman" w:hAnsi="Calibri" w:cs="Times New Roman"/>
                      <w:color w:val="000000"/>
                      <w:sz w:val="20"/>
                      <w:szCs w:val="20"/>
                    </w:rPr>
                  </w:pPr>
                  <w:r w:rsidRPr="00DF2B0D">
                    <w:rPr>
                      <w:rFonts w:ascii="Calibri" w:eastAsia="Times New Roman" w:hAnsi="Calibri" w:cs="Times New Roman"/>
                      <w:color w:val="000000"/>
                      <w:sz w:val="20"/>
                      <w:szCs w:val="20"/>
                    </w:rPr>
                    <w:t>1.902</w:t>
                  </w:r>
                </w:p>
              </w:tc>
            </w:tr>
          </w:tbl>
          <w:p w14:paraId="458D404B" w14:textId="77777777" w:rsidR="00C75BFC" w:rsidRPr="00DF2B0D" w:rsidRDefault="00C75BFC" w:rsidP="009759B3"/>
          <w:p w14:paraId="56E85B6E" w14:textId="77777777" w:rsidR="00C75BFC" w:rsidRPr="00DF2B0D" w:rsidRDefault="00C75BFC" w:rsidP="009759B3"/>
          <w:p w14:paraId="2B08712A" w14:textId="77777777" w:rsidR="00C75BFC" w:rsidRPr="00DF2B0D" w:rsidRDefault="00C75BFC" w:rsidP="009759B3"/>
          <w:p w14:paraId="07917BB9" w14:textId="06B3DFC1" w:rsidR="00C75BFC" w:rsidRPr="00DF2B0D" w:rsidRDefault="0097424C" w:rsidP="0097424C">
            <w:pPr>
              <w:pStyle w:val="ListParagraph"/>
              <w:ind w:right="771"/>
            </w:pPr>
            <w:r w:rsidRPr="0097424C">
              <w:rPr>
                <w:rFonts w:cs="Times New Roman"/>
                <w:szCs w:val="20"/>
                <w:vertAlign w:val="superscript"/>
              </w:rPr>
              <w:t>a</w:t>
            </w:r>
            <w:r w:rsidRPr="00DF2B0D">
              <w:rPr>
                <w:rFonts w:cs="Times New Roman"/>
                <w:szCs w:val="20"/>
              </w:rPr>
              <w:t xml:space="preserve"> </w:t>
            </w:r>
            <w:r w:rsidR="00C75BFC" w:rsidRPr="00DF2B0D">
              <w:rPr>
                <w:rFonts w:cs="Times New Roman"/>
                <w:szCs w:val="20"/>
              </w:rPr>
              <w:t>s, c stands for Fourier magnitude of sin and cos wave respectively; the number describes the wave vectors: the 1</w:t>
            </w:r>
            <w:r w:rsidR="00C75BFC" w:rsidRPr="00DF2B0D">
              <w:rPr>
                <w:rFonts w:cs="Times New Roman"/>
                <w:szCs w:val="20"/>
                <w:vertAlign w:val="superscript"/>
              </w:rPr>
              <w:t>st</w:t>
            </w:r>
            <w:r w:rsidR="00C75BFC" w:rsidRPr="00DF2B0D">
              <w:rPr>
                <w:rFonts w:cs="Times New Roman"/>
                <w:szCs w:val="20"/>
              </w:rPr>
              <w:t xml:space="preserve"> wave is along </w:t>
            </w:r>
            <w:r w:rsidR="00C75BFC" w:rsidRPr="00DF2B0D">
              <w:rPr>
                <w:rFonts w:eastAsia="Times New Roman" w:cs="Times New Roman"/>
                <w:b/>
                <w:i/>
                <w:color w:val="000000"/>
                <w:szCs w:val="18"/>
              </w:rPr>
              <w:t>q</w:t>
            </w:r>
            <w:r w:rsidR="00C75BFC" w:rsidRPr="00DF2B0D">
              <w:rPr>
                <w:rFonts w:eastAsia="Times New Roman" w:cs="Times New Roman"/>
                <w:b/>
                <w:i/>
                <w:color w:val="000000"/>
                <w:szCs w:val="18"/>
                <w:vertAlign w:val="subscript"/>
              </w:rPr>
              <w:t>1</w:t>
            </w:r>
            <w:r w:rsidR="00C75BFC" w:rsidRPr="00DF2B0D">
              <w:rPr>
                <w:rFonts w:eastAsia="Times New Roman" w:cs="Times New Roman"/>
                <w:i/>
                <w:color w:val="000000"/>
                <w:szCs w:val="18"/>
                <w:vertAlign w:val="superscript"/>
              </w:rPr>
              <w:t xml:space="preserve"> </w:t>
            </w:r>
            <w:r w:rsidR="00C75BFC" w:rsidRPr="00DF2B0D">
              <w:rPr>
                <w:rFonts w:cs="Times New Roman"/>
                <w:szCs w:val="20"/>
              </w:rPr>
              <w:t xml:space="preserve"> direction and the 2</w:t>
            </w:r>
            <w:r w:rsidR="00C75BFC" w:rsidRPr="00DF2B0D">
              <w:rPr>
                <w:rFonts w:cs="Times New Roman"/>
                <w:szCs w:val="20"/>
                <w:vertAlign w:val="superscript"/>
              </w:rPr>
              <w:t>nd</w:t>
            </w:r>
            <w:r w:rsidR="00C75BFC" w:rsidRPr="00DF2B0D">
              <w:rPr>
                <w:rFonts w:cs="Times New Roman"/>
                <w:szCs w:val="20"/>
              </w:rPr>
              <w:t xml:space="preserve"> wave is along </w:t>
            </w:r>
            <w:r w:rsidR="00C75BFC" w:rsidRPr="00DF2B0D">
              <w:rPr>
                <w:rFonts w:eastAsia="Times New Roman" w:cs="Times New Roman"/>
                <w:b/>
                <w:i/>
                <w:color w:val="000000"/>
                <w:szCs w:val="18"/>
              </w:rPr>
              <w:t>q</w:t>
            </w:r>
            <w:r w:rsidR="00C75BFC" w:rsidRPr="00DF2B0D">
              <w:rPr>
                <w:rFonts w:eastAsia="Times New Roman" w:cs="Times New Roman"/>
                <w:b/>
                <w:i/>
                <w:color w:val="000000"/>
                <w:szCs w:val="18"/>
                <w:vertAlign w:val="subscript"/>
              </w:rPr>
              <w:t>2</w:t>
            </w:r>
            <w:r w:rsidR="00C75BFC" w:rsidRPr="0097424C">
              <w:rPr>
                <w:rFonts w:eastAsia="Times New Roman" w:cs="Times New Roman"/>
                <w:i/>
                <w:color w:val="000000"/>
                <w:szCs w:val="18"/>
              </w:rPr>
              <w:t xml:space="preserve"> </w:t>
            </w:r>
            <w:r w:rsidR="00C75BFC" w:rsidRPr="00DF2B0D">
              <w:rPr>
                <w:rFonts w:cs="Times New Roman"/>
                <w:szCs w:val="20"/>
              </w:rPr>
              <w:t>direction</w:t>
            </w:r>
            <w:r>
              <w:rPr>
                <w:rFonts w:cs="Times New Roman"/>
                <w:szCs w:val="20"/>
              </w:rPr>
              <w:t xml:space="preserve">. </w:t>
            </w:r>
            <w:r w:rsidRPr="0097424C">
              <w:rPr>
                <w:rFonts w:cs="Times New Roman"/>
                <w:szCs w:val="20"/>
                <w:vertAlign w:val="superscript"/>
              </w:rPr>
              <w:t>b</w:t>
            </w:r>
            <w:r>
              <w:rPr>
                <w:rFonts w:cs="Times New Roman"/>
                <w:szCs w:val="20"/>
              </w:rPr>
              <w:t xml:space="preserve"> </w:t>
            </w:r>
            <m:oMath>
              <m:r>
                <w:rPr>
                  <w:rFonts w:ascii="Cambria Math" w:hAnsi="Cambria Math" w:cs="Times New Roman"/>
                  <w:szCs w:val="20"/>
                </w:rPr>
                <m:t xml:space="preserve">p = </m:t>
              </m:r>
              <m:sSubSup>
                <m:sSubSupPr>
                  <m:ctrlPr>
                    <w:rPr>
                      <w:rFonts w:ascii="Cambria Math" w:hAnsi="Cambria Math" w:cs="Times New Roman"/>
                      <w:i/>
                      <w:szCs w:val="20"/>
                    </w:rPr>
                  </m:ctrlPr>
                </m:sSubSupPr>
                <m:e>
                  <m:r>
                    <w:rPr>
                      <w:rFonts w:ascii="Cambria Math" w:hAnsi="Cambria Math" w:cs="Times New Roman"/>
                      <w:szCs w:val="20"/>
                    </w:rPr>
                    <m:t>p</m:t>
                  </m:r>
                </m:e>
                <m:sub>
                  <m:r>
                    <w:rPr>
                      <w:rFonts w:ascii="Cambria Math" w:hAnsi="Cambria Math" w:cs="Times New Roman"/>
                      <w:szCs w:val="20"/>
                    </w:rPr>
                    <m:t>0</m:t>
                  </m:r>
                </m:sub>
                <m:sup/>
              </m:sSubSup>
              <m:r>
                <w:rPr>
                  <w:rFonts w:ascii="Cambria Math" w:hAnsi="Cambria Math" w:cs="Times New Roman"/>
                  <w:szCs w:val="20"/>
                </w:rPr>
                <m:t>+</m:t>
              </m:r>
              <m:sSubSup>
                <m:sSubSupPr>
                  <m:ctrlPr>
                    <w:rPr>
                      <w:rFonts w:ascii="Cambria Math" w:hAnsi="Cambria Math" w:cs="Times New Roman"/>
                      <w:i/>
                      <w:szCs w:val="20"/>
                    </w:rPr>
                  </m:ctrlPr>
                </m:sSubSupPr>
                <m:e>
                  <m:r>
                    <w:rPr>
                      <w:rFonts w:ascii="Cambria Math" w:hAnsi="Cambria Math" w:cs="Times New Roman"/>
                      <w:szCs w:val="20"/>
                    </w:rPr>
                    <m:t>p</m:t>
                  </m:r>
                </m:e>
                <m:sub>
                  <m:r>
                    <w:rPr>
                      <w:rFonts w:ascii="Cambria Math" w:hAnsi="Cambria Math" w:cs="Times New Roman"/>
                      <w:szCs w:val="20"/>
                    </w:rPr>
                    <m:t>c1</m:t>
                  </m:r>
                </m:sub>
                <m:sup/>
              </m:sSubSup>
              <m:r>
                <m:rPr>
                  <m:sty m:val="p"/>
                </m:rPr>
                <w:rPr>
                  <w:rFonts w:ascii="Cambria Math" w:hAnsi="Cambria Math" w:cs="Times New Roman"/>
                  <w:szCs w:val="20"/>
                </w:rPr>
                <m:t>cos</m:t>
              </m:r>
              <m:d>
                <m:dPr>
                  <m:ctrlPr>
                    <w:rPr>
                      <w:rFonts w:ascii="Cambria Math" w:hAnsi="Cambria Math" w:cs="Times New Roman"/>
                      <w:szCs w:val="20"/>
                    </w:rPr>
                  </m:ctrlPr>
                </m:dPr>
                <m:e>
                  <m:r>
                    <m:rPr>
                      <m:sty m:val="p"/>
                    </m:rPr>
                    <w:rPr>
                      <w:rFonts w:ascii="Cambria Math" w:hAnsi="Cambria Math" w:cs="Times New Roman"/>
                      <w:szCs w:val="20"/>
                    </w:rPr>
                    <m:t>2π</m:t>
                  </m:r>
                  <m:r>
                    <w:rPr>
                      <w:rFonts w:ascii="Cambria Math" w:hAnsi="Cambria Math" w:cs="Times New Roman"/>
                      <w:szCs w:val="20"/>
                    </w:rPr>
                    <m:t>t</m:t>
                  </m:r>
                </m:e>
              </m:d>
              <m:r>
                <m:rPr>
                  <m:sty m:val="p"/>
                </m:rPr>
                <w:rPr>
                  <w:rFonts w:ascii="Cambria Math" w:hAnsi="Cambria Math" w:cs="Times New Roman"/>
                  <w:szCs w:val="20"/>
                </w:rPr>
                <m:t>+</m:t>
              </m:r>
              <m:sSubSup>
                <m:sSubSupPr>
                  <m:ctrlPr>
                    <w:rPr>
                      <w:rFonts w:ascii="Cambria Math" w:hAnsi="Cambria Math" w:cs="Times New Roman"/>
                      <w:i/>
                      <w:szCs w:val="20"/>
                    </w:rPr>
                  </m:ctrlPr>
                </m:sSubSupPr>
                <m:e>
                  <m:r>
                    <w:rPr>
                      <w:rFonts w:ascii="Cambria Math" w:hAnsi="Cambria Math" w:cs="Times New Roman"/>
                      <w:szCs w:val="20"/>
                    </w:rPr>
                    <m:t>p</m:t>
                  </m:r>
                </m:e>
                <m:sub>
                  <m:r>
                    <w:rPr>
                      <w:rFonts w:ascii="Cambria Math" w:hAnsi="Cambria Math" w:cs="Times New Roman"/>
                      <w:szCs w:val="20"/>
                    </w:rPr>
                    <m:t>c2</m:t>
                  </m:r>
                </m:sub>
                <m:sup/>
              </m:sSubSup>
              <m:r>
                <m:rPr>
                  <m:sty m:val="p"/>
                </m:rPr>
                <w:rPr>
                  <w:rFonts w:ascii="Cambria Math" w:hAnsi="Cambria Math" w:cs="Times New Roman"/>
                  <w:szCs w:val="20"/>
                </w:rPr>
                <m:t>cos</m:t>
              </m:r>
              <m:d>
                <m:dPr>
                  <m:ctrlPr>
                    <w:rPr>
                      <w:rFonts w:ascii="Cambria Math" w:hAnsi="Cambria Math" w:cs="Times New Roman"/>
                      <w:i/>
                      <w:szCs w:val="20"/>
                    </w:rPr>
                  </m:ctrlPr>
                </m:dPr>
                <m:e>
                  <m:r>
                    <w:rPr>
                      <w:rFonts w:ascii="Cambria Math" w:hAnsi="Cambria Math" w:cs="Times New Roman"/>
                      <w:szCs w:val="20"/>
                    </w:rPr>
                    <m:t>2</m:t>
                  </m:r>
                  <m:r>
                    <m:rPr>
                      <m:sty m:val="p"/>
                    </m:rPr>
                    <w:rPr>
                      <w:rFonts w:ascii="Cambria Math" w:hAnsi="Cambria Math" w:cs="Times New Roman"/>
                      <w:szCs w:val="20"/>
                    </w:rPr>
                    <m:t>π</m:t>
                  </m:r>
                  <m:r>
                    <w:rPr>
                      <w:rFonts w:ascii="Cambria Math" w:hAnsi="Cambria Math" w:cs="Times New Roman"/>
                      <w:szCs w:val="20"/>
                    </w:rPr>
                    <m:t>u</m:t>
                  </m:r>
                </m:e>
              </m:d>
            </m:oMath>
            <w:r w:rsidR="00C75BFC" w:rsidRPr="00DF2B0D">
              <w:rPr>
                <w:rFonts w:cs="Times New Roman"/>
                <w:szCs w:val="20"/>
              </w:rPr>
              <w:t>, in which p</w:t>
            </w:r>
            <w:r w:rsidR="00C75BFC" w:rsidRPr="00DF2B0D">
              <w:rPr>
                <w:rFonts w:cs="Times New Roman"/>
                <w:szCs w:val="20"/>
                <w:vertAlign w:val="subscript"/>
              </w:rPr>
              <w:t xml:space="preserve">o </w:t>
            </w:r>
            <w:r w:rsidR="00C75BFC" w:rsidRPr="00DF2B0D">
              <w:rPr>
                <w:rFonts w:cs="Times New Roman"/>
                <w:szCs w:val="20"/>
              </w:rPr>
              <w:t xml:space="preserve">is the site occupancy of the parent structure. </w:t>
            </w:r>
            <m:oMath>
              <m:sSubSup>
                <m:sSubSupPr>
                  <m:ctrlPr>
                    <w:rPr>
                      <w:rFonts w:ascii="Cambria Math" w:hAnsi="Cambria Math" w:cs="Times New Roman"/>
                      <w:szCs w:val="20"/>
                    </w:rPr>
                  </m:ctrlPr>
                </m:sSubSupPr>
                <m:e>
                  <m:r>
                    <m:rPr>
                      <m:sty m:val="p"/>
                    </m:rPr>
                    <w:rPr>
                      <w:rFonts w:ascii="Cambria Math" w:hAnsi="Cambria Math" w:cs="Times New Roman"/>
                      <w:szCs w:val="20"/>
                    </w:rPr>
                    <m:t>p</m:t>
                  </m:r>
                </m:e>
                <m:sub>
                  <m:r>
                    <m:rPr>
                      <m:sty m:val="p"/>
                    </m:rPr>
                    <w:rPr>
                      <w:rFonts w:ascii="Cambria Math" w:hAnsi="Cambria Math" w:cs="Times New Roman"/>
                      <w:szCs w:val="20"/>
                    </w:rPr>
                    <m:t>c1</m:t>
                  </m:r>
                </m:sub>
                <m:sup/>
              </m:sSubSup>
            </m:oMath>
            <w:r w:rsidR="00C75BFC" w:rsidRPr="00DF2B0D">
              <w:rPr>
                <w:rFonts w:cs="Times New Roman"/>
                <w:szCs w:val="20"/>
              </w:rPr>
              <w:t xml:space="preserve">, </w:t>
            </w:r>
            <m:oMath>
              <m:sSubSup>
                <m:sSubSupPr>
                  <m:ctrlPr>
                    <w:rPr>
                      <w:rFonts w:ascii="Cambria Math" w:hAnsi="Cambria Math" w:cs="Times New Roman"/>
                      <w:szCs w:val="20"/>
                    </w:rPr>
                  </m:ctrlPr>
                </m:sSubSupPr>
                <m:e>
                  <m:r>
                    <m:rPr>
                      <m:sty m:val="p"/>
                    </m:rPr>
                    <w:rPr>
                      <w:rFonts w:ascii="Cambria Math" w:hAnsi="Cambria Math" w:cs="Times New Roman"/>
                      <w:szCs w:val="20"/>
                    </w:rPr>
                    <m:t>p</m:t>
                  </m:r>
                </m:e>
                <m:sub>
                  <m:r>
                    <m:rPr>
                      <m:sty m:val="p"/>
                    </m:rPr>
                    <w:rPr>
                      <w:rFonts w:ascii="Cambria Math" w:hAnsi="Cambria Math" w:cs="Times New Roman"/>
                      <w:szCs w:val="20"/>
                    </w:rPr>
                    <m:t>c2</m:t>
                  </m:r>
                </m:sub>
                <m:sup/>
              </m:sSubSup>
            </m:oMath>
            <w:r w:rsidR="00C75BFC" w:rsidRPr="00DF2B0D">
              <w:rPr>
                <w:rFonts w:cs="Times New Roman"/>
                <w:szCs w:val="20"/>
              </w:rPr>
              <w:t xml:space="preserve"> are the Fourier magnitude for the occupational waves; </w:t>
            </w:r>
            <w:r w:rsidR="00C75BFC" w:rsidRPr="00DF2B0D">
              <w:rPr>
                <w:rFonts w:cs="Times New Roman"/>
                <w:i/>
                <w:szCs w:val="20"/>
              </w:rPr>
              <w:t>t,u</w:t>
            </w:r>
            <w:r w:rsidR="00C75BFC" w:rsidRPr="00DF2B0D">
              <w:rPr>
                <w:rFonts w:cs="Times New Roman"/>
                <w:szCs w:val="20"/>
              </w:rPr>
              <w:t xml:space="preserve"> are the coordinates in the internal axes; both the Fourier magnitude of the displacive and the occupational waves.</w:t>
            </w:r>
            <w:r w:rsidR="00CC6408">
              <w:rPr>
                <w:rFonts w:cs="Times New Roman"/>
                <w:szCs w:val="20"/>
              </w:rPr>
              <w:t xml:space="preserve"> The slightly negative occupancy might be related to the choice of wavefunction, similar to that reported in ref</w:t>
            </w:r>
            <w:r w:rsidR="00CC6408">
              <w:rPr>
                <w:rFonts w:cs="Times New Roman"/>
                <w:szCs w:val="20"/>
              </w:rPr>
              <w:fldChar w:fldCharType="begin" w:fldLock="1"/>
            </w:r>
            <w:r w:rsidR="000A4126">
              <w:rPr>
                <w:rFonts w:cs="Times New Roman"/>
                <w:szCs w:val="20"/>
              </w:rPr>
              <w:instrText>ADDIN CSL_CITATION {"citationItems":[{"id":"ITEM-1","itemData":{"DOI":"10.1039/C8DT03958E","abstract":"The crystal structure of a (3 + 2)D incommensurate modulated LaNb0.88W0.12O4.06 phase{,} a novel oxygen ionic conductor{,} is refined using a combination of synchrotron X-ray diffraction and electron diffraction data. The superspace group I2/c(α10γ1)00(α20γ2)00 (a = 5.4131(1) Å{,} b = 11.6432(2) Å{,} c = 5.2963(1) Å{,} β = 91.540(1)°{,} q1 = 0.2847(5)a* + 0.1098(9)c* and q2= −0.1266(9)a* + 0.2953(1)c*) was chosen for the refinement. Similar to other scheelite type modulated structures{,} the modulation of LaNb0.88W0.12O4.06 stems from the cation occupancy ordering in the xz plane. To facilitate the modulated cation sub-lattice{,} and to compensate for the difference in their size and charge{,} the B site polyhedra are distorted by stretching the B–O bond lengths. Consequently{,} an extension in the B site coordination number from 6 to 8 is observed in the modulated phase. An interconnected 3D network of BOx polyhedra{,} similar to that of modulated CeNbO4.25{,} is obtained as a result of the structure modulation{,} which is not available in the unmodulated parent structure. Tracer diffusivity measurements indicate that the composition is an oxygen ion conductor{,} which relies on an intersticalcy conduction mechanism. Oxygen tracer diffusivity of 2.46 × 10−9 cm2 s−1{,} at 750 °C is reported.","author":[{"dropping-particle":"","family":"Li","given":"Cheng","non-dropping-particle":"","parse-names":false,"suffix":""},{"dropping-particle":"","family":"Pramana","given":"Stevin S","non-dropping-particle":"","parse-names":false,"suffix":""},{"dropping-particle":"","family":"Skinner","given":"Stephen J","non-dropping-particle":"","parse-names":false,"suffix":""}],"container-title":"Dalton Trans.","id":"ITEM-1","issue":"5","issued":{"date-parts":[["2019"]]},"page":"1633-1646","publisher":"The Royal Society of Chemistry","title":"Room temperature structure and transport properties of the incommensurate modulated LaNb&lt;sub&gt;0.88 &lt;/sub&gt;W&lt;sub&gt;0.12&lt;/sub&gt;O&lt;sub&gt;4.06&lt;/sub&gt;","type":"article-journal","volume":"48"},"uris":["http://www.mendeley.com/documents/?uuid=ede54f79-ff84-4ea2-b730-4d973e4b86f5"]},{"id":"ITEM-2","itemData":{"DOI":"10.1021/ic300221m","ISBN":"1520-510X (E</w:instrText>
            </w:r>
            <w:r w:rsidR="000A4126">
              <w:rPr>
                <w:rFonts w:cs="Times New Roman" w:hint="eastAsia"/>
                <w:szCs w:val="20"/>
              </w:rPr>
              <w:instrText xml:space="preserve">lectronic)\\r0020-1669 (Linking)","ISSN":"00201669","PMID":"22515515","abstract":"Scheelite-type compounds with the general formula (A1,A2)(n)[(B1,B2)O(4)](m) (2/3 </w:instrText>
            </w:r>
            <w:r w:rsidR="000A4126">
              <w:rPr>
                <w:rFonts w:cs="Times New Roman" w:hint="eastAsia"/>
                <w:szCs w:val="20"/>
              </w:rPr>
              <w:instrText>≤</w:instrText>
            </w:r>
            <w:r w:rsidR="000A4126">
              <w:rPr>
                <w:rFonts w:cs="Times New Roman" w:hint="eastAsia"/>
                <w:szCs w:val="20"/>
              </w:rPr>
              <w:instrText xml:space="preserve"> n/m </w:instrText>
            </w:r>
            <w:r w:rsidR="000A4126">
              <w:rPr>
                <w:rFonts w:cs="Times New Roman" w:hint="eastAsia"/>
                <w:szCs w:val="20"/>
              </w:rPr>
              <w:instrText>≤</w:instrText>
            </w:r>
            <w:r w:rsidR="000A4126">
              <w:rPr>
                <w:rFonts w:cs="Times New Roman" w:hint="eastAsia"/>
                <w:szCs w:val="20"/>
              </w:rPr>
              <w:instrText xml:space="preserve"> 3/2) are the subject of large interest owing to their stability, relatively simple preparation, and optical properties. The creation of cation vacancies (</w:instrText>
            </w:r>
            <w:r w:rsidR="000A4126">
              <w:rPr>
                <w:rFonts w:cs="Times New Roman" w:hint="eastAsia"/>
                <w:szCs w:val="20"/>
              </w:rPr>
              <w:instrText>□</w:instrText>
            </w:r>
            <w:r w:rsidR="000A4126">
              <w:rPr>
                <w:rFonts w:cs="Times New Roman" w:hint="eastAsia"/>
                <w:szCs w:val="20"/>
              </w:rPr>
              <w:instrText>) in the scheelite-type framework and the ordering of A cations and vacancies can be a new factor in controlling the scheelite-type structure and properties. For a long time, cation-deficient Nd(3+):M(2/7)Gd(4/7)</w:instrText>
            </w:r>
            <w:r w:rsidR="000A4126">
              <w:rPr>
                <w:rFonts w:cs="Times New Roman" w:hint="eastAsia"/>
                <w:szCs w:val="20"/>
              </w:rPr>
              <w:instrText>□</w:instrText>
            </w:r>
            <w:r w:rsidR="000A4126">
              <w:rPr>
                <w:rFonts w:cs="Times New Roman" w:hint="eastAsia"/>
                <w:szCs w:val="20"/>
              </w:rPr>
              <w:instrText>(1/7)MoO(4) (M = Li, Na) compounds were considered as potential lasers with diode pumping. They have a defect scheelite-type 3D structure (space group I4(1)/a) with a random distribution of Li(+)(Na(+)), Gd(3+), and vacancies</w:instrText>
            </w:r>
            <w:r w:rsidR="000A4126">
              <w:rPr>
                <w:rFonts w:cs="Times New Roman"/>
                <w:szCs w:val="20"/>
              </w:rPr>
              <w:instrText xml:space="preserve"> in the crystal. A Na(2/7)Gd(4/7)MoO(4) single crystal with scheelite-type structure has been grown by the Czochralski method. Transmission electron microscopy revealed that Na(2/7)Gd(4/7)MoO(4) has a (3 + 2)D incommensurately modulated structure. The (3 + 2)D incommensurately modulated scheelite-type cation-deficient structure of Na(2/7)Gd(4/7)MoO(4) [super space group I4 (α-β0,βα0)00] has been solved from single-crystal diffraction data. The solution of the (3 + 2)D incommensurately modulated structure revealed the partially disordered distribution of vacancies and Na and Gd cations. High-temperature conductivity measurements performed along the [100] and [001] orientation of the single crystal revealed that the conductivity of Na(2/7)Gd(4/7)MoO(4) at T = 973 K equals σ = 1.13 × 10(-5) Ω(-1) cm(-1).","author":[{"dropping-particle":"","family":"Morozov","given":"V.","non-dropping-particle":"","parse-names":false,"suffix":""},{"dropping-particle":"","family":"Arakcheeva","given":"A.","non-dropping-particle":"","parse-names":false,"suffix":""},{"dropping-particle":"","family":"Redkin","given":"B.","non-dropping-particle":"","parse-names":false,"suffix":""},{"dropping-particle":"","family":"Sinitsyn","given":"V.","non-dropping-particle":"","parse-names":false,"suffix":""},{"dropping-particle":"","family":"Khasanov","given":"S.","non-dropping-particle":"","parse-names":false,"suffix":""},{"dropping-particle":"","family":"Kudrenko","given":"E.","non-dropping-particle":"","parse-names":false,"suffix":""},{"dropping-particle":"","family":"Raskina","given":"M.","non-dropping-particle":"","parse-names":false,"suffix":""},{"dropping-particle":"","family":"Lebedev","given":"O.","non-dropping-particle":"","parse-names":false,"suffix":""},{"dropping-particle":"","family":"Tendeloo","given":"G.","non-dropping-particle":"Van","parse-names":false,"suffix":""}],"container-title":"Inorganic Chemistry","id":"ITEM-2","issue":"9","issued":{"date-parts":[["2012","5","7"]]},"page":"5313-5324","title":"Na&lt;sub&gt;2/7&lt;/sub&gt;Gd&lt;sub&gt;4/7&lt;/sub&gt;MoO&lt;sub&gt;4&lt;/sub&gt;: A modulated scheelite-type structure and conductivity properties","type":"article-journal","volume":"51"},"uris":["http://www.mendeley.com/documents/?uuid=e05038d0-de95-41f5-9d37-bf08aeb78976"]}],"mendeley":{"formattedCitation":"&lt;sup&gt;14,41&lt;/sup&gt;","plainTextFormattedCitation":"14,41","previouslyFormattedCitation":"&lt;sup&gt;14,40&lt;/sup&gt;"},"properties":{"noteIndex":0},"schema":"https://github.com/citation-style-language/schema/raw/master/csl-citation.json"}</w:instrText>
            </w:r>
            <w:r w:rsidR="00CC6408">
              <w:rPr>
                <w:rFonts w:cs="Times New Roman"/>
                <w:szCs w:val="20"/>
              </w:rPr>
              <w:fldChar w:fldCharType="separate"/>
            </w:r>
            <w:r w:rsidR="000A4126" w:rsidRPr="000A4126">
              <w:rPr>
                <w:rFonts w:cs="Times New Roman"/>
                <w:noProof/>
                <w:szCs w:val="20"/>
                <w:vertAlign w:val="superscript"/>
              </w:rPr>
              <w:t>14,41</w:t>
            </w:r>
            <w:r w:rsidR="00CC6408">
              <w:rPr>
                <w:rFonts w:cs="Times New Roman"/>
                <w:szCs w:val="20"/>
              </w:rPr>
              <w:fldChar w:fldCharType="end"/>
            </w:r>
            <w:r w:rsidR="00CC6408">
              <w:rPr>
                <w:rFonts w:cs="Times New Roman"/>
                <w:szCs w:val="20"/>
              </w:rPr>
              <w:t xml:space="preserve">  </w:t>
            </w:r>
          </w:p>
        </w:tc>
      </w:tr>
    </w:tbl>
    <w:p w14:paraId="1F0FD5F5" w14:textId="77777777" w:rsidR="00CC545E" w:rsidRDefault="00CC545E" w:rsidP="001677FD"/>
    <w:p w14:paraId="6083520F" w14:textId="103BA0C6" w:rsidR="001677FD" w:rsidRPr="00DF2B0D" w:rsidRDefault="001677FD" w:rsidP="001677FD">
      <w:r w:rsidRPr="00DF2B0D">
        <w:t>The nuclear density and the residual density maps, in the vicinity of the Nb and La sites, were examined (</w:t>
      </w:r>
      <w:r w:rsidR="007A4775">
        <w:fldChar w:fldCharType="begin"/>
      </w:r>
      <w:r w:rsidR="007A4775">
        <w:instrText xml:space="preserve"> REF _Ref15917892 \h </w:instrText>
      </w:r>
      <w:r w:rsidR="007A4775">
        <w:fldChar w:fldCharType="separate"/>
      </w:r>
      <w:r w:rsidR="00564E5A">
        <w:t xml:space="preserve">Figure </w:t>
      </w:r>
      <w:r w:rsidR="00564E5A">
        <w:rPr>
          <w:noProof/>
        </w:rPr>
        <w:t>6</w:t>
      </w:r>
      <w:r w:rsidR="007A4775">
        <w:fldChar w:fldCharType="end"/>
      </w:r>
      <w:r w:rsidRPr="00DF2B0D">
        <w:t xml:space="preserve">). Overall, the residual density is about 1–2% of the observed density, indicating good fitting quality. </w:t>
      </w:r>
    </w:p>
    <w:p w14:paraId="28EFF7D2" w14:textId="0536F400" w:rsidR="001677FD" w:rsidRPr="00DF2B0D" w:rsidRDefault="000A4126" w:rsidP="001677FD">
      <w:pPr>
        <w:jc w:val="center"/>
      </w:pPr>
      <w:r>
        <w:rPr>
          <w:noProof/>
        </w:rPr>
        <w:lastRenderedPageBreak/>
        <w:pict w14:anchorId="3D6B20B9">
          <v:shape id="_x0000_i1241" type="#_x0000_t75" alt="" style="width:296.65pt;height:295.3pt;mso-width-percent:0;mso-height-percent:0;mso-width-percent:0;mso-height-percent:0">
            <v:imagedata r:id="rId14" o:title=""/>
          </v:shape>
        </w:pict>
      </w:r>
    </w:p>
    <w:p w14:paraId="1902FC1F" w14:textId="6498F279" w:rsidR="001677FD" w:rsidRPr="00DF2B0D" w:rsidRDefault="00B35992" w:rsidP="001677FD">
      <w:pPr>
        <w:pStyle w:val="Caption"/>
      </w:pPr>
      <w:bookmarkStart w:id="28" w:name="_Ref15917892"/>
      <w:bookmarkStart w:id="29" w:name="_Toc464943522"/>
      <w:r>
        <w:t xml:space="preserve">Figure </w:t>
      </w:r>
      <w:r w:rsidR="0019656C">
        <w:fldChar w:fldCharType="begin"/>
      </w:r>
      <w:r w:rsidR="0019656C">
        <w:instrText xml:space="preserve"> SEQ Figure \* ARABIC </w:instrText>
      </w:r>
      <w:r w:rsidR="0019656C">
        <w:fldChar w:fldCharType="separate"/>
      </w:r>
      <w:r w:rsidR="00564E5A">
        <w:rPr>
          <w:noProof/>
        </w:rPr>
        <w:t>6</w:t>
      </w:r>
      <w:r w:rsidR="0019656C">
        <w:rPr>
          <w:noProof/>
        </w:rPr>
        <w:fldChar w:fldCharType="end"/>
      </w:r>
      <w:bookmarkEnd w:id="28"/>
      <w:r w:rsidR="001677FD" w:rsidRPr="00DF2B0D">
        <w:rPr>
          <w:noProof/>
        </w:rPr>
        <w:t>:</w:t>
      </w:r>
      <w:r w:rsidR="001677FD" w:rsidRPr="00DF2B0D">
        <w:t xml:space="preserve"> Observed nucle</w:t>
      </w:r>
      <w:r w:rsidR="00D25286" w:rsidRPr="00DF2B0D">
        <w:t>ar</w:t>
      </w:r>
      <w:r w:rsidR="001677FD" w:rsidRPr="00DF2B0D">
        <w:t xml:space="preserve"> density maps in the vicinity of (a) La and (b) Nb; and the corresponding difference nucle</w:t>
      </w:r>
      <w:r w:rsidR="00D25286" w:rsidRPr="00DF2B0D">
        <w:t>ar</w:t>
      </w:r>
      <w:r w:rsidR="001677FD" w:rsidRPr="00DF2B0D">
        <w:t xml:space="preserve"> density maps in (c) and (d), as a function of the internal coordinates. The </w:t>
      </w:r>
      <w:bookmarkStart w:id="30" w:name="_Hlk31328370"/>
      <w:r w:rsidR="001677FD" w:rsidRPr="00DF2B0D">
        <w:t xml:space="preserve">contour </w:t>
      </w:r>
      <w:bookmarkEnd w:id="30"/>
      <w:r w:rsidR="001677FD" w:rsidRPr="00DF2B0D">
        <w:t>in (a) and (b) is 2 fm Å</w:t>
      </w:r>
      <w:r w:rsidR="001677FD" w:rsidRPr="00DF2B0D">
        <w:rPr>
          <w:vertAlign w:val="superscript"/>
        </w:rPr>
        <w:t>-3</w:t>
      </w:r>
      <w:r w:rsidR="001677FD" w:rsidRPr="00DF2B0D">
        <w:t xml:space="preserve"> whereas in (c) and (d) </w:t>
      </w:r>
      <w:bookmarkStart w:id="31" w:name="_Hlk31328379"/>
      <w:r w:rsidR="001677FD" w:rsidRPr="00DF2B0D">
        <w:t>is 0.2 fm Å</w:t>
      </w:r>
      <w:r w:rsidR="001677FD" w:rsidRPr="00DF2B0D">
        <w:rPr>
          <w:vertAlign w:val="superscript"/>
        </w:rPr>
        <w:t>-3</w:t>
      </w:r>
      <w:bookmarkEnd w:id="31"/>
      <w:r w:rsidR="001677FD" w:rsidRPr="00DF2B0D">
        <w:t>. Overall a residual level approximately 1-2% of the observed nucle</w:t>
      </w:r>
      <w:r w:rsidR="00D25286" w:rsidRPr="00DF2B0D">
        <w:t>ar</w:t>
      </w:r>
      <w:r w:rsidR="001677FD" w:rsidRPr="00DF2B0D">
        <w:t xml:space="preserve"> density was registered</w:t>
      </w:r>
      <w:bookmarkEnd w:id="29"/>
      <w:r w:rsidR="005C69F4" w:rsidRPr="00DF2B0D">
        <w:t>.</w:t>
      </w:r>
      <w:r w:rsidR="001677FD" w:rsidRPr="00DF2B0D">
        <w:t xml:space="preserve"> </w:t>
      </w:r>
    </w:p>
    <w:p w14:paraId="228EFA05" w14:textId="2C10CA75" w:rsidR="001677FD" w:rsidRPr="00DF2B0D" w:rsidRDefault="001677FD" w:rsidP="00C418B1">
      <w:r w:rsidRPr="0055638A">
        <w:t>When refining</w:t>
      </w:r>
      <w:r w:rsidR="00800853" w:rsidRPr="0055638A">
        <w:t xml:space="preserve"> the structural model with</w:t>
      </w:r>
      <w:r w:rsidRPr="0055638A">
        <w:t xml:space="preserve"> </w:t>
      </w:r>
      <w:r w:rsidR="00D25286" w:rsidRPr="0055638A">
        <w:t xml:space="preserve">data </w:t>
      </w:r>
      <w:r w:rsidRPr="0055638A">
        <w:t>gathered at 650 °C, the fitting parameters improve</w:t>
      </w:r>
      <w:r w:rsidR="003E2DD2">
        <w:t>d</w:t>
      </w:r>
      <w:r w:rsidRPr="0055638A">
        <w:t xml:space="preserve"> little with the inclusion of structural modulation</w:t>
      </w:r>
      <w:r w:rsidR="00A652E0" w:rsidRPr="003D1BC2">
        <w:t xml:space="preserve"> (</w:t>
      </w:r>
      <w:r w:rsidR="00A652E0" w:rsidRPr="003D1BC2">
        <w:rPr>
          <w:i/>
        </w:rPr>
        <w:t>R</w:t>
      </w:r>
      <w:r w:rsidR="00A652E0" w:rsidRPr="003D1BC2">
        <w:rPr>
          <w:i/>
          <w:vertAlign w:val="subscript"/>
        </w:rPr>
        <w:t>wp</w:t>
      </w:r>
      <w:r w:rsidR="00A652E0" w:rsidRPr="003D1BC2">
        <w:t xml:space="preserve"> from 0.024 </w:t>
      </w:r>
      <w:r w:rsidR="00A652E0" w:rsidRPr="003D1BC2">
        <w:rPr>
          <w:rFonts w:hint="eastAsia"/>
        </w:rPr>
        <w:t>to</w:t>
      </w:r>
      <w:r w:rsidR="00A652E0" w:rsidRPr="003D1BC2">
        <w:t xml:space="preserve"> 0.023</w:t>
      </w:r>
      <w:r w:rsidR="00EF51FF" w:rsidRPr="003D1BC2">
        <w:t xml:space="preserve">, </w:t>
      </w:r>
      <w:r w:rsidR="00EB6128" w:rsidRPr="003D1BC2">
        <w:t>Figure S1</w:t>
      </w:r>
      <w:r w:rsidR="00A652E0" w:rsidRPr="003D1BC2">
        <w:t>)</w:t>
      </w:r>
      <w:r w:rsidR="00EC7B1B" w:rsidRPr="003D1BC2">
        <w:t>.</w:t>
      </w:r>
      <w:r w:rsidR="00497F7B" w:rsidRPr="003D1BC2">
        <w:t xml:space="preserve"> </w:t>
      </w:r>
      <w:bookmarkStart w:id="32" w:name="_Hlk31189877"/>
      <w:r w:rsidR="0055638A">
        <w:t>U</w:t>
      </w:r>
      <w:r w:rsidR="0055638A" w:rsidRPr="0055638A">
        <w:t>nresolved</w:t>
      </w:r>
      <w:r w:rsidR="009E0C08" w:rsidRPr="003D1BC2">
        <w:t xml:space="preserve"> intensity</w:t>
      </w:r>
      <w:r w:rsidRPr="0055638A">
        <w:t xml:space="preserve">, </w:t>
      </w:r>
      <w:r w:rsidR="00685F3A">
        <w:t xml:space="preserve">such as </w:t>
      </w:r>
      <w:r w:rsidRPr="0055638A">
        <w:t>th</w:t>
      </w:r>
      <w:r w:rsidR="009E0C08" w:rsidRPr="0055638A">
        <w:t>e features</w:t>
      </w:r>
      <w:r w:rsidRPr="0055638A">
        <w:t xml:space="preserve"> between 1.19 Å and 1.27 Å</w:t>
      </w:r>
      <w:r w:rsidR="0055638A">
        <w:t>, was observed</w:t>
      </w:r>
      <w:r w:rsidRPr="0055638A">
        <w:t>.</w:t>
      </w:r>
      <w:r w:rsidR="00497F7B" w:rsidRPr="0055638A">
        <w:t xml:space="preserve"> </w:t>
      </w:r>
      <w:r w:rsidR="00685F3A">
        <w:t>T</w:t>
      </w:r>
      <w:r w:rsidR="0055638A" w:rsidRPr="0055638A">
        <w:t>he</w:t>
      </w:r>
      <w:r w:rsidR="0055638A">
        <w:t>se</w:t>
      </w:r>
      <w:r w:rsidR="0055638A" w:rsidRPr="0055638A">
        <w:t xml:space="preserve"> modulation peaks </w:t>
      </w:r>
      <w:r w:rsidR="00497F7B" w:rsidRPr="0055638A">
        <w:t xml:space="preserve">become quite broad </w:t>
      </w:r>
      <w:r w:rsidR="00685F3A">
        <w:t xml:space="preserve">with increasing temperature (Figure </w:t>
      </w:r>
      <w:r w:rsidR="00685F3A">
        <w:rPr>
          <w:rFonts w:hint="eastAsia"/>
        </w:rPr>
        <w:t>S</w:t>
      </w:r>
      <w:r w:rsidR="00685F3A">
        <w:t xml:space="preserve">2) </w:t>
      </w:r>
      <w:r w:rsidR="00497F7B" w:rsidRPr="0055638A">
        <w:t xml:space="preserve">and </w:t>
      </w:r>
      <w:r w:rsidR="00685F3A">
        <w:t>potentially</w:t>
      </w:r>
      <w:r w:rsidR="00D25286" w:rsidRPr="0055638A">
        <w:t xml:space="preserve"> </w:t>
      </w:r>
      <w:r w:rsidR="00497F7B" w:rsidRPr="0055638A">
        <w:t>correspond to a partially ordered local</w:t>
      </w:r>
      <w:r w:rsidR="00497F7B" w:rsidRPr="00DF2B0D">
        <w:t xml:space="preserve"> structure and mark the transition between the modulated structure and disordered tetragonal parent phase. </w:t>
      </w:r>
      <w:r w:rsidR="000F4983">
        <w:rPr>
          <w:rFonts w:hint="eastAsia"/>
        </w:rPr>
        <w:t>C</w:t>
      </w:r>
      <w:r w:rsidRPr="00DF2B0D">
        <w:t>loser examin</w:t>
      </w:r>
      <w:r w:rsidR="003E2DD2">
        <w:t>ation</w:t>
      </w:r>
      <w:r w:rsidRPr="00DF2B0D">
        <w:t xml:space="preserve"> of the local structure </w:t>
      </w:r>
      <w:r w:rsidR="000F4983">
        <w:t xml:space="preserve">however </w:t>
      </w:r>
      <w:r w:rsidRPr="00DF2B0D">
        <w:t xml:space="preserve">is necessary to verify </w:t>
      </w:r>
      <w:r w:rsidR="000F4983">
        <w:t xml:space="preserve">the existence of any </w:t>
      </w:r>
      <w:r w:rsidR="00E74583">
        <w:t>intermediate</w:t>
      </w:r>
      <w:r w:rsidR="000F4983">
        <w:t xml:space="preserve"> phase</w:t>
      </w:r>
      <w:bookmarkEnd w:id="32"/>
      <w:r w:rsidRPr="00DF2B0D">
        <w:t xml:space="preserve">. </w:t>
      </w:r>
      <w:r w:rsidR="00DC58B7" w:rsidRPr="00DF2B0D">
        <w:rPr>
          <w:rFonts w:hint="eastAsia"/>
        </w:rPr>
        <w:t>The</w:t>
      </w:r>
      <w:r w:rsidR="00DC58B7" w:rsidRPr="00DF2B0D">
        <w:t xml:space="preserve"> </w:t>
      </w:r>
      <w:r w:rsidR="00D25286" w:rsidRPr="00DF2B0D">
        <w:t>degradation in the</w:t>
      </w:r>
      <w:r w:rsidRPr="00DF2B0D">
        <w:t xml:space="preserve"> signal to noise ratio makes fitting with the modulated structural model less reliable; the refinement was nevertheless attempted using </w:t>
      </w:r>
      <w:r w:rsidR="00D25286" w:rsidRPr="00DF2B0D">
        <w:t xml:space="preserve">a </w:t>
      </w:r>
      <w:r w:rsidRPr="00DF2B0D">
        <w:t>(3</w:t>
      </w:r>
      <w:r w:rsidR="00915B70">
        <w:rPr>
          <w:lang w:val="en-US"/>
        </w:rPr>
        <w:t> </w:t>
      </w:r>
      <w:r w:rsidRPr="00DF2B0D">
        <w:t xml:space="preserve">+ 2)D structural model for the 650 °C pattern and the fitting is </w:t>
      </w:r>
      <w:r w:rsidR="00DC58B7" w:rsidRPr="00DF2B0D">
        <w:t>reported</w:t>
      </w:r>
      <w:r w:rsidRPr="00DF2B0D">
        <w:t xml:space="preserve"> in the supplemental information</w:t>
      </w:r>
      <w:r w:rsidR="006B32D1" w:rsidRPr="00DF2B0D">
        <w:t xml:space="preserve"> (Figure S1)</w:t>
      </w:r>
      <w:r w:rsidR="00C418B1" w:rsidRPr="00DF2B0D">
        <w:t xml:space="preserve">. Increasing the temperature sees further reduction of the peak intensity, and no satellite reflections were observed at 800 °C. The high resolution neutron scattering data is in good </w:t>
      </w:r>
      <w:r w:rsidR="00723A6D" w:rsidRPr="00DF2B0D">
        <w:t xml:space="preserve">agreement </w:t>
      </w:r>
      <w:r w:rsidR="00C418B1" w:rsidRPr="00DF2B0D">
        <w:t>with the HTXRD</w:t>
      </w:r>
      <w:r w:rsidR="00E1178C" w:rsidRPr="00DF2B0D">
        <w:t xml:space="preserve"> (</w:t>
      </w:r>
      <w:r w:rsidR="007A4775">
        <w:fldChar w:fldCharType="begin"/>
      </w:r>
      <w:r w:rsidR="007A4775">
        <w:instrText xml:space="preserve"> REF _Ref15917621 \h </w:instrText>
      </w:r>
      <w:r w:rsidR="007A4775">
        <w:fldChar w:fldCharType="separate"/>
      </w:r>
      <w:r w:rsidR="00564E5A">
        <w:t xml:space="preserve">Figure </w:t>
      </w:r>
      <w:r w:rsidR="00564E5A">
        <w:rPr>
          <w:noProof/>
        </w:rPr>
        <w:t>3</w:t>
      </w:r>
      <w:r w:rsidR="007A4775">
        <w:fldChar w:fldCharType="end"/>
      </w:r>
      <w:r w:rsidR="00E1178C" w:rsidRPr="00DF2B0D">
        <w:t>)</w:t>
      </w:r>
      <w:r w:rsidR="00C418B1" w:rsidRPr="00DF2B0D">
        <w:t xml:space="preserve">, and confirmed a modulated phase at </w:t>
      </w:r>
      <w:r w:rsidR="00C3241D">
        <w:rPr>
          <w:rFonts w:hint="eastAsia"/>
        </w:rPr>
        <w:t>5</w:t>
      </w:r>
      <w:r w:rsidR="00C418B1" w:rsidRPr="00DF2B0D">
        <w:t xml:space="preserve">00 °C, which gradually transforms into the disordered high temperature tetragonal parent phase. </w:t>
      </w:r>
    </w:p>
    <w:p w14:paraId="67AC6028" w14:textId="53CABEC4" w:rsidR="001677FD" w:rsidRPr="00216778" w:rsidRDefault="001677FD" w:rsidP="00DD6F9C">
      <w:pPr>
        <w:pStyle w:val="Heading3"/>
        <w:numPr>
          <w:ilvl w:val="0"/>
          <w:numId w:val="0"/>
        </w:numPr>
        <w:ind w:left="720" w:hanging="720"/>
      </w:pPr>
      <w:bookmarkStart w:id="33" w:name="_Ref463889484"/>
      <w:bookmarkStart w:id="34" w:name="_Toc464943416"/>
      <w:r w:rsidRPr="00822909">
        <w:rPr>
          <w:rFonts w:cs="Times New Roman"/>
          <w:i/>
          <w:color w:val="222222"/>
        </w:rPr>
        <w:lastRenderedPageBreak/>
        <w:t>In situ</w:t>
      </w:r>
      <w:r w:rsidRPr="00822909">
        <w:t xml:space="preserve"> neutron scattering of LaNb</w:t>
      </w:r>
      <w:r w:rsidRPr="00392862">
        <w:rPr>
          <w:vertAlign w:val="subscript"/>
        </w:rPr>
        <w:t>0.84</w:t>
      </w:r>
      <w:r w:rsidR="002524DD" w:rsidRPr="00392862">
        <w:t>W</w:t>
      </w:r>
      <w:r w:rsidR="002524DD" w:rsidRPr="00392862">
        <w:rPr>
          <w:vertAlign w:val="subscript"/>
        </w:rPr>
        <w:t>0.16</w:t>
      </w:r>
      <w:r w:rsidR="002524DD" w:rsidRPr="00392862">
        <w:t>O</w:t>
      </w:r>
      <w:r w:rsidR="002524DD" w:rsidRPr="00392862">
        <w:rPr>
          <w:vertAlign w:val="subscript"/>
        </w:rPr>
        <w:t>4.08</w:t>
      </w:r>
      <w:bookmarkEnd w:id="33"/>
      <w:bookmarkEnd w:id="34"/>
      <w:r w:rsidRPr="00216778">
        <w:t xml:space="preserve"> </w:t>
      </w:r>
    </w:p>
    <w:p w14:paraId="3096E4E6" w14:textId="3ADD7E8E" w:rsidR="001677FD" w:rsidRPr="00DF2B0D" w:rsidRDefault="001677FD" w:rsidP="001677FD">
      <w:r w:rsidRPr="00DF2B0D">
        <w:t xml:space="preserve">The same procedures </w:t>
      </w:r>
      <w:r w:rsidR="00723A6D" w:rsidRPr="00DF2B0D">
        <w:t xml:space="preserve">as </w:t>
      </w:r>
      <w:r w:rsidRPr="00DF2B0D">
        <w:t xml:space="preserve">described in the previous section were </w:t>
      </w:r>
      <w:r w:rsidR="00723A6D" w:rsidRPr="00DF2B0D">
        <w:t>used</w:t>
      </w:r>
      <w:r w:rsidRPr="00DF2B0D">
        <w:t xml:space="preserve"> to refine the structure of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Unlike the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t xml:space="preserve"> composition, which goes through a phase transition from</w:t>
      </w:r>
      <w:r w:rsidR="00723A6D" w:rsidRPr="00DF2B0D">
        <w:t xml:space="preserve"> a</w:t>
      </w:r>
      <w:r w:rsidRPr="00DF2B0D">
        <w:t xml:space="preserve"> modulated structure to</w:t>
      </w:r>
      <w:r w:rsidR="00723A6D" w:rsidRPr="00DF2B0D">
        <w:t xml:space="preserve"> an</w:t>
      </w:r>
      <w:r w:rsidRPr="00DF2B0D">
        <w:t xml:space="preserve"> unmodulated structure between 650 °C to 800 °C, neutron scattering data confirmed that the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composition maintains its modulated structure up to 800 °C. All the </w:t>
      </w:r>
      <w:r w:rsidR="00723A6D" w:rsidRPr="00DF2B0D">
        <w:t xml:space="preserve">diffraction </w:t>
      </w:r>
      <w:r w:rsidRPr="00DF2B0D">
        <w:t>patterns</w:t>
      </w:r>
      <w:r w:rsidR="00224E9F" w:rsidRPr="00DF2B0D">
        <w:t xml:space="preserve"> </w:t>
      </w:r>
      <w:r w:rsidR="00723A6D" w:rsidRPr="00DF2B0D">
        <w:t xml:space="preserve">could </w:t>
      </w:r>
      <w:r w:rsidR="00224E9F" w:rsidRPr="00DF2B0D">
        <w:t>be refined</w:t>
      </w:r>
      <w:r w:rsidRPr="00DF2B0D">
        <w:t xml:space="preserve"> using the same</w:t>
      </w:r>
      <w:r w:rsidR="002D464F" w:rsidRPr="00DF2B0D">
        <w:t xml:space="preserve"> </w:t>
      </w:r>
      <w:r w:rsidR="00224E9F" w:rsidRPr="00DF2B0D">
        <w:rPr>
          <w:i/>
        </w:rPr>
        <w:t>I</w:t>
      </w:r>
      <w:r w:rsidR="00224E9F" w:rsidRPr="00DF2B0D">
        <w:t>4</w:t>
      </w:r>
      <w:r w:rsidR="00224E9F" w:rsidRPr="00DF2B0D">
        <w:rPr>
          <w:vertAlign w:val="subscript"/>
        </w:rPr>
        <w:t>1</w:t>
      </w:r>
      <w:r w:rsidR="00224E9F" w:rsidRPr="00DF2B0D">
        <w:rPr>
          <w:i/>
        </w:rPr>
        <w:t>/a</w:t>
      </w:r>
      <w:r w:rsidR="00224E9F" w:rsidRPr="00DF2B0D">
        <w:t>(</w:t>
      </w:r>
      <w:r w:rsidR="00224E9F" w:rsidRPr="00DF2B0D">
        <w:rPr>
          <w:i/>
        </w:rPr>
        <w:t>α</w:t>
      </w:r>
      <w:r w:rsidR="00224E9F" w:rsidRPr="00DF2B0D">
        <w:t>, </w:t>
      </w:r>
      <w:r w:rsidR="00224E9F" w:rsidRPr="00DF2B0D">
        <w:rPr>
          <w:i/>
        </w:rPr>
        <w:t>β</w:t>
      </w:r>
      <w:r w:rsidR="00224E9F" w:rsidRPr="00DF2B0D">
        <w:t>, 0)00(</w:t>
      </w:r>
      <w:r w:rsidR="00224E9F" w:rsidRPr="00DF2B0D">
        <w:rPr>
          <w:i/>
        </w:rPr>
        <w:noBreakHyphen/>
        <w:t>β</w:t>
      </w:r>
      <w:r w:rsidR="00224E9F" w:rsidRPr="00DF2B0D">
        <w:t>, </w:t>
      </w:r>
      <w:r w:rsidR="00224E9F" w:rsidRPr="00DF2B0D">
        <w:rPr>
          <w:i/>
        </w:rPr>
        <w:t>α</w:t>
      </w:r>
      <w:r w:rsidR="00224E9F" w:rsidRPr="00DF2B0D">
        <w:t xml:space="preserve">, 0)00 </w:t>
      </w:r>
      <w:r w:rsidR="00F11CC9" w:rsidRPr="00DF2B0D">
        <w:t>SSG</w:t>
      </w:r>
      <w:r w:rsidRPr="00DF2B0D">
        <w:t xml:space="preserve">. In </w:t>
      </w:r>
      <w:r w:rsidR="007A4775">
        <w:fldChar w:fldCharType="begin"/>
      </w:r>
      <w:r w:rsidR="007A4775">
        <w:instrText xml:space="preserve"> REF _Ref15918508 \h </w:instrText>
      </w:r>
      <w:r w:rsidR="007A4775">
        <w:fldChar w:fldCharType="separate"/>
      </w:r>
      <w:r w:rsidR="00564E5A">
        <w:t xml:space="preserve">Figure </w:t>
      </w:r>
      <w:r w:rsidR="00564E5A">
        <w:rPr>
          <w:noProof/>
        </w:rPr>
        <w:t>7</w:t>
      </w:r>
      <w:r w:rsidR="007A4775">
        <w:fldChar w:fldCharType="end"/>
      </w:r>
      <w:r w:rsidRPr="00DF2B0D">
        <w:t xml:space="preserve">, the </w:t>
      </w:r>
      <w:r w:rsidR="00723A6D" w:rsidRPr="00DF2B0D">
        <w:t>data recorded for the</w:t>
      </w:r>
      <w:r w:rsidRPr="00DF2B0D">
        <w:t xml:space="preserv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phase at 800 °C is shown</w:t>
      </w:r>
      <w:r w:rsidR="00723A6D" w:rsidRPr="00DF2B0D">
        <w:t xml:space="preserve"> with the fit to the model</w:t>
      </w:r>
      <w:r w:rsidRPr="00DF2B0D">
        <w:t xml:space="preserve">, highlighting the stability of the structural modulation. </w:t>
      </w:r>
    </w:p>
    <w:p w14:paraId="27D82924" w14:textId="05079B7A" w:rsidR="001677FD" w:rsidRPr="00DF2B0D" w:rsidRDefault="000A4126" w:rsidP="001677FD">
      <w:pPr>
        <w:pStyle w:val="Caption"/>
      </w:pPr>
      <w:r>
        <w:rPr>
          <w:noProof/>
        </w:rPr>
        <w:pict w14:anchorId="555E5D70">
          <v:shape id="_x0000_i1242" type="#_x0000_t75" alt="" style="width:424.7pt;height:296.65pt;mso-width-percent:0;mso-height-percent:0;mso-width-percent:0;mso-height-percent:0">
            <v:imagedata r:id="rId15" o:title=""/>
          </v:shape>
        </w:pict>
      </w:r>
    </w:p>
    <w:p w14:paraId="2AAF1EE6" w14:textId="1CB1B0D3" w:rsidR="001677FD" w:rsidRPr="00DF2B0D" w:rsidRDefault="00B35992" w:rsidP="001677FD">
      <w:pPr>
        <w:pStyle w:val="Caption"/>
      </w:pPr>
      <w:bookmarkStart w:id="35" w:name="_Ref15918508"/>
      <w:bookmarkStart w:id="36" w:name="_Toc464943525"/>
      <w:r>
        <w:t xml:space="preserve">Figure </w:t>
      </w:r>
      <w:r w:rsidR="0019656C">
        <w:fldChar w:fldCharType="begin"/>
      </w:r>
      <w:r w:rsidR="0019656C">
        <w:instrText xml:space="preserve"> SEQ Figure \* ARABIC </w:instrText>
      </w:r>
      <w:r w:rsidR="0019656C">
        <w:fldChar w:fldCharType="separate"/>
      </w:r>
      <w:r w:rsidR="00564E5A">
        <w:rPr>
          <w:noProof/>
        </w:rPr>
        <w:t>7</w:t>
      </w:r>
      <w:r w:rsidR="0019656C">
        <w:rPr>
          <w:noProof/>
        </w:rPr>
        <w:fldChar w:fldCharType="end"/>
      </w:r>
      <w:bookmarkEnd w:id="35"/>
      <w:r w:rsidR="001677FD" w:rsidRPr="00DF2B0D">
        <w:rPr>
          <w:noProof/>
        </w:rPr>
        <w:t>:</w:t>
      </w:r>
      <w:r w:rsidR="001677FD" w:rsidRPr="00DF2B0D">
        <w:t xml:space="preserve"> Rietveld refinement of neutron powder </w:t>
      </w:r>
      <w:r w:rsidR="00723A6D" w:rsidRPr="00DF2B0D">
        <w:t xml:space="preserve">diffraction </w:t>
      </w:r>
      <w:r w:rsidR="001677FD" w:rsidRPr="00DF2B0D">
        <w:t xml:space="preserve">data </w:t>
      </w:r>
      <w:r w:rsidR="00723A6D" w:rsidRPr="00DF2B0D">
        <w:t xml:space="preserve">for </w:t>
      </w:r>
      <w:r w:rsidR="001677FD" w:rsidRPr="00DF2B0D">
        <w:t>LaNb</w:t>
      </w:r>
      <w:r w:rsidR="001677FD"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1677FD" w:rsidRPr="00DF2B0D">
        <w:t xml:space="preserve"> </w:t>
      </w:r>
      <w:r w:rsidR="00723A6D" w:rsidRPr="00DF2B0D">
        <w:t xml:space="preserve">recorded </w:t>
      </w:r>
      <w:r w:rsidR="001677FD" w:rsidRPr="00DF2B0D">
        <w:t xml:space="preserve">at 800 °C, using the </w:t>
      </w:r>
      <w:r w:rsidR="00F11CC9" w:rsidRPr="00DF2B0D">
        <w:t>SSG</w:t>
      </w:r>
      <w:r w:rsidR="001677FD" w:rsidRPr="00DF2B0D">
        <w:t xml:space="preserve"> </w:t>
      </w:r>
      <w:r w:rsidR="001677FD" w:rsidRPr="00DF2B0D">
        <w:rPr>
          <w:i/>
        </w:rPr>
        <w:t>I</w:t>
      </w:r>
      <w:r w:rsidR="001677FD" w:rsidRPr="00DF2B0D">
        <w:t>4</w:t>
      </w:r>
      <w:r w:rsidR="001677FD" w:rsidRPr="00DF2B0D">
        <w:rPr>
          <w:vertAlign w:val="subscript"/>
        </w:rPr>
        <w:t>1</w:t>
      </w:r>
      <w:r w:rsidR="001677FD" w:rsidRPr="00DF2B0D">
        <w:rPr>
          <w:i/>
        </w:rPr>
        <w:t>/a</w:t>
      </w:r>
      <w:r w:rsidR="001677FD" w:rsidRPr="00DF2B0D">
        <w:t>(</w:t>
      </w:r>
      <w:r w:rsidR="001677FD" w:rsidRPr="00DF2B0D">
        <w:rPr>
          <w:i/>
        </w:rPr>
        <w:t>α</w:t>
      </w:r>
      <w:r w:rsidR="001677FD" w:rsidRPr="00DF2B0D">
        <w:t xml:space="preserve">, </w:t>
      </w:r>
      <w:r w:rsidR="001677FD" w:rsidRPr="00DF2B0D">
        <w:rPr>
          <w:i/>
        </w:rPr>
        <w:t>β</w:t>
      </w:r>
      <w:r w:rsidR="001677FD" w:rsidRPr="00DF2B0D">
        <w:t>, 0)00(</w:t>
      </w:r>
      <w:r w:rsidR="001677FD" w:rsidRPr="00DF2B0D">
        <w:rPr>
          <w:i/>
        </w:rPr>
        <w:t>-β</w:t>
      </w:r>
      <w:r w:rsidR="001677FD" w:rsidRPr="00DF2B0D">
        <w:t xml:space="preserve">, </w:t>
      </w:r>
      <w:r w:rsidR="001677FD" w:rsidRPr="00DF2B0D">
        <w:rPr>
          <w:i/>
        </w:rPr>
        <w:t>α</w:t>
      </w:r>
      <w:r w:rsidR="001677FD" w:rsidRPr="00DF2B0D">
        <w:t xml:space="preserve">, 0)00. Good fitting with </w:t>
      </w:r>
      <w:r w:rsidR="001677FD" w:rsidRPr="00DF2B0D">
        <w:rPr>
          <w:i/>
        </w:rPr>
        <w:t>R</w:t>
      </w:r>
      <w:r w:rsidR="001677FD" w:rsidRPr="00DF2B0D">
        <w:rPr>
          <w:i/>
          <w:vertAlign w:val="subscript"/>
        </w:rPr>
        <w:t>p</w:t>
      </w:r>
      <w:r w:rsidR="001677FD" w:rsidRPr="00DF2B0D">
        <w:t xml:space="preserve"> = 0.022 and </w:t>
      </w:r>
      <w:r w:rsidR="001677FD" w:rsidRPr="00DF2B0D">
        <w:rPr>
          <w:i/>
        </w:rPr>
        <w:t>R</w:t>
      </w:r>
      <w:r w:rsidR="001677FD" w:rsidRPr="00DF2B0D">
        <w:rPr>
          <w:i/>
          <w:vertAlign w:val="subscript"/>
        </w:rPr>
        <w:t>wp</w:t>
      </w:r>
      <w:r w:rsidR="001677FD" w:rsidRPr="00DF2B0D">
        <w:t xml:space="preserve"> = 0.023 were obtained. Black, red and blue lines show the experimental data, modelled data and the difference plot respectively. The black and red vertical lines mark the theoretical peak position of the parent structure and the modulated peaks respectively. The inset shows the enlarged pattern in the 0.84 Å to 1.40 Å range.</w:t>
      </w:r>
      <w:bookmarkEnd w:id="36"/>
    </w:p>
    <w:p w14:paraId="1B4128B6" w14:textId="20A8E0E5" w:rsidR="001677FD" w:rsidRPr="00DF2B0D" w:rsidRDefault="001677FD" w:rsidP="001677FD">
      <w:pPr>
        <w:rPr>
          <w:strike/>
          <w:color w:val="C00000"/>
        </w:rPr>
      </w:pPr>
      <w:r w:rsidRPr="00DF2B0D">
        <w:t>When refining the occupational magnitude of W/N</w:t>
      </w:r>
      <w:r w:rsidR="00723A6D" w:rsidRPr="00DF2B0D">
        <w:t>b</w:t>
      </w:r>
      <w:r w:rsidRPr="00DF2B0D">
        <w:t>, the occupational wave magnitude used that of the x = 0.12 composition as an input. The refinement showed little improvement of the fitting (</w:t>
      </w:r>
      <w:r w:rsidRPr="00DF2B0D">
        <w:rPr>
          <w:i/>
        </w:rPr>
        <w:t>R</w:t>
      </w:r>
      <w:r w:rsidRPr="00DF2B0D">
        <w:rPr>
          <w:i/>
          <w:vertAlign w:val="subscript"/>
        </w:rPr>
        <w:t>p</w:t>
      </w:r>
      <w:r w:rsidRPr="00DF2B0D">
        <w:t xml:space="preserve"> change</w:t>
      </w:r>
      <w:r w:rsidR="00723A6D" w:rsidRPr="00DF2B0D">
        <w:t>d</w:t>
      </w:r>
      <w:r w:rsidRPr="00DF2B0D">
        <w:t xml:space="preserve"> from 0.022 to 0.0217), while a large negative occupancy (&lt;-0.8) in the </w:t>
      </w:r>
      <w:r w:rsidRPr="00DF2B0D">
        <w:rPr>
          <w:i/>
        </w:rPr>
        <w:t xml:space="preserve">t-u </w:t>
      </w:r>
      <w:r w:rsidRPr="00DF2B0D">
        <w:t xml:space="preserve">section was observed, making the model physically unrealistic. The occupational modulation therefore was fixed at 0.2 and -0.2 respectively for Nb and W for the refinement of </w:t>
      </w:r>
      <w:r w:rsidR="00723A6D" w:rsidRPr="00DF2B0D">
        <w:t xml:space="preserve">the </w:t>
      </w:r>
      <w:r w:rsidRPr="00DF2B0D">
        <w:t xml:space="preserve">entire neutron scattering dataset for the x = 0.16 composition. Data with higher quality (preferably </w:t>
      </w:r>
      <w:r w:rsidRPr="00DF2B0D">
        <w:lastRenderedPageBreak/>
        <w:t xml:space="preserve">single crystal diffraction data), is required to allow for higher order modulation waves to provide an accurate description of the cation ordering. </w:t>
      </w:r>
    </w:p>
    <w:p w14:paraId="7A70395B" w14:textId="39F9A30B" w:rsidR="001677FD" w:rsidRPr="00CF3B0A" w:rsidRDefault="00A8348A" w:rsidP="00DD6F9C">
      <w:pPr>
        <w:pStyle w:val="Heading3"/>
        <w:numPr>
          <w:ilvl w:val="0"/>
          <w:numId w:val="0"/>
        </w:numPr>
        <w:ind w:left="720" w:hanging="720"/>
        <w:rPr>
          <w:rFonts w:ascii="Times New Roman" w:hAnsi="Times New Roman" w:cs="Times New Roman"/>
          <w:iCs/>
        </w:rPr>
      </w:pPr>
      <w:bookmarkStart w:id="37" w:name="_Toc464943417"/>
      <w:r w:rsidRPr="00CF3B0A">
        <w:rPr>
          <w:rFonts w:ascii="Times New Roman" w:hAnsi="Times New Roman" w:cs="Times New Roman"/>
          <w:iCs/>
        </w:rPr>
        <w:t>I</w:t>
      </w:r>
      <w:r w:rsidR="001677FD" w:rsidRPr="00CF3B0A">
        <w:rPr>
          <w:rFonts w:ascii="Times New Roman" w:hAnsi="Times New Roman" w:cs="Times New Roman"/>
          <w:iCs/>
        </w:rPr>
        <w:t>nterstitial</w:t>
      </w:r>
      <w:r w:rsidR="00822369">
        <w:rPr>
          <w:rFonts w:ascii="Times New Roman" w:hAnsi="Times New Roman" w:cs="Times New Roman"/>
          <w:iCs/>
        </w:rPr>
        <w:t xml:space="preserve"> position</w:t>
      </w:r>
      <w:r w:rsidR="001677FD" w:rsidRPr="00CF3B0A">
        <w:rPr>
          <w:rFonts w:ascii="Times New Roman" w:hAnsi="Times New Roman" w:cs="Times New Roman"/>
          <w:iCs/>
        </w:rPr>
        <w:t xml:space="preserve"> in LaNb</w:t>
      </w:r>
      <w:r w:rsidR="001677FD" w:rsidRPr="00CF3B0A">
        <w:rPr>
          <w:rFonts w:ascii="Times New Roman" w:hAnsi="Times New Roman" w:cs="Times New Roman"/>
          <w:iCs/>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bookmarkEnd w:id="37"/>
      <w:r w:rsidR="001677FD" w:rsidRPr="00CF3B0A">
        <w:rPr>
          <w:rFonts w:ascii="Times New Roman" w:hAnsi="Times New Roman" w:cs="Times New Roman"/>
          <w:iCs/>
        </w:rPr>
        <w:t xml:space="preserve"> </w:t>
      </w:r>
    </w:p>
    <w:p w14:paraId="151C410D" w14:textId="4BEBD940" w:rsidR="009F7CE2" w:rsidRPr="00BA3FF3" w:rsidRDefault="007E1196">
      <w:pPr>
        <w:rPr>
          <w:strike/>
        </w:rPr>
      </w:pPr>
      <w:bookmarkStart w:id="38" w:name="_Hlk31310451"/>
      <w:bookmarkStart w:id="39" w:name="_Hlk31316080"/>
      <w:r w:rsidRPr="00BA3FF3">
        <w:t>The role of the interstitial oxygen ion in the conduction process in the hyper</w:t>
      </w:r>
      <w:r w:rsidR="009754A2" w:rsidRPr="00BA3FF3">
        <w:t>-</w:t>
      </w:r>
      <w:r w:rsidRPr="00BA3FF3">
        <w:t>stoichiometric scheelite related compositions has been highlighted with previous experimental</w:t>
      </w:r>
      <w:r w:rsidRPr="003C79E1">
        <w:fldChar w:fldCharType="begin" w:fldLock="1"/>
      </w:r>
      <w:r w:rsidR="000A4126">
        <w:instrText>ADDIN CSL_CITATION {"citationItems":[{"id":"ITEM-1","itemData":{"author":[{"dropping-particle":"","family":"Takai","given":"Shigeomi","non-dropping-particle":"","parse-names":false,"suffix":""},{"dropping-particle":"","family":"Touda","given":"Shinichi","non-dropping-particle":"","parse-names":false,"suffix":""},{"dropping-particle":"","family":"Oikawa","given":"Kenichi","non-dropping-particle":"","parse-names":false,"suffix":""},{"dropping-particle":"","family":"Mori","given":"Kazuhiro","non-dropping-particle":"","parse-names":false,"suffix":""},{"dropping-particle":"","family":"Torii","given":"Shuki","non-dropping-particle":"","parse-names":false,"suffix":""}],"container-title":"Solid State Ionics","id":"ITEM-1","issued":{"date-parts":[["2002"]]},"page":"123-133","title":"Powder neutron diffraction study of Ln-substituted PbWO&lt;sub&gt;4&lt;/sub&gt; oxide ion conductors","type":"article-journal","volume":"148"},"uris":["http://www.mendeley.com/documents/?uuid=4d0bc098-2893-46db-aa37-2d2f23b8f31e"]},{"id":"ITEM-2","itemData":{"DOI":"10.1016/S0167-2738(00)00377-5","ISBN":"0167-2738","ISSN":"01672738","abstract":"In a search for new high temperature ionic conductors, various substituted scheelite-type samples were prepared by the solid state reaction and their electrical conduction was investigated. Typical scheelite-type oxides designated as ABO4 (A = Ca, Sr, Ba; B = W, Mo) are generally classified into the oxysalts. However, some oxides having cations with almost the same electronegativities, such as Pb and W in PbWO4, can be regarded as double oxides with a deformed fluorite-type structure. Therefore, in order to create appropriate conductors in each oxide type, A2+B6+O4, alternative substitutions were tried: A1-xM+2xBO4 for the former and A1-xM3+xBO4+x/2 for the latter. As a result, new types of ionic conductors were found: lithium ion conductors and oxide ion conductors in scheelite-type solid solutions based on ABO4 (A = Ca, Sr, Ba; B = W, Mo) and PbWO4, respectively. Lithium ion conduction was confirmed visually by neutron radiography.","author":[{"dropping-particle":"","family":"Esaka","given":"Takao","non-dropping-particle":"","parse-names":false,"suffix":""}],"container-title":"Solid State Ionics","id":"ITEM-2","issue":"1-2","issued":{"date-parts":[["2000","11","2"]]},"page":"1-9","title":"Ionic conduction in substituted scheelite-type oxides","type":"article-journal","volume":"136-137"},"uris":["http://www.mendeley.com/documents/?uuid=2f172ad6-038c-4679-a995-4dddbfa10c8f"]}],"mendeley":{"formattedCitation":"&lt;sup&gt;10,43&lt;/sup&gt;","plainTextFormattedCitation":"10,43","previouslyFormattedCitation":"&lt;sup&gt;10,42&lt;/sup&gt;"},"properties":{"noteIndex":0},"schema":"https://github.com/citation-style-language/schema/raw/master/csl-citation.json"}</w:instrText>
      </w:r>
      <w:r w:rsidRPr="00057994">
        <w:fldChar w:fldCharType="separate"/>
      </w:r>
      <w:r w:rsidR="000A4126" w:rsidRPr="000A4126">
        <w:rPr>
          <w:noProof/>
          <w:vertAlign w:val="superscript"/>
        </w:rPr>
        <w:t>10,43</w:t>
      </w:r>
      <w:r w:rsidRPr="003C79E1">
        <w:fldChar w:fldCharType="end"/>
      </w:r>
      <w:r w:rsidRPr="00BA3FF3">
        <w:t xml:space="preserve"> and DFT atomic simulation</w:t>
      </w:r>
      <w:r w:rsidR="00573ADF" w:rsidRPr="00BA3FF3">
        <w:t>.</w:t>
      </w:r>
      <w:r w:rsidRPr="003C79E1">
        <w:fldChar w:fldCharType="begin" w:fldLock="1"/>
      </w:r>
      <w:r w:rsidR="00142EE0" w:rsidRPr="00BA3FF3">
        <w:instrText>ADDIN CSL_CITATION {"citationItems":[{"id":"ITEM-1","itemData":{"DOI":"10.1039/c5ta06575e","ISBN":"2050-7488","ISSN":"2050-7488","abstract":"W-doped LnNbO(4+d) compounds (Ln = La, Nd) have been recently proposed as novel interstitial-based oxide ion conductors. In this study, a powerful combination of neutron diffraction, ab initio calculations and classical molecular dynamic simulations is used in a complementary way to investigate the high temperature behavior of this system, identify possible oxygen interstitial positions and investigate the mechanism of oxygen diffusion at a high temperature. The results indicate that both systems (LaNb0.84W0.16O4.08; NdNb0.84W0.16O4.08) undergo a phase transition from a monoclinic to a tetragonal phase as a function of temperature. In the scheelite phase more than one interstitial site is potentially accessible based on the calculated energy differences. The accessibility of such interstitial positions poses the basis for an efficient oxygen diffusion migration that is predicted to be roughly isotropic and based on a knock-on mechanism.","author":[{"dropping-particle":"","family":"Ferrara","given":"Chiara","non-dropping-particle":"","parse-names":false,"suffix":""},{"dropping-particle":"","family":"Mancini","given":"Alessandro","non-dropping-particle":"","parse-names":false,"suffix":""},{"dropping-particle":"","family":"Ritter","given":"Clemens","non-dropping-particle":"","parse-names":false,"suffix":""},{"dropping-particle":"","family":"Malavasi","given":"Lorenzo","non-dropping-particle":"","parse-names":false,"suffix":""},{"dropping-particle":"","family":"Tealdi","given":"Cristina","non-dropping-particle":"","parse-names":false,"suffix":""}],"container-title":"Journal of Materials Chemistry A","id":"ITEM-1","issue":"44","issued":{"date-parts":[["2015"]]},"page":"22258-22265","publisher":"Royal Society of Chemistry","title":"Interstitial oxide ion migration in scheelite-type electrolytes: a combined neutron diffraction and computational study","type":"article-journal","volume":"3"},"uris":["http://www.mendeley.com/documents/?uuid=e2687a14-2729-494b-950a-59412db76d03"]}],"mendeley":{"formattedCitation":"&lt;sup&gt;15&lt;/sup&gt;","plainTextFormattedCitation":"15","previouslyFormattedCitation":"&lt;sup&gt;15&lt;/sup&gt;"},"properties":{"noteIndex":0},"schema":"https://github.com/citation-style-language/schema/raw/master/csl-citation.json"}</w:instrText>
      </w:r>
      <w:r w:rsidRPr="00057994">
        <w:fldChar w:fldCharType="separate"/>
      </w:r>
      <w:r w:rsidR="00142EE0" w:rsidRPr="00BA3FF3">
        <w:rPr>
          <w:noProof/>
          <w:vertAlign w:val="superscript"/>
        </w:rPr>
        <w:t>15</w:t>
      </w:r>
      <w:r w:rsidRPr="003C79E1">
        <w:fldChar w:fldCharType="end"/>
      </w:r>
      <w:r w:rsidRPr="00BA3FF3">
        <w:t xml:space="preserve"> </w:t>
      </w:r>
      <w:r w:rsidR="00573ADF" w:rsidRPr="00BA3FF3">
        <w:t>While the c</w:t>
      </w:r>
      <w:r w:rsidRPr="00BA3FF3">
        <w:t xml:space="preserve">orrelated interstitialcy diffusion </w:t>
      </w:r>
      <w:r w:rsidR="00573ADF" w:rsidRPr="00BA3FF3">
        <w:t>is said to be responsible for the long-</w:t>
      </w:r>
      <w:r w:rsidRPr="00BA3FF3">
        <w:t>range oxygen transport in the hyper</w:t>
      </w:r>
      <w:r w:rsidR="009754A2" w:rsidRPr="00BA3FF3">
        <w:t>-</w:t>
      </w:r>
      <w:r w:rsidRPr="00BA3FF3">
        <w:t>stoichiometric scheelite compounds</w:t>
      </w:r>
      <w:r w:rsidR="00573ADF" w:rsidRPr="00BA3FF3">
        <w:t>,</w:t>
      </w:r>
      <w:r w:rsidRPr="003C79E1">
        <w:fldChar w:fldCharType="begin" w:fldLock="1"/>
      </w:r>
      <w:r w:rsidR="00142EE0" w:rsidRPr="00BA3FF3">
        <w:instrText>ADDIN CSL_CITATION {"citationItems":[{"id":"ITEM-1","itemData":{"DOI":"10.1039/c5ta06575e","ISBN":"2050-7488","ISSN":"2050-7488","abstract":"W-doped LnNbO(4+d) compounds (Ln = La, Nd) have been recently proposed as novel interstitial-based oxide ion conductors. In this study, a powerful combination of neutron diffraction, ab initio calculations and classical molecular dynamic simulations is used in a complementary way to investigate the high temperature behavior of this system, identify possible oxygen interstitial positions and investigate the mechanism of oxygen diffusion at a high temperature. The results indicate that both systems (LaNb0.84W0.16O4.08; NdNb0.84W0.16O4.08) undergo a phase transition from a monoclinic to a tetragonal phase as a function of temperature. In the scheelite phase more than one interstitial site is potentially accessible based on the calculated energy differences. The accessibility of such interstitial positions poses the basis for an efficient oxygen diffusion migration that is predicted to be roughly isotropic and based on a knock-on mechanism.","author":[{"dropping-particle":"","family":"Ferrara","given":"Chiara","non-dropping-particle":"","parse-names":false,"suffix":""},{"dropping-particle":"","family":"Mancini","given":"Alessandro","non-dropping-particle":"","parse-names":false,"suffix":""},{"dropping-particle":"","family":"Ritter","given":"Clemens","non-dropping-particle":"","parse-names":false,"suffix":""},{"dropping-particle":"","family":"Malavasi","given":"Lorenzo","non-dropping-particle":"","parse-names":false,"suffix":""},{"dropping-particle":"","family":"Tealdi","given":"Cristina","non-dropping-particle":"","parse-names":false,"suffix":""}],"container-title":"Journal of Materials Chemistry A","id":"ITEM-1","issue":"44","issued":{"date-parts":[["2015"]]},"page":"22258-22265","publisher":"Royal Society of Chemistry","title":"Interstitial oxide ion migration in scheelite-type electrolytes: a combined neutron diffraction and computational study","type":"article-journal","volume":"3"},"uris":["http://www.mendeley.com/documents/?uuid=e2687a14-2729-494b-950a-59412db76d03"]}],"mendeley":{"formattedCitation":"&lt;sup&gt;15&lt;/sup&gt;","plainTextFormattedCitation":"15","previouslyFormattedCitation":"&lt;sup&gt;15&lt;/sup&gt;"},"properties":{"noteIndex":0},"schema":"https://github.com/citation-style-language/schema/raw/master/csl-citation.json"}</w:instrText>
      </w:r>
      <w:r w:rsidRPr="00057994">
        <w:fldChar w:fldCharType="separate"/>
      </w:r>
      <w:r w:rsidR="00142EE0" w:rsidRPr="00BA3FF3">
        <w:rPr>
          <w:noProof/>
          <w:vertAlign w:val="superscript"/>
        </w:rPr>
        <w:t>15</w:t>
      </w:r>
      <w:r w:rsidRPr="003C79E1">
        <w:fldChar w:fldCharType="end"/>
      </w:r>
      <w:r w:rsidR="00573ADF" w:rsidRPr="00BA3FF3">
        <w:t xml:space="preserve"> the interstitial oxygen position in these compounds has been elusive.</w:t>
      </w:r>
      <w:r w:rsidRPr="00BA3FF3">
        <w:t xml:space="preserve"> </w:t>
      </w:r>
      <w:r w:rsidR="00573ADF" w:rsidRPr="00BA3FF3">
        <w:t xml:space="preserve">Indeed, no specific site </w:t>
      </w:r>
      <w:r w:rsidR="00681727" w:rsidRPr="00BA3FF3">
        <w:t>was</w:t>
      </w:r>
      <w:r w:rsidR="00573ADF" w:rsidRPr="003C79E1">
        <w:rPr>
          <w:rFonts w:cs="Times New Roman"/>
          <w:szCs w:val="24"/>
        </w:rPr>
        <w:t xml:space="preserve"> identified when examining the difference density map of the </w:t>
      </w:r>
      <w:bookmarkStart w:id="40" w:name="_Hlk31328272"/>
      <w:r w:rsidR="00573ADF" w:rsidRPr="003C79E1">
        <w:rPr>
          <w:rFonts w:cs="Times New Roman"/>
          <w:szCs w:val="24"/>
        </w:rPr>
        <w:t>LaNb</w:t>
      </w:r>
      <w:r w:rsidR="00573ADF" w:rsidRPr="003C79E1">
        <w:rPr>
          <w:rFonts w:cs="Times New Roman"/>
          <w:szCs w:val="24"/>
          <w:vertAlign w:val="subscript"/>
        </w:rPr>
        <w:t>0.84</w:t>
      </w:r>
      <w:r w:rsidR="00573ADF" w:rsidRPr="003C79E1">
        <w:rPr>
          <w:rFonts w:cs="Times New Roman"/>
          <w:szCs w:val="24"/>
        </w:rPr>
        <w:t>W</w:t>
      </w:r>
      <w:r w:rsidR="00573ADF" w:rsidRPr="003C79E1">
        <w:rPr>
          <w:rFonts w:cs="Times New Roman"/>
          <w:szCs w:val="24"/>
          <w:vertAlign w:val="subscript"/>
        </w:rPr>
        <w:t>0.16</w:t>
      </w:r>
      <w:r w:rsidR="00573ADF" w:rsidRPr="003C79E1">
        <w:rPr>
          <w:rFonts w:cs="Times New Roman"/>
          <w:szCs w:val="24"/>
        </w:rPr>
        <w:t>O</w:t>
      </w:r>
      <w:r w:rsidR="00573ADF" w:rsidRPr="003C79E1">
        <w:rPr>
          <w:rFonts w:cs="Times New Roman"/>
          <w:szCs w:val="24"/>
          <w:vertAlign w:val="subscript"/>
        </w:rPr>
        <w:t>4.08</w:t>
      </w:r>
      <w:r w:rsidR="00573ADF" w:rsidRPr="003C79E1">
        <w:rPr>
          <w:rFonts w:cs="Times New Roman"/>
          <w:szCs w:val="24"/>
        </w:rPr>
        <w:t xml:space="preserve"> at 500 </w:t>
      </w:r>
      <w:r w:rsidR="00573ADF" w:rsidRPr="00057994">
        <w:rPr>
          <w:rFonts w:cs="Times New Roman"/>
          <w:szCs w:val="24"/>
          <w:shd w:val="clear" w:color="auto" w:fill="FFFFFF"/>
        </w:rPr>
        <w:t>°C</w:t>
      </w:r>
      <w:bookmarkEnd w:id="40"/>
      <w:r w:rsidR="004A7C57">
        <w:rPr>
          <w:rFonts w:cs="Times New Roman"/>
          <w:szCs w:val="24"/>
          <w:shd w:val="clear" w:color="auto" w:fill="FFFFFF"/>
        </w:rPr>
        <w:t xml:space="preserve"> in our study</w:t>
      </w:r>
      <w:r w:rsidR="00BA3FF3" w:rsidRPr="00057994">
        <w:rPr>
          <w:rFonts w:cs="Times New Roman"/>
          <w:szCs w:val="24"/>
          <w:shd w:val="clear" w:color="auto" w:fill="FFFFFF"/>
        </w:rPr>
        <w:t xml:space="preserve">: </w:t>
      </w:r>
      <w:r w:rsidR="00573ADF" w:rsidRPr="00BA3FF3">
        <w:t xml:space="preserve">the observed residual density is at the same level as the negative </w:t>
      </w:r>
      <w:proofErr w:type="gramStart"/>
      <w:r w:rsidR="00573ADF" w:rsidRPr="00BA3FF3">
        <w:t>density, and</w:t>
      </w:r>
      <w:proofErr w:type="gramEnd"/>
      <w:r w:rsidR="00573ADF" w:rsidRPr="00BA3FF3">
        <w:t xml:space="preserve"> </w:t>
      </w:r>
      <w:r w:rsidR="00681727" w:rsidRPr="00BA3FF3">
        <w:t xml:space="preserve">was </w:t>
      </w:r>
      <w:r w:rsidR="00BA3FF3" w:rsidRPr="00BA3FF3">
        <w:t xml:space="preserve">therefore </w:t>
      </w:r>
      <w:r w:rsidR="00681727" w:rsidRPr="00BA3FF3">
        <w:t>ascribed to noise</w:t>
      </w:r>
      <w:r w:rsidR="00E43540">
        <w:t xml:space="preserve"> (Figure S</w:t>
      </w:r>
      <w:r w:rsidR="000E7EF1">
        <w:t>8</w:t>
      </w:r>
      <w:r w:rsidR="00E43540">
        <w:t>)</w:t>
      </w:r>
      <w:r w:rsidR="00681727" w:rsidRPr="00BA3FF3">
        <w:t xml:space="preserve">. </w:t>
      </w:r>
    </w:p>
    <w:bookmarkEnd w:id="38"/>
    <w:p w14:paraId="3EB122A2" w14:textId="12B5658A" w:rsidR="00F13F07" w:rsidRPr="00BA3FF3" w:rsidRDefault="00681727">
      <w:r w:rsidRPr="00BA3FF3">
        <w:t>In fact, t</w:t>
      </w:r>
      <w:r w:rsidR="009F7CE2" w:rsidRPr="00BA3FF3">
        <w:t xml:space="preserve">he </w:t>
      </w:r>
      <w:r w:rsidR="0029605E" w:rsidRPr="00BA3FF3">
        <w:t xml:space="preserve">reported </w:t>
      </w:r>
      <w:r w:rsidR="009F7CE2" w:rsidRPr="00BA3FF3">
        <w:t>interstitial positions in the hyper</w:t>
      </w:r>
      <w:r w:rsidR="00977AF3" w:rsidRPr="00BA3FF3">
        <w:t>-</w:t>
      </w:r>
      <w:r w:rsidR="009F7CE2" w:rsidRPr="00BA3FF3">
        <w:t>stoichiometric scheelite structures are scattered</w:t>
      </w:r>
      <w:r w:rsidR="003007A9" w:rsidRPr="00BA3FF3">
        <w:t xml:space="preserve"> due to high oxygen mobility coupled with</w:t>
      </w:r>
      <w:r w:rsidR="00F9723B">
        <w:t xml:space="preserve"> the</w:t>
      </w:r>
      <w:r w:rsidR="003007A9" w:rsidRPr="00BA3FF3">
        <w:t xml:space="preserve"> </w:t>
      </w:r>
      <w:r w:rsidR="0066015E" w:rsidRPr="00BA3FF3">
        <w:t>low interstitial concentration</w:t>
      </w:r>
      <w:r w:rsidR="00FB743B" w:rsidRPr="00BA3FF3">
        <w:t>.</w:t>
      </w:r>
      <w:r w:rsidR="0066015E" w:rsidRPr="003C79E1">
        <w:fldChar w:fldCharType="begin" w:fldLock="1"/>
      </w:r>
      <w:r w:rsidR="000A4126">
        <w:instrText>ADDIN CSL_CITATION {"citationItems":[{"id":"ITEM-1","itemData":{"author":[{"dropping-particle":"","family":"Takai","given":"Shigeomi","non-dropping-particle":"","parse-names":false,"suffix":""},{"dropping-particle":"","family":"Touda","given":"Shinichi","non-dropping-particle":"","parse-names":false,"suffix":""},{"dropping-particle":"","family":"Oikawa","given":"Kenichi","non-dropping-particle":"","parse-names":false,"suffix":""},{"dropping-particle":"","family":"Mori","given":"Kazuhiro","non-dropping-particle":"","parse-names":false,"suffix":""},{"dropping-particle":"","family":"Torii","given":"Shuki","non-dropping-particle":"","parse-names":false,"suffix":""}],"container-title":"Solid State Ionics","id":"ITEM-1","issued":{"date-parts":[["2002"]]},"page":"123-133","title":"Powder neutron diffraction study of Ln-substituted PbWO&lt;sub&gt;4&lt;/sub&gt; oxide ion conductors","type":"article-journal","volume":"148"},"uris":["http://www.mendeley.com/documents/?uuid=4d0bc098-2893-46db-aa37-2d2f23b8f31e"]}],"mendeley":{"formattedCitation":"&lt;sup&gt;43&lt;/sup&gt;","plainTextFormattedCitation":"43","previouslyFormattedCitation":"&lt;sup&gt;42&lt;/sup&gt;"},"properties":{"noteIndex":0},"schema":"https://github.com/citation-style-language/schema/raw/master/csl-citation.json"}</w:instrText>
      </w:r>
      <w:r w:rsidR="0066015E" w:rsidRPr="00057994">
        <w:fldChar w:fldCharType="separate"/>
      </w:r>
      <w:r w:rsidR="000A4126" w:rsidRPr="000A4126">
        <w:rPr>
          <w:noProof/>
          <w:vertAlign w:val="superscript"/>
        </w:rPr>
        <w:t>43</w:t>
      </w:r>
      <w:r w:rsidR="0066015E" w:rsidRPr="003C79E1">
        <w:fldChar w:fldCharType="end"/>
      </w:r>
      <w:r w:rsidR="009F7CE2" w:rsidRPr="00BA3FF3">
        <w:t xml:space="preserve"> </w:t>
      </w:r>
      <w:r w:rsidRPr="00BA3FF3">
        <w:t>For instance, w</w:t>
      </w:r>
      <w:r w:rsidR="009F7CE2" w:rsidRPr="00BA3FF3">
        <w:t>hen studying the modulated CeNbO</w:t>
      </w:r>
      <w:r w:rsidR="009F7CE2" w:rsidRPr="00BA3FF3">
        <w:rPr>
          <w:vertAlign w:val="subscript"/>
        </w:rPr>
        <w:t>4+d</w:t>
      </w:r>
      <w:r w:rsidR="009F7CE2" w:rsidRPr="00BA3FF3">
        <w:t xml:space="preserve"> phases, Thompson </w:t>
      </w:r>
      <w:r w:rsidR="009F7CE2" w:rsidRPr="00BA3FF3">
        <w:rPr>
          <w:i/>
          <w:iCs/>
        </w:rPr>
        <w:t>et al.</w:t>
      </w:r>
      <w:r w:rsidR="009F7CE2" w:rsidRPr="00BA3FF3">
        <w:t xml:space="preserve"> </w:t>
      </w:r>
      <w:r w:rsidR="006834BE" w:rsidRPr="00BA3FF3">
        <w:t>suggested</w:t>
      </w:r>
      <w:r w:rsidR="009F7CE2" w:rsidRPr="00BA3FF3">
        <w:t xml:space="preserve"> </w:t>
      </w:r>
      <w:r w:rsidR="006834BE" w:rsidRPr="00BA3FF3">
        <w:t xml:space="preserve">that the interstitial occupied the </w:t>
      </w:r>
      <w:r w:rsidR="009F7CE2" w:rsidRPr="00BA3FF3">
        <w:t>empty eight-coordinate site,</w:t>
      </w:r>
      <w:r w:rsidRPr="00BA3FF3">
        <w:t xml:space="preserve"> at</w:t>
      </w:r>
      <w:r w:rsidR="009F7CE2" w:rsidRPr="00BA3FF3">
        <w:t xml:space="preserve"> </w:t>
      </w:r>
      <w:r w:rsidRPr="00BA3FF3">
        <w:t xml:space="preserve">(0, 0.25, 0.375), </w:t>
      </w:r>
      <w:r w:rsidR="009F7CE2" w:rsidRPr="00BA3FF3">
        <w:t xml:space="preserve">which </w:t>
      </w:r>
      <w:r w:rsidRPr="00BA3FF3">
        <w:t>leads to</w:t>
      </w:r>
      <w:r w:rsidR="009F7CE2" w:rsidRPr="00BA3FF3">
        <w:t xml:space="preserve"> minimal disturbance to </w:t>
      </w:r>
      <w:r w:rsidR="0066015E" w:rsidRPr="00BA3FF3">
        <w:t>the neighbouring ions</w:t>
      </w:r>
      <w:r w:rsidR="00FB743B" w:rsidRPr="00BA3FF3">
        <w:t>.</w:t>
      </w:r>
      <w:r w:rsidR="0066015E" w:rsidRPr="003C79E1">
        <w:fldChar w:fldCharType="begin" w:fldLock="1"/>
      </w:r>
      <w:r w:rsidR="000A4126">
        <w:instrText>ADDIN CSL_CITATION {"citationItems":[{"id":"ITEM-1","itemData":{"DOI":"10.1006/jssc.1998.8096","ISBN":"0022-4596","ISSN":"0022-4596","abstract":"Three previously reported oxidized cerium niobate phases CeNbO4+x (x = 0.08, 0.25, and 0.33) have been synthesized and characterized by X-ray powder and electron diffraction. All three phases display structures which are modulated variants of a parent fergusonite-type (CeNbO4)-Nb-III structure (I2/a, a = 5.5342 (2) Angstrom b = 11.4016(6) Angstrom, c = 5.1583 (3) Angstrom, beta = 94.600(5)degrees). The x = 0.08 phase with parent unit cell (I2/a, a = 5.3029(8) Angstrom, b = 11.483(2) Angstrom, c = 5.2515(8) Angstrom, beta = 91.32(2)degrees) is a two-dimensional, incommensurately modulated phase characterized by incommensurate primary modulation wavevectors q(1) similar to [0.345, 0, 0.1381](p)* and q(2) similar to [-0.069, 0, 0.172](p)* (p for parent). The x = 0.25 phase with parent unit cell (I2/a, a = 5.3522(8) Angstrom, b = 11.374(3) Angstrom, c = 5.116(1) Angstrom, beta = 93.34(2)degrees) is a commensurately modulated superstructure phase characterized by the reciprocal space unit cell a(r)* = 1/12[402](p)*, b(r)* = 1/4[020](p)*, and c(r)* = 1/3[(1) over bar 01](p)* (r for resultant). The x = 0.33 phase with parent unit cell (I1, a = 5.4374(8) Angstrom, b = 11.189(2) Angstrom, c = 5.1458(8) Angstrom, alpha = 90.56(1), beta = 94.37(1), gamma = 88.19(1)degrees) is again commensurately modulated with q = 1/3[101](p)*. The close structural relationship between the three oxidized phases and possible interstitial oxygen sites in the (CeNbO4)-Nb-III structure are discussed. (C) 1999 Academic Press.","author":[{"dropping-particle":"","family":"Thompson","given":"John G","non-dropping-particle":"","parse-names":false,"suffix":""},{"dropping-particle":"","family":"Withers","given":"Ray L","non-dropping-particle":"","parse-names":false,"suffix":""},{"dropping-particle":"","family":"Brink","given":"Frank J","non-dropping-particle":"","parse-names":false,"suffix":""}],"container-title":"Journal of Solid State Chemistry","id":"ITEM-1","issue":"1","issued":{"date-parts":[["1999","2"]]},"page":"122-131","title":"Modulated structures in oxidized cerium niobates","type":"article-journal","volume":"143"},"uris":["http://www.mendeley.com/documents/?uuid=afe2b805-ccad-41e3-b120-aac0908c79a4"]}],"mendeley":{"formattedCitation":"&lt;sup&gt;44&lt;/sup&gt;","plainTextFormattedCitation":"44","previouslyFormattedCitation":"&lt;sup&gt;43&lt;/sup&gt;"},"properties":{"noteIndex":0},"schema":"https://github.com/citation-style-language/schema/raw/master/csl-citation.json"}</w:instrText>
      </w:r>
      <w:r w:rsidR="0066015E" w:rsidRPr="00057994">
        <w:fldChar w:fldCharType="separate"/>
      </w:r>
      <w:r w:rsidR="000A4126" w:rsidRPr="000A4126">
        <w:rPr>
          <w:noProof/>
          <w:vertAlign w:val="superscript"/>
        </w:rPr>
        <w:t>44</w:t>
      </w:r>
      <w:r w:rsidR="0066015E" w:rsidRPr="003C79E1">
        <w:fldChar w:fldCharType="end"/>
      </w:r>
      <w:r w:rsidR="009F7CE2" w:rsidRPr="00BA3FF3">
        <w:t xml:space="preserve"> (</w:t>
      </w:r>
      <w:r w:rsidR="006834BE" w:rsidRPr="00BA3FF3">
        <w:t xml:space="preserve">marked by </w:t>
      </w:r>
      <w:r w:rsidR="009F7CE2" w:rsidRPr="00BA3FF3">
        <w:t xml:space="preserve">red spheres in </w:t>
      </w:r>
      <w:r w:rsidR="007A4775" w:rsidRPr="003C79E1">
        <w:fldChar w:fldCharType="begin"/>
      </w:r>
      <w:r w:rsidR="007A4775" w:rsidRPr="00BA3FF3">
        <w:instrText xml:space="preserve"> REF _Ref15918559 \h </w:instrText>
      </w:r>
      <w:r w:rsidR="007A4775" w:rsidRPr="00057994">
        <w:fldChar w:fldCharType="separate"/>
      </w:r>
      <w:r w:rsidR="00564E5A" w:rsidRPr="00BA3FF3">
        <w:t xml:space="preserve">Figure </w:t>
      </w:r>
      <w:r w:rsidR="00564E5A" w:rsidRPr="00BA3FF3">
        <w:rPr>
          <w:noProof/>
        </w:rPr>
        <w:t>8</w:t>
      </w:r>
      <w:r w:rsidR="007A4775" w:rsidRPr="003C79E1">
        <w:fldChar w:fldCharType="end"/>
      </w:r>
      <w:r w:rsidR="009F7CE2" w:rsidRPr="00BA3FF3">
        <w:t xml:space="preserve">). </w:t>
      </w:r>
      <w:r w:rsidR="00F63434" w:rsidRPr="00BA3FF3">
        <w:t xml:space="preserve">A </w:t>
      </w:r>
      <w:r w:rsidRPr="00BA3FF3">
        <w:t xml:space="preserve">different </w:t>
      </w:r>
      <w:r w:rsidRPr="003C79E1">
        <w:rPr>
          <w:rFonts w:cs="Times New Roman"/>
          <w:szCs w:val="24"/>
        </w:rPr>
        <w:t>Wyckoff</w:t>
      </w:r>
      <w:r w:rsidRPr="003C79E1">
        <w:rPr>
          <w:rFonts w:cs="Times New Roman"/>
          <w:iCs/>
          <w:szCs w:val="24"/>
        </w:rPr>
        <w:t xml:space="preserve">  8</w:t>
      </w:r>
      <w:r w:rsidRPr="003C79E1">
        <w:rPr>
          <w:rFonts w:cs="Times New Roman"/>
          <w:i/>
          <w:iCs/>
          <w:szCs w:val="24"/>
        </w:rPr>
        <w:t>e</w:t>
      </w:r>
      <w:r w:rsidRPr="00485C41">
        <w:rPr>
          <w:rFonts w:cs="Times New Roman"/>
          <w:szCs w:val="24"/>
        </w:rPr>
        <w:t xml:space="preserve"> position </w:t>
      </w:r>
      <w:r w:rsidR="003C79E1" w:rsidRPr="00CA2BC8">
        <w:rPr>
          <w:rFonts w:cs="Times New Roman"/>
          <w:szCs w:val="24"/>
        </w:rPr>
        <w:t xml:space="preserve"> </w:t>
      </w:r>
      <w:r w:rsidR="003C79E1" w:rsidRPr="00057994">
        <w:rPr>
          <w:rFonts w:cs="Times New Roman"/>
          <w:szCs w:val="24"/>
          <w:shd w:val="clear" w:color="auto" w:fill="FFFFFF"/>
        </w:rPr>
        <w:t xml:space="preserve">in </w:t>
      </w:r>
      <w:r w:rsidR="003C79E1" w:rsidRPr="00057994">
        <w:rPr>
          <w:rFonts w:cs="Times New Roman"/>
          <w:i/>
          <w:iCs/>
          <w:szCs w:val="24"/>
          <w:shd w:val="clear" w:color="auto" w:fill="FFFFFF"/>
        </w:rPr>
        <w:t>I</w:t>
      </w:r>
      <w:r w:rsidR="003C79E1" w:rsidRPr="00057994">
        <w:rPr>
          <w:rFonts w:cs="Times New Roman"/>
          <w:szCs w:val="24"/>
          <w:shd w:val="clear" w:color="auto" w:fill="FFFFFF"/>
        </w:rPr>
        <w:t>4</w:t>
      </w:r>
      <w:r w:rsidR="003C79E1" w:rsidRPr="00057994">
        <w:rPr>
          <w:rFonts w:cs="Times New Roman"/>
          <w:szCs w:val="24"/>
          <w:shd w:val="clear" w:color="auto" w:fill="FFFFFF"/>
          <w:vertAlign w:val="subscript"/>
        </w:rPr>
        <w:t>1</w:t>
      </w:r>
      <w:r w:rsidR="003C79E1" w:rsidRPr="00057994">
        <w:rPr>
          <w:rFonts w:cs="Times New Roman"/>
          <w:szCs w:val="24"/>
          <w:shd w:val="clear" w:color="auto" w:fill="FFFFFF"/>
        </w:rPr>
        <w:t>/</w:t>
      </w:r>
      <w:r w:rsidR="003C79E1" w:rsidRPr="00057994">
        <w:rPr>
          <w:rFonts w:cs="Times New Roman"/>
          <w:i/>
          <w:iCs/>
          <w:szCs w:val="24"/>
          <w:shd w:val="clear" w:color="auto" w:fill="FFFFFF"/>
        </w:rPr>
        <w:t>a</w:t>
      </w:r>
      <w:r w:rsidR="003C79E1" w:rsidRPr="00057994">
        <w:rPr>
          <w:rFonts w:cs="Times New Roman"/>
          <w:szCs w:val="24"/>
          <w:shd w:val="clear" w:color="auto" w:fill="FFFFFF"/>
        </w:rPr>
        <w:t xml:space="preserve"> space group </w:t>
      </w:r>
      <w:r w:rsidRPr="003C79E1">
        <w:rPr>
          <w:rFonts w:cs="Times New Roman"/>
          <w:szCs w:val="24"/>
        </w:rPr>
        <w:t xml:space="preserve">at (0, 0.25, </w:t>
      </w:r>
      <w:r w:rsidR="003C79E1" w:rsidRPr="00057994">
        <w:rPr>
          <w:rFonts w:cs="Times New Roman"/>
          <w:szCs w:val="24"/>
          <w:shd w:val="clear" w:color="auto" w:fill="FFFFFF"/>
        </w:rPr>
        <w:t>0.</w:t>
      </w:r>
      <w:r w:rsidR="003250B6">
        <w:rPr>
          <w:rFonts w:cs="Times New Roman"/>
          <w:szCs w:val="24"/>
          <w:shd w:val="clear" w:color="auto" w:fill="FFFFFF"/>
        </w:rPr>
        <w:t>325</w:t>
      </w:r>
      <w:r w:rsidRPr="003C79E1">
        <w:rPr>
          <w:rFonts w:cs="Times New Roman"/>
          <w:szCs w:val="24"/>
        </w:rPr>
        <w:t xml:space="preserve">) </w:t>
      </w:r>
      <w:r w:rsidR="009F7CE2" w:rsidRPr="003C79E1">
        <w:rPr>
          <w:rFonts w:cs="Times New Roman"/>
          <w:szCs w:val="24"/>
        </w:rPr>
        <w:t xml:space="preserve">was predicted </w:t>
      </w:r>
      <w:r w:rsidRPr="003C79E1">
        <w:rPr>
          <w:rFonts w:cs="Times New Roman"/>
          <w:szCs w:val="24"/>
        </w:rPr>
        <w:t>in La doped</w:t>
      </w:r>
      <w:r w:rsidRPr="003C79E1">
        <w:t xml:space="preserve"> </w:t>
      </w:r>
      <w:r w:rsidRPr="00BA3FF3">
        <w:t>PbWO</w:t>
      </w:r>
      <w:r w:rsidRPr="00BA3FF3">
        <w:rPr>
          <w:vertAlign w:val="subscript"/>
        </w:rPr>
        <w:t xml:space="preserve">4 </w:t>
      </w:r>
      <w:r w:rsidR="009F7CE2" w:rsidRPr="00BA3FF3">
        <w:t xml:space="preserve">by Takai </w:t>
      </w:r>
      <w:r w:rsidR="00977AF3" w:rsidRPr="00BA3FF3">
        <w:rPr>
          <w:i/>
          <w:iCs/>
        </w:rPr>
        <w:t>et al.</w:t>
      </w:r>
      <w:r w:rsidR="0066015E" w:rsidRPr="003C79E1">
        <w:fldChar w:fldCharType="begin" w:fldLock="1"/>
      </w:r>
      <w:r w:rsidR="000A4126">
        <w:instrText>ADDIN CSL_CITATION {"citationItems":[{"id":"ITEM-1","itemData":{"author":[{"dropping-particle":"","family":"Takai","given":"Shigeomi","non-dropping-particle":"","parse-names":false,"suffix":""},{"dropping-particle":"","family":"Touda","given":"Shinichi","non-dropping-particle":"","parse-names":false,"suffix":""},{"dropping-particle":"","family":"Oikawa","given":"Kenichi","non-dropping-particle":"","parse-names":false,"suffix":""},{"dropping-particle":"","family":"Mori","given":"Kazuhiro","non-dropping-particle":"","parse-names":false,"suffix":""},{"dropping-particle":"","family":"Torii","given":"Shuki","non-dropping-particle":"","parse-names":false,"suffix":""}],"container-title":"Solid State Ionics","id":"ITEM-1","issued":{"date-parts":[["2002"]]},"page":"123-133","title":"Powder neutron diffraction study of Ln-substituted PbWO&lt;sub&gt;4&lt;/sub&gt; oxide ion conductors","type":"article-journal","volume":"148"},"uris":["http://www.mendeley.com/documents/?uuid=4d0bc098-2893-46db-aa37-2d2f23b8f31e"]}],"mendeley":{"formattedCitation":"&lt;sup&gt;43&lt;/sup&gt;","plainTextFormattedCitation":"43","previouslyFormattedCitation":"&lt;sup&gt;42&lt;/sup&gt;"},"properties":{"noteIndex":0},"schema":"https://github.com/citation-style-language/schema/raw/master/csl-citation.json"}</w:instrText>
      </w:r>
      <w:r w:rsidR="0066015E" w:rsidRPr="00057994">
        <w:fldChar w:fldCharType="separate"/>
      </w:r>
      <w:r w:rsidR="000A4126" w:rsidRPr="000A4126">
        <w:rPr>
          <w:noProof/>
          <w:vertAlign w:val="superscript"/>
        </w:rPr>
        <w:t>43</w:t>
      </w:r>
      <w:r w:rsidR="0066015E" w:rsidRPr="003C79E1">
        <w:fldChar w:fldCharType="end"/>
      </w:r>
      <w:r w:rsidR="009F7CE2" w:rsidRPr="00BA3FF3">
        <w:t xml:space="preserve"> </w:t>
      </w:r>
      <w:r w:rsidR="00C2085C">
        <w:t>T</w:t>
      </w:r>
      <w:r w:rsidRPr="00BA3FF3">
        <w:t xml:space="preserve">he authors </w:t>
      </w:r>
      <w:r w:rsidR="009F7CE2" w:rsidRPr="00BA3FF3">
        <w:t>pointed out that the refined occupancy is only 1/3 of the expected value, and suggested that the interstitial could occupy other 8</w:t>
      </w:r>
      <w:r w:rsidR="009F7CE2" w:rsidRPr="00BA3FF3">
        <w:rPr>
          <w:i/>
        </w:rPr>
        <w:t>e</w:t>
      </w:r>
      <w:r w:rsidR="009F7CE2" w:rsidRPr="00BA3FF3">
        <w:t xml:space="preserve"> positions </w:t>
      </w:r>
      <w:r w:rsidR="003C3779" w:rsidRPr="00BA3FF3">
        <w:t>with varied</w:t>
      </w:r>
      <w:r w:rsidR="009F7CE2" w:rsidRPr="00BA3FF3">
        <w:t xml:space="preserve"> </w:t>
      </w:r>
      <w:r w:rsidR="009F7CE2" w:rsidRPr="00BA3FF3">
        <w:rPr>
          <w:i/>
        </w:rPr>
        <w:t>z</w:t>
      </w:r>
      <w:r w:rsidR="009F7CE2" w:rsidRPr="00BA3FF3">
        <w:t xml:space="preserve"> coordinate (along the arrow direction shown in </w:t>
      </w:r>
      <w:r w:rsidR="007A4775" w:rsidRPr="003C79E1">
        <w:fldChar w:fldCharType="begin"/>
      </w:r>
      <w:r w:rsidR="007A4775" w:rsidRPr="00BA3FF3">
        <w:instrText xml:space="preserve"> REF _Ref15918559 \h </w:instrText>
      </w:r>
      <w:r w:rsidR="007A4775" w:rsidRPr="00057994">
        <w:fldChar w:fldCharType="separate"/>
      </w:r>
      <w:r w:rsidR="00564E5A" w:rsidRPr="00BA3FF3">
        <w:t xml:space="preserve">Figure </w:t>
      </w:r>
      <w:r w:rsidR="00564E5A" w:rsidRPr="00BA3FF3">
        <w:rPr>
          <w:noProof/>
        </w:rPr>
        <w:t>8</w:t>
      </w:r>
      <w:r w:rsidR="007A4775" w:rsidRPr="003C79E1">
        <w:fldChar w:fldCharType="end"/>
      </w:r>
      <w:r w:rsidR="009F7CE2" w:rsidRPr="00BA3FF3">
        <w:t xml:space="preserve">). </w:t>
      </w:r>
      <w:r w:rsidR="00182A0C" w:rsidRPr="00BA3FF3">
        <w:t>M</w:t>
      </w:r>
      <w:r w:rsidR="009F7CE2" w:rsidRPr="00BA3FF3">
        <w:t>ost recently</w:t>
      </w:r>
      <w:r w:rsidR="002C13C6" w:rsidRPr="00BA3FF3">
        <w:t>,</w:t>
      </w:r>
      <w:r w:rsidR="009F7CE2" w:rsidRPr="00BA3FF3">
        <w:t xml:space="preserve"> Pramana </w:t>
      </w:r>
      <w:r w:rsidR="009F7CE2" w:rsidRPr="00BA3FF3">
        <w:rPr>
          <w:i/>
          <w:iCs/>
        </w:rPr>
        <w:t>et al</w:t>
      </w:r>
      <w:r w:rsidR="003E2DD2" w:rsidRPr="00BA3FF3">
        <w:rPr>
          <w:i/>
          <w:iCs/>
        </w:rPr>
        <w:t>.</w:t>
      </w:r>
      <w:r w:rsidR="003E2DD2" w:rsidRPr="003C79E1">
        <w:fldChar w:fldCharType="begin" w:fldLock="1"/>
      </w:r>
      <w:r w:rsidR="00142EE0" w:rsidRPr="00BA3FF3">
        <w:instrText xml:space="preserve">ADDIN CSL_CITATION {"citationItems":[{"id":"ITEM-1","itemData":{"DOI":"10.1021/jacs.5b11373","ISSN":"15205126","abstract":"CeNbO4.25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142EE0" w:rsidRPr="00BA3FF3">
        <w:rPr>
          <w:rFonts w:ascii="Cambria Math" w:hAnsi="Cambria Math" w:cs="Cambria Math"/>
        </w:rPr>
        <w:instrText>∼</w:instrText>
      </w:r>
      <w:r w:rsidR="00142EE0" w:rsidRPr="00BA3FF3">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Society","id":"ITEM-1","issue":"4","issued":{"date-parts":[["2016","1","25"]]},"page":"1273-1279","publisher":"American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mendeley":{"formattedCitation":"&lt;sup&gt;13&lt;/sup&gt;","plainTextFormattedCitation":"13","previouslyFormattedCitation":"&lt;sup&gt;13&lt;/sup&gt;"},"properties":{"noteIndex":0},"schema":"https://github.com/citation-style-language/schema/raw/master/csl-citation.json"}</w:instrText>
      </w:r>
      <w:r w:rsidR="003E2DD2" w:rsidRPr="00057994">
        <w:fldChar w:fldCharType="separate"/>
      </w:r>
      <w:r w:rsidR="00142EE0" w:rsidRPr="00BA3FF3">
        <w:rPr>
          <w:noProof/>
          <w:vertAlign w:val="superscript"/>
        </w:rPr>
        <w:t>13</w:t>
      </w:r>
      <w:r w:rsidR="003E2DD2" w:rsidRPr="003C79E1">
        <w:fldChar w:fldCharType="end"/>
      </w:r>
      <w:r w:rsidR="009F7CE2" w:rsidRPr="00BA3FF3">
        <w:t xml:space="preserve"> </w:t>
      </w:r>
      <w:r w:rsidR="00FC0FC6" w:rsidRPr="00BA3FF3">
        <w:t xml:space="preserve">proposed </w:t>
      </w:r>
      <w:r w:rsidR="0057549A" w:rsidRPr="00057994">
        <w:rPr>
          <w:rFonts w:cs="Times New Roman"/>
          <w:szCs w:val="24"/>
          <w:shd w:val="clear" w:color="auto" w:fill="FFFFFF"/>
        </w:rPr>
        <w:t>the location of oxygen interstitial not at a specific crystallographic position in the parent structure</w:t>
      </w:r>
      <w:r w:rsidR="009F7CE2" w:rsidRPr="00BA3FF3">
        <w:t xml:space="preserve">, </w:t>
      </w:r>
      <w:r w:rsidR="00FC0FC6" w:rsidRPr="00BA3FF3">
        <w:t xml:space="preserve">but </w:t>
      </w:r>
      <w:r w:rsidR="003250B6">
        <w:t xml:space="preserve">at </w:t>
      </w:r>
      <w:r w:rsidR="003250B6">
        <w:rPr>
          <w:rFonts w:hint="eastAsia"/>
        </w:rPr>
        <w:t>nor</w:t>
      </w:r>
      <w:r w:rsidR="003250B6">
        <w:t xml:space="preserve">mal </w:t>
      </w:r>
      <w:r w:rsidR="009F7CE2" w:rsidRPr="00BA3FF3">
        <w:t>lattice oxy</w:t>
      </w:r>
      <w:r w:rsidR="003250B6">
        <w:t xml:space="preserve">gen site in an expanded unit cell. </w:t>
      </w:r>
      <w:r w:rsidR="00A037FB">
        <w:rPr>
          <w:rFonts w:hint="eastAsia"/>
        </w:rPr>
        <w:t>B</w:t>
      </w:r>
      <w:r w:rsidR="00FC0FC6" w:rsidRPr="00BA3FF3">
        <w:t xml:space="preserve">oth </w:t>
      </w:r>
      <w:r w:rsidR="003250B6">
        <w:t>the “interstitial” and lattice oxygen</w:t>
      </w:r>
      <w:r w:rsidR="00FC0FC6" w:rsidRPr="00BA3FF3">
        <w:t xml:space="preserve"> cooperatively contribute to diffusion. </w:t>
      </w:r>
      <w:r w:rsidR="00EC0A2C" w:rsidRPr="00BA3FF3">
        <w:t>T</w:t>
      </w:r>
      <w:r w:rsidR="00AD1563" w:rsidRPr="00BA3FF3">
        <w:t xml:space="preserve">he </w:t>
      </w:r>
      <w:r w:rsidR="00FC0FC6" w:rsidRPr="00BA3FF3">
        <w:t>s</w:t>
      </w:r>
      <w:r w:rsidR="00AD1563" w:rsidRPr="00BA3FF3">
        <w:t xml:space="preserve">tructure is </w:t>
      </w:r>
      <w:r w:rsidR="00EC0A2C" w:rsidRPr="00BA3FF3">
        <w:t xml:space="preserve">therefore </w:t>
      </w:r>
      <w:r w:rsidR="00AD1563" w:rsidRPr="00BA3FF3">
        <w:t xml:space="preserve">better described </w:t>
      </w:r>
      <w:r w:rsidR="00EC0A2C" w:rsidRPr="00BA3FF3">
        <w:t xml:space="preserve">as </w:t>
      </w:r>
      <w:r w:rsidR="00AD1563" w:rsidRPr="00BA3FF3">
        <w:t>Ce</w:t>
      </w:r>
      <w:r w:rsidR="00AD1563" w:rsidRPr="00BA3FF3">
        <w:rPr>
          <w:vertAlign w:val="subscript"/>
        </w:rPr>
        <w:t>12</w:t>
      </w:r>
      <w:r w:rsidR="00AD1563" w:rsidRPr="00BA3FF3">
        <w:t>Nb</w:t>
      </w:r>
      <w:r w:rsidR="00AD1563" w:rsidRPr="00BA3FF3">
        <w:rPr>
          <w:vertAlign w:val="subscript"/>
        </w:rPr>
        <w:t>12</w:t>
      </w:r>
      <w:r w:rsidR="00AD1563" w:rsidRPr="00BA3FF3">
        <w:t>O</w:t>
      </w:r>
      <w:r w:rsidR="00AD1563" w:rsidRPr="00BA3FF3">
        <w:rPr>
          <w:vertAlign w:val="subscript"/>
        </w:rPr>
        <w:t>51</w:t>
      </w:r>
      <w:r w:rsidR="00EC0A2C" w:rsidRPr="00057994">
        <w:t>,</w:t>
      </w:r>
      <w:r w:rsidR="00666C9B" w:rsidRPr="00BA3FF3">
        <w:t xml:space="preserve"> </w:t>
      </w:r>
      <w:r w:rsidR="00EC0A2C" w:rsidRPr="00BA3FF3">
        <w:t>indicating little difference between the lattice and the “interstitial” oxygen.</w:t>
      </w:r>
      <w:r w:rsidR="00EC0A2C" w:rsidRPr="003C79E1">
        <w:fldChar w:fldCharType="begin" w:fldLock="1"/>
      </w:r>
      <w:r w:rsidR="00EC0A2C" w:rsidRPr="00BA3FF3">
        <w:instrText xml:space="preserve">ADDIN CSL_CITATION {"citationItems":[{"id":"ITEM-1","itemData":{"DOI":"10.1021/jacs.5b11373","ISSN":"15205126","abstract":"CeNbO4.25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EC0A2C" w:rsidRPr="00BA3FF3">
        <w:rPr>
          <w:rFonts w:ascii="Cambria Math" w:hAnsi="Cambria Math" w:cs="Cambria Math"/>
        </w:rPr>
        <w:instrText>∼</w:instrText>
      </w:r>
      <w:r w:rsidR="00EC0A2C" w:rsidRPr="00BA3FF3">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Society","id":"ITEM-1","issue":"4","issued":{"date-parts":[["2016","1","25"]]},"page":"1273-1279","publisher":"American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mendeley":{"formattedCitation":"&lt;sup&gt;13&lt;/sup&gt;","plainTextFormattedCitation":"13","previouslyFormattedCitation":"&lt;sup&gt;13&lt;/sup&gt;"},"properties":{"noteIndex":0},"schema":"https://github.com/citation-style-language/schema/raw/master/csl-citation.json"}</w:instrText>
      </w:r>
      <w:r w:rsidR="00EC0A2C" w:rsidRPr="00057994">
        <w:fldChar w:fldCharType="separate"/>
      </w:r>
      <w:r w:rsidR="00EC0A2C" w:rsidRPr="00BA3FF3">
        <w:rPr>
          <w:noProof/>
          <w:vertAlign w:val="superscript"/>
        </w:rPr>
        <w:t>13</w:t>
      </w:r>
      <w:r w:rsidR="00EC0A2C" w:rsidRPr="003C79E1">
        <w:fldChar w:fldCharType="end"/>
      </w:r>
    </w:p>
    <w:bookmarkEnd w:id="39"/>
    <w:p w14:paraId="1D68871B" w14:textId="435C0A5B" w:rsidR="00F13F07" w:rsidRDefault="00F13F07" w:rsidP="00FC0FC6">
      <w:r>
        <w:t>Refinement of the</w:t>
      </w:r>
      <w:r w:rsidRPr="00DF2B0D">
        <w:t xml:space="preserve"> interstitial </w:t>
      </w:r>
      <w:r>
        <w:t xml:space="preserve">position </w:t>
      </w:r>
      <w:r w:rsidRPr="00DF2B0D">
        <w:t>in LaNb</w:t>
      </w:r>
      <w:r w:rsidRPr="00DF2B0D">
        <w:rPr>
          <w:vertAlign w:val="subscript"/>
        </w:rPr>
        <w:t>0.84</w:t>
      </w:r>
      <w:r w:rsidRPr="00DF2B0D">
        <w:t>W</w:t>
      </w:r>
      <w:r w:rsidRPr="00DF2B0D">
        <w:rPr>
          <w:vertAlign w:val="subscript"/>
        </w:rPr>
        <w:t>0.16</w:t>
      </w:r>
      <w:r w:rsidRPr="00DF2B0D">
        <w:t>O</w:t>
      </w:r>
      <w:r w:rsidRPr="00DF2B0D">
        <w:rPr>
          <w:vertAlign w:val="subscript"/>
        </w:rPr>
        <w:t>4</w:t>
      </w:r>
      <w:r>
        <w:rPr>
          <w:vertAlign w:val="subscript"/>
        </w:rPr>
        <w:t>.08</w:t>
      </w:r>
      <w:r>
        <w:t xml:space="preserve"> was attempted following t</w:t>
      </w:r>
      <w:r w:rsidRPr="00DF2B0D">
        <w:t>he methodology proposed in ref</w:t>
      </w:r>
      <w:r>
        <w:t>,</w:t>
      </w:r>
      <w:r w:rsidRPr="00DF2B0D">
        <w:fldChar w:fldCharType="begin" w:fldLock="1"/>
      </w:r>
      <w:r w:rsidR="000A4126">
        <w:instrText>ADDIN CSL_CITATION {"citationItems":[{"id":"ITEM-1","itemData":{"author":[{"dropping-particle":"","family":"Takai","given":"Shigeomi","non-dropping-particle":"","parse-names":false,"suffix":""},{"dropping-particle":"","family":"Touda","given":"Shinichi","non-dropping-particle":"","parse-names":false,"suffix":""},{"dropping-particle":"","family":"Oikawa","given":"Kenichi","non-dropping-particle":"","parse-names":false,"suffix":""},{"dropping-particle":"","family":"Mori","given":"Kazuhiro","non-dropping-particle":"","parse-names":false,"suffix":""},{"dropping-particle":"","family":"Torii","given":"Shuki","non-dropping-particle":"","parse-names":false,"suffix":""}],"container-title":"Solid State Ionics","id":"ITEM-1","issued":{"date-parts":[["2002"]]},"page":"123-133","title":"Powder neutron diffraction study of Ln-substituted PbWO&lt;sub&gt;4&lt;/sub&gt; oxide ion conductors","type":"article-journal","volume":"148"},"uris":["http://www.mendeley.com/documents/?uuid=4d0bc098-2893-46db-aa37-2d2f23b8f31e"]}],"mendeley":{"formattedCitation":"&lt;sup&gt;43&lt;/sup&gt;","plainTextFormattedCitation":"43","previouslyFormattedCitation":"&lt;sup&gt;42&lt;/sup&gt;"},"properties":{"noteIndex":0},"schema":"https://github.com/citation-style-language/schema/raw/master/csl-citation.json"}</w:instrText>
      </w:r>
      <w:r w:rsidRPr="00DF2B0D">
        <w:fldChar w:fldCharType="separate"/>
      </w:r>
      <w:r w:rsidR="000A4126" w:rsidRPr="000A4126">
        <w:rPr>
          <w:noProof/>
          <w:vertAlign w:val="superscript"/>
        </w:rPr>
        <w:t>43</w:t>
      </w:r>
      <w:r w:rsidRPr="00DF2B0D">
        <w:fldChar w:fldCharType="end"/>
      </w:r>
      <w:r>
        <w:t xml:space="preserve"> </w:t>
      </w:r>
      <w:r>
        <w:rPr>
          <w:rFonts w:hint="eastAsia"/>
        </w:rPr>
        <w:t>which</w:t>
      </w:r>
      <w:r>
        <w:t xml:space="preserve"> </w:t>
      </w:r>
      <w:r w:rsidRPr="00DF2B0D">
        <w:t xml:space="preserve">assumed </w:t>
      </w:r>
      <w:r>
        <w:t>an</w:t>
      </w:r>
      <w:r w:rsidRPr="00DF2B0D">
        <w:t xml:space="preserve"> interstitial</w:t>
      </w:r>
      <w:r>
        <w:t xml:space="preserve"> locating</w:t>
      </w:r>
      <w:r w:rsidRPr="00DF2B0D">
        <w:t xml:space="preserve"> at (0, 0.25, </w:t>
      </w:r>
      <w:r w:rsidRPr="00DF2B0D">
        <w:rPr>
          <w:i/>
        </w:rPr>
        <w:t>z</w:t>
      </w:r>
      <w:r w:rsidRPr="00DF2B0D">
        <w:t xml:space="preserve">), </w:t>
      </w:r>
      <w:r w:rsidR="002C13C6">
        <w:t>however no satisfactory result was obtained. T</w:t>
      </w:r>
      <w:r w:rsidRPr="00DF2B0D">
        <w:t>he constraints on the interstitial position</w:t>
      </w:r>
      <w:r w:rsidR="002C13C6">
        <w:t xml:space="preserve"> were later released</w:t>
      </w:r>
      <w:r w:rsidRPr="00DF2B0D">
        <w:t>, and the refinement converged with the interstitial oxygen ion occupying the (0.274,</w:t>
      </w:r>
      <w:r w:rsidRPr="00DF2B0D">
        <w:rPr>
          <w:rFonts w:cs="Times New Roman"/>
          <w:lang w:val="en-US"/>
        </w:rPr>
        <w:t> </w:t>
      </w:r>
      <w:r w:rsidRPr="00DF2B0D">
        <w:t>0.104,</w:t>
      </w:r>
      <w:r w:rsidRPr="00DF2B0D">
        <w:rPr>
          <w:rFonts w:cs="Times New Roman"/>
          <w:lang w:val="en-US"/>
        </w:rPr>
        <w:t> </w:t>
      </w:r>
      <w:r w:rsidRPr="00DF2B0D">
        <w:t>0.223) general position. However, the refinement returned a large negative occupancy</w:t>
      </w:r>
      <w:r w:rsidR="003D7E54">
        <w:t xml:space="preserve"> which</w:t>
      </w:r>
      <w:r w:rsidRPr="00DF2B0D">
        <w:t xml:space="preserve"> indicates a false local minimum and was therefore discarded. </w:t>
      </w:r>
    </w:p>
    <w:p w14:paraId="0B7E7E76" w14:textId="56C1FD57" w:rsidR="009F7CE2" w:rsidRPr="00DF2B0D" w:rsidRDefault="000A4126" w:rsidP="009F7CE2">
      <w:pPr>
        <w:jc w:val="center"/>
      </w:pPr>
      <w:r>
        <w:rPr>
          <w:noProof/>
        </w:rPr>
        <w:lastRenderedPageBreak/>
        <w:pict w14:anchorId="10C37314">
          <v:shape id="_x0000_i1243" type="#_x0000_t75" alt="" style="width:244.25pt;height:245.15pt;mso-width-percent:0;mso-height-percent:0;mso-width-percent:0;mso-height-percent:0">
            <v:imagedata r:id="rId16" o:title=""/>
          </v:shape>
        </w:pict>
      </w:r>
    </w:p>
    <w:p w14:paraId="0EC61E75" w14:textId="1D464DF1" w:rsidR="009F7CE2" w:rsidRPr="00DF2B0D" w:rsidRDefault="00B35992" w:rsidP="009F7CE2">
      <w:pPr>
        <w:pStyle w:val="Caption"/>
      </w:pPr>
      <w:bookmarkStart w:id="41" w:name="_Ref15918559"/>
      <w:bookmarkStart w:id="42" w:name="_Toc464943526"/>
      <w:r>
        <w:t xml:space="preserve">Figure </w:t>
      </w:r>
      <w:r w:rsidR="0019656C">
        <w:fldChar w:fldCharType="begin"/>
      </w:r>
      <w:r w:rsidR="0019656C">
        <w:instrText xml:space="preserve"> SEQ Figure \* ARABIC </w:instrText>
      </w:r>
      <w:r w:rsidR="0019656C">
        <w:fldChar w:fldCharType="separate"/>
      </w:r>
      <w:r w:rsidR="00564E5A">
        <w:rPr>
          <w:noProof/>
        </w:rPr>
        <w:t>8</w:t>
      </w:r>
      <w:r w:rsidR="0019656C">
        <w:rPr>
          <w:noProof/>
        </w:rPr>
        <w:fldChar w:fldCharType="end"/>
      </w:r>
      <w:bookmarkEnd w:id="41"/>
      <w:r w:rsidR="009F7CE2" w:rsidRPr="00DF2B0D">
        <w:rPr>
          <w:noProof/>
        </w:rPr>
        <w:t>:</w:t>
      </w:r>
      <w:r w:rsidR="009F7CE2" w:rsidRPr="00DF2B0D">
        <w:t xml:space="preserve"> Proposed interstitial (shown as red spheres) positions in LaNb</w:t>
      </w:r>
      <w:r w:rsidR="009F7CE2"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9F7CE2" w:rsidRPr="00DF2B0D">
        <w:t xml:space="preserve"> based on ref.</w:t>
      </w:r>
      <w:r w:rsidR="006F2169" w:rsidRPr="006F2169">
        <w:rPr>
          <w:b w:val="0"/>
          <w:noProof/>
          <w:vertAlign w:val="superscript"/>
        </w:rPr>
        <w:t>30</w:t>
      </w:r>
      <w:r w:rsidR="00522A3C">
        <w:rPr>
          <w:b w:val="0"/>
          <w:noProof/>
          <w:vertAlign w:val="superscript"/>
        </w:rPr>
        <w:t xml:space="preserve"> </w:t>
      </w:r>
      <w:r w:rsidR="009F7CE2" w:rsidRPr="00DF2B0D">
        <w:t xml:space="preserve">and </w:t>
      </w:r>
      <w:r w:rsidR="006F2169" w:rsidRPr="006F2169">
        <w:rPr>
          <w:b w:val="0"/>
          <w:noProof/>
          <w:vertAlign w:val="superscript"/>
        </w:rPr>
        <w:t>28</w:t>
      </w:r>
      <w:r w:rsidR="009F7CE2" w:rsidRPr="00DF2B0D">
        <w:t>. The green sphere represents La</w:t>
      </w:r>
      <w:r w:rsidR="009F7CE2" w:rsidRPr="00DF2B0D">
        <w:rPr>
          <w:vertAlign w:val="superscript"/>
        </w:rPr>
        <w:t>3+</w:t>
      </w:r>
      <w:r w:rsidR="009F7CE2" w:rsidRPr="00DF2B0D">
        <w:t xml:space="preserve"> ion whereas the Nb</w:t>
      </w:r>
      <w:r w:rsidR="001E7ED2">
        <w:t>/W</w:t>
      </w:r>
      <w:r w:rsidR="009F7CE2" w:rsidRPr="00DF2B0D">
        <w:t xml:space="preserve"> </w:t>
      </w:r>
      <w:r w:rsidR="00D409F3">
        <w:t xml:space="preserve">atoms are </w:t>
      </w:r>
      <w:r w:rsidR="009F7CE2" w:rsidRPr="00DF2B0D">
        <w:t xml:space="preserve">shown in </w:t>
      </w:r>
      <w:r w:rsidR="00D409F3">
        <w:t xml:space="preserve">the </w:t>
      </w:r>
      <w:r w:rsidR="009F7CE2" w:rsidRPr="00DF2B0D">
        <w:t xml:space="preserve">polyhedral form. The interstitial is assumed to </w:t>
      </w:r>
      <w:r w:rsidR="00D409F3">
        <w:t xml:space="preserve">be </w:t>
      </w:r>
      <w:r w:rsidR="009F7CE2" w:rsidRPr="00DF2B0D">
        <w:t>locate</w:t>
      </w:r>
      <w:r w:rsidR="00D409F3">
        <w:t>d</w:t>
      </w:r>
      <w:r w:rsidR="009F7CE2" w:rsidRPr="00DF2B0D">
        <w:t xml:space="preserve"> along (0, 0.25, z)</w:t>
      </w:r>
      <w:r w:rsidR="00BA3FF3">
        <w:t>,</w:t>
      </w:r>
      <w:r w:rsidR="009F7CE2" w:rsidRPr="00DF2B0D">
        <w:t xml:space="preserve"> shown by the black arrow.</w:t>
      </w:r>
      <w:bookmarkEnd w:id="42"/>
      <w:r w:rsidR="009F7CE2" w:rsidRPr="00DF2B0D">
        <w:t xml:space="preserve"> </w:t>
      </w:r>
    </w:p>
    <w:p w14:paraId="63FF3322" w14:textId="1E5F1C1A" w:rsidR="002C13C6" w:rsidRDefault="009754A2">
      <w:r w:rsidRPr="00DF2B0D">
        <w:t xml:space="preserve">It is possible </w:t>
      </w:r>
      <w:r w:rsidR="00A23C77">
        <w:t xml:space="preserve">that </w:t>
      </w:r>
      <w:r w:rsidRPr="00DF2B0D">
        <w:t>the interstitial oxygen assumes a rather diffuse distribution in the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system at 500 °C and the </w:t>
      </w:r>
      <w:r w:rsidRPr="00DF2B0D">
        <w:rPr>
          <w:rFonts w:hint="eastAsia"/>
        </w:rPr>
        <w:t>oxygen</w:t>
      </w:r>
      <w:r w:rsidRPr="00DF2B0D">
        <w:t xml:space="preserve"> ions are delocalized along the conducting pathway leading to a reduced occupancy at any </w:t>
      </w:r>
      <w:proofErr w:type="gramStart"/>
      <w:r w:rsidRPr="00DF2B0D">
        <w:t>particular crystallographic</w:t>
      </w:r>
      <w:proofErr w:type="gramEnd"/>
      <w:r w:rsidRPr="00DF2B0D">
        <w:t xml:space="preserve"> site</w:t>
      </w:r>
      <w:r w:rsidR="002C13C6">
        <w:t xml:space="preserve">, and thus minimal residual density. </w:t>
      </w:r>
      <w:r w:rsidRPr="00DF2B0D">
        <w:t>Alternatively, the interstitial might be modulated due to the cation ordering, as the ordering of the anion network is expected from the cation ordering</w:t>
      </w:r>
      <w:r w:rsidR="00FA66F8">
        <w:t>.</w:t>
      </w:r>
      <w:r w:rsidR="003D7E54" w:rsidRPr="00DF2B0D">
        <w:fldChar w:fldCharType="begin" w:fldLock="1"/>
      </w:r>
      <w:r w:rsidR="000A4126">
        <w:instrText>ADDIN CSL_CITATION {"citationItems":[{"id":"ITEM-1","itemData":{"DOI":"10.1016/j.jssc.2004.03.016","ISSN":"00224596","abstract":"The structure of La6Mo8O33 has been determined from a triple pattern powder diffraction analysis. Two high-resolution neutron diffraction patterns collected at 1.594 and 2.398Å and one X-rays were used. This molybdate crystallizes in a non-centrosymmetric monoclinic space group P21(N°4), Z=2,a=10.7411(3)Å, b=11.9678(3)Å, c=11.7722(3)Å, β=116.062 (1)°. La 6Mo8O33 is an unusual or</w:instrText>
      </w:r>
      <w:r w:rsidR="000A4126">
        <w:rPr>
          <w:rFonts w:hint="eastAsia"/>
        </w:rPr>
        <w:instrText>dered defect Scheelite. Hence, it should be described with cation vacancies and an extra oxygen atom following the formula: La6</w:instrText>
      </w:r>
      <w:r w:rsidR="000A4126">
        <w:rPr>
          <w:rFonts w:hint="eastAsia"/>
        </w:rPr>
        <w:instrText>□</w:instrText>
      </w:r>
      <w:r w:rsidR="000A4126">
        <w:rPr>
          <w:rFonts w:hint="eastAsia"/>
        </w:rPr>
        <w:instrText>2Mo8O 32+1. This extra oxygen atom leads to a pyramidal environment, whereas the other molybdenum atoms present tetrahedral env</w:instrText>
      </w:r>
      <w:r w:rsidR="000A4126">
        <w:instrText xml:space="preserve">ironment. A molybdenum tetrahedral is connecting to the pyramid, forming an [Mo2O 9] unit. © 2004 Elsevier Inc. All rights reserved.","author":[{"dropping-particle":"","family":"Brizé","given":"V.","non-dropping-particle":"","parse-names":false,"suffix":""},{"dropping-particle":"","family":"Georges","given":"S.","non-dropping-particle":"","parse-names":false,"suffix":""},{"dropping-particle":"","family":"Kodjikian","given":"S.","non-dropping-particle":"","parse-names":false,"suffix":""},{"dropping-particle":"","family":"Suard","given":"E.","non-dropping-particle":"","parse-names":false,"suffix":""},{"dropping-particle":"","family":"Goutenoire","given":"F.","non-dropping-particle":"","parse-names":false,"suffix":""}],"container-title":"Journal of Solid State Chemistry","id":"ITEM-1","issue":"7","issued":{"date-parts":[["2004","7"]]},"page":"2617-2627","title":"La&lt;sub&gt;6&lt;/sub&gt;Mo&lt;sub&gt;8&lt;/sub&gt;O&lt;sub&gt;33&lt;/sub&gt;: A new ordered defect scheelite superstructure","type":"article-journal","volume":"177"},"uris":["http://www.mendeley.com/documents/?uuid=f58d8a20-c0a3-4b83-84f5-bf4568928d5d"]},{"id":"ITEM-2","itemData":{"DOI":"10.1021/jacs.5b11373","ISSN":"15205126","abstract":"CeNbO4.25 is reported to exhibit fast oxygen ion diffusion at moderate temperatures, making this the prototype of a new class of ion conductor with applications in a range of energy generation and storage devices. To date, the mechanism by which this ion transport is achieved has remained obscure, in part due to the long-range commensurately modulated structural motif. Here we show that CeNbO4.25 forms with a unit cell </w:instrText>
      </w:r>
      <w:r w:rsidR="000A4126">
        <w:rPr>
          <w:rFonts w:ascii="Cambria Math" w:hAnsi="Cambria Math" w:cs="Cambria Math"/>
        </w:rPr>
        <w:instrText>∼</w:instrText>
      </w:r>
      <w:r w:rsidR="000A4126">
        <w:instrText>12 times larger than the stoichiometric tetragonal parent phase of CeNbO4 as a result of the helical ordering of Ce3+ and Ce4+ ions along z. Interstitial oxygen ion incorporation leads to a cooperative displacement of the surrounding oxygen species, creating interlayer “NbO6” connectivity by extending the oxygen coordination number to 7 and 8. Molecular dynamic simulations suggest that fast ion migration occurs predominantly within the xz plane. It is concluded that the oxide ion diffuses anisotropically, with the major migration mechanism being intralayer; however, when obstructed, oxygen...","author":[{"dropping-particle":"","family":"Pramana","given":"Stevin S.","non-dropping-particle":"","parse-names":false,"suffix":""},{"dropping-particle":"","family":"Baikie","given":"Tom","non-dropping-particle":"","parse-names":false,"suffix":""},{"dropping-particle":"","family":"An","given":"Tao","non-dropping-particle":"","parse-names":false,"suffix":""},{"dropping-particle":"","family":"Tucker","given":"Matthew G.","non-dropping-particle":"","parse-names":false,"suffix":""},{"dropping-particle":"","family":"Wu","given":"Ji","non-dropping-particle":"","parse-names":false,"suffix":""},{"dropping-particle":"","family":"Schreyer","given":"Martin K.","non-dropping-particle":"","parse-names":false,"suffix":""},{"dropping-particle":"","family":"Wei","given":"Fengxia","non-dropping-particle":"","parse-names":false,"suffix":""},{"dropping-particle":"","family":"Bayliss","given":"Ryan D.","non-dropping-particle":"","parse-names":false,"suffix":""},{"dropping-particle":"","family":"Kloc","given":"Christian L.","non-dropping-particle":"","parse-names":false,"suffix":""},{"dropping-particle":"","family":"White","given":"Timothy J.","non-dropping-particle":"","parse-names":false,"suffix":""},{"dropping-particle":"","family":"Horsfield","given":"Andrew P.","non-dropping-particle":"","parse-names":false,"suffix":""},{"dropping-particle":"","family":"Skinner","given":"Stephen J.","non-dropping-particle":"","parse-names":false,"suffix":""},{"dropping-particle":"","family":"S. Pramana","given":"Stevin","non-dropping-particle":"","parse-names":false,"suffix":""},{"dropping-particle":"","family":"Baikie","given":"Tom","non-dropping-particle":"","parse-names":false,"suffix":""},{"dropping-particle":"","family":"An","given":"Tao","non-dropping-particle":"","parse-names":false,"suffix":""},{"dropping-particle":"","family":"G. Tucker","given":"Matthew","non-dropping-particle":"","parse-names":false,"suffix":""},{"dropping-particle":"","family":"Wu","given":"Ji","non-dropping-particle":"","parse-names":false,"suffix":""},{"dropping-particle":"","family":"K. Schreyer","given":"Martin","non-dropping-particle":"","parse-names":false,"suffix":""},{"dropping-particle":"","family":"Wei","given":"Fengxia","non-dropping-particle":"","parse-names":false,"suffix":""},{"dropping-particle":"","family":"D. Bayliss","given":"Ryan","non-dropping-particle":"","parse-names":false,"suffix":""},{"dropping-particle":"","family":"L. Kloc","given":"Christian","non-dropping-particle":"","parse-names":false,"suffix":""},{"dropping-particle":"","family":"J. White","given":"Timothy","non-dropping-particle":"","parse-names":false,"suffix":""},{"dropping-particle":"","family":"P. Horsfield","given":"Andrew","non-dropping-particle":"","parse-names":false,"suffix":""},{"dropping-particle":"","family":"J. Skinner","given":"Stephen","non-dropping-particle":"","parse-names":false,"suffix":""}],"container-title":"Journal of the American Chemical Society","id":"ITEM-2","issue":"4","issued":{"date-parts":[["2016","1","25"]]},"page":"1273-1279","publisher":"American Chemical Society","title":"Correlation of Local Structure and Diffusion Pathways in the Modulated Anisotropic Oxide Ion Conductor CeNbO&lt;sub&gt;4.25&lt;/sub&gt;","type":"article-journal","volume":"138"},"uris":["http://www.mendeley.com/documents/?uuid=2301cfd7-c42f-4724-a32c-1ed3db3e6910"]},{"id":"ITEM-3","itemData":{"DOI":"10.1039/C4TA05132G","ISSN":"2050-7488","author":[{"dropping-particle":"","family":"Wei","given":"Fengxia","non-dropping-particle":"","parse-names":false,"suffix":""},{"dropping-particle":"","family":"Gasparyan","given":"Hripsime","non-dropping-particle":"","parse-names":false,"suffix":""},{"dropping-particle":"","family":"Keenan","given":"Philip J.","non-dropping-particle":"","parse-names":false,"suffix":""},{"dropping-particle":"","family":"Gutmann","given":"Matthias","non-dropping-particle":"","parse-names":false,"suffix":""},{"dropping-particle":"","family":"Fang","given":"Yanan","non-dropping-particle":"","parse-names":false,"suffix":""},{"dropping-particle":"","family":"Baikie","given":"Tom","non-dropping-particle":"","parse-names":false,"suffix":""},{"dropping-particle":"","family":"Claridge","given":"John B.","non-dropping-particle":"","parse-names":false,"suffix":""},{"dropping-particle":"","family":"Slater","given":"Peter R.","non-dropping-particle":"","parse-names":false,"suffix":""},{"dropping-particle":"","family":"Kloc","given":"Christian L.","non-dropping-particle":"","parse-names":false,"suffix":""},{"dropping-particle":"","family":"White","given":"Tim J.","non-dropping-particle":"","parse-names":false,"suffix":""}],"container-title":"J. Mater. Chem. A","id":"ITEM-3","issue":"6","issued":{"date-parts":[["2015"]]},"page":"3091-3096","publisher":"Royal Society of Chemistry","title":"Anisotropic oxide ion conduction in melilite intermediate temperature electrolytes","type":"article-journal","volume":"3"},"uris":["http://www.mendeley.com/documents/?uuid=8b3b7926-666b-4114-be0d-9d22bcc68403"]},{"id":"ITEM-4","itemData":{"DOI":"10.1039/B701449J","ISBN":"0959-9428","ISSN":"0959-9428","abstract":"The (3 + 2)D modulated structure of the oxygen deficient compound LaSrCuO3.52 was determined using a combination of electron diffraction and neutron diffraction. The cell parameters are a = b = 3.7587(3) A, c = 13.0074(9) A, [small alpha] = [small beta] = [gamma] = 90[degree], superspace group I4/mmm ([small alpha][small alpha]0, [small alpha]-[small alpha]0)00 mg, [small alpha] = 0.2222(3), Rp = 4.5%, R0 = 2.1%, R1 = 4.9%. The oxygen vacancies are located in the CuO2-[small delta] plane and are ordered with the oxygen atoms, creating three different oxygen environments for the Cu atoms: CuO4 squares, CuO5 pyramids and CuO6 octahedra.","author":[{"dropping-particle":"","family":"Hadermann","given":"Joke","non-dropping-particle":"","parse-names":false,"suffix":""},{"dropping-particle":"","family":"Perez","given":"Olivier","non-dropping-particle":"","parse-names":false,"suffix":""},{"dropping-particle":"","family":"Creon","given":"Nicolas","non-dropping-particle":"","parse-names":false,"suffix":""},{"dropping-particle":"","family":"Michel","given":"Claude","non-dropping-particle":"","parse-names":false,"suffix":""},{"dropping-particle":"","family":"Hervieu","given":"Maryvonne","non-dropping-particle":"","parse-names":false,"suffix":""}],"container-title":"Journal of Materials Chemistry","id":"ITEM-4","issue":"22","issued":{"date-parts":[["2007"]]},"page":"2344-2350","title":"The (3 + 2)D structure of oxygen deficient LaSrCuO&lt;sub&gt;3.52&lt;/sub&gt;","type":"article-journal","volume":"17"},"uris":["http://www.mendeley.com/documents/?uuid=843dc504-3da0-4ea0-8779-efa41a133dc9"]}],"mendeley":{"formattedCitation":"&lt;sup&gt;5,13,45,46&lt;/sup&gt;","plainTextFormattedCitation":"5,13,45,46","previouslyFormattedCitation":"&lt;sup&gt;5,13,44,45&lt;/sup&gt;"},"properties":{"noteIndex":0},"schema":"https://github.com/citation-style-language/schema/raw/master/csl-citation.json"}</w:instrText>
      </w:r>
      <w:r w:rsidR="003D7E54" w:rsidRPr="00DF2B0D">
        <w:fldChar w:fldCharType="separate"/>
      </w:r>
      <w:r w:rsidR="000A4126" w:rsidRPr="000A4126">
        <w:rPr>
          <w:noProof/>
          <w:vertAlign w:val="superscript"/>
        </w:rPr>
        <w:t>5,13,45,46</w:t>
      </w:r>
      <w:r w:rsidR="003D7E54" w:rsidRPr="00DF2B0D">
        <w:fldChar w:fldCharType="end"/>
      </w:r>
      <w:r w:rsidRPr="00DF2B0D">
        <w:t xml:space="preserve"> </w:t>
      </w:r>
      <w:bookmarkStart w:id="43" w:name="_Hlk31206522"/>
    </w:p>
    <w:p w14:paraId="7F856ED2" w14:textId="3978DA9E" w:rsidR="009F7CE2" w:rsidRDefault="0029374D" w:rsidP="00275E7C">
      <w:r w:rsidRPr="00DF2B0D">
        <w:rPr>
          <w:rFonts w:hint="eastAsia"/>
        </w:rPr>
        <w:t>In</w:t>
      </w:r>
      <w:r w:rsidRPr="00DF2B0D">
        <w:t xml:space="preserve"> both cases, </w:t>
      </w:r>
      <w:r w:rsidR="009F7CE2" w:rsidRPr="00DF2B0D">
        <w:t xml:space="preserve">a diffuse distribution of the interstitial </w:t>
      </w:r>
      <w:r w:rsidRPr="00DF2B0D">
        <w:t>oxygen</w:t>
      </w:r>
      <w:r w:rsidR="00A23C77">
        <w:t xml:space="preserve"> is predicted.</w:t>
      </w:r>
      <w:r w:rsidR="008375E8">
        <w:t xml:space="preserve"> Such prediction is</w:t>
      </w:r>
      <w:r w:rsidR="00A23C77">
        <w:t xml:space="preserve"> consistent with</w:t>
      </w:r>
      <w:r w:rsidR="0060026C">
        <w:t xml:space="preserve"> </w:t>
      </w:r>
      <w:r w:rsidR="00A23C77">
        <w:t xml:space="preserve">most recent </w:t>
      </w:r>
      <w:r w:rsidR="00B17C7E">
        <w:t>reports</w:t>
      </w:r>
      <w:r w:rsidR="00A23C77">
        <w:t xml:space="preserve"> on apatite</w:t>
      </w:r>
      <w:r w:rsidR="00B17C7E">
        <w:t>-type germanates</w:t>
      </w:r>
      <w:r w:rsidR="00A23C77">
        <w:t>,</w:t>
      </w:r>
      <w:r w:rsidR="008375E8">
        <w:fldChar w:fldCharType="begin" w:fldLock="1"/>
      </w:r>
      <w:r w:rsidR="000A4126">
        <w:instrText>ADDIN CSL_CITATION {"citationItems":[{"id":"ITEM-1","itemData":{"DOI":"10.1039/c8ta00546j","ISSN":"20507496","abstract":"Introduction of Bi(iii) into apatite-type germanate oxide ion conductors can improve the conductivity by up to two orders of magnitude. To account for these experimental findings, we have carried out the first ab initio molecular dynamics simulations study of the conduction mechanisms in lone pair-containing apatite-type oxide ion conductors. These calculations were performed on the series La10-xBixGe6O27 (x = 0, 2, 4) and were supported by neutron scattering experiments. We observe four types of oxide ion exchange mechanisms and describe the effects that the introduction of lone-pair cations has on the O2- migration pathways and on the overall conductivity.","author":[{"dropping-particle":"","family":"Peet","given":"J. R.","non-dropping-particle":"","parse-names":false,"suffix":""},{"dropping-particle":"","family":"Chambers","given":"M. S.","non-dropping-particle":"","parse-names":false,"suffix":""},{"dropping-particle":"","family":"Piovano","given":"A.","non-dropping-particle":"","parse-names":false,"suffix":""},{"dropping-particle":"","family":"Johnson","given":"M. R.","non-dropping-particle":"","parse-names":false,"suffix":""},{"dropping-particle":"","family":"Evans","given":"I. Radosavljevic","non-dropping-particle":"","parse-names":false,"suffix":""}],"container-title":"Journal of Materials Chemistry A","id":"ITEM-1","issued":{"date-parts":[["2018"]]},"page":"5129-5135","title":"Dynamics in Bi(III)-containing apatite-type oxide ion conductors: A combined computational and experimental study","type":"article-journal","volume":"6"},"uris":["http://www.mendeley.com/documents/?uuid=96e57c5b-66fa-479e-a63c-48de17207759"]},{"id":"ITEM-2","itemData":{"DOI":"10.1002/adfm.201605625","ISSN":"16163028","abstract":"The new solid electrolyte Bi2La8[(GeO4)6]O3 is prepared and characterized by variable-temperature synchrotron X-ray and neutron diffraction, aberration-corrected scanning transmission electron microscopy, and physical property measurements (impedance spectroscopy and second harmonic generation). The material is a triclinic variant of the apatite structure type and owes its ionic conductivity to the presence of oxide ion interstitials. A combination of annular bright-field scanning transmission electron microscopy experiments and frozen-phonon multislice simulations enables direct imaging of the crucial interstitial oxygen atoms present at a level of 8 out of 1030 electrons per formula unit of the material, and crystallographically disordered, in the unit cell. Scanning transmission electron microscopy also leads to a direct observation of the local departures from the centrosymmetric average structure determined by diffraction. As no second harmonic generation signal is observed, these displacements are non-cooperative on the longer length scales probed by optical methods.","author":[{"dropping-particle":"","family":"Tate","given":"Matthew L.","non-dropping-particle":"","parse-names":false,"suffix":""},{"dropping-particle":"","family":"Blom","given":"Douglas A.","non-dropping-particle":"","parse-names":false,"suffix":""},{"dropping-particle":"","family":"Avdeev","given":"Maxim","non-dropping-particle":"","parse-names":false,"suffix":""},{"dropping-particle":"","family":"Brand","given":"Helen E.A.","non-dropping-particle":"","parse-names":false,"suffix":""},{"dropping-particle":"","family":"McIntyre","given":"Garry J.","non-dropping-particle":"","parse-names":false,"suffix":""},{"dropping-particle":"","family":"Vogt","given":"Thomas","non-dropping-particle":"","parse-names":false,"suffix":""},{"dropping-particle":"","family":"Evans","given":"Ivana Radosavljevic","non-dropping-particle":"","parse-names":false,"suffix":""}],"container-title":"Advanced Functional Materials","id":"ITEM-2","issue":"8","issued":{"date-parts":[["2017"]]},"page":"1605625","title":"New Apatite-Type Oxide Ion Conductor, Bi&lt;sub&gt;2&lt;/sub&gt;La&lt;sub&gt;8&lt;/sub&gt;[(GeO&lt;sub&gt;4&lt;/sub&gt;)&lt;sub&gt;6&lt;/sub&gt;]O&lt;sub&gt;3&lt;/sub&gt;: Structure, Properties, and Direct Imaging of Low-Level Interstitial Oxygen Atoms Using Aberration-Corrected Scanning Transmission Electron Micr","type":"article-journal","volume":"27"},"uris":["http://www.mendeley.com/documents/?uuid=6a588ceb-7e9b-4323-b6c5-e0070e809786"]},{"id":"ITEM-3","itemData":{"DOI":"10.1021/acs.inorgchem.9b02544","ISSN":"1520510X","abstract":"Materials with the apatite structure have a range of important applications in which their function is influenced by details of their local structure. Here, we describe an average and local structural study to probe the origins of high-temperature oxide ion mobility in La10(GeO4)6O3 and La8Bi2(GeO4)6O3 oxygen-excess materials, using the low-conductivity interstitial oxide-free La8Sr2(GeO4)6O2 as a benchmark. For La10 and La8Bi2, we locate the interstitial oxygen, Oint, responsible for conductivity by Rietveld refinement and relate the P63/m to P1&amp;macr; phase transitions on cooling to oxygen ordering. Local structural studies using neutron total scattering reveal that well-ordered GeO5 square pyramidal groups form in the structure at low temperature, but that Oint becomes significantly more disordered in the high-conductivity, high-temperature structures, with a transition to more trigonal-bipyramid-like average geometry. We relate the higher conductivity of Bi materials to the presence of several Oint sites of similar energy in the structure, which correlates with its less-distorted low-temperature average structure.","author":[{"dropping-particle":"","family":"Chambers","given":"Matthew S.","non-dropping-particle":"","parse-names":false,"suffix":""},{"dropping-particle":"","family":"Chater","given":"Philip A.","non-dropping-particle":"","parse-names":false,"suffix":""},{"dropping-particle":"","family":"Evans","given":"Ivana Radosavljevic","non-dropping-particle":"","parse-names":false,"suffix":""},{"dropping-particle":"","family":"Evans","given":"John S.O.","non-dropping-particle":"","parse-names":false,"suffix":""}],"container-title":"Inorganic Chemistry","id":"ITEM-3","issue":"21","issued":{"date-parts":[["2019"]]},"page":"14853-14862","title":"Average and Local Structure of Apatite-Type Germanates and Implications for Oxide Ion Conductivity","type":"article-journal","volume":"58"},"uris":["http://www.mendeley.com/documents/?uuid=a8bbd04e-fd76-4b84-852a-9cff79a1b3d5"]}],"mendeley":{"formattedCitation":"&lt;sup&gt;6,47,48&lt;/sup&gt;","plainTextFormattedCitation":"6,47,48","previouslyFormattedCitation":"&lt;sup&gt;6,46,47&lt;/sup&gt;"},"properties":{"noteIndex":0},"schema":"https://github.com/citation-style-language/schema/raw/master/csl-citation.json"}</w:instrText>
      </w:r>
      <w:r w:rsidR="008375E8">
        <w:fldChar w:fldCharType="separate"/>
      </w:r>
      <w:r w:rsidR="000A4126" w:rsidRPr="000A4126">
        <w:rPr>
          <w:noProof/>
          <w:vertAlign w:val="superscript"/>
        </w:rPr>
        <w:t>6,47,48</w:t>
      </w:r>
      <w:r w:rsidR="008375E8">
        <w:fldChar w:fldCharType="end"/>
      </w:r>
      <w:r w:rsidR="00A23C77">
        <w:t xml:space="preserve"> which </w:t>
      </w:r>
      <w:r w:rsidR="00B17C7E">
        <w:t>showcased</w:t>
      </w:r>
      <w:r w:rsidR="0060026C">
        <w:t xml:space="preserve"> the </w:t>
      </w:r>
      <w:r w:rsidR="00A23C77">
        <w:t xml:space="preserve">oxygen interstitial </w:t>
      </w:r>
      <w:r w:rsidR="008375E8">
        <w:rPr>
          <w:rFonts w:hint="eastAsia"/>
        </w:rPr>
        <w:t>delocali</w:t>
      </w:r>
      <w:r w:rsidR="008375E8">
        <w:t xml:space="preserve">sed </w:t>
      </w:r>
      <w:r w:rsidR="00A23C77">
        <w:t>along the diffusion migration pathway</w:t>
      </w:r>
      <w:r w:rsidR="00B17C7E">
        <w:t xml:space="preserve">. </w:t>
      </w:r>
      <w:r w:rsidR="00DB38E1">
        <w:t>There have been e</w:t>
      </w:r>
      <w:r w:rsidR="00A23C77">
        <w:t>arlier</w:t>
      </w:r>
      <w:r w:rsidR="00DB38E1">
        <w:t xml:space="preserve"> reports on</w:t>
      </w:r>
      <w:r w:rsidR="00A23C77" w:rsidRPr="00DF2B0D">
        <w:t xml:space="preserve"> the apatite</w:t>
      </w:r>
      <w:r w:rsidR="00A23C77">
        <w:t>,</w:t>
      </w:r>
      <w:r w:rsidR="00A23C77" w:rsidRPr="00DF2B0D">
        <w:fldChar w:fldCharType="begin" w:fldLock="1"/>
      </w:r>
      <w:r w:rsidR="00A23C77">
        <w:instrText>ADDIN CSL_CITATION {"citationItems":[{"id":"ITEM-1","itemData":{"DOI":"10.1107/S0108768107024317","ISSN":"01087681","PMID":"17641430","abstract":"Oxygen conduction at low temperatures in apatites make these materials potentially useful as electrolytes in solid-oxide fuel cells, but our understanding of the defect structures enabling ion migration is incomplete. While conduction along [001] channels is dominant, considerable inter-tunnel mobility has been recognized. Using neutron powder diffraction of stoichiometric 'La(10)(GeO(4))(6)O(3)', it has been shown that this compound is more correctly described as an La(10)(GeO(4))(5-)(GeO(5))O(2) apatite, in which high concentrations of interstitial oxygen reside within the channel walls. It is suggested that these framework interstitial O atoms provide a reservoir of ions that can migrate into the conducting channels of apatite, via a mechanism of inter-tunnel oxygen diffusion that transiently converts GeO(4) tetrahedra to GeO(5) distorted trigonal bipyramids. This structural modification is consistent with known crystal chemistry and may occur generally in oxide apatites.","author":[{"dropping-particle":"","family":"Pramana","given":"Stevin S.","non-dropping-particle":"","parse-names":false,"suffix":""},{"dropping-particle":"","family":"Klooster","given":"Wim T.","non-dropping-particle":"","parse-names":false,"suffix":""},{"dropping-particle":"","family":"White","given":"T. J.","non-dropping-particle":"","parse-names":false,"suffix":""}],"container-title":"Acta Crystallographica Section B: Structural Science","id":"ITEM-1","issue":"4","issued":{"date-parts":[["2007"]]},"page":"597-602","title":"Framework interstitial oxygen in La&lt;sub&gt;10&lt;/sub&gt;(GeO&lt;sub&gt;4&lt;/sub&gt;)&lt;sub&gt;5&lt;/sub&gt;-(GeO&lt;sub&gt;5&lt;/sub&gt;)O&lt;sub&gt;2&lt;/sub&gt; apatite electrolyte","type":"article-journal","volume":"63"},"uris":["http://www.mendeley.com/documents/?uuid=f537637a-64a5-4b65-92f2-c9dcf8d96348"]}],"mendeley":{"formattedCitation":"&lt;sup&gt;4&lt;/sup&gt;","plainTextFormattedCitation":"4","previouslyFormattedCitation":"&lt;sup&gt;4&lt;/sup&gt;"},"properties":{"noteIndex":0},"schema":"https://github.com/citation-style-language/schema/raw/master/csl-citation.json"}</w:instrText>
      </w:r>
      <w:r w:rsidR="00A23C77" w:rsidRPr="00DF2B0D">
        <w:fldChar w:fldCharType="separate"/>
      </w:r>
      <w:r w:rsidR="00A23C77" w:rsidRPr="00142EE0">
        <w:rPr>
          <w:noProof/>
          <w:vertAlign w:val="superscript"/>
        </w:rPr>
        <w:t>4</w:t>
      </w:r>
      <w:r w:rsidR="00A23C77" w:rsidRPr="00DF2B0D">
        <w:fldChar w:fldCharType="end"/>
      </w:r>
      <w:r w:rsidR="00A23C77">
        <w:t xml:space="preserve"> </w:t>
      </w:r>
      <w:r w:rsidR="00A23C77" w:rsidRPr="00DF2B0D">
        <w:t>melilite</w:t>
      </w:r>
      <w:r w:rsidR="00A23C77" w:rsidRPr="00DF2B0D">
        <w:fldChar w:fldCharType="begin" w:fldLock="1"/>
      </w:r>
      <w:r w:rsidR="000A4126">
        <w:instrText>ADDIN CSL_CITATION {"citationItems":[{"id":"ITEM-1","itemData":{"author":[{"dropping-particle":"","family":"Wei","given":"Fengxia","non-dropping-particle":"","parse-names":false,"suffix":""},{"dropping-particle":"","family":"Baikie","given":"Tom","non-dropping-particle":"","parse-names":false,"suffix":""},{"dropping-particle":"","family":"An","given":"Tao","non-dropping-particle":"","parse-names":false,"suffix":""},{"dropping-particle":"","family":"Schreyer","given":"Martin","non-dropping-particle":"","parse-names":false,"suffix":""},{"dropping-particle":"","family":"Kloc","given":"Christian","non-dropping-particle":"","parse-names":false,"suffix":""},{"dropping-particle":"","family":"White","given":"Tim J","non-dropping-particle":"","parse-names":false,"suffix":""}],"container-title":"J. Am. Chem. Soc.","id":"ITEM-1","issue":"38","issued":{"date-parts":[["2011"]]},"page":"15200-15211","title":"Five-Dimensional Incommensurate Structure of the Melilite Electrolyte [CaNd]&lt;sub&gt;2&lt;/sub&gt;[Ga]&lt;sub&gt;2&lt;/sub&gt;[Ga&lt;sub&gt;2&lt;/sub&gt;O&lt;sub&gt;7&lt;/sub&gt;]&lt;sub&gt;2&lt;/sub&gt;","type":"article-journal","volume":"133"},"uris":["http://www.mendeley.com/documents/?uuid=a00cd2e3-c720-4d06-98aa-182087242842"]}],"mendeley":{"formattedCitation":"&lt;sup&gt;49&lt;/sup&gt;","plainTextFormattedCitation":"49","previouslyFormattedCitation":"&lt;sup&gt;48&lt;/sup&gt;"},"properties":{"noteIndex":0},"schema":"https://github.com/citation-style-language/schema/raw/master/csl-citation.json"}</w:instrText>
      </w:r>
      <w:r w:rsidR="00A23C77" w:rsidRPr="00DF2B0D">
        <w:fldChar w:fldCharType="separate"/>
      </w:r>
      <w:r w:rsidR="000A4126" w:rsidRPr="000A4126">
        <w:rPr>
          <w:noProof/>
          <w:vertAlign w:val="superscript"/>
        </w:rPr>
        <w:t>49</w:t>
      </w:r>
      <w:r w:rsidR="00A23C77" w:rsidRPr="00DF2B0D">
        <w:fldChar w:fldCharType="end"/>
      </w:r>
      <w:r w:rsidR="00A23C77" w:rsidRPr="00DF2B0D">
        <w:t xml:space="preserve"> and </w:t>
      </w:r>
      <w:r w:rsidR="00DB38E1">
        <w:t>fergusonite/scheelte</w:t>
      </w:r>
      <w:r w:rsidR="00DB38E1" w:rsidRPr="00DF2B0D">
        <w:fldChar w:fldCharType="begin" w:fldLock="1"/>
      </w:r>
      <w:r w:rsidR="000A4126">
        <w:instrText>ADDIN CSL_CITATION {"citationItems":[{"id":"ITEM-1","itemData":{"author":[{"dropping-particle":"","family":"Takai","given":"Shigeomi","non-dropping-particle":"","parse-names":false,"suffix":""},{"dropping-particle":"","family":"Touda","given":"Shinichi","non-dropping-particle":"","parse-names":false,"suffix":""},{"dropping-particle":"","family":"Oikawa","given":"Kenichi","non-dropping-particle":"","parse-names":false,"suffix":""},{"dropping-particle":"","family":"Mori","given":"Kazuhiro","non-dropping-particle":"","parse-names":false,"suffix":""},{"dropping-particle":"","family":"Torii","given":"Shuki","non-dropping-particle":"","parse-names":false,"suffix":""}],"container-title":"Solid State Ionics","id":"ITEM-1","issued":{"date-parts":[["2002"]]},"page":"123-133","title":"Powder neutron diffraction study of Ln-substituted PbWO&lt;sub&gt;4&lt;/sub&gt; oxide ion conductors","type":"article-journal","volume":"148"},"uris":["http://www.mendeley.com/documents/?uuid=4d0bc098-2893-46db-aa37-2d2f23b8f31e"]},{"id":"ITEM-2","itemData":{"DOI":"10.1039/c5ta06575e","ISBN":"2050-7488","ISSN":"2050-7488","abstract":"W-doped LnNbO(4+d) compounds (Ln = La, Nd) have been recently proposed as novel interstitial-based oxide ion conductors. In this study, a powerful combination of neutron diffraction, ab initio calculations and classical molecular dynamic simulations is used in a complementary way to investigate the high temperature behavior of this system, identify possible oxygen interstitial positions and investigate the mechanism of oxygen diffusion at a high temperature. The results indicate that both systems (LaNb0.84W0.16O4.08; NdNb0.84W0.16O4.08) undergo a phase transition from a monoclinic to a tetragonal phase as a function of temperature. In the scheelite phase more than one interstitial site is potentially accessible based on the calculated energy differences. The accessibility of such interstitial positions poses the basis for an efficient oxygen diffusion migration that is predicted to be roughly isotropic and based on a knock-on mechanism.","author":[{"dropping-particle":"","family":"Ferrara","given":"Chiara","non-dropping-particle":"","parse-names":false,"suffix":""},{"dropping-particle":"","family":"Mancini","given":"Alessandro","non-dropping-particle":"","parse-names":false,"suffix":""},{"dropping-particle":"","family":"Ritter","given":"Clemens","non-dropping-particle":"","parse-names":false,"suffix":""},{"dropping-particle":"","family":"Malavasi","given":"Lorenzo","non-dropping-particle":"","parse-names":false,"suffix":""},{"dropping-particle":"","family":"Tealdi","given":"Cristina","non-dropping-particle":"","parse-names":false,"suffix":""}],"container-title":"Journal of Materials Chemistry A","id":"ITEM-2","issue":"44","issued":{"date-parts":[["2015"]]},"page":"22258-22265","publisher":"Royal Society of Chemistry","title":"Interstitial oxide ion migration in scheelite-type electrolytes: a combined neutron diffraction and computational study","type":"article-journal","volume":"3"},"uris":["http://www.mendeley.com/documents/?uuid=e2687a14-2729-494b-950a-59412db76d03"]},{"id":"ITEM-3","itemData":{"DOI":"10.1016/j.ssi.2004.03.008","ISBN":"0167-2738","ISSN":"01672738","abstract":"Defect structures of the lanthanum-substituted PbWO4 prepared by mechanical alloying (MA) were investigated by means of powder neutron diffraction and FT-IR, to compare with that of the oxide ion conductive sintered samples. Neutron diffraction revealed that Pb1-xLa xWO4+x/2 prepared by MA possessed the lead site deficiency in the lattice. In addition, it was also found that occupation factors of the lead site were still smaller than the nominal value even for the mechanically alloyed Pb1-xLa2x/3WO4. The vacancy formation at the lead site of the mechanically alloyed Pb1-xLa xWO4+x/2 was also corroborated from the splitting of the absorption band around 800 cm-1 ascribed to the W-O stretching vibration of WO4 tetrahedron. At the end of this paper, the formation process of the lead site vacancy was discussed in the sintered Pb 1-xLaxWO4+x/2 during milling. ?? 2004 Elsevier B.V. All rights reserved.","author":[{"dropping-particle":"","family":"Takai","given":"Shigeomi","non-dropping-particle":"","parse-names":false,"suffix":""},{"dropping-particle":"","family":"Nakanishi","given":"Tomohoro","non-dropping-particle":"","parse-names":false,"suffix":""},{"dropping-particle":"","family":"Oikawa","given":"Kenichi","non-dropping-particle":"","parse-names":false,"suffix":""},{"dropping-particle":"","family":"Torii","given":"Shuki","non-dropping-particle":"","parse-names":false,"suffix":""},{"dropping-particle":"","family":"Hoshikawa","given":"Akinori","non-dropping-particle":"","parse-names":false,"suffix":""},{"dropping-particle":"","family":"Kamiyama","given":"Takashi","non-dropping-particle":"","parse-names":false,"suffix":""},{"dropping-particle":"","family":"Esaka","given":"Takao","non-dropping-particle":"","parse-names":false,"suffix":""}],"container-title":"Solid State Ionics","id":"ITEM-3","issue":"3-4","issued":{"date-parts":[["2004","5","31"]]},"page":"297-304","title":"Neutron diffraction and IR spectroscopy on mechanically alloyed La-substituted PbWO&lt;sub&gt;4&lt;/sub&gt;","type":"article-journal","volume":"170"},"uris":["http://www.mendeley.com/documents/?uuid=0d30fcd6-c844-4a96-a47a-d3f389ddac87"]}],"mendeley":{"formattedCitation":"&lt;sup&gt;15,43,50&lt;/sup&gt;","plainTextFormattedCitation":"15,43,50","previouslyFormattedCitation":"&lt;sup&gt;15,42,49&lt;/sup&gt;"},"properties":{"noteIndex":0},"schema":"https://github.com/citation-style-language/schema/raw/master/csl-citation.json"}</w:instrText>
      </w:r>
      <w:r w:rsidR="00DB38E1" w:rsidRPr="00DF2B0D">
        <w:fldChar w:fldCharType="separate"/>
      </w:r>
      <w:r w:rsidR="000A4126" w:rsidRPr="000A4126">
        <w:rPr>
          <w:noProof/>
          <w:vertAlign w:val="superscript"/>
        </w:rPr>
        <w:t>15,43,50</w:t>
      </w:r>
      <w:r w:rsidR="00DB38E1" w:rsidRPr="00DF2B0D">
        <w:fldChar w:fldCharType="end"/>
      </w:r>
      <w:r w:rsidR="00DB38E1">
        <w:t xml:space="preserve"> </w:t>
      </w:r>
      <w:r w:rsidR="00A23C77" w:rsidRPr="00DF2B0D">
        <w:t xml:space="preserve">which </w:t>
      </w:r>
      <w:r w:rsidR="00275E7C">
        <w:t xml:space="preserve">predicts </w:t>
      </w:r>
      <w:r w:rsidR="00A23C77" w:rsidRPr="00DF2B0D">
        <w:t xml:space="preserve">localized </w:t>
      </w:r>
      <w:r w:rsidR="00275E7C">
        <w:t xml:space="preserve">interstitial sites. Although </w:t>
      </w:r>
      <w:r w:rsidR="001556C6">
        <w:t>these</w:t>
      </w:r>
      <w:r w:rsidR="00275E7C">
        <w:t xml:space="preserve"> reports</w:t>
      </w:r>
      <w:r w:rsidR="009754A2" w:rsidRPr="00DF2B0D">
        <w:t xml:space="preserve"> focus on the structure at room </w:t>
      </w:r>
      <w:r w:rsidR="009F7CE2" w:rsidRPr="00DF2B0D">
        <w:t>temperature whereas the mobility of oxygen is expected to increase with increasing sample temperature</w:t>
      </w:r>
      <w:r w:rsidR="00C1436D">
        <w:t xml:space="preserve"> as suggested by </w:t>
      </w:r>
      <w:r w:rsidR="008552C8">
        <w:t xml:space="preserve">the </w:t>
      </w:r>
      <w:r w:rsidR="00C1436D">
        <w:t xml:space="preserve">high temperature </w:t>
      </w:r>
      <w:r w:rsidR="00C1436D" w:rsidRPr="00C1436D">
        <w:rPr>
          <w:vertAlign w:val="superscript"/>
        </w:rPr>
        <w:t>17</w:t>
      </w:r>
      <w:r w:rsidR="00C1436D">
        <w:t xml:space="preserve">O NMR </w:t>
      </w:r>
      <w:r w:rsidR="008552C8">
        <w:t xml:space="preserve">data of </w:t>
      </w:r>
      <w:r w:rsidR="008552C8" w:rsidRPr="00B35992">
        <w:rPr>
          <w:rFonts w:cs="Times New Roman"/>
        </w:rPr>
        <w:t>LaNb</w:t>
      </w:r>
      <w:r w:rsidR="008552C8" w:rsidRPr="00B35992">
        <w:rPr>
          <w:rFonts w:cs="Times New Roman"/>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8552C8">
        <w:t xml:space="preserve"> </w:t>
      </w:r>
      <w:r w:rsidR="00C1436D">
        <w:t>(</w:t>
      </w:r>
      <w:r w:rsidR="008552C8">
        <w:t>see below</w:t>
      </w:r>
      <w:r w:rsidR="00C1436D">
        <w:t>)</w:t>
      </w:r>
      <w:r w:rsidR="009F7CE2" w:rsidRPr="00DF2B0D">
        <w:t>.</w:t>
      </w:r>
      <w:r w:rsidR="00CC545E">
        <w:t xml:space="preserve"> </w:t>
      </w:r>
      <w:bookmarkEnd w:id="43"/>
      <w:r w:rsidR="009F7CE2" w:rsidRPr="00DF2B0D">
        <w:t xml:space="preserve">It </w:t>
      </w:r>
      <w:r w:rsidR="003C3779" w:rsidRPr="00DF2B0D">
        <w:t>should also be</w:t>
      </w:r>
      <w:r w:rsidR="009F7CE2" w:rsidRPr="00DF2B0D">
        <w:t xml:space="preserve"> recognized that charge compensation with A and B site vacanc</w:t>
      </w:r>
      <w:r w:rsidR="00B50AC7">
        <w:t>ies</w:t>
      </w:r>
      <w:r w:rsidR="009F7CE2" w:rsidRPr="00DF2B0D">
        <w:t xml:space="preserve"> is possible which would further reduce the interstitial content in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FA66F8">
        <w:t>.</w:t>
      </w:r>
      <w:r w:rsidR="009754A2" w:rsidRPr="00DF2B0D">
        <w:fldChar w:fldCharType="begin" w:fldLock="1"/>
      </w:r>
      <w:r w:rsidR="000A4126">
        <w:instrText>ADDIN CSL_CITATION {"citationItems":[{"id":"ITEM-1","itemData":{"DOI":"10.1016/S0025-5408(99)00010-0","ISSN":"00255408","abstract":"Pb1−xMxWO4+δ (M = Pr, Tb) compounds with scheelite-type structure were synthesized and their conduction properties at higher temperatures were investigated. With the substitution of praseodymium or terbium ions, a large enhancement in conductivity of pure PbWO4 was observed and the transport number of oxide ions was found to be almost unity. Irrespective of the changeable valence of lanthanide ions substituted, conduction properties and defect structures of these systems were found to be similar to those of the other lanthanide (La or Sm)-substituted PbWO4.","author":[{"dropping-particle":"","family":"Takai","given":"Shigeomi","non-dropping-particle":"","parse-names":false,"suffix":""},{"dropping-particle":"","family":"Sugiura","given":"Kenji","non-dropping-particle":"","parse-names":false,"suffix":""},{"dropping-particle":"","family":"Esaka","given":"Takao","non-dropping-particle":"","parse-names":false,"suffix":""}],"container-title":"Materials Research Bulletin","id":"ITEM-1","issue":"2","issued":{"date-parts":[["1999"]]},"page":"193-202","title":"Ionic conduction properties of Pb&lt;sub&gt;1−x&lt;/sub&gt;M&lt;sub&gt;x&lt;/sub&gt;WO&lt;sub&gt;4+δ&lt;/sub&gt; (M = Pr, Tb)","type":"article-journal","volume":"34"},"uris":["http://www.mendeley.com/documents/?uuid=f1e24947-e6c8-35df-9f30-f6a13ca3e91b"]}],"mendeley":{"formattedCitation":"&lt;sup&gt;51&lt;/sup&gt;","plainTextFormattedCitation":"51","previouslyFormattedCitation":"&lt;sup&gt;50&lt;/sup&gt;"},"properties":{"noteIndex":0},"schema":"https://github.com/citation-style-language/schema/raw/master/csl-citation.json"}</w:instrText>
      </w:r>
      <w:r w:rsidR="009754A2" w:rsidRPr="00DF2B0D">
        <w:fldChar w:fldCharType="separate"/>
      </w:r>
      <w:r w:rsidR="000A4126" w:rsidRPr="000A4126">
        <w:rPr>
          <w:noProof/>
          <w:vertAlign w:val="superscript"/>
        </w:rPr>
        <w:t>51</w:t>
      </w:r>
      <w:r w:rsidR="009754A2" w:rsidRPr="00DF2B0D">
        <w:fldChar w:fldCharType="end"/>
      </w:r>
      <w:r w:rsidR="00B83B16" w:rsidRPr="00DF2B0D">
        <w:t xml:space="preserve"> </w:t>
      </w:r>
      <w:r w:rsidR="009F7CE2" w:rsidRPr="00DF2B0D">
        <w:t>Further experimental and simulation stud</w:t>
      </w:r>
      <w:r w:rsidR="00BC1B4E" w:rsidRPr="00DF2B0D">
        <w:t>ies</w:t>
      </w:r>
      <w:r w:rsidR="009F7CE2" w:rsidRPr="00DF2B0D">
        <w:t xml:space="preserve"> however </w:t>
      </w:r>
      <w:r w:rsidR="00BC1B4E" w:rsidRPr="00DF2B0D">
        <w:t>are</w:t>
      </w:r>
      <w:r w:rsidR="006B0669" w:rsidRPr="00DF2B0D">
        <w:t xml:space="preserve"> </w:t>
      </w:r>
      <w:r w:rsidR="009F7CE2" w:rsidRPr="00DF2B0D">
        <w:t xml:space="preserve">required to thoroughly investigate the </w:t>
      </w:r>
      <w:r w:rsidR="00BC1B4E" w:rsidRPr="00DF2B0D">
        <w:t>“</w:t>
      </w:r>
      <w:r w:rsidR="009F7CE2" w:rsidRPr="00DF2B0D">
        <w:t>interstitial</w:t>
      </w:r>
      <w:r w:rsidR="00BC1B4E" w:rsidRPr="00DF2B0D">
        <w:t>”</w:t>
      </w:r>
      <w:r w:rsidR="009F7CE2" w:rsidRPr="00DF2B0D">
        <w:t xml:space="preserve"> oxygen distribution in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9F7CE2" w:rsidRPr="00DF2B0D">
        <w:t xml:space="preserve"> structure.</w:t>
      </w:r>
    </w:p>
    <w:p w14:paraId="08FB38A2" w14:textId="51177FB1" w:rsidR="006A36E9" w:rsidRPr="00DF2B0D" w:rsidRDefault="006A36E9" w:rsidP="006A36E9">
      <w:pPr>
        <w:pStyle w:val="Heading2"/>
      </w:pPr>
      <w:r>
        <w:lastRenderedPageBreak/>
        <w:t xml:space="preserve">Observation of Nb environment </w:t>
      </w:r>
      <w:r w:rsidR="00E327F5">
        <w:t xml:space="preserve">with coordination larger than </w:t>
      </w:r>
      <w:r w:rsidR="000D1BE1">
        <w:t>four</w:t>
      </w:r>
    </w:p>
    <w:p w14:paraId="46FAE577" w14:textId="6C67ACDF" w:rsidR="006A36E9" w:rsidRDefault="00E24E14" w:rsidP="00E24E14">
      <w:pPr>
        <w:rPr>
          <w:szCs w:val="24"/>
          <w:lang w:val="en-US"/>
        </w:rPr>
      </w:pPr>
      <w:r w:rsidRPr="00E824CC">
        <w:rPr>
          <w:szCs w:val="24"/>
        </w:rPr>
        <w:t xml:space="preserve">A number of </w:t>
      </w:r>
      <w:r w:rsidRPr="00E824CC">
        <w:rPr>
          <w:szCs w:val="24"/>
          <w:vertAlign w:val="superscript"/>
        </w:rPr>
        <w:t>93</w:t>
      </w:r>
      <w:r w:rsidRPr="00E824CC">
        <w:rPr>
          <w:szCs w:val="24"/>
        </w:rPr>
        <w:t>Nb solid state NMR studies ha</w:t>
      </w:r>
      <w:r w:rsidR="00B50AC7">
        <w:rPr>
          <w:szCs w:val="24"/>
        </w:rPr>
        <w:t>ve</w:t>
      </w:r>
      <w:r w:rsidRPr="00E824CC">
        <w:rPr>
          <w:szCs w:val="24"/>
        </w:rPr>
        <w:t xml:space="preserve"> identified trends linking the </w:t>
      </w:r>
      <w:r w:rsidRPr="00E824CC">
        <w:rPr>
          <w:szCs w:val="24"/>
          <w:vertAlign w:val="superscript"/>
        </w:rPr>
        <w:t>93</w:t>
      </w:r>
      <w:r w:rsidRPr="00E824CC">
        <w:rPr>
          <w:szCs w:val="24"/>
        </w:rPr>
        <w:t>Nb parameters with niobium coordination number and other structural parameters,</w:t>
      </w:r>
      <w:r w:rsidR="00174C47">
        <w:rPr>
          <w:szCs w:val="24"/>
        </w:rPr>
        <w:fldChar w:fldCharType="begin" w:fldLock="1"/>
      </w:r>
      <w:r w:rsidR="000A4126">
        <w:rPr>
          <w:szCs w:val="24"/>
        </w:rPr>
        <w:instrText>ADDIN CSL_CITATION {"citationItems":[{"id":"ITEM-1","itemData":{"DOI":"10.1039/c3cp44016h","ISSN":"14639076","abstract":"Ab initio DFT calculations of 93Nb NMR parameters using the NMR-CASTEP code were performed for a series of over fifty individual niobates, and a good agreement has been found with experimental NMR parameters. New experimental and calculated 93Nb NMR data were obtained for several compounds, AlNbO4, VNb9O25, K 8Nb6O19 and Cs3NbO8, which are of particular interest for catalysis. Several interesting trends have been identified between 93Nb NMR parameters and the specifics of niobium site environments in niobates. These trends may serve as useful guidelines in interpreting 93Nb NMR spectra of complex niobium oxide systems, including amorphous samples and niobium-based multicomponent heterogeneous catalysts. Potential applications of 93Nb NMR to study solid polyoxoniobates are discussed. ? 2013 The Owner Societies.","author":[{"dropping-particle":"","family":"Papulovskiy","given":"Evgeniy","non-dropping-particle":"","parse-names":false,"suffix":""},{"dropping-particle":"","family":"Shubin","given":"Alexandre A.","non-dropping-particle":"","parse-names":false,"suffix":""},{"dropping-particle":"V.","family":"Terskikh","given":"Victor","non-dropping-particle":"","parse-names":false,"suffix":""},{"dropping-particle":"","family":"Pickard","given":"Chris J.","non-dropping-particle":"","parse-names":false,"suffix":""},{"dropping-particle":"","family":"Lapina","given":"Olga B.","non-dropping-particle":"","parse-names":false,"suffix":""}],"container-title":"Physical Chemistry Chemical Physics","id":"ITEM-1","issued":{"date-parts":[["2013"]]},"page":"5115-5131","title":"Theoretical and experimental insights into applicability of solid-state &lt;sup&gt;93&lt;/sup&gt;Nb NMR in catalysis","type":"article-journal","volume":"15"},"uris":["http://www.mendeley.com/documents/?uuid=5823cd11-1303-4ce2-b80c-d1506452a535"]},{"id":"ITEM-2","itemData":{"DOI":"10.1002/chem.200901581","ISSN":"15213765","abstract":"A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Journal","id":"ITEM-2","issue":"10","issued":{"date-parts":[["2010"]]},"page":"3222-3239","title":"A &lt;sup&gt;93&lt;/sup&gt;Nb solid-state NMR and density functional theory study of four- and six-coordinate niobate systems","type":"article-journal","volume":"16"},"uris":["http://www.mendeley.com/documents/?uuid=5506ed75-1758-4567-8e07-2790092fbf05"]},{"id":"ITEM-3","itemData":{"DOI":"10.1021/cm4014656","ISSN":"08974756","abstract":"In a study combining high-resolution single-crystal neutron diffraction and solid-state nuclear magnetic resonance, the mixed ionic-electronic conductor ?-Ba4Nb2O9 is shown to have a unique structure type, incorporating niobium in 4-, 5-, and 6-coordinate environments. The 4-and 5-coordinate niobium tetrahedra and trigonal bipyrimids exist in discrete layers, within and among which their orientations vary systematically to form a complex superstructure. Through analysis and comparison of data obtained from hydrated versus dehydrated samples, a mechanism is proposed for the ready hydration of the material by atmospheric water. This mechanism, and the resulting hydrated structure, help explain the high protonic and oxide ionic conductivity of ?-Ba4Nb2O9. ? 2013 American Chemical Society.","author":[{"dropping-particle":"","family":"Dunstan","given":"Matthew T.","non-dropping-particle":"","parse-names":false,"suffix":""},{"dropping-particle":"","family":"Blanc","given":"Frédéric","non-dropping-particle":"","parse-names":false,"suffix":""},{"dropping-particle":"","family":"Avdeev","given":"Maxim","non-dropping-particle":"","parse-names":false,"suffix":""},{"dropping-particle":"","family":"McIntyre","given":"Garry J.","non-dropping-particle":"","parse-names":false,"suffix":""},{"dropping-particle":"","family":"Grey","given":"Clare P.","non-dropping-particle":"","parse-names":false,"suffix":""},{"dropping-particle":"","family":"Ling","given":"Chris D.","non-dropping-particle":"","parse-names":false,"suffix":""}],"container-title":"Chemistry of Materials","id":"ITEM-3","issued":{"date-parts":[["2013"]]},"page":"3154-3161","title":"Long-Range-Ordered Coexistence of 4-, 5-, and 6-Coordinate Niobium in the Mixed Ionic-Electronic Conductor γ-Ba&lt;sub&gt;4&lt;/sub&gt;Nb&lt;sub&gt;2&lt;/sub&gt;O&lt;sub&gt;9&lt;/sub&gt;","type":"article-journal","volume":"25"},"uris":["http://www.mendeley.com/documents/?uuid=ac4db284-23af-4df0-9223-b70eabffcdd7"]},{"id":"ITEM-4","itemData":{"DOI":"10.1021/jp020457q","ISSN":"10895639","abstract":"State 93 Nb, 19 F, and 113 Cd Nuclear Magnetic Resonance Study of Niobium Oxyfluorides: / .","author":[{"dropping-particle":"","family":"Du","given":"Lin Shu","non-dropping-particle":"","parse-names":false,"suffix":""},{"dropping-particle":"","family":"Schurko","given":"Robert W.","non-dropping-particle":"","parse-names":false,"suffix":""},{"dropping-particle":"","family":"Kim","given":"Namjun","non-dropping-particle":"","parse-names":false,"suffix":""},{"dropping-particle":"","family":"Grey","given":"Clare P.","non-dropping-particle":"","parse-names":false,"suffix":""}],"container-title":"Journal of Physical Chemistry A","id":"ITEM-4","issue":"34","issued":{"date-parts":[["2002"]]},"page":"7876-7886","title":"Solid-state &lt;sup&gt;93&lt;/sup&gt;Nb, &lt;sup&gt;19&lt;/sup&gt;F, and &lt;sup&gt;113&lt;/sup&gt;Cd nuclear magnetic resonance study of niobium oxyfluorides: Characterization of local distortions and oxygen/fluorine ordering","type":"article-journal","volume":"106"},"uris":["http://www.mendeley.com/documents/?uuid=3d57f968-77b8-4dfb-ad69-d7f60b70d8fc"]}],"mendeley":{"formattedCitation":"&lt;sup&gt;27–30&lt;/sup&gt;","plainTextFormattedCitation":"27–30","previouslyFormattedCitation":"&lt;sup&gt;26–29&lt;/sup&gt;"},"properties":{"noteIndex":0},"schema":"https://github.com/citation-style-language/schema/raw/master/csl-citation.json"}</w:instrText>
      </w:r>
      <w:r w:rsidR="00174C47">
        <w:rPr>
          <w:szCs w:val="24"/>
        </w:rPr>
        <w:fldChar w:fldCharType="separate"/>
      </w:r>
      <w:r w:rsidR="000A4126" w:rsidRPr="000A4126">
        <w:rPr>
          <w:noProof/>
          <w:szCs w:val="24"/>
          <w:vertAlign w:val="superscript"/>
        </w:rPr>
        <w:t>27–30</w:t>
      </w:r>
      <w:r w:rsidR="00174C47">
        <w:rPr>
          <w:szCs w:val="24"/>
        </w:rPr>
        <w:fldChar w:fldCharType="end"/>
      </w:r>
      <w:r w:rsidRPr="00E824CC">
        <w:rPr>
          <w:szCs w:val="24"/>
        </w:rPr>
        <w:t xml:space="preserve"> as for many other nuclei and cations (for example, </w:t>
      </w:r>
      <w:r w:rsidRPr="00E824CC">
        <w:rPr>
          <w:szCs w:val="24"/>
          <w:vertAlign w:val="superscript"/>
        </w:rPr>
        <w:t>27</w:t>
      </w:r>
      <w:r w:rsidRPr="00E824CC">
        <w:rPr>
          <w:szCs w:val="24"/>
        </w:rPr>
        <w:t>Al),</w:t>
      </w:r>
      <w:r w:rsidR="00CC0CB2">
        <w:rPr>
          <w:szCs w:val="24"/>
        </w:rPr>
        <w:fldChar w:fldCharType="begin" w:fldLock="1"/>
      </w:r>
      <w:r w:rsidR="000A4126">
        <w:rPr>
          <w:szCs w:val="24"/>
        </w:rPr>
        <w:instrText>ADDIN CSL_CITATION {"citationItems":[{"id":"ITEM-1","itemData":{"author":[{"dropping-particle":"","family":"Kenneth J.D. MacKenzie","given":"Mark E. Smith","non-dropping-particle":"","parse-names":false,"suffix":""},{"dropping-particle":"","family":"MacKenzie","given":"K J D","non-dropping-particle":"","parse-names":false,"suffix":""},{"dropping-particle":"","family":"Smith","given":"M E","non-dropping-particle":"","parse-names":false,"suffix":""}],"edition":"1","editor":[{"dropping-particle":"","family":"MacKenzie","given":"Kenneth J.D.","non-dropping-particle":"","parse-names":false,"suffix":""},{"dropping-particle":"","family":"Smith","given":"Mark E.","non-dropping-particle":"","parse-names":false,"suffix":""}],"id":"ITEM-1","issued":{"date-parts":[["2002"]]},"number-of-pages":"121-175","publisher-place":"Oxford","title":"Multinuclear Solid-State NMR of Inorganic Materials","type":"book"},"uris":["http://www.mendeley.com/documents/?uuid=81f07f1b-3365-4045-9a33-1de7bdf734c6"]}],"mendeley":{"formattedCitation":"&lt;sup&gt;52&lt;/sup&gt;","plainTextFormattedCitation":"52","previouslyFormattedCitation":"&lt;sup&gt;51&lt;/sup&gt;"},"properties":{"noteIndex":0},"schema":"https://github.com/citation-style-language/schema/raw/master/csl-citation.json"}</w:instrText>
      </w:r>
      <w:r w:rsidR="00CC0CB2">
        <w:rPr>
          <w:szCs w:val="24"/>
        </w:rPr>
        <w:fldChar w:fldCharType="separate"/>
      </w:r>
      <w:r w:rsidR="000A4126" w:rsidRPr="000A4126">
        <w:rPr>
          <w:noProof/>
          <w:szCs w:val="24"/>
          <w:vertAlign w:val="superscript"/>
        </w:rPr>
        <w:t>52</w:t>
      </w:r>
      <w:r w:rsidR="00CC0CB2">
        <w:rPr>
          <w:szCs w:val="24"/>
        </w:rPr>
        <w:fldChar w:fldCharType="end"/>
      </w:r>
      <w:r w:rsidRPr="00E824CC">
        <w:rPr>
          <w:szCs w:val="24"/>
        </w:rPr>
        <w:t xml:space="preserve"> and is exploited here to probe the local structure of Nb in LaNb</w:t>
      </w:r>
      <w:r w:rsidRPr="00E824CC">
        <w:rPr>
          <w:szCs w:val="24"/>
          <w:vertAlign w:val="subscript"/>
        </w:rPr>
        <w:t>0.92</w:t>
      </w:r>
      <w:r w:rsidRPr="00E824CC">
        <w:rPr>
          <w:szCs w:val="24"/>
        </w:rPr>
        <w:t>W</w:t>
      </w:r>
      <w:r w:rsidRPr="00E824CC">
        <w:rPr>
          <w:szCs w:val="24"/>
          <w:vertAlign w:val="subscript"/>
        </w:rPr>
        <w:t>0.08</w:t>
      </w:r>
      <w:r w:rsidRPr="00E824CC">
        <w:rPr>
          <w:szCs w:val="24"/>
        </w:rPr>
        <w:t>O</w:t>
      </w:r>
      <w:r w:rsidRPr="00E824CC">
        <w:rPr>
          <w:szCs w:val="24"/>
          <w:vertAlign w:val="subscript"/>
        </w:rPr>
        <w:t>4</w:t>
      </w:r>
      <w:r w:rsidR="00392862">
        <w:rPr>
          <w:szCs w:val="24"/>
          <w:vertAlign w:val="subscript"/>
        </w:rPr>
        <w:t>.04</w:t>
      </w:r>
      <w:r w:rsidRPr="00E824CC">
        <w:rPr>
          <w:szCs w:val="24"/>
        </w:rPr>
        <w:t xml:space="preserve">. Although the </w:t>
      </w:r>
      <w:r w:rsidRPr="00E824CC">
        <w:rPr>
          <w:szCs w:val="24"/>
          <w:vertAlign w:val="superscript"/>
        </w:rPr>
        <w:t>93</w:t>
      </w:r>
      <w:r w:rsidRPr="00E824CC">
        <w:rPr>
          <w:szCs w:val="24"/>
        </w:rPr>
        <w:t>Nb</w:t>
      </w:r>
      <w:r w:rsidRPr="00E824CC">
        <w:rPr>
          <w:szCs w:val="24"/>
          <w:lang w:val="en-US"/>
        </w:rPr>
        <w:t xml:space="preserve"> nucleus is very receptive owning to its large gyromagnetic ratio and 100% natural abundance, its large quadrupolar moment introduces a dominant 2</w:t>
      </w:r>
      <w:r w:rsidRPr="00E824CC">
        <w:rPr>
          <w:szCs w:val="24"/>
          <w:vertAlign w:val="superscript"/>
          <w:lang w:val="en-US"/>
        </w:rPr>
        <w:t>nd</w:t>
      </w:r>
      <w:r w:rsidRPr="00E824CC">
        <w:rPr>
          <w:szCs w:val="24"/>
          <w:lang w:val="en-US"/>
        </w:rPr>
        <w:t xml:space="preserve">-order quadrupolar broadening of the central transition. This can be reduced to provide improved resolution by using very high magnetic fields and applying very fast MAS rates and all </w:t>
      </w:r>
      <w:r w:rsidRPr="00E824CC">
        <w:rPr>
          <w:szCs w:val="24"/>
          <w:vertAlign w:val="superscript"/>
          <w:lang w:val="en-US"/>
        </w:rPr>
        <w:t>93</w:t>
      </w:r>
      <w:r w:rsidRPr="00E824CC">
        <w:rPr>
          <w:szCs w:val="24"/>
          <w:lang w:val="en-US"/>
        </w:rPr>
        <w:t xml:space="preserve">Nb spectra in this work were obtained at 20 T under MAS at 78 kHz. </w:t>
      </w:r>
    </w:p>
    <w:p w14:paraId="53EA87F6" w14:textId="04B9EE71" w:rsidR="006A36E9" w:rsidRDefault="00E24E14" w:rsidP="00E24E14">
      <w:pPr>
        <w:rPr>
          <w:rFonts w:cs="Times New Roman"/>
          <w:szCs w:val="24"/>
        </w:rPr>
      </w:pPr>
      <w:r w:rsidRPr="00057565">
        <w:rPr>
          <w:rFonts w:cs="Times New Roman"/>
          <w:szCs w:val="24"/>
          <w:lang w:val="en-US"/>
        </w:rPr>
        <w:t xml:space="preserve">The one dimensional </w:t>
      </w:r>
      <w:r w:rsidRPr="00057565">
        <w:rPr>
          <w:szCs w:val="24"/>
          <w:vertAlign w:val="superscript"/>
          <w:lang w:val="en-US"/>
        </w:rPr>
        <w:t>93</w:t>
      </w:r>
      <w:r w:rsidRPr="00057565">
        <w:rPr>
          <w:szCs w:val="24"/>
          <w:lang w:val="en-US"/>
        </w:rPr>
        <w:t>Nb</w:t>
      </w:r>
      <w:r w:rsidRPr="00057565">
        <w:rPr>
          <w:rFonts w:cs="Times New Roman"/>
          <w:szCs w:val="24"/>
          <w:lang w:val="en-US"/>
        </w:rPr>
        <w:t xml:space="preserve"> spectrum of LaNbO</w:t>
      </w:r>
      <w:r w:rsidRPr="00057565">
        <w:rPr>
          <w:rFonts w:cs="Times New Roman"/>
          <w:szCs w:val="24"/>
          <w:vertAlign w:val="subscript"/>
          <w:lang w:val="en-US"/>
        </w:rPr>
        <w:t>4</w:t>
      </w:r>
      <w:r w:rsidRPr="00057565">
        <w:rPr>
          <w:rFonts w:cs="Times New Roman"/>
          <w:szCs w:val="24"/>
          <w:lang w:val="en-US"/>
        </w:rPr>
        <w:t xml:space="preserve"> is given in Figure S</w:t>
      </w:r>
      <w:r w:rsidR="000D1BE1">
        <w:rPr>
          <w:rFonts w:cs="Times New Roman"/>
          <w:szCs w:val="24"/>
          <w:lang w:val="en-US"/>
        </w:rPr>
        <w:t>9</w:t>
      </w:r>
      <w:r w:rsidRPr="00057565">
        <w:rPr>
          <w:rFonts w:cs="Times New Roman"/>
          <w:szCs w:val="24"/>
          <w:lang w:val="en-US"/>
        </w:rPr>
        <w:t xml:space="preserve">a, and </w:t>
      </w:r>
      <w:r w:rsidRPr="00057565">
        <w:rPr>
          <w:rFonts w:cs="Times New Roman"/>
          <w:szCs w:val="24"/>
        </w:rPr>
        <w:t>displays the expected broad and complex pattern which i</w:t>
      </w:r>
      <w:r w:rsidRPr="00057565">
        <w:rPr>
          <w:rFonts w:cs="Times New Roman"/>
          <w:szCs w:val="24"/>
          <w:lang w:val="en-US"/>
        </w:rPr>
        <w:t xml:space="preserve">s in fair agreement with the simulated spectrum obtained by using known NMR parameters obtained from a comprehensive multi magnetic </w:t>
      </w:r>
      <w:r w:rsidRPr="00E824CC">
        <w:rPr>
          <w:rFonts w:cs="Times New Roman"/>
          <w:szCs w:val="24"/>
          <w:lang w:val="en-US"/>
        </w:rPr>
        <w:t>field strengths study under non spinning conditions</w:t>
      </w:r>
      <w:r w:rsidR="000E75F2">
        <w:rPr>
          <w:rFonts w:cs="Times New Roman"/>
          <w:szCs w:val="24"/>
          <w:lang w:val="en-US"/>
        </w:rPr>
        <w:t>.</w:t>
      </w:r>
      <w:r w:rsidR="00900EE1">
        <w:rPr>
          <w:rFonts w:cs="Times New Roman"/>
          <w:szCs w:val="24"/>
          <w:lang w:val="en-US"/>
        </w:rPr>
        <w:fldChar w:fldCharType="begin" w:fldLock="1"/>
      </w:r>
      <w:r w:rsidR="000A4126">
        <w:rPr>
          <w:rFonts w:cs="Times New Roman"/>
          <w:szCs w:val="24"/>
          <w:lang w:val="en-US"/>
        </w:rPr>
        <w:instrText>ADDIN CSL_CITATION {"citationItems":[{"id":"ITEM-1","itemData":{"DOI":"10.1002/chem.200901581","ISSN":"15213765","abstract":"A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Journal","id":"ITEM-1","issue":"10","issued":{"date-parts":[["2010"]]},"page":"3222-3239","title":"A &lt;sup&gt;93&lt;/sup&gt;Nb solid-state NMR and density functional theory study of four- and six-coordinate niobate systems","type":"article-journal","volume":"16"},"uris":["http://www.mendeley.com/documents/?uuid=5506ed75-1758-4567-8e07-2790092fbf05"]}],"mendeley":{"formattedCitation":"&lt;sup&gt;30&lt;/sup&gt;","plainTextFormattedCitation":"30","previouslyFormattedCitation":"&lt;sup&gt;29&lt;/sup&gt;"},"properties":{"noteIndex":0},"schema":"https://github.com/citation-style-language/schema/raw/master/csl-citation.json"}</w:instrText>
      </w:r>
      <w:r w:rsidR="00900EE1">
        <w:rPr>
          <w:rFonts w:cs="Times New Roman"/>
          <w:szCs w:val="24"/>
          <w:lang w:val="en-US"/>
        </w:rPr>
        <w:fldChar w:fldCharType="separate"/>
      </w:r>
      <w:r w:rsidR="000A4126" w:rsidRPr="000A4126">
        <w:rPr>
          <w:rFonts w:cs="Times New Roman"/>
          <w:noProof/>
          <w:szCs w:val="24"/>
          <w:vertAlign w:val="superscript"/>
          <w:lang w:val="en-US"/>
        </w:rPr>
        <w:t>30</w:t>
      </w:r>
      <w:r w:rsidR="00900EE1">
        <w:rPr>
          <w:rFonts w:cs="Times New Roman"/>
          <w:szCs w:val="24"/>
          <w:lang w:val="en-US"/>
        </w:rPr>
        <w:fldChar w:fldCharType="end"/>
      </w:r>
      <w:r w:rsidR="00900EE1" w:rsidRPr="00900EE1" w:rsidDel="00CC0CB2">
        <w:rPr>
          <w:rFonts w:cs="Times New Roman"/>
          <w:szCs w:val="24"/>
          <w:lang w:val="en-US"/>
        </w:rPr>
        <w:t xml:space="preserve"> </w:t>
      </w:r>
      <w:r w:rsidRPr="00E824CC">
        <w:rPr>
          <w:rFonts w:cs="Times New Roman"/>
          <w:noProof/>
          <w:szCs w:val="24"/>
        </w:rPr>
        <w:t xml:space="preserve"> The </w:t>
      </w:r>
      <w:r w:rsidRPr="00E824CC">
        <w:rPr>
          <w:rFonts w:cs="Times New Roman"/>
          <w:szCs w:val="24"/>
        </w:rPr>
        <w:t>TQMAS spectrum of this phase (</w:t>
      </w:r>
      <w:r w:rsidRPr="00E824CC">
        <w:rPr>
          <w:rFonts w:cs="Times New Roman"/>
          <w:szCs w:val="24"/>
          <w:lang w:val="en-US"/>
        </w:rPr>
        <w:t xml:space="preserve">Figure </w:t>
      </w:r>
      <w:r>
        <w:rPr>
          <w:rFonts w:cs="Times New Roman"/>
          <w:szCs w:val="24"/>
          <w:lang w:val="en-US"/>
        </w:rPr>
        <w:t>S</w:t>
      </w:r>
      <w:r w:rsidR="000D1BE1">
        <w:rPr>
          <w:rFonts w:cs="Times New Roman"/>
          <w:szCs w:val="24"/>
          <w:lang w:val="en-US"/>
        </w:rPr>
        <w:t>9</w:t>
      </w:r>
      <w:r>
        <w:rPr>
          <w:rFonts w:cs="Times New Roman"/>
          <w:szCs w:val="24"/>
          <w:lang w:val="en-US"/>
        </w:rPr>
        <w:t>a</w:t>
      </w:r>
      <w:r w:rsidRPr="00E824CC">
        <w:rPr>
          <w:rFonts w:cs="Times New Roman"/>
          <w:szCs w:val="24"/>
          <w:lang w:val="en-US"/>
        </w:rPr>
        <w:t>)</w:t>
      </w:r>
      <w:r w:rsidRPr="00E824CC">
        <w:rPr>
          <w:rFonts w:cs="Times New Roman"/>
          <w:szCs w:val="24"/>
        </w:rPr>
        <w:t xml:space="preserve"> reveals a single niobium crystallographic site at a shift of ~ -1200 ppm and a TQMAS shift of ~ -640 ppm (</w:t>
      </w:r>
      <w:r w:rsidR="00190F47">
        <w:rPr>
          <w:rFonts w:cs="Times New Roman"/>
          <w:szCs w:val="24"/>
        </w:rPr>
        <w:fldChar w:fldCharType="begin"/>
      </w:r>
      <w:r w:rsidR="00190F47">
        <w:rPr>
          <w:rFonts w:cs="Times New Roman"/>
          <w:szCs w:val="24"/>
        </w:rPr>
        <w:instrText xml:space="preserve"> REF _Ref21008123 \h </w:instrText>
      </w:r>
      <w:r w:rsidR="00190F47">
        <w:rPr>
          <w:rFonts w:cs="Times New Roman"/>
          <w:szCs w:val="24"/>
        </w:rPr>
      </w:r>
      <w:r w:rsidR="00190F47">
        <w:rPr>
          <w:rFonts w:cs="Times New Roman"/>
          <w:szCs w:val="24"/>
        </w:rPr>
        <w:fldChar w:fldCharType="separate"/>
      </w:r>
      <w:r w:rsidR="00564E5A">
        <w:t xml:space="preserve">Figure </w:t>
      </w:r>
      <w:r w:rsidR="00564E5A">
        <w:rPr>
          <w:noProof/>
        </w:rPr>
        <w:t>10</w:t>
      </w:r>
      <w:r w:rsidR="00190F47">
        <w:rPr>
          <w:rFonts w:cs="Times New Roman"/>
          <w:szCs w:val="24"/>
        </w:rPr>
        <w:fldChar w:fldCharType="end"/>
      </w:r>
      <w:r w:rsidRPr="00E824CC">
        <w:rPr>
          <w:rFonts w:cs="Times New Roman"/>
          <w:szCs w:val="24"/>
        </w:rPr>
        <w:t>) that yields an isotropic chemical shift of ~ -850 ppm, in agreement with the literature value of  -853 ppm</w:t>
      </w:r>
      <w:r w:rsidR="00900EE1">
        <w:rPr>
          <w:rFonts w:cs="Times New Roman"/>
          <w:szCs w:val="24"/>
          <w:lang w:val="en-US"/>
        </w:rPr>
        <w:fldChar w:fldCharType="begin" w:fldLock="1"/>
      </w:r>
      <w:r w:rsidR="000A4126">
        <w:rPr>
          <w:rFonts w:cs="Times New Roman"/>
          <w:szCs w:val="24"/>
          <w:lang w:val="en-US"/>
        </w:rPr>
        <w:instrText>ADDIN CSL_CITATION {"citationItems":[{"id":"ITEM-1","itemData":{"DOI":"10.1002/chem.200901581","ISSN":"15213765","abstract":"A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Journal","id":"ITEM-1","issue":"10","issued":{"date-parts":[["2010"]]},"page":"3222-3239","title":"A &lt;sup&gt;93&lt;/sup&gt;Nb solid-state NMR and density functional theory study of four- and six-coordinate niobate systems","type":"article-journal","volume":"16"},"uris":["http://www.mendeley.com/documents/?uuid=5506ed75-1758-4567-8e07-2790092fbf05"]}],"mendeley":{"formattedCitation":"&lt;sup&gt;30&lt;/sup&gt;","plainTextFormattedCitation":"30","previouslyFormattedCitation":"&lt;sup&gt;29&lt;/sup&gt;"},"properties":{"noteIndex":0},"schema":"https://github.com/citation-style-language/schema/raw/master/csl-citation.json"}</w:instrText>
      </w:r>
      <w:r w:rsidR="00900EE1">
        <w:rPr>
          <w:rFonts w:cs="Times New Roman"/>
          <w:szCs w:val="24"/>
          <w:lang w:val="en-US"/>
        </w:rPr>
        <w:fldChar w:fldCharType="separate"/>
      </w:r>
      <w:r w:rsidR="000A4126" w:rsidRPr="000A4126">
        <w:rPr>
          <w:rFonts w:cs="Times New Roman"/>
          <w:noProof/>
          <w:szCs w:val="24"/>
          <w:vertAlign w:val="superscript"/>
          <w:lang w:val="en-US"/>
        </w:rPr>
        <w:t>30</w:t>
      </w:r>
      <w:r w:rsidR="00900EE1">
        <w:rPr>
          <w:rFonts w:cs="Times New Roman"/>
          <w:szCs w:val="24"/>
          <w:lang w:val="en-US"/>
        </w:rPr>
        <w:fldChar w:fldCharType="end"/>
      </w:r>
      <w:r w:rsidR="00900EE1">
        <w:rPr>
          <w:rFonts w:cs="Times New Roman"/>
          <w:szCs w:val="24"/>
        </w:rPr>
        <w:t xml:space="preserve"> </w:t>
      </w:r>
      <w:r w:rsidRPr="00E824CC">
        <w:rPr>
          <w:rFonts w:cs="Times New Roman"/>
          <w:szCs w:val="24"/>
        </w:rPr>
        <w:t>and a coordination number of 4 for Nb.</w:t>
      </w:r>
    </w:p>
    <w:p w14:paraId="66BA8432" w14:textId="605FE02B" w:rsidR="00E327F5" w:rsidRPr="00E824CC" w:rsidRDefault="00D67E10" w:rsidP="00E327F5">
      <w:pPr>
        <w:jc w:val="center"/>
      </w:pPr>
      <w:r>
        <w:rPr>
          <w:noProof/>
        </w:rPr>
        <w:drawing>
          <wp:inline distT="0" distB="0" distL="0" distR="0" wp14:anchorId="11AC1805" wp14:editId="0B861296">
            <wp:extent cx="3200400"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inline>
        </w:drawing>
      </w:r>
    </w:p>
    <w:p w14:paraId="1C6E6D33" w14:textId="17F4DE61" w:rsidR="00E327F5" w:rsidRPr="00E824CC" w:rsidRDefault="00190F47" w:rsidP="00E327F5">
      <w:pPr>
        <w:pStyle w:val="Caption"/>
        <w:rPr>
          <w:lang w:val="en-US"/>
        </w:rPr>
      </w:pPr>
      <w:bookmarkStart w:id="44" w:name="_Ref21008123"/>
      <w:r>
        <w:t xml:space="preserve">Figure </w:t>
      </w:r>
      <w:r w:rsidR="0019656C">
        <w:fldChar w:fldCharType="begin"/>
      </w:r>
      <w:r w:rsidR="0019656C">
        <w:instrText xml:space="preserve"> SEQ Figure \* ARABIC </w:instrText>
      </w:r>
      <w:r w:rsidR="0019656C">
        <w:fldChar w:fldCharType="separate"/>
      </w:r>
      <w:r w:rsidR="00564E5A">
        <w:rPr>
          <w:noProof/>
        </w:rPr>
        <w:t>10</w:t>
      </w:r>
      <w:r w:rsidR="0019656C">
        <w:rPr>
          <w:noProof/>
        </w:rPr>
        <w:fldChar w:fldCharType="end"/>
      </w:r>
      <w:bookmarkEnd w:id="44"/>
      <w:r w:rsidR="00E327F5" w:rsidRPr="00E824CC">
        <w:rPr>
          <w:lang w:val="en-US"/>
        </w:rPr>
        <w:t>: P</w:t>
      </w:r>
      <w:r w:rsidR="00E327F5" w:rsidRPr="00E824CC">
        <w:t xml:space="preserve">rojection of the isotropic dimension of the </w:t>
      </w:r>
      <w:r w:rsidR="00E327F5" w:rsidRPr="00E824CC">
        <w:rPr>
          <w:vertAlign w:val="superscript"/>
        </w:rPr>
        <w:t>93</w:t>
      </w:r>
      <w:r w:rsidR="00E327F5" w:rsidRPr="00E824CC">
        <w:t xml:space="preserve">Nb </w:t>
      </w:r>
      <w:r w:rsidR="00E327F5">
        <w:t>TQ</w:t>
      </w:r>
      <w:r w:rsidR="00E327F5" w:rsidRPr="00E824CC">
        <w:t xml:space="preserve"> MAS NMR spectrum of LaNbO</w:t>
      </w:r>
      <w:r w:rsidR="00E327F5" w:rsidRPr="00E824CC">
        <w:rPr>
          <w:vertAlign w:val="subscript"/>
        </w:rPr>
        <w:t>4</w:t>
      </w:r>
      <w:r w:rsidR="00E327F5" w:rsidRPr="00E824CC">
        <w:t xml:space="preserve"> and LaNb</w:t>
      </w:r>
      <w:r w:rsidR="00E327F5" w:rsidRPr="00E824CC">
        <w:rPr>
          <w:vertAlign w:val="subscript"/>
        </w:rPr>
        <w:t>0.92</w:t>
      </w:r>
      <w:r w:rsidR="00E327F5" w:rsidRPr="00E824CC">
        <w:t>W</w:t>
      </w:r>
      <w:r w:rsidR="00E327F5" w:rsidRPr="00E824CC">
        <w:rPr>
          <w:vertAlign w:val="subscript"/>
        </w:rPr>
        <w:t>0.08</w:t>
      </w:r>
      <w:r w:rsidR="00E327F5" w:rsidRPr="00E824CC">
        <w:t>O</w:t>
      </w:r>
      <w:r w:rsidR="00E327F5" w:rsidRPr="00E824CC">
        <w:rPr>
          <w:vertAlign w:val="subscript"/>
        </w:rPr>
        <w:t>4</w:t>
      </w:r>
      <w:r w:rsidR="00392862">
        <w:rPr>
          <w:vertAlign w:val="subscript"/>
        </w:rPr>
        <w:t>.04</w:t>
      </w:r>
      <w:r w:rsidR="00E327F5" w:rsidRPr="00E824CC">
        <w:t xml:space="preserve"> (Figure S</w:t>
      </w:r>
      <w:r w:rsidR="000D1BE1">
        <w:t>9</w:t>
      </w:r>
      <w:r w:rsidR="00E327F5" w:rsidRPr="00E824CC">
        <w:t>) obtained at room temperature at 20 T and under a MAS rate of 78 kHz. The position of the Nb site in tetrahedral symmetry (NbO</w:t>
      </w:r>
      <w:r w:rsidR="00E327F5" w:rsidRPr="00E824CC">
        <w:rPr>
          <w:vertAlign w:val="subscript"/>
        </w:rPr>
        <w:t>4</w:t>
      </w:r>
      <w:r w:rsidR="00E327F5" w:rsidRPr="00E824CC">
        <w:t xml:space="preserve">) and tentatively </w:t>
      </w:r>
      <w:r w:rsidR="00E327F5" w:rsidRPr="00E824CC">
        <w:rPr>
          <w:rFonts w:cs="Times New Roman"/>
          <w:szCs w:val="24"/>
        </w:rPr>
        <w:t xml:space="preserve">attributed </w:t>
      </w:r>
      <w:r w:rsidR="00E327F5" w:rsidRPr="00E824CC">
        <w:rPr>
          <w:rFonts w:cs="Times New Roman"/>
        </w:rPr>
        <w:t>to niobium environment</w:t>
      </w:r>
      <w:r w:rsidR="00E327F5" w:rsidRPr="00E824CC">
        <w:t xml:space="preserve"> (NbO</w:t>
      </w:r>
      <w:r w:rsidR="00E327F5" w:rsidRPr="00E824CC">
        <w:rPr>
          <w:vertAlign w:val="subscript"/>
        </w:rPr>
        <w:t>4+y</w:t>
      </w:r>
      <w:r w:rsidR="00E327F5" w:rsidRPr="00E824CC">
        <w:t xml:space="preserve">, y </w:t>
      </w:r>
      <w:r w:rsidR="00E327F5">
        <w:t xml:space="preserve">&gt; </w:t>
      </w:r>
      <w:r w:rsidR="00E327F5" w:rsidRPr="00E824CC">
        <w:t>1)</w:t>
      </w:r>
      <w:r w:rsidR="00E327F5">
        <w:t xml:space="preserve"> with coordination larger than four</w:t>
      </w:r>
      <w:r w:rsidR="00E327F5" w:rsidRPr="00E824CC">
        <w:t xml:space="preserve"> are also show. </w:t>
      </w:r>
    </w:p>
    <w:p w14:paraId="7256F3F1" w14:textId="37FDB993" w:rsidR="00E24E14" w:rsidRDefault="00E24E14" w:rsidP="00E24E14">
      <w:r w:rsidRPr="00E824CC">
        <w:rPr>
          <w:rFonts w:cs="Times New Roman"/>
          <w:szCs w:val="24"/>
          <w:lang w:val="en-US"/>
        </w:rPr>
        <w:t xml:space="preserve">The </w:t>
      </w:r>
      <w:r w:rsidRPr="00E824CC">
        <w:rPr>
          <w:rFonts w:cs="Times New Roman"/>
          <w:szCs w:val="24"/>
          <w:vertAlign w:val="superscript"/>
          <w:lang w:val="en-US"/>
        </w:rPr>
        <w:t>93</w:t>
      </w:r>
      <w:r w:rsidRPr="00E824CC">
        <w:rPr>
          <w:rFonts w:cs="Times New Roman"/>
          <w:szCs w:val="24"/>
          <w:lang w:val="en-US"/>
        </w:rPr>
        <w:t>Nb</w:t>
      </w:r>
      <w:r w:rsidRPr="00E824CC">
        <w:rPr>
          <w:rFonts w:cs="Times New Roman"/>
          <w:szCs w:val="24"/>
        </w:rPr>
        <w:t xml:space="preserve"> very fast MAS NMR spectrum of </w:t>
      </w:r>
      <w:r w:rsidRPr="00E824CC">
        <w:rPr>
          <w:szCs w:val="24"/>
        </w:rPr>
        <w:t>LaNb</w:t>
      </w:r>
      <w:r w:rsidRPr="00E824CC">
        <w:rPr>
          <w:szCs w:val="24"/>
          <w:vertAlign w:val="subscript"/>
        </w:rPr>
        <w:t>0.92</w:t>
      </w:r>
      <w:r w:rsidRPr="00E824CC">
        <w:rPr>
          <w:szCs w:val="24"/>
        </w:rPr>
        <w:t>W</w:t>
      </w:r>
      <w:r w:rsidRPr="00E824CC">
        <w:rPr>
          <w:szCs w:val="24"/>
          <w:vertAlign w:val="subscript"/>
        </w:rPr>
        <w:t>0.08</w:t>
      </w:r>
      <w:r w:rsidRPr="00E824CC">
        <w:rPr>
          <w:szCs w:val="24"/>
        </w:rPr>
        <w:t>O</w:t>
      </w:r>
      <w:r w:rsidRPr="00E824CC">
        <w:rPr>
          <w:szCs w:val="24"/>
          <w:vertAlign w:val="subscript"/>
        </w:rPr>
        <w:t>4</w:t>
      </w:r>
      <w:r w:rsidR="00392862">
        <w:rPr>
          <w:szCs w:val="24"/>
          <w:vertAlign w:val="subscript"/>
        </w:rPr>
        <w:t>.04</w:t>
      </w:r>
      <w:r w:rsidRPr="00E824CC">
        <w:rPr>
          <w:rFonts w:cs="Times New Roman"/>
          <w:szCs w:val="24"/>
        </w:rPr>
        <w:t xml:space="preserve"> (Figure S</w:t>
      </w:r>
      <w:r w:rsidR="000D1BE1">
        <w:rPr>
          <w:rFonts w:cs="Times New Roman"/>
          <w:szCs w:val="24"/>
        </w:rPr>
        <w:t>9</w:t>
      </w:r>
      <w:r w:rsidRPr="00E824CC">
        <w:rPr>
          <w:rFonts w:cs="Times New Roman"/>
          <w:szCs w:val="24"/>
        </w:rPr>
        <w:t>b) shows multiple overlapping peaks in the -500 -1600 ppm region with fewer spinning sidebands than LaNbO</w:t>
      </w:r>
      <w:r w:rsidRPr="00E824CC">
        <w:rPr>
          <w:rFonts w:cs="Times New Roman"/>
          <w:szCs w:val="24"/>
          <w:vertAlign w:val="subscript"/>
        </w:rPr>
        <w:t>4</w:t>
      </w:r>
      <w:r w:rsidRPr="00E824CC">
        <w:rPr>
          <w:rFonts w:cs="Times New Roman"/>
          <w:szCs w:val="24"/>
        </w:rPr>
        <w:t xml:space="preserve">. </w:t>
      </w:r>
      <w:bookmarkStart w:id="45" w:name="_Hlk30516152"/>
      <w:r w:rsidRPr="00E824CC">
        <w:rPr>
          <w:rFonts w:cs="Times New Roman"/>
          <w:szCs w:val="24"/>
        </w:rPr>
        <w:t xml:space="preserve">Interestingly, the </w:t>
      </w:r>
      <w:r w:rsidRPr="00E824CC">
        <w:rPr>
          <w:rFonts w:cs="Times New Roman"/>
          <w:szCs w:val="24"/>
          <w:vertAlign w:val="superscript"/>
        </w:rPr>
        <w:t>93</w:t>
      </w:r>
      <w:r w:rsidRPr="00E824CC">
        <w:rPr>
          <w:rFonts w:cs="Times New Roman"/>
          <w:szCs w:val="24"/>
        </w:rPr>
        <w:t>Nb TQMAS spectrum demonstrates that in addition to the 4-coordinated niobium site present in LaNbO</w:t>
      </w:r>
      <w:r w:rsidRPr="00E824CC">
        <w:rPr>
          <w:rFonts w:cs="Times New Roman"/>
          <w:szCs w:val="24"/>
          <w:vertAlign w:val="subscript"/>
        </w:rPr>
        <w:t>4</w:t>
      </w:r>
      <w:r w:rsidRPr="00E824CC">
        <w:rPr>
          <w:rFonts w:cs="Times New Roman"/>
          <w:szCs w:val="24"/>
        </w:rPr>
        <w:t xml:space="preserve"> (observed </w:t>
      </w:r>
      <w:r>
        <w:rPr>
          <w:rFonts w:cs="Times New Roman"/>
          <w:szCs w:val="24"/>
        </w:rPr>
        <w:t xml:space="preserve">here </w:t>
      </w:r>
      <w:r w:rsidRPr="00E824CC">
        <w:rPr>
          <w:rFonts w:cs="Times New Roman"/>
          <w:szCs w:val="24"/>
        </w:rPr>
        <w:t>at an isotropic chemical shift of ~ -780 ppm</w:t>
      </w:r>
      <w:r w:rsidR="00521A57">
        <w:rPr>
          <w:rFonts w:cs="Times New Roman"/>
          <w:szCs w:val="24"/>
        </w:rPr>
        <w:t xml:space="preserve"> </w:t>
      </w:r>
      <w:r w:rsidR="00521A57" w:rsidRPr="00AB461B">
        <w:rPr>
          <w:rFonts w:cstheme="minorHAnsi"/>
        </w:rPr>
        <w:t xml:space="preserve">in </w:t>
      </w:r>
      <w:r w:rsidR="00521A57" w:rsidRPr="00AB461B">
        <w:rPr>
          <w:rFonts w:cstheme="minorHAnsi"/>
        </w:rPr>
        <w:lastRenderedPageBreak/>
        <w:t>agreement with the -714 and -853 ppm range expected for NbO</w:t>
      </w:r>
      <w:r w:rsidR="00521A57" w:rsidRPr="00AB461B">
        <w:rPr>
          <w:rFonts w:cstheme="minorHAnsi"/>
          <w:vertAlign w:val="subscript"/>
        </w:rPr>
        <w:t>4</w:t>
      </w:r>
      <w:r w:rsidR="00521A57" w:rsidRPr="00AB461B">
        <w:rPr>
          <w:rFonts w:cstheme="minorHAnsi"/>
        </w:rPr>
        <w:t xml:space="preserve"> polyhedral found in the literature</w:t>
      </w:r>
      <w:r w:rsidR="00521A57">
        <w:rPr>
          <w:szCs w:val="24"/>
        </w:rPr>
        <w:fldChar w:fldCharType="begin" w:fldLock="1"/>
      </w:r>
      <w:r w:rsidR="000A4126">
        <w:rPr>
          <w:szCs w:val="24"/>
        </w:rPr>
        <w:instrText>ADDIN CSL_CITATION {"citationItems":[{"id":"ITEM-1","itemData":{"DOI":"10.1039/c3cp44016h","ISSN":"14639076","abstract":"Ab initio DFT calculations of 93Nb NMR parameters using the NMR-CASTEP code were performed for a series of over fifty individual niobates, and a good agreement has been found with experimental NMR parameters. New experimental and calculated 93Nb NMR data were obtained for several compounds, AlNbO4, VNb9O25, K 8Nb6O19 and Cs3NbO8, which are of particular interest for catalysis. Several interesting trends have been identified between 93Nb NMR parameters and the specifics of niobium site environments in niobates. These trends may serve as useful guidelines in interpreting 93Nb NMR spectra of complex niobium oxide systems, including amorphous samples and niobium-based multicomponent heterogeneous catalysts. Potential applications of 93Nb NMR to study solid polyoxoniobates are discussed. ? 2013 The Owner Societies.","author":[{"dropping-particle":"","family":"Papulovskiy","given":"Evgeniy","non-dropping-particle":"","parse-names":false,"suffix":""},{"dropping-particle":"","family":"Shubin","given":"Alexandre A.","non-dropping-particle":"","parse-names":false,"suffix":""},{"dropping-particle":"V.","family":"Terskikh","given":"Victor","non-dropping-particle":"","parse-names":false,"suffix":""},{"dropping-particle":"","family":"Pickard","given":"Chris J.","non-dropping-particle":"","parse-names":false,"suffix":""},{"dropping-particle":"","family":"Lapina","given":"Olga B.","non-dropping-particle":"","parse-names":false,"suffix":""}],"container-title":"Physical Chemistry Chemical Physics","id":"ITEM-1","issued":{"date-parts":[["2013"]]},"page":"5115-5131","title":"Theoretical and experimental insights into applicability of solid-state &lt;sup&gt;93&lt;/sup&gt;Nb NMR in catalysis","type":"article-journal","volume":"15"},"uris":["http://www.mendeley.com/documents/?uuid=5823cd11-1303-4ce2-b80c-d1506452a535"]},{"id":"ITEM-2","itemData":{"DOI":"10.1002/chem.200901581","ISSN":"15213765","abstract":"A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Journal","id":"ITEM-2","issue":"10","issued":{"date-parts":[["2010"]]},"page":"3222-3239","title":"A &lt;sup&gt;93&lt;/sup&gt;Nb solid-state NMR and density functional theory study of four- and six-coordinate niobate systems","type":"article-journal","volume":"16"},"uris":["http://www.mendeley.com/documents/?uuid=5506ed75-1758-4567-8e07-2790092fbf05"]},{"id":"ITEM-3","itemData":{"DOI":"10.1021/cm4014656","ISSN":"08974756","abstract":"In a study combining high-resolution single-crystal neutron diffraction and solid-state nuclear magnetic resonance, the mixed ionic-electronic conductor ?-Ba4Nb2O9 is shown to have a unique structure type, incorporating niobium in 4-, 5-, and 6-coordinate environments. The 4-and 5-coordinate niobium tetrahedra and trigonal bipyrimids exist in discrete layers, within and among which their orientations vary systematically to form a complex superstructure. Through analysis and comparison of data obtained from hydrated versus dehydrated samples, a mechanism is proposed for the ready hydration of the material by atmospheric water. This mechanism, and the resulting hydrated structure, help explain the high protonic and oxide ionic conductivity of ?-Ba4Nb2O9. ? 2013 American Chemical Society.","author":[{"dropping-particle":"","family":"Dunstan","given":"Matthew T.","non-dropping-particle":"","parse-names":false,"suffix":""},{"dropping-particle":"","family":"Blanc","given":"Frédéric","non-dropping-particle":"","parse-names":false,"suffix":""},{"dropping-particle":"","family":"Avdeev","given":"Maxim","non-dropping-particle":"","parse-names":false,"suffix":""},{"dropping-particle":"","family":"McIntyre","given":"Garry J.","non-dropping-particle":"","parse-names":false,"suffix":""},{"dropping-particle":"","family":"Grey","given":"Clare P.","non-dropping-particle":"","parse-names":false,"suffix":""},{"dropping-particle":"","family":"Ling","given":"Chris D.","non-dropping-particle":"","parse-names":false,"suffix":""}],"container-title":"Chemistry of Materials","id":"ITEM-3","issued":{"date-parts":[["2013"]]},"page":"3154-3161","title":"Long-Range-Ordered Coexistence of 4-, 5-, and 6-Coordinate Niobium in the Mixed Ionic-Electronic Conductor γ-Ba&lt;sub&gt;4&lt;/sub&gt;Nb&lt;sub&gt;2&lt;/sub&gt;O&lt;sub&gt;9&lt;/sub&gt;","type":"article-journal","volume":"25"},"uris":["http://www.mendeley.com/documents/?uuid=ac4db284-23af-4df0-9223-b70eabffcdd7"]},{"id":"ITEM-4","itemData":{"DOI":"10.1021/jp020457q","ISSN":"10895639","abstract":"State 93 Nb, 19 F, and 113 Cd Nuclear Magnetic Resonance Study of Niobium Oxyfluorides: / .","author":[{"dropping-particle":"","family":"Du","given":"Lin Shu","non-dropping-particle":"","parse-names":false,"suffix":""},{"dropping-particle":"","family":"Schurko","given":"Robert W.","non-dropping-particle":"","parse-names":false,"suffix":""},{"dropping-particle":"","family":"Kim","given":"Namjun","non-dropping-particle":"","parse-names":false,"suffix":""},{"dropping-particle":"","family":"Grey","given":"Clare P.","non-dropping-particle":"","parse-names":false,"suffix":""}],"container-title":"Journal of Physical Chemistry A","id":"ITEM-4","issue":"34","issued":{"date-parts":[["2002"]]},"page":"7876-7886","title":"Solid-state &lt;sup&gt;93&lt;/sup&gt;Nb, &lt;sup&gt;19&lt;/sup&gt;F, and &lt;sup&gt;113&lt;/sup&gt;Cd nuclear magnetic resonance study of niobium oxyfluorides: Characterization of local distortions and oxygen/fluorine ordering","type":"article-journal","volume":"106"},"uris":["http://www.mendeley.com/documents/?uuid=3d57f968-77b8-4dfb-ad69-d7f60b70d8fc"]}],"mendeley":{"formattedCitation":"&lt;sup&gt;27–30&lt;/sup&gt;","plainTextFormattedCitation":"27–30","previouslyFormattedCitation":"&lt;sup&gt;26–29&lt;/sup&gt;"},"properties":{"noteIndex":0},"schema":"https://github.com/citation-style-language/schema/raw/master/csl-citation.json"}</w:instrText>
      </w:r>
      <w:r w:rsidR="00521A57">
        <w:rPr>
          <w:szCs w:val="24"/>
        </w:rPr>
        <w:fldChar w:fldCharType="separate"/>
      </w:r>
      <w:r w:rsidR="000A4126" w:rsidRPr="000A4126">
        <w:rPr>
          <w:noProof/>
          <w:szCs w:val="24"/>
          <w:vertAlign w:val="superscript"/>
        </w:rPr>
        <w:t>27–30</w:t>
      </w:r>
      <w:r w:rsidR="00521A57">
        <w:rPr>
          <w:szCs w:val="24"/>
        </w:rPr>
        <w:fldChar w:fldCharType="end"/>
      </w:r>
      <w:r w:rsidRPr="00E824CC">
        <w:rPr>
          <w:rFonts w:cs="Times New Roman"/>
          <w:szCs w:val="24"/>
        </w:rPr>
        <w:t xml:space="preserve">), a second </w:t>
      </w:r>
      <w:r>
        <w:rPr>
          <w:rFonts w:cs="Times New Roman"/>
          <w:szCs w:val="24"/>
        </w:rPr>
        <w:t xml:space="preserve">site with a highly </w:t>
      </w:r>
      <w:r w:rsidR="00D10B95">
        <w:rPr>
          <w:rFonts w:cs="Times New Roman"/>
          <w:szCs w:val="24"/>
        </w:rPr>
        <w:t>distorted</w:t>
      </w:r>
      <w:r>
        <w:rPr>
          <w:rFonts w:cs="Times New Roman"/>
          <w:szCs w:val="24"/>
        </w:rPr>
        <w:t xml:space="preserve"> lineshape close to axial symmetry </w:t>
      </w:r>
      <w:r w:rsidRPr="00E824CC">
        <w:rPr>
          <w:rFonts w:cs="Times New Roman"/>
          <w:szCs w:val="24"/>
        </w:rPr>
        <w:t>can be observe</w:t>
      </w:r>
      <w:r w:rsidR="00B50AC7">
        <w:rPr>
          <w:rFonts w:cs="Times New Roman"/>
          <w:szCs w:val="24"/>
        </w:rPr>
        <w:t>d</w:t>
      </w:r>
      <w:r w:rsidRPr="00E824CC">
        <w:rPr>
          <w:rFonts w:cs="Times New Roman"/>
          <w:szCs w:val="24"/>
        </w:rPr>
        <w:t xml:space="preserve"> </w:t>
      </w:r>
      <w:r w:rsidRPr="008B0CA3">
        <w:rPr>
          <w:rFonts w:cs="Times New Roman"/>
          <w:szCs w:val="24"/>
        </w:rPr>
        <w:t>with a TQMAS shift of ~ -1100 ppm</w:t>
      </w:r>
      <w:r>
        <w:rPr>
          <w:rFonts w:cs="Times New Roman"/>
          <w:szCs w:val="24"/>
        </w:rPr>
        <w:t xml:space="preserve"> (</w:t>
      </w:r>
      <w:r w:rsidR="00190F47">
        <w:rPr>
          <w:rFonts w:cs="Times New Roman"/>
          <w:szCs w:val="24"/>
        </w:rPr>
        <w:fldChar w:fldCharType="begin"/>
      </w:r>
      <w:r w:rsidR="00190F47">
        <w:rPr>
          <w:rFonts w:cs="Times New Roman"/>
          <w:szCs w:val="24"/>
        </w:rPr>
        <w:instrText xml:space="preserve"> REF _Ref21008123 \h </w:instrText>
      </w:r>
      <w:r w:rsidR="00190F47">
        <w:rPr>
          <w:rFonts w:cs="Times New Roman"/>
          <w:szCs w:val="24"/>
        </w:rPr>
      </w:r>
      <w:r w:rsidR="00190F47">
        <w:rPr>
          <w:rFonts w:cs="Times New Roman"/>
          <w:szCs w:val="24"/>
        </w:rPr>
        <w:fldChar w:fldCharType="separate"/>
      </w:r>
      <w:r w:rsidR="00564E5A">
        <w:t xml:space="preserve">Figure </w:t>
      </w:r>
      <w:r w:rsidR="00564E5A">
        <w:rPr>
          <w:noProof/>
        </w:rPr>
        <w:t>10</w:t>
      </w:r>
      <w:r w:rsidR="00190F47">
        <w:rPr>
          <w:rFonts w:cs="Times New Roman"/>
          <w:szCs w:val="24"/>
        </w:rPr>
        <w:fldChar w:fldCharType="end"/>
      </w:r>
      <w:r>
        <w:rPr>
          <w:rFonts w:cs="Times New Roman"/>
          <w:szCs w:val="24"/>
        </w:rPr>
        <w:t xml:space="preserve">) </w:t>
      </w:r>
      <w:r w:rsidRPr="00E824CC">
        <w:rPr>
          <w:rFonts w:cs="Times New Roman"/>
          <w:szCs w:val="24"/>
        </w:rPr>
        <w:t xml:space="preserve">at an isotropic chemical shift of ~ -1100 ppm. Importantly, </w:t>
      </w:r>
      <w:r w:rsidR="00521A57" w:rsidRPr="00AB461B">
        <w:rPr>
          <w:rFonts w:cstheme="minorHAnsi"/>
        </w:rPr>
        <w:t xml:space="preserve">the lower shift of this resonance than for the 4-coordinated niobium site, supported by the known general trend for the </w:t>
      </w:r>
      <w:r w:rsidR="00521A57" w:rsidRPr="00AB461B">
        <w:rPr>
          <w:rFonts w:cstheme="minorHAnsi"/>
          <w:vertAlign w:val="superscript"/>
        </w:rPr>
        <w:t>93</w:t>
      </w:r>
      <w:r w:rsidR="00521A57" w:rsidRPr="00AB461B">
        <w:rPr>
          <w:rFonts w:cstheme="minorHAnsi"/>
        </w:rPr>
        <w:t>Nb shifts to decrease with increasing niobium coordination numbers</w:t>
      </w:r>
      <w:r w:rsidR="00521A57">
        <w:rPr>
          <w:szCs w:val="24"/>
        </w:rPr>
        <w:fldChar w:fldCharType="begin" w:fldLock="1"/>
      </w:r>
      <w:r w:rsidR="000A4126">
        <w:rPr>
          <w:szCs w:val="24"/>
        </w:rPr>
        <w:instrText>ADDIN CSL_CITATION {"citationItems":[{"id":"ITEM-1","itemData":{"DOI":"10.1039/c3cp44016h","ISSN":"14639076","abstract":"Ab initio DFT calculations of 93Nb NMR parameters using the NMR-CASTEP code were performed for a series of over fifty individual niobates, and a good agreement has been found with experimental NMR parameters. New experimental and calculated 93Nb NMR data were obtained for several compounds, AlNbO4, VNb9O25, K 8Nb6O19 and Cs3NbO8, which are of particular interest for catalysis. Several interesting trends have been identified between 93Nb NMR parameters and the specifics of niobium site environments in niobates. These trends may serve as useful guidelines in interpreting 93Nb NMR spectra of complex niobium oxide systems, including amorphous samples and niobium-based multicomponent heterogeneous catalysts. Potential applications of 93Nb NMR to study solid polyoxoniobates are discussed. ? 2013 The Owner Societies.","author":[{"dropping-particle":"","family":"Papulovskiy","given":"Evgeniy","non-dropping-particle":"","parse-names":false,"suffix":""},{"dropping-particle":"","family":"Shubin","given":"Alexandre A.","non-dropping-particle":"","parse-names":false,"suffix":""},{"dropping-particle":"V.","family":"Terskikh","given":"Victor","non-dropping-particle":"","parse-names":false,"suffix":""},{"dropping-particle":"","family":"Pickard","given":"Chris J.","non-dropping-particle":"","parse-names":false,"suffix":""},{"dropping-particle":"","family":"Lapina","given":"Olga B.","non-dropping-particle":"","parse-names":false,"suffix":""}],"container-title":"Physical Chemistry Chemical Physics","id":"ITEM-1","issued":{"date-parts":[["2013"]]},"page":"5115-5131","title":"Theoretical and experimental insights into applicability of solid-state &lt;sup&gt;93&lt;/sup&gt;Nb NMR in catalysis","type":"article-journal","volume":"15"},"uris":["http://www.mendeley.com/documents/?uuid=5823cd11-1303-4ce2-b80c-d1506452a535"]},{"id":"ITEM-2","itemData":{"DOI":"10.1002/chem.200901581","ISSN":"15213765","abstract":"A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Journal","id":"ITEM-2","issue":"10","issued":{"date-parts":[["2010"]]},"page":"3222-3239","title":"A &lt;sup&gt;93&lt;/sup&gt;Nb solid-state NMR and density functional theory study of four- and six-coordinate niobate systems","type":"article-journal","volume":"16"},"uris":["http://www.mendeley.com/documents/?uuid=5506ed75-1758-4567-8e07-2790092fbf05"]},{"id":"ITEM-3","itemData":{"DOI":"10.1021/cm4014656","ISSN":"08974756","abstract":"In a study combining high-resolution single-crystal neutron diffraction and solid-state nuclear magnetic resonance, the mixed ionic-electronic conductor ?-Ba4Nb2O9 is shown to have a unique structure type, incorporating niobium in 4-, 5-, and 6-coordinate environments. The 4-and 5-coordinate niobium tetrahedra and trigonal bipyrimids exist in discrete layers, within and among which their orientations vary systematically to form a complex superstructure. Through analysis and comparison of data obtained from hydrated versus dehydrated samples, a mechanism is proposed for the ready hydration of the material by atmospheric water. This mechanism, and the resulting hydrated structure, help explain the high protonic and oxide ionic conductivity of ?-Ba4Nb2O9. ? 2013 American Chemical Society.","author":[{"dropping-particle":"","family":"Dunstan","given":"Matthew T.","non-dropping-particle":"","parse-names":false,"suffix":""},{"dropping-particle":"","family":"Blanc","given":"Frédéric","non-dropping-particle":"","parse-names":false,"suffix":""},{"dropping-particle":"","family":"Avdeev","given":"Maxim","non-dropping-particle":"","parse-names":false,"suffix":""},{"dropping-particle":"","family":"McIntyre","given":"Garry J.","non-dropping-particle":"","parse-names":false,"suffix":""},{"dropping-particle":"","family":"Grey","given":"Clare P.","non-dropping-particle":"","parse-names":false,"suffix":""},{"dropping-particle":"","family":"Ling","given":"Chris D.","non-dropping-particle":"","parse-names":false,"suffix":""}],"container-title":"Chemistry of Materials","id":"ITEM-3","issued":{"date-parts":[["2013"]]},"page":"3154-3161","title":"Long-Range-Ordered Coexistence of 4-, 5-, and 6-Coordinate Niobium in the Mixed Ionic-Electronic Conductor γ-Ba&lt;sub&gt;4&lt;/sub&gt;Nb&lt;sub&gt;2&lt;/sub&gt;O&lt;sub&gt;9&lt;/sub&gt;","type":"article-journal","volume":"25"},"uris":["http://www.mendeley.com/documents/?uuid=ac4db284-23af-4df0-9223-b70eabffcdd7"]},{"id":"ITEM-4","itemData":{"DOI":"10.1021/jp020457q","ISSN":"10895639","abstract":"State 93 Nb, 19 F, and 113 Cd Nuclear Magnetic Resonance Study of Niobium Oxyfluorides: / .","author":[{"dropping-particle":"","family":"Du","given":"Lin Shu","non-dropping-particle":"","parse-names":false,"suffix":""},{"dropping-particle":"","family":"Schurko","given":"Robert W.","non-dropping-particle":"","parse-names":false,"suffix":""},{"dropping-particle":"","family":"Kim","given":"Namjun","non-dropping-particle":"","parse-names":false,"suffix":""},{"dropping-particle":"","family":"Grey","given":"Clare P.","non-dropping-particle":"","parse-names":false,"suffix":""}],"container-title":"Journal of Physical Chemistry A","id":"ITEM-4","issue":"34","issued":{"date-parts":[["2002"]]},"page":"7876-7886","title":"Solid-state &lt;sup&gt;93&lt;/sup&gt;Nb, &lt;sup&gt;19&lt;/sup&gt;F, and &lt;sup&gt;113&lt;/sup&gt;Cd nuclear magnetic resonance study of niobium oxyfluorides: Characterization of local distortions and oxygen/fluorine ordering","type":"article-journal","volume":"106"},"uris":["http://www.mendeley.com/documents/?uuid=3d57f968-77b8-4dfb-ad69-d7f60b70d8fc"]}],"mendeley":{"formattedCitation":"&lt;sup&gt;27–30&lt;/sup&gt;","plainTextFormattedCitation":"27–30","previouslyFormattedCitation":"&lt;sup&gt;26–29&lt;/sup&gt;"},"properties":{"noteIndex":0},"schema":"https://github.com/citation-style-language/schema/raw/master/csl-citation.json"}</w:instrText>
      </w:r>
      <w:r w:rsidR="00521A57">
        <w:rPr>
          <w:szCs w:val="24"/>
        </w:rPr>
        <w:fldChar w:fldCharType="separate"/>
      </w:r>
      <w:r w:rsidR="000A4126" w:rsidRPr="000A4126">
        <w:rPr>
          <w:noProof/>
          <w:szCs w:val="24"/>
          <w:vertAlign w:val="superscript"/>
        </w:rPr>
        <w:t>27–30</w:t>
      </w:r>
      <w:r w:rsidR="00521A57">
        <w:rPr>
          <w:szCs w:val="24"/>
        </w:rPr>
        <w:fldChar w:fldCharType="end"/>
      </w:r>
      <w:r w:rsidR="00521A57">
        <w:rPr>
          <w:szCs w:val="24"/>
        </w:rPr>
        <w:t>,</w:t>
      </w:r>
      <w:r w:rsidRPr="00E824CC">
        <w:rPr>
          <w:rFonts w:cs="Times New Roman"/>
          <w:szCs w:val="24"/>
        </w:rPr>
        <w:t xml:space="preserve"> would suggest that this </w:t>
      </w:r>
      <w:r w:rsidR="00521A57">
        <w:rPr>
          <w:rFonts w:cs="Times New Roman"/>
          <w:szCs w:val="24"/>
        </w:rPr>
        <w:t xml:space="preserve">signal </w:t>
      </w:r>
      <w:r w:rsidRPr="00E824CC">
        <w:rPr>
          <w:rFonts w:cs="Times New Roman"/>
          <w:szCs w:val="24"/>
        </w:rPr>
        <w:t>corresponds to a coordination number larger than 4 and may</w:t>
      </w:r>
      <w:r w:rsidR="00521A57">
        <w:rPr>
          <w:rFonts w:cs="Times New Roman"/>
          <w:szCs w:val="24"/>
        </w:rPr>
        <w:t xml:space="preserve"> therefore</w:t>
      </w:r>
      <w:r w:rsidRPr="00E824CC">
        <w:rPr>
          <w:rFonts w:cs="Times New Roman"/>
          <w:szCs w:val="24"/>
        </w:rPr>
        <w:t xml:space="preserve"> be tentatively a</w:t>
      </w:r>
      <w:r w:rsidR="000D1BE1">
        <w:rPr>
          <w:rFonts w:cs="Times New Roman"/>
          <w:szCs w:val="24"/>
        </w:rPr>
        <w:t>scribed t</w:t>
      </w:r>
      <w:r w:rsidRPr="00E824CC">
        <w:rPr>
          <w:rFonts w:cs="Times New Roman"/>
          <w:szCs w:val="24"/>
        </w:rPr>
        <w:t>o niobium environment</w:t>
      </w:r>
      <w:r w:rsidR="00E327F5">
        <w:rPr>
          <w:rFonts w:cs="Times New Roman"/>
          <w:szCs w:val="24"/>
        </w:rPr>
        <w:t>s</w:t>
      </w:r>
      <w:r w:rsidRPr="00E824CC">
        <w:rPr>
          <w:rFonts w:cs="Times New Roman"/>
          <w:szCs w:val="24"/>
        </w:rPr>
        <w:t xml:space="preserve"> </w:t>
      </w:r>
      <w:r w:rsidR="00923D48">
        <w:t>near</w:t>
      </w:r>
      <w:r w:rsidRPr="008B0CA3">
        <w:t xml:space="preserve"> interstitial oxygen ion</w:t>
      </w:r>
      <w:r w:rsidR="00E327F5">
        <w:t>s</w:t>
      </w:r>
      <w:r w:rsidR="00521A57">
        <w:t>, possibly in five- or six-coordinated niobium polyhedra</w:t>
      </w:r>
      <w:r w:rsidRPr="00E824CC">
        <w:t>.</w:t>
      </w:r>
      <w:bookmarkEnd w:id="45"/>
    </w:p>
    <w:p w14:paraId="4E5AD8F0" w14:textId="2BD1C138" w:rsidR="00CA03E7" w:rsidRDefault="00CA03E7" w:rsidP="0097424C">
      <w:pPr>
        <w:pStyle w:val="Heading2"/>
      </w:pPr>
      <w:bookmarkStart w:id="46" w:name="_Hlk30515175"/>
      <w:r w:rsidRPr="00DF2B0D">
        <w:rPr>
          <w:rFonts w:hint="eastAsia"/>
        </w:rPr>
        <w:t>Ph</w:t>
      </w:r>
      <w:r w:rsidRPr="00DF2B0D">
        <w:t xml:space="preserve">ase diagram of the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92510A">
        <w:t xml:space="preserve"> </w:t>
      </w:r>
    </w:p>
    <w:bookmarkEnd w:id="46"/>
    <w:p w14:paraId="7B02425C" w14:textId="066C9C6B" w:rsidR="009754A2" w:rsidRDefault="007E425A" w:rsidP="009754A2">
      <w:r w:rsidRPr="00DF2B0D">
        <w:t>Based on the analysis presented so far, the Nb rich corner of the LaNbO</w:t>
      </w:r>
      <w:r w:rsidRPr="00DF2B0D">
        <w:rPr>
          <w:vertAlign w:val="subscript"/>
        </w:rPr>
        <w:t>4</w:t>
      </w:r>
      <w:r w:rsidRPr="00DF2B0D">
        <w:t>-LaWO</w:t>
      </w:r>
      <w:r w:rsidRPr="00DF2B0D">
        <w:rPr>
          <w:vertAlign w:val="subscript"/>
        </w:rPr>
        <w:t>4.5</w:t>
      </w:r>
      <w:r w:rsidRPr="00DF2B0D">
        <w:t xml:space="preserve"> phase diagram is tentatively proposed in </w:t>
      </w:r>
      <w:r w:rsidR="00190F47">
        <w:fldChar w:fldCharType="begin"/>
      </w:r>
      <w:r w:rsidR="00190F47">
        <w:instrText xml:space="preserve"> REF _Ref21008156 \h </w:instrText>
      </w:r>
      <w:r w:rsidR="00190F47">
        <w:fldChar w:fldCharType="separate"/>
      </w:r>
      <w:r w:rsidR="00564E5A">
        <w:t xml:space="preserve">Figure </w:t>
      </w:r>
      <w:r w:rsidR="00564E5A">
        <w:rPr>
          <w:noProof/>
        </w:rPr>
        <w:t>11</w:t>
      </w:r>
      <w:r w:rsidR="00190F47">
        <w:fldChar w:fldCharType="end"/>
      </w:r>
      <w:r w:rsidRPr="00DF2B0D">
        <w:t>. The solid lines in the phase diagram indicate the single-phase boundary; the dotted line separates the monoclinic and tetragonal parent phase, whereas the dashed line is the boundary between the modulated structure and the unmodulated structure. The peak temperatures of the thermal expansion rate from the dilatometry measurements (</w:t>
      </w:r>
      <w:r w:rsidR="007A4775">
        <w:fldChar w:fldCharType="begin"/>
      </w:r>
      <w:r w:rsidR="007A4775">
        <w:instrText xml:space="preserve"> REF _Ref15917539 \h </w:instrText>
      </w:r>
      <w:r w:rsidR="007A4775">
        <w:fldChar w:fldCharType="separate"/>
      </w:r>
      <w:r w:rsidR="00564E5A">
        <w:t xml:space="preserve">Figure </w:t>
      </w:r>
      <w:r w:rsidR="00564E5A">
        <w:rPr>
          <w:noProof/>
        </w:rPr>
        <w:t>2</w:t>
      </w:r>
      <w:r w:rsidR="007A4775">
        <w:fldChar w:fldCharType="end"/>
      </w:r>
      <w:r w:rsidRPr="00DF2B0D">
        <w:t xml:space="preserve">) are also marked on the phase diagram. </w:t>
      </w:r>
    </w:p>
    <w:p w14:paraId="0586B191" w14:textId="0897F9AF" w:rsidR="00752D99" w:rsidRPr="00DF2B0D" w:rsidRDefault="00023DF3" w:rsidP="009754A2">
      <w:pPr>
        <w:jc w:val="center"/>
      </w:pPr>
      <w:r>
        <w:object w:dxaOrig="7277" w:dyaOrig="4838" w14:anchorId="13B715C4">
          <v:shape id="_x0000_i1246" type="#_x0000_t75" style="width:363.65pt;height:241.5pt" o:ole="">
            <v:imagedata r:id="rId18" o:title=""/>
          </v:shape>
          <o:OLEObject Type="Embed" ProgID="Origin95.Graph" ShapeID="_x0000_i1246" DrawAspect="Content" ObjectID="_1641996758" r:id="rId19"/>
        </w:object>
      </w:r>
    </w:p>
    <w:p w14:paraId="1938BB14" w14:textId="6618A31D" w:rsidR="00224E9F" w:rsidRPr="00DF2B0D" w:rsidRDefault="00190F47" w:rsidP="00224E9F">
      <w:pPr>
        <w:pStyle w:val="Caption"/>
      </w:pPr>
      <w:bookmarkStart w:id="47" w:name="_Ref15918771"/>
      <w:bookmarkStart w:id="48" w:name="_Ref21008156"/>
      <w:bookmarkStart w:id="49" w:name="_Toc464943518"/>
      <w:r>
        <w:t xml:space="preserve">Figure </w:t>
      </w:r>
      <w:r w:rsidR="0019656C">
        <w:fldChar w:fldCharType="begin"/>
      </w:r>
      <w:r w:rsidR="0019656C">
        <w:instrText xml:space="preserve"> SEQ Figure \* ARABIC </w:instrText>
      </w:r>
      <w:r w:rsidR="0019656C">
        <w:fldChar w:fldCharType="separate"/>
      </w:r>
      <w:r w:rsidR="00564E5A">
        <w:rPr>
          <w:noProof/>
        </w:rPr>
        <w:t>11</w:t>
      </w:r>
      <w:r w:rsidR="0019656C">
        <w:rPr>
          <w:noProof/>
        </w:rPr>
        <w:fldChar w:fldCharType="end"/>
      </w:r>
      <w:bookmarkEnd w:id="47"/>
      <w:bookmarkEnd w:id="48"/>
      <w:r w:rsidR="00224E9F" w:rsidRPr="00DF2B0D">
        <w:rPr>
          <w:noProof/>
        </w:rPr>
        <w:t>:</w:t>
      </w:r>
      <w:r w:rsidR="00224E9F" w:rsidRPr="00DF2B0D">
        <w:t xml:space="preserve"> Proposed phase diagram of the </w:t>
      </w:r>
      <w:r w:rsidR="005F7684" w:rsidRPr="002C5610">
        <w:rPr>
          <w:rFonts w:cs="Times New Roman"/>
          <w:bCs w:val="0"/>
        </w:rPr>
        <w:t>LaNb</w:t>
      </w:r>
      <w:r w:rsidR="005F7684" w:rsidRPr="002C5610">
        <w:rPr>
          <w:rFonts w:cs="Times New Roman"/>
          <w:bCs w:val="0"/>
          <w:vertAlign w:val="subscript"/>
        </w:rPr>
        <w:t>1-x</w:t>
      </w:r>
      <w:r w:rsidR="005F7684" w:rsidRPr="002C5610">
        <w:rPr>
          <w:rFonts w:cs="Times New Roman"/>
          <w:bCs w:val="0"/>
        </w:rPr>
        <w:t>W</w:t>
      </w:r>
      <w:r w:rsidR="005F7684" w:rsidRPr="002C5610">
        <w:rPr>
          <w:rFonts w:cs="Times New Roman"/>
          <w:bCs w:val="0"/>
          <w:vertAlign w:val="subscript"/>
        </w:rPr>
        <w:t>x</w:t>
      </w:r>
      <w:r w:rsidR="005F7684" w:rsidRPr="002C5610">
        <w:rPr>
          <w:rFonts w:cs="Times New Roman"/>
          <w:bCs w:val="0"/>
        </w:rPr>
        <w:t>O</w:t>
      </w:r>
      <w:r w:rsidR="005F7684" w:rsidRPr="002C5610">
        <w:rPr>
          <w:rFonts w:cs="Times New Roman"/>
          <w:bCs w:val="0"/>
          <w:vertAlign w:val="subscript"/>
        </w:rPr>
        <w:t>4+</w:t>
      </w:r>
      <w:r w:rsidR="005F7684">
        <w:rPr>
          <w:rFonts w:cs="Times New Roman"/>
          <w:bCs w:val="0"/>
          <w:vertAlign w:val="subscript"/>
        </w:rPr>
        <w:t>x/2</w:t>
      </w:r>
      <w:r w:rsidR="00224E9F" w:rsidRPr="00DF2B0D">
        <w:t xml:space="preserve"> system, highlight</w:t>
      </w:r>
      <w:r w:rsidR="00BC1B4E" w:rsidRPr="00DF2B0D">
        <w:t>ing</w:t>
      </w:r>
      <w:r w:rsidR="00224E9F" w:rsidRPr="00DF2B0D">
        <w:t xml:space="preserve"> the complexity of the system. The solid lines signify the boundaries between </w:t>
      </w:r>
      <w:r w:rsidR="00BC1B4E" w:rsidRPr="00DF2B0D">
        <w:t xml:space="preserve">a </w:t>
      </w:r>
      <w:r w:rsidR="00224E9F" w:rsidRPr="00DF2B0D">
        <w:t xml:space="preserve">biphasic region and the </w:t>
      </w:r>
      <w:r w:rsidR="00BC1B4E" w:rsidRPr="00DF2B0D">
        <w:t>single-</w:t>
      </w:r>
      <w:r w:rsidR="00224E9F" w:rsidRPr="00DF2B0D">
        <w:t xml:space="preserve">phase region. The dotted line </w:t>
      </w:r>
      <w:r w:rsidR="00BC1B4E" w:rsidRPr="00DF2B0D">
        <w:t xml:space="preserve">is </w:t>
      </w:r>
      <w:r w:rsidR="00224E9F" w:rsidRPr="00DF2B0D">
        <w:t xml:space="preserve">based upon the transition temperature reported in </w:t>
      </w:r>
      <w:r w:rsidR="002D3C9F" w:rsidRPr="00DF2B0D">
        <w:t xml:space="preserve">Table </w:t>
      </w:r>
      <w:r w:rsidR="00B001F3">
        <w:t>S1</w:t>
      </w:r>
      <w:r w:rsidR="00B001F3" w:rsidRPr="00DF2B0D">
        <w:t xml:space="preserve"> and</w:t>
      </w:r>
      <w:r w:rsidR="00224E9F" w:rsidRPr="00DF2B0D">
        <w:t xml:space="preserve"> separates the phases with monoclinic and tetragonal parent structures; the dash</w:t>
      </w:r>
      <w:r w:rsidR="00BC1B4E" w:rsidRPr="00DF2B0D">
        <w:t>ed</w:t>
      </w:r>
      <w:r w:rsidR="00224E9F" w:rsidRPr="00DF2B0D">
        <w:t xml:space="preserve"> line marks the separation between the modulated phases and the unmodulated structure. All lines are guid</w:t>
      </w:r>
      <w:r w:rsidR="00BC1B4E" w:rsidRPr="00DF2B0D">
        <w:t>es</w:t>
      </w:r>
      <w:r w:rsidR="00224E9F" w:rsidRPr="00DF2B0D">
        <w:t xml:space="preserve"> for the eye. The “peak” temperatures from the expansion rate reported in </w:t>
      </w:r>
      <w:r w:rsidR="007A4775">
        <w:fldChar w:fldCharType="begin"/>
      </w:r>
      <w:r w:rsidR="007A4775">
        <w:instrText xml:space="preserve"> REF _Ref15917539 \h </w:instrText>
      </w:r>
      <w:r w:rsidR="007A4775">
        <w:fldChar w:fldCharType="separate"/>
      </w:r>
      <w:r w:rsidR="00564E5A">
        <w:t xml:space="preserve">Figure </w:t>
      </w:r>
      <w:r w:rsidR="00564E5A">
        <w:rPr>
          <w:noProof/>
        </w:rPr>
        <w:t>2</w:t>
      </w:r>
      <w:r w:rsidR="007A4775">
        <w:fldChar w:fldCharType="end"/>
      </w:r>
      <w:r w:rsidR="00224E9F" w:rsidRPr="00DF2B0D">
        <w:t xml:space="preserve"> are marked as “x” on the proposed phase diagram.</w:t>
      </w:r>
      <w:bookmarkEnd w:id="49"/>
      <w:r w:rsidR="00224E9F" w:rsidRPr="00DF2B0D">
        <w:t xml:space="preserve"> </w:t>
      </w:r>
    </w:p>
    <w:p w14:paraId="2FF17CB9" w14:textId="29B57DE5" w:rsidR="006B150D" w:rsidRPr="00DF2B0D" w:rsidRDefault="00335BD8" w:rsidP="00224E9F">
      <w:r w:rsidRPr="00DF2B0D">
        <w:lastRenderedPageBreak/>
        <w:t xml:space="preserve">The first </w:t>
      </w:r>
      <w:r w:rsidR="006B150D" w:rsidRPr="00DF2B0D">
        <w:t>interesting observation</w:t>
      </w:r>
      <w:r w:rsidR="006A2BB0" w:rsidRPr="00DF2B0D">
        <w:t xml:space="preserve"> </w:t>
      </w:r>
      <w:r w:rsidR="006A2BB0" w:rsidRPr="00DF2B0D">
        <w:rPr>
          <w:rFonts w:hint="eastAsia"/>
        </w:rPr>
        <w:t>in</w:t>
      </w:r>
      <w:r w:rsidR="006A2BB0" w:rsidRPr="00DF2B0D">
        <w:t xml:space="preserve"> this phase diagram</w:t>
      </w:r>
      <w:r w:rsidR="006B150D" w:rsidRPr="00DF2B0D">
        <w:t xml:space="preserve"> is the</w:t>
      </w:r>
      <w:r w:rsidR="00224E9F" w:rsidRPr="00DF2B0D">
        <w:t xml:space="preserve"> correlation between the “peak” temperature during dilatometry and the phase transition temperature obtained from diffraction. For instance, the expansion rate of the LaNb</w:t>
      </w:r>
      <w:r w:rsidR="00224E9F"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224E9F" w:rsidRPr="00DF2B0D">
        <w:t xml:space="preserve"> composition first peaked at ~390 °C and later at ~670 °C (</w:t>
      </w:r>
      <w:r w:rsidR="007A4775">
        <w:fldChar w:fldCharType="begin"/>
      </w:r>
      <w:r w:rsidR="007A4775">
        <w:instrText xml:space="preserve"> REF _Ref15917539 \h </w:instrText>
      </w:r>
      <w:r w:rsidR="007A4775">
        <w:fldChar w:fldCharType="separate"/>
      </w:r>
      <w:r w:rsidR="00564E5A">
        <w:t xml:space="preserve">Figure </w:t>
      </w:r>
      <w:r w:rsidR="00564E5A">
        <w:rPr>
          <w:noProof/>
        </w:rPr>
        <w:t>2</w:t>
      </w:r>
      <w:r w:rsidR="007A4775">
        <w:fldChar w:fldCharType="end"/>
      </w:r>
      <w:r w:rsidR="00224E9F" w:rsidRPr="00DF2B0D">
        <w:t xml:space="preserve">c), which corresponds well with </w:t>
      </w:r>
      <w:r w:rsidRPr="00DF2B0D">
        <w:t>two-phase</w:t>
      </w:r>
      <w:r w:rsidR="00224E9F" w:rsidRPr="00DF2B0D">
        <w:t xml:space="preserve"> transition of the x</w:t>
      </w:r>
      <w:r w:rsidR="00915B70">
        <w:rPr>
          <w:lang w:val="en-US"/>
        </w:rPr>
        <w:t> </w:t>
      </w:r>
      <w:r w:rsidR="00224E9F" w:rsidRPr="00DF2B0D">
        <w:t>=</w:t>
      </w:r>
      <w:r w:rsidR="00915B70">
        <w:rPr>
          <w:lang w:val="en-US"/>
        </w:rPr>
        <w:t> </w:t>
      </w:r>
      <w:r w:rsidR="00224E9F" w:rsidRPr="00DF2B0D">
        <w:t>0.12 composition. In addition, no abrupt change of shrinkage rate was observed in the LaNb</w:t>
      </w:r>
      <w:r w:rsidR="00224E9F"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224E9F" w:rsidRPr="00DF2B0D">
        <w:t xml:space="preserve"> composition (</w:t>
      </w:r>
      <w:r w:rsidR="007A4775">
        <w:fldChar w:fldCharType="begin"/>
      </w:r>
      <w:r w:rsidR="007A4775">
        <w:instrText xml:space="preserve"> REF _Ref15917539 \h </w:instrText>
      </w:r>
      <w:r w:rsidR="007A4775">
        <w:fldChar w:fldCharType="separate"/>
      </w:r>
      <w:r w:rsidR="00564E5A">
        <w:t xml:space="preserve">Figure </w:t>
      </w:r>
      <w:r w:rsidR="00564E5A">
        <w:rPr>
          <w:noProof/>
        </w:rPr>
        <w:t>2</w:t>
      </w:r>
      <w:r w:rsidR="007A4775">
        <w:fldChar w:fldCharType="end"/>
      </w:r>
      <w:r w:rsidR="00224E9F" w:rsidRPr="00DF2B0D">
        <w:t>d), which coincides with the absence of a phase transition in this composition. Such correlation however is missing in LaNb</w:t>
      </w:r>
      <w:r w:rsidR="00224E9F" w:rsidRPr="00DF2B0D">
        <w:rPr>
          <w:vertAlign w:val="subscript"/>
        </w:rPr>
        <w:t>0.92</w:t>
      </w:r>
      <w:r w:rsidR="00224E9F" w:rsidRPr="00DF2B0D">
        <w:t>W</w:t>
      </w:r>
      <w:r w:rsidR="00224E9F" w:rsidRPr="00DF2B0D">
        <w:rPr>
          <w:vertAlign w:val="subscript"/>
        </w:rPr>
        <w:t>0.08</w:t>
      </w:r>
      <w:r w:rsidR="00224E9F" w:rsidRPr="00DF2B0D">
        <w:t>O</w:t>
      </w:r>
      <w:r w:rsidR="00224E9F" w:rsidRPr="00DF2B0D">
        <w:rPr>
          <w:vertAlign w:val="subscript"/>
        </w:rPr>
        <w:t>4+d</w:t>
      </w:r>
      <w:r w:rsidR="00224E9F" w:rsidRPr="00DF2B0D">
        <w:t>, as the dilatometry peak temperature is about 50-70 °C below the modulated to disorder</w:t>
      </w:r>
      <w:r w:rsidRPr="00DF2B0D">
        <w:t>ed</w:t>
      </w:r>
      <w:r w:rsidR="00224E9F" w:rsidRPr="00DF2B0D">
        <w:t xml:space="preserve"> transition. Still, it is not unreasonable to assume that the modulated to disorder</w:t>
      </w:r>
      <w:r w:rsidRPr="00DF2B0D">
        <w:t>ed</w:t>
      </w:r>
      <w:r w:rsidR="00224E9F" w:rsidRPr="00DF2B0D">
        <w:t xml:space="preserve"> phase transition would affect the thermal expansion of the material. </w:t>
      </w:r>
      <w:r w:rsidR="009754A2" w:rsidRPr="00DF2B0D">
        <w:t>As demonstrated earlier</w:t>
      </w:r>
      <w:r w:rsidR="009754A2">
        <w:fldChar w:fldCharType="begin" w:fldLock="1"/>
      </w:r>
      <w:r w:rsidR="00142EE0">
        <w:instrText>ADDIN CSL_CITATION {"citationItems":[{"id":"ITEM-1","itemData":{"DOI":"10.1039/C8DT03958E","abstract":"The crystal structure of a (3 + 2)D incommensurate modulated LaNb0.88W0.12O4.06 phase{,} a novel oxygen ionic conductor{,} is refined using a combination of synchrotron X-ray diffraction and electron diffraction data. The superspace group I2/c(α10γ1)00(α20γ2)00 (a = 5.4131(1) Å{,} b = 11.6432(2) Å{,} c = 5.2963(1) Å{,} β = 91.540(1)°{,} q1 = 0.2847(5)a* + 0.1098(9)c* and q2= −0.1266(9)a* + 0.2953(1)c*) was chosen for the refinement. Similar to other scheelite type modulated structures{,} the modulation of LaNb0.88W0.12O4.06 stems from the cation occupancy ordering in the xz plane. To facilitate the modulated cation sub-lattice{,} and to compensate for the difference in their size and charge{,} the B site polyhedra are distorted by stretching the B–O bond lengths. Consequently{,} an extension in the B site coordination number from 6 to 8 is observed in the modulated phase. An interconnected 3D network of BOx polyhedra{,} similar to that of modulated CeNbO4.25{,} is obtained as a result of the structure modulation{,} which is not available in the unmodulated parent structure. Tracer diffusivity measurements indicate that the composition is an oxygen ion conductor{,} which relies on an intersticalcy conduction mechanism. Oxygen tracer diffusivity of 2.46 × 10−9 cm2 s−1{,} at 750 °C is reported.","author":[{"dropping-particle":"","family":"Li","given":"Cheng","non-dropping-particle":"","parse-names":false,"suffix":""},{"dropping-particle":"","family":"Pramana","given":"Stevin S","non-dropping-particle":"","parse-names":false,"suffix":""},{"dropping-particle":"","family":"Skinner","given":"Stephen J","non-dropping-particle":"","parse-names":false,"suffix":""}],"container-title":"Dalton Trans.","id":"ITEM-1","issue":"5","issued":{"date-parts":[["2019"]]},"page":"1633-1646","publisher":"The Royal Society of Chemistry","title":"Room temperature structure and transport properties of the incommensurate modulated LaNb&lt;sub&gt;0.88 &lt;/sub&gt;W&lt;sub&gt;0.12&lt;/sub&gt;O&lt;sub&gt;4.06&lt;/sub&gt;","type":"article-journal","volume":"48"},"uris":["http://www.mendeley.com/documents/?uuid=ede54f79-ff84-4ea2-b730-4d973e4b86f5"]}],"mendeley":{"formattedCitation":"&lt;sup&gt;14&lt;/sup&gt;","plainTextFormattedCitation":"14","previouslyFormattedCitation":"&lt;sup&gt;14&lt;/sup&gt;"},"properties":{"noteIndex":0},"schema":"https://github.com/citation-style-language/schema/raw/master/csl-citation.json"}</w:instrText>
      </w:r>
      <w:r w:rsidR="009754A2">
        <w:fldChar w:fldCharType="separate"/>
      </w:r>
      <w:r w:rsidR="00142EE0" w:rsidRPr="00142EE0">
        <w:rPr>
          <w:noProof/>
          <w:vertAlign w:val="superscript"/>
        </w:rPr>
        <w:t>14</w:t>
      </w:r>
      <w:r w:rsidR="009754A2">
        <w:fldChar w:fldCharType="end"/>
      </w:r>
      <w:r w:rsidR="000D68B6">
        <w:t xml:space="preserve">, </w:t>
      </w:r>
      <w:r w:rsidR="00224E9F" w:rsidRPr="00DF2B0D">
        <w:t>the Nb/W-O local environment of the modulated LaNb</w:t>
      </w:r>
      <w:r w:rsidR="00224E9F"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00224E9F" w:rsidRPr="00DF2B0D">
        <w:t xml:space="preserve"> phase differs significantly from its parent structure. </w:t>
      </w:r>
    </w:p>
    <w:p w14:paraId="306D9A79" w14:textId="7A088E0A" w:rsidR="00224E9F" w:rsidRPr="00DF2B0D" w:rsidRDefault="009754A2" w:rsidP="00224E9F">
      <w:r w:rsidRPr="00DF2B0D">
        <w:t xml:space="preserve">When varying the temperature, both the magnitude and the direction of the </w:t>
      </w:r>
      <w:r w:rsidRPr="00DF2B0D">
        <w:rPr>
          <w:b/>
          <w:i/>
        </w:rPr>
        <w:t>q</w:t>
      </w:r>
      <w:r w:rsidRPr="00DF2B0D">
        <w:t xml:space="preserve"> vectors are expected to change</w:t>
      </w:r>
      <w:r w:rsidR="0012387A">
        <w:t>,</w:t>
      </w:r>
      <w:r w:rsidRPr="00DF2B0D">
        <w:fldChar w:fldCharType="begin" w:fldLock="1"/>
      </w:r>
      <w:r w:rsidR="000A4126">
        <w:instrText>ADDIN CSL_CITATION {"citationItems":[{"id":"ITEM-1","itemData":{"DOI":"10.1088/0034-4885/45/6/001","ISBN":"0034-4885","ISSN":"0034-4885","abstract":"Surveys recent theories on the transition between commensurate (C) and incommensurate (I) phases, and on properties of the I phase. The devil's staircase concept for the I phase is described. Differences between theories in two and three dimensions are discussed, together with those on chaotic structures.","author":[{"dropping-particle":"","family":"Bak","given":"P.","non-dropping-particle":"","parse-names":false,"suffix":""}],"container-title":"Rep. Prog. Phys.","id":"ITEM-1","issued":{"date-parts":[["1982"]]},"page":"587","title":"Commensurate phases , incommensurate phases and the devil ’ s staircase","type":"article-journal","volume":"45"},"uris":["http://www.mendeley.com/documents/?uuid=1b1230cd-da9f-4897-93cb-cbc4634790ec"]}],"mendeley":{"formattedCitation":"&lt;sup&gt;53&lt;/sup&gt;","plainTextFormattedCitation":"53","previouslyFormattedCitation":"&lt;sup&gt;52&lt;/sup&gt;"},"properties":{"noteIndex":0},"schema":"https://github.com/citation-style-language/schema/raw/master/csl-citation.json"}</w:instrText>
      </w:r>
      <w:r w:rsidRPr="00DF2B0D">
        <w:fldChar w:fldCharType="separate"/>
      </w:r>
      <w:r w:rsidR="000A4126" w:rsidRPr="000A4126">
        <w:rPr>
          <w:noProof/>
          <w:vertAlign w:val="superscript"/>
        </w:rPr>
        <w:t>53</w:t>
      </w:r>
      <w:r w:rsidRPr="00DF2B0D">
        <w:fldChar w:fldCharType="end"/>
      </w:r>
      <w:r w:rsidRPr="00DF2B0D">
        <w:t xml:space="preserve"> leading to variations of bond lengths and bond angles in addition to the </w:t>
      </w:r>
      <w:r w:rsidR="00224E9F" w:rsidRPr="00DF2B0D">
        <w:t xml:space="preserve">thermal effect. The accumulation of the change would, on a macroscopic scale, perturb </w:t>
      </w:r>
      <w:r w:rsidR="00335BD8" w:rsidRPr="00DF2B0D">
        <w:t xml:space="preserve">the </w:t>
      </w:r>
      <w:r w:rsidR="00224E9F" w:rsidRPr="00DF2B0D">
        <w:t>expansion rate. In analogy to the ferroelastic to paraelastic transition of the parent LaNbO</w:t>
      </w:r>
      <w:r w:rsidR="00224E9F" w:rsidRPr="00DF2B0D">
        <w:rPr>
          <w:vertAlign w:val="subscript"/>
        </w:rPr>
        <w:t xml:space="preserve">4 </w:t>
      </w:r>
      <w:r w:rsidR="00224E9F" w:rsidRPr="00DF2B0D">
        <w:t xml:space="preserve">structure, it is logical to assume that the impact of modulation on the linear expansion rate will be at an extremum when the order-disorder transition occurs. Indeed, the peak temperatures of the dilatometry seem to coincide with the transition temperatures between the modulated structure and unmodulated structure in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224E9F" w:rsidRPr="00DF2B0D">
        <w:t xml:space="preserve"> </w:t>
      </w:r>
      <w:r w:rsidR="00190F47">
        <w:t>(</w:t>
      </w:r>
      <w:r w:rsidR="00190F47">
        <w:fldChar w:fldCharType="begin"/>
      </w:r>
      <w:r w:rsidR="00190F47">
        <w:instrText xml:space="preserve"> REF _Ref21008156 \h </w:instrText>
      </w:r>
      <w:r w:rsidR="00190F47">
        <w:fldChar w:fldCharType="separate"/>
      </w:r>
      <w:r w:rsidR="00564E5A">
        <w:t xml:space="preserve">Figure </w:t>
      </w:r>
      <w:r w:rsidR="00564E5A">
        <w:rPr>
          <w:noProof/>
        </w:rPr>
        <w:t>11</w:t>
      </w:r>
      <w:r w:rsidR="00190F47">
        <w:fldChar w:fldCharType="end"/>
      </w:r>
      <w:r w:rsidR="00224E9F" w:rsidRPr="00DF2B0D">
        <w:t xml:space="preserve">); it is therefore speculated that the removal of the structural modulation would introduce a subtle change in the expansion behaviour; however further experiments are required to verify this conjecture. </w:t>
      </w:r>
    </w:p>
    <w:p w14:paraId="77CBF43D" w14:textId="79AD45D6" w:rsidR="00224E9F" w:rsidRPr="00DF2B0D" w:rsidRDefault="009754A2" w:rsidP="00224E9F">
      <w:bookmarkStart w:id="50" w:name="_Ref452663351"/>
      <w:r w:rsidRPr="00DF2B0D">
        <w:t>Theories of the modulated phase transition have been devised to explain the transition between the high temperature incommensurate phase and the low temperature commensurate structure (normally referred to as the “lock-in phase”, often observed below room temperature)</w:t>
      </w:r>
      <w:r w:rsidRPr="00DF2B0D">
        <w:fldChar w:fldCharType="begin" w:fldLock="1"/>
      </w:r>
      <w:r w:rsidR="000A4126">
        <w:instrText xml:space="preserve">ADDIN CSL_CITATION {"citationItems":[{"id":"ITEM-1","itemData":{"DOI":"10.1103/PhysRevB.14.1496","ISSN":"01631829","abstract":"The lowest-energy state of the incommensurate charge density wave (CDW) near the lock-in transition is found to be a distorted plane wave. An exact solution is found in the weak-coupling limit and the lock-in phase transition is continuous. A new defect is found in the commensurate CDW, a discommensuration, in which the phase of the CDW slips by 2π/3 relative to the perfectly locked in CDW. The lock-in phase transition is interpreted as a defect melting transition with a finite density of discommensurations in the incommensurate state.","author":[{"dropping-particle":"","family":"McMillan","given":"W. L.","non-dropping-particle":"","parse-names":false,"suffix":""}],"container-title":"Physical Review B","id":"ITEM-1","issue":"4","issued":{"date-parts":[["1976"]]},"page":"1496-1502","title":"Theory of discommensurations and the commensurate-incommensurate charge-density-wave phase transition","type":"article-journal","volume":"14"},"uris":["http://www.mendeley.com/documents/?uuid=4539f5ef-0a75-42bb-9be1-65ab3f5d7d2a"]},{"id":"ITEM-2","itemData":{"DOI":"10.1016/0167-2789(82)90028-8","ISSN":"01672789","abstract":"The concept of a 'soliton lattice' and the role it plays in the incommensurate-commensurate or 'lock-in' transition are briefly reviewed. The effect of phase-amplitude coupling on the lock-in transition is investigated with particular reference to two models of recent interest concerned with two-fold commensurability in the context of charge density waves. It is inferred that for small phase-amplitude coupling the lock-in transition is continuous, while for large coupling strengths the transition is discontinuous, indicating an overall long range attraction between solitons in the latter case. © 1982.","author":[{"dropping-particle":"","family":"Grabowski","given":"M.","non-dropping-particle":"","parse-names":false,"suffix":""},{"dropping-particle":"","family":"Subbaswamy","given":"K. R.","non-dropping-particle":"","parse-names":false,"suffix":""}],"container-title":"Physica D: Nonlinear Phenomena","id":"ITEM-2","issue":"2-3","issued":{"date-parts":[["1982"]]},"page":"348-358","title":"Phase-amplitude soliton lattice and the lock-in transition","type":"article-journal","volume":"5"},"uris":["http://www.mendeley.com/documents/?uuid=4ee5bdc1-5722-4653-a121-24fd8279024f"]},{"id":"ITEM-3","itemData":{"DOI":"10.1016/S0304-8853(97)00797-X","ISSN":"03048853","abstract":"We have investigated the incommensurate-commensurate lock-in phase transition in EuAs3 by the relatively new resonant X-ray magnetic scattering technique. Strong resonance enhancements of the magnetic scattering have been observed at the LII and LIII absorption edges of Eu. The intensity of the 1, 0, 52 magnetic reflection of the commensurate phase decreases continuously with increasing temperature and at TL = 10.3 K drops abruptly to zero. Satellite reflections characteristic of the incommensurate phase appear at T </w:instrText>
      </w:r>
      <w:r w:rsidR="000A4126">
        <w:rPr>
          <w:rFonts w:ascii="Cambria Math" w:hAnsi="Cambria Math" w:cs="Cambria Math"/>
        </w:rPr>
        <w:instrText>⩾</w:instrText>
      </w:r>
      <w:r w:rsidR="000A4126">
        <w:instrText xml:space="preserve"> TL. By using the excellent Q-resolution of the X-ray magnetic scattering experiment we have determined the temperature variation of both x and z components of the propagation vector of the incommensurate sine-wave phase stable in the temperature range 10.3 K </w:instrText>
      </w:r>
      <w:r w:rsidR="000A4126">
        <w:rPr>
          <w:rFonts w:ascii="Cambria Math" w:hAnsi="Cambria Math" w:cs="Cambria Math"/>
        </w:rPr>
        <w:instrText>⩽</w:instrText>
      </w:r>
      <w:r w:rsidR="000A4126">
        <w:instrText xml:space="preserve"> T </w:instrText>
      </w:r>
      <w:r w:rsidR="000A4126">
        <w:rPr>
          <w:rFonts w:ascii="Cambria Math" w:hAnsi="Cambria Math" w:cs="Cambria Math"/>
        </w:rPr>
        <w:instrText>⩽</w:instrText>
      </w:r>
      <w:r w:rsidR="000A4126">
        <w:instrText xml:space="preserve"> 11 K.","author":[{"dropping-particle":"","family":"Chattopadhyay","given":"T.","non-dropping-particle":"","parse-names":false,"suffix":""},{"dropping-particle":"","family":"Liss","given":"K.D.","non-dropping-particle":"","parse-names":false,"suffix":""},{"dropping-particle":"","family":"Brückel","given":"T.","non-dropping-particle":"","parse-names":false,"suffix":""}],"container-title":"Journal of Magnetism and Magnetic Materials","id":"ITEM-3","issued":{"date-parts":[["1998"]]},"page":"1058-1060","title":"Incommensurate-commensurate lock-in phase transition in EuAs&lt;sub&gt;3&lt;/sub&gt;","type":"article-journal","volume":"177-181"},"uris":["http://www.mendeley.com/documents/?uuid=c4274507-f969-4f20-abee-c68dae839beb"]}],"mendeley":{"formattedCitation":"&lt;sup&gt;54–56&lt;/sup&gt;","plainTextFormattedCitation":"54–56","previouslyFormattedCitation":"&lt;sup&gt;53–55&lt;/sup&gt;"},"properties":{"noteIndex":0},"schema":"https://github.com/citation-style-language/schema/raw/master/csl-citation.json"}</w:instrText>
      </w:r>
      <w:r w:rsidRPr="00DF2B0D">
        <w:fldChar w:fldCharType="separate"/>
      </w:r>
      <w:r w:rsidR="000A4126" w:rsidRPr="000A4126">
        <w:rPr>
          <w:noProof/>
          <w:vertAlign w:val="superscript"/>
        </w:rPr>
        <w:t>54–56</w:t>
      </w:r>
      <w:r w:rsidRPr="00DF2B0D">
        <w:fldChar w:fldCharType="end"/>
      </w:r>
      <w:r w:rsidRPr="00DF2B0D">
        <w:t xml:space="preserve"> </w:t>
      </w:r>
      <w:r w:rsidR="000A4126" w:rsidRPr="00DF2B0D">
        <w:t xml:space="preserve">and </w:t>
      </w:r>
      <w:r w:rsidR="000A4126">
        <w:t xml:space="preserve">have </w:t>
      </w:r>
      <w:r w:rsidR="000A4126" w:rsidRPr="00DF2B0D">
        <w:t>provide</w:t>
      </w:r>
      <w:r w:rsidR="000A4126">
        <w:t>d</w:t>
      </w:r>
      <w:r w:rsidR="000A4126" w:rsidRPr="00DF2B0D">
        <w:t xml:space="preserve"> </w:t>
      </w:r>
      <w:r w:rsidRPr="00DF2B0D">
        <w:t>great assistance in understanding the phase transition in structures with charge density wave ordering and magnetic ordering</w:t>
      </w:r>
      <w:r w:rsidR="00FF72F9">
        <w:t>.</w:t>
      </w:r>
      <w:r w:rsidRPr="00DF2B0D">
        <w:fldChar w:fldCharType="begin" w:fldLock="1"/>
      </w:r>
      <w:r w:rsidR="000A4126">
        <w:instrText>ADDIN CSL_CITATION {"citationItems":[{"id":"ITEM-1","itemData":{"DOI":"10.1103/PhysRevLett.76.4042","ISSN":"0031-9007","PMID":"10061177","abstract":"The antiferromagnetic to ferromagnetic transition in La0.5Ca0.5MnO3 is accompanied by a commensurate to incommensurate charge-ordering transition. The presence of incommensurate charge correlation in the ferromagnetic phase is a remarkable interplay between charge and spin in double-exchange ferromagnets. Furthermore, a dark-field imaging technique has provided real-space images of charge-ordered domains revealing discommensurations inside the nearly commensurate domains. Local density fluctuations of discommensurations are responsible for the similar variations of the charge-ordering wave vector.","author":[{"dropping-particle":"","family":"Chen","given":"C.","non-dropping-particle":"","parse-names":false,"suffix":""},{"dropping-particle":"","family":"Cheong","given":"S-W.","non-dropping-particle":"","parse-names":false,"suffix":""}],"container-title":"Physical Review Letters","id":"ITEM-1","issue":"21","issued":{"date-parts":[["1996"]]},"page":"4042-4045","title":"Commensurate to Incommensurate Charge Ordering and Its Real-Space Images in La&lt;sub&gt;0.5&lt;/sub&gt;Ca&lt;sub&gt;0.5&lt;/sub&gt;MnO&lt;sub&gt;3&lt;/sub&gt;","type":"article-journal","volume":"76"},"uris":["http://www.mendeley.com/documents/?uuid=cd8de0b0-1fd7-4c2a-9439-75a86695c96d"]},{"id":"ITEM-2","itemData":{"DOI":"10.1143/JPSJ.43.1839","ISSN":"00319015","abstract":"The incommensurate (I) states of the triple charge density waves (CDW) in lT-TaS2 are studied in details by taking into account a sufficiently large number of harmonics. A domain - like structure of the I-CDW state is shown to be realized as the fundamental wave vector of ... \\n","author":[{"dropping-particle":"","family":"Nakanishi","given":"Kazuo","non-dropping-particle":"","parse-names":false,"suffix":""},{"dropping-particle":"","family":"Shiba","given":"Hiroyuki","non-dropping-particle":"","parse-names":false,"suffix":""}],"container-title":"Journal of the Physical Society of Japan","id":"ITEM-2","issue":"6","issued":{"date-parts":[["1977"]]},"page":"1839-1847","title":"Domain-like incommensurate charge-density-wave states and the first-order incommensurate-commensurate transitions in layered tantalum dichalcogenides. I. 1T-polytype","type":"article-journal","volume":"43"},"uris":["http://www.mendeley.com/documents/?uuid=8254f4c8-98c2-427b-918c-fc75d6074790"]},{"id":"ITEM-3","itemData":{"DOI":"10.1126/science.1223532","ISBN":"6212011575","ISSN":"0036-8075","PMID":"22798406","abstract":"The concept that superconductivity competes with other orders in cuprate superconductors has become increasingly apparent, but obtaining direct evidence with bulk-sensitive probes is challenging. We have used resonant soft x-ray scattering to identify two-dimensional charge fluctuations with an incommensurate periodicity of ~3.2 lattice units in the copper-oxide planes of the superconductors (Y,Nd)Ba(2)Cu(3)O(6+)(x), with hole concentrations of 0.09 to 0.13 per planar Cu ion. The intensity and correlation length of the fluctuation signal increase strongly upon cooling down to the superconducting transition temperature (T(c)); further cooling below T(c) abruptly reverses the divergence of the charge correlations. In combination with earlier observations of a large gap in the spin excitation spectrum, these data indicate an incipient charge density wave instability that competes with superconductivity.","author":[{"dropping-particle":"","family":"Ghiringhelli","given":"G.","non-dropping-particle":"","parse-names":false,"suffix":""},{"dropping-particle":"","family":"Tacon","given":"M.","non-dropping-particle":"Le","parse-names":false,"suffix":""},{"dropping-particle":"","family":"Minola","given":"M.","non-dropping-particle":"","parse-names":false,"suffix":""},{"dropping-particle":"","family":"Blanco-Canosa","given":"S.","non-dropping-particle":"","parse-names":false,"suffix":""},{"dropping-particle":"","family":"Mazzoli","given":"C.","non-dropping-particle":"","parse-names":false,"suffix":""},{"dropping-particle":"","family":"Brookes","given":"N. B.","non-dropping-particle":"","parse-names":false,"suffix":""},{"dropping-particle":"","family":"Luca","given":"G. M.","non-dropping-particle":"De","parse-names":false,"suffix":""},{"dropping-particle":"","family":"Frano","given":"A.","non-dropping-particle":"","parse-names":false,"suffix":""},{"dropping-particle":"","family":"Hawthorn","given":"D. G.","non-dropping-particle":"","parse-names":false,"suffix":""},{"dropping-particle":"","family":"He","given":"F.","non-dropping-particle":"","parse-names":false,"suffix":""},{"dropping-particle":"","family":"Loew","given":"T.","non-dropping-particle":"","parse-names":false,"suffix":""},{"dropping-particle":"","family":"Sala","given":"M. Moretti","non-dropping-particle":"","parse-names":false,"suffix":""},{"dropping-particle":"","family":"Peets","given":"D. C.","non-dropping-particle":"","parse-names":false,"suffix":""},{"dropping-particle":"","family":"Salluzzo","given":"M.","non-dropping-particle":"","parse-names":false,"suffix":""},{"dropping-particle":"","family":"Schierle","given":"E.","non-dropping-particle":"","parse-names":false,"suffix":""},{"dropping-particle":"","family":"Sutarto","given":"R.","non-dropping-particle":"","parse-names":false,"suffix":""},{"dropping-particle":"","family":"Sawatzky","given":"G. A.","non-dropping-particle":"","parse-names":false,"suffix":""},{"dropping-particle":"","family":"Weschke","given":"E.","non-dropping-particle":"","parse-names":false,"suffix":""},{"dropping-particle":"","family":"Keimer","given":"B.","non-dropping-particle":"","parse-names":false,"suffix":""},{"dropping-particle":"","family":"Braicovich","given":"L.","non-dropping-particle":"","parse-names":false,"suffix":""},{"dropping-particle":"Le","family":"Tacon","given":"M","non-dropping-particle":"","parse-names":false,"suffix":""},{"dropping-particle":"","family":"Minola","given":"M.","non-dropping-particle":"","parse-names":false,"suffix":""},{"dropping-particle":"","family":"Blanco-Canosa","given":"S.","non-dropping-particle":"","parse-names":false,"suffix":""},{"dropping-particle":"","family":"Mazzoli","given":"C.","non-dropping-particle":"","parse-names":false,"suffix":""},{"dropping-particle":"","family":"Brookes","given":"N. B.","non-dropping-particle":"","parse-names":false,"suffix":""},{"dropping-particle":"De","family":"Luca","given":"G M","non-dropping-particle":"","parse-names":false,"suffix":""},{"dropping-particle":"","family":"Frano","given":"A.","non-dropping-particle":"","parse-names":false,"suffix":""},{"dropping-particle":"","family":"Hawthorn","given":"D. G.","non-dropping-particle":"","parse-names":false,"suffix":""},{"dropping-particle":"","family":"He","given":"F.","non-dropping-particle":"","parse-names":false,"suffix":""},{"dropping-particle":"","family":"Loew","given":"T.","non-dropping-particle":"","parse-names":false,"suffix":""},{"dropping-particle":"","family":"Sala","given":"M. Moretti","non-dropping-particle":"","parse-names":false,"suffix":""},{"dropping-particle":"","family":"Peets","given":"D. C.","non-dropping-particle":"","parse-names":false,"suffix":""},{"dropping-particle":"","family":"Salluzzo","given":"M.","non-dropping-particle":"","parse-names":false,"suffix":""},{"dropping-particle":"","family":"Schierle","given":"E.","non-dropping-particle":"","parse-names":false,"suffix":""},{"dropping-particle":"","family":"Sutarto","given":"R.","non-dropping-particle":"","parse-names":false,"suffix":""},{"dropping-particle":"","family":"Sawatzky","given":"G. A.","non-dropping-particle":"","parse-names":false,"suffix":""},{"dropping-particle":"","family":"Weschke","given":"E.","non-dropping-particle":"","parse-names":false,"suffix":""},{"dropping-particle":"","family":"Keimer","given":"B.","non-dropping-particle":"","parse-names":false,"suffix":""},{"dropping-particle":"","family":"Braicovich","given":"L.","non-dropping-particle":"","parse-names":false,"suffix":""}],"container-title":"Science (New York, N.Y.)","id":"ITEM-3","issue":"6096","issued":{"date-parts":[["2012"]]},"page":"821-825","title":"Long-Range Incommensurate Charge Fluctuations in (Y,Nd)Ba&lt;sub&gt;2&lt;/sub&gt;Cu&lt;sub&gt;3&lt;/sub&gt;O&lt;sub&gt;6+x&lt;/sub&gt;","type":"article-journal","volume":"337"},"uris":["http://www.mendeley.com/documents/?uuid=b8834fcc-c5be-4d9b-9921-d1b84839d226"]}],"mendeley":{"formattedCitation":"&lt;sup&gt;57–59&lt;/sup&gt;","plainTextFormattedCitation":"57–59","previouslyFormattedCitation":"&lt;sup&gt;56–58&lt;/sup&gt;"},"properties":{"noteIndex":0},"schema":"https://github.com/citation-style-language/schema/raw/master/csl-citation.json"}</w:instrText>
      </w:r>
      <w:r w:rsidRPr="00DF2B0D">
        <w:fldChar w:fldCharType="separate"/>
      </w:r>
      <w:r w:rsidR="000A4126" w:rsidRPr="000A4126">
        <w:rPr>
          <w:noProof/>
          <w:vertAlign w:val="superscript"/>
        </w:rPr>
        <w:t>57–59</w:t>
      </w:r>
      <w:r w:rsidRPr="00DF2B0D">
        <w:fldChar w:fldCharType="end"/>
      </w:r>
      <w:r w:rsidRPr="00DF2B0D">
        <w:t xml:space="preserve"> However, the phase transition in modulated </w:t>
      </w:r>
      <w:r w:rsidR="00224E9F" w:rsidRPr="00DF2B0D">
        <w:t>structure</w:t>
      </w:r>
      <w:r w:rsidR="00335BD8" w:rsidRPr="00DF2B0D">
        <w:t>s</w:t>
      </w:r>
      <w:r w:rsidR="00224E9F" w:rsidRPr="00DF2B0D">
        <w:t xml:space="preserve"> at elevated temperature has been overlooked. The proposed phase diagram highlights the complexity of structural variation in the modulated system</w:t>
      </w:r>
      <w:r w:rsidR="00532670">
        <w:t xml:space="preserve"> </w:t>
      </w:r>
      <w:r w:rsidR="00224E9F" w:rsidRPr="00DF2B0D">
        <w:t xml:space="preserve">and calls for future investigation. </w:t>
      </w:r>
    </w:p>
    <w:bookmarkEnd w:id="50"/>
    <w:p w14:paraId="14615C86" w14:textId="25B13FE7" w:rsidR="0055717F" w:rsidRPr="00DF2B0D" w:rsidRDefault="0042014A" w:rsidP="0055717F">
      <w:pPr>
        <w:pStyle w:val="Heading2"/>
      </w:pPr>
      <w:r>
        <w:t xml:space="preserve">Capturing </w:t>
      </w:r>
      <w:r w:rsidR="0055717F">
        <w:t xml:space="preserve">the local oxygen structure with </w:t>
      </w:r>
      <w:r w:rsidR="0055717F" w:rsidRPr="00A74783">
        <w:rPr>
          <w:vertAlign w:val="superscript"/>
        </w:rPr>
        <w:t>17</w:t>
      </w:r>
      <w:r w:rsidR="0055717F">
        <w:t xml:space="preserve">O MAS NMR spectroscopy </w:t>
      </w:r>
    </w:p>
    <w:p w14:paraId="76274696" w14:textId="5470BA92" w:rsidR="0055717F" w:rsidRDefault="0055717F" w:rsidP="0055717F">
      <w:pPr>
        <w:rPr>
          <w:szCs w:val="24"/>
        </w:rPr>
      </w:pPr>
      <w:r w:rsidRPr="00170B4B">
        <w:rPr>
          <w:szCs w:val="24"/>
          <w:vertAlign w:val="superscript"/>
        </w:rPr>
        <w:t>17</w:t>
      </w:r>
      <w:r>
        <w:rPr>
          <w:szCs w:val="24"/>
        </w:rPr>
        <w:t xml:space="preserve">O </w:t>
      </w:r>
      <w:r w:rsidRPr="00A74783">
        <w:rPr>
          <w:szCs w:val="24"/>
        </w:rPr>
        <w:t>solid state NMR</w:t>
      </w:r>
      <w:r w:rsidRPr="00E64B37">
        <w:rPr>
          <w:szCs w:val="24"/>
        </w:rPr>
        <w:t xml:space="preserve"> </w:t>
      </w:r>
      <w:r>
        <w:rPr>
          <w:szCs w:val="24"/>
        </w:rPr>
        <w:t xml:space="preserve">was used to provide further insights into </w:t>
      </w:r>
      <w:r w:rsidRPr="00E64B37">
        <w:rPr>
          <w:szCs w:val="24"/>
        </w:rPr>
        <w:t xml:space="preserve">the local </w:t>
      </w:r>
      <w:r>
        <w:rPr>
          <w:szCs w:val="24"/>
        </w:rPr>
        <w:t xml:space="preserve">oxygen </w:t>
      </w:r>
      <w:r w:rsidRPr="00E64B37">
        <w:rPr>
          <w:szCs w:val="24"/>
        </w:rPr>
        <w:t>environment</w:t>
      </w:r>
      <w:r>
        <w:rPr>
          <w:szCs w:val="24"/>
        </w:rPr>
        <w:t xml:space="preserve"> and the oxide ion mobilities of these complex </w:t>
      </w:r>
      <w:r w:rsidRPr="00A74783">
        <w:rPr>
          <w:szCs w:val="24"/>
        </w:rPr>
        <w:t xml:space="preserve">crystal </w:t>
      </w:r>
      <w:r w:rsidRPr="00E64B37">
        <w:rPr>
          <w:szCs w:val="24"/>
        </w:rPr>
        <w:t xml:space="preserve">structures. </w:t>
      </w:r>
      <w:r w:rsidRPr="00E64B37">
        <w:rPr>
          <w:szCs w:val="24"/>
          <w:lang w:val="en-US"/>
        </w:rPr>
        <w:t xml:space="preserve">Due to the very low natural </w:t>
      </w:r>
      <w:r w:rsidRPr="00E64B37">
        <w:rPr>
          <w:szCs w:val="24"/>
          <w:lang w:val="en-US"/>
        </w:rPr>
        <w:lastRenderedPageBreak/>
        <w:t xml:space="preserve">abundance of </w:t>
      </w:r>
      <w:r w:rsidRPr="00DB32C6">
        <w:rPr>
          <w:szCs w:val="24"/>
          <w:vertAlign w:val="superscript"/>
          <w:lang w:val="en-US"/>
        </w:rPr>
        <w:t>17</w:t>
      </w:r>
      <w:r w:rsidRPr="00DB32C6">
        <w:rPr>
          <w:szCs w:val="24"/>
          <w:lang w:val="en-US"/>
        </w:rPr>
        <w:t>O (0.037 %), the only NMR active isotope of oxygen, both LaNbO</w:t>
      </w:r>
      <w:r w:rsidRPr="00DB32C6">
        <w:rPr>
          <w:szCs w:val="24"/>
          <w:vertAlign w:val="subscript"/>
          <w:lang w:val="en-US"/>
        </w:rPr>
        <w:t>4</w:t>
      </w:r>
      <w:r w:rsidRPr="00DB32C6">
        <w:rPr>
          <w:szCs w:val="24"/>
          <w:lang w:val="en-US"/>
        </w:rPr>
        <w:t xml:space="preserve"> and </w:t>
      </w:r>
      <w:r w:rsidRPr="00391AF4">
        <w:rPr>
          <w:szCs w:val="24"/>
        </w:rPr>
        <w:t>LaNb</w:t>
      </w:r>
      <w:r w:rsidRPr="00391AF4">
        <w:rPr>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8666E0">
        <w:rPr>
          <w:szCs w:val="24"/>
        </w:rPr>
        <w:t xml:space="preserve"> samples were enriched in </w:t>
      </w:r>
      <w:r w:rsidRPr="008666E0">
        <w:rPr>
          <w:szCs w:val="24"/>
          <w:vertAlign w:val="superscript"/>
        </w:rPr>
        <w:t>17</w:t>
      </w:r>
      <w:r w:rsidRPr="00255C5A">
        <w:rPr>
          <w:szCs w:val="24"/>
        </w:rPr>
        <w:t xml:space="preserve">O by a gas solid exchange reaction with </w:t>
      </w:r>
      <w:r w:rsidRPr="00255C5A">
        <w:rPr>
          <w:szCs w:val="24"/>
          <w:vertAlign w:val="superscript"/>
        </w:rPr>
        <w:t>17</w:t>
      </w:r>
      <w:r w:rsidRPr="00255C5A">
        <w:rPr>
          <w:szCs w:val="24"/>
        </w:rPr>
        <w:t>O enriched O</w:t>
      </w:r>
      <w:r w:rsidRPr="00255C5A">
        <w:rPr>
          <w:szCs w:val="24"/>
          <w:vertAlign w:val="subscript"/>
        </w:rPr>
        <w:t>2</w:t>
      </w:r>
      <w:r w:rsidRPr="00255C5A">
        <w:rPr>
          <w:szCs w:val="24"/>
        </w:rPr>
        <w:t xml:space="preserve"> gas at 1000 °C prior to acquisition of the </w:t>
      </w:r>
      <w:r w:rsidRPr="00255C5A">
        <w:rPr>
          <w:szCs w:val="24"/>
          <w:vertAlign w:val="superscript"/>
        </w:rPr>
        <w:t>17</w:t>
      </w:r>
      <w:r w:rsidRPr="00255C5A">
        <w:rPr>
          <w:szCs w:val="24"/>
        </w:rPr>
        <w:t>O NMR data.</w:t>
      </w:r>
      <w:r w:rsidRPr="00E64B37">
        <w:rPr>
          <w:szCs w:val="24"/>
        </w:rPr>
        <w:t xml:space="preserve"> The XRD powder patterns (</w:t>
      </w:r>
      <w:r>
        <w:rPr>
          <w:szCs w:val="24"/>
        </w:rPr>
        <w:t>Figure S</w:t>
      </w:r>
      <w:r w:rsidR="00B50AC7">
        <w:rPr>
          <w:szCs w:val="24"/>
        </w:rPr>
        <w:t>10</w:t>
      </w:r>
      <w:r w:rsidRPr="00E64B37">
        <w:rPr>
          <w:szCs w:val="24"/>
        </w:rPr>
        <w:t xml:space="preserve">) are </w:t>
      </w:r>
      <w:proofErr w:type="gramStart"/>
      <w:r w:rsidRPr="00E64B37">
        <w:rPr>
          <w:szCs w:val="24"/>
        </w:rPr>
        <w:t>similar to</w:t>
      </w:r>
      <w:proofErr w:type="gramEnd"/>
      <w:r w:rsidRPr="00E64B37">
        <w:rPr>
          <w:szCs w:val="24"/>
        </w:rPr>
        <w:t xml:space="preserve"> the ones obtained for the parent </w:t>
      </w:r>
      <w:r w:rsidRPr="00E64B37">
        <w:rPr>
          <w:szCs w:val="24"/>
          <w:lang w:val="en-US"/>
        </w:rPr>
        <w:t>LaNbO</w:t>
      </w:r>
      <w:r w:rsidRPr="00E64B37">
        <w:rPr>
          <w:szCs w:val="24"/>
          <w:vertAlign w:val="subscript"/>
          <w:lang w:val="en-US"/>
        </w:rPr>
        <w:t>4</w:t>
      </w:r>
      <w:r w:rsidRPr="00E64B37">
        <w:rPr>
          <w:szCs w:val="24"/>
          <w:lang w:val="en-US"/>
        </w:rPr>
        <w:t xml:space="preserve"> and </w:t>
      </w:r>
      <w:r w:rsidRPr="00E64B37">
        <w:rPr>
          <w:szCs w:val="24"/>
        </w:rPr>
        <w:t>LaNb</w:t>
      </w:r>
      <w:r w:rsidRPr="00E64B37">
        <w:rPr>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E64B37">
        <w:rPr>
          <w:szCs w:val="24"/>
        </w:rPr>
        <w:t xml:space="preserve"> materials showing that the additional heat treatment in the </w:t>
      </w:r>
      <w:r w:rsidRPr="00E64B37">
        <w:rPr>
          <w:szCs w:val="24"/>
          <w:vertAlign w:val="superscript"/>
        </w:rPr>
        <w:t>17</w:t>
      </w:r>
      <w:r w:rsidRPr="00E64B37">
        <w:rPr>
          <w:szCs w:val="24"/>
        </w:rPr>
        <w:t>O gas at 1000 °C did</w:t>
      </w:r>
      <w:r w:rsidRPr="00DB32C6">
        <w:rPr>
          <w:szCs w:val="24"/>
        </w:rPr>
        <w:t xml:space="preserve"> not affect the </w:t>
      </w:r>
      <w:r w:rsidRPr="00391AF4">
        <w:rPr>
          <w:szCs w:val="24"/>
        </w:rPr>
        <w:t>crystal structure</w:t>
      </w:r>
      <w:r>
        <w:rPr>
          <w:szCs w:val="24"/>
        </w:rPr>
        <w:t>s</w:t>
      </w:r>
      <w:r w:rsidRPr="00E64B37">
        <w:rPr>
          <w:szCs w:val="24"/>
        </w:rPr>
        <w:t>.</w:t>
      </w:r>
      <w:r w:rsidRPr="00137BFA">
        <w:rPr>
          <w:szCs w:val="24"/>
        </w:rPr>
        <w:t xml:space="preserve"> </w:t>
      </w:r>
    </w:p>
    <w:p w14:paraId="5BCBD463" w14:textId="63AE9808" w:rsidR="0055717F" w:rsidRDefault="0055717F" w:rsidP="0055717F">
      <w:pPr>
        <w:rPr>
          <w:szCs w:val="24"/>
        </w:rPr>
      </w:pPr>
      <w:r w:rsidRPr="00137BFA">
        <w:rPr>
          <w:szCs w:val="24"/>
        </w:rPr>
        <w:t xml:space="preserve">The </w:t>
      </w:r>
      <w:r w:rsidRPr="00137BFA">
        <w:rPr>
          <w:szCs w:val="24"/>
          <w:vertAlign w:val="superscript"/>
        </w:rPr>
        <w:t>17</w:t>
      </w:r>
      <w:r w:rsidRPr="00137BFA">
        <w:rPr>
          <w:szCs w:val="24"/>
        </w:rPr>
        <w:t xml:space="preserve">O MAS NMR spectrum of </w:t>
      </w:r>
      <w:r w:rsidRPr="00137BFA">
        <w:rPr>
          <w:szCs w:val="24"/>
          <w:vertAlign w:val="superscript"/>
        </w:rPr>
        <w:t>17</w:t>
      </w:r>
      <w:r w:rsidRPr="00137BFA">
        <w:rPr>
          <w:szCs w:val="24"/>
        </w:rPr>
        <w:t>O enriched LaNbO</w:t>
      </w:r>
      <w:r w:rsidRPr="00137BFA">
        <w:rPr>
          <w:szCs w:val="24"/>
          <w:vertAlign w:val="subscript"/>
        </w:rPr>
        <w:t>4</w:t>
      </w:r>
      <w:r w:rsidRPr="00137BFA">
        <w:rPr>
          <w:szCs w:val="24"/>
        </w:rPr>
        <w:t xml:space="preserve"> is shown in </w:t>
      </w:r>
      <w:r w:rsidR="00E824CC">
        <w:rPr>
          <w:bCs/>
          <w:szCs w:val="24"/>
          <w:lang w:val="en-US"/>
        </w:rPr>
        <w:fldChar w:fldCharType="begin"/>
      </w:r>
      <w:r w:rsidR="00E824CC">
        <w:rPr>
          <w:bCs/>
          <w:szCs w:val="24"/>
          <w:lang w:val="en-US"/>
        </w:rPr>
        <w:instrText xml:space="preserve"> REF _Ref21008868 \h </w:instrText>
      </w:r>
      <w:r w:rsidR="00E824CC">
        <w:rPr>
          <w:bCs/>
          <w:szCs w:val="24"/>
          <w:lang w:val="en-US"/>
        </w:rPr>
      </w:r>
      <w:r w:rsidR="00E824CC">
        <w:rPr>
          <w:bCs/>
          <w:szCs w:val="24"/>
          <w:lang w:val="en-US"/>
        </w:rPr>
        <w:fldChar w:fldCharType="separate"/>
      </w:r>
      <w:r w:rsidR="00564E5A">
        <w:t xml:space="preserve">Figure </w:t>
      </w:r>
      <w:r w:rsidR="00564E5A">
        <w:rPr>
          <w:noProof/>
        </w:rPr>
        <w:t>12</w:t>
      </w:r>
      <w:r w:rsidR="00E824CC">
        <w:rPr>
          <w:bCs/>
          <w:szCs w:val="24"/>
          <w:lang w:val="en-US"/>
        </w:rPr>
        <w:fldChar w:fldCharType="end"/>
      </w:r>
      <w:r w:rsidR="00E824CC" w:rsidDel="00E824CC">
        <w:rPr>
          <w:bCs/>
          <w:szCs w:val="24"/>
        </w:rPr>
        <w:t xml:space="preserve"> </w:t>
      </w:r>
      <w:r w:rsidRPr="00137BFA">
        <w:rPr>
          <w:szCs w:val="24"/>
        </w:rPr>
        <w:t>(and</w:t>
      </w:r>
      <w:r w:rsidRPr="00137BFA">
        <w:rPr>
          <w:b/>
          <w:szCs w:val="24"/>
        </w:rPr>
        <w:t xml:space="preserve"> </w:t>
      </w:r>
      <w:r w:rsidRPr="00170B4B">
        <w:rPr>
          <w:bCs/>
          <w:szCs w:val="24"/>
        </w:rPr>
        <w:t xml:space="preserve">Figure </w:t>
      </w:r>
      <w:r>
        <w:rPr>
          <w:bCs/>
          <w:szCs w:val="24"/>
        </w:rPr>
        <w:t>S</w:t>
      </w:r>
      <w:r w:rsidR="00220F07">
        <w:rPr>
          <w:bCs/>
          <w:szCs w:val="24"/>
        </w:rPr>
        <w:t>1</w:t>
      </w:r>
      <w:r w:rsidR="000D1BE1">
        <w:rPr>
          <w:bCs/>
          <w:szCs w:val="24"/>
        </w:rPr>
        <w:t>1</w:t>
      </w:r>
      <w:r w:rsidRPr="00137BFA">
        <w:rPr>
          <w:szCs w:val="24"/>
        </w:rPr>
        <w:t xml:space="preserve"> for full</w:t>
      </w:r>
      <w:r w:rsidR="000D1BE1">
        <w:rPr>
          <w:szCs w:val="24"/>
        </w:rPr>
        <w:t xml:space="preserve"> spectral</w:t>
      </w:r>
      <w:r w:rsidRPr="00137BFA">
        <w:rPr>
          <w:szCs w:val="24"/>
        </w:rPr>
        <w:t xml:space="preserve"> width) and displays two well separated resonances at 442 </w:t>
      </w:r>
      <w:r>
        <w:rPr>
          <w:szCs w:val="24"/>
        </w:rPr>
        <w:t>(~</w:t>
      </w:r>
      <w:r w:rsidRPr="00137BFA">
        <w:rPr>
          <w:szCs w:val="24"/>
        </w:rPr>
        <w:t xml:space="preserve">1.5 kHz </w:t>
      </w:r>
      <w:r>
        <w:rPr>
          <w:szCs w:val="24"/>
        </w:rPr>
        <w:t xml:space="preserve">broad) </w:t>
      </w:r>
      <w:r w:rsidRPr="00137BFA">
        <w:rPr>
          <w:szCs w:val="24"/>
        </w:rPr>
        <w:t xml:space="preserve">and 564 </w:t>
      </w:r>
      <w:r w:rsidRPr="00137BFA">
        <w:rPr>
          <w:szCs w:val="24"/>
          <w:lang w:val="en-US"/>
        </w:rPr>
        <w:t>(</w:t>
      </w:r>
      <w:r>
        <w:rPr>
          <w:szCs w:val="24"/>
        </w:rPr>
        <w:t>~</w:t>
      </w:r>
      <w:r w:rsidRPr="00137BFA">
        <w:rPr>
          <w:szCs w:val="24"/>
        </w:rPr>
        <w:t>1.3 kHz</w:t>
      </w:r>
      <w:r>
        <w:rPr>
          <w:szCs w:val="24"/>
        </w:rPr>
        <w:t>)</w:t>
      </w:r>
      <w:r>
        <w:rPr>
          <w:szCs w:val="24"/>
          <w:lang w:val="en-US"/>
        </w:rPr>
        <w:t xml:space="preserve"> </w:t>
      </w:r>
      <w:r w:rsidRPr="00137BFA">
        <w:rPr>
          <w:szCs w:val="24"/>
        </w:rPr>
        <w:t xml:space="preserve">ppm </w:t>
      </w:r>
      <w:r w:rsidR="00D409F3">
        <w:rPr>
          <w:szCs w:val="24"/>
        </w:rPr>
        <w:t>with</w:t>
      </w:r>
      <w:r w:rsidR="00D409F3" w:rsidRPr="00137BFA">
        <w:rPr>
          <w:szCs w:val="24"/>
        </w:rPr>
        <w:t xml:space="preserve"> </w:t>
      </w:r>
      <w:r w:rsidRPr="00137BFA">
        <w:rPr>
          <w:szCs w:val="24"/>
        </w:rPr>
        <w:t>an approximately 1:1 intensity ratio (along with a number of spinning sidebands arising from the satellite transition</w:t>
      </w:r>
      <w:r>
        <w:rPr>
          <w:szCs w:val="24"/>
        </w:rPr>
        <w:t>s</w:t>
      </w:r>
      <w:r w:rsidRPr="00137BFA">
        <w:rPr>
          <w:szCs w:val="24"/>
        </w:rPr>
        <w:t xml:space="preserve"> of this</w:t>
      </w:r>
      <w:r>
        <w:rPr>
          <w:szCs w:val="24"/>
        </w:rPr>
        <w:t xml:space="preserve"> </w:t>
      </w:r>
      <w:r w:rsidRPr="00137BFA">
        <w:rPr>
          <w:szCs w:val="24"/>
        </w:rPr>
        <w:t>spin 5/2</w:t>
      </w:r>
      <w:r>
        <w:rPr>
          <w:szCs w:val="24"/>
        </w:rPr>
        <w:t xml:space="preserve"> nucleus</w:t>
      </w:r>
      <w:r w:rsidRPr="00137BFA">
        <w:rPr>
          <w:szCs w:val="24"/>
        </w:rPr>
        <w:t>)</w:t>
      </w:r>
      <w:r w:rsidR="00D409F3">
        <w:rPr>
          <w:szCs w:val="24"/>
        </w:rPr>
        <w:t>,</w:t>
      </w:r>
      <w:r w:rsidRPr="00137BFA">
        <w:rPr>
          <w:szCs w:val="24"/>
        </w:rPr>
        <w:t xml:space="preserve"> in agreement with </w:t>
      </w:r>
      <w:r w:rsidR="00D409F3">
        <w:rPr>
          <w:szCs w:val="24"/>
        </w:rPr>
        <w:t xml:space="preserve">the </w:t>
      </w:r>
      <w:r w:rsidRPr="00137BFA">
        <w:rPr>
          <w:szCs w:val="24"/>
        </w:rPr>
        <w:t xml:space="preserve">two oxygen crystallographic sites O1 and O2 in </w:t>
      </w:r>
      <w:r w:rsidRPr="00137BFA">
        <w:rPr>
          <w:szCs w:val="24"/>
          <w:lang w:val="en-US"/>
        </w:rPr>
        <w:t>m</w:t>
      </w:r>
      <w:r>
        <w:rPr>
          <w:szCs w:val="24"/>
          <w:lang w:val="en-US"/>
        </w:rPr>
        <w:t xml:space="preserve">onoclinic </w:t>
      </w:r>
      <w:r w:rsidRPr="00137BFA">
        <w:rPr>
          <w:szCs w:val="24"/>
          <w:lang w:val="en-US"/>
        </w:rPr>
        <w:t>LaNbO</w:t>
      </w:r>
      <w:r w:rsidRPr="00137BFA">
        <w:rPr>
          <w:szCs w:val="24"/>
          <w:vertAlign w:val="subscript"/>
          <w:lang w:val="en-US"/>
        </w:rPr>
        <w:t>4</w:t>
      </w:r>
      <w:r w:rsidRPr="00137BFA">
        <w:rPr>
          <w:szCs w:val="24"/>
          <w:lang w:val="en-US"/>
        </w:rPr>
        <w:t xml:space="preserve">. </w:t>
      </w:r>
      <w:r>
        <w:rPr>
          <w:szCs w:val="24"/>
          <w:lang w:val="en-US"/>
        </w:rPr>
        <w:t>T</w:t>
      </w:r>
      <w:r w:rsidRPr="00137BFA">
        <w:rPr>
          <w:szCs w:val="24"/>
          <w:lang w:val="en-US"/>
        </w:rPr>
        <w:t xml:space="preserve">he shorter bond distance between Nb and O2 (1.844 Å) </w:t>
      </w:r>
      <w:r>
        <w:rPr>
          <w:szCs w:val="24"/>
          <w:lang w:val="en-US"/>
        </w:rPr>
        <w:t>than between</w:t>
      </w:r>
      <w:r w:rsidRPr="00137BFA">
        <w:rPr>
          <w:szCs w:val="24"/>
          <w:lang w:val="en-US"/>
        </w:rPr>
        <w:t xml:space="preserve"> Nb and O1 (1.903 Å) </w:t>
      </w:r>
      <w:r>
        <w:rPr>
          <w:szCs w:val="24"/>
          <w:lang w:val="en-US"/>
        </w:rPr>
        <w:t>yields</w:t>
      </w:r>
      <w:r w:rsidRPr="00137BFA">
        <w:rPr>
          <w:szCs w:val="24"/>
          <w:lang w:val="en-US"/>
        </w:rPr>
        <w:t xml:space="preserve"> </w:t>
      </w:r>
      <w:r>
        <w:rPr>
          <w:szCs w:val="24"/>
          <w:lang w:val="en-US"/>
        </w:rPr>
        <w:t xml:space="preserve">a </w:t>
      </w:r>
      <w:r w:rsidRPr="00137BFA">
        <w:rPr>
          <w:szCs w:val="24"/>
          <w:lang w:val="en-US"/>
        </w:rPr>
        <w:t>larger chemical shielding surrounding the O2 sites than for the O1 sites</w:t>
      </w:r>
      <w:r>
        <w:rPr>
          <w:szCs w:val="24"/>
          <w:lang w:val="en-US"/>
        </w:rPr>
        <w:t xml:space="preserve"> and therefore a smaller shift of the O2 site (442 ppm) than for the O1 sites (564 ppm).</w:t>
      </w:r>
      <w:r w:rsidRPr="00137BFA">
        <w:rPr>
          <w:szCs w:val="24"/>
          <w:lang w:val="en-US"/>
        </w:rPr>
        <w:t xml:space="preserve"> The </w:t>
      </w:r>
      <w:r w:rsidRPr="00137BFA">
        <w:rPr>
          <w:szCs w:val="24"/>
          <w:vertAlign w:val="superscript"/>
          <w:lang w:val="en-US"/>
        </w:rPr>
        <w:t>17</w:t>
      </w:r>
      <w:r w:rsidRPr="00137BFA">
        <w:rPr>
          <w:szCs w:val="24"/>
          <w:lang w:val="en-US"/>
        </w:rPr>
        <w:t>O TQMAS experiment</w:t>
      </w:r>
      <w:r>
        <w:rPr>
          <w:szCs w:val="24"/>
          <w:lang w:val="en-US"/>
        </w:rPr>
        <w:fldChar w:fldCharType="begin" w:fldLock="1"/>
      </w:r>
      <w:r w:rsidR="000A4126">
        <w:rPr>
          <w:szCs w:val="24"/>
          <w:lang w:val="en-US"/>
        </w:rPr>
        <w:instrText>ADDIN CSL_CITATION {"citationItems":[{"id":"ITEM-1","itemData":{"DOI":"10.1006/JMRA.1996.0221","ISSN":"1064-1858","author":[{"dropping-particle":"","family":"Amoureux","given":"Jean-Paul","non-dropping-particle":"","parse-names":false,"suffix":""},{"dropping-particle":"","family":"Fernandez","given":"Christian","non-dropping-particle":"","parse-names":false,"suffix":""},{"dropping-particle":"","family":"Steuernagel","given":"Stefan","non-dropping-particle":"","parse-names":false,"suffix":""}],"container-title":"Journal of Magnetic Resonance, Series A","id":"ITEM-1","issue":"1","issued":{"date-parts":[["1996","11","1"]]},"page":"116-118","publisher":"Academic Press","title":"ZFiltering in MQMAS NMR","type":"article-journal","volume":"123"},"uris":["http://www.mendeley.com/documents/?uuid=fe2b4dd4-8a35-3180-a65a-5dfbc4577336"]}],"mendeley":{"formattedCitation":"&lt;sup&gt;21&lt;/sup&gt;","plainTextFormattedCitation":"21","previouslyFormattedCitation":"&lt;sup&gt;20&lt;/sup&gt;"},"properties":{"noteIndex":0},"schema":"https://github.com/citation-style-language/schema/raw/master/csl-citation.json"}</w:instrText>
      </w:r>
      <w:r>
        <w:rPr>
          <w:szCs w:val="24"/>
          <w:lang w:val="en-US"/>
        </w:rPr>
        <w:fldChar w:fldCharType="separate"/>
      </w:r>
      <w:r w:rsidR="000A4126" w:rsidRPr="000A4126">
        <w:rPr>
          <w:noProof/>
          <w:szCs w:val="24"/>
          <w:vertAlign w:val="superscript"/>
          <w:lang w:val="en-US"/>
        </w:rPr>
        <w:t>21</w:t>
      </w:r>
      <w:r>
        <w:rPr>
          <w:szCs w:val="24"/>
          <w:lang w:val="en-US"/>
        </w:rPr>
        <w:fldChar w:fldCharType="end"/>
      </w:r>
      <w:r>
        <w:rPr>
          <w:szCs w:val="24"/>
          <w:lang w:val="en-US"/>
        </w:rPr>
        <w:t xml:space="preserve"> </w:t>
      </w:r>
      <w:r w:rsidRPr="00137BFA">
        <w:rPr>
          <w:szCs w:val="24"/>
          <w:lang w:val="en-US"/>
        </w:rPr>
        <w:t xml:space="preserve"> (which enables isotropic spectra, i.e. free of anisotropic broadening, of quadrupolar nuclei such as </w:t>
      </w:r>
      <w:r w:rsidRPr="00137BFA">
        <w:rPr>
          <w:szCs w:val="24"/>
          <w:vertAlign w:val="superscript"/>
          <w:lang w:val="en-US"/>
        </w:rPr>
        <w:t>17</w:t>
      </w:r>
      <w:r w:rsidRPr="00137BFA">
        <w:rPr>
          <w:szCs w:val="24"/>
          <w:lang w:val="en-US"/>
        </w:rPr>
        <w:t xml:space="preserve">O to be obtained) is given in </w:t>
      </w:r>
      <w:r w:rsidR="00E824CC">
        <w:rPr>
          <w:szCs w:val="24"/>
        </w:rPr>
        <w:fldChar w:fldCharType="begin"/>
      </w:r>
      <w:r w:rsidR="00E824CC">
        <w:rPr>
          <w:szCs w:val="24"/>
        </w:rPr>
        <w:instrText xml:space="preserve"> REF _Ref21008958 \h </w:instrText>
      </w:r>
      <w:r w:rsidR="00E824CC">
        <w:rPr>
          <w:szCs w:val="24"/>
        </w:rPr>
      </w:r>
      <w:r w:rsidR="00E824CC">
        <w:rPr>
          <w:szCs w:val="24"/>
        </w:rPr>
        <w:fldChar w:fldCharType="separate"/>
      </w:r>
      <w:r w:rsidR="00564E5A">
        <w:t xml:space="preserve">Figure </w:t>
      </w:r>
      <w:r w:rsidR="00564E5A">
        <w:rPr>
          <w:noProof/>
        </w:rPr>
        <w:t>13</w:t>
      </w:r>
      <w:r w:rsidR="00E824CC">
        <w:rPr>
          <w:szCs w:val="24"/>
        </w:rPr>
        <w:fldChar w:fldCharType="end"/>
      </w:r>
      <w:r>
        <w:rPr>
          <w:szCs w:val="24"/>
          <w:lang w:val="en-US"/>
        </w:rPr>
        <w:t xml:space="preserve"> </w:t>
      </w:r>
      <w:r w:rsidRPr="00137BFA">
        <w:rPr>
          <w:szCs w:val="24"/>
        </w:rPr>
        <w:t xml:space="preserve">and allows </w:t>
      </w:r>
      <w:r w:rsidRPr="00137BFA">
        <w:rPr>
          <w:szCs w:val="24"/>
          <w:lang w:val="en-US"/>
        </w:rPr>
        <w:t xml:space="preserve">isotropic chemical shift values of 442 and 564 ppm for the O2 and O1 oxygen sites to be determined. These values are identical to the resonance peak positions given above, implying that virtually no quadrupolar couplings are present and demonstrating that the NMR lines are dominated by chemical shift interactions and not second-order quadrupolar broadenings as anticipated for ionic solids. In this case, the spinning sideband envelope </w:t>
      </w:r>
      <w:r w:rsidRPr="00137BFA">
        <w:rPr>
          <w:szCs w:val="24"/>
        </w:rPr>
        <w:t xml:space="preserve">spreads over approximately 3000 ppm (or 270 kHz at 16.7 T) at room temperature and reflects the large </w:t>
      </w:r>
      <w:r w:rsidRPr="00137BFA">
        <w:rPr>
          <w:szCs w:val="24"/>
          <w:vertAlign w:val="superscript"/>
        </w:rPr>
        <w:t>17</w:t>
      </w:r>
      <w:r w:rsidRPr="00137BFA">
        <w:rPr>
          <w:szCs w:val="24"/>
        </w:rPr>
        <w:t xml:space="preserve">O chemical shift anisotropy (and estimated to be </w:t>
      </w:r>
      <w:r>
        <w:rPr>
          <w:szCs w:val="24"/>
        </w:rPr>
        <w:t>~</w:t>
      </w:r>
      <w:r w:rsidRPr="00137BFA">
        <w:rPr>
          <w:szCs w:val="24"/>
        </w:rPr>
        <w:t xml:space="preserve"> - 1300 ppm). </w:t>
      </w:r>
    </w:p>
    <w:p w14:paraId="30DA6E7A" w14:textId="6D9D5E7B" w:rsidR="001842F1" w:rsidRPr="00255C5A" w:rsidRDefault="0055717F" w:rsidP="00057565">
      <w:pPr>
        <w:rPr>
          <w:rFonts w:cs="Times New Roman"/>
          <w:szCs w:val="24"/>
          <w:lang w:val="en-US"/>
        </w:rPr>
      </w:pPr>
      <w:r w:rsidRPr="00255C5A">
        <w:rPr>
          <w:rFonts w:cs="Times New Roman"/>
          <w:szCs w:val="24"/>
          <w:lang w:val="en-US"/>
        </w:rPr>
        <w:t xml:space="preserve">The high temperature MAS </w:t>
      </w:r>
      <w:r w:rsidRPr="00255C5A">
        <w:rPr>
          <w:rFonts w:cs="Times New Roman"/>
          <w:szCs w:val="24"/>
          <w:vertAlign w:val="superscript"/>
          <w:lang w:val="en-US"/>
        </w:rPr>
        <w:t>17</w:t>
      </w:r>
      <w:r w:rsidRPr="00255C5A">
        <w:rPr>
          <w:rFonts w:cs="Times New Roman"/>
          <w:szCs w:val="24"/>
          <w:lang w:val="en-US"/>
        </w:rPr>
        <w:t xml:space="preserve">O NMR spectra are presented in </w:t>
      </w:r>
      <w:r w:rsidR="00E824CC">
        <w:rPr>
          <w:bCs/>
          <w:szCs w:val="24"/>
          <w:lang w:val="en-US"/>
        </w:rPr>
        <w:fldChar w:fldCharType="begin"/>
      </w:r>
      <w:r w:rsidR="00E824CC">
        <w:rPr>
          <w:bCs/>
          <w:szCs w:val="24"/>
          <w:lang w:val="en-US"/>
        </w:rPr>
        <w:instrText xml:space="preserve"> REF _Ref21008868 \h </w:instrText>
      </w:r>
      <w:r w:rsidR="00E824CC">
        <w:rPr>
          <w:bCs/>
          <w:szCs w:val="24"/>
          <w:lang w:val="en-US"/>
        </w:rPr>
      </w:r>
      <w:r w:rsidR="00E824CC">
        <w:rPr>
          <w:bCs/>
          <w:szCs w:val="24"/>
          <w:lang w:val="en-US"/>
        </w:rPr>
        <w:fldChar w:fldCharType="separate"/>
      </w:r>
      <w:r w:rsidR="00564E5A">
        <w:t xml:space="preserve">Figure </w:t>
      </w:r>
      <w:r w:rsidR="00564E5A">
        <w:rPr>
          <w:noProof/>
        </w:rPr>
        <w:t>12</w:t>
      </w:r>
      <w:r w:rsidR="00E824CC">
        <w:rPr>
          <w:bCs/>
          <w:szCs w:val="24"/>
          <w:lang w:val="en-US"/>
        </w:rPr>
        <w:fldChar w:fldCharType="end"/>
      </w:r>
      <w:r w:rsidRPr="00255C5A">
        <w:rPr>
          <w:rFonts w:cs="Times New Roman"/>
          <w:szCs w:val="24"/>
          <w:lang w:val="en-US"/>
        </w:rPr>
        <w:t xml:space="preserve"> and were obtained under different MAS rates as different NMR probes were used depending on the required temperature and the MAS NMR probe capabilities (see experimental section for further details). Upon increasing the temperature </w:t>
      </w:r>
      <w:r w:rsidRPr="002D2817">
        <w:rPr>
          <w:rFonts w:cs="Times New Roman"/>
          <w:szCs w:val="24"/>
        </w:rPr>
        <w:t xml:space="preserve">to </w:t>
      </w:r>
      <w:r w:rsidR="00D9367B">
        <w:rPr>
          <w:rFonts w:cs="Times New Roman"/>
          <w:szCs w:val="24"/>
        </w:rPr>
        <w:t>about 500 °C</w:t>
      </w:r>
      <w:r w:rsidRPr="002D2817">
        <w:rPr>
          <w:rFonts w:cs="Times New Roman"/>
          <w:szCs w:val="24"/>
        </w:rPr>
        <w:t xml:space="preserve"> under MAS, both Nb-O1 and Nb-O2 resonances </w:t>
      </w:r>
      <w:r w:rsidR="00D9367B">
        <w:rPr>
          <w:rFonts w:cs="Times New Roman"/>
          <w:szCs w:val="24"/>
        </w:rPr>
        <w:t>of monoclinic LaNbO</w:t>
      </w:r>
      <w:r w:rsidR="00D9367B" w:rsidRPr="00057565">
        <w:rPr>
          <w:rFonts w:cs="Times New Roman"/>
          <w:szCs w:val="24"/>
          <w:vertAlign w:val="subscript"/>
        </w:rPr>
        <w:t>4</w:t>
      </w:r>
      <w:r w:rsidR="00D9367B">
        <w:rPr>
          <w:rFonts w:cs="Times New Roman"/>
          <w:szCs w:val="24"/>
        </w:rPr>
        <w:t xml:space="preserve"> phase </w:t>
      </w:r>
      <w:r w:rsidRPr="002D2817">
        <w:rPr>
          <w:rFonts w:cs="Times New Roman"/>
          <w:szCs w:val="24"/>
        </w:rPr>
        <w:t>converge almost linearly (at a rate of ~0.0</w:t>
      </w:r>
      <w:r w:rsidR="00E50546">
        <w:rPr>
          <w:rFonts w:cs="Times New Roman"/>
          <w:szCs w:val="24"/>
        </w:rPr>
        <w:t>7</w:t>
      </w:r>
      <w:r w:rsidRPr="002D2817">
        <w:rPr>
          <w:rFonts w:cs="Times New Roman"/>
          <w:szCs w:val="24"/>
        </w:rPr>
        <w:t xml:space="preserve"> ppm/°C for Nb-O1 and ~0.1</w:t>
      </w:r>
      <w:r w:rsidR="00E50546">
        <w:rPr>
          <w:rFonts w:cs="Times New Roman"/>
          <w:szCs w:val="24"/>
        </w:rPr>
        <w:t>4</w:t>
      </w:r>
      <w:r w:rsidRPr="002D2817">
        <w:rPr>
          <w:rFonts w:cs="Times New Roman"/>
          <w:szCs w:val="24"/>
        </w:rPr>
        <w:t xml:space="preserve"> ppm/°C for Nb-O2)</w:t>
      </w:r>
      <w:r w:rsidRPr="002D2817">
        <w:rPr>
          <w:rFonts w:cs="Times New Roman"/>
          <w:szCs w:val="24"/>
          <w:lang w:val="en-US"/>
        </w:rPr>
        <w:t xml:space="preserve"> </w:t>
      </w:r>
      <w:r w:rsidRPr="002D2817">
        <w:rPr>
          <w:rFonts w:cs="Times New Roman"/>
          <w:szCs w:val="24"/>
        </w:rPr>
        <w:t>towards a value of ~520 ppm (close to the average shift value for the Nb-O1 and Nb-O2 peaks at 503 ppm)</w:t>
      </w:r>
      <w:r w:rsidR="00E00ACC">
        <w:rPr>
          <w:rFonts w:cs="Times New Roman"/>
          <w:szCs w:val="24"/>
        </w:rPr>
        <w:t>. Extrapolation of the data</w:t>
      </w:r>
      <w:r w:rsidR="00EB5BB2">
        <w:rPr>
          <w:rFonts w:cs="Times New Roman"/>
          <w:szCs w:val="24"/>
        </w:rPr>
        <w:t xml:space="preserve"> between room temperature and 500 °C</w:t>
      </w:r>
      <w:r w:rsidR="00E00ACC">
        <w:rPr>
          <w:rFonts w:cs="Times New Roman"/>
          <w:szCs w:val="24"/>
        </w:rPr>
        <w:t xml:space="preserve"> yields an anticipated</w:t>
      </w:r>
      <w:r w:rsidRPr="002D2817">
        <w:rPr>
          <w:rFonts w:cs="Times New Roman"/>
          <w:szCs w:val="24"/>
        </w:rPr>
        <w:t xml:space="preserve"> </w:t>
      </w:r>
      <w:r w:rsidR="004160A7">
        <w:rPr>
          <w:rFonts w:cs="Times New Roman"/>
          <w:szCs w:val="24"/>
        </w:rPr>
        <w:t xml:space="preserve">convergence </w:t>
      </w:r>
      <w:r w:rsidR="00E00ACC">
        <w:rPr>
          <w:rFonts w:cs="Times New Roman"/>
          <w:szCs w:val="24"/>
        </w:rPr>
        <w:t xml:space="preserve">to </w:t>
      </w:r>
      <w:r w:rsidRPr="002D2817">
        <w:rPr>
          <w:rFonts w:cs="Times New Roman"/>
          <w:szCs w:val="24"/>
        </w:rPr>
        <w:t>occur at ~</w:t>
      </w:r>
      <w:r w:rsidR="00D9367B">
        <w:rPr>
          <w:rFonts w:cs="Times New Roman"/>
          <w:szCs w:val="24"/>
        </w:rPr>
        <w:t>5</w:t>
      </w:r>
      <w:r w:rsidR="00AE4B9C">
        <w:rPr>
          <w:rFonts w:cs="Times New Roman"/>
          <w:szCs w:val="24"/>
        </w:rPr>
        <w:t>6</w:t>
      </w:r>
      <w:r w:rsidR="00D9367B" w:rsidRPr="001541D9">
        <w:rPr>
          <w:rFonts w:cs="Times New Roman"/>
          <w:szCs w:val="24"/>
        </w:rPr>
        <w:t xml:space="preserve">0 </w:t>
      </w:r>
      <w:r w:rsidRPr="001541D9">
        <w:rPr>
          <w:rFonts w:cs="Times New Roman"/>
          <w:szCs w:val="24"/>
        </w:rPr>
        <w:t>°C</w:t>
      </w:r>
      <w:r w:rsidR="005C09E7">
        <w:rPr>
          <w:rFonts w:cs="Times New Roman"/>
          <w:szCs w:val="24"/>
        </w:rPr>
        <w:t xml:space="preserve"> </w:t>
      </w:r>
      <w:r w:rsidR="003B31AD">
        <w:rPr>
          <w:rFonts w:cs="Times New Roman"/>
          <w:szCs w:val="24"/>
        </w:rPr>
        <w:t xml:space="preserve">which is </w:t>
      </w:r>
      <w:r w:rsidR="005C09E7">
        <w:rPr>
          <w:rFonts w:cs="Times New Roman"/>
          <w:szCs w:val="24"/>
        </w:rPr>
        <w:t xml:space="preserve">in agreement with the </w:t>
      </w:r>
      <w:r w:rsidR="003B31AD" w:rsidRPr="001E2A10">
        <w:rPr>
          <w:rFonts w:cs="Times New Roman"/>
          <w:szCs w:val="24"/>
          <w:vertAlign w:val="superscript"/>
        </w:rPr>
        <w:t>17</w:t>
      </w:r>
      <w:r w:rsidR="003B31AD">
        <w:rPr>
          <w:rFonts w:cs="Times New Roman"/>
          <w:szCs w:val="24"/>
        </w:rPr>
        <w:t>O MAS NMR spectrum</w:t>
      </w:r>
      <w:r w:rsidR="005C09E7">
        <w:rPr>
          <w:rFonts w:cs="Times New Roman"/>
          <w:szCs w:val="24"/>
        </w:rPr>
        <w:t xml:space="preserve"> </w:t>
      </w:r>
      <w:r w:rsidR="003B31AD">
        <w:rPr>
          <w:rFonts w:cs="Times New Roman"/>
          <w:szCs w:val="24"/>
        </w:rPr>
        <w:t xml:space="preserve">collected </w:t>
      </w:r>
      <w:r w:rsidR="005C09E7">
        <w:rPr>
          <w:rFonts w:cs="Times New Roman"/>
          <w:szCs w:val="24"/>
        </w:rPr>
        <w:t>at 605 °C</w:t>
      </w:r>
      <w:r w:rsidR="003B31AD" w:rsidRPr="003B31AD">
        <w:rPr>
          <w:rFonts w:cs="Times New Roman"/>
          <w:szCs w:val="24"/>
        </w:rPr>
        <w:t xml:space="preserve"> </w:t>
      </w:r>
      <w:r w:rsidR="003B31AD">
        <w:rPr>
          <w:rFonts w:cs="Times New Roman"/>
          <w:szCs w:val="24"/>
        </w:rPr>
        <w:t xml:space="preserve">that reveals a single broad resonance at </w:t>
      </w:r>
      <w:r w:rsidR="003B31AD" w:rsidRPr="002D2817">
        <w:rPr>
          <w:rFonts w:cs="Times New Roman"/>
          <w:szCs w:val="24"/>
        </w:rPr>
        <w:t>~5</w:t>
      </w:r>
      <w:r w:rsidR="003B31AD">
        <w:rPr>
          <w:rFonts w:cs="Times New Roman"/>
          <w:szCs w:val="24"/>
        </w:rPr>
        <w:t>15</w:t>
      </w:r>
      <w:r w:rsidR="003B31AD" w:rsidRPr="002D2817">
        <w:rPr>
          <w:rFonts w:cs="Times New Roman"/>
          <w:szCs w:val="24"/>
        </w:rPr>
        <w:t xml:space="preserve"> ppm</w:t>
      </w:r>
      <w:r w:rsidR="003B31AD">
        <w:rPr>
          <w:rFonts w:cs="Times New Roman"/>
          <w:szCs w:val="24"/>
        </w:rPr>
        <w:t xml:space="preserve"> (with a spinning sideband manifold covering </w:t>
      </w:r>
      <w:r w:rsidR="003B31AD" w:rsidRPr="002D2817">
        <w:rPr>
          <w:rFonts w:cs="Times New Roman"/>
          <w:szCs w:val="24"/>
        </w:rPr>
        <w:t>~</w:t>
      </w:r>
      <w:r w:rsidR="003B31AD">
        <w:rPr>
          <w:rFonts w:cs="Times New Roman"/>
          <w:szCs w:val="24"/>
        </w:rPr>
        <w:t xml:space="preserve">1200 ppm). </w:t>
      </w:r>
      <w:r>
        <w:rPr>
          <w:rFonts w:cs="Times New Roman"/>
          <w:szCs w:val="24"/>
        </w:rPr>
        <w:t>Th</w:t>
      </w:r>
      <w:r w:rsidR="00EB5BB2">
        <w:rPr>
          <w:rFonts w:cs="Times New Roman"/>
          <w:szCs w:val="24"/>
        </w:rPr>
        <w:t>is</w:t>
      </w:r>
      <w:r>
        <w:rPr>
          <w:rFonts w:cs="Times New Roman"/>
          <w:szCs w:val="24"/>
        </w:rPr>
        <w:t xml:space="preserve"> </w:t>
      </w:r>
      <w:r>
        <w:rPr>
          <w:rFonts w:cs="Times New Roman"/>
          <w:szCs w:val="24"/>
        </w:rPr>
        <w:lastRenderedPageBreak/>
        <w:t xml:space="preserve">temperature-dependent gradual change of the NMR shifts </w:t>
      </w:r>
      <w:r w:rsidR="00AE4B9C">
        <w:rPr>
          <w:rFonts w:cs="Times New Roman"/>
          <w:szCs w:val="24"/>
        </w:rPr>
        <w:t>in monoclinic LaNbO</w:t>
      </w:r>
      <w:r w:rsidR="00AE4B9C" w:rsidRPr="00057565">
        <w:rPr>
          <w:rFonts w:cs="Times New Roman"/>
          <w:szCs w:val="24"/>
          <w:vertAlign w:val="subscript"/>
        </w:rPr>
        <w:t>4</w:t>
      </w:r>
      <w:r w:rsidR="00AE4B9C">
        <w:rPr>
          <w:rFonts w:cs="Times New Roman"/>
          <w:szCs w:val="24"/>
        </w:rPr>
        <w:t xml:space="preserve"> </w:t>
      </w:r>
      <w:r>
        <w:rPr>
          <w:rFonts w:cs="Times New Roman"/>
          <w:szCs w:val="24"/>
        </w:rPr>
        <w:t>is in</w:t>
      </w:r>
      <w:r w:rsidR="003B31AD">
        <w:rPr>
          <w:rFonts w:cs="Times New Roman"/>
          <w:szCs w:val="24"/>
        </w:rPr>
        <w:t>duced</w:t>
      </w:r>
      <w:r>
        <w:rPr>
          <w:rFonts w:cs="Times New Roman"/>
          <w:szCs w:val="24"/>
        </w:rPr>
        <w:t xml:space="preserve"> </w:t>
      </w:r>
      <w:r w:rsidR="003B31AD">
        <w:rPr>
          <w:rFonts w:cs="Times New Roman"/>
          <w:szCs w:val="24"/>
        </w:rPr>
        <w:t>by</w:t>
      </w:r>
      <w:r>
        <w:rPr>
          <w:rFonts w:cs="Times New Roman"/>
          <w:szCs w:val="24"/>
        </w:rPr>
        <w:t xml:space="preserve"> </w:t>
      </w:r>
      <w:r w:rsidR="003B31AD">
        <w:rPr>
          <w:rFonts w:cs="Times New Roman"/>
          <w:szCs w:val="24"/>
        </w:rPr>
        <w:t>the</w:t>
      </w:r>
      <w:r>
        <w:rPr>
          <w:rFonts w:cs="Times New Roman"/>
          <w:szCs w:val="24"/>
        </w:rPr>
        <w:t xml:space="preserve"> second-order phase transition </w:t>
      </w:r>
      <w:r w:rsidRPr="00DF2B0D">
        <w:t>between the low temperature monoclinic and high temperature tetragonal phase in rare earth niobates</w:t>
      </w:r>
      <w:r>
        <w:t xml:space="preserve"> (about </w:t>
      </w:r>
      <w:r w:rsidR="00D9367B">
        <w:t>495-</w:t>
      </w:r>
      <w:r>
        <w:t>5</w:t>
      </w:r>
      <w:r w:rsidR="00D9367B">
        <w:t>2</w:t>
      </w:r>
      <w:r>
        <w:t>0 °C in LaNbO</w:t>
      </w:r>
      <w:r w:rsidRPr="0097424C">
        <w:rPr>
          <w:vertAlign w:val="subscript"/>
        </w:rPr>
        <w:t>4</w:t>
      </w:r>
      <w:r>
        <w:t>)</w:t>
      </w:r>
      <w:r w:rsidR="003B31AD">
        <w:rPr>
          <w:rFonts w:cs="Times New Roman"/>
          <w:szCs w:val="24"/>
        </w:rPr>
        <w:t>.</w:t>
      </w:r>
      <w:r w:rsidR="003B31AD" w:rsidRPr="00DF2B0D">
        <w:fldChar w:fldCharType="begin" w:fldLock="1"/>
      </w:r>
      <w:r w:rsidR="000A4126">
        <w:instrText>ADDIN CSL_CITATION {"citationItems":[{"id":"ITEM-1","itemData":{"DOI":"10.1111/jace.13095","ISSN":"00027820","author":[{"dropping-particle":"","family":"Sarin","given":"Pankaj","non-dropping-particle":"","parse-names":false,"suffix":""},{"dropping-particle":"","family":"Hughes","given":"Robert W.","non-dropping-particle":"","parse-names":false,"suffix":""},{"dropping-particle":"","family":"Lowry","given":"Daniel R.","non-dropping-particle":"","parse-names":false,"suffix":""},{"dropping-particle":"","family":"Apostolov","given":"Zlatomir D.","non-dropping-particle":"","parse-names":false,"suffix":""},{"dropping-particle":"","family":"Kriven","given":"Waltraud M.","non-dropping-particle":"","parse-names":false,"suffix":""}],"container-title":"Journal of the American Ceramic Society","id":"ITEM-1","issue":"10","issued":{"date-parts":[["2014"]]},"page":"3307-3319","title":"High-Temperature Properties and Ferroelastic Phase Transitions in Rare-Earth Niobates (LnNbO&lt;sub&gt;4&lt;/sub&gt;)","type":"article-journal","volume":"97"},"uris":["http://www.mendeley.com/documents/?uuid=c061f641-69f9-4d66-bef0-145e18103901"]}],"mendeley":{"formattedCitation":"&lt;sup&gt;60&lt;/sup&gt;","plainTextFormattedCitation":"60","previouslyFormattedCitation":"&lt;sup&gt;59&lt;/sup&gt;"},"properties":{"noteIndex":0},"schema":"https://github.com/citation-style-language/schema/raw/master/csl-citation.json"}</w:instrText>
      </w:r>
      <w:r w:rsidR="003B31AD" w:rsidRPr="00DF2B0D">
        <w:fldChar w:fldCharType="separate"/>
      </w:r>
      <w:r w:rsidR="000A4126" w:rsidRPr="000A4126">
        <w:rPr>
          <w:noProof/>
          <w:vertAlign w:val="superscript"/>
        </w:rPr>
        <w:t>60</w:t>
      </w:r>
      <w:r w:rsidR="003B31AD" w:rsidRPr="00DF2B0D">
        <w:fldChar w:fldCharType="end"/>
      </w:r>
      <w:r>
        <w:t xml:space="preserve"> </w:t>
      </w:r>
      <w:r w:rsidR="005C09E7">
        <w:rPr>
          <w:rFonts w:cs="Times New Roman"/>
          <w:szCs w:val="24"/>
        </w:rPr>
        <w:t>T</w:t>
      </w:r>
      <w:r w:rsidR="00EB5BB2">
        <w:rPr>
          <w:rFonts w:cs="Times New Roman"/>
          <w:szCs w:val="24"/>
        </w:rPr>
        <w:t xml:space="preserve">he observation of a single </w:t>
      </w:r>
      <w:r w:rsidR="00CA1BF8" w:rsidRPr="00057565">
        <w:rPr>
          <w:rFonts w:cs="Times New Roman"/>
          <w:szCs w:val="24"/>
          <w:vertAlign w:val="superscript"/>
        </w:rPr>
        <w:t>17</w:t>
      </w:r>
      <w:r w:rsidR="00CA1BF8">
        <w:rPr>
          <w:rFonts w:cs="Times New Roman"/>
          <w:szCs w:val="24"/>
        </w:rPr>
        <w:t xml:space="preserve">O </w:t>
      </w:r>
      <w:r w:rsidR="00EB5BB2">
        <w:rPr>
          <w:rFonts w:cs="Times New Roman"/>
          <w:szCs w:val="24"/>
        </w:rPr>
        <w:t>resonance</w:t>
      </w:r>
      <w:r w:rsidR="00CA1BF8">
        <w:rPr>
          <w:rFonts w:cs="Times New Roman"/>
          <w:szCs w:val="24"/>
        </w:rPr>
        <w:t xml:space="preserve"> at 605 °C</w:t>
      </w:r>
      <w:r w:rsidR="00EB5BB2">
        <w:rPr>
          <w:rFonts w:cs="Times New Roman"/>
          <w:szCs w:val="24"/>
        </w:rPr>
        <w:t xml:space="preserve"> is in agreement with the unique crystallographic oxygen site of the tetragona</w:t>
      </w:r>
      <w:r w:rsidR="00A40520">
        <w:rPr>
          <w:rFonts w:cs="Times New Roman"/>
          <w:szCs w:val="24"/>
        </w:rPr>
        <w:t>l</w:t>
      </w:r>
      <w:r w:rsidR="00EB5BB2">
        <w:rPr>
          <w:rFonts w:cs="Times New Roman"/>
          <w:szCs w:val="24"/>
        </w:rPr>
        <w:t xml:space="preserve"> phase.</w:t>
      </w:r>
      <w:r w:rsidR="005C09E7">
        <w:rPr>
          <w:rFonts w:cs="Times New Roman"/>
          <w:szCs w:val="24"/>
        </w:rPr>
        <w:t xml:space="preserve"> </w:t>
      </w:r>
    </w:p>
    <w:p w14:paraId="4DFD9243" w14:textId="493E87A0" w:rsidR="0055717F" w:rsidRPr="009664A3" w:rsidRDefault="00D67E10" w:rsidP="0055717F">
      <w:pPr>
        <w:spacing w:line="480" w:lineRule="auto"/>
        <w:jc w:val="center"/>
        <w:rPr>
          <w:szCs w:val="24"/>
          <w:lang w:val="en-US"/>
        </w:rPr>
      </w:pPr>
      <w:r>
        <w:rPr>
          <w:rFonts w:cs="Times New Roman"/>
          <w:noProof/>
          <w:lang w:val="en-US"/>
        </w:rPr>
        <w:drawing>
          <wp:inline distT="0" distB="0" distL="0" distR="0" wp14:anchorId="496229F3" wp14:editId="01B1DB2C">
            <wp:extent cx="3200400" cy="3685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3685032"/>
                    </a:xfrm>
                    <a:prstGeom prst="rect">
                      <a:avLst/>
                    </a:prstGeom>
                    <a:noFill/>
                    <a:ln>
                      <a:noFill/>
                    </a:ln>
                  </pic:spPr>
                </pic:pic>
              </a:graphicData>
            </a:graphic>
          </wp:inline>
        </w:drawing>
      </w:r>
    </w:p>
    <w:p w14:paraId="13E0F021" w14:textId="7DEDB7B8" w:rsidR="0055717F" w:rsidRPr="00B35992" w:rsidRDefault="00E824CC" w:rsidP="00B35992">
      <w:pPr>
        <w:pStyle w:val="Caption"/>
        <w:rPr>
          <w:rFonts w:cs="Times New Roman"/>
          <w:lang w:val="en-US"/>
        </w:rPr>
      </w:pPr>
      <w:bookmarkStart w:id="51" w:name="_Ref15918763"/>
      <w:bookmarkStart w:id="52" w:name="_Ref21008868"/>
      <w:r>
        <w:t xml:space="preserve">Figure </w:t>
      </w:r>
      <w:r w:rsidR="0019656C">
        <w:fldChar w:fldCharType="begin"/>
      </w:r>
      <w:r w:rsidR="0019656C">
        <w:instrText xml:space="preserve"> SEQ Figure \* ARABIC </w:instrText>
      </w:r>
      <w:r w:rsidR="0019656C">
        <w:fldChar w:fldCharType="separate"/>
      </w:r>
      <w:r w:rsidR="00564E5A">
        <w:rPr>
          <w:noProof/>
        </w:rPr>
        <w:t>12</w:t>
      </w:r>
      <w:r w:rsidR="0019656C">
        <w:rPr>
          <w:noProof/>
        </w:rPr>
        <w:fldChar w:fldCharType="end"/>
      </w:r>
      <w:bookmarkEnd w:id="51"/>
      <w:bookmarkEnd w:id="52"/>
      <w:r w:rsidR="0055717F" w:rsidRPr="00B35992">
        <w:rPr>
          <w:rFonts w:cs="Times New Roman"/>
          <w:lang w:val="en-US"/>
        </w:rPr>
        <w:t xml:space="preserve">: </w:t>
      </w:r>
      <w:r w:rsidR="000D1BE1">
        <w:rPr>
          <w:rFonts w:cs="Times New Roman"/>
          <w:lang w:val="en-US"/>
        </w:rPr>
        <w:t>V</w:t>
      </w:r>
      <w:r w:rsidR="0055717F" w:rsidRPr="00B35992">
        <w:rPr>
          <w:rFonts w:cs="Times New Roman"/>
          <w:lang w:val="en-US"/>
        </w:rPr>
        <w:t xml:space="preserve">ariable temperature </w:t>
      </w:r>
      <w:r w:rsidR="0055717F" w:rsidRPr="00B35992">
        <w:rPr>
          <w:rFonts w:cs="Times New Roman"/>
          <w:vertAlign w:val="superscript"/>
          <w:lang w:val="en-US"/>
        </w:rPr>
        <w:t>17</w:t>
      </w:r>
      <w:r w:rsidR="0055717F" w:rsidRPr="00B35992">
        <w:rPr>
          <w:rFonts w:cs="Times New Roman"/>
          <w:lang w:val="en-US"/>
        </w:rPr>
        <w:t xml:space="preserve">O MAS NMR spectrum of (a) </w:t>
      </w:r>
      <w:r w:rsidR="0055717F" w:rsidRPr="00B35992">
        <w:rPr>
          <w:rFonts w:cs="Times New Roman"/>
          <w:vertAlign w:val="superscript"/>
          <w:lang w:val="en-US"/>
        </w:rPr>
        <w:t>17</w:t>
      </w:r>
      <w:r w:rsidR="0055717F" w:rsidRPr="00B35992">
        <w:rPr>
          <w:rFonts w:cs="Times New Roman"/>
          <w:lang w:val="en-US"/>
        </w:rPr>
        <w:t>O enriched LaNbO</w:t>
      </w:r>
      <w:r w:rsidR="0055717F" w:rsidRPr="00B35992">
        <w:rPr>
          <w:rFonts w:cs="Times New Roman"/>
          <w:vertAlign w:val="subscript"/>
          <w:lang w:val="en-US"/>
        </w:rPr>
        <w:t>4</w:t>
      </w:r>
      <w:r w:rsidR="0055717F" w:rsidRPr="00B35992">
        <w:rPr>
          <w:rFonts w:cs="Times New Roman"/>
          <w:lang w:val="en-US"/>
        </w:rPr>
        <w:t xml:space="preserve"> and (b) </w:t>
      </w:r>
      <w:r w:rsidR="0055717F" w:rsidRPr="00B35992">
        <w:rPr>
          <w:rFonts w:cs="Times New Roman"/>
          <w:vertAlign w:val="superscript"/>
          <w:lang w:val="en-US"/>
        </w:rPr>
        <w:t>17</w:t>
      </w:r>
      <w:r w:rsidR="0055717F" w:rsidRPr="00B35992">
        <w:rPr>
          <w:rFonts w:cs="Times New Roman"/>
          <w:lang w:val="en-US"/>
        </w:rPr>
        <w:t xml:space="preserve">O enriched </w:t>
      </w:r>
      <w:r w:rsidR="0055717F" w:rsidRPr="00B35992">
        <w:rPr>
          <w:rFonts w:cs="Times New Roman"/>
        </w:rPr>
        <w:t>LaNb</w:t>
      </w:r>
      <w:r w:rsidR="0055717F" w:rsidRPr="00B35992">
        <w:rPr>
          <w:rFonts w:cs="Times New Roman"/>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55717F" w:rsidRPr="00B35992">
        <w:rPr>
          <w:rFonts w:cs="Times New Roman"/>
          <w:lang w:val="en-US"/>
        </w:rPr>
        <w:t xml:space="preserve"> obtained at 16.4 T. The samples temperatures are given next to each spectrum. The MAS rate </w:t>
      </w:r>
      <w:r w:rsidR="0055717F" w:rsidRPr="00B35992">
        <w:rPr>
          <w:rFonts w:ascii="Symbol" w:hAnsi="Symbol" w:cs="Times New Roman"/>
          <w:lang w:val="en-US"/>
        </w:rPr>
        <w:t></w:t>
      </w:r>
      <w:r w:rsidR="0055717F" w:rsidRPr="00B35992">
        <w:rPr>
          <w:rFonts w:cs="Times New Roman"/>
          <w:vertAlign w:val="subscript"/>
          <w:lang w:val="en-US"/>
        </w:rPr>
        <w:t>r</w:t>
      </w:r>
      <w:r w:rsidR="0055717F" w:rsidRPr="00B35992">
        <w:rPr>
          <w:rFonts w:cs="Times New Roman"/>
          <w:lang w:val="en-US"/>
        </w:rPr>
        <w:t xml:space="preserve"> was 22, 14 and 4 kHz in the 22-140 °C, 270 °C and 398-605 °C temperature range, respectively (see the experimental section for further details). In (b), the lower MAS rate used to record the spectra above 300 °C explains the broadening of the spectra above its temperature due to the overlapping of the central transition with the spinning sidebands. The </w:t>
      </w:r>
      <w:r w:rsidR="00C466DA">
        <w:rPr>
          <w:rFonts w:cs="Times New Roman"/>
          <w:lang w:val="en-US"/>
        </w:rPr>
        <w:t xml:space="preserve">isotropic </w:t>
      </w:r>
      <w:r w:rsidR="0055717F" w:rsidRPr="00B35992">
        <w:rPr>
          <w:rFonts w:cs="Times New Roman"/>
          <w:lang w:val="en-US"/>
        </w:rPr>
        <w:t xml:space="preserve">resonances </w:t>
      </w:r>
      <w:r w:rsidR="00E50546">
        <w:rPr>
          <w:rFonts w:cs="Times New Roman"/>
          <w:lang w:val="en-US"/>
        </w:rPr>
        <w:t>are</w:t>
      </w:r>
      <w:r w:rsidR="00E50546" w:rsidRPr="00B35992">
        <w:rPr>
          <w:rFonts w:cs="Times New Roman"/>
          <w:lang w:val="en-US"/>
        </w:rPr>
        <w:t xml:space="preserve"> </w:t>
      </w:r>
      <w:r w:rsidR="0055717F" w:rsidRPr="00B35992">
        <w:rPr>
          <w:rFonts w:cs="Times New Roman"/>
          <w:lang w:val="en-US"/>
        </w:rPr>
        <w:t xml:space="preserve">marked with # and + in </w:t>
      </w:r>
      <w:r w:rsidR="00E50546">
        <w:rPr>
          <w:rFonts w:cs="Times New Roman"/>
          <w:lang w:val="en-US"/>
        </w:rPr>
        <w:t xml:space="preserve">monoclinic </w:t>
      </w:r>
      <w:r w:rsidR="0055717F" w:rsidRPr="00B35992">
        <w:rPr>
          <w:rFonts w:cs="Times New Roman"/>
          <w:lang w:val="en-US"/>
        </w:rPr>
        <w:t>LaNbO</w:t>
      </w:r>
      <w:r w:rsidR="0055717F" w:rsidRPr="00B35992">
        <w:rPr>
          <w:rFonts w:cs="Times New Roman"/>
          <w:vertAlign w:val="subscript"/>
          <w:lang w:val="en-US"/>
        </w:rPr>
        <w:t>4</w:t>
      </w:r>
      <w:r w:rsidR="00C466DA">
        <w:rPr>
          <w:rFonts w:cs="Times New Roman"/>
          <w:lang w:val="en-US"/>
        </w:rPr>
        <w:t xml:space="preserve"> (for </w:t>
      </w:r>
      <w:r w:rsidR="00C466DA" w:rsidRPr="00B35992">
        <w:rPr>
          <w:rFonts w:cs="Times New Roman"/>
          <w:lang w:val="en-US"/>
        </w:rPr>
        <w:t>O2 and O1</w:t>
      </w:r>
      <w:r w:rsidR="00C466DA">
        <w:rPr>
          <w:rFonts w:cs="Times New Roman"/>
          <w:lang w:val="en-US"/>
        </w:rPr>
        <w:t>, respectively)</w:t>
      </w:r>
      <w:r w:rsidR="00E50546">
        <w:rPr>
          <w:rFonts w:cs="Times New Roman"/>
          <w:lang w:val="en-US"/>
        </w:rPr>
        <w:t>, § in tetragonal LaNbO</w:t>
      </w:r>
      <w:r w:rsidR="00E50546" w:rsidRPr="00057565">
        <w:rPr>
          <w:rFonts w:cs="Times New Roman"/>
          <w:vertAlign w:val="subscript"/>
          <w:lang w:val="en-US"/>
        </w:rPr>
        <w:t>4</w:t>
      </w:r>
      <w:r w:rsidR="00C466DA">
        <w:rPr>
          <w:rFonts w:cs="Times New Roman"/>
          <w:lang w:val="en-US"/>
        </w:rPr>
        <w:t xml:space="preserve"> </w:t>
      </w:r>
      <w:r w:rsidR="0055717F" w:rsidRPr="00B35992">
        <w:rPr>
          <w:rFonts w:cs="Times New Roman"/>
          <w:lang w:val="en-US"/>
        </w:rPr>
        <w:t xml:space="preserve">and | in </w:t>
      </w:r>
      <w:r w:rsidR="0055717F" w:rsidRPr="00B35992">
        <w:rPr>
          <w:rFonts w:cs="Times New Roman"/>
        </w:rPr>
        <w:t>LaNb</w:t>
      </w:r>
      <w:r w:rsidR="0055717F" w:rsidRPr="00B35992">
        <w:rPr>
          <w:rFonts w:cs="Times New Roman"/>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55717F" w:rsidRPr="00B35992">
        <w:rPr>
          <w:rFonts w:cs="Times New Roman"/>
          <w:lang w:val="en-US"/>
        </w:rPr>
        <w:t xml:space="preserve">. Symbol ‘ indicates natural abundance </w:t>
      </w:r>
      <w:r w:rsidR="0055717F" w:rsidRPr="00B35992">
        <w:rPr>
          <w:rFonts w:cs="Times New Roman"/>
          <w:vertAlign w:val="superscript"/>
          <w:lang w:val="en-US"/>
        </w:rPr>
        <w:t>17</w:t>
      </w:r>
      <w:r w:rsidR="0055717F" w:rsidRPr="00B35992">
        <w:rPr>
          <w:rFonts w:cs="Times New Roman"/>
          <w:lang w:val="en-US"/>
        </w:rPr>
        <w:t>O signal from the ZrO</w:t>
      </w:r>
      <w:r w:rsidR="0055717F" w:rsidRPr="00B35992">
        <w:rPr>
          <w:rFonts w:cs="Times New Roman"/>
          <w:vertAlign w:val="subscript"/>
          <w:lang w:val="en-US"/>
        </w:rPr>
        <w:t>2</w:t>
      </w:r>
      <w:r w:rsidR="0055717F" w:rsidRPr="00B35992">
        <w:rPr>
          <w:rFonts w:cs="Times New Roman"/>
          <w:lang w:val="en-US"/>
        </w:rPr>
        <w:t xml:space="preserve"> rotor (around 380 ppm)</w:t>
      </w:r>
      <w:r w:rsidR="00E50546">
        <w:rPr>
          <w:rFonts w:cs="Times New Roman"/>
          <w:lang w:val="en-US"/>
        </w:rPr>
        <w:t>.</w:t>
      </w:r>
      <w:r w:rsidR="0055717F" w:rsidRPr="00B35992">
        <w:rPr>
          <w:rFonts w:cs="Times New Roman"/>
          <w:lang w:val="en-US"/>
        </w:rPr>
        <w:fldChar w:fldCharType="begin" w:fldLock="1"/>
      </w:r>
      <w:r w:rsidR="000A4126">
        <w:rPr>
          <w:rFonts w:cs="Times New Roman"/>
          <w:lang w:val="en-US"/>
        </w:rPr>
        <w:instrText>ADDIN CSL_CITATION {"citationItems":[{"id":"ITEM-1","itemData":{"author":[{"dropping-particle":"","family":"Kenneth J.D. MacKenzie","given":"Mark E. Smith","non-dropping-particle":"","parse-names":false,"suffix":""},{"dropping-particle":"","family":"MacKenzie","given":"K J D","non-dropping-particle":"","parse-names":false,"suffix":""},{"dropping-particle":"","family":"Smith","given":"M E","non-dropping-particle":"","parse-names":false,"suffix":""}],"edition":"1","editor":[{"dropping-particle":"","family":"MacKenzie","given":"Kenneth J.D.","non-dropping-particle":"","parse-names":false,"suffix":""},{"dropping-particle":"","family":"Smith","given":"Mark E.","non-dropping-particle":"","parse-names":false,"suffix":""}],"id":"ITEM-1","issued":{"date-parts":[["2002"]]},"number-of-pages":"121-175","publisher-place":"Oxford","title":"Multinuclear Solid-State NMR of Inorganic Materials","type":"book"},"uris":["http://www.mendeley.com/documents/?uuid=81f07f1b-3365-4045-9a33-1de7bdf734c6"]}],"mendeley":{"formattedCitation":"&lt;sup&gt;52&lt;/sup&gt;","plainTextFormattedCitation":"52","previouslyFormattedCitation":"&lt;sup&gt;51&lt;/sup&gt;"},"properties":{"noteIndex":0},"schema":"https://github.com/citation-style-language/schema/raw/master/csl-citation.json"}</w:instrText>
      </w:r>
      <w:r w:rsidR="0055717F" w:rsidRPr="00B35992">
        <w:rPr>
          <w:rFonts w:cs="Times New Roman"/>
          <w:lang w:val="en-US"/>
        </w:rPr>
        <w:fldChar w:fldCharType="separate"/>
      </w:r>
      <w:r w:rsidR="000A4126" w:rsidRPr="000A4126">
        <w:rPr>
          <w:rFonts w:cs="Times New Roman"/>
          <w:b w:val="0"/>
          <w:noProof/>
          <w:vertAlign w:val="superscript"/>
          <w:lang w:val="en-US"/>
        </w:rPr>
        <w:t>52</w:t>
      </w:r>
      <w:r w:rsidR="0055717F" w:rsidRPr="00B35992">
        <w:rPr>
          <w:rFonts w:cs="Times New Roman"/>
          <w:lang w:val="en-US"/>
        </w:rPr>
        <w:fldChar w:fldCharType="end"/>
      </w:r>
      <w:r w:rsidR="0055717F" w:rsidRPr="00B35992">
        <w:rPr>
          <w:rFonts w:cs="Times New Roman"/>
          <w:lang w:val="en-US"/>
        </w:rPr>
        <w:t xml:space="preserve"> All other peaks are spinning sidebands.</w:t>
      </w:r>
    </w:p>
    <w:p w14:paraId="3768E905" w14:textId="23ADFB64" w:rsidR="0055717F" w:rsidRDefault="00D67E10" w:rsidP="0055717F">
      <w:pPr>
        <w:jc w:val="center"/>
        <w:rPr>
          <w:szCs w:val="24"/>
        </w:rPr>
      </w:pPr>
      <w:r>
        <w:rPr>
          <w:noProof/>
          <w:szCs w:val="24"/>
        </w:rPr>
        <w:lastRenderedPageBreak/>
        <w:drawing>
          <wp:inline distT="0" distB="0" distL="0" distR="0" wp14:anchorId="1B664D1C" wp14:editId="37CE57E1">
            <wp:extent cx="2530440" cy="486567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693" cy="4877699"/>
                    </a:xfrm>
                    <a:prstGeom prst="rect">
                      <a:avLst/>
                    </a:prstGeom>
                    <a:noFill/>
                    <a:ln>
                      <a:noFill/>
                    </a:ln>
                  </pic:spPr>
                </pic:pic>
              </a:graphicData>
            </a:graphic>
          </wp:inline>
        </w:drawing>
      </w:r>
    </w:p>
    <w:p w14:paraId="4EC04626" w14:textId="464DE7C8" w:rsidR="0055717F" w:rsidRPr="00170B4B" w:rsidRDefault="00E824CC" w:rsidP="00B35992">
      <w:pPr>
        <w:pStyle w:val="Caption"/>
      </w:pPr>
      <w:bookmarkStart w:id="53" w:name="_Ref15918878"/>
      <w:bookmarkStart w:id="54" w:name="_Ref21008958"/>
      <w:r>
        <w:t xml:space="preserve">Figure </w:t>
      </w:r>
      <w:r w:rsidR="0019656C">
        <w:fldChar w:fldCharType="begin"/>
      </w:r>
      <w:r w:rsidR="0019656C">
        <w:instrText xml:space="preserve"> SEQ Figure \* ARABIC </w:instrText>
      </w:r>
      <w:r w:rsidR="0019656C">
        <w:fldChar w:fldCharType="separate"/>
      </w:r>
      <w:r w:rsidR="00564E5A">
        <w:rPr>
          <w:noProof/>
        </w:rPr>
        <w:t>13</w:t>
      </w:r>
      <w:r w:rsidR="0019656C">
        <w:rPr>
          <w:noProof/>
        </w:rPr>
        <w:fldChar w:fldCharType="end"/>
      </w:r>
      <w:bookmarkEnd w:id="53"/>
      <w:bookmarkEnd w:id="54"/>
      <w:r w:rsidR="0055717F" w:rsidRPr="00170B4B">
        <w:t xml:space="preserve">: </w:t>
      </w:r>
      <w:r w:rsidR="0055717F" w:rsidRPr="00170B4B">
        <w:rPr>
          <w:vertAlign w:val="superscript"/>
        </w:rPr>
        <w:t>17</w:t>
      </w:r>
      <w:r w:rsidR="0055717F" w:rsidRPr="00170B4B">
        <w:t xml:space="preserve">O Triple Quantum MAS NMR spectrum of (a) </w:t>
      </w:r>
      <w:r w:rsidR="0055717F" w:rsidRPr="00170B4B">
        <w:rPr>
          <w:vertAlign w:val="superscript"/>
        </w:rPr>
        <w:t>17</w:t>
      </w:r>
      <w:r w:rsidR="0055717F" w:rsidRPr="00170B4B">
        <w:t>O enriched LaNbO</w:t>
      </w:r>
      <w:r w:rsidR="0055717F" w:rsidRPr="00170B4B">
        <w:rPr>
          <w:vertAlign w:val="subscript"/>
        </w:rPr>
        <w:t>4</w:t>
      </w:r>
      <w:r w:rsidR="0055717F" w:rsidRPr="00170B4B">
        <w:t xml:space="preserve"> and (b) </w:t>
      </w:r>
      <w:r w:rsidR="0055717F" w:rsidRPr="00170B4B">
        <w:rPr>
          <w:vertAlign w:val="superscript"/>
        </w:rPr>
        <w:t>17</w:t>
      </w:r>
      <w:r w:rsidR="0055717F" w:rsidRPr="00170B4B">
        <w:t>O enriched LaNb</w:t>
      </w:r>
      <w:r w:rsidR="0055717F" w:rsidRPr="00170B4B">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55717F" w:rsidRPr="00170B4B">
        <w:t xml:space="preserve"> obtained at room temperature at 16.4 T and under a MAS rate of 20 kHz. The dashed line in (b) indicates the + 1 diagonal. Asterisk (*) denote spinning sidebands.</w:t>
      </w:r>
    </w:p>
    <w:p w14:paraId="7E3516E8" w14:textId="3996F417" w:rsidR="001255F1" w:rsidRPr="008B0CA3" w:rsidRDefault="0055717F" w:rsidP="00057565">
      <w:pPr>
        <w:rPr>
          <w:szCs w:val="24"/>
          <w:highlight w:val="green"/>
        </w:rPr>
      </w:pPr>
      <w:r w:rsidRPr="00137BFA">
        <w:rPr>
          <w:szCs w:val="24"/>
        </w:rPr>
        <w:t xml:space="preserve">The room temperature </w:t>
      </w:r>
      <w:r w:rsidRPr="00137BFA">
        <w:rPr>
          <w:szCs w:val="24"/>
          <w:vertAlign w:val="superscript"/>
        </w:rPr>
        <w:t>17</w:t>
      </w:r>
      <w:r w:rsidRPr="00137BFA">
        <w:rPr>
          <w:szCs w:val="24"/>
        </w:rPr>
        <w:t xml:space="preserve">O NMR spectrum of </w:t>
      </w:r>
      <w:r w:rsidRPr="00137BFA">
        <w:rPr>
          <w:szCs w:val="24"/>
          <w:vertAlign w:val="superscript"/>
        </w:rPr>
        <w:t>17</w:t>
      </w:r>
      <w:r w:rsidRPr="00137BFA">
        <w:rPr>
          <w:szCs w:val="24"/>
        </w:rPr>
        <w:t>O enriched LaNb</w:t>
      </w:r>
      <w:r w:rsidRPr="00137BFA">
        <w:rPr>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137BFA">
        <w:rPr>
          <w:szCs w:val="24"/>
        </w:rPr>
        <w:t xml:space="preserve"> obtained under MAS rate of 22 kHz (</w:t>
      </w:r>
      <w:r w:rsidR="00E824CC">
        <w:rPr>
          <w:bCs/>
          <w:szCs w:val="24"/>
          <w:lang w:val="en-US"/>
        </w:rPr>
        <w:fldChar w:fldCharType="begin"/>
      </w:r>
      <w:r w:rsidR="00E824CC">
        <w:rPr>
          <w:bCs/>
          <w:szCs w:val="24"/>
          <w:lang w:val="en-US"/>
        </w:rPr>
        <w:instrText xml:space="preserve"> REF _Ref21008868 \h </w:instrText>
      </w:r>
      <w:r w:rsidR="00E824CC">
        <w:rPr>
          <w:bCs/>
          <w:szCs w:val="24"/>
          <w:lang w:val="en-US"/>
        </w:rPr>
      </w:r>
      <w:r w:rsidR="00E824CC">
        <w:rPr>
          <w:bCs/>
          <w:szCs w:val="24"/>
          <w:lang w:val="en-US"/>
        </w:rPr>
        <w:fldChar w:fldCharType="separate"/>
      </w:r>
      <w:r w:rsidR="00564E5A">
        <w:t xml:space="preserve">Figure </w:t>
      </w:r>
      <w:r w:rsidR="00564E5A">
        <w:rPr>
          <w:noProof/>
        </w:rPr>
        <w:t>12</w:t>
      </w:r>
      <w:r w:rsidR="00E824CC">
        <w:rPr>
          <w:bCs/>
          <w:szCs w:val="24"/>
          <w:lang w:val="en-US"/>
        </w:rPr>
        <w:fldChar w:fldCharType="end"/>
      </w:r>
      <w:r w:rsidRPr="00170B4B">
        <w:rPr>
          <w:bCs/>
          <w:szCs w:val="24"/>
          <w:lang w:val="en-US"/>
        </w:rPr>
        <w:t>b</w:t>
      </w:r>
      <w:r w:rsidRPr="00137BFA">
        <w:rPr>
          <w:szCs w:val="24"/>
        </w:rPr>
        <w:t>) is dramatic</w:t>
      </w:r>
      <w:r>
        <w:rPr>
          <w:szCs w:val="24"/>
        </w:rPr>
        <w:t>ally different from</w:t>
      </w:r>
      <w:r w:rsidRPr="00137BFA">
        <w:rPr>
          <w:szCs w:val="24"/>
        </w:rPr>
        <w:t xml:space="preserve"> the one obtained for LaNbO</w:t>
      </w:r>
      <w:r w:rsidRPr="00137BFA">
        <w:rPr>
          <w:szCs w:val="24"/>
          <w:vertAlign w:val="subscript"/>
        </w:rPr>
        <w:t>4</w:t>
      </w:r>
      <w:r w:rsidRPr="00137BFA">
        <w:rPr>
          <w:szCs w:val="24"/>
        </w:rPr>
        <w:t xml:space="preserve"> revealing a very broad resonance (</w:t>
      </w:r>
      <w:r>
        <w:rPr>
          <w:szCs w:val="24"/>
        </w:rPr>
        <w:t>~</w:t>
      </w:r>
      <w:r w:rsidRPr="00137BFA">
        <w:rPr>
          <w:szCs w:val="24"/>
        </w:rPr>
        <w:t xml:space="preserve">13 kHz) centred at </w:t>
      </w:r>
      <w:r>
        <w:rPr>
          <w:szCs w:val="24"/>
        </w:rPr>
        <w:t>~</w:t>
      </w:r>
      <w:r w:rsidRPr="00137BFA">
        <w:rPr>
          <w:szCs w:val="24"/>
        </w:rPr>
        <w:t xml:space="preserve">500 ppm (along with a range of broad spinning sidebands, see </w:t>
      </w:r>
      <w:r w:rsidRPr="00170B4B">
        <w:rPr>
          <w:bCs/>
          <w:szCs w:val="24"/>
        </w:rPr>
        <w:t xml:space="preserve">Figure </w:t>
      </w:r>
      <w:r>
        <w:rPr>
          <w:bCs/>
          <w:szCs w:val="24"/>
        </w:rPr>
        <w:t>S</w:t>
      </w:r>
      <w:r w:rsidR="00220F07">
        <w:rPr>
          <w:bCs/>
          <w:szCs w:val="24"/>
        </w:rPr>
        <w:t>1</w:t>
      </w:r>
      <w:r w:rsidR="000D1BE1">
        <w:rPr>
          <w:bCs/>
          <w:szCs w:val="24"/>
        </w:rPr>
        <w:t>1</w:t>
      </w:r>
      <w:r w:rsidRPr="00137BFA">
        <w:rPr>
          <w:szCs w:val="24"/>
        </w:rPr>
        <w:t xml:space="preserve">). This resonance spreads from 420 to 570 ppm </w:t>
      </w:r>
      <w:r w:rsidR="004160A7">
        <w:rPr>
          <w:szCs w:val="24"/>
        </w:rPr>
        <w:t xml:space="preserve">covering the </w:t>
      </w:r>
      <w:r w:rsidRPr="00137BFA">
        <w:rPr>
          <w:szCs w:val="24"/>
        </w:rPr>
        <w:t>position</w:t>
      </w:r>
      <w:r w:rsidR="004160A7">
        <w:rPr>
          <w:szCs w:val="24"/>
        </w:rPr>
        <w:t>s</w:t>
      </w:r>
      <w:r w:rsidRPr="00137BFA">
        <w:rPr>
          <w:szCs w:val="24"/>
        </w:rPr>
        <w:t xml:space="preserve"> of the</w:t>
      </w:r>
      <w:r w:rsidR="004160A7">
        <w:rPr>
          <w:szCs w:val="24"/>
        </w:rPr>
        <w:t xml:space="preserve"> two</w:t>
      </w:r>
      <w:r w:rsidRPr="00137BFA">
        <w:rPr>
          <w:szCs w:val="24"/>
        </w:rPr>
        <w:t xml:space="preserve"> </w:t>
      </w:r>
      <w:r w:rsidRPr="00137BFA">
        <w:rPr>
          <w:szCs w:val="24"/>
          <w:vertAlign w:val="superscript"/>
        </w:rPr>
        <w:t>17</w:t>
      </w:r>
      <w:r w:rsidRPr="00137BFA">
        <w:rPr>
          <w:szCs w:val="24"/>
        </w:rPr>
        <w:t>O resonances of Nb-O1 and Nb-O2 in LaNbO</w:t>
      </w:r>
      <w:r w:rsidRPr="00137BFA">
        <w:rPr>
          <w:szCs w:val="24"/>
          <w:vertAlign w:val="subscript"/>
        </w:rPr>
        <w:t>4</w:t>
      </w:r>
      <w:r w:rsidRPr="00137BFA">
        <w:rPr>
          <w:szCs w:val="24"/>
        </w:rPr>
        <w:t xml:space="preserve"> and </w:t>
      </w:r>
      <w:r>
        <w:rPr>
          <w:szCs w:val="24"/>
        </w:rPr>
        <w:t xml:space="preserve">therefore </w:t>
      </w:r>
      <w:r w:rsidR="004160A7">
        <w:rPr>
          <w:szCs w:val="24"/>
        </w:rPr>
        <w:t>consistent with</w:t>
      </w:r>
      <w:r w:rsidR="004160A7" w:rsidRPr="00137BFA">
        <w:rPr>
          <w:szCs w:val="24"/>
        </w:rPr>
        <w:t xml:space="preserve"> </w:t>
      </w:r>
      <w:r w:rsidRPr="00137BFA">
        <w:rPr>
          <w:szCs w:val="24"/>
        </w:rPr>
        <w:t>a large range of Nb-O</w:t>
      </w:r>
      <w:r w:rsidR="00C65DCF">
        <w:rPr>
          <w:szCs w:val="24"/>
        </w:rPr>
        <w:t>/W-O</w:t>
      </w:r>
      <w:r w:rsidRPr="00137BFA">
        <w:rPr>
          <w:szCs w:val="24"/>
        </w:rPr>
        <w:t xml:space="preserve"> bond length</w:t>
      </w:r>
      <w:r>
        <w:rPr>
          <w:szCs w:val="24"/>
        </w:rPr>
        <w:t>s</w:t>
      </w:r>
      <w:r w:rsidRPr="00137BFA">
        <w:rPr>
          <w:szCs w:val="24"/>
        </w:rPr>
        <w:t xml:space="preserve"> ranging from </w:t>
      </w:r>
      <w:r>
        <w:rPr>
          <w:szCs w:val="24"/>
        </w:rPr>
        <w:t>~</w:t>
      </w:r>
      <w:r w:rsidRPr="00137BFA">
        <w:rPr>
          <w:szCs w:val="24"/>
          <w:lang w:val="en-US"/>
        </w:rPr>
        <w:t xml:space="preserve">1.844 to 1.903 Å </w:t>
      </w:r>
      <w:r w:rsidRPr="00137BFA">
        <w:rPr>
          <w:szCs w:val="24"/>
        </w:rPr>
        <w:t>in LaNb</w:t>
      </w:r>
      <w:r w:rsidRPr="00137BFA">
        <w:rPr>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137BFA">
        <w:rPr>
          <w:szCs w:val="24"/>
          <w:lang w:val="en-US"/>
        </w:rPr>
        <w:t xml:space="preserve"> (corresponding to </w:t>
      </w:r>
      <w:r w:rsidRPr="00137BFA">
        <w:rPr>
          <w:szCs w:val="24"/>
        </w:rPr>
        <w:t xml:space="preserve">Nb-O2 </w:t>
      </w:r>
      <w:r w:rsidRPr="00137BFA">
        <w:rPr>
          <w:szCs w:val="24"/>
          <w:lang w:val="en-US"/>
        </w:rPr>
        <w:t xml:space="preserve">to </w:t>
      </w:r>
      <w:r w:rsidRPr="00137BFA">
        <w:rPr>
          <w:szCs w:val="24"/>
        </w:rPr>
        <w:t>Nb-O1 in LaNbO</w:t>
      </w:r>
      <w:r w:rsidRPr="00137BFA">
        <w:rPr>
          <w:szCs w:val="24"/>
          <w:vertAlign w:val="subscript"/>
        </w:rPr>
        <w:t>4</w:t>
      </w:r>
      <w:r w:rsidRPr="00137BFA">
        <w:rPr>
          <w:szCs w:val="24"/>
        </w:rPr>
        <w:t>)</w:t>
      </w:r>
      <w:r w:rsidRPr="00137BFA">
        <w:rPr>
          <w:szCs w:val="24"/>
          <w:lang w:val="en-US"/>
        </w:rPr>
        <w:t xml:space="preserve">. The broad </w:t>
      </w:r>
      <w:r w:rsidR="004160A7" w:rsidRPr="00137BFA">
        <w:rPr>
          <w:szCs w:val="24"/>
          <w:lang w:val="en-US"/>
        </w:rPr>
        <w:t>center</w:t>
      </w:r>
      <w:r w:rsidR="004160A7">
        <w:rPr>
          <w:szCs w:val="24"/>
          <w:lang w:val="en-US"/>
        </w:rPr>
        <w:t>band</w:t>
      </w:r>
      <w:r w:rsidR="004160A7" w:rsidRPr="00137BFA">
        <w:rPr>
          <w:szCs w:val="24"/>
          <w:lang w:val="en-US"/>
        </w:rPr>
        <w:t xml:space="preserve"> </w:t>
      </w:r>
      <w:r w:rsidRPr="00137BFA">
        <w:rPr>
          <w:szCs w:val="24"/>
          <w:lang w:val="en-US"/>
        </w:rPr>
        <w:t xml:space="preserve">at </w:t>
      </w:r>
      <w:r>
        <w:rPr>
          <w:szCs w:val="24"/>
        </w:rPr>
        <w:t>~</w:t>
      </w:r>
      <w:r w:rsidRPr="00137BFA">
        <w:rPr>
          <w:szCs w:val="24"/>
        </w:rPr>
        <w:t>500 ppm</w:t>
      </w:r>
      <w:r w:rsidRPr="00137BFA">
        <w:rPr>
          <w:szCs w:val="24"/>
          <w:lang w:val="en-US"/>
        </w:rPr>
        <w:t xml:space="preserve"> therefore reflects a distribution of chemical shift</w:t>
      </w:r>
      <w:r w:rsidR="001842F1">
        <w:rPr>
          <w:szCs w:val="24"/>
          <w:lang w:val="en-US"/>
        </w:rPr>
        <w:t>s</w:t>
      </w:r>
      <w:r w:rsidRPr="00137BFA">
        <w:rPr>
          <w:szCs w:val="24"/>
          <w:lang w:val="en-US"/>
        </w:rPr>
        <w:t xml:space="preserve"> rather than second-order quadrupolar broadening. This is in agreement with</w:t>
      </w:r>
      <w:r>
        <w:rPr>
          <w:szCs w:val="24"/>
          <w:lang w:val="en-US"/>
        </w:rPr>
        <w:t xml:space="preserve"> both</w:t>
      </w:r>
      <w:r w:rsidRPr="00137BFA">
        <w:rPr>
          <w:szCs w:val="24"/>
          <w:lang w:val="en-US"/>
        </w:rPr>
        <w:t xml:space="preserve"> t</w:t>
      </w:r>
      <w:r w:rsidRPr="00137BFA">
        <w:rPr>
          <w:szCs w:val="24"/>
        </w:rPr>
        <w:t xml:space="preserve">he </w:t>
      </w:r>
      <w:r w:rsidRPr="00137BFA">
        <w:rPr>
          <w:szCs w:val="24"/>
          <w:vertAlign w:val="superscript"/>
        </w:rPr>
        <w:t>17</w:t>
      </w:r>
      <w:r w:rsidRPr="00137BFA">
        <w:rPr>
          <w:szCs w:val="24"/>
        </w:rPr>
        <w:t>O TQMAS spectrum of this material (</w:t>
      </w:r>
      <w:r w:rsidR="00E824CC">
        <w:rPr>
          <w:szCs w:val="24"/>
        </w:rPr>
        <w:fldChar w:fldCharType="begin"/>
      </w:r>
      <w:r w:rsidR="00E824CC">
        <w:rPr>
          <w:szCs w:val="24"/>
        </w:rPr>
        <w:instrText xml:space="preserve"> REF _Ref21008958 \h </w:instrText>
      </w:r>
      <w:r w:rsidR="00E824CC">
        <w:rPr>
          <w:szCs w:val="24"/>
        </w:rPr>
      </w:r>
      <w:r w:rsidR="00E824CC">
        <w:rPr>
          <w:szCs w:val="24"/>
        </w:rPr>
        <w:fldChar w:fldCharType="separate"/>
      </w:r>
      <w:r w:rsidR="00564E5A">
        <w:t xml:space="preserve">Figure </w:t>
      </w:r>
      <w:r w:rsidR="00564E5A">
        <w:rPr>
          <w:noProof/>
        </w:rPr>
        <w:t>13</w:t>
      </w:r>
      <w:r w:rsidR="00E824CC">
        <w:rPr>
          <w:szCs w:val="24"/>
        </w:rPr>
        <w:fldChar w:fldCharType="end"/>
      </w:r>
      <w:r>
        <w:rPr>
          <w:szCs w:val="24"/>
        </w:rPr>
        <w:t>b</w:t>
      </w:r>
      <w:r w:rsidRPr="00137BFA">
        <w:rPr>
          <w:szCs w:val="24"/>
        </w:rPr>
        <w:t xml:space="preserve">) which shows that the signal at </w:t>
      </w:r>
      <w:r>
        <w:rPr>
          <w:szCs w:val="24"/>
        </w:rPr>
        <w:t>~</w:t>
      </w:r>
      <w:r w:rsidRPr="00137BFA">
        <w:rPr>
          <w:szCs w:val="24"/>
        </w:rPr>
        <w:t xml:space="preserve">500 ppm is clearly spread along the +1 diagonal and </w:t>
      </w:r>
      <w:r>
        <w:rPr>
          <w:szCs w:val="24"/>
        </w:rPr>
        <w:t>with</w:t>
      </w:r>
      <w:r w:rsidRPr="00137BFA">
        <w:rPr>
          <w:szCs w:val="24"/>
        </w:rPr>
        <w:t xml:space="preserve"> the presence of broad spinning sidebands that should be narrowed by MAS if no distribution of chemical shift was present. </w:t>
      </w:r>
      <w:r w:rsidR="00E37CCD">
        <w:rPr>
          <w:szCs w:val="24"/>
        </w:rPr>
        <w:t xml:space="preserve">There is no clear </w:t>
      </w:r>
      <w:r w:rsidR="00E37CCD" w:rsidRPr="00E8350C">
        <w:rPr>
          <w:szCs w:val="24"/>
          <w:vertAlign w:val="superscript"/>
        </w:rPr>
        <w:t>17</w:t>
      </w:r>
      <w:r w:rsidR="00E37CCD">
        <w:rPr>
          <w:szCs w:val="24"/>
        </w:rPr>
        <w:t xml:space="preserve">O NMR signal for the </w:t>
      </w:r>
      <w:r w:rsidR="00E37CCD">
        <w:rPr>
          <w:szCs w:val="24"/>
        </w:rPr>
        <w:lastRenderedPageBreak/>
        <w:t>interstitial ox</w:t>
      </w:r>
      <w:r w:rsidR="00531908">
        <w:rPr>
          <w:szCs w:val="24"/>
        </w:rPr>
        <w:t>y</w:t>
      </w:r>
      <w:r w:rsidR="00E37CCD">
        <w:rPr>
          <w:szCs w:val="24"/>
        </w:rPr>
        <w:t>gen</w:t>
      </w:r>
      <w:r w:rsidR="00531908">
        <w:rPr>
          <w:szCs w:val="24"/>
        </w:rPr>
        <w:t>,</w:t>
      </w:r>
      <w:r w:rsidR="00E37CCD">
        <w:rPr>
          <w:szCs w:val="24"/>
        </w:rPr>
        <w:t xml:space="preserve"> </w:t>
      </w:r>
      <w:r w:rsidR="00531908">
        <w:rPr>
          <w:szCs w:val="24"/>
        </w:rPr>
        <w:t xml:space="preserve">and the data above </w:t>
      </w:r>
      <w:r w:rsidR="00531908" w:rsidRPr="00531908">
        <w:rPr>
          <w:szCs w:val="24"/>
        </w:rPr>
        <w:t xml:space="preserve">suggest </w:t>
      </w:r>
      <w:r w:rsidR="00531908">
        <w:rPr>
          <w:szCs w:val="24"/>
        </w:rPr>
        <w:t xml:space="preserve">that </w:t>
      </w:r>
      <w:r w:rsidR="00E37CCD" w:rsidRPr="00057565">
        <w:t xml:space="preserve">a range of </w:t>
      </w:r>
      <w:r w:rsidR="00531908" w:rsidRPr="00057565">
        <w:t>oxygen</w:t>
      </w:r>
      <w:r w:rsidR="00E37CCD" w:rsidRPr="00057565">
        <w:t xml:space="preserve"> environments </w:t>
      </w:r>
      <w:r w:rsidR="00531908">
        <w:t xml:space="preserve">are </w:t>
      </w:r>
      <w:r w:rsidR="00531908" w:rsidRPr="00057565">
        <w:t>observed</w:t>
      </w:r>
      <w:r w:rsidR="00E37CCD" w:rsidRPr="00057565">
        <w:t xml:space="preserve"> </w:t>
      </w:r>
      <w:r w:rsidR="00531908">
        <w:t xml:space="preserve">instead and </w:t>
      </w:r>
      <w:r w:rsidR="00E37CCD" w:rsidRPr="00057565">
        <w:t xml:space="preserve">correspond to different Nb-O and W-O bond lengths and local environments. </w:t>
      </w:r>
      <w:r w:rsidR="006C2267">
        <w:t xml:space="preserve">Upon sample heating, disappearance of the spinning sidebands starting at 270 °C indicates the onset of slow motion in </w:t>
      </w:r>
      <w:r w:rsidR="006C2267" w:rsidRPr="00137BFA">
        <w:rPr>
          <w:szCs w:val="24"/>
        </w:rPr>
        <w:t>LaNb</w:t>
      </w:r>
      <w:r w:rsidR="006C2267" w:rsidRPr="00137BFA">
        <w:rPr>
          <w:szCs w:val="24"/>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6C2267">
        <w:t xml:space="preserve"> </w:t>
      </w:r>
      <w:r w:rsidR="008552C8">
        <w:t xml:space="preserve">(see supporting information for further details) </w:t>
      </w:r>
      <w:r w:rsidR="006C2267">
        <w:t>and is in sharp contrast with the large number of sidebands in the LaNbO</w:t>
      </w:r>
      <w:r w:rsidR="006C2267" w:rsidRPr="00057565">
        <w:rPr>
          <w:vertAlign w:val="subscript"/>
        </w:rPr>
        <w:t>4</w:t>
      </w:r>
      <w:r w:rsidR="006C2267">
        <w:t xml:space="preserve"> data (Figures 11 and S12), likely indicating enhanced oxygen ion mobility in the former phase. </w:t>
      </w:r>
      <w:r w:rsidR="006F302C" w:rsidRPr="00F4173B">
        <w:rPr>
          <w:rFonts w:cs="Times New Roman"/>
          <w:szCs w:val="24"/>
        </w:rPr>
        <w:t>Above 300 °C, restriction of the maximum MAS rate available on the 7 mm laser heated MAS probe (4 kHz) does not allow the central transition to be clearly observed due to overlapping spinning sidebands and resulting in a broad pattern (≈ 63 kHz at 605 °C).</w:t>
      </w:r>
      <w:r w:rsidR="00144646">
        <w:rPr>
          <w:rFonts w:cs="Times New Roman"/>
          <w:szCs w:val="24"/>
        </w:rPr>
        <w:t xml:space="preserve">  </w:t>
      </w:r>
    </w:p>
    <w:p w14:paraId="69A4F618" w14:textId="1D8A9620" w:rsidR="00144646" w:rsidRPr="00057565" w:rsidRDefault="00144646" w:rsidP="00057565">
      <w:pPr>
        <w:pStyle w:val="ListParagraph"/>
        <w:rPr>
          <w:highlight w:val="cyan"/>
        </w:rPr>
      </w:pPr>
    </w:p>
    <w:p w14:paraId="4CA2803B" w14:textId="5C3671A7" w:rsidR="00F225C9" w:rsidRPr="00DF2B0D" w:rsidRDefault="0037097F" w:rsidP="00F225C9">
      <w:pPr>
        <w:pStyle w:val="Heading1"/>
      </w:pPr>
      <w:r w:rsidRPr="00DF2B0D">
        <w:t>C</w:t>
      </w:r>
      <w:r w:rsidR="00F225C9" w:rsidRPr="00DF2B0D">
        <w:t xml:space="preserve">onclusion </w:t>
      </w:r>
    </w:p>
    <w:p w14:paraId="189A8570" w14:textId="2803AC3B" w:rsidR="004F1A2C" w:rsidRDefault="007154CE" w:rsidP="001B664E">
      <w:r w:rsidRPr="00DF2B0D">
        <w:t xml:space="preserve">In this </w:t>
      </w:r>
      <w:r w:rsidRPr="00DF2B0D">
        <w:rPr>
          <w:rFonts w:hint="eastAsia"/>
        </w:rPr>
        <w:t>contribution</w:t>
      </w:r>
      <w:r w:rsidRPr="00DF2B0D">
        <w:t xml:space="preserve">, the structure evolution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series from room temperature up to 800 °C is investigated. Using</w:t>
      </w:r>
      <w:r w:rsidR="0097424C">
        <w:t xml:space="preserve"> high temperature </w:t>
      </w:r>
      <w:r w:rsidR="0097424C" w:rsidRPr="00DF2B0D">
        <w:t>thermal analysis</w:t>
      </w:r>
      <w:r w:rsidR="0097424C">
        <w:t xml:space="preserve">, </w:t>
      </w:r>
      <w:r w:rsidR="00F229CC" w:rsidRPr="00DF2B0D">
        <w:rPr>
          <w:i/>
        </w:rPr>
        <w:t>in situ</w:t>
      </w:r>
      <w:r w:rsidR="00F229CC" w:rsidRPr="00DF2B0D">
        <w:t xml:space="preserve"> diffraction techniques</w:t>
      </w:r>
      <w:r w:rsidR="00F229CC">
        <w:t xml:space="preserve"> and</w:t>
      </w:r>
      <w:r w:rsidR="00F229CC" w:rsidRPr="0097424C">
        <w:rPr>
          <w:vertAlign w:val="superscript"/>
        </w:rPr>
        <w:t xml:space="preserve"> </w:t>
      </w:r>
      <w:r w:rsidR="0097424C" w:rsidRPr="0097424C">
        <w:rPr>
          <w:vertAlign w:val="superscript"/>
        </w:rPr>
        <w:t>17</w:t>
      </w:r>
      <w:r w:rsidR="0097424C">
        <w:t xml:space="preserve">O </w:t>
      </w:r>
      <w:r w:rsidR="00ED0089">
        <w:t xml:space="preserve">and </w:t>
      </w:r>
      <w:r w:rsidR="00ED0089" w:rsidRPr="00C06FEA">
        <w:rPr>
          <w:vertAlign w:val="superscript"/>
        </w:rPr>
        <w:t>93</w:t>
      </w:r>
      <w:r w:rsidR="00ED0089">
        <w:t xml:space="preserve">Nb </w:t>
      </w:r>
      <w:r w:rsidR="0097424C">
        <w:t>MAS NMR</w:t>
      </w:r>
      <w:r w:rsidRPr="00DF2B0D">
        <w:t xml:space="preserve">, a sequence of transformation in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DF2B0D">
        <w:t xml:space="preserve"> between a modulated monoclinic phase, a modulated tetragonal phase and an unmodulated tetragonal phase, which was overlooked in the literature, has been revealed. </w:t>
      </w:r>
      <w:r w:rsidRPr="00DF2B0D">
        <w:rPr>
          <w:rFonts w:cs="Times New Roman"/>
          <w:i/>
          <w:color w:val="222222"/>
        </w:rPr>
        <w:t>In situ</w:t>
      </w:r>
      <w:r w:rsidRPr="00DF2B0D">
        <w:t xml:space="preserve"> scattering experiments </w:t>
      </w:r>
      <w:r w:rsidR="006B45D7">
        <w:t xml:space="preserve">shed light on the </w:t>
      </w:r>
      <w:r w:rsidRPr="00DF2B0D">
        <w:t>structural evolution of the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rPr>
          <w:vertAlign w:val="subscript"/>
        </w:rPr>
        <w:t xml:space="preserve"> </w:t>
      </w:r>
      <w:r w:rsidRPr="00DF2B0D">
        <w:t>and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compositions</w:t>
      </w:r>
      <w:r w:rsidR="006B45D7">
        <w:t>: m</w:t>
      </w:r>
      <w:r w:rsidRPr="00DF2B0D">
        <w:t>odulation peaks were observed and the structure of the LaNb</w:t>
      </w:r>
      <w:r w:rsidRPr="00DF2B0D">
        <w:rPr>
          <w:vertAlign w:val="subscript"/>
        </w:rPr>
        <w:t>0.88</w:t>
      </w:r>
      <w:r w:rsidR="005F7684" w:rsidRPr="00DF2B0D">
        <w:t>W</w:t>
      </w:r>
      <w:r w:rsidR="005F7684" w:rsidRPr="00DF2B0D">
        <w:rPr>
          <w:vertAlign w:val="subscript"/>
        </w:rPr>
        <w:t>0.1</w:t>
      </w:r>
      <w:r w:rsidR="005F7684">
        <w:rPr>
          <w:vertAlign w:val="subscript"/>
        </w:rPr>
        <w:t>2</w:t>
      </w:r>
      <w:r w:rsidR="005F7684" w:rsidRPr="00DF2B0D">
        <w:t>O</w:t>
      </w:r>
      <w:r w:rsidR="005F7684" w:rsidRPr="00DF2B0D">
        <w:rPr>
          <w:vertAlign w:val="subscript"/>
        </w:rPr>
        <w:t>4</w:t>
      </w:r>
      <w:r w:rsidR="005F7684">
        <w:rPr>
          <w:vertAlign w:val="subscript"/>
        </w:rPr>
        <w:t>.06</w:t>
      </w:r>
      <w:r w:rsidRPr="00DF2B0D">
        <w:rPr>
          <w:vertAlign w:val="subscript"/>
        </w:rPr>
        <w:t xml:space="preserve"> </w:t>
      </w:r>
      <w:r w:rsidRPr="00DF2B0D">
        <w:t>composition be</w:t>
      </w:r>
      <w:r w:rsidR="00FB3068">
        <w:t xml:space="preserve">tween 500 </w:t>
      </w:r>
      <w:r w:rsidR="00FB3068" w:rsidRPr="00DF2B0D">
        <w:t>°C</w:t>
      </w:r>
      <w:r w:rsidR="00FB3068">
        <w:t xml:space="preserve">  and</w:t>
      </w:r>
      <w:r w:rsidRPr="00DF2B0D">
        <w:t xml:space="preserve"> 650 °C was successfully refined using</w:t>
      </w:r>
      <w:r w:rsidR="0072447A" w:rsidRPr="00DF2B0D">
        <w:t xml:space="preserve"> the</w:t>
      </w:r>
      <w:r w:rsidRPr="00DF2B0D">
        <w:t xml:space="preserve"> </w:t>
      </w:r>
      <w:r w:rsidRPr="00DF2B0D">
        <w:rPr>
          <w:i/>
        </w:rPr>
        <w:t>I</w:t>
      </w:r>
      <w:r w:rsidRPr="00DF2B0D">
        <w:t>4</w:t>
      </w:r>
      <w:r w:rsidRPr="00DF2B0D">
        <w:rPr>
          <w:vertAlign w:val="subscript"/>
        </w:rPr>
        <w:t>1</w:t>
      </w:r>
      <w:r w:rsidRPr="00DF2B0D">
        <w:rPr>
          <w:i/>
        </w:rPr>
        <w:t>/a</w:t>
      </w:r>
      <w:r w:rsidRPr="00DF2B0D">
        <w:t>(</w:t>
      </w:r>
      <w:r w:rsidRPr="00DF2B0D">
        <w:rPr>
          <w:i/>
        </w:rPr>
        <w:t>α</w:t>
      </w:r>
      <w:r w:rsidRPr="00DF2B0D">
        <w:t>,</w:t>
      </w:r>
      <w:r w:rsidRPr="00DF2B0D">
        <w:rPr>
          <w:i/>
        </w:rPr>
        <w:t>β</w:t>
      </w:r>
      <w:r w:rsidRPr="00DF2B0D">
        <w:t>,0)00(</w:t>
      </w:r>
      <w:r w:rsidRPr="00DF2B0D">
        <w:rPr>
          <w:i/>
        </w:rPr>
        <w:t>-β</w:t>
      </w:r>
      <w:r w:rsidRPr="00DF2B0D">
        <w:t>,</w:t>
      </w:r>
      <w:r w:rsidRPr="00DF2B0D">
        <w:rPr>
          <w:i/>
        </w:rPr>
        <w:t>α</w:t>
      </w:r>
      <w:r w:rsidRPr="00DF2B0D">
        <w:t>,0)00 superspace group. The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composition, on the other hand, maintains its modulated structure till 800 °C. Attempts were made to pinpoint the position of the interstitial oxygen in the LaNb</w:t>
      </w:r>
      <w:r w:rsidRPr="00DF2B0D">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Pr="00DF2B0D">
        <w:t xml:space="preserve"> composition at 500 °C, </w:t>
      </w:r>
      <w:r w:rsidR="006B45D7">
        <w:t>and</w:t>
      </w:r>
      <w:r w:rsidRPr="00DF2B0D">
        <w:t xml:space="preserve"> </w:t>
      </w:r>
      <w:r w:rsidR="00D10B95" w:rsidRPr="00C06FEA">
        <w:rPr>
          <w:vertAlign w:val="superscript"/>
        </w:rPr>
        <w:t>93</w:t>
      </w:r>
      <w:r w:rsidR="00D10B95">
        <w:t xml:space="preserve">Nb MAS NMR data </w:t>
      </w:r>
      <w:r w:rsidR="00D10B95" w:rsidRPr="00D10B95">
        <w:t xml:space="preserve">suggests </w:t>
      </w:r>
      <w:r w:rsidR="00D10B95" w:rsidRPr="00C06FEA">
        <w:rPr>
          <w:szCs w:val="24"/>
        </w:rPr>
        <w:t xml:space="preserve">the presence of </w:t>
      </w:r>
      <w:r w:rsidR="00D10B95">
        <w:rPr>
          <w:szCs w:val="24"/>
        </w:rPr>
        <w:t xml:space="preserve">a </w:t>
      </w:r>
      <w:r w:rsidR="00D10B95" w:rsidRPr="00C06FEA">
        <w:rPr>
          <w:szCs w:val="24"/>
        </w:rPr>
        <w:t xml:space="preserve">distorted site tentatively ascribed to Nb near an interstitial </w:t>
      </w:r>
      <w:r w:rsidR="00D10B95">
        <w:rPr>
          <w:szCs w:val="24"/>
        </w:rPr>
        <w:t xml:space="preserve">ion. </w:t>
      </w:r>
      <w:r w:rsidR="00D10B95">
        <w:t>T</w:t>
      </w:r>
      <w:r w:rsidRPr="00DF2B0D">
        <w:t>he refinement suggests a non-localized distribution of the interstitial oxygen</w:t>
      </w:r>
      <w:r w:rsidR="00531908">
        <w:t xml:space="preserve"> that agrees with the distribution of </w:t>
      </w:r>
      <w:r w:rsidR="0097424C" w:rsidRPr="0097424C">
        <w:rPr>
          <w:vertAlign w:val="superscript"/>
        </w:rPr>
        <w:t>17</w:t>
      </w:r>
      <w:r w:rsidR="0097424C">
        <w:t xml:space="preserve">O </w:t>
      </w:r>
      <w:r w:rsidR="00531908">
        <w:t xml:space="preserve">shifts observed in the </w:t>
      </w:r>
      <w:r w:rsidR="0097424C">
        <w:t xml:space="preserve">MAS NMR </w:t>
      </w:r>
      <w:r w:rsidR="00531908">
        <w:t xml:space="preserve">spectra. </w:t>
      </w:r>
      <w:r w:rsidRPr="00DF2B0D">
        <w:t xml:space="preserve">It is possible that an extended structural model that incorporates interstitials as lattice ions is required to fully describe the structure. </w:t>
      </w:r>
      <w:r w:rsidR="004F1A2C" w:rsidRPr="00DF2B0D">
        <w:t xml:space="preserve">Based on the diffraction and thermal analysis data, the phase diagram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004F1A2C" w:rsidRPr="00DF2B0D">
        <w:rPr>
          <w:vertAlign w:val="subscript"/>
        </w:rPr>
        <w:t xml:space="preserve"> </w:t>
      </w:r>
      <w:r w:rsidR="004F1A2C" w:rsidRPr="00DF2B0D">
        <w:t xml:space="preserve">is drawn, which highlights the complex transitions between a modulated monoclinic phase, a modulated tetragonal phase and a disordered tetragonal. </w:t>
      </w:r>
    </w:p>
    <w:p w14:paraId="37BC4791" w14:textId="77777777" w:rsidR="00C06FEA" w:rsidRDefault="00C06FEA" w:rsidP="001B664E">
      <w:pPr>
        <w:rPr>
          <w:b/>
          <w:bCs/>
          <w:sz w:val="28"/>
          <w:szCs w:val="28"/>
        </w:rPr>
      </w:pPr>
    </w:p>
    <w:p w14:paraId="234E44D1" w14:textId="77777777" w:rsidR="00F2429B" w:rsidRDefault="00F2429B">
      <w:pPr>
        <w:spacing w:before="0" w:after="200" w:line="276" w:lineRule="auto"/>
        <w:jc w:val="left"/>
        <w:rPr>
          <w:rFonts w:eastAsiaTheme="majorEastAsia" w:cstheme="majorBidi"/>
          <w:b/>
          <w:bCs/>
          <w:sz w:val="28"/>
          <w:szCs w:val="28"/>
        </w:rPr>
      </w:pPr>
      <w:r>
        <w:br w:type="page"/>
      </w:r>
    </w:p>
    <w:p w14:paraId="22286180" w14:textId="7949E7CB" w:rsidR="000066B4" w:rsidRDefault="00D96807" w:rsidP="00057994">
      <w:pPr>
        <w:pStyle w:val="Heading1"/>
        <w:numPr>
          <w:ilvl w:val="0"/>
          <w:numId w:val="0"/>
        </w:numPr>
        <w:ind w:left="432" w:hanging="432"/>
      </w:pPr>
      <w:r w:rsidRPr="007E425A">
        <w:lastRenderedPageBreak/>
        <w:t>Acknowledgements</w:t>
      </w:r>
    </w:p>
    <w:p w14:paraId="221BD4A2" w14:textId="63782718" w:rsidR="0097424C" w:rsidRPr="0055717F" w:rsidRDefault="009727FE" w:rsidP="00AA0394">
      <w:pPr>
        <w:pStyle w:val="NormalWeb"/>
        <w:spacing w:before="120" w:beforeAutospacing="0" w:after="120" w:afterAutospacing="0" w:line="360" w:lineRule="auto"/>
      </w:pPr>
      <w:r w:rsidRPr="0055717F">
        <w:rPr>
          <w:rFonts w:ascii="Courier New" w:hAnsi="Courier New" w:cs="Courier New"/>
        </w:rPr>
        <w:t>﻿</w:t>
      </w:r>
      <w:r w:rsidR="0097424C" w:rsidRPr="0055717F">
        <w:t xml:space="preserve">The authors </w:t>
      </w:r>
      <w:r w:rsidR="00AA0394" w:rsidRPr="0055717F">
        <w:t xml:space="preserve">acknowledge funding from the </w:t>
      </w:r>
      <w:r w:rsidR="0097424C" w:rsidRPr="0055717F">
        <w:t>EPSRC for</w:t>
      </w:r>
      <w:r w:rsidR="00AA0394" w:rsidRPr="0055717F">
        <w:t xml:space="preserve"> a studentship to</w:t>
      </w:r>
      <w:r w:rsidR="0097424C" w:rsidRPr="0055717F">
        <w:t xml:space="preserve"> R.D.B.</w:t>
      </w:r>
      <w:r w:rsidR="00AA0394" w:rsidRPr="0055717F">
        <w:t>,</w:t>
      </w:r>
      <w:r w:rsidR="0097424C" w:rsidRPr="0055717F">
        <w:t xml:space="preserve"> </w:t>
      </w:r>
      <w:r w:rsidR="00AA0394" w:rsidRPr="0055717F">
        <w:t xml:space="preserve">the EU Marie Curie actions for an International Incoming Fellowship 2011-2013 (grant 275212) to F.B., Clare Hall at the University of Cambridge for a Research Fellowship to F.B., </w:t>
      </w:r>
      <w:r w:rsidR="0097424C" w:rsidRPr="0055717F">
        <w:t>the EU ERC for an Advanced Fellowship</w:t>
      </w:r>
      <w:r w:rsidR="00AA0394" w:rsidRPr="0055717F">
        <w:t xml:space="preserve"> (LIBNMR) to C.P.G.</w:t>
      </w:r>
      <w:r w:rsidR="0097424C" w:rsidRPr="0055717F">
        <w:t xml:space="preserve"> We thank Matthew T. Dunstan for recording the XRD patterns of </w:t>
      </w:r>
      <w:r w:rsidR="00AA0394" w:rsidRPr="0055717F">
        <w:rPr>
          <w:vertAlign w:val="superscript"/>
        </w:rPr>
        <w:t>17</w:t>
      </w:r>
      <w:r w:rsidR="0097424C" w:rsidRPr="0055717F">
        <w:t>O enriched LaNbO</w:t>
      </w:r>
      <w:r w:rsidR="00AA0394" w:rsidRPr="0055717F">
        <w:rPr>
          <w:vertAlign w:val="subscript"/>
        </w:rPr>
        <w:t>4</w:t>
      </w:r>
      <w:r w:rsidR="0097424C" w:rsidRPr="0055717F">
        <w:rPr>
          <w:position w:val="-2"/>
        </w:rPr>
        <w:t xml:space="preserve"> </w:t>
      </w:r>
      <w:r w:rsidR="0097424C" w:rsidRPr="0055717F">
        <w:t>and LaNb</w:t>
      </w:r>
      <w:r w:rsidR="00AA0394" w:rsidRPr="0055717F">
        <w:rPr>
          <w:vertAlign w:val="subscript"/>
        </w:rPr>
        <w:t>0.84</w:t>
      </w:r>
      <w:r w:rsidR="002524DD" w:rsidRPr="00DF2B0D">
        <w:t>W</w:t>
      </w:r>
      <w:r w:rsidR="002524DD" w:rsidRPr="00DF2B0D">
        <w:rPr>
          <w:vertAlign w:val="subscript"/>
        </w:rPr>
        <w:t>0.16</w:t>
      </w:r>
      <w:r w:rsidR="002524DD" w:rsidRPr="00DF2B0D">
        <w:t>O</w:t>
      </w:r>
      <w:r w:rsidR="002524DD" w:rsidRPr="00DF2B0D">
        <w:rPr>
          <w:vertAlign w:val="subscript"/>
        </w:rPr>
        <w:t>4</w:t>
      </w:r>
      <w:r w:rsidR="002524DD">
        <w:rPr>
          <w:vertAlign w:val="subscript"/>
        </w:rPr>
        <w:t>.08</w:t>
      </w:r>
      <w:r w:rsidR="0097424C" w:rsidRPr="0055717F">
        <w:t xml:space="preserve">. </w:t>
      </w:r>
      <w:r w:rsidR="00D41FB7" w:rsidRPr="0055717F">
        <w:rPr>
          <w:shd w:val="clear" w:color="auto" w:fill="FFFFFF"/>
        </w:rPr>
        <w:t xml:space="preserve">We gratefully acknowledge the Science and Technology Facilities Council (STFC) for access to neutron beamtime at HRPD, </w:t>
      </w:r>
      <w:r w:rsidR="00D41FB7" w:rsidRPr="00ED0089">
        <w:rPr>
          <w:shd w:val="clear" w:color="auto" w:fill="FFFFFF"/>
        </w:rPr>
        <w:t>ISIS</w:t>
      </w:r>
      <w:r w:rsidR="00325B58">
        <w:rPr>
          <w:shd w:val="clear" w:color="auto" w:fill="FFFFFF"/>
        </w:rPr>
        <w:t xml:space="preserve"> (RB1410098)</w:t>
      </w:r>
      <w:r w:rsidR="00D41FB7" w:rsidRPr="00ED0089">
        <w:t xml:space="preserve">. </w:t>
      </w:r>
      <w:r w:rsidR="00ED0089" w:rsidRPr="00C06FEA">
        <w:t>The UK 850 MHz solid-state NMR Facility used in this research was funded by EPSRC and BBSRC, as well as the University of Warwick including via part funding through Birmingham Science City Advanced Materials Projects 1 and 2 supported by Advantage West Midlands (AWM) and the European Regional Development Fund (ERDF). Collaborative assistance from the 850 MHz Facility Manager (Dr. Dinu Iuga, University of Warwick) is acknowledged.</w:t>
      </w:r>
    </w:p>
    <w:p w14:paraId="10B340CD" w14:textId="7FBD964D" w:rsidR="00B51A03" w:rsidRPr="007E425A" w:rsidRDefault="00D96807" w:rsidP="00057994">
      <w:pPr>
        <w:pStyle w:val="Heading1"/>
        <w:numPr>
          <w:ilvl w:val="0"/>
          <w:numId w:val="0"/>
        </w:numPr>
        <w:ind w:left="432" w:hanging="432"/>
      </w:pPr>
      <w:r w:rsidRPr="007E425A">
        <w:t>Supporting Information</w:t>
      </w:r>
    </w:p>
    <w:p w14:paraId="745C5F12" w14:textId="46CCDF1D" w:rsidR="00B51A03" w:rsidRDefault="00D96807" w:rsidP="001B664E">
      <w:r>
        <w:t>Figures S1-S</w:t>
      </w:r>
      <w:r w:rsidR="00272F45">
        <w:rPr>
          <w:rFonts w:hint="eastAsia"/>
        </w:rPr>
        <w:t>1</w:t>
      </w:r>
      <w:r w:rsidR="008A16B5">
        <w:t>1</w:t>
      </w:r>
      <w:r>
        <w:t xml:space="preserve"> and additional text are included in the supporting information document. </w:t>
      </w:r>
    </w:p>
    <w:p w14:paraId="648DAB41" w14:textId="320124EA" w:rsidR="00DA5B5C" w:rsidRDefault="00DA5B5C">
      <w:pPr>
        <w:spacing w:before="0" w:after="200" w:line="276" w:lineRule="auto"/>
        <w:jc w:val="left"/>
        <w:rPr>
          <w:b/>
          <w:bCs/>
          <w:sz w:val="28"/>
          <w:szCs w:val="24"/>
        </w:rPr>
      </w:pPr>
      <w:r>
        <w:rPr>
          <w:b/>
          <w:bCs/>
          <w:sz w:val="28"/>
          <w:szCs w:val="24"/>
        </w:rPr>
        <w:br w:type="page"/>
      </w:r>
    </w:p>
    <w:p w14:paraId="3C984170" w14:textId="1C1ECC3B" w:rsidR="00DA5B5C" w:rsidRPr="00DA5B5C" w:rsidRDefault="00DA5B5C" w:rsidP="00057994">
      <w:pPr>
        <w:pStyle w:val="Heading1"/>
        <w:numPr>
          <w:ilvl w:val="0"/>
          <w:numId w:val="0"/>
        </w:numPr>
        <w:ind w:left="432" w:hanging="432"/>
        <w:rPr>
          <w:strike/>
        </w:rPr>
      </w:pPr>
      <w:r w:rsidRPr="00DA5B5C">
        <w:lastRenderedPageBreak/>
        <w:t>References</w:t>
      </w:r>
      <w:bookmarkStart w:id="55" w:name="_GoBack"/>
      <w:bookmarkEnd w:id="55"/>
    </w:p>
    <w:bookmarkStart w:id="56" w:name="_Hlk31113656"/>
    <w:p w14:paraId="7D702B71" w14:textId="7CF9AA42" w:rsidR="000A4126" w:rsidRPr="000A4126" w:rsidRDefault="00DA5B5C" w:rsidP="000A4126">
      <w:pPr>
        <w:widowControl w:val="0"/>
        <w:autoSpaceDE w:val="0"/>
        <w:autoSpaceDN w:val="0"/>
        <w:adjustRightInd w:val="0"/>
        <w:spacing w:before="0" w:after="200" w:line="240" w:lineRule="auto"/>
        <w:ind w:left="640" w:hanging="640"/>
        <w:rPr>
          <w:rFonts w:cs="Times New Roman"/>
          <w:noProof/>
          <w:szCs w:val="24"/>
        </w:rPr>
      </w:pPr>
      <w:r w:rsidRPr="00DA5B5C">
        <w:rPr>
          <w:b/>
          <w:bCs/>
          <w:szCs w:val="24"/>
        </w:rPr>
        <w:fldChar w:fldCharType="begin" w:fldLock="1"/>
      </w:r>
      <w:r w:rsidRPr="00DA5B5C">
        <w:rPr>
          <w:b/>
          <w:bCs/>
          <w:szCs w:val="24"/>
        </w:rPr>
        <w:instrText xml:space="preserve">ADDIN Mendeley Bibliography CSL_BIBLIOGRAPHY </w:instrText>
      </w:r>
      <w:r w:rsidRPr="00DA5B5C">
        <w:rPr>
          <w:b/>
          <w:bCs/>
          <w:szCs w:val="24"/>
        </w:rPr>
        <w:fldChar w:fldCharType="separate"/>
      </w:r>
      <w:r w:rsidR="000A4126" w:rsidRPr="000A4126">
        <w:rPr>
          <w:rFonts w:cs="Times New Roman"/>
          <w:noProof/>
          <w:szCs w:val="24"/>
        </w:rPr>
        <w:t xml:space="preserve">(1) </w:t>
      </w:r>
      <w:r w:rsidR="000A4126" w:rsidRPr="000A4126">
        <w:rPr>
          <w:rFonts w:cs="Times New Roman"/>
          <w:noProof/>
          <w:szCs w:val="24"/>
        </w:rPr>
        <w:tab/>
        <w:t>Huang, K.; Feng, M.; Goodenough, J. B. Synthesis and Electrical Properties of Dense Ce</w:t>
      </w:r>
      <w:r w:rsidR="000A4126" w:rsidRPr="000A4126">
        <w:rPr>
          <w:rFonts w:cs="Times New Roman"/>
          <w:noProof/>
          <w:szCs w:val="24"/>
          <w:vertAlign w:val="subscript"/>
        </w:rPr>
        <w:t>0.9</w:t>
      </w:r>
      <w:r w:rsidR="000A4126" w:rsidRPr="000A4126">
        <w:rPr>
          <w:rFonts w:cs="Times New Roman"/>
          <w:noProof/>
          <w:szCs w:val="24"/>
        </w:rPr>
        <w:t>Gd</w:t>
      </w:r>
      <w:r w:rsidR="000A4126" w:rsidRPr="000A4126">
        <w:rPr>
          <w:rFonts w:cs="Times New Roman"/>
          <w:noProof/>
          <w:szCs w:val="24"/>
          <w:vertAlign w:val="subscript"/>
        </w:rPr>
        <w:t>0.1</w:t>
      </w:r>
      <w:r w:rsidR="000A4126" w:rsidRPr="000A4126">
        <w:rPr>
          <w:rFonts w:cs="Times New Roman"/>
          <w:noProof/>
          <w:szCs w:val="24"/>
        </w:rPr>
        <w:t>O</w:t>
      </w:r>
      <w:r w:rsidR="000A4126" w:rsidRPr="000A4126">
        <w:rPr>
          <w:rFonts w:cs="Times New Roman"/>
          <w:noProof/>
          <w:szCs w:val="24"/>
          <w:vertAlign w:val="subscript"/>
        </w:rPr>
        <w:t>1.95</w:t>
      </w:r>
      <w:r w:rsidR="000A4126" w:rsidRPr="000A4126">
        <w:rPr>
          <w:rFonts w:cs="Times New Roman"/>
          <w:noProof/>
          <w:szCs w:val="24"/>
        </w:rPr>
        <w:t xml:space="preserve"> Ceramics. </w:t>
      </w:r>
      <w:r w:rsidR="000A4126" w:rsidRPr="000A4126">
        <w:rPr>
          <w:rFonts w:cs="Times New Roman"/>
          <w:i/>
          <w:iCs/>
          <w:noProof/>
          <w:szCs w:val="24"/>
        </w:rPr>
        <w:t>J. Am. Ceram. Soc.</w:t>
      </w:r>
      <w:r w:rsidR="000A4126" w:rsidRPr="000A4126">
        <w:rPr>
          <w:rFonts w:cs="Times New Roman"/>
          <w:noProof/>
          <w:szCs w:val="24"/>
        </w:rPr>
        <w:t xml:space="preserve"> </w:t>
      </w:r>
      <w:r w:rsidR="000A4126" w:rsidRPr="000A4126">
        <w:rPr>
          <w:rFonts w:cs="Times New Roman"/>
          <w:b/>
          <w:bCs/>
          <w:noProof/>
          <w:szCs w:val="24"/>
        </w:rPr>
        <w:t>2005</w:t>
      </w:r>
      <w:r w:rsidR="000A4126" w:rsidRPr="000A4126">
        <w:rPr>
          <w:rFonts w:cs="Times New Roman"/>
          <w:noProof/>
          <w:szCs w:val="24"/>
        </w:rPr>
        <w:t xml:space="preserve">, </w:t>
      </w:r>
      <w:r w:rsidR="000A4126" w:rsidRPr="000A4126">
        <w:rPr>
          <w:rFonts w:cs="Times New Roman"/>
          <w:i/>
          <w:iCs/>
          <w:noProof/>
          <w:szCs w:val="24"/>
        </w:rPr>
        <w:t>81</w:t>
      </w:r>
      <w:r w:rsidR="000A4126" w:rsidRPr="000A4126">
        <w:rPr>
          <w:rFonts w:cs="Times New Roman"/>
          <w:noProof/>
          <w:szCs w:val="24"/>
        </w:rPr>
        <w:t>, 357–362.</w:t>
      </w:r>
    </w:p>
    <w:p w14:paraId="533F84A9"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 </w:t>
      </w:r>
      <w:r w:rsidRPr="000A4126">
        <w:rPr>
          <w:rFonts w:cs="Times New Roman"/>
          <w:noProof/>
          <w:szCs w:val="24"/>
        </w:rPr>
        <w:tab/>
        <w:t>Huang, K.; Tichy, R. S.; Goodenough, J. B. Superior Perovskite Oxide-Ion Conductor; Strontium- and Magnesium-Doped LaGaO</w:t>
      </w:r>
      <w:r w:rsidRPr="000A4126">
        <w:rPr>
          <w:rFonts w:cs="Times New Roman"/>
          <w:noProof/>
          <w:szCs w:val="24"/>
          <w:vertAlign w:val="subscript"/>
        </w:rPr>
        <w:t>3</w:t>
      </w:r>
      <w:r w:rsidRPr="000A4126">
        <w:rPr>
          <w:rFonts w:cs="Times New Roman"/>
          <w:noProof/>
          <w:szCs w:val="24"/>
        </w:rPr>
        <w:t xml:space="preserve">: I, Phase Relationships and Electrical Properties. </w:t>
      </w:r>
      <w:r w:rsidRPr="000A4126">
        <w:rPr>
          <w:rFonts w:cs="Times New Roman"/>
          <w:i/>
          <w:iCs/>
          <w:noProof/>
          <w:szCs w:val="24"/>
        </w:rPr>
        <w:t>J. Am. Ceram. Soc.</w:t>
      </w:r>
      <w:r w:rsidRPr="000A4126">
        <w:rPr>
          <w:rFonts w:cs="Times New Roman"/>
          <w:noProof/>
          <w:szCs w:val="24"/>
        </w:rPr>
        <w:t xml:space="preserve"> </w:t>
      </w:r>
      <w:r w:rsidRPr="000A4126">
        <w:rPr>
          <w:rFonts w:cs="Times New Roman"/>
          <w:b/>
          <w:bCs/>
          <w:noProof/>
          <w:szCs w:val="24"/>
        </w:rPr>
        <w:t>2005</w:t>
      </w:r>
      <w:r w:rsidRPr="000A4126">
        <w:rPr>
          <w:rFonts w:cs="Times New Roman"/>
          <w:noProof/>
          <w:szCs w:val="24"/>
        </w:rPr>
        <w:t xml:space="preserve">, </w:t>
      </w:r>
      <w:r w:rsidRPr="000A4126">
        <w:rPr>
          <w:rFonts w:cs="Times New Roman"/>
          <w:i/>
          <w:iCs/>
          <w:noProof/>
          <w:szCs w:val="24"/>
        </w:rPr>
        <w:t>81</w:t>
      </w:r>
      <w:r w:rsidRPr="000A4126">
        <w:rPr>
          <w:rFonts w:cs="Times New Roman"/>
          <w:noProof/>
          <w:szCs w:val="24"/>
        </w:rPr>
        <w:t>, 2565–2575.</w:t>
      </w:r>
    </w:p>
    <w:p w14:paraId="46D135EA"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 </w:t>
      </w:r>
      <w:r w:rsidRPr="000A4126">
        <w:rPr>
          <w:rFonts w:cs="Times New Roman"/>
          <w:noProof/>
          <w:szCs w:val="24"/>
        </w:rPr>
        <w:tab/>
        <w:t>Lacorre, P.; Goutenoire, F.; Bohnke, O.; Retoux, R.; Lallgant, Y. Designing Fast Oxide-Ion Conductors Based on La</w:t>
      </w:r>
      <w:r w:rsidRPr="000A4126">
        <w:rPr>
          <w:rFonts w:cs="Times New Roman"/>
          <w:noProof/>
          <w:szCs w:val="24"/>
          <w:vertAlign w:val="subscript"/>
        </w:rPr>
        <w:t>2</w:t>
      </w:r>
      <w:r w:rsidRPr="000A4126">
        <w:rPr>
          <w:rFonts w:cs="Times New Roman"/>
          <w:noProof/>
          <w:szCs w:val="24"/>
        </w:rPr>
        <w:t>Mo</w:t>
      </w:r>
      <w:r w:rsidRPr="000A4126">
        <w:rPr>
          <w:rFonts w:cs="Times New Roman"/>
          <w:noProof/>
          <w:szCs w:val="24"/>
          <w:vertAlign w:val="subscript"/>
        </w:rPr>
        <w:t>2</w:t>
      </w:r>
      <w:r w:rsidRPr="000A4126">
        <w:rPr>
          <w:rFonts w:cs="Times New Roman"/>
          <w:noProof/>
          <w:szCs w:val="24"/>
        </w:rPr>
        <w:t>O</w:t>
      </w:r>
      <w:r w:rsidRPr="000A4126">
        <w:rPr>
          <w:rFonts w:cs="Times New Roman"/>
          <w:noProof/>
          <w:szCs w:val="24"/>
          <w:vertAlign w:val="subscript"/>
        </w:rPr>
        <w:t>9</w:t>
      </w:r>
      <w:r w:rsidRPr="000A4126">
        <w:rPr>
          <w:rFonts w:cs="Times New Roman"/>
          <w:noProof/>
          <w:szCs w:val="24"/>
        </w:rPr>
        <w:t xml:space="preserve">. </w:t>
      </w:r>
      <w:r w:rsidRPr="000A4126">
        <w:rPr>
          <w:rFonts w:cs="Times New Roman"/>
          <w:i/>
          <w:iCs/>
          <w:noProof/>
          <w:szCs w:val="24"/>
        </w:rPr>
        <w:t>Nature</w:t>
      </w:r>
      <w:r w:rsidRPr="000A4126">
        <w:rPr>
          <w:rFonts w:cs="Times New Roman"/>
          <w:noProof/>
          <w:szCs w:val="24"/>
        </w:rPr>
        <w:t xml:space="preserve"> </w:t>
      </w:r>
      <w:r w:rsidRPr="000A4126">
        <w:rPr>
          <w:rFonts w:cs="Times New Roman"/>
          <w:b/>
          <w:bCs/>
          <w:noProof/>
          <w:szCs w:val="24"/>
        </w:rPr>
        <w:t>2000</w:t>
      </w:r>
      <w:r w:rsidRPr="000A4126">
        <w:rPr>
          <w:rFonts w:cs="Times New Roman"/>
          <w:noProof/>
          <w:szCs w:val="24"/>
        </w:rPr>
        <w:t xml:space="preserve">, </w:t>
      </w:r>
      <w:r w:rsidRPr="000A4126">
        <w:rPr>
          <w:rFonts w:cs="Times New Roman"/>
          <w:i/>
          <w:iCs/>
          <w:noProof/>
          <w:szCs w:val="24"/>
        </w:rPr>
        <w:t>404</w:t>
      </w:r>
      <w:r w:rsidRPr="000A4126">
        <w:rPr>
          <w:rFonts w:cs="Times New Roman"/>
          <w:noProof/>
          <w:szCs w:val="24"/>
        </w:rPr>
        <w:t>, 856–858.</w:t>
      </w:r>
    </w:p>
    <w:p w14:paraId="630E28C6"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 </w:t>
      </w:r>
      <w:r w:rsidRPr="000A4126">
        <w:rPr>
          <w:rFonts w:cs="Times New Roman"/>
          <w:noProof/>
          <w:szCs w:val="24"/>
        </w:rPr>
        <w:tab/>
        <w:t>Pramana, S. S.; Klooster, W. T.; White, T. J. Framework Interstitial Oxygen in La</w:t>
      </w:r>
      <w:r w:rsidRPr="000A4126">
        <w:rPr>
          <w:rFonts w:cs="Times New Roman"/>
          <w:noProof/>
          <w:szCs w:val="24"/>
          <w:vertAlign w:val="subscript"/>
        </w:rPr>
        <w:t>10</w:t>
      </w:r>
      <w:r w:rsidRPr="000A4126">
        <w:rPr>
          <w:rFonts w:cs="Times New Roman"/>
          <w:noProof/>
          <w:szCs w:val="24"/>
        </w:rPr>
        <w:t>(GeO</w:t>
      </w:r>
      <w:r w:rsidRPr="000A4126">
        <w:rPr>
          <w:rFonts w:cs="Times New Roman"/>
          <w:noProof/>
          <w:szCs w:val="24"/>
          <w:vertAlign w:val="subscript"/>
        </w:rPr>
        <w:t>4</w:t>
      </w:r>
      <w:r w:rsidRPr="000A4126">
        <w:rPr>
          <w:rFonts w:cs="Times New Roman"/>
          <w:noProof/>
          <w:szCs w:val="24"/>
        </w:rPr>
        <w:t>)</w:t>
      </w:r>
      <w:r w:rsidRPr="000A4126">
        <w:rPr>
          <w:rFonts w:cs="Times New Roman"/>
          <w:noProof/>
          <w:szCs w:val="24"/>
          <w:vertAlign w:val="subscript"/>
        </w:rPr>
        <w:t>5</w:t>
      </w:r>
      <w:r w:rsidRPr="000A4126">
        <w:rPr>
          <w:rFonts w:cs="Times New Roman"/>
          <w:noProof/>
          <w:szCs w:val="24"/>
        </w:rPr>
        <w:t>-(GeO</w:t>
      </w:r>
      <w:r w:rsidRPr="000A4126">
        <w:rPr>
          <w:rFonts w:cs="Times New Roman"/>
          <w:noProof/>
          <w:szCs w:val="24"/>
          <w:vertAlign w:val="subscript"/>
        </w:rPr>
        <w:t>5</w:t>
      </w:r>
      <w:r w:rsidRPr="000A4126">
        <w:rPr>
          <w:rFonts w:cs="Times New Roman"/>
          <w:noProof/>
          <w:szCs w:val="24"/>
        </w:rPr>
        <w:t>)O</w:t>
      </w:r>
      <w:r w:rsidRPr="000A4126">
        <w:rPr>
          <w:rFonts w:cs="Times New Roman"/>
          <w:noProof/>
          <w:szCs w:val="24"/>
          <w:vertAlign w:val="subscript"/>
        </w:rPr>
        <w:t>2</w:t>
      </w:r>
      <w:r w:rsidRPr="000A4126">
        <w:rPr>
          <w:rFonts w:cs="Times New Roman"/>
          <w:noProof/>
          <w:szCs w:val="24"/>
        </w:rPr>
        <w:t xml:space="preserve"> Apatite Electrolyte. </w:t>
      </w:r>
      <w:r w:rsidRPr="000A4126">
        <w:rPr>
          <w:rFonts w:cs="Times New Roman"/>
          <w:i/>
          <w:iCs/>
          <w:noProof/>
          <w:szCs w:val="24"/>
        </w:rPr>
        <w:t>Acta Crystallogr. Sect. B Struct. Sci.</w:t>
      </w:r>
      <w:r w:rsidRPr="000A4126">
        <w:rPr>
          <w:rFonts w:cs="Times New Roman"/>
          <w:noProof/>
          <w:szCs w:val="24"/>
        </w:rPr>
        <w:t xml:space="preserve"> </w:t>
      </w:r>
      <w:r w:rsidRPr="000A4126">
        <w:rPr>
          <w:rFonts w:cs="Times New Roman"/>
          <w:b/>
          <w:bCs/>
          <w:noProof/>
          <w:szCs w:val="24"/>
        </w:rPr>
        <w:t>2007</w:t>
      </w:r>
      <w:r w:rsidRPr="000A4126">
        <w:rPr>
          <w:rFonts w:cs="Times New Roman"/>
          <w:noProof/>
          <w:szCs w:val="24"/>
        </w:rPr>
        <w:t xml:space="preserve">, </w:t>
      </w:r>
      <w:r w:rsidRPr="000A4126">
        <w:rPr>
          <w:rFonts w:cs="Times New Roman"/>
          <w:i/>
          <w:iCs/>
          <w:noProof/>
          <w:szCs w:val="24"/>
        </w:rPr>
        <w:t>63</w:t>
      </w:r>
      <w:r w:rsidRPr="000A4126">
        <w:rPr>
          <w:rFonts w:cs="Times New Roman"/>
          <w:noProof/>
          <w:szCs w:val="24"/>
        </w:rPr>
        <w:t>, 597–602.</w:t>
      </w:r>
    </w:p>
    <w:p w14:paraId="313F1ACF"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 </w:t>
      </w:r>
      <w:r w:rsidRPr="000A4126">
        <w:rPr>
          <w:rFonts w:cs="Times New Roman"/>
          <w:noProof/>
          <w:szCs w:val="24"/>
        </w:rPr>
        <w:tab/>
        <w:t xml:space="preserve">Wei, F.; Gasparyan, H.; Keenan, P. J.; Gutmann, M.; Fang, Y.; Baikie, T.; Claridge, J. B.; Slater, P. R.; Kloc, C. L.; White, T. J. Anisotropic Oxide Ion Conduction in Melilite Intermediate Temperature Electrolytes. </w:t>
      </w:r>
      <w:r w:rsidRPr="000A4126">
        <w:rPr>
          <w:rFonts w:cs="Times New Roman"/>
          <w:i/>
          <w:iCs/>
          <w:noProof/>
          <w:szCs w:val="24"/>
        </w:rPr>
        <w:t>J. Mater. Chem. A</w:t>
      </w:r>
      <w:r w:rsidRPr="000A4126">
        <w:rPr>
          <w:rFonts w:cs="Times New Roman"/>
          <w:noProof/>
          <w:szCs w:val="24"/>
        </w:rPr>
        <w:t xml:space="preserve"> </w:t>
      </w:r>
      <w:r w:rsidRPr="000A4126">
        <w:rPr>
          <w:rFonts w:cs="Times New Roman"/>
          <w:b/>
          <w:bCs/>
          <w:noProof/>
          <w:szCs w:val="24"/>
        </w:rPr>
        <w:t>2015</w:t>
      </w:r>
      <w:r w:rsidRPr="000A4126">
        <w:rPr>
          <w:rFonts w:cs="Times New Roman"/>
          <w:noProof/>
          <w:szCs w:val="24"/>
        </w:rPr>
        <w:t xml:space="preserve">, </w:t>
      </w:r>
      <w:r w:rsidRPr="000A4126">
        <w:rPr>
          <w:rFonts w:cs="Times New Roman"/>
          <w:i/>
          <w:iCs/>
          <w:noProof/>
          <w:szCs w:val="24"/>
        </w:rPr>
        <w:t>3</w:t>
      </w:r>
      <w:r w:rsidRPr="000A4126">
        <w:rPr>
          <w:rFonts w:cs="Times New Roman"/>
          <w:noProof/>
          <w:szCs w:val="24"/>
        </w:rPr>
        <w:t>, 3091–3096.</w:t>
      </w:r>
    </w:p>
    <w:p w14:paraId="5CF439B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(6) </w:t>
      </w:r>
      <w:r w:rsidRPr="000A4126">
        <w:rPr>
          <w:rFonts w:cs="Times New Roman"/>
          <w:noProof/>
          <w:szCs w:val="24"/>
        </w:rPr>
        <w:tab/>
        <w:t>Tate, M. L.; Blom, D. A.; Avdeev, M.; Brand, H. E. A.; McIntyre, G. J.; Vogt, T.; Evans, I. R. New Apatite-Type Oxide Ion Conductor, Bi</w:t>
      </w:r>
      <w:r w:rsidRPr="000A4126">
        <w:rPr>
          <w:rFonts w:cs="Times New Roman"/>
          <w:noProof/>
          <w:szCs w:val="24"/>
          <w:vertAlign w:val="subscript"/>
        </w:rPr>
        <w:t>2</w:t>
      </w:r>
      <w:r w:rsidRPr="000A4126">
        <w:rPr>
          <w:rFonts w:cs="Times New Roman"/>
          <w:noProof/>
          <w:szCs w:val="24"/>
        </w:rPr>
        <w:t>La</w:t>
      </w:r>
      <w:r w:rsidRPr="000A4126">
        <w:rPr>
          <w:rFonts w:cs="Times New Roman"/>
          <w:noProof/>
          <w:szCs w:val="24"/>
          <w:vertAlign w:val="subscript"/>
        </w:rPr>
        <w:t>8</w:t>
      </w:r>
      <w:r w:rsidRPr="000A4126">
        <w:rPr>
          <w:rFonts w:cs="Times New Roman"/>
          <w:noProof/>
          <w:szCs w:val="24"/>
        </w:rPr>
        <w:t>[(GeO</w:t>
      </w:r>
      <w:r w:rsidRPr="000A4126">
        <w:rPr>
          <w:rFonts w:cs="Times New Roman"/>
          <w:noProof/>
          <w:szCs w:val="24"/>
          <w:vertAlign w:val="subscript"/>
        </w:rPr>
        <w:t>4</w:t>
      </w:r>
      <w:r w:rsidRPr="000A4126">
        <w:rPr>
          <w:rFonts w:cs="Times New Roman"/>
          <w:noProof/>
          <w:szCs w:val="24"/>
        </w:rPr>
        <w:t>)</w:t>
      </w:r>
      <w:r w:rsidRPr="000A4126">
        <w:rPr>
          <w:rFonts w:cs="Times New Roman"/>
          <w:noProof/>
          <w:szCs w:val="24"/>
          <w:vertAlign w:val="subscript"/>
        </w:rPr>
        <w:t>6</w:t>
      </w:r>
      <w:r w:rsidRPr="000A4126">
        <w:rPr>
          <w:rFonts w:cs="Times New Roman"/>
          <w:noProof/>
          <w:szCs w:val="24"/>
        </w:rPr>
        <w:t>]O</w:t>
      </w:r>
      <w:r w:rsidRPr="000A4126">
        <w:rPr>
          <w:rFonts w:cs="Times New Roman"/>
          <w:noProof/>
          <w:szCs w:val="24"/>
          <w:vertAlign w:val="subscript"/>
        </w:rPr>
        <w:t>3</w:t>
      </w:r>
      <w:r w:rsidRPr="000A4126">
        <w:rPr>
          <w:rFonts w:cs="Times New Roman"/>
          <w:noProof/>
          <w:szCs w:val="24"/>
        </w:rPr>
        <w:t xml:space="preserve">: Structure, Properties, and Direct Imaging of Low-Level Interstitial Oxygen Atoms Using Aberration-Corrected Scanning Transmission Electron Micr. </w:t>
      </w:r>
      <w:r w:rsidRPr="000A4126">
        <w:rPr>
          <w:rFonts w:cs="Times New Roman"/>
          <w:i/>
          <w:iCs/>
          <w:noProof/>
          <w:szCs w:val="24"/>
        </w:rPr>
        <w:t>Adv. Funct. Mater.</w:t>
      </w:r>
      <w:r w:rsidRPr="000A4126">
        <w:rPr>
          <w:rFonts w:cs="Times New Roman"/>
          <w:noProof/>
          <w:szCs w:val="24"/>
        </w:rPr>
        <w:t xml:space="preserve"> </w:t>
      </w:r>
      <w:r w:rsidRPr="000A4126">
        <w:rPr>
          <w:rFonts w:cs="Times New Roman"/>
          <w:b/>
          <w:bCs/>
          <w:noProof/>
          <w:szCs w:val="24"/>
        </w:rPr>
        <w:t>2017</w:t>
      </w:r>
      <w:r w:rsidRPr="000A4126">
        <w:rPr>
          <w:rFonts w:cs="Times New Roman"/>
          <w:noProof/>
          <w:szCs w:val="24"/>
        </w:rPr>
        <w:t xml:space="preserve">, </w:t>
      </w:r>
      <w:r w:rsidRPr="000A4126">
        <w:rPr>
          <w:rFonts w:cs="Times New Roman"/>
          <w:i/>
          <w:iCs/>
          <w:noProof/>
          <w:szCs w:val="24"/>
        </w:rPr>
        <w:t>27</w:t>
      </w:r>
      <w:r w:rsidRPr="000A4126">
        <w:rPr>
          <w:rFonts w:cs="Times New Roman"/>
          <w:noProof/>
          <w:szCs w:val="24"/>
        </w:rPr>
        <w:t>, 1605625.</w:t>
      </w:r>
    </w:p>
    <w:p w14:paraId="2057C687"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(7) </w:t>
      </w:r>
      <w:r w:rsidRPr="000A4126">
        <w:rPr>
          <w:rFonts w:cs="Times New Roman"/>
          <w:noProof/>
          <w:szCs w:val="24"/>
        </w:rPr>
        <w:tab/>
        <w:t xml:space="preserve">Kuang, X.; Green, M. A.; Niu, H.; Zajdel, P.; Dickinson, C.; Claridge, J. B.; Jantsky, L.; Rosseinsky, M. J. Interstitial Oxide Ion Conductivity in the Layered Tetrahedral Network Melilite Structure. </w:t>
      </w:r>
      <w:r w:rsidRPr="000A4126">
        <w:rPr>
          <w:rFonts w:cs="Times New Roman"/>
          <w:i/>
          <w:iCs/>
          <w:noProof/>
          <w:szCs w:val="24"/>
        </w:rPr>
        <w:t>Nat. Mater.</w:t>
      </w:r>
      <w:r w:rsidRPr="000A4126">
        <w:rPr>
          <w:rFonts w:cs="Times New Roman"/>
          <w:noProof/>
          <w:szCs w:val="24"/>
        </w:rPr>
        <w:t xml:space="preserve"> </w:t>
      </w:r>
      <w:r w:rsidRPr="000A4126">
        <w:rPr>
          <w:rFonts w:cs="Times New Roman"/>
          <w:b/>
          <w:bCs/>
          <w:noProof/>
          <w:szCs w:val="24"/>
        </w:rPr>
        <w:t>2008</w:t>
      </w:r>
      <w:r w:rsidRPr="000A4126">
        <w:rPr>
          <w:rFonts w:cs="Times New Roman"/>
          <w:noProof/>
          <w:szCs w:val="24"/>
        </w:rPr>
        <w:t xml:space="preserve">, </w:t>
      </w:r>
      <w:r w:rsidRPr="000A4126">
        <w:rPr>
          <w:rFonts w:cs="Times New Roman"/>
          <w:i/>
          <w:iCs/>
          <w:noProof/>
          <w:szCs w:val="24"/>
        </w:rPr>
        <w:t>7</w:t>
      </w:r>
      <w:r w:rsidRPr="000A4126">
        <w:rPr>
          <w:rFonts w:cs="Times New Roman"/>
          <w:noProof/>
          <w:szCs w:val="24"/>
        </w:rPr>
        <w:t>, 498–504.</w:t>
      </w:r>
    </w:p>
    <w:p w14:paraId="6267EBBA"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(8) </w:t>
      </w:r>
      <w:r w:rsidRPr="000A4126">
        <w:rPr>
          <w:rFonts w:cs="Times New Roman"/>
          <w:noProof/>
          <w:szCs w:val="24"/>
        </w:rPr>
        <w:tab/>
        <w:t>Magrasó, A.; Fontaine, M. L.; Larring, Y.; Bredesen, R.; Syvertsen, G. E.; Lein, H. L.; Grande, T.; Huse, M.; Strandbakke, R.; Haugsrud, R.; et al. Development of Proton Conducting SOFCs Based on LaNbO</w:t>
      </w:r>
      <w:r w:rsidRPr="000A4126">
        <w:rPr>
          <w:rFonts w:cs="Times New Roman"/>
          <w:noProof/>
          <w:szCs w:val="24"/>
          <w:vertAlign w:val="subscript"/>
        </w:rPr>
        <w:t>4</w:t>
      </w:r>
      <w:r w:rsidRPr="000A4126">
        <w:rPr>
          <w:rFonts w:cs="Times New Roman"/>
          <w:noProof/>
          <w:szCs w:val="24"/>
        </w:rPr>
        <w:t xml:space="preserve"> Electrolyte - Status in Norway. </w:t>
      </w:r>
      <w:r w:rsidRPr="000A4126">
        <w:rPr>
          <w:rFonts w:cs="Times New Roman"/>
          <w:i/>
          <w:iCs/>
          <w:noProof/>
          <w:szCs w:val="24"/>
        </w:rPr>
        <w:t>Fuel Cells</w:t>
      </w:r>
      <w:r w:rsidRPr="000A4126">
        <w:rPr>
          <w:rFonts w:cs="Times New Roman"/>
          <w:noProof/>
          <w:szCs w:val="24"/>
        </w:rPr>
        <w:t xml:space="preserve"> </w:t>
      </w:r>
      <w:r w:rsidRPr="000A4126">
        <w:rPr>
          <w:rFonts w:cs="Times New Roman"/>
          <w:b/>
          <w:bCs/>
          <w:noProof/>
          <w:szCs w:val="24"/>
        </w:rPr>
        <w:t>2011</w:t>
      </w:r>
      <w:r w:rsidRPr="000A4126">
        <w:rPr>
          <w:rFonts w:cs="Times New Roman"/>
          <w:noProof/>
          <w:szCs w:val="24"/>
        </w:rPr>
        <w:t xml:space="preserve">, </w:t>
      </w:r>
      <w:r w:rsidRPr="000A4126">
        <w:rPr>
          <w:rFonts w:cs="Times New Roman"/>
          <w:i/>
          <w:iCs/>
          <w:noProof/>
          <w:szCs w:val="24"/>
        </w:rPr>
        <w:t>11</w:t>
      </w:r>
      <w:r w:rsidRPr="000A4126">
        <w:rPr>
          <w:rFonts w:cs="Times New Roman"/>
          <w:noProof/>
          <w:szCs w:val="24"/>
        </w:rPr>
        <w:t>, 17–25.</w:t>
      </w:r>
    </w:p>
    <w:p w14:paraId="47CB31B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(9) </w:t>
      </w:r>
      <w:r w:rsidRPr="000A4126">
        <w:rPr>
          <w:rFonts w:cs="Times New Roman"/>
          <w:noProof/>
          <w:szCs w:val="24"/>
        </w:rPr>
        <w:tab/>
        <w:t xml:space="preserve">Packer, R. J.; Tsipis, E. V.; Munnings, C. N.; Kharton, V. V.; Skinner, S. J.; Frade, J. R. Diffusion and Conductivity Properties of Cerium Niobate.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2006</w:t>
      </w:r>
      <w:r w:rsidRPr="000A4126">
        <w:rPr>
          <w:rFonts w:cs="Times New Roman"/>
          <w:noProof/>
          <w:szCs w:val="24"/>
        </w:rPr>
        <w:t xml:space="preserve">, </w:t>
      </w:r>
      <w:r w:rsidRPr="000A4126">
        <w:rPr>
          <w:rFonts w:cs="Times New Roman"/>
          <w:i/>
          <w:iCs/>
          <w:noProof/>
          <w:szCs w:val="24"/>
        </w:rPr>
        <w:t>177</w:t>
      </w:r>
      <w:r w:rsidRPr="000A4126">
        <w:rPr>
          <w:rFonts w:cs="Times New Roman"/>
          <w:noProof/>
          <w:szCs w:val="24"/>
        </w:rPr>
        <w:t>, 2059–2064.</w:t>
      </w:r>
    </w:p>
    <w:p w14:paraId="593FDA1A"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(10) </w:t>
      </w:r>
      <w:r w:rsidRPr="000A4126">
        <w:rPr>
          <w:rFonts w:cs="Times New Roman"/>
          <w:noProof/>
          <w:szCs w:val="24"/>
        </w:rPr>
        <w:tab/>
        <w:t xml:space="preserve">Esaka, T. Ionic Conduction in Substituted Scheelite-Type Oxides.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2000</w:t>
      </w:r>
      <w:r w:rsidRPr="000A4126">
        <w:rPr>
          <w:rFonts w:cs="Times New Roman"/>
          <w:noProof/>
          <w:szCs w:val="24"/>
        </w:rPr>
        <w:t xml:space="preserve">, </w:t>
      </w:r>
      <w:r w:rsidRPr="000A4126">
        <w:rPr>
          <w:rFonts w:cs="Times New Roman"/>
          <w:i/>
          <w:iCs/>
          <w:noProof/>
          <w:szCs w:val="24"/>
        </w:rPr>
        <w:t>136</w:t>
      </w:r>
      <w:r w:rsidRPr="000A4126">
        <w:rPr>
          <w:rFonts w:cs="Times New Roman"/>
          <w:noProof/>
          <w:szCs w:val="24"/>
        </w:rPr>
        <w:t>–</w:t>
      </w:r>
      <w:r w:rsidRPr="000A4126">
        <w:rPr>
          <w:rFonts w:cs="Times New Roman"/>
          <w:i/>
          <w:iCs/>
          <w:noProof/>
          <w:szCs w:val="24"/>
        </w:rPr>
        <w:t>137</w:t>
      </w:r>
      <w:r w:rsidRPr="000A4126">
        <w:rPr>
          <w:rFonts w:cs="Times New Roman"/>
          <w:noProof/>
          <w:szCs w:val="24"/>
        </w:rPr>
        <w:t>, 1–9.</w:t>
      </w:r>
    </w:p>
    <w:p w14:paraId="019F0B5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(11) </w:t>
      </w:r>
      <w:r w:rsidRPr="000A4126">
        <w:rPr>
          <w:rFonts w:cs="Times New Roman"/>
          <w:noProof/>
          <w:szCs w:val="24"/>
        </w:rPr>
        <w:tab/>
        <w:t xml:space="preserve">Wachowski, S.; Mielewczyk-Gryń, A.; Zagórski, K.; Li, C.; Jasiński, P.; Skinner, S. J.; Haugsrud, R.; Gazda, M. Influence of Sb-Substitution on Ionic Transport in Lanthanum Orthoniobates. </w:t>
      </w:r>
      <w:r w:rsidRPr="000A4126">
        <w:rPr>
          <w:rFonts w:cs="Times New Roman"/>
          <w:i/>
          <w:iCs/>
          <w:noProof/>
          <w:szCs w:val="24"/>
        </w:rPr>
        <w:t>J. Mater. Chem. A</w:t>
      </w:r>
      <w:r w:rsidRPr="000A4126">
        <w:rPr>
          <w:rFonts w:cs="Times New Roman"/>
          <w:noProof/>
          <w:szCs w:val="24"/>
        </w:rPr>
        <w:t xml:space="preserve"> </w:t>
      </w:r>
      <w:r w:rsidRPr="000A4126">
        <w:rPr>
          <w:rFonts w:cs="Times New Roman"/>
          <w:b/>
          <w:bCs/>
          <w:noProof/>
          <w:szCs w:val="24"/>
        </w:rPr>
        <w:t>2016</w:t>
      </w:r>
      <w:r w:rsidRPr="000A4126">
        <w:rPr>
          <w:rFonts w:cs="Times New Roman"/>
          <w:noProof/>
          <w:szCs w:val="24"/>
        </w:rPr>
        <w:t xml:space="preserve">, </w:t>
      </w:r>
      <w:r w:rsidRPr="000A4126">
        <w:rPr>
          <w:rFonts w:cs="Times New Roman"/>
          <w:i/>
          <w:iCs/>
          <w:noProof/>
          <w:szCs w:val="24"/>
        </w:rPr>
        <w:t>4</w:t>
      </w:r>
      <w:r w:rsidRPr="000A4126">
        <w:rPr>
          <w:rFonts w:cs="Times New Roman"/>
          <w:noProof/>
          <w:szCs w:val="24"/>
        </w:rPr>
        <w:t>, 11696–11707.</w:t>
      </w:r>
    </w:p>
    <w:p w14:paraId="4D83A22F"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(12) </w:t>
      </w:r>
      <w:r w:rsidRPr="000A4126">
        <w:rPr>
          <w:rFonts w:cs="Times New Roman"/>
          <w:noProof/>
          <w:szCs w:val="24"/>
        </w:rPr>
        <w:tab/>
        <w:t xml:space="preserve">Packer, R. J.; Skinner, S. J. Remarkable Oxide Ion Conductivity Observed at Low Temperatures in a Complex Superstructured Oxide. </w:t>
      </w:r>
      <w:r w:rsidRPr="000A4126">
        <w:rPr>
          <w:rFonts w:cs="Times New Roman"/>
          <w:i/>
          <w:iCs/>
          <w:noProof/>
          <w:szCs w:val="24"/>
        </w:rPr>
        <w:t>Adv. Mater.</w:t>
      </w:r>
      <w:r w:rsidRPr="000A4126">
        <w:rPr>
          <w:rFonts w:cs="Times New Roman"/>
          <w:noProof/>
          <w:szCs w:val="24"/>
        </w:rPr>
        <w:t xml:space="preserve"> </w:t>
      </w:r>
      <w:r w:rsidRPr="000A4126">
        <w:rPr>
          <w:rFonts w:cs="Times New Roman"/>
          <w:b/>
          <w:bCs/>
          <w:noProof/>
          <w:szCs w:val="24"/>
        </w:rPr>
        <w:t>2010</w:t>
      </w:r>
      <w:r w:rsidRPr="000A4126">
        <w:rPr>
          <w:rFonts w:cs="Times New Roman"/>
          <w:noProof/>
          <w:szCs w:val="24"/>
        </w:rPr>
        <w:t xml:space="preserve">, </w:t>
      </w:r>
      <w:r w:rsidRPr="000A4126">
        <w:rPr>
          <w:rFonts w:cs="Times New Roman"/>
          <w:i/>
          <w:iCs/>
          <w:noProof/>
          <w:szCs w:val="24"/>
        </w:rPr>
        <w:t>22</w:t>
      </w:r>
      <w:r w:rsidRPr="000A4126">
        <w:rPr>
          <w:rFonts w:cs="Times New Roman"/>
          <w:noProof/>
          <w:szCs w:val="24"/>
        </w:rPr>
        <w:t>, 1613–1616.</w:t>
      </w:r>
    </w:p>
    <w:p w14:paraId="4DF1D62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(13) </w:t>
      </w:r>
      <w:r w:rsidRPr="000A4126">
        <w:rPr>
          <w:rFonts w:cs="Times New Roman"/>
          <w:noProof/>
          <w:szCs w:val="24"/>
        </w:rPr>
        <w:tab/>
        <w:t>Pramana, S. S.; Baikie, T.; An, T.; Tucker, M. G.; Wu, J.; Schreyer, M. K.; Wei, F.; Bayliss, R. D.; Kloc, C. L.; White, T. J.; et al. Correlation of Local Structure and Diffusion Pathways in the Modulated Anisotropic Oxide Ion Conductor CeNbO</w:t>
      </w:r>
      <w:r w:rsidRPr="000A4126">
        <w:rPr>
          <w:rFonts w:cs="Times New Roman"/>
          <w:noProof/>
          <w:szCs w:val="24"/>
          <w:vertAlign w:val="subscript"/>
        </w:rPr>
        <w:t>4.25</w:t>
      </w:r>
      <w:r w:rsidRPr="000A4126">
        <w:rPr>
          <w:rFonts w:cs="Times New Roman"/>
          <w:noProof/>
          <w:szCs w:val="24"/>
        </w:rPr>
        <w:t xml:space="preserve">. </w:t>
      </w:r>
      <w:r w:rsidRPr="000A4126">
        <w:rPr>
          <w:rFonts w:cs="Times New Roman"/>
          <w:i/>
          <w:iCs/>
          <w:noProof/>
          <w:szCs w:val="24"/>
        </w:rPr>
        <w:t>J. Am. Chem. Soc.</w:t>
      </w:r>
      <w:r w:rsidRPr="000A4126">
        <w:rPr>
          <w:rFonts w:cs="Times New Roman"/>
          <w:noProof/>
          <w:szCs w:val="24"/>
        </w:rPr>
        <w:t xml:space="preserve"> </w:t>
      </w:r>
      <w:r w:rsidRPr="000A4126">
        <w:rPr>
          <w:rFonts w:cs="Times New Roman"/>
          <w:b/>
          <w:bCs/>
          <w:noProof/>
          <w:szCs w:val="24"/>
        </w:rPr>
        <w:t>2016</w:t>
      </w:r>
      <w:r w:rsidRPr="000A4126">
        <w:rPr>
          <w:rFonts w:cs="Times New Roman"/>
          <w:noProof/>
          <w:szCs w:val="24"/>
        </w:rPr>
        <w:t xml:space="preserve">, </w:t>
      </w:r>
      <w:r w:rsidRPr="000A4126">
        <w:rPr>
          <w:rFonts w:cs="Times New Roman"/>
          <w:i/>
          <w:iCs/>
          <w:noProof/>
          <w:szCs w:val="24"/>
        </w:rPr>
        <w:t>138</w:t>
      </w:r>
      <w:r w:rsidRPr="000A4126">
        <w:rPr>
          <w:rFonts w:cs="Times New Roman"/>
          <w:noProof/>
          <w:szCs w:val="24"/>
        </w:rPr>
        <w:t>, 1273–1279.</w:t>
      </w:r>
    </w:p>
    <w:p w14:paraId="51B10C0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(14) </w:t>
      </w:r>
      <w:r w:rsidRPr="000A4126">
        <w:rPr>
          <w:rFonts w:cs="Times New Roman"/>
          <w:noProof/>
          <w:szCs w:val="24"/>
        </w:rPr>
        <w:tab/>
        <w:t xml:space="preserve">Li, C.; Pramana, S. S.; Skinner, S. J. Room Temperature Structure and Transport </w:t>
      </w:r>
      <w:r w:rsidRPr="000A4126">
        <w:rPr>
          <w:rFonts w:cs="Times New Roman"/>
          <w:noProof/>
          <w:szCs w:val="24"/>
        </w:rPr>
        <w:lastRenderedPageBreak/>
        <w:t>Properties of the Incommensurate Modulated LaNb</w:t>
      </w:r>
      <w:r w:rsidRPr="000A4126">
        <w:rPr>
          <w:rFonts w:cs="Times New Roman"/>
          <w:noProof/>
          <w:szCs w:val="24"/>
          <w:vertAlign w:val="subscript"/>
        </w:rPr>
        <w:t xml:space="preserve">0.88 </w:t>
      </w:r>
      <w:r w:rsidRPr="000A4126">
        <w:rPr>
          <w:rFonts w:cs="Times New Roman"/>
          <w:noProof/>
          <w:szCs w:val="24"/>
        </w:rPr>
        <w:t>W</w:t>
      </w:r>
      <w:r w:rsidRPr="000A4126">
        <w:rPr>
          <w:rFonts w:cs="Times New Roman"/>
          <w:noProof/>
          <w:szCs w:val="24"/>
          <w:vertAlign w:val="subscript"/>
        </w:rPr>
        <w:t>0.12</w:t>
      </w:r>
      <w:r w:rsidRPr="000A4126">
        <w:rPr>
          <w:rFonts w:cs="Times New Roman"/>
          <w:noProof/>
          <w:szCs w:val="24"/>
        </w:rPr>
        <w:t>O</w:t>
      </w:r>
      <w:r w:rsidRPr="000A4126">
        <w:rPr>
          <w:rFonts w:cs="Times New Roman"/>
          <w:noProof/>
          <w:szCs w:val="24"/>
          <w:vertAlign w:val="subscript"/>
        </w:rPr>
        <w:t>4.06</w:t>
      </w:r>
      <w:r w:rsidRPr="000A4126">
        <w:rPr>
          <w:rFonts w:cs="Times New Roman"/>
          <w:noProof/>
          <w:szCs w:val="24"/>
        </w:rPr>
        <w:t xml:space="preserve">. </w:t>
      </w:r>
      <w:r w:rsidRPr="000A4126">
        <w:rPr>
          <w:rFonts w:cs="Times New Roman"/>
          <w:i/>
          <w:iCs/>
          <w:noProof/>
          <w:szCs w:val="24"/>
        </w:rPr>
        <w:t>Dalt. Trans.</w:t>
      </w:r>
      <w:r w:rsidRPr="000A4126">
        <w:rPr>
          <w:rFonts w:cs="Times New Roman"/>
          <w:noProof/>
          <w:szCs w:val="24"/>
        </w:rPr>
        <w:t xml:space="preserve"> </w:t>
      </w:r>
      <w:r w:rsidRPr="000A4126">
        <w:rPr>
          <w:rFonts w:cs="Times New Roman"/>
          <w:b/>
          <w:bCs/>
          <w:noProof/>
          <w:szCs w:val="24"/>
        </w:rPr>
        <w:t>2019</w:t>
      </w:r>
      <w:r w:rsidRPr="000A4126">
        <w:rPr>
          <w:rFonts w:cs="Times New Roman"/>
          <w:noProof/>
          <w:szCs w:val="24"/>
        </w:rPr>
        <w:t xml:space="preserve">, </w:t>
      </w:r>
      <w:r w:rsidRPr="000A4126">
        <w:rPr>
          <w:rFonts w:cs="Times New Roman"/>
          <w:i/>
          <w:iCs/>
          <w:noProof/>
          <w:szCs w:val="24"/>
        </w:rPr>
        <w:t>48</w:t>
      </w:r>
      <w:r w:rsidRPr="000A4126">
        <w:rPr>
          <w:rFonts w:cs="Times New Roman"/>
          <w:noProof/>
          <w:szCs w:val="24"/>
        </w:rPr>
        <w:t>, 1633–1646.</w:t>
      </w:r>
    </w:p>
    <w:p w14:paraId="10283AE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(15) </w:t>
      </w:r>
      <w:r w:rsidRPr="000A4126">
        <w:rPr>
          <w:rFonts w:cs="Times New Roman"/>
          <w:noProof/>
          <w:szCs w:val="24"/>
        </w:rPr>
        <w:tab/>
        <w:t xml:space="preserve">Ferrara, C.; Mancini, A.; Ritter, C.; Malavasi, L.; Tealdi, C. Interstitial Oxide Ion Migration in Scheelite-Type Electrolytes: A Combined Neutron Diffraction and Computational Study. </w:t>
      </w:r>
      <w:r w:rsidRPr="000A4126">
        <w:rPr>
          <w:rFonts w:cs="Times New Roman"/>
          <w:i/>
          <w:iCs/>
          <w:noProof/>
          <w:szCs w:val="24"/>
        </w:rPr>
        <w:t>J. Mater. Chem. A</w:t>
      </w:r>
      <w:r w:rsidRPr="000A4126">
        <w:rPr>
          <w:rFonts w:cs="Times New Roman"/>
          <w:noProof/>
          <w:szCs w:val="24"/>
        </w:rPr>
        <w:t xml:space="preserve"> </w:t>
      </w:r>
      <w:r w:rsidRPr="000A4126">
        <w:rPr>
          <w:rFonts w:cs="Times New Roman"/>
          <w:b/>
          <w:bCs/>
          <w:noProof/>
          <w:szCs w:val="24"/>
        </w:rPr>
        <w:t>2015</w:t>
      </w:r>
      <w:r w:rsidRPr="000A4126">
        <w:rPr>
          <w:rFonts w:cs="Times New Roman"/>
          <w:noProof/>
          <w:szCs w:val="24"/>
        </w:rPr>
        <w:t xml:space="preserve">, </w:t>
      </w:r>
      <w:r w:rsidRPr="000A4126">
        <w:rPr>
          <w:rFonts w:cs="Times New Roman"/>
          <w:i/>
          <w:iCs/>
          <w:noProof/>
          <w:szCs w:val="24"/>
        </w:rPr>
        <w:t>3</w:t>
      </w:r>
      <w:r w:rsidRPr="000A4126">
        <w:rPr>
          <w:rFonts w:cs="Times New Roman"/>
          <w:noProof/>
          <w:szCs w:val="24"/>
        </w:rPr>
        <w:t>, 22258–22265.</w:t>
      </w:r>
    </w:p>
    <w:p w14:paraId="72692E4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(16) </w:t>
      </w:r>
      <w:r w:rsidRPr="000A4126">
        <w:rPr>
          <w:rFonts w:cs="Times New Roman"/>
          <w:noProof/>
          <w:szCs w:val="24"/>
        </w:rPr>
        <w:tab/>
        <w:t>Laguna-Bercero, M. A.; Bayliss, R. D.; Skinner, S. J. LaNb</w:t>
      </w:r>
      <w:r w:rsidRPr="000A4126">
        <w:rPr>
          <w:rFonts w:cs="Times New Roman"/>
          <w:noProof/>
          <w:szCs w:val="24"/>
          <w:vertAlign w:val="subscript"/>
        </w:rPr>
        <w:t>0.84</w:t>
      </w:r>
      <w:r w:rsidRPr="000A4126">
        <w:rPr>
          <w:rFonts w:cs="Times New Roman"/>
          <w:noProof/>
          <w:szCs w:val="24"/>
        </w:rPr>
        <w:t>W</w:t>
      </w:r>
      <w:r w:rsidRPr="000A4126">
        <w:rPr>
          <w:rFonts w:cs="Times New Roman"/>
          <w:noProof/>
          <w:szCs w:val="24"/>
          <w:vertAlign w:val="subscript"/>
        </w:rPr>
        <w:t>0.16</w:t>
      </w:r>
      <w:r w:rsidRPr="000A4126">
        <w:rPr>
          <w:rFonts w:cs="Times New Roman"/>
          <w:noProof/>
          <w:szCs w:val="24"/>
        </w:rPr>
        <w:t>O</w:t>
      </w:r>
      <w:r w:rsidRPr="000A4126">
        <w:rPr>
          <w:rFonts w:cs="Times New Roman"/>
          <w:noProof/>
          <w:szCs w:val="24"/>
          <w:vertAlign w:val="subscript"/>
        </w:rPr>
        <w:t>4.08</w:t>
      </w:r>
      <w:r w:rsidRPr="000A4126">
        <w:rPr>
          <w:rFonts w:cs="Times New Roman"/>
          <w:noProof/>
          <w:szCs w:val="24"/>
        </w:rPr>
        <w:t xml:space="preserve"> as a Novel Electrolyte for High Temperature Fuel Cell and Solid Oxide Electrolysis Applications.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2014</w:t>
      </w:r>
      <w:r w:rsidRPr="000A4126">
        <w:rPr>
          <w:rFonts w:cs="Times New Roman"/>
          <w:noProof/>
          <w:szCs w:val="24"/>
        </w:rPr>
        <w:t xml:space="preserve">, </w:t>
      </w:r>
      <w:r w:rsidRPr="000A4126">
        <w:rPr>
          <w:rFonts w:cs="Times New Roman"/>
          <w:i/>
          <w:iCs/>
          <w:noProof/>
          <w:szCs w:val="24"/>
        </w:rPr>
        <w:t>262</w:t>
      </w:r>
      <w:r w:rsidRPr="000A4126">
        <w:rPr>
          <w:rFonts w:cs="Times New Roman"/>
          <w:noProof/>
          <w:szCs w:val="24"/>
        </w:rPr>
        <w:t>, 298–302.</w:t>
      </w:r>
    </w:p>
    <w:p w14:paraId="48220D26"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(17) </w:t>
      </w:r>
      <w:r w:rsidRPr="000A4126">
        <w:rPr>
          <w:rFonts w:cs="Times New Roman"/>
          <w:noProof/>
          <w:szCs w:val="24"/>
        </w:rPr>
        <w:tab/>
        <w:t xml:space="preserve">Yang, X.; Fernández-Carrión, A. J.; Wang, J.; Porcher, F.; Fayon, F.; Allix, M.; Kuang, X. Cooperative Mechanisms of Oxygen Vacancy Stabilization and Migration in the Isolated Tetrahedral Anion Scheelite Structure. </w:t>
      </w:r>
      <w:r w:rsidRPr="000A4126">
        <w:rPr>
          <w:rFonts w:cs="Times New Roman"/>
          <w:i/>
          <w:iCs/>
          <w:noProof/>
          <w:szCs w:val="24"/>
        </w:rPr>
        <w:t>Nat. Commun.</w:t>
      </w:r>
      <w:r w:rsidRPr="000A4126">
        <w:rPr>
          <w:rFonts w:cs="Times New Roman"/>
          <w:noProof/>
          <w:szCs w:val="24"/>
        </w:rPr>
        <w:t xml:space="preserve"> </w:t>
      </w:r>
      <w:r w:rsidRPr="000A4126">
        <w:rPr>
          <w:rFonts w:cs="Times New Roman"/>
          <w:b/>
          <w:bCs/>
          <w:noProof/>
          <w:szCs w:val="24"/>
        </w:rPr>
        <w:t>2018</w:t>
      </w:r>
      <w:r w:rsidRPr="000A4126">
        <w:rPr>
          <w:rFonts w:cs="Times New Roman"/>
          <w:noProof/>
          <w:szCs w:val="24"/>
        </w:rPr>
        <w:t xml:space="preserve">, </w:t>
      </w:r>
      <w:r w:rsidRPr="000A4126">
        <w:rPr>
          <w:rFonts w:cs="Times New Roman"/>
          <w:i/>
          <w:iCs/>
          <w:noProof/>
          <w:szCs w:val="24"/>
        </w:rPr>
        <w:t>9</w:t>
      </w:r>
      <w:r w:rsidRPr="000A4126">
        <w:rPr>
          <w:rFonts w:cs="Times New Roman"/>
          <w:noProof/>
          <w:szCs w:val="24"/>
        </w:rPr>
        <w:t>, 4484.</w:t>
      </w:r>
    </w:p>
    <w:p w14:paraId="5D5F483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(18) </w:t>
      </w:r>
      <w:r w:rsidRPr="000A4126">
        <w:rPr>
          <w:rFonts w:cs="Times New Roman"/>
          <w:noProof/>
          <w:szCs w:val="24"/>
        </w:rPr>
        <w:tab/>
        <w:t>Li, C.; Bayliss, R. D.; Skinner, S. J. Crystal Structure and Potential Interstitial Oxide Ion Conductivity of LnNbO</w:t>
      </w:r>
      <w:r w:rsidRPr="000A4126">
        <w:rPr>
          <w:rFonts w:cs="Times New Roman"/>
          <w:noProof/>
          <w:szCs w:val="24"/>
          <w:vertAlign w:val="subscript"/>
        </w:rPr>
        <w:t>4</w:t>
      </w:r>
      <w:r w:rsidRPr="000A4126">
        <w:rPr>
          <w:rFonts w:cs="Times New Roman"/>
          <w:noProof/>
          <w:szCs w:val="24"/>
        </w:rPr>
        <w:t xml:space="preserve"> and LnNb</w:t>
      </w:r>
      <w:r w:rsidRPr="000A4126">
        <w:rPr>
          <w:rFonts w:cs="Times New Roman"/>
          <w:noProof/>
          <w:szCs w:val="24"/>
          <w:vertAlign w:val="subscript"/>
        </w:rPr>
        <w:t>0.92</w:t>
      </w:r>
      <w:r w:rsidRPr="000A4126">
        <w:rPr>
          <w:rFonts w:cs="Times New Roman"/>
          <w:noProof/>
          <w:szCs w:val="24"/>
        </w:rPr>
        <w:t>W</w:t>
      </w:r>
      <w:r w:rsidRPr="000A4126">
        <w:rPr>
          <w:rFonts w:cs="Times New Roman"/>
          <w:noProof/>
          <w:szCs w:val="24"/>
          <w:vertAlign w:val="subscript"/>
        </w:rPr>
        <w:t>0.08</w:t>
      </w:r>
      <w:r w:rsidRPr="000A4126">
        <w:rPr>
          <w:rFonts w:cs="Times New Roman"/>
          <w:noProof/>
          <w:szCs w:val="24"/>
        </w:rPr>
        <w:t>O</w:t>
      </w:r>
      <w:r w:rsidRPr="000A4126">
        <w:rPr>
          <w:rFonts w:cs="Times New Roman"/>
          <w:noProof/>
          <w:szCs w:val="24"/>
          <w:vertAlign w:val="subscript"/>
        </w:rPr>
        <w:t>4.04</w:t>
      </w:r>
      <w:r w:rsidRPr="000A4126">
        <w:rPr>
          <w:rFonts w:cs="Times New Roman"/>
          <w:noProof/>
          <w:szCs w:val="24"/>
        </w:rPr>
        <w:t xml:space="preserve"> (Ln = La, Pr, Nd).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2014</w:t>
      </w:r>
      <w:r w:rsidRPr="000A4126">
        <w:rPr>
          <w:rFonts w:cs="Times New Roman"/>
          <w:noProof/>
          <w:szCs w:val="24"/>
        </w:rPr>
        <w:t xml:space="preserve">, </w:t>
      </w:r>
      <w:r w:rsidRPr="000A4126">
        <w:rPr>
          <w:rFonts w:cs="Times New Roman"/>
          <w:i/>
          <w:iCs/>
          <w:noProof/>
          <w:szCs w:val="24"/>
        </w:rPr>
        <w:t>262</w:t>
      </w:r>
      <w:r w:rsidRPr="000A4126">
        <w:rPr>
          <w:rFonts w:cs="Times New Roman"/>
          <w:noProof/>
          <w:szCs w:val="24"/>
        </w:rPr>
        <w:t>, 530–535.</w:t>
      </w:r>
    </w:p>
    <w:p w14:paraId="2B633968"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(19) </w:t>
      </w:r>
      <w:r w:rsidRPr="000A4126">
        <w:rPr>
          <w:rFonts w:cs="Times New Roman"/>
          <w:noProof/>
          <w:szCs w:val="24"/>
        </w:rPr>
        <w:tab/>
        <w:t xml:space="preserve">Petříček, V.; Dušek, M.; Petricek, V.; Dusek, M. Jana2000 - Crystallographic Computing System. </w:t>
      </w:r>
      <w:r w:rsidRPr="000A4126">
        <w:rPr>
          <w:rFonts w:cs="Times New Roman"/>
          <w:i/>
          <w:iCs/>
          <w:noProof/>
          <w:szCs w:val="24"/>
        </w:rPr>
        <w:t>Karla Fejfarová &amp; Lukáš Palatinus Praha</w:t>
      </w:r>
      <w:r w:rsidRPr="000A4126">
        <w:rPr>
          <w:rFonts w:cs="Times New Roman"/>
          <w:noProof/>
          <w:szCs w:val="24"/>
        </w:rPr>
        <w:t xml:space="preserve"> </w:t>
      </w:r>
      <w:r w:rsidRPr="000A4126">
        <w:rPr>
          <w:rFonts w:cs="Times New Roman"/>
          <w:b/>
          <w:bCs/>
          <w:noProof/>
          <w:szCs w:val="24"/>
        </w:rPr>
        <w:t>2003</w:t>
      </w:r>
      <w:r w:rsidRPr="000A4126">
        <w:rPr>
          <w:rFonts w:cs="Times New Roman"/>
          <w:noProof/>
          <w:szCs w:val="24"/>
        </w:rPr>
        <w:t>, 137.</w:t>
      </w:r>
    </w:p>
    <w:p w14:paraId="189E1E2E"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(20) </w:t>
      </w:r>
      <w:r w:rsidRPr="000A4126">
        <w:rPr>
          <w:rFonts w:cs="Times New Roman"/>
          <w:noProof/>
          <w:szCs w:val="24"/>
        </w:rPr>
        <w:tab/>
        <w:t xml:space="preserve">Frydman, L.; Harwood, J. S. Isotropic Spectra of Half-Integer Quadrupolar Spins from Bidimensional Magic-Angle-Spinning Nmr. </w:t>
      </w:r>
      <w:r w:rsidRPr="000A4126">
        <w:rPr>
          <w:rFonts w:cs="Times New Roman"/>
          <w:i/>
          <w:iCs/>
          <w:noProof/>
          <w:szCs w:val="24"/>
        </w:rPr>
        <w:t>J. Am. Chem. Soc.</w:t>
      </w:r>
      <w:r w:rsidRPr="000A4126">
        <w:rPr>
          <w:rFonts w:cs="Times New Roman"/>
          <w:noProof/>
          <w:szCs w:val="24"/>
        </w:rPr>
        <w:t xml:space="preserve"> </w:t>
      </w:r>
      <w:r w:rsidRPr="000A4126">
        <w:rPr>
          <w:rFonts w:cs="Times New Roman"/>
          <w:b/>
          <w:bCs/>
          <w:noProof/>
          <w:szCs w:val="24"/>
        </w:rPr>
        <w:t>1995</w:t>
      </w:r>
      <w:r w:rsidRPr="000A4126">
        <w:rPr>
          <w:rFonts w:cs="Times New Roman"/>
          <w:noProof/>
          <w:szCs w:val="24"/>
        </w:rPr>
        <w:t xml:space="preserve">, </w:t>
      </w:r>
      <w:r w:rsidRPr="000A4126">
        <w:rPr>
          <w:rFonts w:cs="Times New Roman"/>
          <w:i/>
          <w:iCs/>
          <w:noProof/>
          <w:szCs w:val="24"/>
        </w:rPr>
        <w:t>117</w:t>
      </w:r>
      <w:r w:rsidRPr="000A4126">
        <w:rPr>
          <w:rFonts w:cs="Times New Roman"/>
          <w:noProof/>
          <w:szCs w:val="24"/>
        </w:rPr>
        <w:t>, 5367–5368.</w:t>
      </w:r>
    </w:p>
    <w:p w14:paraId="04F8848F"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(21) </w:t>
      </w:r>
      <w:r w:rsidRPr="000A4126">
        <w:rPr>
          <w:rFonts w:cs="Times New Roman"/>
          <w:noProof/>
          <w:szCs w:val="24"/>
        </w:rPr>
        <w:tab/>
        <w:t xml:space="preserve">Amoureux, J.-P.; Fernandez, C.; Steuernagel, S. ZFiltering in MQMAS NMR. </w:t>
      </w:r>
      <w:r w:rsidRPr="000A4126">
        <w:rPr>
          <w:rFonts w:cs="Times New Roman"/>
          <w:i/>
          <w:iCs/>
          <w:noProof/>
          <w:szCs w:val="24"/>
        </w:rPr>
        <w:t>J. Magn. Reson. Ser. A</w:t>
      </w:r>
      <w:r w:rsidRPr="000A4126">
        <w:rPr>
          <w:rFonts w:cs="Times New Roman"/>
          <w:noProof/>
          <w:szCs w:val="24"/>
        </w:rPr>
        <w:t xml:space="preserve"> </w:t>
      </w:r>
      <w:r w:rsidRPr="000A4126">
        <w:rPr>
          <w:rFonts w:cs="Times New Roman"/>
          <w:b/>
          <w:bCs/>
          <w:noProof/>
          <w:szCs w:val="24"/>
        </w:rPr>
        <w:t>1996</w:t>
      </w:r>
      <w:r w:rsidRPr="000A4126">
        <w:rPr>
          <w:rFonts w:cs="Times New Roman"/>
          <w:noProof/>
          <w:szCs w:val="24"/>
        </w:rPr>
        <w:t xml:space="preserve">, </w:t>
      </w:r>
      <w:r w:rsidRPr="000A4126">
        <w:rPr>
          <w:rFonts w:cs="Times New Roman"/>
          <w:i/>
          <w:iCs/>
          <w:noProof/>
          <w:szCs w:val="24"/>
        </w:rPr>
        <w:t>123</w:t>
      </w:r>
      <w:r w:rsidRPr="000A4126">
        <w:rPr>
          <w:rFonts w:cs="Times New Roman"/>
          <w:noProof/>
          <w:szCs w:val="24"/>
        </w:rPr>
        <w:t>, 116–118.</w:t>
      </w:r>
    </w:p>
    <w:p w14:paraId="4D021E1E"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(22) </w:t>
      </w:r>
      <w:r w:rsidRPr="000A4126">
        <w:rPr>
          <w:rFonts w:cs="Times New Roman"/>
          <w:noProof/>
          <w:szCs w:val="24"/>
        </w:rPr>
        <w:tab/>
        <w:t xml:space="preserve">Bielecki, A.; Burum, D. P. Temperature Dependence of </w:t>
      </w:r>
      <w:r w:rsidRPr="000A4126">
        <w:rPr>
          <w:rFonts w:cs="Times New Roman"/>
          <w:noProof/>
          <w:szCs w:val="24"/>
          <w:vertAlign w:val="superscript"/>
        </w:rPr>
        <w:t>207</w:t>
      </w:r>
      <w:r w:rsidRPr="000A4126">
        <w:rPr>
          <w:rFonts w:cs="Times New Roman"/>
          <w:noProof/>
          <w:szCs w:val="24"/>
        </w:rPr>
        <w:t xml:space="preserve">Pb MAS Spectra of Solid Lead Nitrate. An Accurate, Sensitive Thermometer for Variable-Temperature MAS. </w:t>
      </w:r>
      <w:r w:rsidRPr="000A4126">
        <w:rPr>
          <w:rFonts w:cs="Times New Roman"/>
          <w:i/>
          <w:iCs/>
          <w:noProof/>
          <w:szCs w:val="24"/>
        </w:rPr>
        <w:t>J. Magn. Reson. Ser. A</w:t>
      </w:r>
      <w:r w:rsidRPr="000A4126">
        <w:rPr>
          <w:rFonts w:cs="Times New Roman"/>
          <w:noProof/>
          <w:szCs w:val="24"/>
        </w:rPr>
        <w:t xml:space="preserve"> </w:t>
      </w:r>
      <w:r w:rsidRPr="000A4126">
        <w:rPr>
          <w:rFonts w:cs="Times New Roman"/>
          <w:b/>
          <w:bCs/>
          <w:noProof/>
          <w:szCs w:val="24"/>
        </w:rPr>
        <w:t>1995</w:t>
      </w:r>
      <w:r w:rsidRPr="000A4126">
        <w:rPr>
          <w:rFonts w:cs="Times New Roman"/>
          <w:noProof/>
          <w:szCs w:val="24"/>
        </w:rPr>
        <w:t xml:space="preserve">, </w:t>
      </w:r>
      <w:r w:rsidRPr="000A4126">
        <w:rPr>
          <w:rFonts w:cs="Times New Roman"/>
          <w:i/>
          <w:iCs/>
          <w:noProof/>
          <w:szCs w:val="24"/>
        </w:rPr>
        <w:t>116</w:t>
      </w:r>
      <w:r w:rsidRPr="000A4126">
        <w:rPr>
          <w:rFonts w:cs="Times New Roman"/>
          <w:noProof/>
          <w:szCs w:val="24"/>
        </w:rPr>
        <w:t>, 215–220.</w:t>
      </w:r>
    </w:p>
    <w:p w14:paraId="654A394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(23) </w:t>
      </w:r>
      <w:r w:rsidRPr="000A4126">
        <w:rPr>
          <w:rFonts w:cs="Times New Roman"/>
          <w:noProof/>
          <w:szCs w:val="24"/>
        </w:rPr>
        <w:tab/>
        <w:t xml:space="preserve">Thurber, K. R.; Tycko, R. Measurement of Sample Temperatures under Magic-Angle Spinning from the Chemical Shift and Spin-Lattice Relaxation Rate of </w:t>
      </w:r>
      <w:r w:rsidRPr="000A4126">
        <w:rPr>
          <w:rFonts w:cs="Times New Roman"/>
          <w:noProof/>
          <w:szCs w:val="24"/>
          <w:vertAlign w:val="superscript"/>
        </w:rPr>
        <w:t>79</w:t>
      </w:r>
      <w:r w:rsidRPr="000A4126">
        <w:rPr>
          <w:rFonts w:cs="Times New Roman"/>
          <w:noProof/>
          <w:szCs w:val="24"/>
        </w:rPr>
        <w:t xml:space="preserve">Br in KBr Powder. </w:t>
      </w:r>
      <w:r w:rsidRPr="000A4126">
        <w:rPr>
          <w:rFonts w:cs="Times New Roman"/>
          <w:i/>
          <w:iCs/>
          <w:noProof/>
          <w:szCs w:val="24"/>
        </w:rPr>
        <w:t>J. Magn. Reson.</w:t>
      </w:r>
      <w:r w:rsidRPr="000A4126">
        <w:rPr>
          <w:rFonts w:cs="Times New Roman"/>
          <w:noProof/>
          <w:szCs w:val="24"/>
        </w:rPr>
        <w:t xml:space="preserve"> </w:t>
      </w:r>
      <w:r w:rsidRPr="000A4126">
        <w:rPr>
          <w:rFonts w:cs="Times New Roman"/>
          <w:b/>
          <w:bCs/>
          <w:noProof/>
          <w:szCs w:val="24"/>
        </w:rPr>
        <w:t>2009</w:t>
      </w:r>
      <w:r w:rsidRPr="000A4126">
        <w:rPr>
          <w:rFonts w:cs="Times New Roman"/>
          <w:noProof/>
          <w:szCs w:val="24"/>
        </w:rPr>
        <w:t xml:space="preserve">, </w:t>
      </w:r>
      <w:r w:rsidRPr="000A4126">
        <w:rPr>
          <w:rFonts w:cs="Times New Roman"/>
          <w:i/>
          <w:iCs/>
          <w:noProof/>
          <w:szCs w:val="24"/>
        </w:rPr>
        <w:t>196</w:t>
      </w:r>
      <w:r w:rsidRPr="000A4126">
        <w:rPr>
          <w:rFonts w:cs="Times New Roman"/>
          <w:noProof/>
          <w:szCs w:val="24"/>
        </w:rPr>
        <w:t>, 84–87.</w:t>
      </w:r>
    </w:p>
    <w:p w14:paraId="6B83D3C5"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(24) </w:t>
      </w:r>
      <w:r w:rsidRPr="000A4126">
        <w:rPr>
          <w:rFonts w:cs="Times New Roman"/>
          <w:noProof/>
          <w:szCs w:val="24"/>
        </w:rPr>
        <w:tab/>
        <w:t xml:space="preserve">Ernst, H.; Freude, D.; Mildner, T.; Wolf, I. Laser-Supported High-Temperature MAS NMR for Time-Resolved in Situ Studies of Reaction Steps in Heterogeneous Catalysis. </w:t>
      </w:r>
      <w:r w:rsidRPr="000A4126">
        <w:rPr>
          <w:rFonts w:cs="Times New Roman"/>
          <w:i/>
          <w:iCs/>
          <w:noProof/>
          <w:szCs w:val="24"/>
        </w:rPr>
        <w:t>Solid State Nucl. Magn. Reson.</w:t>
      </w:r>
      <w:r w:rsidRPr="000A4126">
        <w:rPr>
          <w:rFonts w:cs="Times New Roman"/>
          <w:noProof/>
          <w:szCs w:val="24"/>
        </w:rPr>
        <w:t xml:space="preserve"> </w:t>
      </w:r>
      <w:r w:rsidRPr="000A4126">
        <w:rPr>
          <w:rFonts w:cs="Times New Roman"/>
          <w:b/>
          <w:bCs/>
          <w:noProof/>
          <w:szCs w:val="24"/>
        </w:rPr>
        <w:t>1996</w:t>
      </w:r>
      <w:r w:rsidRPr="000A4126">
        <w:rPr>
          <w:rFonts w:cs="Times New Roman"/>
          <w:noProof/>
          <w:szCs w:val="24"/>
        </w:rPr>
        <w:t xml:space="preserve">, </w:t>
      </w:r>
      <w:r w:rsidRPr="000A4126">
        <w:rPr>
          <w:rFonts w:cs="Times New Roman"/>
          <w:i/>
          <w:iCs/>
          <w:noProof/>
          <w:szCs w:val="24"/>
        </w:rPr>
        <w:t>6</w:t>
      </w:r>
      <w:r w:rsidRPr="000A4126">
        <w:rPr>
          <w:rFonts w:cs="Times New Roman"/>
          <w:noProof/>
          <w:szCs w:val="24"/>
        </w:rPr>
        <w:t>, 147–156.</w:t>
      </w:r>
    </w:p>
    <w:p w14:paraId="3B602640"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(25) </w:t>
      </w:r>
      <w:r w:rsidRPr="000A4126">
        <w:rPr>
          <w:rFonts w:cs="Times New Roman"/>
          <w:noProof/>
          <w:szCs w:val="24"/>
        </w:rPr>
        <w:tab/>
        <w:t xml:space="preserve">Millot, Y.; Man, P. P. Procedures for Labeling the High-Resolution Axis of Two-Dimensional MQ-MAS NMR Spectra of Half-Integer Quadrupole Spins. </w:t>
      </w:r>
      <w:r w:rsidRPr="000A4126">
        <w:rPr>
          <w:rFonts w:cs="Times New Roman"/>
          <w:i/>
          <w:iCs/>
          <w:noProof/>
          <w:szCs w:val="24"/>
        </w:rPr>
        <w:t>Solid State Nucl. Magn. Reson.</w:t>
      </w:r>
      <w:r w:rsidRPr="000A4126">
        <w:rPr>
          <w:rFonts w:cs="Times New Roman"/>
          <w:noProof/>
          <w:szCs w:val="24"/>
        </w:rPr>
        <w:t xml:space="preserve"> </w:t>
      </w:r>
      <w:r w:rsidRPr="000A4126">
        <w:rPr>
          <w:rFonts w:cs="Times New Roman"/>
          <w:b/>
          <w:bCs/>
          <w:noProof/>
          <w:szCs w:val="24"/>
        </w:rPr>
        <w:t>2002</w:t>
      </w:r>
      <w:r w:rsidRPr="000A4126">
        <w:rPr>
          <w:rFonts w:cs="Times New Roman"/>
          <w:noProof/>
          <w:szCs w:val="24"/>
        </w:rPr>
        <w:t xml:space="preserve">, </w:t>
      </w:r>
      <w:r w:rsidRPr="000A4126">
        <w:rPr>
          <w:rFonts w:cs="Times New Roman"/>
          <w:i/>
          <w:iCs/>
          <w:noProof/>
          <w:szCs w:val="24"/>
        </w:rPr>
        <w:t>21</w:t>
      </w:r>
      <w:r w:rsidRPr="000A4126">
        <w:rPr>
          <w:rFonts w:cs="Times New Roman"/>
          <w:noProof/>
          <w:szCs w:val="24"/>
        </w:rPr>
        <w:t>, 21–43.</w:t>
      </w:r>
    </w:p>
    <w:p w14:paraId="72A83E7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(26) </w:t>
      </w:r>
      <w:r w:rsidRPr="000A4126">
        <w:rPr>
          <w:rFonts w:cs="Times New Roman"/>
          <w:noProof/>
          <w:szCs w:val="24"/>
        </w:rPr>
        <w:tab/>
        <w:t xml:space="preserve">Ashbrook, S. E. Recent Advances in Solid-State NMR Spectroscopy of Quadrupolar Nuclei. </w:t>
      </w:r>
      <w:r w:rsidRPr="000A4126">
        <w:rPr>
          <w:rFonts w:cs="Times New Roman"/>
          <w:i/>
          <w:iCs/>
          <w:noProof/>
          <w:szCs w:val="24"/>
        </w:rPr>
        <w:t>Phys. Chem. Chem. Phys.</w:t>
      </w:r>
      <w:r w:rsidRPr="000A4126">
        <w:rPr>
          <w:rFonts w:cs="Times New Roman"/>
          <w:noProof/>
          <w:szCs w:val="24"/>
        </w:rPr>
        <w:t xml:space="preserve"> </w:t>
      </w:r>
      <w:r w:rsidRPr="000A4126">
        <w:rPr>
          <w:rFonts w:cs="Times New Roman"/>
          <w:b/>
          <w:bCs/>
          <w:noProof/>
          <w:szCs w:val="24"/>
        </w:rPr>
        <w:t>2009</w:t>
      </w:r>
      <w:r w:rsidRPr="000A4126">
        <w:rPr>
          <w:rFonts w:cs="Times New Roman"/>
          <w:noProof/>
          <w:szCs w:val="24"/>
        </w:rPr>
        <w:t xml:space="preserve">, </w:t>
      </w:r>
      <w:r w:rsidRPr="000A4126">
        <w:rPr>
          <w:rFonts w:cs="Times New Roman"/>
          <w:i/>
          <w:iCs/>
          <w:noProof/>
          <w:szCs w:val="24"/>
        </w:rPr>
        <w:t>11</w:t>
      </w:r>
      <w:r w:rsidRPr="000A4126">
        <w:rPr>
          <w:rFonts w:cs="Times New Roman"/>
          <w:noProof/>
          <w:szCs w:val="24"/>
        </w:rPr>
        <w:t>, 6876–6891.</w:t>
      </w:r>
    </w:p>
    <w:p w14:paraId="3B722810"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(27) </w:t>
      </w:r>
      <w:r w:rsidRPr="000A4126">
        <w:rPr>
          <w:rFonts w:cs="Times New Roman"/>
          <w:noProof/>
          <w:szCs w:val="24"/>
        </w:rPr>
        <w:tab/>
        <w:t xml:space="preserve">Du, L. S.; Schurko, R. W.; Kim, N.; Grey, C. P. Solid-State </w:t>
      </w:r>
      <w:r w:rsidRPr="000A4126">
        <w:rPr>
          <w:rFonts w:cs="Times New Roman"/>
          <w:noProof/>
          <w:szCs w:val="24"/>
          <w:vertAlign w:val="superscript"/>
        </w:rPr>
        <w:t>93</w:t>
      </w:r>
      <w:r w:rsidRPr="000A4126">
        <w:rPr>
          <w:rFonts w:cs="Times New Roman"/>
          <w:noProof/>
          <w:szCs w:val="24"/>
        </w:rPr>
        <w:t xml:space="preserve">Nb, </w:t>
      </w:r>
      <w:r w:rsidRPr="000A4126">
        <w:rPr>
          <w:rFonts w:cs="Times New Roman"/>
          <w:noProof/>
          <w:szCs w:val="24"/>
          <w:vertAlign w:val="superscript"/>
        </w:rPr>
        <w:t>19</w:t>
      </w:r>
      <w:r w:rsidRPr="000A4126">
        <w:rPr>
          <w:rFonts w:cs="Times New Roman"/>
          <w:noProof/>
          <w:szCs w:val="24"/>
        </w:rPr>
        <w:t xml:space="preserve">F, and </w:t>
      </w:r>
      <w:r w:rsidRPr="000A4126">
        <w:rPr>
          <w:rFonts w:cs="Times New Roman"/>
          <w:noProof/>
          <w:szCs w:val="24"/>
          <w:vertAlign w:val="superscript"/>
        </w:rPr>
        <w:t>113</w:t>
      </w:r>
      <w:r w:rsidRPr="000A4126">
        <w:rPr>
          <w:rFonts w:cs="Times New Roman"/>
          <w:noProof/>
          <w:szCs w:val="24"/>
        </w:rPr>
        <w:t xml:space="preserve">Cd Nuclear Magnetic Resonance Study of Niobium Oxyfluorides: Characterization of Local Distortions and Oxygen/Fluorine Ordering. </w:t>
      </w:r>
      <w:r w:rsidRPr="000A4126">
        <w:rPr>
          <w:rFonts w:cs="Times New Roman"/>
          <w:i/>
          <w:iCs/>
          <w:noProof/>
          <w:szCs w:val="24"/>
        </w:rPr>
        <w:t>J. Phys. Chem. A</w:t>
      </w:r>
      <w:r w:rsidRPr="000A4126">
        <w:rPr>
          <w:rFonts w:cs="Times New Roman"/>
          <w:noProof/>
          <w:szCs w:val="24"/>
        </w:rPr>
        <w:t xml:space="preserve"> </w:t>
      </w:r>
      <w:r w:rsidRPr="000A4126">
        <w:rPr>
          <w:rFonts w:cs="Times New Roman"/>
          <w:b/>
          <w:bCs/>
          <w:noProof/>
          <w:szCs w:val="24"/>
        </w:rPr>
        <w:t>2002</w:t>
      </w:r>
      <w:r w:rsidRPr="000A4126">
        <w:rPr>
          <w:rFonts w:cs="Times New Roman"/>
          <w:noProof/>
          <w:szCs w:val="24"/>
        </w:rPr>
        <w:t xml:space="preserve">, </w:t>
      </w:r>
      <w:r w:rsidRPr="000A4126">
        <w:rPr>
          <w:rFonts w:cs="Times New Roman"/>
          <w:i/>
          <w:iCs/>
          <w:noProof/>
          <w:szCs w:val="24"/>
        </w:rPr>
        <w:t>106</w:t>
      </w:r>
      <w:r w:rsidRPr="000A4126">
        <w:rPr>
          <w:rFonts w:cs="Times New Roman"/>
          <w:noProof/>
          <w:szCs w:val="24"/>
        </w:rPr>
        <w:t>, 7876–7886.</w:t>
      </w:r>
    </w:p>
    <w:p w14:paraId="2577C1F5"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(28) </w:t>
      </w:r>
      <w:r w:rsidRPr="000A4126">
        <w:rPr>
          <w:rFonts w:cs="Times New Roman"/>
          <w:noProof/>
          <w:szCs w:val="24"/>
        </w:rPr>
        <w:tab/>
        <w:t xml:space="preserve">Papulovskiy, E.; Shubin, A. A.; Terskikh, V. V.; Pickard, C. J.; Lapina, O. B. Theoretical and Experimental Insights into Applicability of Solid-State </w:t>
      </w:r>
      <w:r w:rsidRPr="000A4126">
        <w:rPr>
          <w:rFonts w:cs="Times New Roman"/>
          <w:noProof/>
          <w:szCs w:val="24"/>
          <w:vertAlign w:val="superscript"/>
        </w:rPr>
        <w:t>93</w:t>
      </w:r>
      <w:r w:rsidRPr="000A4126">
        <w:rPr>
          <w:rFonts w:cs="Times New Roman"/>
          <w:noProof/>
          <w:szCs w:val="24"/>
        </w:rPr>
        <w:t xml:space="preserve">Nb NMR in Catalysis. </w:t>
      </w:r>
      <w:r w:rsidRPr="000A4126">
        <w:rPr>
          <w:rFonts w:cs="Times New Roman"/>
          <w:i/>
          <w:iCs/>
          <w:noProof/>
          <w:szCs w:val="24"/>
        </w:rPr>
        <w:t>Phys. Chem. Chem. Phys.</w:t>
      </w:r>
      <w:r w:rsidRPr="000A4126">
        <w:rPr>
          <w:rFonts w:cs="Times New Roman"/>
          <w:noProof/>
          <w:szCs w:val="24"/>
        </w:rPr>
        <w:t xml:space="preserve"> </w:t>
      </w:r>
      <w:r w:rsidRPr="000A4126">
        <w:rPr>
          <w:rFonts w:cs="Times New Roman"/>
          <w:b/>
          <w:bCs/>
          <w:noProof/>
          <w:szCs w:val="24"/>
        </w:rPr>
        <w:t>2013</w:t>
      </w:r>
      <w:r w:rsidRPr="000A4126">
        <w:rPr>
          <w:rFonts w:cs="Times New Roman"/>
          <w:noProof/>
          <w:szCs w:val="24"/>
        </w:rPr>
        <w:t xml:space="preserve">, </w:t>
      </w:r>
      <w:r w:rsidRPr="000A4126">
        <w:rPr>
          <w:rFonts w:cs="Times New Roman"/>
          <w:i/>
          <w:iCs/>
          <w:noProof/>
          <w:szCs w:val="24"/>
        </w:rPr>
        <w:t>15</w:t>
      </w:r>
      <w:r w:rsidRPr="000A4126">
        <w:rPr>
          <w:rFonts w:cs="Times New Roman"/>
          <w:noProof/>
          <w:szCs w:val="24"/>
        </w:rPr>
        <w:t>, 5115–5131.</w:t>
      </w:r>
    </w:p>
    <w:p w14:paraId="7E58AD2A"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lastRenderedPageBreak/>
        <w:t xml:space="preserve">(29) </w:t>
      </w:r>
      <w:r w:rsidRPr="000A4126">
        <w:rPr>
          <w:rFonts w:cs="Times New Roman"/>
          <w:noProof/>
          <w:szCs w:val="24"/>
        </w:rPr>
        <w:tab/>
        <w:t>Dunstan, M. T.; Blanc, F.; Avdeev, M.; McIntyre, G. J.; Grey, C. P.; Ling, C. D. Long-Range-Ordered Coexistence of 4-, 5-, and 6-Coordinate Niobium in the Mixed Ionic-Electronic Conductor γ-Ba</w:t>
      </w:r>
      <w:r w:rsidRPr="000A4126">
        <w:rPr>
          <w:rFonts w:cs="Times New Roman"/>
          <w:noProof/>
          <w:szCs w:val="24"/>
          <w:vertAlign w:val="subscript"/>
        </w:rPr>
        <w:t>4</w:t>
      </w:r>
      <w:r w:rsidRPr="000A4126">
        <w:rPr>
          <w:rFonts w:cs="Times New Roman"/>
          <w:noProof/>
          <w:szCs w:val="24"/>
        </w:rPr>
        <w:t>Nb</w:t>
      </w:r>
      <w:r w:rsidRPr="000A4126">
        <w:rPr>
          <w:rFonts w:cs="Times New Roman"/>
          <w:noProof/>
          <w:szCs w:val="24"/>
          <w:vertAlign w:val="subscript"/>
        </w:rPr>
        <w:t>2</w:t>
      </w:r>
      <w:r w:rsidRPr="000A4126">
        <w:rPr>
          <w:rFonts w:cs="Times New Roman"/>
          <w:noProof/>
          <w:szCs w:val="24"/>
        </w:rPr>
        <w:t>O</w:t>
      </w:r>
      <w:r w:rsidRPr="000A4126">
        <w:rPr>
          <w:rFonts w:cs="Times New Roman"/>
          <w:noProof/>
          <w:szCs w:val="24"/>
          <w:vertAlign w:val="subscript"/>
        </w:rPr>
        <w:t>9</w:t>
      </w:r>
      <w:r w:rsidRPr="000A4126">
        <w:rPr>
          <w:rFonts w:cs="Times New Roman"/>
          <w:noProof/>
          <w:szCs w:val="24"/>
        </w:rPr>
        <w:t xml:space="preserve">. </w:t>
      </w:r>
      <w:r w:rsidRPr="000A4126">
        <w:rPr>
          <w:rFonts w:cs="Times New Roman"/>
          <w:i/>
          <w:iCs/>
          <w:noProof/>
          <w:szCs w:val="24"/>
        </w:rPr>
        <w:t>Chem. Mater.</w:t>
      </w:r>
      <w:r w:rsidRPr="000A4126">
        <w:rPr>
          <w:rFonts w:cs="Times New Roman"/>
          <w:noProof/>
          <w:szCs w:val="24"/>
        </w:rPr>
        <w:t xml:space="preserve"> </w:t>
      </w:r>
      <w:r w:rsidRPr="000A4126">
        <w:rPr>
          <w:rFonts w:cs="Times New Roman"/>
          <w:b/>
          <w:bCs/>
          <w:noProof/>
          <w:szCs w:val="24"/>
        </w:rPr>
        <w:t>2013</w:t>
      </w:r>
      <w:r w:rsidRPr="000A4126">
        <w:rPr>
          <w:rFonts w:cs="Times New Roman"/>
          <w:noProof/>
          <w:szCs w:val="24"/>
        </w:rPr>
        <w:t xml:space="preserve">, </w:t>
      </w:r>
      <w:r w:rsidRPr="000A4126">
        <w:rPr>
          <w:rFonts w:cs="Times New Roman"/>
          <w:i/>
          <w:iCs/>
          <w:noProof/>
          <w:szCs w:val="24"/>
        </w:rPr>
        <w:t>25</w:t>
      </w:r>
      <w:r w:rsidRPr="000A4126">
        <w:rPr>
          <w:rFonts w:cs="Times New Roman"/>
          <w:noProof/>
          <w:szCs w:val="24"/>
        </w:rPr>
        <w:t>, 3154–3161.</w:t>
      </w:r>
    </w:p>
    <w:p w14:paraId="2AF82A4E"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(30) </w:t>
      </w:r>
      <w:r w:rsidRPr="000A4126">
        <w:rPr>
          <w:rFonts w:cs="Times New Roman"/>
          <w:noProof/>
          <w:szCs w:val="24"/>
        </w:rPr>
        <w:tab/>
        <w:t xml:space="preserve">Hanna, J. V.; Pike, K. J.; Charpentier, T.; Kemp, T. F.; Smith, M. E.; Lucier, B. E. G.; Schurko, R. W.; Cahill, L. S. A </w:t>
      </w:r>
      <w:r w:rsidRPr="000A4126">
        <w:rPr>
          <w:rFonts w:cs="Times New Roman"/>
          <w:noProof/>
          <w:szCs w:val="24"/>
          <w:vertAlign w:val="superscript"/>
        </w:rPr>
        <w:t>93</w:t>
      </w:r>
      <w:r w:rsidRPr="000A4126">
        <w:rPr>
          <w:rFonts w:cs="Times New Roman"/>
          <w:noProof/>
          <w:szCs w:val="24"/>
        </w:rPr>
        <w:t xml:space="preserve">Nb Solid-State NMR and Density Functional Theory Study of Four- and Six-Coordinate Niobate Systems. </w:t>
      </w:r>
      <w:r w:rsidRPr="000A4126">
        <w:rPr>
          <w:rFonts w:cs="Times New Roman"/>
          <w:i/>
          <w:iCs/>
          <w:noProof/>
          <w:szCs w:val="24"/>
        </w:rPr>
        <w:t>Chem. - A Eur. J.</w:t>
      </w:r>
      <w:r w:rsidRPr="000A4126">
        <w:rPr>
          <w:rFonts w:cs="Times New Roman"/>
          <w:noProof/>
          <w:szCs w:val="24"/>
        </w:rPr>
        <w:t xml:space="preserve"> </w:t>
      </w:r>
      <w:r w:rsidRPr="000A4126">
        <w:rPr>
          <w:rFonts w:cs="Times New Roman"/>
          <w:b/>
          <w:bCs/>
          <w:noProof/>
          <w:szCs w:val="24"/>
        </w:rPr>
        <w:t>2010</w:t>
      </w:r>
      <w:r w:rsidRPr="000A4126">
        <w:rPr>
          <w:rFonts w:cs="Times New Roman"/>
          <w:noProof/>
          <w:szCs w:val="24"/>
        </w:rPr>
        <w:t xml:space="preserve">, </w:t>
      </w:r>
      <w:r w:rsidRPr="000A4126">
        <w:rPr>
          <w:rFonts w:cs="Times New Roman"/>
          <w:i/>
          <w:iCs/>
          <w:noProof/>
          <w:szCs w:val="24"/>
        </w:rPr>
        <w:t>16</w:t>
      </w:r>
      <w:r w:rsidRPr="000A4126">
        <w:rPr>
          <w:rFonts w:cs="Times New Roman"/>
          <w:noProof/>
          <w:szCs w:val="24"/>
        </w:rPr>
        <w:t>, 3222–3239.</w:t>
      </w:r>
    </w:p>
    <w:p w14:paraId="0D7BCA88"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(31) </w:t>
      </w:r>
      <w:r w:rsidRPr="000A4126">
        <w:rPr>
          <w:rFonts w:cs="Times New Roman"/>
          <w:noProof/>
          <w:szCs w:val="24"/>
        </w:rPr>
        <w:tab/>
        <w:t xml:space="preserve">Baltisberger, J. H.; Gann, S. L.; Pines, A.; Wooten, E. W.; Chang, T. H.; Mueller, K. T. </w:t>
      </w:r>
      <w:r w:rsidRPr="000A4126">
        <w:rPr>
          <w:rFonts w:cs="Times New Roman"/>
          <w:noProof/>
          <w:szCs w:val="24"/>
          <w:vertAlign w:val="superscript"/>
        </w:rPr>
        <w:t>87</w:t>
      </w:r>
      <w:r w:rsidRPr="000A4126">
        <w:rPr>
          <w:rFonts w:cs="Times New Roman"/>
          <w:noProof/>
          <w:szCs w:val="24"/>
        </w:rPr>
        <w:t xml:space="preserve">Rb Dynamic-Angle Spinning NMR Spectroscopy of Inorganic Rubidium Salts. </w:t>
      </w:r>
      <w:r w:rsidRPr="000A4126">
        <w:rPr>
          <w:rFonts w:cs="Times New Roman"/>
          <w:i/>
          <w:iCs/>
          <w:noProof/>
          <w:szCs w:val="24"/>
        </w:rPr>
        <w:t>J. Am. Chem. Soc.</w:t>
      </w:r>
      <w:r w:rsidRPr="000A4126">
        <w:rPr>
          <w:rFonts w:cs="Times New Roman"/>
          <w:noProof/>
          <w:szCs w:val="24"/>
        </w:rPr>
        <w:t xml:space="preserve"> </w:t>
      </w:r>
      <w:r w:rsidRPr="000A4126">
        <w:rPr>
          <w:rFonts w:cs="Times New Roman"/>
          <w:b/>
          <w:bCs/>
          <w:noProof/>
          <w:szCs w:val="24"/>
        </w:rPr>
        <w:t>1992</w:t>
      </w:r>
      <w:r w:rsidRPr="000A4126">
        <w:rPr>
          <w:rFonts w:cs="Times New Roman"/>
          <w:noProof/>
          <w:szCs w:val="24"/>
        </w:rPr>
        <w:t xml:space="preserve">, </w:t>
      </w:r>
      <w:r w:rsidRPr="000A4126">
        <w:rPr>
          <w:rFonts w:cs="Times New Roman"/>
          <w:i/>
          <w:iCs/>
          <w:noProof/>
          <w:szCs w:val="24"/>
        </w:rPr>
        <w:t>114</w:t>
      </w:r>
      <w:r w:rsidRPr="000A4126">
        <w:rPr>
          <w:rFonts w:cs="Times New Roman"/>
          <w:noProof/>
          <w:szCs w:val="24"/>
        </w:rPr>
        <w:t>, 7489–7493.</w:t>
      </w:r>
    </w:p>
    <w:p w14:paraId="61156ED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(32) </w:t>
      </w:r>
      <w:r w:rsidRPr="000A4126">
        <w:rPr>
          <w:rFonts w:cs="Times New Roman"/>
          <w:noProof/>
          <w:szCs w:val="24"/>
        </w:rPr>
        <w:tab/>
        <w:t>Skinner, S. J.; Kang, Y. X-Ray Diffraction Studies and Phase Transformations of CeNbO</w:t>
      </w:r>
      <w:r w:rsidRPr="000A4126">
        <w:rPr>
          <w:rFonts w:cs="Times New Roman"/>
          <w:noProof/>
          <w:szCs w:val="24"/>
          <w:vertAlign w:val="subscript"/>
        </w:rPr>
        <w:t>4+δ</w:t>
      </w:r>
      <w:r w:rsidRPr="000A4126">
        <w:rPr>
          <w:rFonts w:cs="Times New Roman"/>
          <w:noProof/>
          <w:szCs w:val="24"/>
        </w:rPr>
        <w:t xml:space="preserve"> Using in Situ Techniques. </w:t>
      </w:r>
      <w:r w:rsidRPr="000A4126">
        <w:rPr>
          <w:rFonts w:cs="Times New Roman"/>
          <w:i/>
          <w:iCs/>
          <w:noProof/>
          <w:szCs w:val="24"/>
        </w:rPr>
        <w:t>Solid State Sci.</w:t>
      </w:r>
      <w:r w:rsidRPr="000A4126">
        <w:rPr>
          <w:rFonts w:cs="Times New Roman"/>
          <w:noProof/>
          <w:szCs w:val="24"/>
        </w:rPr>
        <w:t xml:space="preserve"> </w:t>
      </w:r>
      <w:r w:rsidRPr="000A4126">
        <w:rPr>
          <w:rFonts w:cs="Times New Roman"/>
          <w:b/>
          <w:bCs/>
          <w:noProof/>
          <w:szCs w:val="24"/>
        </w:rPr>
        <w:t>2003</w:t>
      </w:r>
      <w:r w:rsidRPr="000A4126">
        <w:rPr>
          <w:rFonts w:cs="Times New Roman"/>
          <w:noProof/>
          <w:szCs w:val="24"/>
        </w:rPr>
        <w:t xml:space="preserve">, </w:t>
      </w:r>
      <w:r w:rsidRPr="000A4126">
        <w:rPr>
          <w:rFonts w:cs="Times New Roman"/>
          <w:i/>
          <w:iCs/>
          <w:noProof/>
          <w:szCs w:val="24"/>
        </w:rPr>
        <w:t>5</w:t>
      </w:r>
      <w:r w:rsidRPr="000A4126">
        <w:rPr>
          <w:rFonts w:cs="Times New Roman"/>
          <w:noProof/>
          <w:szCs w:val="24"/>
        </w:rPr>
        <w:t>, 1475–1479.</w:t>
      </w:r>
    </w:p>
    <w:p w14:paraId="0E4AFB9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(33) </w:t>
      </w:r>
      <w:r w:rsidRPr="000A4126">
        <w:rPr>
          <w:rFonts w:cs="Times New Roman"/>
          <w:noProof/>
          <w:szCs w:val="24"/>
        </w:rPr>
        <w:tab/>
        <w:t>Vullum, F.; Nitsche, F.; Selbach, S. M.; Grande, T. Solid Solubility and Phase Transitions in the System LaNb</w:t>
      </w:r>
      <w:r w:rsidRPr="000A4126">
        <w:rPr>
          <w:rFonts w:cs="Times New Roman"/>
          <w:noProof/>
          <w:szCs w:val="24"/>
          <w:vertAlign w:val="subscript"/>
        </w:rPr>
        <w:t>1-x</w:t>
      </w:r>
      <w:r w:rsidRPr="000A4126">
        <w:rPr>
          <w:rFonts w:cs="Times New Roman"/>
          <w:noProof/>
          <w:szCs w:val="24"/>
        </w:rPr>
        <w:t>Ta</w:t>
      </w:r>
      <w:r w:rsidRPr="000A4126">
        <w:rPr>
          <w:rFonts w:cs="Times New Roman"/>
          <w:noProof/>
          <w:szCs w:val="24"/>
          <w:vertAlign w:val="subscript"/>
        </w:rPr>
        <w:t>x</w:t>
      </w:r>
      <w:r w:rsidRPr="000A4126">
        <w:rPr>
          <w:rFonts w:cs="Times New Roman"/>
          <w:noProof/>
          <w:szCs w:val="24"/>
        </w:rPr>
        <w:t>O</w:t>
      </w:r>
      <w:r w:rsidRPr="000A4126">
        <w:rPr>
          <w:rFonts w:cs="Times New Roman"/>
          <w:noProof/>
          <w:szCs w:val="24"/>
          <w:vertAlign w:val="subscript"/>
        </w:rPr>
        <w:t>4</w:t>
      </w:r>
      <w:r w:rsidRPr="000A4126">
        <w:rPr>
          <w:rFonts w:cs="Times New Roman"/>
          <w:noProof/>
          <w:szCs w:val="24"/>
        </w:rPr>
        <w:t xml:space="preserve">. </w:t>
      </w:r>
      <w:r w:rsidRPr="000A4126">
        <w:rPr>
          <w:rFonts w:cs="Times New Roman"/>
          <w:i/>
          <w:iCs/>
          <w:noProof/>
          <w:szCs w:val="24"/>
        </w:rPr>
        <w:t>J. Solid State Chem.</w:t>
      </w:r>
      <w:r w:rsidRPr="000A4126">
        <w:rPr>
          <w:rFonts w:cs="Times New Roman"/>
          <w:noProof/>
          <w:szCs w:val="24"/>
        </w:rPr>
        <w:t xml:space="preserve"> </w:t>
      </w:r>
      <w:r w:rsidRPr="000A4126">
        <w:rPr>
          <w:rFonts w:cs="Times New Roman"/>
          <w:b/>
          <w:bCs/>
          <w:noProof/>
          <w:szCs w:val="24"/>
        </w:rPr>
        <w:t>2008</w:t>
      </w:r>
      <w:r w:rsidRPr="000A4126">
        <w:rPr>
          <w:rFonts w:cs="Times New Roman"/>
          <w:noProof/>
          <w:szCs w:val="24"/>
        </w:rPr>
        <w:t xml:space="preserve">, </w:t>
      </w:r>
      <w:r w:rsidRPr="000A4126">
        <w:rPr>
          <w:rFonts w:cs="Times New Roman"/>
          <w:i/>
          <w:iCs/>
          <w:noProof/>
          <w:szCs w:val="24"/>
        </w:rPr>
        <w:t>181</w:t>
      </w:r>
      <w:r w:rsidRPr="000A4126">
        <w:rPr>
          <w:rFonts w:cs="Times New Roman"/>
          <w:noProof/>
          <w:szCs w:val="24"/>
        </w:rPr>
        <w:t>, 2580–2585.</w:t>
      </w:r>
    </w:p>
    <w:p w14:paraId="6DA37C0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(34) </w:t>
      </w:r>
      <w:r w:rsidRPr="000A4126">
        <w:rPr>
          <w:rFonts w:cs="Times New Roman"/>
          <w:noProof/>
          <w:szCs w:val="24"/>
        </w:rPr>
        <w:tab/>
        <w:t>Mokkelbost, T.; Lein, H. L.; Vullum, P. E.; Holmestad, R.; Grande, T.; Einarsrud, M. A. Thermal and Mechanical Properties of LaNbO</w:t>
      </w:r>
      <w:r w:rsidRPr="000A4126">
        <w:rPr>
          <w:rFonts w:cs="Times New Roman"/>
          <w:noProof/>
          <w:szCs w:val="24"/>
          <w:vertAlign w:val="subscript"/>
        </w:rPr>
        <w:t>4</w:t>
      </w:r>
      <w:r w:rsidRPr="000A4126">
        <w:rPr>
          <w:rFonts w:cs="Times New Roman"/>
          <w:noProof/>
          <w:szCs w:val="24"/>
        </w:rPr>
        <w:t xml:space="preserve">-Based Ceramics. </w:t>
      </w:r>
      <w:r w:rsidRPr="000A4126">
        <w:rPr>
          <w:rFonts w:cs="Times New Roman"/>
          <w:i/>
          <w:iCs/>
          <w:noProof/>
          <w:szCs w:val="24"/>
        </w:rPr>
        <w:t>Ceram. Int.</w:t>
      </w:r>
      <w:r w:rsidRPr="000A4126">
        <w:rPr>
          <w:rFonts w:cs="Times New Roman"/>
          <w:noProof/>
          <w:szCs w:val="24"/>
        </w:rPr>
        <w:t xml:space="preserve"> </w:t>
      </w:r>
      <w:r w:rsidRPr="000A4126">
        <w:rPr>
          <w:rFonts w:cs="Times New Roman"/>
          <w:b/>
          <w:bCs/>
          <w:noProof/>
          <w:szCs w:val="24"/>
        </w:rPr>
        <w:t>2009</w:t>
      </w:r>
      <w:r w:rsidRPr="000A4126">
        <w:rPr>
          <w:rFonts w:cs="Times New Roman"/>
          <w:noProof/>
          <w:szCs w:val="24"/>
        </w:rPr>
        <w:t xml:space="preserve">, </w:t>
      </w:r>
      <w:r w:rsidRPr="000A4126">
        <w:rPr>
          <w:rFonts w:cs="Times New Roman"/>
          <w:i/>
          <w:iCs/>
          <w:noProof/>
          <w:szCs w:val="24"/>
        </w:rPr>
        <w:t>35</w:t>
      </w:r>
      <w:r w:rsidRPr="000A4126">
        <w:rPr>
          <w:rFonts w:cs="Times New Roman"/>
          <w:noProof/>
          <w:szCs w:val="24"/>
        </w:rPr>
        <w:t>, 2877–2883.</w:t>
      </w:r>
    </w:p>
    <w:p w14:paraId="33D99852"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(35) </w:t>
      </w:r>
      <w:r w:rsidRPr="000A4126">
        <w:rPr>
          <w:rFonts w:cs="Times New Roman"/>
          <w:noProof/>
          <w:szCs w:val="24"/>
        </w:rPr>
        <w:tab/>
        <w:t xml:space="preserve">Singhal, S. C.; Kendall, K. </w:t>
      </w:r>
      <w:r w:rsidRPr="000A4126">
        <w:rPr>
          <w:rFonts w:cs="Times New Roman"/>
          <w:i/>
          <w:iCs/>
          <w:noProof/>
          <w:szCs w:val="24"/>
        </w:rPr>
        <w:t>High-Temperature Solid Oxide Fuel Cells: Fundamentals, Design, and Applicatons</w:t>
      </w:r>
      <w:r w:rsidRPr="000A4126">
        <w:rPr>
          <w:rFonts w:cs="Times New Roman"/>
          <w:noProof/>
          <w:szCs w:val="24"/>
        </w:rPr>
        <w:t>, 1st ed.; Elsevier B.V., 2003.</w:t>
      </w:r>
    </w:p>
    <w:p w14:paraId="3DB546C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(36) </w:t>
      </w:r>
      <w:r w:rsidRPr="000A4126">
        <w:rPr>
          <w:rFonts w:cs="Times New Roman"/>
          <w:noProof/>
          <w:szCs w:val="24"/>
        </w:rPr>
        <w:tab/>
        <w:t>Corbel, G.; Mestiri, S.; Lacorre, P. Physicochemical Compatibility of CGO Fluorite, LSM and LSCF Perovskite Electrode Materials with La</w:t>
      </w:r>
      <w:r w:rsidRPr="000A4126">
        <w:rPr>
          <w:rFonts w:cs="Times New Roman"/>
          <w:noProof/>
          <w:szCs w:val="24"/>
          <w:vertAlign w:val="subscript"/>
        </w:rPr>
        <w:t>2</w:t>
      </w:r>
      <w:r w:rsidRPr="000A4126">
        <w:rPr>
          <w:rFonts w:cs="Times New Roman"/>
          <w:noProof/>
          <w:szCs w:val="24"/>
        </w:rPr>
        <w:t>Mo</w:t>
      </w:r>
      <w:r w:rsidRPr="000A4126">
        <w:rPr>
          <w:rFonts w:cs="Times New Roman"/>
          <w:noProof/>
          <w:szCs w:val="24"/>
          <w:vertAlign w:val="subscript"/>
        </w:rPr>
        <w:t>2</w:t>
      </w:r>
      <w:r w:rsidRPr="000A4126">
        <w:rPr>
          <w:rFonts w:cs="Times New Roman"/>
          <w:noProof/>
          <w:szCs w:val="24"/>
        </w:rPr>
        <w:t>O</w:t>
      </w:r>
      <w:r w:rsidRPr="000A4126">
        <w:rPr>
          <w:rFonts w:cs="Times New Roman"/>
          <w:noProof/>
          <w:szCs w:val="24"/>
          <w:vertAlign w:val="subscript"/>
        </w:rPr>
        <w:t>9</w:t>
      </w:r>
      <w:r w:rsidRPr="000A4126">
        <w:rPr>
          <w:rFonts w:cs="Times New Roman"/>
          <w:noProof/>
          <w:szCs w:val="24"/>
        </w:rPr>
        <w:t xml:space="preserve"> Fast Oxide-Ion Conductor. </w:t>
      </w:r>
      <w:r w:rsidRPr="000A4126">
        <w:rPr>
          <w:rFonts w:cs="Times New Roman"/>
          <w:i/>
          <w:iCs/>
          <w:noProof/>
          <w:szCs w:val="24"/>
        </w:rPr>
        <w:t>Solid State Sci.</w:t>
      </w:r>
      <w:r w:rsidRPr="000A4126">
        <w:rPr>
          <w:rFonts w:cs="Times New Roman"/>
          <w:noProof/>
          <w:szCs w:val="24"/>
        </w:rPr>
        <w:t xml:space="preserve"> </w:t>
      </w:r>
      <w:r w:rsidRPr="000A4126">
        <w:rPr>
          <w:rFonts w:cs="Times New Roman"/>
          <w:b/>
          <w:bCs/>
          <w:noProof/>
          <w:szCs w:val="24"/>
        </w:rPr>
        <w:t>2005</w:t>
      </w:r>
      <w:r w:rsidRPr="000A4126">
        <w:rPr>
          <w:rFonts w:cs="Times New Roman"/>
          <w:noProof/>
          <w:szCs w:val="24"/>
        </w:rPr>
        <w:t xml:space="preserve">, </w:t>
      </w:r>
      <w:r w:rsidRPr="000A4126">
        <w:rPr>
          <w:rFonts w:cs="Times New Roman"/>
          <w:i/>
          <w:iCs/>
          <w:noProof/>
          <w:szCs w:val="24"/>
        </w:rPr>
        <w:t>7</w:t>
      </w:r>
      <w:r w:rsidRPr="000A4126">
        <w:rPr>
          <w:rFonts w:cs="Times New Roman"/>
          <w:noProof/>
          <w:szCs w:val="24"/>
        </w:rPr>
        <w:t>, 1216–1224.</w:t>
      </w:r>
    </w:p>
    <w:p w14:paraId="6E69E51C"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(37) </w:t>
      </w:r>
      <w:r w:rsidRPr="000A4126">
        <w:rPr>
          <w:rFonts w:cs="Times New Roman"/>
          <w:noProof/>
          <w:szCs w:val="24"/>
        </w:rPr>
        <w:tab/>
        <w:t>Xu, Q.; Huang, D.; Zhang, F.; Chen, W.; Chen, M.; Liu, H. xing. Structure, Electrical Conducting and Thermal Expansion Properties of La</w:t>
      </w:r>
      <w:r w:rsidRPr="000A4126">
        <w:rPr>
          <w:rFonts w:cs="Times New Roman"/>
          <w:noProof/>
          <w:szCs w:val="24"/>
          <w:vertAlign w:val="subscript"/>
        </w:rPr>
        <w:t>0.6</w:t>
      </w:r>
      <w:r w:rsidRPr="000A4126">
        <w:rPr>
          <w:rFonts w:cs="Times New Roman"/>
          <w:noProof/>
          <w:szCs w:val="24"/>
        </w:rPr>
        <w:t>Sr</w:t>
      </w:r>
      <w:r w:rsidRPr="000A4126">
        <w:rPr>
          <w:rFonts w:cs="Times New Roman"/>
          <w:noProof/>
          <w:szCs w:val="24"/>
          <w:vertAlign w:val="subscript"/>
        </w:rPr>
        <w:t>0.4</w:t>
      </w:r>
      <w:r w:rsidRPr="000A4126">
        <w:rPr>
          <w:rFonts w:cs="Times New Roman"/>
          <w:noProof/>
          <w:szCs w:val="24"/>
        </w:rPr>
        <w:t>Co</w:t>
      </w:r>
      <w:r w:rsidRPr="000A4126">
        <w:rPr>
          <w:rFonts w:cs="Times New Roman"/>
          <w:noProof/>
          <w:szCs w:val="24"/>
          <w:vertAlign w:val="subscript"/>
        </w:rPr>
        <w:t>0.8</w:t>
      </w:r>
      <w:r w:rsidRPr="000A4126">
        <w:rPr>
          <w:rFonts w:cs="Times New Roman"/>
          <w:noProof/>
          <w:szCs w:val="24"/>
        </w:rPr>
        <w:t>Fe</w:t>
      </w:r>
      <w:r w:rsidRPr="000A4126">
        <w:rPr>
          <w:rFonts w:cs="Times New Roman"/>
          <w:noProof/>
          <w:szCs w:val="24"/>
          <w:vertAlign w:val="subscript"/>
        </w:rPr>
        <w:t>0.2</w:t>
      </w:r>
      <w:r w:rsidRPr="000A4126">
        <w:rPr>
          <w:rFonts w:cs="Times New Roman"/>
          <w:noProof/>
          <w:szCs w:val="24"/>
        </w:rPr>
        <w:t>O</w:t>
      </w:r>
      <w:r w:rsidRPr="000A4126">
        <w:rPr>
          <w:rFonts w:cs="Times New Roman"/>
          <w:noProof/>
          <w:szCs w:val="24"/>
          <w:vertAlign w:val="subscript"/>
        </w:rPr>
        <w:t>3-d</w:t>
      </w:r>
      <w:r w:rsidRPr="000A4126">
        <w:rPr>
          <w:rFonts w:cs="Times New Roman"/>
          <w:noProof/>
          <w:szCs w:val="24"/>
        </w:rPr>
        <w:t>-Ce</w:t>
      </w:r>
      <w:r w:rsidRPr="000A4126">
        <w:rPr>
          <w:rFonts w:cs="Times New Roman"/>
          <w:noProof/>
          <w:szCs w:val="24"/>
          <w:vertAlign w:val="subscript"/>
        </w:rPr>
        <w:t>0.8</w:t>
      </w:r>
      <w:r w:rsidRPr="000A4126">
        <w:rPr>
          <w:rFonts w:cs="Times New Roman"/>
          <w:noProof/>
          <w:szCs w:val="24"/>
        </w:rPr>
        <w:t>Sm</w:t>
      </w:r>
      <w:r w:rsidRPr="000A4126">
        <w:rPr>
          <w:rFonts w:cs="Times New Roman"/>
          <w:noProof/>
          <w:szCs w:val="24"/>
          <w:vertAlign w:val="subscript"/>
        </w:rPr>
        <w:t>0.2</w:t>
      </w:r>
      <w:r w:rsidRPr="000A4126">
        <w:rPr>
          <w:rFonts w:cs="Times New Roman"/>
          <w:noProof/>
          <w:szCs w:val="24"/>
        </w:rPr>
        <w:t>O</w:t>
      </w:r>
      <w:r w:rsidRPr="000A4126">
        <w:rPr>
          <w:rFonts w:cs="Times New Roman"/>
          <w:noProof/>
          <w:szCs w:val="24"/>
          <w:vertAlign w:val="subscript"/>
        </w:rPr>
        <w:t>2-d</w:t>
      </w:r>
      <w:r w:rsidRPr="000A4126">
        <w:rPr>
          <w:rFonts w:cs="Times New Roman"/>
          <w:noProof/>
          <w:szCs w:val="24"/>
        </w:rPr>
        <w:t xml:space="preserve"> Composite Cathodes. </w:t>
      </w:r>
      <w:r w:rsidRPr="000A4126">
        <w:rPr>
          <w:rFonts w:cs="Times New Roman"/>
          <w:i/>
          <w:iCs/>
          <w:noProof/>
          <w:szCs w:val="24"/>
        </w:rPr>
        <w:t>J. Alloys Compd.</w:t>
      </w:r>
      <w:r w:rsidRPr="000A4126">
        <w:rPr>
          <w:rFonts w:cs="Times New Roman"/>
          <w:noProof/>
          <w:szCs w:val="24"/>
        </w:rPr>
        <w:t xml:space="preserve"> </w:t>
      </w:r>
      <w:r w:rsidRPr="000A4126">
        <w:rPr>
          <w:rFonts w:cs="Times New Roman"/>
          <w:b/>
          <w:bCs/>
          <w:noProof/>
          <w:szCs w:val="24"/>
        </w:rPr>
        <w:t>2008</w:t>
      </w:r>
      <w:r w:rsidRPr="000A4126">
        <w:rPr>
          <w:rFonts w:cs="Times New Roman"/>
          <w:noProof/>
          <w:szCs w:val="24"/>
        </w:rPr>
        <w:t xml:space="preserve">, </w:t>
      </w:r>
      <w:r w:rsidRPr="000A4126">
        <w:rPr>
          <w:rFonts w:cs="Times New Roman"/>
          <w:i/>
          <w:iCs/>
          <w:noProof/>
          <w:szCs w:val="24"/>
        </w:rPr>
        <w:t>454</w:t>
      </w:r>
      <w:r w:rsidRPr="000A4126">
        <w:rPr>
          <w:rFonts w:cs="Times New Roman"/>
          <w:noProof/>
          <w:szCs w:val="24"/>
        </w:rPr>
        <w:t>, 460–465.</w:t>
      </w:r>
    </w:p>
    <w:p w14:paraId="6F875DA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(38) </w:t>
      </w:r>
      <w:r w:rsidRPr="000A4126">
        <w:rPr>
          <w:rFonts w:cs="Times New Roman"/>
          <w:noProof/>
          <w:szCs w:val="24"/>
        </w:rPr>
        <w:tab/>
        <w:t>Bayliss, R. D. Synthetic, Structural and Electrochemical Studies of Superstructured Rare-Earth Niobates, Ph.D. Thesis, Imperial College London, 2014.</w:t>
      </w:r>
    </w:p>
    <w:p w14:paraId="3721B57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(39) </w:t>
      </w:r>
      <w:r w:rsidRPr="000A4126">
        <w:rPr>
          <w:rFonts w:cs="Times New Roman"/>
          <w:noProof/>
          <w:szCs w:val="24"/>
        </w:rPr>
        <w:tab/>
        <w:t xml:space="preserve">van Smaalen, S. </w:t>
      </w:r>
      <w:r w:rsidRPr="000A4126">
        <w:rPr>
          <w:rFonts w:cs="Times New Roman"/>
          <w:i/>
          <w:iCs/>
          <w:noProof/>
          <w:szCs w:val="24"/>
        </w:rPr>
        <w:t>Incommensurate Crystallography</w:t>
      </w:r>
      <w:r w:rsidRPr="000A4126">
        <w:rPr>
          <w:rFonts w:cs="Times New Roman"/>
          <w:noProof/>
          <w:szCs w:val="24"/>
        </w:rPr>
        <w:t>; Oxford Scholarship, 2008.</w:t>
      </w:r>
    </w:p>
    <w:p w14:paraId="233AE382"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(40) </w:t>
      </w:r>
      <w:r w:rsidRPr="000A4126">
        <w:rPr>
          <w:rFonts w:cs="Times New Roman"/>
          <w:noProof/>
          <w:szCs w:val="24"/>
        </w:rPr>
        <w:tab/>
        <w:t xml:space="preserve">Stokes, H. T.; Campbell, B. J.; Van Smaalen, S. Generation of (3 + d)-Dimensional Superspace Groups for Describing the Symmetry of Modulated Crystalline Structures. </w:t>
      </w:r>
      <w:r w:rsidRPr="000A4126">
        <w:rPr>
          <w:rFonts w:cs="Times New Roman"/>
          <w:i/>
          <w:iCs/>
          <w:noProof/>
          <w:szCs w:val="24"/>
        </w:rPr>
        <w:t>Acta Crystallogr. Sect. A Found. Crystallogr.</w:t>
      </w:r>
      <w:r w:rsidRPr="000A4126">
        <w:rPr>
          <w:rFonts w:cs="Times New Roman"/>
          <w:noProof/>
          <w:szCs w:val="24"/>
        </w:rPr>
        <w:t xml:space="preserve"> </w:t>
      </w:r>
      <w:r w:rsidRPr="000A4126">
        <w:rPr>
          <w:rFonts w:cs="Times New Roman"/>
          <w:b/>
          <w:bCs/>
          <w:noProof/>
          <w:szCs w:val="24"/>
        </w:rPr>
        <w:t>2011</w:t>
      </w:r>
      <w:r w:rsidRPr="000A4126">
        <w:rPr>
          <w:rFonts w:cs="Times New Roman"/>
          <w:noProof/>
          <w:szCs w:val="24"/>
        </w:rPr>
        <w:t xml:space="preserve">, </w:t>
      </w:r>
      <w:r w:rsidRPr="000A4126">
        <w:rPr>
          <w:rFonts w:cs="Times New Roman"/>
          <w:i/>
          <w:iCs/>
          <w:noProof/>
          <w:szCs w:val="24"/>
        </w:rPr>
        <w:t>67</w:t>
      </w:r>
      <w:r w:rsidRPr="000A4126">
        <w:rPr>
          <w:rFonts w:cs="Times New Roman"/>
          <w:noProof/>
          <w:szCs w:val="24"/>
        </w:rPr>
        <w:t>, 45–55.</w:t>
      </w:r>
    </w:p>
    <w:p w14:paraId="2536A6D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(41) </w:t>
      </w:r>
      <w:r w:rsidRPr="000A4126">
        <w:rPr>
          <w:rFonts w:cs="Times New Roman"/>
          <w:noProof/>
          <w:szCs w:val="24"/>
        </w:rPr>
        <w:tab/>
        <w:t>Morozov, V.; Arakcheeva, A.; Redkin, B.; Sinitsyn, V.; Khasanov, S.; Kudrenko, E.; Raskina, M.; Lebedev, O.; Van Tendeloo, G. Na</w:t>
      </w:r>
      <w:r w:rsidRPr="000A4126">
        <w:rPr>
          <w:rFonts w:cs="Times New Roman"/>
          <w:noProof/>
          <w:szCs w:val="24"/>
          <w:vertAlign w:val="subscript"/>
        </w:rPr>
        <w:t>2/7</w:t>
      </w:r>
      <w:r w:rsidRPr="000A4126">
        <w:rPr>
          <w:rFonts w:cs="Times New Roman"/>
          <w:noProof/>
          <w:szCs w:val="24"/>
        </w:rPr>
        <w:t>Gd</w:t>
      </w:r>
      <w:r w:rsidRPr="000A4126">
        <w:rPr>
          <w:rFonts w:cs="Times New Roman"/>
          <w:noProof/>
          <w:szCs w:val="24"/>
          <w:vertAlign w:val="subscript"/>
        </w:rPr>
        <w:t>4/7</w:t>
      </w:r>
      <w:r w:rsidRPr="000A4126">
        <w:rPr>
          <w:rFonts w:cs="Times New Roman"/>
          <w:noProof/>
          <w:szCs w:val="24"/>
        </w:rPr>
        <w:t>MoO</w:t>
      </w:r>
      <w:r w:rsidRPr="000A4126">
        <w:rPr>
          <w:rFonts w:cs="Times New Roman"/>
          <w:noProof/>
          <w:szCs w:val="24"/>
          <w:vertAlign w:val="subscript"/>
        </w:rPr>
        <w:t>4</w:t>
      </w:r>
      <w:r w:rsidRPr="000A4126">
        <w:rPr>
          <w:rFonts w:cs="Times New Roman"/>
          <w:noProof/>
          <w:szCs w:val="24"/>
        </w:rPr>
        <w:t xml:space="preserve">: A Modulated Scheelite-Type Structure and Conductivity Properties. </w:t>
      </w:r>
      <w:r w:rsidRPr="000A4126">
        <w:rPr>
          <w:rFonts w:cs="Times New Roman"/>
          <w:i/>
          <w:iCs/>
          <w:noProof/>
          <w:szCs w:val="24"/>
        </w:rPr>
        <w:t>Inorg. Chem.</w:t>
      </w:r>
      <w:r w:rsidRPr="000A4126">
        <w:rPr>
          <w:rFonts w:cs="Times New Roman"/>
          <w:noProof/>
          <w:szCs w:val="24"/>
        </w:rPr>
        <w:t xml:space="preserve"> </w:t>
      </w:r>
      <w:r w:rsidRPr="000A4126">
        <w:rPr>
          <w:rFonts w:cs="Times New Roman"/>
          <w:b/>
          <w:bCs/>
          <w:noProof/>
          <w:szCs w:val="24"/>
        </w:rPr>
        <w:t>2012</w:t>
      </w:r>
      <w:r w:rsidRPr="000A4126">
        <w:rPr>
          <w:rFonts w:cs="Times New Roman"/>
          <w:noProof/>
          <w:szCs w:val="24"/>
        </w:rPr>
        <w:t xml:space="preserve">, </w:t>
      </w:r>
      <w:r w:rsidRPr="000A4126">
        <w:rPr>
          <w:rFonts w:cs="Times New Roman"/>
          <w:i/>
          <w:iCs/>
          <w:noProof/>
          <w:szCs w:val="24"/>
        </w:rPr>
        <w:t>51</w:t>
      </w:r>
      <w:r w:rsidRPr="000A4126">
        <w:rPr>
          <w:rFonts w:cs="Times New Roman"/>
          <w:noProof/>
          <w:szCs w:val="24"/>
        </w:rPr>
        <w:t>, 5313–5324.</w:t>
      </w:r>
    </w:p>
    <w:p w14:paraId="3CAADA20"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(42) </w:t>
      </w:r>
      <w:r w:rsidRPr="000A4126">
        <w:rPr>
          <w:rFonts w:cs="Times New Roman"/>
          <w:noProof/>
          <w:szCs w:val="24"/>
        </w:rPr>
        <w:tab/>
        <w:t>Abakumov, A. M.; Morozov, V. A.; Tsirlin, A. A.; Verbeeck, J.; Hadermann, J. Cation Ordering and Flexibility of the BO</w:t>
      </w:r>
      <w:r w:rsidRPr="000A4126">
        <w:rPr>
          <w:rFonts w:cs="Times New Roman"/>
          <w:noProof/>
          <w:szCs w:val="24"/>
          <w:vertAlign w:val="subscript"/>
        </w:rPr>
        <w:t>4</w:t>
      </w:r>
      <w:r w:rsidRPr="000A4126">
        <w:rPr>
          <w:rFonts w:cs="Times New Roman"/>
          <w:noProof/>
          <w:szCs w:val="24"/>
          <w:vertAlign w:val="superscript"/>
        </w:rPr>
        <w:t>2-</w:t>
      </w:r>
      <w:r w:rsidRPr="000A4126">
        <w:rPr>
          <w:rFonts w:cs="Times New Roman"/>
          <w:noProof/>
          <w:szCs w:val="24"/>
        </w:rPr>
        <w:t xml:space="preserve"> Tetrahedra in Incommensurately Modulated CaEu</w:t>
      </w:r>
      <w:r w:rsidRPr="000A4126">
        <w:rPr>
          <w:rFonts w:cs="Times New Roman"/>
          <w:noProof/>
          <w:szCs w:val="24"/>
          <w:vertAlign w:val="subscript"/>
        </w:rPr>
        <w:t>2</w:t>
      </w:r>
      <w:r w:rsidRPr="000A4126">
        <w:rPr>
          <w:rFonts w:cs="Times New Roman"/>
          <w:noProof/>
          <w:szCs w:val="24"/>
        </w:rPr>
        <w:t>(BO</w:t>
      </w:r>
      <w:r w:rsidRPr="000A4126">
        <w:rPr>
          <w:rFonts w:cs="Times New Roman"/>
          <w:noProof/>
          <w:szCs w:val="24"/>
          <w:vertAlign w:val="subscript"/>
        </w:rPr>
        <w:t>4</w:t>
      </w:r>
      <w:r w:rsidRPr="000A4126">
        <w:rPr>
          <w:rFonts w:cs="Times New Roman"/>
          <w:noProof/>
          <w:szCs w:val="24"/>
        </w:rPr>
        <w:t>)</w:t>
      </w:r>
      <w:r w:rsidRPr="000A4126">
        <w:rPr>
          <w:rFonts w:cs="Times New Roman"/>
          <w:noProof/>
          <w:szCs w:val="24"/>
          <w:vertAlign w:val="subscript"/>
        </w:rPr>
        <w:t>4</w:t>
      </w:r>
      <w:r w:rsidRPr="000A4126">
        <w:rPr>
          <w:rFonts w:cs="Times New Roman"/>
          <w:noProof/>
          <w:szCs w:val="24"/>
        </w:rPr>
        <w:t xml:space="preserve"> (B = Mo, W) Scheelites. </w:t>
      </w:r>
      <w:r w:rsidRPr="000A4126">
        <w:rPr>
          <w:rFonts w:cs="Times New Roman"/>
          <w:i/>
          <w:iCs/>
          <w:noProof/>
          <w:szCs w:val="24"/>
        </w:rPr>
        <w:t>Inorg. Chem.</w:t>
      </w:r>
      <w:r w:rsidRPr="000A4126">
        <w:rPr>
          <w:rFonts w:cs="Times New Roman"/>
          <w:noProof/>
          <w:szCs w:val="24"/>
        </w:rPr>
        <w:t xml:space="preserve"> </w:t>
      </w:r>
      <w:r w:rsidRPr="000A4126">
        <w:rPr>
          <w:rFonts w:cs="Times New Roman"/>
          <w:b/>
          <w:bCs/>
          <w:noProof/>
          <w:szCs w:val="24"/>
        </w:rPr>
        <w:t>2014</w:t>
      </w:r>
      <w:r w:rsidRPr="000A4126">
        <w:rPr>
          <w:rFonts w:cs="Times New Roman"/>
          <w:noProof/>
          <w:szCs w:val="24"/>
        </w:rPr>
        <w:t xml:space="preserve">, </w:t>
      </w:r>
      <w:r w:rsidRPr="000A4126">
        <w:rPr>
          <w:rFonts w:cs="Times New Roman"/>
          <w:i/>
          <w:iCs/>
          <w:noProof/>
          <w:szCs w:val="24"/>
        </w:rPr>
        <w:t>53</w:t>
      </w:r>
      <w:r w:rsidRPr="000A4126">
        <w:rPr>
          <w:rFonts w:cs="Times New Roman"/>
          <w:noProof/>
          <w:szCs w:val="24"/>
        </w:rPr>
        <w:t>, 9407–9415.</w:t>
      </w:r>
    </w:p>
    <w:p w14:paraId="017EBF91"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(43) </w:t>
      </w:r>
      <w:r w:rsidRPr="000A4126">
        <w:rPr>
          <w:rFonts w:cs="Times New Roman"/>
          <w:noProof/>
          <w:szCs w:val="24"/>
        </w:rPr>
        <w:tab/>
        <w:t>Takai, S.; Touda, S.; Oikawa, K.; Mori, K.; Torii, S. Powder Neutron Diffraction Study of Ln-Substituted PbWO</w:t>
      </w:r>
      <w:r w:rsidRPr="000A4126">
        <w:rPr>
          <w:rFonts w:cs="Times New Roman"/>
          <w:noProof/>
          <w:szCs w:val="24"/>
          <w:vertAlign w:val="subscript"/>
        </w:rPr>
        <w:t>4</w:t>
      </w:r>
      <w:r w:rsidRPr="000A4126">
        <w:rPr>
          <w:rFonts w:cs="Times New Roman"/>
          <w:noProof/>
          <w:szCs w:val="24"/>
        </w:rPr>
        <w:t xml:space="preserve"> Oxide Ion Conductors.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2002</w:t>
      </w:r>
      <w:r w:rsidRPr="000A4126">
        <w:rPr>
          <w:rFonts w:cs="Times New Roman"/>
          <w:noProof/>
          <w:szCs w:val="24"/>
        </w:rPr>
        <w:t xml:space="preserve">, </w:t>
      </w:r>
      <w:r w:rsidRPr="000A4126">
        <w:rPr>
          <w:rFonts w:cs="Times New Roman"/>
          <w:i/>
          <w:iCs/>
          <w:noProof/>
          <w:szCs w:val="24"/>
        </w:rPr>
        <w:t>148</w:t>
      </w:r>
      <w:r w:rsidRPr="000A4126">
        <w:rPr>
          <w:rFonts w:cs="Times New Roman"/>
          <w:noProof/>
          <w:szCs w:val="24"/>
        </w:rPr>
        <w:t>, 123–133.</w:t>
      </w:r>
    </w:p>
    <w:p w14:paraId="7687CB27"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lastRenderedPageBreak/>
        <w:t xml:space="preserve">(44) </w:t>
      </w:r>
      <w:r w:rsidRPr="000A4126">
        <w:rPr>
          <w:rFonts w:cs="Times New Roman"/>
          <w:noProof/>
          <w:szCs w:val="24"/>
        </w:rPr>
        <w:tab/>
        <w:t xml:space="preserve">Thompson, J. G.; Withers, R. L.; Brink, F. J. Modulated Structures in Oxidized Cerium Niobates. </w:t>
      </w:r>
      <w:r w:rsidRPr="000A4126">
        <w:rPr>
          <w:rFonts w:cs="Times New Roman"/>
          <w:i/>
          <w:iCs/>
          <w:noProof/>
          <w:szCs w:val="24"/>
        </w:rPr>
        <w:t>J. Solid State Chem.</w:t>
      </w:r>
      <w:r w:rsidRPr="000A4126">
        <w:rPr>
          <w:rFonts w:cs="Times New Roman"/>
          <w:noProof/>
          <w:szCs w:val="24"/>
        </w:rPr>
        <w:t xml:space="preserve"> </w:t>
      </w:r>
      <w:r w:rsidRPr="000A4126">
        <w:rPr>
          <w:rFonts w:cs="Times New Roman"/>
          <w:b/>
          <w:bCs/>
          <w:noProof/>
          <w:szCs w:val="24"/>
        </w:rPr>
        <w:t>1999</w:t>
      </w:r>
      <w:r w:rsidRPr="000A4126">
        <w:rPr>
          <w:rFonts w:cs="Times New Roman"/>
          <w:noProof/>
          <w:szCs w:val="24"/>
        </w:rPr>
        <w:t xml:space="preserve">, </w:t>
      </w:r>
      <w:r w:rsidRPr="000A4126">
        <w:rPr>
          <w:rFonts w:cs="Times New Roman"/>
          <w:i/>
          <w:iCs/>
          <w:noProof/>
          <w:szCs w:val="24"/>
        </w:rPr>
        <w:t>143</w:t>
      </w:r>
      <w:r w:rsidRPr="000A4126">
        <w:rPr>
          <w:rFonts w:cs="Times New Roman"/>
          <w:noProof/>
          <w:szCs w:val="24"/>
        </w:rPr>
        <w:t>, 122–131.</w:t>
      </w:r>
    </w:p>
    <w:p w14:paraId="5289A130"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(45) </w:t>
      </w:r>
      <w:r w:rsidRPr="000A4126">
        <w:rPr>
          <w:rFonts w:cs="Times New Roman"/>
          <w:noProof/>
          <w:szCs w:val="24"/>
        </w:rPr>
        <w:tab/>
        <w:t>Brizé, V.; Georges, S.; Kodjikian, S.; Suard, E.; Goutenoire, F. La</w:t>
      </w:r>
      <w:r w:rsidRPr="000A4126">
        <w:rPr>
          <w:rFonts w:cs="Times New Roman"/>
          <w:noProof/>
          <w:szCs w:val="24"/>
          <w:vertAlign w:val="subscript"/>
        </w:rPr>
        <w:t>6</w:t>
      </w:r>
      <w:r w:rsidRPr="000A4126">
        <w:rPr>
          <w:rFonts w:cs="Times New Roman"/>
          <w:noProof/>
          <w:szCs w:val="24"/>
        </w:rPr>
        <w:t>Mo</w:t>
      </w:r>
      <w:r w:rsidRPr="000A4126">
        <w:rPr>
          <w:rFonts w:cs="Times New Roman"/>
          <w:noProof/>
          <w:szCs w:val="24"/>
          <w:vertAlign w:val="subscript"/>
        </w:rPr>
        <w:t>8</w:t>
      </w:r>
      <w:r w:rsidRPr="000A4126">
        <w:rPr>
          <w:rFonts w:cs="Times New Roman"/>
          <w:noProof/>
          <w:szCs w:val="24"/>
        </w:rPr>
        <w:t>O</w:t>
      </w:r>
      <w:r w:rsidRPr="000A4126">
        <w:rPr>
          <w:rFonts w:cs="Times New Roman"/>
          <w:noProof/>
          <w:szCs w:val="24"/>
          <w:vertAlign w:val="subscript"/>
        </w:rPr>
        <w:t>33</w:t>
      </w:r>
      <w:r w:rsidRPr="000A4126">
        <w:rPr>
          <w:rFonts w:cs="Times New Roman"/>
          <w:noProof/>
          <w:szCs w:val="24"/>
        </w:rPr>
        <w:t xml:space="preserve">: A New Ordered Defect Scheelite Superstructure. </w:t>
      </w:r>
      <w:r w:rsidRPr="000A4126">
        <w:rPr>
          <w:rFonts w:cs="Times New Roman"/>
          <w:i/>
          <w:iCs/>
          <w:noProof/>
          <w:szCs w:val="24"/>
        </w:rPr>
        <w:t>J. Solid State Chem.</w:t>
      </w:r>
      <w:r w:rsidRPr="000A4126">
        <w:rPr>
          <w:rFonts w:cs="Times New Roman"/>
          <w:noProof/>
          <w:szCs w:val="24"/>
        </w:rPr>
        <w:t xml:space="preserve"> </w:t>
      </w:r>
      <w:r w:rsidRPr="000A4126">
        <w:rPr>
          <w:rFonts w:cs="Times New Roman"/>
          <w:b/>
          <w:bCs/>
          <w:noProof/>
          <w:szCs w:val="24"/>
        </w:rPr>
        <w:t>2004</w:t>
      </w:r>
      <w:r w:rsidRPr="000A4126">
        <w:rPr>
          <w:rFonts w:cs="Times New Roman"/>
          <w:noProof/>
          <w:szCs w:val="24"/>
        </w:rPr>
        <w:t xml:space="preserve">, </w:t>
      </w:r>
      <w:r w:rsidRPr="000A4126">
        <w:rPr>
          <w:rFonts w:cs="Times New Roman"/>
          <w:i/>
          <w:iCs/>
          <w:noProof/>
          <w:szCs w:val="24"/>
        </w:rPr>
        <w:t>177</w:t>
      </w:r>
      <w:r w:rsidRPr="000A4126">
        <w:rPr>
          <w:rFonts w:cs="Times New Roman"/>
          <w:noProof/>
          <w:szCs w:val="24"/>
        </w:rPr>
        <w:t>, 2617–2627.</w:t>
      </w:r>
    </w:p>
    <w:p w14:paraId="04F983C9"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(46) </w:t>
      </w:r>
      <w:r w:rsidRPr="000A4126">
        <w:rPr>
          <w:rFonts w:cs="Times New Roman"/>
          <w:noProof/>
          <w:szCs w:val="24"/>
        </w:rPr>
        <w:tab/>
        <w:t>Hadermann, J.; Perez, O.; Creon, N.; Michel, C.; Hervieu, M. The (3 + 2)D Structure of Oxygen Deficient LaSrCuO</w:t>
      </w:r>
      <w:r w:rsidRPr="000A4126">
        <w:rPr>
          <w:rFonts w:cs="Times New Roman"/>
          <w:noProof/>
          <w:szCs w:val="24"/>
          <w:vertAlign w:val="subscript"/>
        </w:rPr>
        <w:t>3.52</w:t>
      </w:r>
      <w:r w:rsidRPr="000A4126">
        <w:rPr>
          <w:rFonts w:cs="Times New Roman"/>
          <w:noProof/>
          <w:szCs w:val="24"/>
        </w:rPr>
        <w:t xml:space="preserve">. </w:t>
      </w:r>
      <w:r w:rsidRPr="000A4126">
        <w:rPr>
          <w:rFonts w:cs="Times New Roman"/>
          <w:i/>
          <w:iCs/>
          <w:noProof/>
          <w:szCs w:val="24"/>
        </w:rPr>
        <w:t>J. Mater. Chem.</w:t>
      </w:r>
      <w:r w:rsidRPr="000A4126">
        <w:rPr>
          <w:rFonts w:cs="Times New Roman"/>
          <w:noProof/>
          <w:szCs w:val="24"/>
        </w:rPr>
        <w:t xml:space="preserve"> </w:t>
      </w:r>
      <w:r w:rsidRPr="000A4126">
        <w:rPr>
          <w:rFonts w:cs="Times New Roman"/>
          <w:b/>
          <w:bCs/>
          <w:noProof/>
          <w:szCs w:val="24"/>
        </w:rPr>
        <w:t>2007</w:t>
      </w:r>
      <w:r w:rsidRPr="000A4126">
        <w:rPr>
          <w:rFonts w:cs="Times New Roman"/>
          <w:noProof/>
          <w:szCs w:val="24"/>
        </w:rPr>
        <w:t xml:space="preserve">, </w:t>
      </w:r>
      <w:r w:rsidRPr="000A4126">
        <w:rPr>
          <w:rFonts w:cs="Times New Roman"/>
          <w:i/>
          <w:iCs/>
          <w:noProof/>
          <w:szCs w:val="24"/>
        </w:rPr>
        <w:t>17</w:t>
      </w:r>
      <w:r w:rsidRPr="000A4126">
        <w:rPr>
          <w:rFonts w:cs="Times New Roman"/>
          <w:noProof/>
          <w:szCs w:val="24"/>
        </w:rPr>
        <w:t>, 2344–2350.</w:t>
      </w:r>
    </w:p>
    <w:p w14:paraId="73416539"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(47) </w:t>
      </w:r>
      <w:r w:rsidRPr="000A4126">
        <w:rPr>
          <w:rFonts w:cs="Times New Roman"/>
          <w:noProof/>
          <w:szCs w:val="24"/>
        </w:rPr>
        <w:tab/>
        <w:t xml:space="preserve">Peet, J. R.; Chambers, M. S.; Piovano, A.; Johnson, M. R.; Evans, I. R. Dynamics in Bi(III)-Containing Apatite-Type Oxide Ion Conductors: A Combined Computational and Experimental Study. </w:t>
      </w:r>
      <w:r w:rsidRPr="000A4126">
        <w:rPr>
          <w:rFonts w:cs="Times New Roman"/>
          <w:i/>
          <w:iCs/>
          <w:noProof/>
          <w:szCs w:val="24"/>
        </w:rPr>
        <w:t>J. Mater. Chem. A</w:t>
      </w:r>
      <w:r w:rsidRPr="000A4126">
        <w:rPr>
          <w:rFonts w:cs="Times New Roman"/>
          <w:noProof/>
          <w:szCs w:val="24"/>
        </w:rPr>
        <w:t xml:space="preserve"> </w:t>
      </w:r>
      <w:r w:rsidRPr="000A4126">
        <w:rPr>
          <w:rFonts w:cs="Times New Roman"/>
          <w:b/>
          <w:bCs/>
          <w:noProof/>
          <w:szCs w:val="24"/>
        </w:rPr>
        <w:t>2018</w:t>
      </w:r>
      <w:r w:rsidRPr="000A4126">
        <w:rPr>
          <w:rFonts w:cs="Times New Roman"/>
          <w:noProof/>
          <w:szCs w:val="24"/>
        </w:rPr>
        <w:t xml:space="preserve">, </w:t>
      </w:r>
      <w:r w:rsidRPr="000A4126">
        <w:rPr>
          <w:rFonts w:cs="Times New Roman"/>
          <w:i/>
          <w:iCs/>
          <w:noProof/>
          <w:szCs w:val="24"/>
        </w:rPr>
        <w:t>6</w:t>
      </w:r>
      <w:r w:rsidRPr="000A4126">
        <w:rPr>
          <w:rFonts w:cs="Times New Roman"/>
          <w:noProof/>
          <w:szCs w:val="24"/>
        </w:rPr>
        <w:t>, 5129–5135.</w:t>
      </w:r>
    </w:p>
    <w:p w14:paraId="2ED5262E"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(48) </w:t>
      </w:r>
      <w:r w:rsidRPr="000A4126">
        <w:rPr>
          <w:rFonts w:cs="Times New Roman"/>
          <w:noProof/>
          <w:szCs w:val="24"/>
        </w:rPr>
        <w:tab/>
        <w:t xml:space="preserve">Chambers, M. S.; Chater, P. A.; Evans, I. R.; Evans, J. S. O. Average and Local Structure of Apatite-Type Germanates and Implications for Oxide Ion Conductivity. </w:t>
      </w:r>
      <w:r w:rsidRPr="000A4126">
        <w:rPr>
          <w:rFonts w:cs="Times New Roman"/>
          <w:i/>
          <w:iCs/>
          <w:noProof/>
          <w:szCs w:val="24"/>
        </w:rPr>
        <w:t>Inorg. Chem.</w:t>
      </w:r>
      <w:r w:rsidRPr="000A4126">
        <w:rPr>
          <w:rFonts w:cs="Times New Roman"/>
          <w:noProof/>
          <w:szCs w:val="24"/>
        </w:rPr>
        <w:t xml:space="preserve"> </w:t>
      </w:r>
      <w:r w:rsidRPr="000A4126">
        <w:rPr>
          <w:rFonts w:cs="Times New Roman"/>
          <w:b/>
          <w:bCs/>
          <w:noProof/>
          <w:szCs w:val="24"/>
        </w:rPr>
        <w:t>2019</w:t>
      </w:r>
      <w:r w:rsidRPr="000A4126">
        <w:rPr>
          <w:rFonts w:cs="Times New Roman"/>
          <w:noProof/>
          <w:szCs w:val="24"/>
        </w:rPr>
        <w:t xml:space="preserve">, </w:t>
      </w:r>
      <w:r w:rsidRPr="000A4126">
        <w:rPr>
          <w:rFonts w:cs="Times New Roman"/>
          <w:i/>
          <w:iCs/>
          <w:noProof/>
          <w:szCs w:val="24"/>
        </w:rPr>
        <w:t>58</w:t>
      </w:r>
      <w:r w:rsidRPr="000A4126">
        <w:rPr>
          <w:rFonts w:cs="Times New Roman"/>
          <w:noProof/>
          <w:szCs w:val="24"/>
        </w:rPr>
        <w:t>, 14853–14862.</w:t>
      </w:r>
    </w:p>
    <w:p w14:paraId="422690E5"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(49) </w:t>
      </w:r>
      <w:r w:rsidRPr="000A4126">
        <w:rPr>
          <w:rFonts w:cs="Times New Roman"/>
          <w:noProof/>
          <w:szCs w:val="24"/>
        </w:rPr>
        <w:tab/>
        <w:t>Wei, F.; Baikie, T.; An, T.; Schreyer, M.; Kloc, C.; White, T. J. Five-Dimensional Incommensurate Structure of the Melilite Electrolyte [CaNd]</w:t>
      </w:r>
      <w:r w:rsidRPr="000A4126">
        <w:rPr>
          <w:rFonts w:cs="Times New Roman"/>
          <w:noProof/>
          <w:szCs w:val="24"/>
          <w:vertAlign w:val="subscript"/>
        </w:rPr>
        <w:t>2</w:t>
      </w:r>
      <w:r w:rsidRPr="000A4126">
        <w:rPr>
          <w:rFonts w:cs="Times New Roman"/>
          <w:noProof/>
          <w:szCs w:val="24"/>
        </w:rPr>
        <w:t>[Ga]</w:t>
      </w:r>
      <w:r w:rsidRPr="000A4126">
        <w:rPr>
          <w:rFonts w:cs="Times New Roman"/>
          <w:noProof/>
          <w:szCs w:val="24"/>
          <w:vertAlign w:val="subscript"/>
        </w:rPr>
        <w:t>2</w:t>
      </w:r>
      <w:r w:rsidRPr="000A4126">
        <w:rPr>
          <w:rFonts w:cs="Times New Roman"/>
          <w:noProof/>
          <w:szCs w:val="24"/>
        </w:rPr>
        <w:t>[Ga</w:t>
      </w:r>
      <w:r w:rsidRPr="000A4126">
        <w:rPr>
          <w:rFonts w:cs="Times New Roman"/>
          <w:noProof/>
          <w:szCs w:val="24"/>
          <w:vertAlign w:val="subscript"/>
        </w:rPr>
        <w:t>2</w:t>
      </w:r>
      <w:r w:rsidRPr="000A4126">
        <w:rPr>
          <w:rFonts w:cs="Times New Roman"/>
          <w:noProof/>
          <w:szCs w:val="24"/>
        </w:rPr>
        <w:t>O</w:t>
      </w:r>
      <w:r w:rsidRPr="000A4126">
        <w:rPr>
          <w:rFonts w:cs="Times New Roman"/>
          <w:noProof/>
          <w:szCs w:val="24"/>
          <w:vertAlign w:val="subscript"/>
        </w:rPr>
        <w:t>7</w:t>
      </w:r>
      <w:r w:rsidRPr="000A4126">
        <w:rPr>
          <w:rFonts w:cs="Times New Roman"/>
          <w:noProof/>
          <w:szCs w:val="24"/>
        </w:rPr>
        <w:t>]</w:t>
      </w:r>
      <w:r w:rsidRPr="000A4126">
        <w:rPr>
          <w:rFonts w:cs="Times New Roman"/>
          <w:noProof/>
          <w:szCs w:val="24"/>
          <w:vertAlign w:val="subscript"/>
        </w:rPr>
        <w:t>2</w:t>
      </w:r>
      <w:r w:rsidRPr="000A4126">
        <w:rPr>
          <w:rFonts w:cs="Times New Roman"/>
          <w:noProof/>
          <w:szCs w:val="24"/>
        </w:rPr>
        <w:t xml:space="preserve">. </w:t>
      </w:r>
      <w:r w:rsidRPr="000A4126">
        <w:rPr>
          <w:rFonts w:cs="Times New Roman"/>
          <w:i/>
          <w:iCs/>
          <w:noProof/>
          <w:szCs w:val="24"/>
        </w:rPr>
        <w:t>J. Am. Chem. Soc.</w:t>
      </w:r>
      <w:r w:rsidRPr="000A4126">
        <w:rPr>
          <w:rFonts w:cs="Times New Roman"/>
          <w:noProof/>
          <w:szCs w:val="24"/>
        </w:rPr>
        <w:t xml:space="preserve"> </w:t>
      </w:r>
      <w:r w:rsidRPr="000A4126">
        <w:rPr>
          <w:rFonts w:cs="Times New Roman"/>
          <w:b/>
          <w:bCs/>
          <w:noProof/>
          <w:szCs w:val="24"/>
        </w:rPr>
        <w:t>2011</w:t>
      </w:r>
      <w:r w:rsidRPr="000A4126">
        <w:rPr>
          <w:rFonts w:cs="Times New Roman"/>
          <w:noProof/>
          <w:szCs w:val="24"/>
        </w:rPr>
        <w:t xml:space="preserve">, </w:t>
      </w:r>
      <w:r w:rsidRPr="000A4126">
        <w:rPr>
          <w:rFonts w:cs="Times New Roman"/>
          <w:i/>
          <w:iCs/>
          <w:noProof/>
          <w:szCs w:val="24"/>
        </w:rPr>
        <w:t>133</w:t>
      </w:r>
      <w:r w:rsidRPr="000A4126">
        <w:rPr>
          <w:rFonts w:cs="Times New Roman"/>
          <w:noProof/>
          <w:szCs w:val="24"/>
        </w:rPr>
        <w:t>, 15200–15211.</w:t>
      </w:r>
    </w:p>
    <w:p w14:paraId="5C918764"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(50) </w:t>
      </w:r>
      <w:r w:rsidRPr="000A4126">
        <w:rPr>
          <w:rFonts w:cs="Times New Roman"/>
          <w:noProof/>
          <w:szCs w:val="24"/>
        </w:rPr>
        <w:tab/>
        <w:t>Takai, S.; Nakanishi, T.; Oikawa, K.; Torii, S.; Hoshikawa, A.; Kamiyama, T.; Esaka, T. Neutron Diffraction and IR Spectroscopy on Mechanically Alloyed La-Substituted PbWO</w:t>
      </w:r>
      <w:r w:rsidRPr="000A4126">
        <w:rPr>
          <w:rFonts w:cs="Times New Roman"/>
          <w:noProof/>
          <w:szCs w:val="24"/>
          <w:vertAlign w:val="subscript"/>
        </w:rPr>
        <w:t>4</w:t>
      </w:r>
      <w:r w:rsidRPr="000A4126">
        <w:rPr>
          <w:rFonts w:cs="Times New Roman"/>
          <w:noProof/>
          <w:szCs w:val="24"/>
        </w:rPr>
        <w:t xml:space="preserve">. </w:t>
      </w:r>
      <w:r w:rsidRPr="000A4126">
        <w:rPr>
          <w:rFonts w:cs="Times New Roman"/>
          <w:i/>
          <w:iCs/>
          <w:noProof/>
          <w:szCs w:val="24"/>
        </w:rPr>
        <w:t>Solid State Ionics</w:t>
      </w:r>
      <w:r w:rsidRPr="000A4126">
        <w:rPr>
          <w:rFonts w:cs="Times New Roman"/>
          <w:noProof/>
          <w:szCs w:val="24"/>
        </w:rPr>
        <w:t xml:space="preserve"> </w:t>
      </w:r>
      <w:r w:rsidRPr="000A4126">
        <w:rPr>
          <w:rFonts w:cs="Times New Roman"/>
          <w:b/>
          <w:bCs/>
          <w:noProof/>
          <w:szCs w:val="24"/>
        </w:rPr>
        <w:t>2004</w:t>
      </w:r>
      <w:r w:rsidRPr="000A4126">
        <w:rPr>
          <w:rFonts w:cs="Times New Roman"/>
          <w:noProof/>
          <w:szCs w:val="24"/>
        </w:rPr>
        <w:t xml:space="preserve">, </w:t>
      </w:r>
      <w:r w:rsidRPr="000A4126">
        <w:rPr>
          <w:rFonts w:cs="Times New Roman"/>
          <w:i/>
          <w:iCs/>
          <w:noProof/>
          <w:szCs w:val="24"/>
        </w:rPr>
        <w:t>170</w:t>
      </w:r>
      <w:r w:rsidRPr="000A4126">
        <w:rPr>
          <w:rFonts w:cs="Times New Roman"/>
          <w:noProof/>
          <w:szCs w:val="24"/>
        </w:rPr>
        <w:t>, 297–304.</w:t>
      </w:r>
    </w:p>
    <w:p w14:paraId="5603FE3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(51) </w:t>
      </w:r>
      <w:r w:rsidRPr="000A4126">
        <w:rPr>
          <w:rFonts w:cs="Times New Roman"/>
          <w:noProof/>
          <w:szCs w:val="24"/>
        </w:rPr>
        <w:tab/>
        <w:t>Takai, S.; Sugiura, K.; Esaka, T. Ionic Conduction Properties of Pb</w:t>
      </w:r>
      <w:r w:rsidRPr="000A4126">
        <w:rPr>
          <w:rFonts w:cs="Times New Roman"/>
          <w:noProof/>
          <w:szCs w:val="24"/>
          <w:vertAlign w:val="subscript"/>
        </w:rPr>
        <w:t>1−x</w:t>
      </w:r>
      <w:r w:rsidRPr="000A4126">
        <w:rPr>
          <w:rFonts w:cs="Times New Roman"/>
          <w:noProof/>
          <w:szCs w:val="24"/>
        </w:rPr>
        <w:t>M</w:t>
      </w:r>
      <w:r w:rsidRPr="000A4126">
        <w:rPr>
          <w:rFonts w:cs="Times New Roman"/>
          <w:noProof/>
          <w:szCs w:val="24"/>
          <w:vertAlign w:val="subscript"/>
        </w:rPr>
        <w:t>x</w:t>
      </w:r>
      <w:r w:rsidRPr="000A4126">
        <w:rPr>
          <w:rFonts w:cs="Times New Roman"/>
          <w:noProof/>
          <w:szCs w:val="24"/>
        </w:rPr>
        <w:t>WO</w:t>
      </w:r>
      <w:r w:rsidRPr="000A4126">
        <w:rPr>
          <w:rFonts w:cs="Times New Roman"/>
          <w:noProof/>
          <w:szCs w:val="24"/>
          <w:vertAlign w:val="subscript"/>
        </w:rPr>
        <w:t>4+δ</w:t>
      </w:r>
      <w:r w:rsidRPr="000A4126">
        <w:rPr>
          <w:rFonts w:cs="Times New Roman"/>
          <w:noProof/>
          <w:szCs w:val="24"/>
        </w:rPr>
        <w:t xml:space="preserve"> (M = Pr, Tb). </w:t>
      </w:r>
      <w:r w:rsidRPr="000A4126">
        <w:rPr>
          <w:rFonts w:cs="Times New Roman"/>
          <w:i/>
          <w:iCs/>
          <w:noProof/>
          <w:szCs w:val="24"/>
        </w:rPr>
        <w:t>Mater. Res. Bull.</w:t>
      </w:r>
      <w:r w:rsidRPr="000A4126">
        <w:rPr>
          <w:rFonts w:cs="Times New Roman"/>
          <w:noProof/>
          <w:szCs w:val="24"/>
        </w:rPr>
        <w:t xml:space="preserve"> </w:t>
      </w:r>
      <w:r w:rsidRPr="000A4126">
        <w:rPr>
          <w:rFonts w:cs="Times New Roman"/>
          <w:b/>
          <w:bCs/>
          <w:noProof/>
          <w:szCs w:val="24"/>
        </w:rPr>
        <w:t>1999</w:t>
      </w:r>
      <w:r w:rsidRPr="000A4126">
        <w:rPr>
          <w:rFonts w:cs="Times New Roman"/>
          <w:noProof/>
          <w:szCs w:val="24"/>
        </w:rPr>
        <w:t xml:space="preserve">, </w:t>
      </w:r>
      <w:r w:rsidRPr="000A4126">
        <w:rPr>
          <w:rFonts w:cs="Times New Roman"/>
          <w:i/>
          <w:iCs/>
          <w:noProof/>
          <w:szCs w:val="24"/>
        </w:rPr>
        <w:t>34</w:t>
      </w:r>
      <w:r w:rsidRPr="000A4126">
        <w:rPr>
          <w:rFonts w:cs="Times New Roman"/>
          <w:noProof/>
          <w:szCs w:val="24"/>
        </w:rPr>
        <w:t>, 193–202.</w:t>
      </w:r>
    </w:p>
    <w:p w14:paraId="723D4E1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(52) </w:t>
      </w:r>
      <w:r w:rsidRPr="000A4126">
        <w:rPr>
          <w:rFonts w:cs="Times New Roman"/>
          <w:noProof/>
          <w:szCs w:val="24"/>
        </w:rPr>
        <w:tab/>
        <w:t xml:space="preserve">Kenneth J.D. MacKenzie, M. E. S.; MacKenzie, K. J. D.; Smith, M. E. </w:t>
      </w:r>
      <w:r w:rsidRPr="000A4126">
        <w:rPr>
          <w:rFonts w:cs="Times New Roman"/>
          <w:i/>
          <w:iCs/>
          <w:noProof/>
          <w:szCs w:val="24"/>
        </w:rPr>
        <w:t>Multinuclear Solid-State NMR of Inorganic Materials</w:t>
      </w:r>
      <w:r w:rsidRPr="000A4126">
        <w:rPr>
          <w:rFonts w:cs="Times New Roman"/>
          <w:noProof/>
          <w:szCs w:val="24"/>
        </w:rPr>
        <w:t>, 1st ed.; MacKenzie, K. J. D., Smith, M. E., Eds.; Oxford, 2002.</w:t>
      </w:r>
    </w:p>
    <w:p w14:paraId="34EA9437"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(53) </w:t>
      </w:r>
      <w:r w:rsidRPr="000A4126">
        <w:rPr>
          <w:rFonts w:cs="Times New Roman"/>
          <w:noProof/>
          <w:szCs w:val="24"/>
        </w:rPr>
        <w:tab/>
        <w:t xml:space="preserve">Bak, P. Commensurate Phases , Incommensurate Phases and the Devil ’ s Staircase. </w:t>
      </w:r>
      <w:r w:rsidRPr="000A4126">
        <w:rPr>
          <w:rFonts w:cs="Times New Roman"/>
          <w:i/>
          <w:iCs/>
          <w:noProof/>
          <w:szCs w:val="24"/>
        </w:rPr>
        <w:t>Rep. Prog. Phys.</w:t>
      </w:r>
      <w:r w:rsidRPr="000A4126">
        <w:rPr>
          <w:rFonts w:cs="Times New Roman"/>
          <w:noProof/>
          <w:szCs w:val="24"/>
        </w:rPr>
        <w:t xml:space="preserve"> </w:t>
      </w:r>
      <w:r w:rsidRPr="000A4126">
        <w:rPr>
          <w:rFonts w:cs="Times New Roman"/>
          <w:b/>
          <w:bCs/>
          <w:noProof/>
          <w:szCs w:val="24"/>
        </w:rPr>
        <w:t>1982</w:t>
      </w:r>
      <w:r w:rsidRPr="000A4126">
        <w:rPr>
          <w:rFonts w:cs="Times New Roman"/>
          <w:noProof/>
          <w:szCs w:val="24"/>
        </w:rPr>
        <w:t xml:space="preserve">, </w:t>
      </w:r>
      <w:r w:rsidRPr="000A4126">
        <w:rPr>
          <w:rFonts w:cs="Times New Roman"/>
          <w:i/>
          <w:iCs/>
          <w:noProof/>
          <w:szCs w:val="24"/>
        </w:rPr>
        <w:t>45</w:t>
      </w:r>
      <w:r w:rsidRPr="000A4126">
        <w:rPr>
          <w:rFonts w:cs="Times New Roman"/>
          <w:noProof/>
          <w:szCs w:val="24"/>
        </w:rPr>
        <w:t>, 587.</w:t>
      </w:r>
    </w:p>
    <w:p w14:paraId="2644C831"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(54) </w:t>
      </w:r>
      <w:r w:rsidRPr="000A4126">
        <w:rPr>
          <w:rFonts w:cs="Times New Roman"/>
          <w:noProof/>
          <w:szCs w:val="24"/>
        </w:rPr>
        <w:tab/>
        <w:t xml:space="preserve">McMillan, W. L. Theory of Discommensurations and the Commensurate-Incommensurate Charge-Density-Wave Phase Transition. </w:t>
      </w:r>
      <w:r w:rsidRPr="000A4126">
        <w:rPr>
          <w:rFonts w:cs="Times New Roman"/>
          <w:i/>
          <w:iCs/>
          <w:noProof/>
          <w:szCs w:val="24"/>
        </w:rPr>
        <w:t>Phys. Rev. B</w:t>
      </w:r>
      <w:r w:rsidRPr="000A4126">
        <w:rPr>
          <w:rFonts w:cs="Times New Roman"/>
          <w:noProof/>
          <w:szCs w:val="24"/>
        </w:rPr>
        <w:t xml:space="preserve"> </w:t>
      </w:r>
      <w:r w:rsidRPr="000A4126">
        <w:rPr>
          <w:rFonts w:cs="Times New Roman"/>
          <w:b/>
          <w:bCs/>
          <w:noProof/>
          <w:szCs w:val="24"/>
        </w:rPr>
        <w:t>1976</w:t>
      </w:r>
      <w:r w:rsidRPr="000A4126">
        <w:rPr>
          <w:rFonts w:cs="Times New Roman"/>
          <w:noProof/>
          <w:szCs w:val="24"/>
        </w:rPr>
        <w:t xml:space="preserve">, </w:t>
      </w:r>
      <w:r w:rsidRPr="000A4126">
        <w:rPr>
          <w:rFonts w:cs="Times New Roman"/>
          <w:i/>
          <w:iCs/>
          <w:noProof/>
          <w:szCs w:val="24"/>
        </w:rPr>
        <w:t>14</w:t>
      </w:r>
      <w:r w:rsidRPr="000A4126">
        <w:rPr>
          <w:rFonts w:cs="Times New Roman"/>
          <w:noProof/>
          <w:szCs w:val="24"/>
        </w:rPr>
        <w:t>, 1496–1502.</w:t>
      </w:r>
    </w:p>
    <w:p w14:paraId="37C0BAD8"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(55) </w:t>
      </w:r>
      <w:r w:rsidRPr="000A4126">
        <w:rPr>
          <w:rFonts w:cs="Times New Roman"/>
          <w:noProof/>
          <w:szCs w:val="24"/>
        </w:rPr>
        <w:tab/>
        <w:t xml:space="preserve">Grabowski, M.; Subbaswamy, K. R. Phase-Amplitude Soliton Lattice and the Lock-in Transition. </w:t>
      </w:r>
      <w:r w:rsidRPr="000A4126">
        <w:rPr>
          <w:rFonts w:cs="Times New Roman"/>
          <w:i/>
          <w:iCs/>
          <w:noProof/>
          <w:szCs w:val="24"/>
        </w:rPr>
        <w:t>Phys. D Nonlinear Phenom.</w:t>
      </w:r>
      <w:r w:rsidRPr="000A4126">
        <w:rPr>
          <w:rFonts w:cs="Times New Roman"/>
          <w:noProof/>
          <w:szCs w:val="24"/>
        </w:rPr>
        <w:t xml:space="preserve"> </w:t>
      </w:r>
      <w:r w:rsidRPr="000A4126">
        <w:rPr>
          <w:rFonts w:cs="Times New Roman"/>
          <w:b/>
          <w:bCs/>
          <w:noProof/>
          <w:szCs w:val="24"/>
        </w:rPr>
        <w:t>1982</w:t>
      </w:r>
      <w:r w:rsidRPr="000A4126">
        <w:rPr>
          <w:rFonts w:cs="Times New Roman"/>
          <w:noProof/>
          <w:szCs w:val="24"/>
        </w:rPr>
        <w:t xml:space="preserve">, </w:t>
      </w:r>
      <w:r w:rsidRPr="000A4126">
        <w:rPr>
          <w:rFonts w:cs="Times New Roman"/>
          <w:i/>
          <w:iCs/>
          <w:noProof/>
          <w:szCs w:val="24"/>
        </w:rPr>
        <w:t>5</w:t>
      </w:r>
      <w:r w:rsidRPr="000A4126">
        <w:rPr>
          <w:rFonts w:cs="Times New Roman"/>
          <w:noProof/>
          <w:szCs w:val="24"/>
        </w:rPr>
        <w:t>, 348–358.</w:t>
      </w:r>
    </w:p>
    <w:p w14:paraId="77CCCF66"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(56) </w:t>
      </w:r>
      <w:r w:rsidRPr="000A4126">
        <w:rPr>
          <w:rFonts w:cs="Times New Roman"/>
          <w:noProof/>
          <w:szCs w:val="24"/>
        </w:rPr>
        <w:tab/>
        <w:t>Chattopadhyay, T.; Liss, K. D.; Brückel, T. Incommensurate-Commensurate Lock-in Phase Transition in EuAs</w:t>
      </w:r>
      <w:r w:rsidRPr="000A4126">
        <w:rPr>
          <w:rFonts w:cs="Times New Roman"/>
          <w:noProof/>
          <w:szCs w:val="24"/>
          <w:vertAlign w:val="subscript"/>
        </w:rPr>
        <w:t>3</w:t>
      </w:r>
      <w:r w:rsidRPr="000A4126">
        <w:rPr>
          <w:rFonts w:cs="Times New Roman"/>
          <w:noProof/>
          <w:szCs w:val="24"/>
        </w:rPr>
        <w:t xml:space="preserve">. </w:t>
      </w:r>
      <w:r w:rsidRPr="000A4126">
        <w:rPr>
          <w:rFonts w:cs="Times New Roman"/>
          <w:i/>
          <w:iCs/>
          <w:noProof/>
          <w:szCs w:val="24"/>
        </w:rPr>
        <w:t>J. Magn. Magn. Mater.</w:t>
      </w:r>
      <w:r w:rsidRPr="000A4126">
        <w:rPr>
          <w:rFonts w:cs="Times New Roman"/>
          <w:noProof/>
          <w:szCs w:val="24"/>
        </w:rPr>
        <w:t xml:space="preserve"> </w:t>
      </w:r>
      <w:r w:rsidRPr="000A4126">
        <w:rPr>
          <w:rFonts w:cs="Times New Roman"/>
          <w:b/>
          <w:bCs/>
          <w:noProof/>
          <w:szCs w:val="24"/>
        </w:rPr>
        <w:t>1998</w:t>
      </w:r>
      <w:r w:rsidRPr="000A4126">
        <w:rPr>
          <w:rFonts w:cs="Times New Roman"/>
          <w:noProof/>
          <w:szCs w:val="24"/>
        </w:rPr>
        <w:t xml:space="preserve">, </w:t>
      </w:r>
      <w:r w:rsidRPr="000A4126">
        <w:rPr>
          <w:rFonts w:cs="Times New Roman"/>
          <w:i/>
          <w:iCs/>
          <w:noProof/>
          <w:szCs w:val="24"/>
        </w:rPr>
        <w:t>177</w:t>
      </w:r>
      <w:r w:rsidRPr="000A4126">
        <w:rPr>
          <w:rFonts w:cs="Times New Roman"/>
          <w:noProof/>
          <w:szCs w:val="24"/>
        </w:rPr>
        <w:t>–</w:t>
      </w:r>
      <w:r w:rsidRPr="000A4126">
        <w:rPr>
          <w:rFonts w:cs="Times New Roman"/>
          <w:i/>
          <w:iCs/>
          <w:noProof/>
          <w:szCs w:val="24"/>
        </w:rPr>
        <w:t>181</w:t>
      </w:r>
      <w:r w:rsidRPr="000A4126">
        <w:rPr>
          <w:rFonts w:cs="Times New Roman"/>
          <w:noProof/>
          <w:szCs w:val="24"/>
        </w:rPr>
        <w:t>, 1058–1060.</w:t>
      </w:r>
    </w:p>
    <w:p w14:paraId="073D8195"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(57) </w:t>
      </w:r>
      <w:r w:rsidRPr="000A4126">
        <w:rPr>
          <w:rFonts w:cs="Times New Roman"/>
          <w:noProof/>
          <w:szCs w:val="24"/>
        </w:rPr>
        <w:tab/>
        <w:t>Chen, C.; Cheong, S.-W. Commensurate to Incommensurate Charge Ordering and Its Real-Space Images in La</w:t>
      </w:r>
      <w:r w:rsidRPr="000A4126">
        <w:rPr>
          <w:rFonts w:cs="Times New Roman"/>
          <w:noProof/>
          <w:szCs w:val="24"/>
          <w:vertAlign w:val="subscript"/>
        </w:rPr>
        <w:t>0.5</w:t>
      </w:r>
      <w:r w:rsidRPr="000A4126">
        <w:rPr>
          <w:rFonts w:cs="Times New Roman"/>
          <w:noProof/>
          <w:szCs w:val="24"/>
        </w:rPr>
        <w:t>Ca</w:t>
      </w:r>
      <w:r w:rsidRPr="000A4126">
        <w:rPr>
          <w:rFonts w:cs="Times New Roman"/>
          <w:noProof/>
          <w:szCs w:val="24"/>
          <w:vertAlign w:val="subscript"/>
        </w:rPr>
        <w:t>0.5</w:t>
      </w:r>
      <w:r w:rsidRPr="000A4126">
        <w:rPr>
          <w:rFonts w:cs="Times New Roman"/>
          <w:noProof/>
          <w:szCs w:val="24"/>
        </w:rPr>
        <w:t>MnO</w:t>
      </w:r>
      <w:r w:rsidRPr="000A4126">
        <w:rPr>
          <w:rFonts w:cs="Times New Roman"/>
          <w:noProof/>
          <w:szCs w:val="24"/>
          <w:vertAlign w:val="subscript"/>
        </w:rPr>
        <w:t>3</w:t>
      </w:r>
      <w:r w:rsidRPr="000A4126">
        <w:rPr>
          <w:rFonts w:cs="Times New Roman"/>
          <w:noProof/>
          <w:szCs w:val="24"/>
        </w:rPr>
        <w:t xml:space="preserve">. </w:t>
      </w:r>
      <w:r w:rsidRPr="000A4126">
        <w:rPr>
          <w:rFonts w:cs="Times New Roman"/>
          <w:i/>
          <w:iCs/>
          <w:noProof/>
          <w:szCs w:val="24"/>
        </w:rPr>
        <w:t>Phys. Rev. Lett.</w:t>
      </w:r>
      <w:r w:rsidRPr="000A4126">
        <w:rPr>
          <w:rFonts w:cs="Times New Roman"/>
          <w:noProof/>
          <w:szCs w:val="24"/>
        </w:rPr>
        <w:t xml:space="preserve"> </w:t>
      </w:r>
      <w:r w:rsidRPr="000A4126">
        <w:rPr>
          <w:rFonts w:cs="Times New Roman"/>
          <w:b/>
          <w:bCs/>
          <w:noProof/>
          <w:szCs w:val="24"/>
        </w:rPr>
        <w:t>1996</w:t>
      </w:r>
      <w:r w:rsidRPr="000A4126">
        <w:rPr>
          <w:rFonts w:cs="Times New Roman"/>
          <w:noProof/>
          <w:szCs w:val="24"/>
        </w:rPr>
        <w:t xml:space="preserve">, </w:t>
      </w:r>
      <w:r w:rsidRPr="000A4126">
        <w:rPr>
          <w:rFonts w:cs="Times New Roman"/>
          <w:i/>
          <w:iCs/>
          <w:noProof/>
          <w:szCs w:val="24"/>
        </w:rPr>
        <w:t>76</w:t>
      </w:r>
      <w:r w:rsidRPr="000A4126">
        <w:rPr>
          <w:rFonts w:cs="Times New Roman"/>
          <w:noProof/>
          <w:szCs w:val="24"/>
        </w:rPr>
        <w:t>, 4042–4045.</w:t>
      </w:r>
    </w:p>
    <w:p w14:paraId="5DA0D89D"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(58) </w:t>
      </w:r>
      <w:r w:rsidRPr="000A4126">
        <w:rPr>
          <w:rFonts w:cs="Times New Roman"/>
          <w:noProof/>
          <w:szCs w:val="24"/>
        </w:rPr>
        <w:tab/>
        <w:t xml:space="preserve">Nakanishi, K.; Shiba, H. Domain-like Incommensurate Charge-Density-Wave States and the First-Order Incommensurate-Commensurate Transitions in Layered Tantalum Dichalcogenides. I. 1T-Polytype. </w:t>
      </w:r>
      <w:r w:rsidRPr="000A4126">
        <w:rPr>
          <w:rFonts w:cs="Times New Roman"/>
          <w:i/>
          <w:iCs/>
          <w:noProof/>
          <w:szCs w:val="24"/>
        </w:rPr>
        <w:t>J. Phys. Soc. Japan</w:t>
      </w:r>
      <w:r w:rsidRPr="000A4126">
        <w:rPr>
          <w:rFonts w:cs="Times New Roman"/>
          <w:noProof/>
          <w:szCs w:val="24"/>
        </w:rPr>
        <w:t xml:space="preserve"> </w:t>
      </w:r>
      <w:r w:rsidRPr="000A4126">
        <w:rPr>
          <w:rFonts w:cs="Times New Roman"/>
          <w:b/>
          <w:bCs/>
          <w:noProof/>
          <w:szCs w:val="24"/>
        </w:rPr>
        <w:t>1977</w:t>
      </w:r>
      <w:r w:rsidRPr="000A4126">
        <w:rPr>
          <w:rFonts w:cs="Times New Roman"/>
          <w:noProof/>
          <w:szCs w:val="24"/>
        </w:rPr>
        <w:t xml:space="preserve">, </w:t>
      </w:r>
      <w:r w:rsidRPr="000A4126">
        <w:rPr>
          <w:rFonts w:cs="Times New Roman"/>
          <w:i/>
          <w:iCs/>
          <w:noProof/>
          <w:szCs w:val="24"/>
        </w:rPr>
        <w:t>43</w:t>
      </w:r>
      <w:r w:rsidRPr="000A4126">
        <w:rPr>
          <w:rFonts w:cs="Times New Roman"/>
          <w:noProof/>
          <w:szCs w:val="24"/>
        </w:rPr>
        <w:t>, 1839–1847.</w:t>
      </w:r>
    </w:p>
    <w:p w14:paraId="7EA2F4AB"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szCs w:val="24"/>
        </w:rPr>
      </w:pPr>
      <w:r w:rsidRPr="000A4126">
        <w:rPr>
          <w:rFonts w:cs="Times New Roman"/>
          <w:noProof/>
          <w:szCs w:val="24"/>
        </w:rPr>
        <w:t xml:space="preserve">(59) </w:t>
      </w:r>
      <w:r w:rsidRPr="000A4126">
        <w:rPr>
          <w:rFonts w:cs="Times New Roman"/>
          <w:noProof/>
          <w:szCs w:val="24"/>
        </w:rPr>
        <w:tab/>
        <w:t xml:space="preserve">Ghiringhelli, G.; Le Tacon, M.; Minola, M.; Blanco-Canosa, S.; Mazzoli, C.; Brookes, N. B.; De Luca, G. M.; Frano, A.; Hawthorn, D. G.; He, F.; et al. Long-Range </w:t>
      </w:r>
      <w:r w:rsidRPr="000A4126">
        <w:rPr>
          <w:rFonts w:cs="Times New Roman"/>
          <w:noProof/>
          <w:szCs w:val="24"/>
        </w:rPr>
        <w:lastRenderedPageBreak/>
        <w:t>Incommensurate Charge Fluctuations in (Y,Nd)Ba</w:t>
      </w:r>
      <w:r w:rsidRPr="000A4126">
        <w:rPr>
          <w:rFonts w:cs="Times New Roman"/>
          <w:noProof/>
          <w:szCs w:val="24"/>
          <w:vertAlign w:val="subscript"/>
        </w:rPr>
        <w:t>2</w:t>
      </w:r>
      <w:r w:rsidRPr="000A4126">
        <w:rPr>
          <w:rFonts w:cs="Times New Roman"/>
          <w:noProof/>
          <w:szCs w:val="24"/>
        </w:rPr>
        <w:t>Cu</w:t>
      </w:r>
      <w:r w:rsidRPr="000A4126">
        <w:rPr>
          <w:rFonts w:cs="Times New Roman"/>
          <w:noProof/>
          <w:szCs w:val="24"/>
          <w:vertAlign w:val="subscript"/>
        </w:rPr>
        <w:t>3</w:t>
      </w:r>
      <w:r w:rsidRPr="000A4126">
        <w:rPr>
          <w:rFonts w:cs="Times New Roman"/>
          <w:noProof/>
          <w:szCs w:val="24"/>
        </w:rPr>
        <w:t>O</w:t>
      </w:r>
      <w:r w:rsidRPr="000A4126">
        <w:rPr>
          <w:rFonts w:cs="Times New Roman"/>
          <w:noProof/>
          <w:szCs w:val="24"/>
          <w:vertAlign w:val="subscript"/>
        </w:rPr>
        <w:t>6+x</w:t>
      </w:r>
      <w:r w:rsidRPr="000A4126">
        <w:rPr>
          <w:rFonts w:cs="Times New Roman"/>
          <w:noProof/>
          <w:szCs w:val="24"/>
        </w:rPr>
        <w:t xml:space="preserve">. </w:t>
      </w:r>
      <w:r w:rsidRPr="000A4126">
        <w:rPr>
          <w:rFonts w:cs="Times New Roman"/>
          <w:i/>
          <w:iCs/>
          <w:noProof/>
          <w:szCs w:val="24"/>
        </w:rPr>
        <w:t>Science</w:t>
      </w:r>
      <w:r w:rsidRPr="000A4126">
        <w:rPr>
          <w:rFonts w:cs="Times New Roman"/>
          <w:noProof/>
          <w:szCs w:val="24"/>
        </w:rPr>
        <w:t xml:space="preserve"> </w:t>
      </w:r>
      <w:r w:rsidRPr="000A4126">
        <w:rPr>
          <w:rFonts w:cs="Times New Roman"/>
          <w:b/>
          <w:bCs/>
          <w:noProof/>
          <w:szCs w:val="24"/>
        </w:rPr>
        <w:t>2012</w:t>
      </w:r>
      <w:r w:rsidRPr="000A4126">
        <w:rPr>
          <w:rFonts w:cs="Times New Roman"/>
          <w:noProof/>
          <w:szCs w:val="24"/>
        </w:rPr>
        <w:t xml:space="preserve">, </w:t>
      </w:r>
      <w:r w:rsidRPr="000A4126">
        <w:rPr>
          <w:rFonts w:cs="Times New Roman"/>
          <w:i/>
          <w:iCs/>
          <w:noProof/>
          <w:szCs w:val="24"/>
        </w:rPr>
        <w:t>337</w:t>
      </w:r>
      <w:r w:rsidRPr="000A4126">
        <w:rPr>
          <w:rFonts w:cs="Times New Roman"/>
          <w:noProof/>
          <w:szCs w:val="24"/>
        </w:rPr>
        <w:t>, 821–825.</w:t>
      </w:r>
    </w:p>
    <w:p w14:paraId="4C914B11" w14:textId="77777777" w:rsidR="000A4126" w:rsidRPr="000A4126" w:rsidRDefault="000A4126" w:rsidP="000A4126">
      <w:pPr>
        <w:widowControl w:val="0"/>
        <w:autoSpaceDE w:val="0"/>
        <w:autoSpaceDN w:val="0"/>
        <w:adjustRightInd w:val="0"/>
        <w:spacing w:before="0" w:after="200" w:line="240" w:lineRule="auto"/>
        <w:ind w:left="640" w:hanging="640"/>
        <w:rPr>
          <w:rFonts w:cs="Times New Roman"/>
          <w:noProof/>
        </w:rPr>
      </w:pPr>
      <w:r w:rsidRPr="000A4126">
        <w:rPr>
          <w:rFonts w:cs="Times New Roman"/>
          <w:noProof/>
          <w:szCs w:val="24"/>
        </w:rPr>
        <w:t xml:space="preserve">(60) </w:t>
      </w:r>
      <w:r w:rsidRPr="000A4126">
        <w:rPr>
          <w:rFonts w:cs="Times New Roman"/>
          <w:noProof/>
          <w:szCs w:val="24"/>
        </w:rPr>
        <w:tab/>
        <w:t>Sarin, P.; Hughes, R. W.; Lowry, D. R.; Apostolov, Z. D.; Kriven, W. M. High-Temperature Properties and Ferroelastic Phase Transitions in Rare-Earth Niobates (LnNbO</w:t>
      </w:r>
      <w:r w:rsidRPr="000A4126">
        <w:rPr>
          <w:rFonts w:cs="Times New Roman"/>
          <w:noProof/>
          <w:szCs w:val="24"/>
          <w:vertAlign w:val="subscript"/>
        </w:rPr>
        <w:t>4</w:t>
      </w:r>
      <w:r w:rsidRPr="000A4126">
        <w:rPr>
          <w:rFonts w:cs="Times New Roman"/>
          <w:noProof/>
          <w:szCs w:val="24"/>
        </w:rPr>
        <w:t xml:space="preserve">). </w:t>
      </w:r>
      <w:r w:rsidRPr="000A4126">
        <w:rPr>
          <w:rFonts w:cs="Times New Roman"/>
          <w:i/>
          <w:iCs/>
          <w:noProof/>
          <w:szCs w:val="24"/>
        </w:rPr>
        <w:t>J. Am. Ceram. Soc.</w:t>
      </w:r>
      <w:r w:rsidRPr="000A4126">
        <w:rPr>
          <w:rFonts w:cs="Times New Roman"/>
          <w:noProof/>
          <w:szCs w:val="24"/>
        </w:rPr>
        <w:t xml:space="preserve"> </w:t>
      </w:r>
      <w:r w:rsidRPr="000A4126">
        <w:rPr>
          <w:rFonts w:cs="Times New Roman"/>
          <w:b/>
          <w:bCs/>
          <w:noProof/>
          <w:szCs w:val="24"/>
        </w:rPr>
        <w:t>2014</w:t>
      </w:r>
      <w:r w:rsidRPr="000A4126">
        <w:rPr>
          <w:rFonts w:cs="Times New Roman"/>
          <w:noProof/>
          <w:szCs w:val="24"/>
        </w:rPr>
        <w:t xml:space="preserve">, </w:t>
      </w:r>
      <w:r w:rsidRPr="000A4126">
        <w:rPr>
          <w:rFonts w:cs="Times New Roman"/>
          <w:i/>
          <w:iCs/>
          <w:noProof/>
          <w:szCs w:val="24"/>
        </w:rPr>
        <w:t>97</w:t>
      </w:r>
      <w:r w:rsidRPr="000A4126">
        <w:rPr>
          <w:rFonts w:cs="Times New Roman"/>
          <w:noProof/>
          <w:szCs w:val="24"/>
        </w:rPr>
        <w:t>, 3307–3319.</w:t>
      </w:r>
    </w:p>
    <w:p w14:paraId="01B07276" w14:textId="4E4496F1" w:rsidR="00DA5B5C" w:rsidRDefault="00DA5B5C">
      <w:pPr>
        <w:spacing w:before="0" w:after="200" w:line="276" w:lineRule="auto"/>
        <w:jc w:val="left"/>
        <w:rPr>
          <w:b/>
          <w:bCs/>
          <w:szCs w:val="24"/>
        </w:rPr>
      </w:pPr>
      <w:r w:rsidRPr="00DA5B5C">
        <w:rPr>
          <w:b/>
          <w:bCs/>
          <w:szCs w:val="24"/>
        </w:rPr>
        <w:fldChar w:fldCharType="end"/>
      </w:r>
      <w:bookmarkEnd w:id="56"/>
    </w:p>
    <w:p w14:paraId="385F85F3" w14:textId="77777777" w:rsidR="00DA5B5C" w:rsidRDefault="00DA5B5C">
      <w:pPr>
        <w:spacing w:before="0" w:after="200" w:line="276" w:lineRule="auto"/>
        <w:jc w:val="left"/>
        <w:rPr>
          <w:b/>
          <w:bCs/>
          <w:sz w:val="28"/>
          <w:szCs w:val="28"/>
        </w:rPr>
      </w:pPr>
    </w:p>
    <w:p w14:paraId="6E119C79" w14:textId="77777777" w:rsidR="00DA5B5C" w:rsidRDefault="00DA5B5C">
      <w:pPr>
        <w:spacing w:before="0" w:after="200" w:line="276" w:lineRule="auto"/>
        <w:jc w:val="left"/>
        <w:rPr>
          <w:b/>
          <w:bCs/>
          <w:sz w:val="28"/>
          <w:szCs w:val="28"/>
        </w:rPr>
      </w:pPr>
      <w:r>
        <w:rPr>
          <w:b/>
          <w:bCs/>
          <w:sz w:val="28"/>
          <w:szCs w:val="28"/>
        </w:rPr>
        <w:br w:type="page"/>
      </w:r>
    </w:p>
    <w:p w14:paraId="250ACB18" w14:textId="29EFC2D1" w:rsidR="00B80E88" w:rsidRPr="00B41CB0" w:rsidRDefault="00AA0394" w:rsidP="00057994">
      <w:pPr>
        <w:pStyle w:val="Heading1"/>
        <w:numPr>
          <w:ilvl w:val="0"/>
          <w:numId w:val="0"/>
        </w:numPr>
        <w:ind w:left="432" w:hanging="432"/>
      </w:pPr>
      <w:r w:rsidRPr="00272F45">
        <w:lastRenderedPageBreak/>
        <w:t>Table of Content</w:t>
      </w:r>
      <w:r w:rsidR="00B41CB0" w:rsidRPr="00272F45">
        <w:t>s</w:t>
      </w:r>
    </w:p>
    <w:p w14:paraId="674730B1" w14:textId="5E002C6B" w:rsidR="005E6C01" w:rsidRDefault="005E6C01" w:rsidP="00057994">
      <w:pPr>
        <w:jc w:val="center"/>
        <w:rPr>
          <w:b/>
          <w:bCs/>
          <w:sz w:val="28"/>
          <w:szCs w:val="28"/>
          <w:highlight w:val="yellow"/>
        </w:rPr>
      </w:pPr>
      <w:r>
        <w:object w:dxaOrig="7694" w:dyaOrig="4807" w14:anchorId="4E67BADE">
          <v:shape id="_x0000_i1037" type="#_x0000_t75" style="width:239.7pt;height:135.8pt" o:ole="">
            <v:imagedata r:id="rId22" o:title=""/>
            <o:lock v:ext="edit" aspectratio="f"/>
          </v:shape>
          <o:OLEObject Type="Embed" ProgID="Origin95.Graph" ShapeID="_x0000_i1037" DrawAspect="Content" ObjectID="_1641996759" r:id="rId23"/>
        </w:object>
      </w:r>
    </w:p>
    <w:p w14:paraId="20775B7D" w14:textId="6E110B72" w:rsidR="00B41CB0" w:rsidRPr="00272F45" w:rsidRDefault="00B41CB0" w:rsidP="00AA0394">
      <w:pPr>
        <w:rPr>
          <w:b/>
          <w:bCs/>
          <w:color w:val="000000" w:themeColor="text1"/>
          <w:sz w:val="28"/>
          <w:szCs w:val="28"/>
        </w:rPr>
      </w:pPr>
      <w:r w:rsidRPr="00272F45">
        <w:rPr>
          <w:b/>
          <w:bCs/>
          <w:color w:val="000000" w:themeColor="text1"/>
          <w:sz w:val="28"/>
          <w:szCs w:val="28"/>
        </w:rPr>
        <w:t>Synopsis</w:t>
      </w:r>
    </w:p>
    <w:p w14:paraId="0270A536" w14:textId="3B67B191" w:rsidR="007311CF" w:rsidRDefault="007311CF" w:rsidP="00AA0394">
      <w:r>
        <w:t>High temperature t</w:t>
      </w:r>
      <w:r w:rsidRPr="00DF2B0D">
        <w:t>hermal analysis</w:t>
      </w:r>
      <w:r>
        <w:t xml:space="preserve">, </w:t>
      </w:r>
      <w:r w:rsidRPr="00DF2B0D">
        <w:t>scattering techniques</w:t>
      </w:r>
      <w:r>
        <w:t xml:space="preserve"> </w:t>
      </w:r>
      <w:r w:rsidR="008E6AA0">
        <w:t xml:space="preserve">and </w:t>
      </w:r>
      <w:r w:rsidR="008E6AA0" w:rsidRPr="007311CF">
        <w:rPr>
          <w:vertAlign w:val="superscript"/>
        </w:rPr>
        <w:t>17</w:t>
      </w:r>
      <w:r w:rsidR="008E6AA0">
        <w:t>O nuclear magnetic resonance spectroscopy</w:t>
      </w:r>
      <w:r w:rsidR="008E6AA0" w:rsidRPr="00DF2B0D">
        <w:t xml:space="preserve"> </w:t>
      </w:r>
      <w:r w:rsidR="008E6AA0">
        <w:t>r</w:t>
      </w:r>
      <w:r>
        <w:t xml:space="preserve">eveal the </w:t>
      </w:r>
      <w:r w:rsidRPr="00DF2B0D">
        <w:t xml:space="preserve">structural evolution of the </w:t>
      </w:r>
      <w:r w:rsidR="005F7684" w:rsidRPr="002C5610">
        <w:rPr>
          <w:rFonts w:cs="Times New Roman"/>
          <w:bCs/>
        </w:rPr>
        <w:t>LaNb</w:t>
      </w:r>
      <w:r w:rsidR="005F7684" w:rsidRPr="002C5610">
        <w:rPr>
          <w:rFonts w:cs="Times New Roman"/>
          <w:bCs/>
          <w:vertAlign w:val="subscript"/>
        </w:rPr>
        <w:t>1-x</w:t>
      </w:r>
      <w:r w:rsidR="005F7684" w:rsidRPr="002C5610">
        <w:rPr>
          <w:rFonts w:cs="Times New Roman"/>
          <w:bCs/>
        </w:rPr>
        <w:t>W</w:t>
      </w:r>
      <w:r w:rsidR="005F7684" w:rsidRPr="002C5610">
        <w:rPr>
          <w:rFonts w:cs="Times New Roman"/>
          <w:bCs/>
          <w:vertAlign w:val="subscript"/>
        </w:rPr>
        <w:t>x</w:t>
      </w:r>
      <w:r w:rsidR="005F7684" w:rsidRPr="002C5610">
        <w:rPr>
          <w:rFonts w:cs="Times New Roman"/>
          <w:bCs/>
        </w:rPr>
        <w:t>O</w:t>
      </w:r>
      <w:r w:rsidR="005F7684" w:rsidRPr="002C5610">
        <w:rPr>
          <w:rFonts w:cs="Times New Roman"/>
          <w:bCs/>
          <w:vertAlign w:val="subscript"/>
        </w:rPr>
        <w:t>4+</w:t>
      </w:r>
      <w:r w:rsidR="005F7684">
        <w:rPr>
          <w:rFonts w:cs="Times New Roman"/>
          <w:bCs/>
          <w:vertAlign w:val="subscript"/>
        </w:rPr>
        <w:t>x/2</w:t>
      </w:r>
      <w:r w:rsidRPr="0083598A">
        <w:t xml:space="preserve"> </w:t>
      </w:r>
      <w:r w:rsidRPr="007311CF">
        <w:t>(x = 0.</w:t>
      </w:r>
      <w:r w:rsidR="005F7684">
        <w:t>0</w:t>
      </w:r>
      <w:r w:rsidRPr="007311CF">
        <w:t xml:space="preserve">4 </w:t>
      </w:r>
      <w:r w:rsidRPr="007311CF">
        <w:noBreakHyphen/>
        <w:t xml:space="preserve"> 0.16)</w:t>
      </w:r>
      <w:r>
        <w:t xml:space="preserve"> </w:t>
      </w:r>
      <w:r w:rsidRPr="00DF2B0D">
        <w:t>phases</w:t>
      </w:r>
      <w:r>
        <w:t xml:space="preserve"> to be </w:t>
      </w:r>
      <w:r w:rsidRPr="00DF2B0D">
        <w:t>a series of phase transitions between a modulated monoclinic phase, a high temperature unmodulated tetragonal phase and a high temperature modulated tetragonal phase.</w:t>
      </w:r>
    </w:p>
    <w:p w14:paraId="7BF9E505" w14:textId="77777777" w:rsidR="007311CF" w:rsidRPr="00B41CB0" w:rsidRDefault="007311CF" w:rsidP="00AA0394">
      <w:pPr>
        <w:rPr>
          <w:b/>
          <w:bCs/>
          <w:sz w:val="28"/>
          <w:szCs w:val="28"/>
        </w:rPr>
      </w:pPr>
    </w:p>
    <w:sectPr w:rsidR="007311CF" w:rsidRPr="00B41CB0" w:rsidSect="00CA2BC8">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6C802" w14:textId="77777777" w:rsidR="0019656C" w:rsidRDefault="0019656C" w:rsidP="00C05536">
      <w:pPr>
        <w:spacing w:before="0" w:after="0" w:line="240" w:lineRule="auto"/>
      </w:pPr>
      <w:r>
        <w:separator/>
      </w:r>
    </w:p>
  </w:endnote>
  <w:endnote w:type="continuationSeparator" w:id="0">
    <w:p w14:paraId="6AA02E8F" w14:textId="77777777" w:rsidR="0019656C" w:rsidRDefault="0019656C" w:rsidP="00C055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C7650" w14:textId="3B8549D1" w:rsidR="00A037FB" w:rsidRDefault="00A037F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E807CDC" w14:textId="77777777" w:rsidR="00A037FB" w:rsidRDefault="00A0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1B960" w14:textId="77777777" w:rsidR="0019656C" w:rsidRDefault="0019656C" w:rsidP="00C05536">
      <w:pPr>
        <w:spacing w:before="0" w:after="0" w:line="240" w:lineRule="auto"/>
      </w:pPr>
      <w:r>
        <w:separator/>
      </w:r>
    </w:p>
  </w:footnote>
  <w:footnote w:type="continuationSeparator" w:id="0">
    <w:p w14:paraId="6DB18C63" w14:textId="77777777" w:rsidR="0019656C" w:rsidRDefault="0019656C" w:rsidP="00C0553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4B23"/>
    <w:multiLevelType w:val="multilevel"/>
    <w:tmpl w:val="8948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E26E4"/>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67BF0"/>
    <w:multiLevelType w:val="hybridMultilevel"/>
    <w:tmpl w:val="24C608A8"/>
    <w:lvl w:ilvl="0" w:tplc="297E2B86">
      <w:start w:val="1"/>
      <w:numFmt w:val="low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B3B94"/>
    <w:multiLevelType w:val="multilevel"/>
    <w:tmpl w:val="E362B1A0"/>
    <w:numStyleLink w:val="Style1"/>
  </w:abstractNum>
  <w:abstractNum w:abstractNumId="4" w15:restartNumberingAfterBreak="0">
    <w:nsid w:val="18900BC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4D5683"/>
    <w:multiLevelType w:val="hybridMultilevel"/>
    <w:tmpl w:val="988A7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97BF6"/>
    <w:multiLevelType w:val="hybridMultilevel"/>
    <w:tmpl w:val="2EE0D2EC"/>
    <w:lvl w:ilvl="0" w:tplc="4104A006">
      <w:start w:val="1"/>
      <w:numFmt w:val="lowerLetter"/>
      <w:pStyle w:val="TOC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41E1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7893B2A"/>
    <w:multiLevelType w:val="multilevel"/>
    <w:tmpl w:val="D3AC239E"/>
    <w:lvl w:ilvl="0">
      <w:start w:val="1"/>
      <w:numFmt w:val="decimal"/>
      <w:lvlText w:val="Chapter %1."/>
      <w:lvlJc w:val="left"/>
      <w:pPr>
        <w:ind w:left="644"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D4420FA"/>
    <w:multiLevelType w:val="hybridMultilevel"/>
    <w:tmpl w:val="6B4A6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22435E"/>
    <w:multiLevelType w:val="multilevel"/>
    <w:tmpl w:val="24C608A8"/>
    <w:styleLink w:val="Appendixnew"/>
    <w:lvl w:ilvl="0">
      <w:start w:val="2"/>
      <w:numFmt w:val="decimal"/>
      <w:lvlText w:val="%1"/>
      <w:lvlJc w:val="left"/>
      <w:pPr>
        <w:ind w:left="720" w:hanging="360"/>
      </w:pPr>
      <w:rPr>
        <w:rFonts w:ascii="Times New Roman" w:hAnsi="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E517B0"/>
    <w:multiLevelType w:val="multilevel"/>
    <w:tmpl w:val="D8302212"/>
    <w:lvl w:ilvl="0">
      <w:start w:val="1"/>
      <w:numFmt w:val="decimal"/>
      <w:lvlText w:val="Chapter %1."/>
      <w:lvlJc w:val="left"/>
      <w:pPr>
        <w:ind w:left="644"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CB61B88"/>
    <w:multiLevelType w:val="multilevel"/>
    <w:tmpl w:val="B556451E"/>
    <w:lvl w:ilvl="0">
      <w:start w:val="1"/>
      <w:numFmt w:val="decimal"/>
      <w:lvlText w:val="%1."/>
      <w:lvlJc w:val="left"/>
      <w:pPr>
        <w:ind w:left="644"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DDC2696"/>
    <w:multiLevelType w:val="multilevel"/>
    <w:tmpl w:val="EFECB9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E81647"/>
    <w:multiLevelType w:val="multilevel"/>
    <w:tmpl w:val="A71E9336"/>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1DF2C94"/>
    <w:multiLevelType w:val="multilevel"/>
    <w:tmpl w:val="8A52E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2A53ED3"/>
    <w:multiLevelType w:val="hybridMultilevel"/>
    <w:tmpl w:val="12CED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3034D"/>
    <w:multiLevelType w:val="multilevel"/>
    <w:tmpl w:val="EE96AF9C"/>
    <w:lvl w:ilvl="0">
      <w:start w:val="1"/>
      <w:numFmt w:val="decimal"/>
      <w:pStyle w:val="Heading1"/>
      <w:lvlText w:val="%1"/>
      <w:lvlJc w:val="left"/>
      <w:pPr>
        <w:ind w:left="432" w:hanging="432"/>
      </w:pPr>
    </w:lvl>
    <w:lvl w:ilvl="1">
      <w:start w:val="1"/>
      <w:numFmt w:val="decimal"/>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59F6D1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F8C4CAA"/>
    <w:multiLevelType w:val="hybridMultilevel"/>
    <w:tmpl w:val="24C608A8"/>
    <w:lvl w:ilvl="0" w:tplc="74FED470">
      <w:start w:val="1"/>
      <w:numFmt w:val="lowerLetter"/>
      <w:lvlText w:val="Appendix %1."/>
      <w:lvlJc w:val="left"/>
      <w:pPr>
        <w:ind w:left="720" w:hanging="360"/>
      </w:pPr>
      <w:rPr>
        <w:rFonts w:hint="default"/>
      </w:rPr>
    </w:lvl>
    <w:lvl w:ilvl="1" w:tplc="54D4A7C4">
      <w:start w:val="1"/>
      <w:numFmt w:val="lowerLetter"/>
      <w:lvlText w:val="%2."/>
      <w:lvlJc w:val="left"/>
      <w:pPr>
        <w:ind w:left="1440" w:hanging="360"/>
      </w:pPr>
    </w:lvl>
    <w:lvl w:ilvl="2" w:tplc="8EACE89A" w:tentative="1">
      <w:start w:val="1"/>
      <w:numFmt w:val="lowerRoman"/>
      <w:lvlText w:val="%3."/>
      <w:lvlJc w:val="right"/>
      <w:pPr>
        <w:ind w:left="2160" w:hanging="180"/>
      </w:pPr>
    </w:lvl>
    <w:lvl w:ilvl="3" w:tplc="DC5E8D36" w:tentative="1">
      <w:start w:val="1"/>
      <w:numFmt w:val="decimal"/>
      <w:lvlText w:val="%4."/>
      <w:lvlJc w:val="left"/>
      <w:pPr>
        <w:ind w:left="2880" w:hanging="360"/>
      </w:pPr>
    </w:lvl>
    <w:lvl w:ilvl="4" w:tplc="C4BCE490" w:tentative="1">
      <w:start w:val="1"/>
      <w:numFmt w:val="lowerLetter"/>
      <w:lvlText w:val="%5."/>
      <w:lvlJc w:val="left"/>
      <w:pPr>
        <w:ind w:left="3600" w:hanging="360"/>
      </w:pPr>
    </w:lvl>
    <w:lvl w:ilvl="5" w:tplc="0A18A900" w:tentative="1">
      <w:start w:val="1"/>
      <w:numFmt w:val="lowerRoman"/>
      <w:lvlText w:val="%6."/>
      <w:lvlJc w:val="right"/>
      <w:pPr>
        <w:ind w:left="4320" w:hanging="180"/>
      </w:pPr>
    </w:lvl>
    <w:lvl w:ilvl="6" w:tplc="F79A8398" w:tentative="1">
      <w:start w:val="1"/>
      <w:numFmt w:val="decimal"/>
      <w:lvlText w:val="%7."/>
      <w:lvlJc w:val="left"/>
      <w:pPr>
        <w:ind w:left="5040" w:hanging="360"/>
      </w:pPr>
    </w:lvl>
    <w:lvl w:ilvl="7" w:tplc="FC62C616" w:tentative="1">
      <w:start w:val="1"/>
      <w:numFmt w:val="lowerLetter"/>
      <w:lvlText w:val="%8."/>
      <w:lvlJc w:val="left"/>
      <w:pPr>
        <w:ind w:left="5760" w:hanging="360"/>
      </w:pPr>
    </w:lvl>
    <w:lvl w:ilvl="8" w:tplc="DFDC90C6" w:tentative="1">
      <w:start w:val="1"/>
      <w:numFmt w:val="lowerRoman"/>
      <w:lvlText w:val="%9."/>
      <w:lvlJc w:val="right"/>
      <w:pPr>
        <w:ind w:left="6480" w:hanging="180"/>
      </w:pPr>
    </w:lvl>
  </w:abstractNum>
  <w:abstractNum w:abstractNumId="20" w15:restartNumberingAfterBreak="0">
    <w:nsid w:val="6A84218B"/>
    <w:multiLevelType w:val="singleLevel"/>
    <w:tmpl w:val="86A03466"/>
    <w:lvl w:ilvl="0">
      <w:start w:val="2"/>
      <w:numFmt w:val="lowerLetter"/>
      <w:lvlText w:val="Appendix %1."/>
      <w:lvlJc w:val="left"/>
      <w:pPr>
        <w:ind w:left="720" w:hanging="360"/>
      </w:pPr>
      <w:rPr>
        <w:rFonts w:hint="default"/>
        <w:color w:val="auto"/>
      </w:rPr>
    </w:lvl>
  </w:abstractNum>
  <w:abstractNum w:abstractNumId="21" w15:restartNumberingAfterBreak="0">
    <w:nsid w:val="6AED4E18"/>
    <w:multiLevelType w:val="multilevel"/>
    <w:tmpl w:val="E362B1A0"/>
    <w:styleLink w:val="Style1"/>
    <w:lvl w:ilvl="0">
      <w:start w:val="1"/>
      <w:numFmt w:val="decimal"/>
      <w:lvlText w:val="Chapter %1."/>
      <w:lvlJc w:val="left"/>
      <w:pPr>
        <w:ind w:left="644" w:hanging="360"/>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13F511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6433A39"/>
    <w:multiLevelType w:val="hybridMultilevel"/>
    <w:tmpl w:val="24C608A8"/>
    <w:lvl w:ilvl="0" w:tplc="95846E1E">
      <w:start w:val="1"/>
      <w:numFmt w:val="lowerLetter"/>
      <w:lvlText w:val="Appendix %1."/>
      <w:lvlJc w:val="left"/>
      <w:pPr>
        <w:ind w:left="360" w:hanging="360"/>
      </w:pPr>
      <w:rPr>
        <w:rFonts w:hint="default"/>
      </w:rPr>
    </w:lvl>
    <w:lvl w:ilvl="1" w:tplc="D610DC0E">
      <w:start w:val="1"/>
      <w:numFmt w:val="lowerLetter"/>
      <w:lvlText w:val="%2."/>
      <w:lvlJc w:val="left"/>
      <w:pPr>
        <w:ind w:left="1080" w:hanging="360"/>
      </w:pPr>
    </w:lvl>
    <w:lvl w:ilvl="2" w:tplc="9B0207B6" w:tentative="1">
      <w:start w:val="1"/>
      <w:numFmt w:val="lowerRoman"/>
      <w:lvlText w:val="%3."/>
      <w:lvlJc w:val="right"/>
      <w:pPr>
        <w:ind w:left="1800" w:hanging="180"/>
      </w:pPr>
    </w:lvl>
    <w:lvl w:ilvl="3" w:tplc="0C78CB72" w:tentative="1">
      <w:start w:val="1"/>
      <w:numFmt w:val="decimal"/>
      <w:lvlText w:val="%4."/>
      <w:lvlJc w:val="left"/>
      <w:pPr>
        <w:ind w:left="2520" w:hanging="360"/>
      </w:pPr>
    </w:lvl>
    <w:lvl w:ilvl="4" w:tplc="7C0A11AE" w:tentative="1">
      <w:start w:val="1"/>
      <w:numFmt w:val="lowerLetter"/>
      <w:lvlText w:val="%5."/>
      <w:lvlJc w:val="left"/>
      <w:pPr>
        <w:ind w:left="3240" w:hanging="360"/>
      </w:pPr>
    </w:lvl>
    <w:lvl w:ilvl="5" w:tplc="899A610A" w:tentative="1">
      <w:start w:val="1"/>
      <w:numFmt w:val="lowerRoman"/>
      <w:lvlText w:val="%6."/>
      <w:lvlJc w:val="right"/>
      <w:pPr>
        <w:ind w:left="3960" w:hanging="180"/>
      </w:pPr>
    </w:lvl>
    <w:lvl w:ilvl="6" w:tplc="389E5F8C" w:tentative="1">
      <w:start w:val="1"/>
      <w:numFmt w:val="decimal"/>
      <w:lvlText w:val="%7."/>
      <w:lvlJc w:val="left"/>
      <w:pPr>
        <w:ind w:left="4680" w:hanging="360"/>
      </w:pPr>
    </w:lvl>
    <w:lvl w:ilvl="7" w:tplc="0C184892" w:tentative="1">
      <w:start w:val="1"/>
      <w:numFmt w:val="lowerLetter"/>
      <w:lvlText w:val="%8."/>
      <w:lvlJc w:val="left"/>
      <w:pPr>
        <w:ind w:left="5400" w:hanging="360"/>
      </w:pPr>
    </w:lvl>
    <w:lvl w:ilvl="8" w:tplc="94B45AE4" w:tentative="1">
      <w:start w:val="1"/>
      <w:numFmt w:val="lowerRoman"/>
      <w:lvlText w:val="%9."/>
      <w:lvlJc w:val="right"/>
      <w:pPr>
        <w:ind w:left="6120" w:hanging="180"/>
      </w:pPr>
    </w:lvl>
  </w:abstractNum>
  <w:abstractNum w:abstractNumId="24" w15:restartNumberingAfterBreak="0">
    <w:nsid w:val="7A706694"/>
    <w:multiLevelType w:val="hybridMultilevel"/>
    <w:tmpl w:val="4C468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B35F1"/>
    <w:multiLevelType w:val="multilevel"/>
    <w:tmpl w:val="4978D172"/>
    <w:lvl w:ilvl="0">
      <w:start w:val="1"/>
      <w:numFmt w:val="decimal"/>
      <w:lvlText w:val="%1"/>
      <w:lvlJc w:val="left"/>
      <w:pPr>
        <w:ind w:left="495" w:hanging="495"/>
      </w:pPr>
      <w:rPr>
        <w:rFonts w:hint="default"/>
      </w:rPr>
    </w:lvl>
    <w:lvl w:ilvl="1">
      <w:start w:val="2"/>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8"/>
  </w:num>
  <w:num w:numId="5">
    <w:abstractNumId w:val="9"/>
  </w:num>
  <w:num w:numId="6">
    <w:abstractNumId w:val="14"/>
  </w:num>
  <w:num w:numId="7">
    <w:abstractNumId w:val="25"/>
  </w:num>
  <w:num w:numId="8">
    <w:abstractNumId w:val="7"/>
  </w:num>
  <w:num w:numId="9">
    <w:abstractNumId w:val="1"/>
  </w:num>
  <w:num w:numId="10">
    <w:abstractNumId w:val="12"/>
  </w:num>
  <w:num w:numId="11">
    <w:abstractNumId w:val="16"/>
  </w:num>
  <w:num w:numId="12">
    <w:abstractNumId w:val="17"/>
  </w:num>
  <w:num w:numId="13">
    <w:abstractNumId w:val="2"/>
  </w:num>
  <w:num w:numId="14">
    <w:abstractNumId w:val="4"/>
  </w:num>
  <w:num w:numId="15">
    <w:abstractNumId w:val="15"/>
  </w:num>
  <w:num w:numId="16">
    <w:abstractNumId w:val="22"/>
  </w:num>
  <w:num w:numId="17">
    <w:abstractNumId w:val="20"/>
  </w:num>
  <w:num w:numId="18">
    <w:abstractNumId w:val="19"/>
  </w:num>
  <w:num w:numId="19">
    <w:abstractNumId w:val="23"/>
  </w:num>
  <w:num w:numId="20">
    <w:abstractNumId w:val="10"/>
  </w:num>
  <w:num w:numId="21">
    <w:abstractNumId w:val="11"/>
  </w:num>
  <w:num w:numId="22">
    <w:abstractNumId w:val="21"/>
  </w:num>
  <w:num w:numId="23">
    <w:abstractNumId w:val="3"/>
  </w:num>
  <w:num w:numId="24">
    <w:abstractNumId w:val="5"/>
  </w:num>
  <w:num w:numId="25">
    <w:abstractNumId w:val="24"/>
  </w:num>
  <w:num w:numId="26">
    <w:abstractNumId w:val="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9C8"/>
    <w:rsid w:val="00001928"/>
    <w:rsid w:val="00001A82"/>
    <w:rsid w:val="00005193"/>
    <w:rsid w:val="0000530C"/>
    <w:rsid w:val="000066B4"/>
    <w:rsid w:val="000073EE"/>
    <w:rsid w:val="00007558"/>
    <w:rsid w:val="000111BD"/>
    <w:rsid w:val="00013658"/>
    <w:rsid w:val="0001786C"/>
    <w:rsid w:val="00021017"/>
    <w:rsid w:val="000231B6"/>
    <w:rsid w:val="0002370D"/>
    <w:rsid w:val="00023DF3"/>
    <w:rsid w:val="000240AD"/>
    <w:rsid w:val="00025C3C"/>
    <w:rsid w:val="00032AD6"/>
    <w:rsid w:val="00035F96"/>
    <w:rsid w:val="00037A2F"/>
    <w:rsid w:val="000419AA"/>
    <w:rsid w:val="000465E4"/>
    <w:rsid w:val="0004666E"/>
    <w:rsid w:val="000472CE"/>
    <w:rsid w:val="00050BDE"/>
    <w:rsid w:val="00050D30"/>
    <w:rsid w:val="000559AE"/>
    <w:rsid w:val="000563D4"/>
    <w:rsid w:val="00057565"/>
    <w:rsid w:val="00057994"/>
    <w:rsid w:val="0006386D"/>
    <w:rsid w:val="0007727F"/>
    <w:rsid w:val="000814FD"/>
    <w:rsid w:val="00083B4E"/>
    <w:rsid w:val="000842A6"/>
    <w:rsid w:val="000907AD"/>
    <w:rsid w:val="000925C1"/>
    <w:rsid w:val="000A0F3D"/>
    <w:rsid w:val="000A4126"/>
    <w:rsid w:val="000A709C"/>
    <w:rsid w:val="000B0991"/>
    <w:rsid w:val="000B23D3"/>
    <w:rsid w:val="000B2887"/>
    <w:rsid w:val="000B295F"/>
    <w:rsid w:val="000C129B"/>
    <w:rsid w:val="000C32B1"/>
    <w:rsid w:val="000C33A0"/>
    <w:rsid w:val="000C517E"/>
    <w:rsid w:val="000C5E3A"/>
    <w:rsid w:val="000C6326"/>
    <w:rsid w:val="000D14CE"/>
    <w:rsid w:val="000D1BE1"/>
    <w:rsid w:val="000D42FB"/>
    <w:rsid w:val="000D68B6"/>
    <w:rsid w:val="000D6C0A"/>
    <w:rsid w:val="000E0E46"/>
    <w:rsid w:val="000E4FD4"/>
    <w:rsid w:val="000E75F2"/>
    <w:rsid w:val="000E7EF1"/>
    <w:rsid w:val="000F3948"/>
    <w:rsid w:val="000F4983"/>
    <w:rsid w:val="000F70FF"/>
    <w:rsid w:val="00107B3D"/>
    <w:rsid w:val="001140E2"/>
    <w:rsid w:val="0011432B"/>
    <w:rsid w:val="00114475"/>
    <w:rsid w:val="00114B27"/>
    <w:rsid w:val="00117B0F"/>
    <w:rsid w:val="0012387A"/>
    <w:rsid w:val="001255F1"/>
    <w:rsid w:val="00134C06"/>
    <w:rsid w:val="00142EE0"/>
    <w:rsid w:val="00144250"/>
    <w:rsid w:val="00144646"/>
    <w:rsid w:val="001460CA"/>
    <w:rsid w:val="0014693C"/>
    <w:rsid w:val="00152F96"/>
    <w:rsid w:val="001541D9"/>
    <w:rsid w:val="001556C6"/>
    <w:rsid w:val="0015675E"/>
    <w:rsid w:val="00156777"/>
    <w:rsid w:val="00162856"/>
    <w:rsid w:val="00162D2E"/>
    <w:rsid w:val="00164649"/>
    <w:rsid w:val="001652EE"/>
    <w:rsid w:val="001677FD"/>
    <w:rsid w:val="00170B4B"/>
    <w:rsid w:val="00171013"/>
    <w:rsid w:val="00173DB0"/>
    <w:rsid w:val="00174C47"/>
    <w:rsid w:val="001759EE"/>
    <w:rsid w:val="00175E4A"/>
    <w:rsid w:val="00182A0C"/>
    <w:rsid w:val="001835AD"/>
    <w:rsid w:val="001842F1"/>
    <w:rsid w:val="00187984"/>
    <w:rsid w:val="001906CA"/>
    <w:rsid w:val="00190F47"/>
    <w:rsid w:val="00192E71"/>
    <w:rsid w:val="0019656C"/>
    <w:rsid w:val="00197CA6"/>
    <w:rsid w:val="001A1997"/>
    <w:rsid w:val="001A4029"/>
    <w:rsid w:val="001B664E"/>
    <w:rsid w:val="001C12BE"/>
    <w:rsid w:val="001C2BA4"/>
    <w:rsid w:val="001E3A9F"/>
    <w:rsid w:val="001E3D8B"/>
    <w:rsid w:val="001E4ADC"/>
    <w:rsid w:val="001E73FE"/>
    <w:rsid w:val="001E7ED2"/>
    <w:rsid w:val="001F3DB7"/>
    <w:rsid w:val="00200E97"/>
    <w:rsid w:val="00204213"/>
    <w:rsid w:val="00211772"/>
    <w:rsid w:val="002140A2"/>
    <w:rsid w:val="00216778"/>
    <w:rsid w:val="002171E6"/>
    <w:rsid w:val="00220F07"/>
    <w:rsid w:val="00224E9F"/>
    <w:rsid w:val="00225AEB"/>
    <w:rsid w:val="00226151"/>
    <w:rsid w:val="00227308"/>
    <w:rsid w:val="00230A17"/>
    <w:rsid w:val="00230D9B"/>
    <w:rsid w:val="00236228"/>
    <w:rsid w:val="002426E7"/>
    <w:rsid w:val="002506F1"/>
    <w:rsid w:val="00250A5B"/>
    <w:rsid w:val="002524DD"/>
    <w:rsid w:val="0025272A"/>
    <w:rsid w:val="00255C5A"/>
    <w:rsid w:val="0026282B"/>
    <w:rsid w:val="00263CF6"/>
    <w:rsid w:val="00265CC2"/>
    <w:rsid w:val="00266EB2"/>
    <w:rsid w:val="002719C8"/>
    <w:rsid w:val="002724DE"/>
    <w:rsid w:val="00272F45"/>
    <w:rsid w:val="002751DA"/>
    <w:rsid w:val="00275E7C"/>
    <w:rsid w:val="00281E4E"/>
    <w:rsid w:val="00284FAC"/>
    <w:rsid w:val="00285088"/>
    <w:rsid w:val="00287072"/>
    <w:rsid w:val="0029374D"/>
    <w:rsid w:val="0029605E"/>
    <w:rsid w:val="0029613B"/>
    <w:rsid w:val="00297BFB"/>
    <w:rsid w:val="002A5467"/>
    <w:rsid w:val="002A7327"/>
    <w:rsid w:val="002B337E"/>
    <w:rsid w:val="002B5151"/>
    <w:rsid w:val="002C0870"/>
    <w:rsid w:val="002C13C6"/>
    <w:rsid w:val="002C21F7"/>
    <w:rsid w:val="002C3EB3"/>
    <w:rsid w:val="002D2817"/>
    <w:rsid w:val="002D3781"/>
    <w:rsid w:val="002D3C9F"/>
    <w:rsid w:val="002D464F"/>
    <w:rsid w:val="002D4A8F"/>
    <w:rsid w:val="002E14FE"/>
    <w:rsid w:val="002E2598"/>
    <w:rsid w:val="002F60BE"/>
    <w:rsid w:val="002F62D1"/>
    <w:rsid w:val="003007A9"/>
    <w:rsid w:val="003037EB"/>
    <w:rsid w:val="00303E7B"/>
    <w:rsid w:val="00305B9F"/>
    <w:rsid w:val="0030658C"/>
    <w:rsid w:val="00313736"/>
    <w:rsid w:val="0031495F"/>
    <w:rsid w:val="00314BA2"/>
    <w:rsid w:val="00315A70"/>
    <w:rsid w:val="003250B6"/>
    <w:rsid w:val="00325B58"/>
    <w:rsid w:val="0032668B"/>
    <w:rsid w:val="003273E1"/>
    <w:rsid w:val="0033201D"/>
    <w:rsid w:val="00332E19"/>
    <w:rsid w:val="00332E8A"/>
    <w:rsid w:val="003330CC"/>
    <w:rsid w:val="0033473E"/>
    <w:rsid w:val="003355B7"/>
    <w:rsid w:val="00335BD8"/>
    <w:rsid w:val="0033702C"/>
    <w:rsid w:val="00340246"/>
    <w:rsid w:val="0034273C"/>
    <w:rsid w:val="00342EE0"/>
    <w:rsid w:val="00345F81"/>
    <w:rsid w:val="003469ED"/>
    <w:rsid w:val="00350D6A"/>
    <w:rsid w:val="00351B97"/>
    <w:rsid w:val="00352447"/>
    <w:rsid w:val="003575D9"/>
    <w:rsid w:val="003617BA"/>
    <w:rsid w:val="00362D9C"/>
    <w:rsid w:val="00364BD4"/>
    <w:rsid w:val="0036626F"/>
    <w:rsid w:val="00367AE8"/>
    <w:rsid w:val="0037097F"/>
    <w:rsid w:val="00372C87"/>
    <w:rsid w:val="00373556"/>
    <w:rsid w:val="00373B2A"/>
    <w:rsid w:val="00375DEE"/>
    <w:rsid w:val="00377621"/>
    <w:rsid w:val="003819D3"/>
    <w:rsid w:val="003828CC"/>
    <w:rsid w:val="00382B11"/>
    <w:rsid w:val="003866B4"/>
    <w:rsid w:val="003906F4"/>
    <w:rsid w:val="00390DCB"/>
    <w:rsid w:val="00391AF4"/>
    <w:rsid w:val="00392862"/>
    <w:rsid w:val="00396120"/>
    <w:rsid w:val="003969FA"/>
    <w:rsid w:val="003A2371"/>
    <w:rsid w:val="003A3AA1"/>
    <w:rsid w:val="003A56ED"/>
    <w:rsid w:val="003A5B42"/>
    <w:rsid w:val="003B0077"/>
    <w:rsid w:val="003B0908"/>
    <w:rsid w:val="003B0A96"/>
    <w:rsid w:val="003B1ECB"/>
    <w:rsid w:val="003B2C64"/>
    <w:rsid w:val="003B31AD"/>
    <w:rsid w:val="003B4CED"/>
    <w:rsid w:val="003B4E9B"/>
    <w:rsid w:val="003B687F"/>
    <w:rsid w:val="003C0758"/>
    <w:rsid w:val="003C25AB"/>
    <w:rsid w:val="003C2BA4"/>
    <w:rsid w:val="003C3779"/>
    <w:rsid w:val="003C41BA"/>
    <w:rsid w:val="003C699B"/>
    <w:rsid w:val="003C6ECE"/>
    <w:rsid w:val="003C6F60"/>
    <w:rsid w:val="003C79E1"/>
    <w:rsid w:val="003D0C0F"/>
    <w:rsid w:val="003D1BC2"/>
    <w:rsid w:val="003D2B40"/>
    <w:rsid w:val="003D37A2"/>
    <w:rsid w:val="003D4F8B"/>
    <w:rsid w:val="003D7E54"/>
    <w:rsid w:val="003E008C"/>
    <w:rsid w:val="003E190E"/>
    <w:rsid w:val="003E2DD2"/>
    <w:rsid w:val="003E702B"/>
    <w:rsid w:val="003F0845"/>
    <w:rsid w:val="003F158E"/>
    <w:rsid w:val="003F32AB"/>
    <w:rsid w:val="00401FFC"/>
    <w:rsid w:val="0040496D"/>
    <w:rsid w:val="00406C51"/>
    <w:rsid w:val="00412241"/>
    <w:rsid w:val="00414913"/>
    <w:rsid w:val="004160A7"/>
    <w:rsid w:val="00416453"/>
    <w:rsid w:val="0042014A"/>
    <w:rsid w:val="004219D5"/>
    <w:rsid w:val="00422F02"/>
    <w:rsid w:val="00424248"/>
    <w:rsid w:val="00426638"/>
    <w:rsid w:val="004318A8"/>
    <w:rsid w:val="00433CC1"/>
    <w:rsid w:val="004409DF"/>
    <w:rsid w:val="00440F1C"/>
    <w:rsid w:val="00441742"/>
    <w:rsid w:val="0044206B"/>
    <w:rsid w:val="004429E7"/>
    <w:rsid w:val="00443DAF"/>
    <w:rsid w:val="0044710D"/>
    <w:rsid w:val="00447DD0"/>
    <w:rsid w:val="0045018D"/>
    <w:rsid w:val="00453333"/>
    <w:rsid w:val="00454265"/>
    <w:rsid w:val="0045707C"/>
    <w:rsid w:val="00467967"/>
    <w:rsid w:val="00471159"/>
    <w:rsid w:val="00473FB8"/>
    <w:rsid w:val="00475056"/>
    <w:rsid w:val="00485BB6"/>
    <w:rsid w:val="00485C41"/>
    <w:rsid w:val="004917ED"/>
    <w:rsid w:val="00494AE6"/>
    <w:rsid w:val="00496C6E"/>
    <w:rsid w:val="00497F7B"/>
    <w:rsid w:val="004A0985"/>
    <w:rsid w:val="004A1A92"/>
    <w:rsid w:val="004A419E"/>
    <w:rsid w:val="004A5631"/>
    <w:rsid w:val="004A7C57"/>
    <w:rsid w:val="004C2433"/>
    <w:rsid w:val="004C2A05"/>
    <w:rsid w:val="004C75F6"/>
    <w:rsid w:val="004E13FA"/>
    <w:rsid w:val="004E184B"/>
    <w:rsid w:val="004E54F1"/>
    <w:rsid w:val="004E67FE"/>
    <w:rsid w:val="004E7095"/>
    <w:rsid w:val="004E7840"/>
    <w:rsid w:val="004F0035"/>
    <w:rsid w:val="004F05B0"/>
    <w:rsid w:val="004F0C42"/>
    <w:rsid w:val="004F1A2C"/>
    <w:rsid w:val="004F20C9"/>
    <w:rsid w:val="004F43C2"/>
    <w:rsid w:val="004F46A1"/>
    <w:rsid w:val="004F6C96"/>
    <w:rsid w:val="00501875"/>
    <w:rsid w:val="00505FC5"/>
    <w:rsid w:val="0050686E"/>
    <w:rsid w:val="00507827"/>
    <w:rsid w:val="00515959"/>
    <w:rsid w:val="00517FB3"/>
    <w:rsid w:val="00521A57"/>
    <w:rsid w:val="00522A3C"/>
    <w:rsid w:val="00531908"/>
    <w:rsid w:val="00532670"/>
    <w:rsid w:val="005329D5"/>
    <w:rsid w:val="00532CFB"/>
    <w:rsid w:val="005364B3"/>
    <w:rsid w:val="00540DB6"/>
    <w:rsid w:val="00547EBF"/>
    <w:rsid w:val="00553032"/>
    <w:rsid w:val="0055638A"/>
    <w:rsid w:val="0055717F"/>
    <w:rsid w:val="0056155F"/>
    <w:rsid w:val="00564E5A"/>
    <w:rsid w:val="00566C64"/>
    <w:rsid w:val="00572ADD"/>
    <w:rsid w:val="005734B3"/>
    <w:rsid w:val="00573ADF"/>
    <w:rsid w:val="0057549A"/>
    <w:rsid w:val="0058477C"/>
    <w:rsid w:val="0059327B"/>
    <w:rsid w:val="005A12DF"/>
    <w:rsid w:val="005B030B"/>
    <w:rsid w:val="005B1EAE"/>
    <w:rsid w:val="005B44F1"/>
    <w:rsid w:val="005B5A47"/>
    <w:rsid w:val="005B7A6D"/>
    <w:rsid w:val="005C09E7"/>
    <w:rsid w:val="005C46A4"/>
    <w:rsid w:val="005C58CF"/>
    <w:rsid w:val="005C69F4"/>
    <w:rsid w:val="005C778F"/>
    <w:rsid w:val="005D3A46"/>
    <w:rsid w:val="005D3CD8"/>
    <w:rsid w:val="005D5BAF"/>
    <w:rsid w:val="005D5C62"/>
    <w:rsid w:val="005D65AF"/>
    <w:rsid w:val="005D74DF"/>
    <w:rsid w:val="005D7928"/>
    <w:rsid w:val="005D7CDD"/>
    <w:rsid w:val="005E0C06"/>
    <w:rsid w:val="005E47B4"/>
    <w:rsid w:val="005E5060"/>
    <w:rsid w:val="005E5D87"/>
    <w:rsid w:val="005E6C01"/>
    <w:rsid w:val="005E709D"/>
    <w:rsid w:val="005F7684"/>
    <w:rsid w:val="0060026C"/>
    <w:rsid w:val="00600437"/>
    <w:rsid w:val="00601214"/>
    <w:rsid w:val="00601225"/>
    <w:rsid w:val="00601C9C"/>
    <w:rsid w:val="006034D4"/>
    <w:rsid w:val="006035C1"/>
    <w:rsid w:val="006105FC"/>
    <w:rsid w:val="00611CFF"/>
    <w:rsid w:val="00612796"/>
    <w:rsid w:val="00613704"/>
    <w:rsid w:val="006157A3"/>
    <w:rsid w:val="00621505"/>
    <w:rsid w:val="006227C4"/>
    <w:rsid w:val="00623492"/>
    <w:rsid w:val="00627F07"/>
    <w:rsid w:val="00633480"/>
    <w:rsid w:val="00634514"/>
    <w:rsid w:val="0063642F"/>
    <w:rsid w:val="0063667E"/>
    <w:rsid w:val="00642998"/>
    <w:rsid w:val="00645E35"/>
    <w:rsid w:val="0064739E"/>
    <w:rsid w:val="00647462"/>
    <w:rsid w:val="00652CC9"/>
    <w:rsid w:val="00652DD8"/>
    <w:rsid w:val="00653D22"/>
    <w:rsid w:val="0066015E"/>
    <w:rsid w:val="006610AD"/>
    <w:rsid w:val="00662DE1"/>
    <w:rsid w:val="00666C9B"/>
    <w:rsid w:val="00670023"/>
    <w:rsid w:val="00670D34"/>
    <w:rsid w:val="00671C16"/>
    <w:rsid w:val="00671F85"/>
    <w:rsid w:val="0067287E"/>
    <w:rsid w:val="0067317C"/>
    <w:rsid w:val="006740D5"/>
    <w:rsid w:val="00677592"/>
    <w:rsid w:val="006811D3"/>
    <w:rsid w:val="00681414"/>
    <w:rsid w:val="00681727"/>
    <w:rsid w:val="00682340"/>
    <w:rsid w:val="00683391"/>
    <w:rsid w:val="006834BE"/>
    <w:rsid w:val="00684F21"/>
    <w:rsid w:val="006850AC"/>
    <w:rsid w:val="00685F3A"/>
    <w:rsid w:val="00693A1D"/>
    <w:rsid w:val="00693DD6"/>
    <w:rsid w:val="006A0641"/>
    <w:rsid w:val="006A2BB0"/>
    <w:rsid w:val="006A36E9"/>
    <w:rsid w:val="006A425F"/>
    <w:rsid w:val="006A78DF"/>
    <w:rsid w:val="006B04BA"/>
    <w:rsid w:val="006B0669"/>
    <w:rsid w:val="006B150D"/>
    <w:rsid w:val="006B3140"/>
    <w:rsid w:val="006B32D1"/>
    <w:rsid w:val="006B45D7"/>
    <w:rsid w:val="006B4AC2"/>
    <w:rsid w:val="006B5153"/>
    <w:rsid w:val="006B7097"/>
    <w:rsid w:val="006C2267"/>
    <w:rsid w:val="006C2B7F"/>
    <w:rsid w:val="006C3471"/>
    <w:rsid w:val="006C3C8B"/>
    <w:rsid w:val="006C3CC5"/>
    <w:rsid w:val="006C5B36"/>
    <w:rsid w:val="006C68DF"/>
    <w:rsid w:val="006D4E7D"/>
    <w:rsid w:val="006D7631"/>
    <w:rsid w:val="006E0CEF"/>
    <w:rsid w:val="006E14CA"/>
    <w:rsid w:val="006F0091"/>
    <w:rsid w:val="006F1D99"/>
    <w:rsid w:val="006F1E25"/>
    <w:rsid w:val="006F2169"/>
    <w:rsid w:val="006F302C"/>
    <w:rsid w:val="006F4BC1"/>
    <w:rsid w:val="006F6C78"/>
    <w:rsid w:val="00700BC8"/>
    <w:rsid w:val="00700E79"/>
    <w:rsid w:val="00702927"/>
    <w:rsid w:val="00704136"/>
    <w:rsid w:val="00706647"/>
    <w:rsid w:val="007066CF"/>
    <w:rsid w:val="00714D56"/>
    <w:rsid w:val="0071523B"/>
    <w:rsid w:val="007154CE"/>
    <w:rsid w:val="0072230C"/>
    <w:rsid w:val="00723A6D"/>
    <w:rsid w:val="0072447A"/>
    <w:rsid w:val="0072499F"/>
    <w:rsid w:val="0073077F"/>
    <w:rsid w:val="007311CF"/>
    <w:rsid w:val="00736BA2"/>
    <w:rsid w:val="007436FB"/>
    <w:rsid w:val="00743A9B"/>
    <w:rsid w:val="00744026"/>
    <w:rsid w:val="00746595"/>
    <w:rsid w:val="0075060D"/>
    <w:rsid w:val="007511A0"/>
    <w:rsid w:val="007522B1"/>
    <w:rsid w:val="00752D99"/>
    <w:rsid w:val="007533AE"/>
    <w:rsid w:val="007550C7"/>
    <w:rsid w:val="007572C4"/>
    <w:rsid w:val="007607C8"/>
    <w:rsid w:val="0076440B"/>
    <w:rsid w:val="00771335"/>
    <w:rsid w:val="007759AE"/>
    <w:rsid w:val="00781174"/>
    <w:rsid w:val="00782F95"/>
    <w:rsid w:val="00785066"/>
    <w:rsid w:val="007863C9"/>
    <w:rsid w:val="007870A7"/>
    <w:rsid w:val="007914AB"/>
    <w:rsid w:val="0079236A"/>
    <w:rsid w:val="00794854"/>
    <w:rsid w:val="00794D69"/>
    <w:rsid w:val="00796BE6"/>
    <w:rsid w:val="00797CE8"/>
    <w:rsid w:val="007A0932"/>
    <w:rsid w:val="007A4775"/>
    <w:rsid w:val="007A6297"/>
    <w:rsid w:val="007B145F"/>
    <w:rsid w:val="007B1967"/>
    <w:rsid w:val="007B1A65"/>
    <w:rsid w:val="007B5796"/>
    <w:rsid w:val="007B7461"/>
    <w:rsid w:val="007C4853"/>
    <w:rsid w:val="007C5CF8"/>
    <w:rsid w:val="007C68F6"/>
    <w:rsid w:val="007C6AEC"/>
    <w:rsid w:val="007C6EFD"/>
    <w:rsid w:val="007D05A0"/>
    <w:rsid w:val="007D4455"/>
    <w:rsid w:val="007D5F0B"/>
    <w:rsid w:val="007E1196"/>
    <w:rsid w:val="007E425A"/>
    <w:rsid w:val="007E5278"/>
    <w:rsid w:val="007F2E16"/>
    <w:rsid w:val="007F2F22"/>
    <w:rsid w:val="007F3B1C"/>
    <w:rsid w:val="007F7B38"/>
    <w:rsid w:val="00800853"/>
    <w:rsid w:val="00804287"/>
    <w:rsid w:val="008100BE"/>
    <w:rsid w:val="008115B5"/>
    <w:rsid w:val="00814E5A"/>
    <w:rsid w:val="00820454"/>
    <w:rsid w:val="00821B72"/>
    <w:rsid w:val="00822369"/>
    <w:rsid w:val="00822909"/>
    <w:rsid w:val="00823255"/>
    <w:rsid w:val="008242C8"/>
    <w:rsid w:val="00826F55"/>
    <w:rsid w:val="00831141"/>
    <w:rsid w:val="00836ED0"/>
    <w:rsid w:val="00837426"/>
    <w:rsid w:val="008375E8"/>
    <w:rsid w:val="008376D4"/>
    <w:rsid w:val="0084241B"/>
    <w:rsid w:val="00842713"/>
    <w:rsid w:val="0084376B"/>
    <w:rsid w:val="0084641E"/>
    <w:rsid w:val="008504F5"/>
    <w:rsid w:val="00852046"/>
    <w:rsid w:val="00854DAA"/>
    <w:rsid w:val="008552C8"/>
    <w:rsid w:val="008666E0"/>
    <w:rsid w:val="00871350"/>
    <w:rsid w:val="00871F26"/>
    <w:rsid w:val="0087692B"/>
    <w:rsid w:val="0088055D"/>
    <w:rsid w:val="00882055"/>
    <w:rsid w:val="00882DEC"/>
    <w:rsid w:val="00886A15"/>
    <w:rsid w:val="00892A74"/>
    <w:rsid w:val="00895088"/>
    <w:rsid w:val="00895B31"/>
    <w:rsid w:val="008A16B5"/>
    <w:rsid w:val="008A540A"/>
    <w:rsid w:val="008A5602"/>
    <w:rsid w:val="008A7DFF"/>
    <w:rsid w:val="008B36B7"/>
    <w:rsid w:val="008B610D"/>
    <w:rsid w:val="008B6818"/>
    <w:rsid w:val="008B710C"/>
    <w:rsid w:val="008C2F7B"/>
    <w:rsid w:val="008D05DC"/>
    <w:rsid w:val="008D2551"/>
    <w:rsid w:val="008D4206"/>
    <w:rsid w:val="008D7D62"/>
    <w:rsid w:val="008E1426"/>
    <w:rsid w:val="008E236C"/>
    <w:rsid w:val="008E4F3C"/>
    <w:rsid w:val="008E6AA0"/>
    <w:rsid w:val="008E6B1F"/>
    <w:rsid w:val="008F0DF3"/>
    <w:rsid w:val="008F29CA"/>
    <w:rsid w:val="008F5246"/>
    <w:rsid w:val="008F6060"/>
    <w:rsid w:val="008F62FE"/>
    <w:rsid w:val="008F67A0"/>
    <w:rsid w:val="0090004C"/>
    <w:rsid w:val="00900EE1"/>
    <w:rsid w:val="00904087"/>
    <w:rsid w:val="00904867"/>
    <w:rsid w:val="00905E81"/>
    <w:rsid w:val="0091036E"/>
    <w:rsid w:val="00915B70"/>
    <w:rsid w:val="00923D48"/>
    <w:rsid w:val="00923F1B"/>
    <w:rsid w:val="00923F7A"/>
    <w:rsid w:val="0092510A"/>
    <w:rsid w:val="00926F66"/>
    <w:rsid w:val="009315F7"/>
    <w:rsid w:val="00932DD5"/>
    <w:rsid w:val="009412DF"/>
    <w:rsid w:val="00943309"/>
    <w:rsid w:val="00945B6D"/>
    <w:rsid w:val="0095567F"/>
    <w:rsid w:val="0096049D"/>
    <w:rsid w:val="009631A4"/>
    <w:rsid w:val="0096407E"/>
    <w:rsid w:val="009727FE"/>
    <w:rsid w:val="00972BF0"/>
    <w:rsid w:val="0097424C"/>
    <w:rsid w:val="009754A2"/>
    <w:rsid w:val="009759B3"/>
    <w:rsid w:val="009764C9"/>
    <w:rsid w:val="00977AF3"/>
    <w:rsid w:val="00991BD4"/>
    <w:rsid w:val="009960BD"/>
    <w:rsid w:val="009A12F8"/>
    <w:rsid w:val="009A3368"/>
    <w:rsid w:val="009A40BA"/>
    <w:rsid w:val="009A69D8"/>
    <w:rsid w:val="009B0EC7"/>
    <w:rsid w:val="009B26F7"/>
    <w:rsid w:val="009B3587"/>
    <w:rsid w:val="009C2234"/>
    <w:rsid w:val="009C37BD"/>
    <w:rsid w:val="009D04F0"/>
    <w:rsid w:val="009D2D15"/>
    <w:rsid w:val="009D56A3"/>
    <w:rsid w:val="009D6CDE"/>
    <w:rsid w:val="009D6F89"/>
    <w:rsid w:val="009E0C08"/>
    <w:rsid w:val="009E12A1"/>
    <w:rsid w:val="009E1E94"/>
    <w:rsid w:val="009E2616"/>
    <w:rsid w:val="009E281C"/>
    <w:rsid w:val="009E3318"/>
    <w:rsid w:val="009F1F48"/>
    <w:rsid w:val="009F4AE1"/>
    <w:rsid w:val="009F5BD9"/>
    <w:rsid w:val="009F7CE2"/>
    <w:rsid w:val="00A0160C"/>
    <w:rsid w:val="00A037FB"/>
    <w:rsid w:val="00A05161"/>
    <w:rsid w:val="00A14A61"/>
    <w:rsid w:val="00A166E6"/>
    <w:rsid w:val="00A17746"/>
    <w:rsid w:val="00A2210C"/>
    <w:rsid w:val="00A22B92"/>
    <w:rsid w:val="00A238A8"/>
    <w:rsid w:val="00A23C77"/>
    <w:rsid w:val="00A268C0"/>
    <w:rsid w:val="00A27018"/>
    <w:rsid w:val="00A30D95"/>
    <w:rsid w:val="00A40520"/>
    <w:rsid w:val="00A46AC0"/>
    <w:rsid w:val="00A51A89"/>
    <w:rsid w:val="00A521F6"/>
    <w:rsid w:val="00A652E0"/>
    <w:rsid w:val="00A72D8E"/>
    <w:rsid w:val="00A72DA0"/>
    <w:rsid w:val="00A73D61"/>
    <w:rsid w:val="00A74783"/>
    <w:rsid w:val="00A75C6A"/>
    <w:rsid w:val="00A76438"/>
    <w:rsid w:val="00A8348A"/>
    <w:rsid w:val="00A8559F"/>
    <w:rsid w:val="00A86BEA"/>
    <w:rsid w:val="00A86E71"/>
    <w:rsid w:val="00A95E94"/>
    <w:rsid w:val="00A9603E"/>
    <w:rsid w:val="00AA0394"/>
    <w:rsid w:val="00AA05BE"/>
    <w:rsid w:val="00AA1238"/>
    <w:rsid w:val="00AA2967"/>
    <w:rsid w:val="00AA4A29"/>
    <w:rsid w:val="00AA5454"/>
    <w:rsid w:val="00AB0BCB"/>
    <w:rsid w:val="00AB1F0B"/>
    <w:rsid w:val="00AB577C"/>
    <w:rsid w:val="00AB6DF8"/>
    <w:rsid w:val="00AC18D4"/>
    <w:rsid w:val="00AC6189"/>
    <w:rsid w:val="00AC7D24"/>
    <w:rsid w:val="00AD1563"/>
    <w:rsid w:val="00AE4B9C"/>
    <w:rsid w:val="00AF102D"/>
    <w:rsid w:val="00AF3C36"/>
    <w:rsid w:val="00B000B9"/>
    <w:rsid w:val="00B001F3"/>
    <w:rsid w:val="00B01472"/>
    <w:rsid w:val="00B01917"/>
    <w:rsid w:val="00B01F5B"/>
    <w:rsid w:val="00B030C9"/>
    <w:rsid w:val="00B04C97"/>
    <w:rsid w:val="00B05094"/>
    <w:rsid w:val="00B1206D"/>
    <w:rsid w:val="00B12AA7"/>
    <w:rsid w:val="00B15B45"/>
    <w:rsid w:val="00B1745A"/>
    <w:rsid w:val="00B17C7E"/>
    <w:rsid w:val="00B308ED"/>
    <w:rsid w:val="00B324D8"/>
    <w:rsid w:val="00B343DC"/>
    <w:rsid w:val="00B35992"/>
    <w:rsid w:val="00B41497"/>
    <w:rsid w:val="00B418F8"/>
    <w:rsid w:val="00B41CB0"/>
    <w:rsid w:val="00B44E81"/>
    <w:rsid w:val="00B44EEA"/>
    <w:rsid w:val="00B50AC7"/>
    <w:rsid w:val="00B517F5"/>
    <w:rsid w:val="00B51A03"/>
    <w:rsid w:val="00B559E0"/>
    <w:rsid w:val="00B56058"/>
    <w:rsid w:val="00B56546"/>
    <w:rsid w:val="00B61904"/>
    <w:rsid w:val="00B631CA"/>
    <w:rsid w:val="00B6417C"/>
    <w:rsid w:val="00B641CB"/>
    <w:rsid w:val="00B72E67"/>
    <w:rsid w:val="00B73C2E"/>
    <w:rsid w:val="00B750B6"/>
    <w:rsid w:val="00B75D1E"/>
    <w:rsid w:val="00B77F9F"/>
    <w:rsid w:val="00B80E88"/>
    <w:rsid w:val="00B83B16"/>
    <w:rsid w:val="00B843E8"/>
    <w:rsid w:val="00B84CB3"/>
    <w:rsid w:val="00B869F9"/>
    <w:rsid w:val="00BA0DF7"/>
    <w:rsid w:val="00BA3FF3"/>
    <w:rsid w:val="00BB226F"/>
    <w:rsid w:val="00BB3727"/>
    <w:rsid w:val="00BB40C4"/>
    <w:rsid w:val="00BC0CF1"/>
    <w:rsid w:val="00BC1B4E"/>
    <w:rsid w:val="00BC64CA"/>
    <w:rsid w:val="00BC6C34"/>
    <w:rsid w:val="00BC6EC7"/>
    <w:rsid w:val="00BC7662"/>
    <w:rsid w:val="00BD1847"/>
    <w:rsid w:val="00BD2128"/>
    <w:rsid w:val="00BD2E34"/>
    <w:rsid w:val="00BD52CB"/>
    <w:rsid w:val="00BD6523"/>
    <w:rsid w:val="00BD6EA6"/>
    <w:rsid w:val="00BD6EEE"/>
    <w:rsid w:val="00BE4F24"/>
    <w:rsid w:val="00BE57E5"/>
    <w:rsid w:val="00BE5F5E"/>
    <w:rsid w:val="00BE6E5C"/>
    <w:rsid w:val="00BF13E5"/>
    <w:rsid w:val="00C0442E"/>
    <w:rsid w:val="00C05536"/>
    <w:rsid w:val="00C06FEA"/>
    <w:rsid w:val="00C1436D"/>
    <w:rsid w:val="00C15ADD"/>
    <w:rsid w:val="00C2085C"/>
    <w:rsid w:val="00C224F0"/>
    <w:rsid w:val="00C271D2"/>
    <w:rsid w:val="00C3241D"/>
    <w:rsid w:val="00C34E89"/>
    <w:rsid w:val="00C3544B"/>
    <w:rsid w:val="00C418B1"/>
    <w:rsid w:val="00C44152"/>
    <w:rsid w:val="00C466DA"/>
    <w:rsid w:val="00C50137"/>
    <w:rsid w:val="00C606BE"/>
    <w:rsid w:val="00C613C1"/>
    <w:rsid w:val="00C63203"/>
    <w:rsid w:val="00C65DCF"/>
    <w:rsid w:val="00C7114B"/>
    <w:rsid w:val="00C72EC3"/>
    <w:rsid w:val="00C7470A"/>
    <w:rsid w:val="00C75BFC"/>
    <w:rsid w:val="00C7781D"/>
    <w:rsid w:val="00C81A24"/>
    <w:rsid w:val="00C8214A"/>
    <w:rsid w:val="00C857FE"/>
    <w:rsid w:val="00C86131"/>
    <w:rsid w:val="00C90000"/>
    <w:rsid w:val="00C904CC"/>
    <w:rsid w:val="00C92EAB"/>
    <w:rsid w:val="00C975B1"/>
    <w:rsid w:val="00CA03E7"/>
    <w:rsid w:val="00CA1BF8"/>
    <w:rsid w:val="00CA2BC8"/>
    <w:rsid w:val="00CA3683"/>
    <w:rsid w:val="00CA4238"/>
    <w:rsid w:val="00CB1BC9"/>
    <w:rsid w:val="00CB4152"/>
    <w:rsid w:val="00CB58D6"/>
    <w:rsid w:val="00CB5E76"/>
    <w:rsid w:val="00CB7110"/>
    <w:rsid w:val="00CC09AC"/>
    <w:rsid w:val="00CC0CB2"/>
    <w:rsid w:val="00CC545E"/>
    <w:rsid w:val="00CC54DD"/>
    <w:rsid w:val="00CC5705"/>
    <w:rsid w:val="00CC6408"/>
    <w:rsid w:val="00CD40EB"/>
    <w:rsid w:val="00CD758F"/>
    <w:rsid w:val="00CD7715"/>
    <w:rsid w:val="00CD7932"/>
    <w:rsid w:val="00CD7F5B"/>
    <w:rsid w:val="00CE6EB7"/>
    <w:rsid w:val="00CE74A4"/>
    <w:rsid w:val="00CF1FEC"/>
    <w:rsid w:val="00CF3ABB"/>
    <w:rsid w:val="00CF3B0A"/>
    <w:rsid w:val="00D030A0"/>
    <w:rsid w:val="00D07D46"/>
    <w:rsid w:val="00D10B95"/>
    <w:rsid w:val="00D15D33"/>
    <w:rsid w:val="00D24890"/>
    <w:rsid w:val="00D25286"/>
    <w:rsid w:val="00D253F8"/>
    <w:rsid w:val="00D2676E"/>
    <w:rsid w:val="00D271C4"/>
    <w:rsid w:val="00D3056A"/>
    <w:rsid w:val="00D32960"/>
    <w:rsid w:val="00D32F22"/>
    <w:rsid w:val="00D358E4"/>
    <w:rsid w:val="00D3625B"/>
    <w:rsid w:val="00D409F3"/>
    <w:rsid w:val="00D41FB7"/>
    <w:rsid w:val="00D44479"/>
    <w:rsid w:val="00D47475"/>
    <w:rsid w:val="00D50585"/>
    <w:rsid w:val="00D51A8A"/>
    <w:rsid w:val="00D532BE"/>
    <w:rsid w:val="00D6173B"/>
    <w:rsid w:val="00D61E24"/>
    <w:rsid w:val="00D64E04"/>
    <w:rsid w:val="00D666AD"/>
    <w:rsid w:val="00D66725"/>
    <w:rsid w:val="00D66E84"/>
    <w:rsid w:val="00D67E10"/>
    <w:rsid w:val="00D72E91"/>
    <w:rsid w:val="00D73AEF"/>
    <w:rsid w:val="00D84E7D"/>
    <w:rsid w:val="00D8670E"/>
    <w:rsid w:val="00D874D9"/>
    <w:rsid w:val="00D9367B"/>
    <w:rsid w:val="00D94F2D"/>
    <w:rsid w:val="00D96807"/>
    <w:rsid w:val="00DA0769"/>
    <w:rsid w:val="00DA5B5C"/>
    <w:rsid w:val="00DA5D74"/>
    <w:rsid w:val="00DA611C"/>
    <w:rsid w:val="00DB100A"/>
    <w:rsid w:val="00DB32C6"/>
    <w:rsid w:val="00DB38E1"/>
    <w:rsid w:val="00DB6823"/>
    <w:rsid w:val="00DB6886"/>
    <w:rsid w:val="00DC39E3"/>
    <w:rsid w:val="00DC3A28"/>
    <w:rsid w:val="00DC58B7"/>
    <w:rsid w:val="00DC6AD7"/>
    <w:rsid w:val="00DD13E8"/>
    <w:rsid w:val="00DD37E4"/>
    <w:rsid w:val="00DD6F9C"/>
    <w:rsid w:val="00DE0D2D"/>
    <w:rsid w:val="00DE2093"/>
    <w:rsid w:val="00DE2789"/>
    <w:rsid w:val="00DE27BA"/>
    <w:rsid w:val="00DF06E0"/>
    <w:rsid w:val="00DF0B26"/>
    <w:rsid w:val="00DF11A6"/>
    <w:rsid w:val="00DF2B0D"/>
    <w:rsid w:val="00DF2EC9"/>
    <w:rsid w:val="00DF3A9D"/>
    <w:rsid w:val="00DF3F88"/>
    <w:rsid w:val="00DF4521"/>
    <w:rsid w:val="00DF63FE"/>
    <w:rsid w:val="00E00ACC"/>
    <w:rsid w:val="00E00E6E"/>
    <w:rsid w:val="00E1178C"/>
    <w:rsid w:val="00E1455C"/>
    <w:rsid w:val="00E16445"/>
    <w:rsid w:val="00E21C71"/>
    <w:rsid w:val="00E24307"/>
    <w:rsid w:val="00E24E14"/>
    <w:rsid w:val="00E24F72"/>
    <w:rsid w:val="00E327F5"/>
    <w:rsid w:val="00E37CCD"/>
    <w:rsid w:val="00E43540"/>
    <w:rsid w:val="00E436B0"/>
    <w:rsid w:val="00E475FE"/>
    <w:rsid w:val="00E47643"/>
    <w:rsid w:val="00E47926"/>
    <w:rsid w:val="00E50546"/>
    <w:rsid w:val="00E576B5"/>
    <w:rsid w:val="00E61CEF"/>
    <w:rsid w:val="00E64B16"/>
    <w:rsid w:val="00E64B37"/>
    <w:rsid w:val="00E65AB6"/>
    <w:rsid w:val="00E66B50"/>
    <w:rsid w:val="00E74583"/>
    <w:rsid w:val="00E76225"/>
    <w:rsid w:val="00E8009F"/>
    <w:rsid w:val="00E816D1"/>
    <w:rsid w:val="00E824CC"/>
    <w:rsid w:val="00E82801"/>
    <w:rsid w:val="00E8350C"/>
    <w:rsid w:val="00E85455"/>
    <w:rsid w:val="00E87004"/>
    <w:rsid w:val="00E87CE2"/>
    <w:rsid w:val="00E935B2"/>
    <w:rsid w:val="00E9406D"/>
    <w:rsid w:val="00EA151A"/>
    <w:rsid w:val="00EA395B"/>
    <w:rsid w:val="00EA39AB"/>
    <w:rsid w:val="00EA478F"/>
    <w:rsid w:val="00EB06D6"/>
    <w:rsid w:val="00EB2F91"/>
    <w:rsid w:val="00EB5BB2"/>
    <w:rsid w:val="00EB6128"/>
    <w:rsid w:val="00EB6F2D"/>
    <w:rsid w:val="00EC0252"/>
    <w:rsid w:val="00EC0A2C"/>
    <w:rsid w:val="00EC3204"/>
    <w:rsid w:val="00EC57D2"/>
    <w:rsid w:val="00EC5ACF"/>
    <w:rsid w:val="00EC759B"/>
    <w:rsid w:val="00EC7B1B"/>
    <w:rsid w:val="00ED0089"/>
    <w:rsid w:val="00ED175B"/>
    <w:rsid w:val="00ED2F03"/>
    <w:rsid w:val="00ED52AB"/>
    <w:rsid w:val="00EE0718"/>
    <w:rsid w:val="00EE08FA"/>
    <w:rsid w:val="00EE2852"/>
    <w:rsid w:val="00EE307F"/>
    <w:rsid w:val="00EF2D6F"/>
    <w:rsid w:val="00EF51FF"/>
    <w:rsid w:val="00EF691C"/>
    <w:rsid w:val="00EF7331"/>
    <w:rsid w:val="00F0685C"/>
    <w:rsid w:val="00F07432"/>
    <w:rsid w:val="00F0773C"/>
    <w:rsid w:val="00F07E5A"/>
    <w:rsid w:val="00F10B53"/>
    <w:rsid w:val="00F11CC9"/>
    <w:rsid w:val="00F124F0"/>
    <w:rsid w:val="00F128D1"/>
    <w:rsid w:val="00F13DF9"/>
    <w:rsid w:val="00F13F07"/>
    <w:rsid w:val="00F14D3E"/>
    <w:rsid w:val="00F1564C"/>
    <w:rsid w:val="00F225C9"/>
    <w:rsid w:val="00F229CC"/>
    <w:rsid w:val="00F2332B"/>
    <w:rsid w:val="00F23B50"/>
    <w:rsid w:val="00F2429B"/>
    <w:rsid w:val="00F24B72"/>
    <w:rsid w:val="00F2655D"/>
    <w:rsid w:val="00F34CB2"/>
    <w:rsid w:val="00F460CE"/>
    <w:rsid w:val="00F462B5"/>
    <w:rsid w:val="00F46413"/>
    <w:rsid w:val="00F5209A"/>
    <w:rsid w:val="00F54C69"/>
    <w:rsid w:val="00F600EF"/>
    <w:rsid w:val="00F62726"/>
    <w:rsid w:val="00F63434"/>
    <w:rsid w:val="00F63FC6"/>
    <w:rsid w:val="00F65F21"/>
    <w:rsid w:val="00F74B69"/>
    <w:rsid w:val="00F85383"/>
    <w:rsid w:val="00F925A7"/>
    <w:rsid w:val="00F932F5"/>
    <w:rsid w:val="00F9723B"/>
    <w:rsid w:val="00FA414F"/>
    <w:rsid w:val="00FA66F8"/>
    <w:rsid w:val="00FB2541"/>
    <w:rsid w:val="00FB3068"/>
    <w:rsid w:val="00FB3C4E"/>
    <w:rsid w:val="00FB6380"/>
    <w:rsid w:val="00FB6A70"/>
    <w:rsid w:val="00FB743B"/>
    <w:rsid w:val="00FC05E5"/>
    <w:rsid w:val="00FC0FC6"/>
    <w:rsid w:val="00FC32C5"/>
    <w:rsid w:val="00FC359E"/>
    <w:rsid w:val="00FD37F1"/>
    <w:rsid w:val="00FD74ED"/>
    <w:rsid w:val="00FE0160"/>
    <w:rsid w:val="00FE453E"/>
    <w:rsid w:val="00FF1AD6"/>
    <w:rsid w:val="00FF5642"/>
    <w:rsid w:val="00FF72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DC8BA4"/>
  <w15:docId w15:val="{8D4B65A8-2B8E-594A-BF31-68662F65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25C9"/>
    <w:pPr>
      <w:spacing w:before="120" w:after="120" w:line="360" w:lineRule="auto"/>
      <w:jc w:val="both"/>
    </w:pPr>
    <w:rPr>
      <w:rFonts w:ascii="Times New Roman" w:hAnsi="Times New Roman"/>
      <w:sz w:val="24"/>
    </w:rPr>
  </w:style>
  <w:style w:type="paragraph" w:styleId="Heading1">
    <w:name w:val="heading 1"/>
    <w:basedOn w:val="NoSpacing"/>
    <w:next w:val="Normal"/>
    <w:link w:val="Heading1Char"/>
    <w:uiPriority w:val="9"/>
    <w:qFormat/>
    <w:rsid w:val="00B418F8"/>
    <w:pPr>
      <w:keepNext/>
      <w:keepLines/>
      <w:numPr>
        <w:numId w:val="12"/>
      </w:numP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92510A"/>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E0718"/>
    <w:pPr>
      <w:keepNext/>
      <w:keepLines/>
      <w:numPr>
        <w:ilvl w:val="2"/>
        <w:numId w:val="12"/>
      </w:numPr>
      <w:spacing w:before="200" w:after="0"/>
      <w:outlineLvl w:val="2"/>
    </w:pPr>
    <w:rPr>
      <w:rFonts w:asciiTheme="majorHAnsi" w:eastAsiaTheme="majorEastAsia" w:hAnsiTheme="majorHAnsi" w:cstheme="majorBidi"/>
      <w:bCs/>
    </w:rPr>
  </w:style>
  <w:style w:type="paragraph" w:styleId="Heading4">
    <w:name w:val="heading 4"/>
    <w:basedOn w:val="Normal"/>
    <w:link w:val="Heading4Char"/>
    <w:uiPriority w:val="9"/>
    <w:unhideWhenUsed/>
    <w:qFormat/>
    <w:rsid w:val="00B418F8"/>
    <w:pPr>
      <w:keepNext/>
      <w:keepLines/>
      <w:numPr>
        <w:ilvl w:val="3"/>
        <w:numId w:val="12"/>
      </w:numPr>
      <w:spacing w:before="200" w:after="0"/>
      <w:outlineLvl w:val="3"/>
    </w:pPr>
    <w:rPr>
      <w:rFonts w:eastAsiaTheme="majorEastAsia" w:cstheme="majorBidi"/>
      <w:bCs/>
      <w:i/>
      <w:iCs/>
      <w:color w:val="000000" w:themeColor="text1"/>
    </w:rPr>
  </w:style>
  <w:style w:type="paragraph" w:styleId="Heading5">
    <w:name w:val="heading 5"/>
    <w:aliases w:val="Equation"/>
    <w:basedOn w:val="NoSpacing"/>
    <w:next w:val="Normal"/>
    <w:link w:val="Heading5Char"/>
    <w:uiPriority w:val="9"/>
    <w:unhideWhenUsed/>
    <w:qFormat/>
    <w:rsid w:val="00B418F8"/>
    <w:pPr>
      <w:keepNext/>
      <w:keepLines/>
      <w:numPr>
        <w:ilvl w:val="4"/>
        <w:numId w:val="12"/>
      </w:numPr>
      <w:spacing w:before="200" w:line="360" w:lineRule="auto"/>
      <w:jc w:val="center"/>
      <w:outlineLvl w:val="4"/>
    </w:pPr>
    <w:rPr>
      <w:rFonts w:ascii="Cambria Math" w:eastAsiaTheme="majorEastAsia" w:hAnsi="Cambria Math" w:cstheme="majorBidi"/>
      <w:color w:val="000000" w:themeColor="text1"/>
      <w:sz w:val="24"/>
    </w:rPr>
  </w:style>
  <w:style w:type="paragraph" w:styleId="Heading6">
    <w:name w:val="heading 6"/>
    <w:basedOn w:val="Normal"/>
    <w:next w:val="Normal"/>
    <w:link w:val="Heading6Char"/>
    <w:uiPriority w:val="9"/>
    <w:semiHidden/>
    <w:unhideWhenUsed/>
    <w:qFormat/>
    <w:rsid w:val="00B418F8"/>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18F8"/>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18F8"/>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18F8"/>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510A"/>
    <w:rPr>
      <w:rFonts w:ascii="Times New Roman" w:eastAsiaTheme="majorEastAsia" w:hAnsi="Times New Roman" w:cstheme="majorBidi"/>
      <w:b/>
      <w:bCs/>
      <w:sz w:val="24"/>
      <w:szCs w:val="26"/>
    </w:rPr>
  </w:style>
  <w:style w:type="character" w:customStyle="1" w:styleId="Heading1Char">
    <w:name w:val="Heading 1 Char"/>
    <w:basedOn w:val="DefaultParagraphFont"/>
    <w:link w:val="Heading1"/>
    <w:uiPriority w:val="9"/>
    <w:rsid w:val="00B418F8"/>
    <w:rPr>
      <w:rFonts w:ascii="Times New Roman" w:eastAsiaTheme="majorEastAsia" w:hAnsi="Times New Roman" w:cstheme="majorBidi"/>
      <w:b/>
      <w:bCs/>
      <w:sz w:val="28"/>
      <w:szCs w:val="28"/>
    </w:rPr>
  </w:style>
  <w:style w:type="paragraph" w:styleId="NoSpacing">
    <w:name w:val="No Spacing"/>
    <w:aliases w:val="equation"/>
    <w:uiPriority w:val="1"/>
    <w:qFormat/>
    <w:rsid w:val="00EE0718"/>
    <w:pPr>
      <w:spacing w:after="0" w:line="240" w:lineRule="auto"/>
    </w:pPr>
  </w:style>
  <w:style w:type="character" w:customStyle="1" w:styleId="Heading3Char">
    <w:name w:val="Heading 3 Char"/>
    <w:basedOn w:val="DefaultParagraphFont"/>
    <w:link w:val="Heading3"/>
    <w:uiPriority w:val="9"/>
    <w:rsid w:val="00EE0718"/>
    <w:rPr>
      <w:rFonts w:asciiTheme="majorHAnsi" w:eastAsiaTheme="majorEastAsia" w:hAnsiTheme="majorHAnsi" w:cstheme="majorBidi"/>
      <w:bCs/>
      <w:sz w:val="24"/>
    </w:rPr>
  </w:style>
  <w:style w:type="paragraph" w:styleId="Subtitle">
    <w:name w:val="Subtitle"/>
    <w:basedOn w:val="Normal"/>
    <w:next w:val="Normal"/>
    <w:link w:val="SubtitleChar"/>
    <w:uiPriority w:val="11"/>
    <w:qFormat/>
    <w:rsid w:val="003F158E"/>
    <w:pPr>
      <w:numPr>
        <w:ilvl w:val="1"/>
      </w:numPr>
      <w:spacing w:before="0" w:after="200" w:line="240" w:lineRule="auto"/>
    </w:pPr>
    <w:rPr>
      <w:rFonts w:eastAsiaTheme="majorEastAsia" w:cstheme="majorBidi"/>
      <w:b/>
      <w:iCs/>
      <w:color w:val="4F81BD" w:themeColor="accent1"/>
      <w:sz w:val="20"/>
      <w:szCs w:val="24"/>
    </w:rPr>
  </w:style>
  <w:style w:type="character" w:customStyle="1" w:styleId="SubtitleChar">
    <w:name w:val="Subtitle Char"/>
    <w:basedOn w:val="DefaultParagraphFont"/>
    <w:link w:val="Subtitle"/>
    <w:uiPriority w:val="11"/>
    <w:rsid w:val="003F158E"/>
    <w:rPr>
      <w:rFonts w:ascii="Times New Roman" w:eastAsiaTheme="majorEastAsia" w:hAnsi="Times New Roman" w:cstheme="majorBidi"/>
      <w:b/>
      <w:iCs/>
      <w:color w:val="4F81BD" w:themeColor="accent1"/>
      <w:sz w:val="20"/>
      <w:szCs w:val="24"/>
    </w:rPr>
  </w:style>
  <w:style w:type="paragraph" w:styleId="ListParagraph">
    <w:name w:val="List Paragraph"/>
    <w:aliases w:val="Table"/>
    <w:basedOn w:val="Normal"/>
    <w:next w:val="TOC1"/>
    <w:uiPriority w:val="34"/>
    <w:qFormat/>
    <w:rsid w:val="00EB06D6"/>
    <w:pPr>
      <w:spacing w:before="0" w:after="0" w:line="240" w:lineRule="auto"/>
      <w:ind w:left="720"/>
      <w:contextualSpacing/>
    </w:pPr>
    <w:rPr>
      <w:rFonts w:asciiTheme="minorHAnsi" w:hAnsiTheme="minorHAnsi"/>
      <w:sz w:val="20"/>
    </w:rPr>
  </w:style>
  <w:style w:type="paragraph" w:styleId="TOC1">
    <w:name w:val="toc 1"/>
    <w:basedOn w:val="Normal"/>
    <w:next w:val="Normal"/>
    <w:autoRedefine/>
    <w:uiPriority w:val="39"/>
    <w:unhideWhenUsed/>
    <w:rsid w:val="00871350"/>
    <w:pPr>
      <w:numPr>
        <w:numId w:val="27"/>
      </w:numPr>
      <w:spacing w:after="100"/>
    </w:pPr>
  </w:style>
  <w:style w:type="character" w:customStyle="1" w:styleId="Heading4Char">
    <w:name w:val="Heading 4 Char"/>
    <w:basedOn w:val="DefaultParagraphFont"/>
    <w:link w:val="Heading4"/>
    <w:uiPriority w:val="9"/>
    <w:rsid w:val="00B418F8"/>
    <w:rPr>
      <w:rFonts w:ascii="Times New Roman" w:eastAsiaTheme="majorEastAsia" w:hAnsi="Times New Roman" w:cstheme="majorBidi"/>
      <w:bCs/>
      <w:i/>
      <w:iCs/>
      <w:color w:val="000000" w:themeColor="text1"/>
      <w:sz w:val="24"/>
    </w:rPr>
  </w:style>
  <w:style w:type="character" w:customStyle="1" w:styleId="Heading5Char">
    <w:name w:val="Heading 5 Char"/>
    <w:aliases w:val="Equation Char"/>
    <w:basedOn w:val="DefaultParagraphFont"/>
    <w:link w:val="Heading5"/>
    <w:uiPriority w:val="9"/>
    <w:rsid w:val="00B418F8"/>
    <w:rPr>
      <w:rFonts w:ascii="Cambria Math" w:eastAsiaTheme="majorEastAsia" w:hAnsi="Cambria Math" w:cstheme="majorBidi"/>
      <w:color w:val="000000" w:themeColor="text1"/>
      <w:sz w:val="24"/>
    </w:rPr>
  </w:style>
  <w:style w:type="character" w:customStyle="1" w:styleId="Heading6Char">
    <w:name w:val="Heading 6 Char"/>
    <w:basedOn w:val="DefaultParagraphFont"/>
    <w:link w:val="Heading6"/>
    <w:uiPriority w:val="9"/>
    <w:semiHidden/>
    <w:rsid w:val="00B418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418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41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18F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418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8F8"/>
    <w:rPr>
      <w:rFonts w:ascii="Tahoma" w:hAnsi="Tahoma" w:cs="Tahoma"/>
      <w:sz w:val="16"/>
      <w:szCs w:val="16"/>
    </w:rPr>
  </w:style>
  <w:style w:type="paragraph" w:styleId="Caption">
    <w:name w:val="caption"/>
    <w:basedOn w:val="Normal"/>
    <w:next w:val="Normal"/>
    <w:uiPriority w:val="35"/>
    <w:unhideWhenUsed/>
    <w:qFormat/>
    <w:rsid w:val="00B418F8"/>
    <w:pPr>
      <w:spacing w:before="0" w:after="200" w:line="240" w:lineRule="auto"/>
    </w:pPr>
    <w:rPr>
      <w:b/>
      <w:bCs/>
      <w:color w:val="4F81BD" w:themeColor="accent1"/>
      <w:sz w:val="18"/>
      <w:szCs w:val="18"/>
    </w:rPr>
  </w:style>
  <w:style w:type="table" w:styleId="TableGrid">
    <w:name w:val="Table Grid"/>
    <w:basedOn w:val="TableNormal"/>
    <w:uiPriority w:val="39"/>
    <w:rsid w:val="00B4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18F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18F8"/>
    <w:rPr>
      <w:rFonts w:ascii="Times New Roman" w:hAnsi="Times New Roman"/>
      <w:sz w:val="24"/>
    </w:rPr>
  </w:style>
  <w:style w:type="paragraph" w:styleId="Footer">
    <w:name w:val="footer"/>
    <w:basedOn w:val="Normal"/>
    <w:link w:val="FooterChar"/>
    <w:uiPriority w:val="99"/>
    <w:unhideWhenUsed/>
    <w:rsid w:val="00B418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18F8"/>
    <w:rPr>
      <w:rFonts w:ascii="Times New Roman" w:hAnsi="Times New Roman"/>
      <w:sz w:val="24"/>
    </w:rPr>
  </w:style>
  <w:style w:type="paragraph" w:styleId="NormalWeb">
    <w:name w:val="Normal (Web)"/>
    <w:basedOn w:val="Normal"/>
    <w:uiPriority w:val="99"/>
    <w:unhideWhenUsed/>
    <w:rsid w:val="00B418F8"/>
    <w:pPr>
      <w:spacing w:before="100" w:beforeAutospacing="1" w:after="100" w:afterAutospacing="1" w:line="240" w:lineRule="auto"/>
    </w:pPr>
    <w:rPr>
      <w:rFonts w:cs="Times New Roman"/>
      <w:szCs w:val="24"/>
    </w:rPr>
  </w:style>
  <w:style w:type="paragraph" w:styleId="CommentText">
    <w:name w:val="annotation text"/>
    <w:basedOn w:val="Normal"/>
    <w:link w:val="CommentTextChar"/>
    <w:uiPriority w:val="99"/>
    <w:unhideWhenUsed/>
    <w:rsid w:val="00B418F8"/>
    <w:pPr>
      <w:spacing w:line="240" w:lineRule="auto"/>
    </w:pPr>
    <w:rPr>
      <w:sz w:val="20"/>
      <w:szCs w:val="20"/>
    </w:rPr>
  </w:style>
  <w:style w:type="character" w:customStyle="1" w:styleId="CommentTextChar">
    <w:name w:val="Comment Text Char"/>
    <w:basedOn w:val="DefaultParagraphFont"/>
    <w:link w:val="CommentText"/>
    <w:uiPriority w:val="99"/>
    <w:rsid w:val="00B418F8"/>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B418F8"/>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B418F8"/>
    <w:rPr>
      <w:b/>
      <w:bCs/>
    </w:rPr>
  </w:style>
  <w:style w:type="character" w:customStyle="1" w:styleId="CommentSubjectChar1">
    <w:name w:val="Comment Subject Char1"/>
    <w:basedOn w:val="CommentTextChar"/>
    <w:uiPriority w:val="99"/>
    <w:semiHidden/>
    <w:rsid w:val="00B418F8"/>
    <w:rPr>
      <w:rFonts w:ascii="Times New Roman" w:hAnsi="Times New Roman"/>
      <w:b/>
      <w:bCs/>
      <w:sz w:val="20"/>
      <w:szCs w:val="20"/>
    </w:rPr>
  </w:style>
  <w:style w:type="character" w:styleId="Emphasis">
    <w:name w:val="Emphasis"/>
    <w:basedOn w:val="DefaultParagraphFont"/>
    <w:uiPriority w:val="20"/>
    <w:qFormat/>
    <w:rsid w:val="00B418F8"/>
    <w:rPr>
      <w:i/>
      <w:iCs/>
    </w:rPr>
  </w:style>
  <w:style w:type="character" w:customStyle="1" w:styleId="apple-converted-space">
    <w:name w:val="apple-converted-space"/>
    <w:basedOn w:val="DefaultParagraphFont"/>
    <w:rsid w:val="00B418F8"/>
  </w:style>
  <w:style w:type="character" w:customStyle="1" w:styleId="il">
    <w:name w:val="il"/>
    <w:basedOn w:val="DefaultParagraphFont"/>
    <w:rsid w:val="00B418F8"/>
  </w:style>
  <w:style w:type="character" w:styleId="CommentReference">
    <w:name w:val="annotation reference"/>
    <w:basedOn w:val="DefaultParagraphFont"/>
    <w:uiPriority w:val="99"/>
    <w:semiHidden/>
    <w:unhideWhenUsed/>
    <w:rsid w:val="00B418F8"/>
    <w:rPr>
      <w:sz w:val="16"/>
      <w:szCs w:val="16"/>
    </w:rPr>
  </w:style>
  <w:style w:type="paragraph" w:customStyle="1" w:styleId="svarticle">
    <w:name w:val="svarticle"/>
    <w:basedOn w:val="Normal"/>
    <w:rsid w:val="00B418F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B418F8"/>
    <w:rPr>
      <w:color w:val="0000FF"/>
      <w:u w:val="single"/>
    </w:rPr>
  </w:style>
  <w:style w:type="character" w:styleId="PlaceholderText">
    <w:name w:val="Placeholder Text"/>
    <w:basedOn w:val="DefaultParagraphFont"/>
    <w:uiPriority w:val="99"/>
    <w:semiHidden/>
    <w:rsid w:val="00B418F8"/>
    <w:rPr>
      <w:color w:val="808080"/>
    </w:rPr>
  </w:style>
  <w:style w:type="paragraph" w:customStyle="1" w:styleId="Default">
    <w:name w:val="Default"/>
    <w:rsid w:val="00EC57D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urrent-selection">
    <w:name w:val="current-selection"/>
    <w:basedOn w:val="DefaultParagraphFont"/>
    <w:rsid w:val="009F7CE2"/>
  </w:style>
  <w:style w:type="character" w:customStyle="1" w:styleId="a">
    <w:name w:val="_"/>
    <w:basedOn w:val="DefaultParagraphFont"/>
    <w:rsid w:val="009F7CE2"/>
  </w:style>
  <w:style w:type="character" w:styleId="FollowedHyperlink">
    <w:name w:val="FollowedHyperlink"/>
    <w:basedOn w:val="DefaultParagraphFont"/>
    <w:uiPriority w:val="99"/>
    <w:semiHidden/>
    <w:unhideWhenUsed/>
    <w:rsid w:val="009F7CE2"/>
    <w:rPr>
      <w:color w:val="800080" w:themeColor="followedHyperlink"/>
      <w:u w:val="single"/>
    </w:rPr>
  </w:style>
  <w:style w:type="paragraph" w:styleId="Revision">
    <w:name w:val="Revision"/>
    <w:hidden/>
    <w:uiPriority w:val="99"/>
    <w:semiHidden/>
    <w:rsid w:val="009F7CE2"/>
    <w:pPr>
      <w:spacing w:after="0" w:line="240" w:lineRule="auto"/>
    </w:pPr>
    <w:rPr>
      <w:rFonts w:ascii="Times New Roman" w:hAnsi="Times New Roman"/>
      <w:sz w:val="24"/>
    </w:rPr>
  </w:style>
  <w:style w:type="paragraph" w:styleId="Date">
    <w:name w:val="Date"/>
    <w:basedOn w:val="Normal"/>
    <w:next w:val="Normal"/>
    <w:link w:val="DateChar"/>
    <w:uiPriority w:val="99"/>
    <w:semiHidden/>
    <w:unhideWhenUsed/>
    <w:rsid w:val="009F7CE2"/>
  </w:style>
  <w:style w:type="character" w:customStyle="1" w:styleId="DateChar">
    <w:name w:val="Date Char"/>
    <w:basedOn w:val="DefaultParagraphFont"/>
    <w:link w:val="Date"/>
    <w:uiPriority w:val="99"/>
    <w:semiHidden/>
    <w:rsid w:val="009F7CE2"/>
    <w:rPr>
      <w:rFonts w:ascii="Times New Roman" w:hAnsi="Times New Roman"/>
      <w:sz w:val="24"/>
    </w:rPr>
  </w:style>
  <w:style w:type="paragraph" w:styleId="Title">
    <w:name w:val="Title"/>
    <w:aliases w:val="Appendix"/>
    <w:basedOn w:val="Normal"/>
    <w:next w:val="Normal"/>
    <w:link w:val="TitleChar"/>
    <w:uiPriority w:val="10"/>
    <w:qFormat/>
    <w:rsid w:val="009F7CE2"/>
    <w:pPr>
      <w:spacing w:before="0" w:after="300" w:line="240" w:lineRule="auto"/>
      <w:contextualSpacing/>
    </w:pPr>
    <w:rPr>
      <w:rFonts w:eastAsiaTheme="majorEastAsia" w:cstheme="majorBidi"/>
      <w:b/>
      <w:spacing w:val="5"/>
      <w:kern w:val="28"/>
      <w:szCs w:val="52"/>
    </w:rPr>
  </w:style>
  <w:style w:type="character" w:customStyle="1" w:styleId="TitleChar">
    <w:name w:val="Title Char"/>
    <w:aliases w:val="Appendix Char"/>
    <w:basedOn w:val="DefaultParagraphFont"/>
    <w:link w:val="Title"/>
    <w:uiPriority w:val="10"/>
    <w:rsid w:val="009F7CE2"/>
    <w:rPr>
      <w:rFonts w:ascii="Times New Roman" w:eastAsiaTheme="majorEastAsia" w:hAnsi="Times New Roman" w:cstheme="majorBidi"/>
      <w:b/>
      <w:spacing w:val="5"/>
      <w:kern w:val="28"/>
      <w:sz w:val="24"/>
      <w:szCs w:val="52"/>
    </w:rPr>
  </w:style>
  <w:style w:type="character" w:styleId="SubtleEmphasis">
    <w:name w:val="Subtle Emphasis"/>
    <w:basedOn w:val="DefaultParagraphFont"/>
    <w:uiPriority w:val="19"/>
    <w:qFormat/>
    <w:rsid w:val="009F7CE2"/>
    <w:rPr>
      <w:i/>
      <w:iCs/>
      <w:color w:val="404040" w:themeColor="text1" w:themeTint="BF"/>
    </w:rPr>
  </w:style>
  <w:style w:type="paragraph" w:styleId="TOCHeading">
    <w:name w:val="TOC Heading"/>
    <w:basedOn w:val="Heading1"/>
    <w:next w:val="Normal"/>
    <w:uiPriority w:val="39"/>
    <w:semiHidden/>
    <w:unhideWhenUsed/>
    <w:qFormat/>
    <w:rsid w:val="009F7CE2"/>
    <w:pPr>
      <w:numPr>
        <w:numId w:val="0"/>
      </w:numPr>
      <w:spacing w:before="480" w:line="276" w:lineRule="auto"/>
      <w:outlineLvl w:val="9"/>
    </w:pPr>
    <w:rPr>
      <w:rFonts w:asciiTheme="majorHAnsi" w:hAnsiTheme="majorHAnsi"/>
      <w:color w:val="365F91" w:themeColor="accent1" w:themeShade="BF"/>
      <w:lang w:val="en-US" w:eastAsia="ja-JP"/>
    </w:rPr>
  </w:style>
  <w:style w:type="paragraph" w:styleId="TableofFigures">
    <w:name w:val="table of figures"/>
    <w:basedOn w:val="Normal"/>
    <w:next w:val="Normal"/>
    <w:uiPriority w:val="99"/>
    <w:unhideWhenUsed/>
    <w:rsid w:val="009F7CE2"/>
    <w:pPr>
      <w:spacing w:after="0"/>
    </w:pPr>
  </w:style>
  <w:style w:type="paragraph" w:styleId="TOC2">
    <w:name w:val="toc 2"/>
    <w:basedOn w:val="Normal"/>
    <w:next w:val="Normal"/>
    <w:autoRedefine/>
    <w:uiPriority w:val="39"/>
    <w:unhideWhenUsed/>
    <w:rsid w:val="009F7CE2"/>
    <w:pPr>
      <w:spacing w:after="100"/>
      <w:ind w:left="240"/>
    </w:pPr>
  </w:style>
  <w:style w:type="paragraph" w:styleId="TOC3">
    <w:name w:val="toc 3"/>
    <w:basedOn w:val="Normal"/>
    <w:next w:val="Normal"/>
    <w:autoRedefine/>
    <w:uiPriority w:val="39"/>
    <w:unhideWhenUsed/>
    <w:rsid w:val="009F7CE2"/>
    <w:pPr>
      <w:spacing w:after="100"/>
      <w:ind w:left="480"/>
    </w:pPr>
  </w:style>
  <w:style w:type="paragraph" w:styleId="TOC4">
    <w:name w:val="toc 4"/>
    <w:basedOn w:val="Normal"/>
    <w:next w:val="Normal"/>
    <w:autoRedefine/>
    <w:uiPriority w:val="39"/>
    <w:unhideWhenUsed/>
    <w:rsid w:val="009F7CE2"/>
    <w:pPr>
      <w:spacing w:before="0" w:after="10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9F7CE2"/>
    <w:pPr>
      <w:spacing w:before="0" w:after="10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9F7CE2"/>
    <w:pPr>
      <w:spacing w:before="0" w:after="10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9F7CE2"/>
    <w:pPr>
      <w:spacing w:before="0" w:after="10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9F7CE2"/>
    <w:pPr>
      <w:spacing w:before="0" w:after="10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9F7CE2"/>
    <w:pPr>
      <w:spacing w:before="0" w:after="100" w:line="276" w:lineRule="auto"/>
      <w:ind w:left="1760"/>
      <w:jc w:val="left"/>
    </w:pPr>
    <w:rPr>
      <w:rFonts w:asciiTheme="minorHAnsi" w:hAnsiTheme="minorHAnsi"/>
      <w:sz w:val="22"/>
    </w:rPr>
  </w:style>
  <w:style w:type="numbering" w:customStyle="1" w:styleId="Appendixnew">
    <w:name w:val="Appendix new"/>
    <w:uiPriority w:val="99"/>
    <w:rsid w:val="009F7CE2"/>
    <w:pPr>
      <w:numPr>
        <w:numId w:val="20"/>
      </w:numPr>
    </w:pPr>
  </w:style>
  <w:style w:type="numbering" w:customStyle="1" w:styleId="Style1">
    <w:name w:val="Style1"/>
    <w:uiPriority w:val="99"/>
    <w:rsid w:val="009F7CE2"/>
    <w:pPr>
      <w:numPr>
        <w:numId w:val="22"/>
      </w:numPr>
    </w:pPr>
  </w:style>
  <w:style w:type="paragraph" w:styleId="IntenseQuote">
    <w:name w:val="Intense Quote"/>
    <w:basedOn w:val="Normal"/>
    <w:next w:val="Normal"/>
    <w:link w:val="IntenseQuoteChar"/>
    <w:uiPriority w:val="30"/>
    <w:qFormat/>
    <w:rsid w:val="009F7CE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F7CE2"/>
    <w:rPr>
      <w:rFonts w:ascii="Times New Roman" w:hAnsi="Times New Roman"/>
      <w:i/>
      <w:iCs/>
      <w:color w:val="4F81BD" w:themeColor="accent1"/>
      <w:sz w:val="24"/>
    </w:rPr>
  </w:style>
  <w:style w:type="character" w:customStyle="1" w:styleId="UnresolvedMention1">
    <w:name w:val="Unresolved Mention1"/>
    <w:basedOn w:val="DefaultParagraphFont"/>
    <w:uiPriority w:val="99"/>
    <w:semiHidden/>
    <w:unhideWhenUsed/>
    <w:rsid w:val="00A74783"/>
    <w:rPr>
      <w:color w:val="605E5C"/>
      <w:shd w:val="clear" w:color="auto" w:fill="E1DFDD"/>
    </w:rPr>
  </w:style>
  <w:style w:type="character" w:customStyle="1" w:styleId="UnresolvedMention2">
    <w:name w:val="Unresolved Mention2"/>
    <w:basedOn w:val="DefaultParagraphFont"/>
    <w:uiPriority w:val="99"/>
    <w:semiHidden/>
    <w:unhideWhenUsed/>
    <w:rsid w:val="006C2B7F"/>
    <w:rPr>
      <w:color w:val="605E5C"/>
      <w:shd w:val="clear" w:color="auto" w:fill="E1DFDD"/>
    </w:rPr>
  </w:style>
  <w:style w:type="paragraph" w:customStyle="1" w:styleId="EndNoteBibliography">
    <w:name w:val="EndNote Bibliography"/>
    <w:basedOn w:val="Normal"/>
    <w:link w:val="EndNoteBibliographyChar"/>
    <w:rsid w:val="00164649"/>
    <w:pPr>
      <w:spacing w:before="0" w:after="200" w:line="240" w:lineRule="auto"/>
      <w:jc w:val="left"/>
    </w:pPr>
    <w:rPr>
      <w:rFonts w:ascii="Calibri" w:eastAsiaTheme="minorHAnsi" w:hAnsi="Calibri"/>
      <w:noProof/>
      <w:sz w:val="22"/>
      <w:lang w:val="en-US" w:eastAsia="en-US"/>
    </w:rPr>
  </w:style>
  <w:style w:type="character" w:customStyle="1" w:styleId="EndNoteBibliographyChar">
    <w:name w:val="EndNote Bibliography Char"/>
    <w:basedOn w:val="DefaultParagraphFont"/>
    <w:link w:val="EndNoteBibliography"/>
    <w:rsid w:val="00164649"/>
    <w:rPr>
      <w:rFonts w:ascii="Calibri" w:eastAsiaTheme="minorHAnsi" w:hAnsi="Calibri"/>
      <w:noProof/>
      <w:lang w:val="en-US" w:eastAsia="en-US"/>
    </w:rPr>
  </w:style>
  <w:style w:type="character" w:styleId="LineNumber">
    <w:name w:val="line number"/>
    <w:basedOn w:val="DefaultParagraphFont"/>
    <w:uiPriority w:val="99"/>
    <w:semiHidden/>
    <w:unhideWhenUsed/>
    <w:rsid w:val="00216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35315">
      <w:bodyDiv w:val="1"/>
      <w:marLeft w:val="0"/>
      <w:marRight w:val="0"/>
      <w:marTop w:val="0"/>
      <w:marBottom w:val="0"/>
      <w:divBdr>
        <w:top w:val="none" w:sz="0" w:space="0" w:color="auto"/>
        <w:left w:val="none" w:sz="0" w:space="0" w:color="auto"/>
        <w:bottom w:val="none" w:sz="0" w:space="0" w:color="auto"/>
        <w:right w:val="none" w:sz="0" w:space="0" w:color="auto"/>
      </w:divBdr>
    </w:div>
    <w:div w:id="412974171">
      <w:bodyDiv w:val="1"/>
      <w:marLeft w:val="0"/>
      <w:marRight w:val="0"/>
      <w:marTop w:val="0"/>
      <w:marBottom w:val="0"/>
      <w:divBdr>
        <w:top w:val="none" w:sz="0" w:space="0" w:color="auto"/>
        <w:left w:val="none" w:sz="0" w:space="0" w:color="auto"/>
        <w:bottom w:val="none" w:sz="0" w:space="0" w:color="auto"/>
        <w:right w:val="none" w:sz="0" w:space="0" w:color="auto"/>
      </w:divBdr>
      <w:divsChild>
        <w:div w:id="1535918288">
          <w:marLeft w:val="0"/>
          <w:marRight w:val="0"/>
          <w:marTop w:val="0"/>
          <w:marBottom w:val="0"/>
          <w:divBdr>
            <w:top w:val="none" w:sz="0" w:space="0" w:color="auto"/>
            <w:left w:val="none" w:sz="0" w:space="0" w:color="auto"/>
            <w:bottom w:val="none" w:sz="0" w:space="0" w:color="auto"/>
            <w:right w:val="none" w:sz="0" w:space="0" w:color="auto"/>
          </w:divBdr>
          <w:divsChild>
            <w:div w:id="1411537585">
              <w:marLeft w:val="0"/>
              <w:marRight w:val="0"/>
              <w:marTop w:val="0"/>
              <w:marBottom w:val="0"/>
              <w:divBdr>
                <w:top w:val="none" w:sz="0" w:space="0" w:color="auto"/>
                <w:left w:val="none" w:sz="0" w:space="0" w:color="auto"/>
                <w:bottom w:val="none" w:sz="0" w:space="0" w:color="auto"/>
                <w:right w:val="none" w:sz="0" w:space="0" w:color="auto"/>
              </w:divBdr>
              <w:divsChild>
                <w:div w:id="15840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5889">
      <w:bodyDiv w:val="1"/>
      <w:marLeft w:val="0"/>
      <w:marRight w:val="0"/>
      <w:marTop w:val="0"/>
      <w:marBottom w:val="0"/>
      <w:divBdr>
        <w:top w:val="none" w:sz="0" w:space="0" w:color="auto"/>
        <w:left w:val="none" w:sz="0" w:space="0" w:color="auto"/>
        <w:bottom w:val="none" w:sz="0" w:space="0" w:color="auto"/>
        <w:right w:val="none" w:sz="0" w:space="0" w:color="auto"/>
      </w:divBdr>
      <w:divsChild>
        <w:div w:id="1661040862">
          <w:marLeft w:val="0"/>
          <w:marRight w:val="0"/>
          <w:marTop w:val="0"/>
          <w:marBottom w:val="0"/>
          <w:divBdr>
            <w:top w:val="none" w:sz="0" w:space="0" w:color="auto"/>
            <w:left w:val="none" w:sz="0" w:space="0" w:color="auto"/>
            <w:bottom w:val="none" w:sz="0" w:space="0" w:color="auto"/>
            <w:right w:val="none" w:sz="0" w:space="0" w:color="auto"/>
          </w:divBdr>
          <w:divsChild>
            <w:div w:id="1831483725">
              <w:marLeft w:val="0"/>
              <w:marRight w:val="0"/>
              <w:marTop w:val="0"/>
              <w:marBottom w:val="0"/>
              <w:divBdr>
                <w:top w:val="none" w:sz="0" w:space="0" w:color="auto"/>
                <w:left w:val="none" w:sz="0" w:space="0" w:color="auto"/>
                <w:bottom w:val="none" w:sz="0" w:space="0" w:color="auto"/>
                <w:right w:val="none" w:sz="0" w:space="0" w:color="auto"/>
              </w:divBdr>
              <w:divsChild>
                <w:div w:id="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6212">
      <w:bodyDiv w:val="1"/>
      <w:marLeft w:val="0"/>
      <w:marRight w:val="0"/>
      <w:marTop w:val="0"/>
      <w:marBottom w:val="0"/>
      <w:divBdr>
        <w:top w:val="none" w:sz="0" w:space="0" w:color="auto"/>
        <w:left w:val="none" w:sz="0" w:space="0" w:color="auto"/>
        <w:bottom w:val="none" w:sz="0" w:space="0" w:color="auto"/>
        <w:right w:val="none" w:sz="0" w:space="0" w:color="auto"/>
      </w:divBdr>
    </w:div>
    <w:div w:id="699404034">
      <w:bodyDiv w:val="1"/>
      <w:marLeft w:val="0"/>
      <w:marRight w:val="0"/>
      <w:marTop w:val="0"/>
      <w:marBottom w:val="0"/>
      <w:divBdr>
        <w:top w:val="none" w:sz="0" w:space="0" w:color="auto"/>
        <w:left w:val="none" w:sz="0" w:space="0" w:color="auto"/>
        <w:bottom w:val="none" w:sz="0" w:space="0" w:color="auto"/>
        <w:right w:val="none" w:sz="0" w:space="0" w:color="auto"/>
      </w:divBdr>
    </w:div>
    <w:div w:id="735082489">
      <w:bodyDiv w:val="1"/>
      <w:marLeft w:val="0"/>
      <w:marRight w:val="0"/>
      <w:marTop w:val="0"/>
      <w:marBottom w:val="0"/>
      <w:divBdr>
        <w:top w:val="none" w:sz="0" w:space="0" w:color="auto"/>
        <w:left w:val="none" w:sz="0" w:space="0" w:color="auto"/>
        <w:bottom w:val="none" w:sz="0" w:space="0" w:color="auto"/>
        <w:right w:val="none" w:sz="0" w:space="0" w:color="auto"/>
      </w:divBdr>
      <w:divsChild>
        <w:div w:id="66151332">
          <w:marLeft w:val="0"/>
          <w:marRight w:val="0"/>
          <w:marTop w:val="0"/>
          <w:marBottom w:val="0"/>
          <w:divBdr>
            <w:top w:val="none" w:sz="0" w:space="0" w:color="auto"/>
            <w:left w:val="none" w:sz="0" w:space="0" w:color="auto"/>
            <w:bottom w:val="none" w:sz="0" w:space="0" w:color="auto"/>
            <w:right w:val="none" w:sz="0" w:space="0" w:color="auto"/>
          </w:divBdr>
          <w:divsChild>
            <w:div w:id="39476174">
              <w:marLeft w:val="0"/>
              <w:marRight w:val="0"/>
              <w:marTop w:val="0"/>
              <w:marBottom w:val="0"/>
              <w:divBdr>
                <w:top w:val="none" w:sz="0" w:space="0" w:color="auto"/>
                <w:left w:val="none" w:sz="0" w:space="0" w:color="auto"/>
                <w:bottom w:val="none" w:sz="0" w:space="0" w:color="auto"/>
                <w:right w:val="none" w:sz="0" w:space="0" w:color="auto"/>
              </w:divBdr>
              <w:divsChild>
                <w:div w:id="1697079963">
                  <w:marLeft w:val="0"/>
                  <w:marRight w:val="0"/>
                  <w:marTop w:val="0"/>
                  <w:marBottom w:val="0"/>
                  <w:divBdr>
                    <w:top w:val="none" w:sz="0" w:space="0" w:color="auto"/>
                    <w:left w:val="none" w:sz="0" w:space="0" w:color="auto"/>
                    <w:bottom w:val="none" w:sz="0" w:space="0" w:color="auto"/>
                    <w:right w:val="none" w:sz="0" w:space="0" w:color="auto"/>
                  </w:divBdr>
                  <w:divsChild>
                    <w:div w:id="11968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42872">
      <w:bodyDiv w:val="1"/>
      <w:marLeft w:val="0"/>
      <w:marRight w:val="0"/>
      <w:marTop w:val="0"/>
      <w:marBottom w:val="0"/>
      <w:divBdr>
        <w:top w:val="none" w:sz="0" w:space="0" w:color="auto"/>
        <w:left w:val="none" w:sz="0" w:space="0" w:color="auto"/>
        <w:bottom w:val="none" w:sz="0" w:space="0" w:color="auto"/>
        <w:right w:val="none" w:sz="0" w:space="0" w:color="auto"/>
      </w:divBdr>
    </w:div>
    <w:div w:id="1579171009">
      <w:bodyDiv w:val="1"/>
      <w:marLeft w:val="0"/>
      <w:marRight w:val="0"/>
      <w:marTop w:val="0"/>
      <w:marBottom w:val="0"/>
      <w:divBdr>
        <w:top w:val="none" w:sz="0" w:space="0" w:color="auto"/>
        <w:left w:val="none" w:sz="0" w:space="0" w:color="auto"/>
        <w:bottom w:val="none" w:sz="0" w:space="0" w:color="auto"/>
        <w:right w:val="none" w:sz="0" w:space="0" w:color="auto"/>
      </w:divBdr>
    </w:div>
    <w:div w:id="186458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DD12B56E-A6A2-401C-B308-D4D34E3C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47789</Words>
  <Characters>272401</Characters>
  <Application>Microsoft Office Word</Application>
  <DocSecurity>0</DocSecurity>
  <Lines>2270</Lines>
  <Paragraphs>639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Imperial College</Company>
  <LinksUpToDate>false</LinksUpToDate>
  <CharactersWithSpaces>319551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Cheng</dc:creator>
  <cp:keywords/>
  <dc:description/>
  <cp:lastModifiedBy>Li, Cheng</cp:lastModifiedBy>
  <cp:revision>3</cp:revision>
  <cp:lastPrinted>2019-10-16T17:50:00Z</cp:lastPrinted>
  <dcterms:created xsi:type="dcterms:W3CDTF">2020-01-31T22:24:00Z</dcterms:created>
  <dcterms:modified xsi:type="dcterms:W3CDTF">2020-01-31T22:25:00Z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bb7545c1-7578-3b58-861a-f12dea6e376c</vt:lpwstr>
  </property>
  <property fmtid="{D5CDD505-2E9C-101B-9397-08002B2CF9AE}" pid="4" name="Mendeley Citation Style_1">
    <vt:lpwstr>http://csl.mendeley.com/styles/93778131/CM-LWO</vt:lpwstr>
  </property>
  <property fmtid="{D5CDD505-2E9C-101B-9397-08002B2CF9AE}" pid="5" name="Mendeley Recent Style Id 0_1">
    <vt:lpwstr>http://csl.mendeley.com/styles/93778131/powgentalk</vt:lpwstr>
  </property>
  <property fmtid="{D5CDD505-2E9C-101B-9397-08002B2CF9AE}" pid="6" name="Mendeley Recent Style Name 0_1">
    <vt:lpwstr>American Chemical Society - Cheng Li</vt:lpwstr>
  </property>
  <property fmtid="{D5CDD505-2E9C-101B-9397-08002B2CF9AE}" pid="7" name="Mendeley Recent Style Id 1_1">
    <vt:lpwstr>http://csl.mendeley.com/styles/93778131/CM-LWO</vt:lpwstr>
  </property>
  <property fmtid="{D5CDD505-2E9C-101B-9397-08002B2CF9AE}" pid="8" name="Mendeley Recent Style Name 1_1">
    <vt:lpwstr>American Chemical Society - Cheng Li</vt:lpwstr>
  </property>
  <property fmtid="{D5CDD505-2E9C-101B-9397-08002B2CF9AE}" pid="9" name="Mendeley Recent Style Id 2_1">
    <vt:lpwstr>https://csl.mendeley.com/styles/93778131/powgentalk</vt:lpwstr>
  </property>
  <property fmtid="{D5CDD505-2E9C-101B-9397-08002B2CF9AE}" pid="10" name="Mendeley Recent Style Name 2_1">
    <vt:lpwstr>American Chemical Society - Cheng Li</vt:lpwstr>
  </property>
  <property fmtid="{D5CDD505-2E9C-101B-9397-08002B2CF9AE}" pid="11" name="Mendeley Recent Style Id 3_1">
    <vt:lpwstr>https://csl.mendeley.com/styles/93778131/american-chemical-society-LWO-CM</vt:lpwstr>
  </property>
  <property fmtid="{D5CDD505-2E9C-101B-9397-08002B2CF9AE}" pid="12" name="Mendeley Recent Style Name 3_1">
    <vt:lpwstr>American Chemical Society - Cheng Li</vt:lpwstr>
  </property>
  <property fmtid="{D5CDD505-2E9C-101B-9397-08002B2CF9AE}" pid="13" name="Mendeley Recent Style Id 4_1">
    <vt:lpwstr>http://csl.mendeley.com/styles/93778131/american-chemical-society-LWO-CM-2</vt:lpwstr>
  </property>
  <property fmtid="{D5CDD505-2E9C-101B-9397-08002B2CF9AE}" pid="14" name="Mendeley Recent Style Name 4_1">
    <vt:lpwstr>American Chemical Society - Cheng Li</vt:lpwstr>
  </property>
  <property fmtid="{D5CDD505-2E9C-101B-9397-08002B2CF9AE}" pid="15" name="Mendeley Recent Style Id 5_1">
    <vt:lpwstr>http://csl.mendeley.com/styles/93778131/american-chemical-society-LWO-CM</vt:lpwstr>
  </property>
  <property fmtid="{D5CDD505-2E9C-101B-9397-08002B2CF9AE}" pid="16" name="Mendeley Recent Style Name 5_1">
    <vt:lpwstr>American Chemical Society - Cheng Li</vt:lpwstr>
  </property>
  <property fmtid="{D5CDD505-2E9C-101B-9397-08002B2CF9AE}" pid="17" name="Mendeley Recent Style Id 6_1">
    <vt:lpwstr>http://csl.mendeley.com/styles/93778131/american-chemical-society</vt:lpwstr>
  </property>
  <property fmtid="{D5CDD505-2E9C-101B-9397-08002B2CF9AE}" pid="18" name="Mendeley Recent Style Name 6_1">
    <vt:lpwstr>American Chemical Society - Cheng Li</vt:lpwstr>
  </property>
  <property fmtid="{D5CDD505-2E9C-101B-9397-08002B2CF9AE}" pid="19" name="Mendeley Recent Style Id 7_1">
    <vt:lpwstr>http://www.zotero.org/styles/american-medical-association</vt:lpwstr>
  </property>
  <property fmtid="{D5CDD505-2E9C-101B-9397-08002B2CF9AE}" pid="20" name="Mendeley Recent Style Name 7_1">
    <vt:lpwstr>American Medical Association</vt:lpwstr>
  </property>
  <property fmtid="{D5CDD505-2E9C-101B-9397-08002B2CF9AE}" pid="21" name="Mendeley Recent Style Id 8_1">
    <vt:lpwstr>http://www.zotero.org/styles/apa</vt:lpwstr>
  </property>
  <property fmtid="{D5CDD505-2E9C-101B-9397-08002B2CF9AE}" pid="22" name="Mendeley Recent Style Name 8_1">
    <vt:lpwstr>American Psychological Association 6th edition</vt:lpwstr>
  </property>
  <property fmtid="{D5CDD505-2E9C-101B-9397-08002B2CF9AE}" pid="23" name="Mendeley Recent Style Id 9_1">
    <vt:lpwstr>http://www.zotero.org/styles/chemistry-of-materials</vt:lpwstr>
  </property>
  <property fmtid="{D5CDD505-2E9C-101B-9397-08002B2CF9AE}" pid="24" name="Mendeley Recent Style Name 9_1">
    <vt:lpwstr>Chemistry of Materials</vt:lpwstr>
  </property>
</Properties>
</file>