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A75" w:rsidRDefault="009F1A75" w:rsidP="009F1A75">
      <w:pPr>
        <w:pStyle w:val="Heading1"/>
        <w:ind w:firstLine="0"/>
      </w:pPr>
      <w:r w:rsidRPr="00312475">
        <w:t xml:space="preserve">Implications of </w:t>
      </w:r>
      <w:r>
        <w:t xml:space="preserve">Future </w:t>
      </w:r>
      <w:r w:rsidRPr="749D0678">
        <w:t xml:space="preserve">Natural Gas </w:t>
      </w:r>
      <w:r>
        <w:t xml:space="preserve">Demand </w:t>
      </w:r>
      <w:r w:rsidRPr="749D0678">
        <w:t xml:space="preserve">on </w:t>
      </w:r>
      <w:r>
        <w:t>Sugarcane</w:t>
      </w:r>
      <w:r w:rsidRPr="749D0678">
        <w:t xml:space="preserve"> Production, Land Use Change and Related Emissions</w:t>
      </w:r>
      <w:r>
        <w:t xml:space="preserve"> in Brazil</w:t>
      </w:r>
    </w:p>
    <w:p w:rsidR="009F1A75" w:rsidRPr="009F1A75" w:rsidRDefault="009F1A75" w:rsidP="009F1A75">
      <w:pPr>
        <w:ind w:firstLine="0"/>
        <w:jc w:val="center"/>
        <w:rPr>
          <w:bCs/>
          <w:sz w:val="26"/>
          <w:szCs w:val="26"/>
        </w:rPr>
      </w:pPr>
    </w:p>
    <w:p w:rsidR="009F1A75" w:rsidRPr="00312475" w:rsidRDefault="009F1A75" w:rsidP="009F1A75">
      <w:pPr>
        <w:ind w:firstLine="0"/>
        <w:jc w:val="center"/>
        <w:rPr>
          <w:b/>
          <w:i/>
          <w:vertAlign w:val="superscript"/>
          <w:lang w:val="es-MX"/>
        </w:rPr>
      </w:pPr>
      <w:r w:rsidRPr="00312475">
        <w:rPr>
          <w:b/>
          <w:i/>
          <w:lang w:val="es-MX"/>
        </w:rPr>
        <w:t>Ivan Garcia Kerdan</w:t>
      </w:r>
      <w:r>
        <w:rPr>
          <w:rStyle w:val="FootnoteReference"/>
          <w:b/>
          <w:i/>
        </w:rPr>
        <w:footnoteReference w:id="1"/>
      </w:r>
      <w:r w:rsidRPr="00312475">
        <w:rPr>
          <w:b/>
          <w:i/>
          <w:vertAlign w:val="superscript"/>
          <w:lang w:val="es-MX"/>
        </w:rPr>
        <w:t>1</w:t>
      </w:r>
      <w:r w:rsidRPr="00312475">
        <w:rPr>
          <w:b/>
          <w:i/>
          <w:lang w:val="es-MX"/>
        </w:rPr>
        <w:t>, Sara Giarola</w:t>
      </w:r>
      <w:r w:rsidRPr="00312475">
        <w:rPr>
          <w:b/>
          <w:i/>
          <w:vertAlign w:val="superscript"/>
          <w:lang w:val="es-MX"/>
        </w:rPr>
        <w:t>2</w:t>
      </w:r>
      <w:r>
        <w:rPr>
          <w:b/>
          <w:i/>
          <w:lang w:val="es-MX"/>
        </w:rPr>
        <w:t>, Adam Hawkes</w:t>
      </w:r>
      <w:r>
        <w:rPr>
          <w:b/>
          <w:i/>
          <w:vertAlign w:val="superscript"/>
          <w:lang w:val="es-MX"/>
        </w:rPr>
        <w:t>3</w:t>
      </w:r>
    </w:p>
    <w:p w:rsidR="009F1A75" w:rsidRDefault="009F1A75" w:rsidP="009F1A75">
      <w:pPr>
        <w:ind w:firstLine="0"/>
        <w:jc w:val="center"/>
        <w:rPr>
          <w:sz w:val="20"/>
          <w:szCs w:val="20"/>
        </w:rPr>
      </w:pPr>
      <w:r>
        <w:rPr>
          <w:sz w:val="20"/>
          <w:szCs w:val="20"/>
          <w:vertAlign w:val="superscript"/>
        </w:rPr>
        <w:t>1</w:t>
      </w:r>
      <w:r w:rsidRPr="00312475">
        <w:rPr>
          <w:sz w:val="20"/>
          <w:szCs w:val="20"/>
        </w:rPr>
        <w:t>Department of Chemical Engineering</w:t>
      </w:r>
      <w:r>
        <w:rPr>
          <w:sz w:val="20"/>
          <w:szCs w:val="20"/>
        </w:rPr>
        <w:t xml:space="preserve">, </w:t>
      </w:r>
      <w:r w:rsidRPr="00312475">
        <w:rPr>
          <w:sz w:val="20"/>
          <w:szCs w:val="20"/>
        </w:rPr>
        <w:t>Imperial College L</w:t>
      </w:r>
      <w:r>
        <w:rPr>
          <w:sz w:val="20"/>
          <w:szCs w:val="20"/>
        </w:rPr>
        <w:t xml:space="preserve">ondon, South Kensington Campus, </w:t>
      </w:r>
      <w:r w:rsidRPr="00312475">
        <w:rPr>
          <w:sz w:val="20"/>
          <w:szCs w:val="20"/>
        </w:rPr>
        <w:t>London, SW7 2AZ, United Kingdom</w:t>
      </w:r>
    </w:p>
    <w:p w:rsidR="009F1A75" w:rsidRDefault="009F1A75" w:rsidP="002F18C4">
      <w:pPr>
        <w:ind w:firstLine="0"/>
        <w:jc w:val="center"/>
        <w:rPr>
          <w:sz w:val="20"/>
          <w:szCs w:val="20"/>
        </w:rPr>
      </w:pPr>
      <w:r>
        <w:rPr>
          <w:sz w:val="20"/>
          <w:szCs w:val="20"/>
        </w:rPr>
        <w:t xml:space="preserve">e-mail: </w:t>
      </w:r>
      <w:hyperlink r:id="rId8" w:history="1">
        <w:r w:rsidRPr="00672793">
          <w:rPr>
            <w:rStyle w:val="Hyperlink"/>
            <w:sz w:val="20"/>
            <w:szCs w:val="20"/>
          </w:rPr>
          <w:t>i.garcia-kerdan@imperial.ac.uk</w:t>
        </w:r>
      </w:hyperlink>
    </w:p>
    <w:p w:rsidR="009F1A75" w:rsidRDefault="009F1A75" w:rsidP="009F1A75">
      <w:pPr>
        <w:ind w:firstLine="0"/>
        <w:jc w:val="center"/>
        <w:rPr>
          <w:sz w:val="20"/>
          <w:szCs w:val="20"/>
        </w:rPr>
      </w:pPr>
      <w:r>
        <w:rPr>
          <w:sz w:val="20"/>
          <w:szCs w:val="20"/>
          <w:vertAlign w:val="superscript"/>
        </w:rPr>
        <w:t>2</w:t>
      </w:r>
      <w:r w:rsidRPr="00312475">
        <w:rPr>
          <w:sz w:val="20"/>
          <w:szCs w:val="20"/>
        </w:rPr>
        <w:t>Department</w:t>
      </w:r>
      <w:r>
        <w:rPr>
          <w:sz w:val="20"/>
          <w:szCs w:val="20"/>
        </w:rPr>
        <w:t xml:space="preserve"> of Earth Science &amp;</w:t>
      </w:r>
      <w:r w:rsidRPr="00312475">
        <w:rPr>
          <w:sz w:val="20"/>
          <w:szCs w:val="20"/>
        </w:rPr>
        <w:t xml:space="preserve"> Engineering</w:t>
      </w:r>
      <w:r>
        <w:rPr>
          <w:sz w:val="20"/>
          <w:szCs w:val="20"/>
        </w:rPr>
        <w:t xml:space="preserve">, </w:t>
      </w:r>
      <w:r w:rsidRPr="00312475">
        <w:rPr>
          <w:sz w:val="20"/>
          <w:szCs w:val="20"/>
        </w:rPr>
        <w:t>Imperial College London, South Kens</w:t>
      </w:r>
      <w:r>
        <w:rPr>
          <w:sz w:val="20"/>
          <w:szCs w:val="20"/>
        </w:rPr>
        <w:t xml:space="preserve">ington Campus, London, SW7 2AZ, </w:t>
      </w:r>
      <w:r w:rsidRPr="00312475">
        <w:rPr>
          <w:sz w:val="20"/>
          <w:szCs w:val="20"/>
        </w:rPr>
        <w:t>United Kingdom</w:t>
      </w:r>
    </w:p>
    <w:p w:rsidR="009F1A75" w:rsidRPr="00B82192" w:rsidRDefault="009F1A75" w:rsidP="002F18C4">
      <w:pPr>
        <w:ind w:firstLine="0"/>
        <w:jc w:val="center"/>
        <w:rPr>
          <w:lang w:val="en-US"/>
        </w:rPr>
      </w:pPr>
      <w:r w:rsidRPr="00B82192">
        <w:rPr>
          <w:sz w:val="20"/>
          <w:szCs w:val="20"/>
          <w:lang w:val="en-US"/>
        </w:rPr>
        <w:t>e-mail:</w:t>
      </w:r>
      <w:r>
        <w:rPr>
          <w:sz w:val="20"/>
          <w:szCs w:val="20"/>
          <w:lang w:val="en-US"/>
        </w:rPr>
        <w:t xml:space="preserve"> </w:t>
      </w:r>
      <w:r>
        <w:rPr>
          <w:rStyle w:val="Hyperlink"/>
          <w:sz w:val="20"/>
          <w:szCs w:val="20"/>
          <w:lang w:val="en-US"/>
        </w:rPr>
        <w:t>s.giarola10@imperial.ac.uk</w:t>
      </w:r>
      <w:r w:rsidRPr="00B82192">
        <w:rPr>
          <w:sz w:val="20"/>
          <w:szCs w:val="20"/>
          <w:lang w:val="en-US"/>
        </w:rPr>
        <w:t xml:space="preserve"> </w:t>
      </w:r>
    </w:p>
    <w:p w:rsidR="009F1A75" w:rsidRDefault="009F1A75" w:rsidP="009F1A75">
      <w:pPr>
        <w:ind w:firstLine="0"/>
        <w:jc w:val="center"/>
        <w:rPr>
          <w:sz w:val="20"/>
          <w:szCs w:val="20"/>
        </w:rPr>
      </w:pPr>
      <w:r>
        <w:rPr>
          <w:sz w:val="20"/>
          <w:szCs w:val="20"/>
          <w:vertAlign w:val="superscript"/>
        </w:rPr>
        <w:t>3</w:t>
      </w:r>
      <w:r w:rsidRPr="00312475">
        <w:rPr>
          <w:sz w:val="20"/>
          <w:szCs w:val="20"/>
        </w:rPr>
        <w:t>Department of Chemical Engineering</w:t>
      </w:r>
      <w:r>
        <w:rPr>
          <w:sz w:val="20"/>
          <w:szCs w:val="20"/>
        </w:rPr>
        <w:t xml:space="preserve">, </w:t>
      </w:r>
      <w:r w:rsidRPr="00312475">
        <w:rPr>
          <w:sz w:val="20"/>
          <w:szCs w:val="20"/>
        </w:rPr>
        <w:t>Imperial College London, South Kensington Campus, London, SW7 2AZ, United Kingdom</w:t>
      </w:r>
    </w:p>
    <w:p w:rsidR="009F1A75" w:rsidRDefault="009F1A75" w:rsidP="009F1A75">
      <w:pPr>
        <w:ind w:firstLine="0"/>
        <w:jc w:val="center"/>
        <w:rPr>
          <w:rStyle w:val="Hyperlink"/>
          <w:sz w:val="20"/>
          <w:szCs w:val="20"/>
        </w:rPr>
      </w:pPr>
      <w:r>
        <w:rPr>
          <w:sz w:val="20"/>
          <w:szCs w:val="20"/>
        </w:rPr>
        <w:t xml:space="preserve">e-mail: </w:t>
      </w:r>
      <w:hyperlink r:id="rId9" w:history="1">
        <w:r w:rsidRPr="00672793">
          <w:rPr>
            <w:rStyle w:val="Hyperlink"/>
            <w:sz w:val="20"/>
            <w:szCs w:val="20"/>
          </w:rPr>
          <w:t>a.hawkes@imperial.ac.uk</w:t>
        </w:r>
      </w:hyperlink>
    </w:p>
    <w:p w:rsidR="009F1A75" w:rsidRPr="009F1A75" w:rsidRDefault="009F1A75" w:rsidP="009F1A75">
      <w:pPr>
        <w:ind w:firstLine="0"/>
        <w:jc w:val="center"/>
        <w:rPr>
          <w:rStyle w:val="Hyperlink"/>
          <w:sz w:val="20"/>
          <w:szCs w:val="20"/>
          <w:u w:val="none"/>
        </w:rPr>
      </w:pPr>
    </w:p>
    <w:p w:rsidR="009F1A75" w:rsidRPr="004F06B3" w:rsidRDefault="009F1A75" w:rsidP="009F1A75">
      <w:pPr>
        <w:shd w:val="clear" w:color="auto" w:fill="BFBFBF"/>
        <w:adjustRightInd w:val="0"/>
        <w:ind w:firstLine="0"/>
        <w:jc w:val="center"/>
        <w:rPr>
          <w:color w:val="000000"/>
          <w:sz w:val="18"/>
          <w:szCs w:val="18"/>
          <w:lang w:eastAsia="hr-HR"/>
        </w:rPr>
      </w:pPr>
      <w:r w:rsidRPr="00F67FB2">
        <w:rPr>
          <w:color w:val="000000"/>
          <w:sz w:val="18"/>
          <w:szCs w:val="18"/>
          <w:lang w:eastAsia="hr-HR"/>
        </w:rPr>
        <w:t xml:space="preserve">Cite as: </w:t>
      </w:r>
      <w:r>
        <w:rPr>
          <w:color w:val="000000"/>
          <w:sz w:val="18"/>
          <w:szCs w:val="18"/>
          <w:lang w:eastAsia="hr-HR"/>
        </w:rPr>
        <w:t>Garcia Kerdan</w:t>
      </w:r>
      <w:r w:rsidRPr="00F36D76">
        <w:rPr>
          <w:color w:val="000000"/>
          <w:sz w:val="18"/>
          <w:szCs w:val="18"/>
          <w:lang w:eastAsia="hr-HR"/>
        </w:rPr>
        <w:t>,</w:t>
      </w:r>
      <w:r>
        <w:rPr>
          <w:color w:val="000000"/>
          <w:sz w:val="18"/>
          <w:szCs w:val="18"/>
          <w:lang w:eastAsia="hr-HR"/>
        </w:rPr>
        <w:t xml:space="preserve"> I., Giarola</w:t>
      </w:r>
      <w:r w:rsidRPr="00F36D76">
        <w:rPr>
          <w:color w:val="000000"/>
          <w:sz w:val="18"/>
          <w:szCs w:val="18"/>
          <w:lang w:eastAsia="hr-HR"/>
        </w:rPr>
        <w:t>,</w:t>
      </w:r>
      <w:r>
        <w:rPr>
          <w:color w:val="000000"/>
          <w:sz w:val="18"/>
          <w:szCs w:val="18"/>
          <w:lang w:eastAsia="hr-HR"/>
        </w:rPr>
        <w:t xml:space="preserve"> S., Hawkes</w:t>
      </w:r>
      <w:r w:rsidRPr="004D79E6">
        <w:rPr>
          <w:color w:val="000000"/>
          <w:sz w:val="18"/>
          <w:szCs w:val="18"/>
          <w:lang w:eastAsia="hr-HR"/>
        </w:rPr>
        <w:t>,</w:t>
      </w:r>
      <w:r>
        <w:rPr>
          <w:color w:val="000000"/>
          <w:sz w:val="18"/>
          <w:szCs w:val="18"/>
          <w:lang w:eastAsia="hr-HR"/>
        </w:rPr>
        <w:t xml:space="preserve"> A., </w:t>
      </w:r>
      <w:r w:rsidRPr="00F36D76">
        <w:rPr>
          <w:color w:val="000000"/>
          <w:sz w:val="18"/>
          <w:szCs w:val="18"/>
          <w:lang w:eastAsia="hr-HR"/>
        </w:rPr>
        <w:t>Implications of Future Natural Gas Demand on Sugarcane Production, Land Use Change and Related Emissions in Brazil</w:t>
      </w:r>
      <w:r>
        <w:rPr>
          <w:color w:val="000000"/>
          <w:sz w:val="18"/>
          <w:szCs w:val="18"/>
          <w:lang w:eastAsia="hr-HR"/>
        </w:rPr>
        <w:t xml:space="preserve">, J. sustain. dev. energy water environ. syst., DOI: </w:t>
      </w:r>
      <w:r w:rsidRPr="001272E2">
        <w:rPr>
          <w:sz w:val="18"/>
          <w:szCs w:val="18"/>
          <w:lang w:eastAsia="hr-HR"/>
        </w:rPr>
        <w:t>http</w:t>
      </w:r>
      <w:r>
        <w:rPr>
          <w:sz w:val="18"/>
          <w:szCs w:val="18"/>
          <w:lang w:eastAsia="hr-HR"/>
        </w:rPr>
        <w:t>s://doi.org/10.13044/j.sdewes.</w:t>
      </w:r>
      <w:r w:rsidRPr="00F36D76">
        <w:rPr>
          <w:sz w:val="18"/>
          <w:szCs w:val="18"/>
          <w:lang w:eastAsia="hr-HR"/>
        </w:rPr>
        <w:t>d7.0300</w:t>
      </w:r>
    </w:p>
    <w:p w:rsidR="009F1A75" w:rsidRPr="009F1A75" w:rsidRDefault="009F1A75" w:rsidP="009F1A75">
      <w:pPr>
        <w:ind w:firstLine="0"/>
        <w:jc w:val="center"/>
        <w:rPr>
          <w:sz w:val="20"/>
          <w:lang w:val="en-US"/>
        </w:rPr>
      </w:pPr>
    </w:p>
    <w:p w:rsidR="009F1A75" w:rsidRPr="00260259" w:rsidRDefault="009F1A75" w:rsidP="00260259">
      <w:pPr>
        <w:pStyle w:val="Heading2"/>
      </w:pPr>
      <w:r w:rsidRPr="00260259">
        <w:t>ABSTRACT</w:t>
      </w:r>
    </w:p>
    <w:p w:rsidR="009F1A75" w:rsidRPr="00281BCD" w:rsidRDefault="009F1A75" w:rsidP="00281BCD">
      <w:pPr>
        <w:suppressAutoHyphens/>
        <w:ind w:left="567" w:right="848" w:firstLine="0"/>
        <w:rPr>
          <w:sz w:val="20"/>
          <w:szCs w:val="20"/>
          <w:lang w:eastAsia="ja-JP"/>
        </w:rPr>
      </w:pPr>
      <w:r>
        <w:rPr>
          <w:sz w:val="20"/>
          <w:szCs w:val="20"/>
          <w:lang w:eastAsia="ja-JP"/>
        </w:rPr>
        <w:t>Due to its low sha</w:t>
      </w:r>
      <w:r w:rsidR="00260259">
        <w:rPr>
          <w:sz w:val="20"/>
          <w:szCs w:val="20"/>
          <w:lang w:eastAsia="ja-JP"/>
        </w:rPr>
        <w:t xml:space="preserve">re of energy-related emissions, </w:t>
      </w:r>
      <w:r>
        <w:rPr>
          <w:sz w:val="20"/>
          <w:szCs w:val="20"/>
          <w:lang w:eastAsia="ja-JP"/>
        </w:rPr>
        <w:t>e</w:t>
      </w:r>
      <w:r w:rsidRPr="0044265F">
        <w:rPr>
          <w:sz w:val="20"/>
          <w:szCs w:val="20"/>
          <w:lang w:eastAsia="ja-JP"/>
        </w:rPr>
        <w:t xml:space="preserve">nergy systems models have overlooked the implications of </w:t>
      </w:r>
      <w:r>
        <w:rPr>
          <w:sz w:val="20"/>
          <w:szCs w:val="20"/>
          <w:lang w:eastAsia="ja-JP"/>
        </w:rPr>
        <w:t>technological transition in the agricultural sector and its interact</w:t>
      </w:r>
      <w:r w:rsidR="00260259">
        <w:rPr>
          <w:sz w:val="20"/>
          <w:szCs w:val="20"/>
          <w:lang w:eastAsia="ja-JP"/>
        </w:rPr>
        <w:t xml:space="preserve">ion in the wider energy system. </w:t>
      </w:r>
      <w:r w:rsidRPr="0044265F">
        <w:rPr>
          <w:sz w:val="20"/>
          <w:szCs w:val="20"/>
          <w:lang w:eastAsia="ja-JP"/>
        </w:rPr>
        <w:t xml:space="preserve">This </w:t>
      </w:r>
      <w:r>
        <w:rPr>
          <w:sz w:val="20"/>
          <w:szCs w:val="20"/>
          <w:lang w:eastAsia="ja-JP"/>
        </w:rPr>
        <w:t>paper explores the role of agriculture intensification by using a novel agricultural-based energy systems model. The aim is to explore the future role of Brazil’s agriculture and its dynamics with other energy sectors under t</w:t>
      </w:r>
      <w:r w:rsidR="00260259">
        <w:rPr>
          <w:sz w:val="20"/>
          <w:szCs w:val="20"/>
          <w:lang w:eastAsia="ja-JP"/>
        </w:rPr>
        <w:t xml:space="preserve">wo carbon constraint scenarios. </w:t>
      </w:r>
      <w:r>
        <w:rPr>
          <w:sz w:val="20"/>
          <w:szCs w:val="20"/>
          <w:lang w:eastAsia="ja-JP"/>
        </w:rPr>
        <w:t>The main focus has been to study r</w:t>
      </w:r>
      <w:r w:rsidRPr="0044265F">
        <w:rPr>
          <w:sz w:val="20"/>
          <w:szCs w:val="20"/>
          <w:lang w:eastAsia="ja-JP"/>
        </w:rPr>
        <w:t xml:space="preserve">esource competition between </w:t>
      </w:r>
      <w:r>
        <w:rPr>
          <w:sz w:val="20"/>
          <w:szCs w:val="20"/>
          <w:lang w:eastAsia="ja-JP"/>
        </w:rPr>
        <w:t>sugarcane</w:t>
      </w:r>
      <w:r w:rsidRPr="0044265F">
        <w:rPr>
          <w:sz w:val="20"/>
          <w:szCs w:val="20"/>
          <w:lang w:eastAsia="ja-JP"/>
        </w:rPr>
        <w:t xml:space="preserve"> and </w:t>
      </w:r>
      <w:r w:rsidR="00260259">
        <w:rPr>
          <w:sz w:val="20"/>
          <w:szCs w:val="20"/>
          <w:lang w:eastAsia="ja-JP"/>
        </w:rPr>
        <w:t xml:space="preserve">natural gas at a country level. </w:t>
      </w:r>
      <w:r w:rsidRPr="0044265F">
        <w:rPr>
          <w:sz w:val="20"/>
          <w:szCs w:val="20"/>
          <w:lang w:eastAsia="ja-JP"/>
        </w:rPr>
        <w:t>Results show that</w:t>
      </w:r>
      <w:r>
        <w:rPr>
          <w:sz w:val="20"/>
          <w:szCs w:val="20"/>
          <w:lang w:eastAsia="ja-JP"/>
        </w:rPr>
        <w:t xml:space="preserve"> </w:t>
      </w:r>
      <w:r w:rsidRPr="0044265F">
        <w:rPr>
          <w:sz w:val="20"/>
          <w:szCs w:val="20"/>
          <w:lang w:eastAsia="ja-JP"/>
        </w:rPr>
        <w:t xml:space="preserve">in order to meet the future food and bioenergy demand, the agricultural sector </w:t>
      </w:r>
      <w:r>
        <w:rPr>
          <w:sz w:val="20"/>
          <w:szCs w:val="20"/>
          <w:lang w:eastAsia="ja-JP"/>
        </w:rPr>
        <w:t>wo</w:t>
      </w:r>
      <w:r w:rsidR="00260259">
        <w:rPr>
          <w:sz w:val="20"/>
          <w:szCs w:val="20"/>
          <w:lang w:eastAsia="ja-JP"/>
        </w:rPr>
        <w:t xml:space="preserve">uld start intensifying by 2030, </w:t>
      </w:r>
      <w:r>
        <w:rPr>
          <w:sz w:val="20"/>
          <w:szCs w:val="20"/>
          <w:lang w:eastAsia="ja-JP"/>
        </w:rPr>
        <w:t>improving</w:t>
      </w:r>
      <w:r w:rsidRPr="0044265F">
        <w:rPr>
          <w:sz w:val="20"/>
          <w:szCs w:val="20"/>
          <w:lang w:eastAsia="ja-JP"/>
        </w:rPr>
        <w:t xml:space="preserve"> productivity at the expen</w:t>
      </w:r>
      <w:r w:rsidR="00B651A1">
        <w:rPr>
          <w:sz w:val="20"/>
          <w:szCs w:val="20"/>
          <w:lang w:eastAsia="ja-JP"/>
        </w:rPr>
        <w:t>se of higher energy demand,</w:t>
      </w:r>
      <w:r>
        <w:rPr>
          <w:sz w:val="20"/>
          <w:szCs w:val="20"/>
          <w:lang w:eastAsia="ja-JP"/>
        </w:rPr>
        <w:t xml:space="preserve"> however, </w:t>
      </w:r>
      <w:r w:rsidRPr="0044265F">
        <w:rPr>
          <w:sz w:val="20"/>
          <w:szCs w:val="20"/>
          <w:lang w:eastAsia="ja-JP"/>
        </w:rPr>
        <w:t>land-related emissions</w:t>
      </w:r>
      <w:r>
        <w:rPr>
          <w:sz w:val="20"/>
          <w:szCs w:val="20"/>
          <w:lang w:eastAsia="ja-JP"/>
        </w:rPr>
        <w:t xml:space="preserve"> would be minimised due to freed-up</w:t>
      </w:r>
      <w:r w:rsidRPr="0044265F">
        <w:rPr>
          <w:sz w:val="20"/>
          <w:szCs w:val="20"/>
          <w:lang w:eastAsia="ja-JP"/>
        </w:rPr>
        <w:t xml:space="preserve"> pasture land</w:t>
      </w:r>
      <w:r>
        <w:rPr>
          <w:sz w:val="20"/>
          <w:szCs w:val="20"/>
          <w:lang w:eastAsia="ja-JP"/>
        </w:rPr>
        <w:t xml:space="preserve"> and reduction in deforestation rates.</w:t>
      </w:r>
      <w:r w:rsidR="00260259">
        <w:t xml:space="preserve"> </w:t>
      </w:r>
      <w:r w:rsidRPr="00ED1CAC">
        <w:rPr>
          <w:sz w:val="20"/>
          <w:szCs w:val="20"/>
          <w:lang w:eastAsia="ja-JP"/>
        </w:rPr>
        <w:t>Additionally,</w:t>
      </w:r>
      <w:r>
        <w:t xml:space="preserve"> </w:t>
      </w:r>
      <w:r>
        <w:rPr>
          <w:sz w:val="20"/>
          <w:szCs w:val="20"/>
          <w:lang w:eastAsia="ja-JP"/>
        </w:rPr>
        <w:t>t</w:t>
      </w:r>
      <w:r w:rsidRPr="007E02E4">
        <w:rPr>
          <w:sz w:val="20"/>
          <w:szCs w:val="20"/>
          <w:lang w:eastAsia="ja-JP"/>
        </w:rPr>
        <w:t xml:space="preserve">he development of balanced bioenergy and </w:t>
      </w:r>
      <w:r>
        <w:rPr>
          <w:sz w:val="20"/>
          <w:szCs w:val="20"/>
          <w:lang w:eastAsia="ja-JP"/>
        </w:rPr>
        <w:t xml:space="preserve">natural </w:t>
      </w:r>
      <w:r w:rsidRPr="007E02E4">
        <w:rPr>
          <w:sz w:val="20"/>
          <w:szCs w:val="20"/>
          <w:lang w:eastAsia="ja-JP"/>
        </w:rPr>
        <w:t>gas ma</w:t>
      </w:r>
      <w:r>
        <w:rPr>
          <w:sz w:val="20"/>
          <w:szCs w:val="20"/>
          <w:lang w:eastAsia="ja-JP"/>
        </w:rPr>
        <w:t>rkets may help limit the sugarcane</w:t>
      </w:r>
      <w:r w:rsidRPr="007E02E4">
        <w:rPr>
          <w:sz w:val="20"/>
          <w:szCs w:val="20"/>
          <w:lang w:eastAsia="ja-JP"/>
        </w:rPr>
        <w:t xml:space="preserve"> exp</w:t>
      </w:r>
      <w:r>
        <w:rPr>
          <w:sz w:val="20"/>
          <w:szCs w:val="20"/>
          <w:lang w:eastAsia="ja-JP"/>
        </w:rPr>
        <w:t>ansion rates, preserving up to 12.6</w:t>
      </w:r>
      <w:r w:rsidRPr="007E02E4">
        <w:rPr>
          <w:sz w:val="20"/>
          <w:szCs w:val="20"/>
          <w:lang w:eastAsia="ja-JP"/>
        </w:rPr>
        <w:t xml:space="preserve"> </w:t>
      </w:r>
      <w:r>
        <w:rPr>
          <w:sz w:val="20"/>
          <w:szCs w:val="20"/>
          <w:lang w:eastAsia="ja-JP"/>
        </w:rPr>
        <w:t>million hectares</w:t>
      </w:r>
      <w:r w:rsidRPr="007E02E4">
        <w:rPr>
          <w:sz w:val="20"/>
          <w:szCs w:val="20"/>
          <w:lang w:eastAsia="ja-JP"/>
        </w:rPr>
        <w:t xml:space="preserve"> of forest land, with significant emissions benefits.</w:t>
      </w:r>
    </w:p>
    <w:p w:rsidR="009F1A75" w:rsidRPr="00260259" w:rsidRDefault="009F1A75" w:rsidP="00260259">
      <w:pPr>
        <w:pStyle w:val="Heading2"/>
      </w:pPr>
      <w:r w:rsidRPr="00260259">
        <w:t>KEYWORDS</w:t>
      </w:r>
    </w:p>
    <w:p w:rsidR="009F1A75" w:rsidRPr="009F1A75" w:rsidRDefault="009F1A75" w:rsidP="009F1A75">
      <w:pPr>
        <w:ind w:left="567" w:firstLine="0"/>
        <w:jc w:val="left"/>
        <w:rPr>
          <w:bCs/>
          <w:sz w:val="22"/>
          <w:lang w:eastAsia="ja-JP"/>
        </w:rPr>
      </w:pPr>
      <w:r>
        <w:rPr>
          <w:i/>
          <w:sz w:val="22"/>
          <w:lang w:eastAsia="ja-JP"/>
        </w:rPr>
        <w:t xml:space="preserve">Energy system model, Agriculture, Land-use, Projections, Natural gas, Bioenergy, </w:t>
      </w:r>
      <w:r w:rsidRPr="009F1A75">
        <w:rPr>
          <w:i/>
          <w:sz w:val="22"/>
          <w:lang w:eastAsia="ja-JP"/>
        </w:rPr>
        <w:t>Brazil</w:t>
      </w:r>
      <w:r w:rsidRPr="009F1A75">
        <w:rPr>
          <w:bCs/>
          <w:sz w:val="22"/>
          <w:lang w:eastAsia="ja-JP"/>
        </w:rPr>
        <w:t>.</w:t>
      </w:r>
    </w:p>
    <w:p w:rsidR="009F1A75" w:rsidRPr="00260259" w:rsidRDefault="009F1A75" w:rsidP="00260259">
      <w:pPr>
        <w:pStyle w:val="Heading2"/>
      </w:pPr>
      <w:r w:rsidRPr="00260259">
        <w:t>INTRODUCTION</w:t>
      </w:r>
    </w:p>
    <w:p w:rsidR="009F1A75" w:rsidRDefault="00260259" w:rsidP="00260259">
      <w:r>
        <w:rPr>
          <w:shd w:val="clear" w:color="auto" w:fill="FFFFFF"/>
        </w:rPr>
        <w:t xml:space="preserve">At the COP21 conference, </w:t>
      </w:r>
      <w:r w:rsidR="009F1A75">
        <w:rPr>
          <w:shd w:val="clear" w:color="auto" w:fill="FFFFFF"/>
        </w:rPr>
        <w:t>195 countries have agreed to limit global warming to well below 2</w:t>
      </w:r>
      <w:r w:rsidR="00B651A1">
        <w:rPr>
          <w:shd w:val="clear" w:color="auto" w:fill="FFFFFF"/>
        </w:rPr>
        <w:t xml:space="preserve"> </w:t>
      </w:r>
      <w:r w:rsidR="009F1A75">
        <w:rPr>
          <w:shd w:val="clear" w:color="auto" w:fill="FFFFFF"/>
        </w:rPr>
        <w:t>°C</w:t>
      </w:r>
      <w:r>
        <w:t xml:space="preserve"> [1]</w:t>
      </w:r>
      <w:r>
        <w:rPr>
          <w:shd w:val="clear" w:color="auto" w:fill="FFFFFF"/>
        </w:rPr>
        <w:t xml:space="preserve">. </w:t>
      </w:r>
      <w:r w:rsidR="009F1A75">
        <w:rPr>
          <w:shd w:val="clear" w:color="auto" w:fill="FFFFFF"/>
        </w:rPr>
        <w:t>Currently, there is a 50% chance that the remaining budget for an increase of 1.5</w:t>
      </w:r>
      <w:r w:rsidR="00B651A1">
        <w:rPr>
          <w:shd w:val="clear" w:color="auto" w:fill="FFFFFF"/>
        </w:rPr>
        <w:t xml:space="preserve"> </w:t>
      </w:r>
      <w:r w:rsidR="009F1A75">
        <w:rPr>
          <w:shd w:val="clear" w:color="auto" w:fill="FFFFFF"/>
        </w:rPr>
        <w:t>°C (~</w:t>
      </w:r>
      <w:r w:rsidR="00B651A1">
        <w:rPr>
          <w:shd w:val="clear" w:color="auto" w:fill="FFFFFF"/>
        </w:rPr>
        <w:t xml:space="preserve"> </w:t>
      </w:r>
      <w:r w:rsidR="009F1A75">
        <w:rPr>
          <w:shd w:val="clear" w:color="auto" w:fill="FFFFFF"/>
        </w:rPr>
        <w:t>36 Gt</w:t>
      </w:r>
      <w:r w:rsidR="00B651A1">
        <w:rPr>
          <w:shd w:val="clear" w:color="auto" w:fill="FFFFFF"/>
        </w:rPr>
        <w:t xml:space="preserve"> </w:t>
      </w:r>
      <w:r w:rsidR="009F1A75">
        <w:rPr>
          <w:shd w:val="clear" w:color="auto" w:fill="FFFFFF"/>
        </w:rPr>
        <w:t>CO</w:t>
      </w:r>
      <w:r w:rsidR="009F1A75">
        <w:rPr>
          <w:shd w:val="clear" w:color="auto" w:fill="FFFFFF"/>
          <w:vertAlign w:val="subscript"/>
        </w:rPr>
        <w:t>2</w:t>
      </w:r>
      <w:r>
        <w:rPr>
          <w:shd w:val="clear" w:color="auto" w:fill="FFFFFF"/>
        </w:rPr>
        <w:t xml:space="preserve">) </w:t>
      </w:r>
      <w:r w:rsidR="009F1A75">
        <w:rPr>
          <w:shd w:val="clear" w:color="auto" w:fill="FFFFFF"/>
        </w:rPr>
        <w:t>will be depleted</w:t>
      </w:r>
      <w:r w:rsidR="00B651A1">
        <w:rPr>
          <w:shd w:val="clear" w:color="auto" w:fill="FFFFFF"/>
        </w:rPr>
        <w:t xml:space="preserve"> before the end of next decade, </w:t>
      </w:r>
      <w:r w:rsidR="009F1A75">
        <w:rPr>
          <w:shd w:val="clear" w:color="auto" w:fill="FFFFFF"/>
        </w:rPr>
        <w:t xml:space="preserve">thus, cross-sectoral low-carbon </w:t>
      </w:r>
      <w:r w:rsidR="009F1A75">
        <w:t xml:space="preserve">strategies need to be implemented as soon as possible. </w:t>
      </w:r>
    </w:p>
    <w:p w:rsidR="00260259" w:rsidRDefault="00B651A1" w:rsidP="00DF23A1">
      <w:r>
        <w:rPr>
          <w:shd w:val="clear" w:color="auto" w:fill="FFFFFF"/>
        </w:rPr>
        <w:t>The Agriculture, Forestry and Land U</w:t>
      </w:r>
      <w:r w:rsidR="009F1A75">
        <w:rPr>
          <w:shd w:val="clear" w:color="auto" w:fill="FFFFFF"/>
        </w:rPr>
        <w:t>se (</w:t>
      </w:r>
      <w:r w:rsidR="009F1A75">
        <w:t>AFOLU) is responsible for the demand of</w:t>
      </w:r>
      <w:r w:rsidR="009F1A75" w:rsidRPr="00FE4374">
        <w:t xml:space="preserve"> </w:t>
      </w:r>
      <w:r w:rsidR="009F1A75">
        <w:rPr>
          <w:rStyle w:val="apple-converted-space"/>
        </w:rPr>
        <w:t>8.2 EJ year</w:t>
      </w:r>
      <w:r>
        <w:rPr>
          <w:rStyle w:val="apple-converted-space"/>
          <w:vertAlign w:val="superscript"/>
        </w:rPr>
        <w:t>−</w:t>
      </w:r>
      <w:r w:rsidR="009F1A75" w:rsidRPr="00272287">
        <w:rPr>
          <w:rStyle w:val="apple-converted-space"/>
          <w:vertAlign w:val="superscript"/>
        </w:rPr>
        <w:t>1</w:t>
      </w:r>
      <w:r w:rsidR="009F1A75">
        <w:rPr>
          <w:rStyle w:val="apple-converted-space"/>
        </w:rPr>
        <w:t xml:space="preserve"> of energy</w:t>
      </w:r>
      <w:r w:rsidR="009F1A75">
        <w:t>,</w:t>
      </w:r>
      <w:r w:rsidR="00260259">
        <w:t xml:space="preserve"> </w:t>
      </w:r>
      <w:r w:rsidR="009F1A75">
        <w:rPr>
          <w:rStyle w:val="apple-converted-space"/>
        </w:rPr>
        <w:t>with diesel (4.1 EJ year</w:t>
      </w:r>
      <w:r>
        <w:rPr>
          <w:rStyle w:val="apple-converted-space"/>
          <w:vertAlign w:val="superscript"/>
        </w:rPr>
        <w:t>−</w:t>
      </w:r>
      <w:r w:rsidR="009F1A75" w:rsidRPr="00272287">
        <w:rPr>
          <w:rStyle w:val="apple-converted-space"/>
          <w:vertAlign w:val="superscript"/>
        </w:rPr>
        <w:t>1</w:t>
      </w:r>
      <w:r w:rsidR="009F1A75">
        <w:rPr>
          <w:rStyle w:val="apple-converted-space"/>
        </w:rPr>
        <w:t>) and electricity (2.0 EJ year</w:t>
      </w:r>
      <w:r>
        <w:rPr>
          <w:rStyle w:val="apple-converted-space"/>
          <w:vertAlign w:val="superscript"/>
        </w:rPr>
        <w:t>−</w:t>
      </w:r>
      <w:r w:rsidR="009F1A75" w:rsidRPr="00272287">
        <w:rPr>
          <w:rStyle w:val="apple-converted-space"/>
          <w:vertAlign w:val="superscript"/>
        </w:rPr>
        <w:t>1</w:t>
      </w:r>
      <w:r w:rsidR="009F1A75">
        <w:rPr>
          <w:rStyle w:val="apple-converted-space"/>
        </w:rPr>
        <w:t>) as the main energy sources</w:t>
      </w:r>
      <w:r w:rsidR="00260259">
        <w:t xml:space="preserve"> [2]</w:t>
      </w:r>
      <w:r w:rsidR="009F1A75">
        <w:rPr>
          <w:rStyle w:val="apple-converted-space"/>
        </w:rPr>
        <w:t>.</w:t>
      </w:r>
      <w:r w:rsidR="00260259">
        <w:t xml:space="preserve"> </w:t>
      </w:r>
      <w:r w:rsidR="009F1A75">
        <w:t xml:space="preserve">However, if the whole supply chain is considered plus </w:t>
      </w:r>
      <w:proofErr w:type="gramStart"/>
      <w:r w:rsidR="009F1A75">
        <w:t>the</w:t>
      </w:r>
      <w:r w:rsidR="00DF23A1">
        <w:t xml:space="preserve">  </w:t>
      </w:r>
      <w:r w:rsidR="009F1A75">
        <w:t>effects</w:t>
      </w:r>
      <w:proofErr w:type="gramEnd"/>
      <w:r w:rsidR="009F1A75">
        <w:t xml:space="preserve"> of agricultural practices and land use, the AFOLU sector is directly respo</w:t>
      </w:r>
      <w:r w:rsidR="00260259">
        <w:t>nsible of 24% of anthropogenic Greenhouse G</w:t>
      </w:r>
      <w:r w:rsidR="009F1A75">
        <w:t>as (GHG) emissions</w:t>
      </w:r>
      <w:r w:rsidR="00260259">
        <w:t xml:space="preserve"> [3]. </w:t>
      </w:r>
      <w:r w:rsidR="009F1A75">
        <w:t>Thus, t</w:t>
      </w:r>
      <w:r w:rsidR="009F1A75" w:rsidRPr="00EF422C">
        <w:t xml:space="preserve">he introduction of modern technology and practices </w:t>
      </w:r>
      <w:r w:rsidR="009F1A75">
        <w:t>is central to limit the sector’s role in climate change</w:t>
      </w:r>
      <w:r w:rsidR="00260259">
        <w:t xml:space="preserve"> [4]</w:t>
      </w:r>
      <w:r w:rsidR="009F1A75">
        <w:t>. With the aim of limiting an increase in temperature below 1.5 °C, the AFOLU sector could play an important role in achieving this target, mainly by</w:t>
      </w:r>
      <w:r w:rsidR="00260259">
        <w:t>:</w:t>
      </w:r>
    </w:p>
    <w:p w:rsidR="00260259" w:rsidRPr="009B434B" w:rsidRDefault="00260259" w:rsidP="006F2990">
      <w:pPr>
        <w:pStyle w:val="ListParagraph"/>
        <w:numPr>
          <w:ilvl w:val="0"/>
          <w:numId w:val="16"/>
        </w:numPr>
        <w:spacing w:after="0" w:line="240" w:lineRule="auto"/>
        <w:rPr>
          <w:rFonts w:ascii="Times New Roman" w:hAnsi="Times New Roman"/>
          <w:sz w:val="24"/>
          <w:lang w:val="en-GB"/>
        </w:rPr>
      </w:pPr>
      <w:r w:rsidRPr="009B434B">
        <w:rPr>
          <w:rFonts w:ascii="Times New Roman" w:hAnsi="Times New Roman"/>
          <w:sz w:val="24"/>
          <w:lang w:val="en-GB"/>
        </w:rPr>
        <w:lastRenderedPageBreak/>
        <w:t>R</w:t>
      </w:r>
      <w:r w:rsidR="009F1A75" w:rsidRPr="009B434B">
        <w:rPr>
          <w:rFonts w:ascii="Times New Roman" w:hAnsi="Times New Roman"/>
          <w:sz w:val="24"/>
          <w:lang w:val="en-GB"/>
        </w:rPr>
        <w:t xml:space="preserve">educing </w:t>
      </w:r>
      <w:r w:rsidRPr="009B434B">
        <w:rPr>
          <w:rFonts w:ascii="Times New Roman" w:hAnsi="Times New Roman"/>
          <w:sz w:val="24"/>
          <w:lang w:val="en-GB"/>
        </w:rPr>
        <w:t>methane (</w:t>
      </w:r>
      <w:r w:rsidR="009F1A75" w:rsidRPr="009B434B">
        <w:rPr>
          <w:rFonts w:ascii="Times New Roman" w:hAnsi="Times New Roman"/>
          <w:sz w:val="24"/>
          <w:lang w:val="en-GB"/>
        </w:rPr>
        <w:t>CH</w:t>
      </w:r>
      <w:r w:rsidR="009F1A75" w:rsidRPr="009B434B">
        <w:rPr>
          <w:rFonts w:ascii="Times New Roman" w:hAnsi="Times New Roman"/>
          <w:sz w:val="24"/>
          <w:vertAlign w:val="subscript"/>
          <w:lang w:val="en-GB"/>
        </w:rPr>
        <w:t>4</w:t>
      </w:r>
      <w:r w:rsidRPr="009B434B">
        <w:rPr>
          <w:rFonts w:ascii="Times New Roman" w:hAnsi="Times New Roman"/>
          <w:sz w:val="24"/>
          <w:lang w:val="en-GB"/>
        </w:rPr>
        <w:t>)</w:t>
      </w:r>
      <w:r w:rsidR="009F1A75" w:rsidRPr="009B434B">
        <w:rPr>
          <w:rFonts w:ascii="Times New Roman" w:hAnsi="Times New Roman"/>
          <w:sz w:val="24"/>
          <w:lang w:val="en-GB"/>
        </w:rPr>
        <w:t xml:space="preserve"> and </w:t>
      </w:r>
      <w:r w:rsidRPr="009B434B">
        <w:rPr>
          <w:rFonts w:ascii="Times New Roman" w:hAnsi="Times New Roman"/>
          <w:sz w:val="24"/>
          <w:lang w:val="en-GB"/>
        </w:rPr>
        <w:t>nitrous oxide (</w:t>
      </w:r>
      <w:r w:rsidR="009F1A75" w:rsidRPr="009B434B">
        <w:rPr>
          <w:rFonts w:ascii="Times New Roman" w:hAnsi="Times New Roman"/>
          <w:sz w:val="24"/>
          <w:lang w:val="en-GB"/>
        </w:rPr>
        <w:t>N</w:t>
      </w:r>
      <w:r w:rsidR="009F1A75" w:rsidRPr="009B434B">
        <w:rPr>
          <w:rFonts w:ascii="Times New Roman" w:hAnsi="Times New Roman"/>
          <w:sz w:val="24"/>
          <w:vertAlign w:val="subscript"/>
          <w:lang w:val="en-GB"/>
        </w:rPr>
        <w:t>2</w:t>
      </w:r>
      <w:r w:rsidRPr="009B434B">
        <w:rPr>
          <w:rFonts w:ascii="Times New Roman" w:hAnsi="Times New Roman"/>
          <w:sz w:val="24"/>
          <w:lang w:val="en-GB"/>
        </w:rPr>
        <w:t>O) from agricultural practices;</w:t>
      </w:r>
      <w:r w:rsidR="009F1A75" w:rsidRPr="009B434B">
        <w:rPr>
          <w:rFonts w:ascii="Times New Roman" w:hAnsi="Times New Roman"/>
          <w:sz w:val="24"/>
          <w:lang w:val="en-GB"/>
        </w:rPr>
        <w:t xml:space="preserve"> </w:t>
      </w:r>
    </w:p>
    <w:p w:rsidR="00260259" w:rsidRPr="009B434B" w:rsidRDefault="00260259" w:rsidP="006F2990">
      <w:pPr>
        <w:pStyle w:val="ListParagraph"/>
        <w:numPr>
          <w:ilvl w:val="0"/>
          <w:numId w:val="16"/>
        </w:numPr>
        <w:spacing w:after="0" w:line="240" w:lineRule="auto"/>
        <w:ind w:left="714" w:hanging="357"/>
        <w:rPr>
          <w:rFonts w:ascii="Times New Roman" w:hAnsi="Times New Roman"/>
          <w:sz w:val="24"/>
          <w:lang w:val="en-GB"/>
        </w:rPr>
      </w:pPr>
      <w:r w:rsidRPr="009B434B">
        <w:rPr>
          <w:rFonts w:ascii="Times New Roman" w:hAnsi="Times New Roman"/>
          <w:sz w:val="24"/>
          <w:lang w:val="en-GB"/>
        </w:rPr>
        <w:t>R</w:t>
      </w:r>
      <w:r w:rsidR="009F1A75" w:rsidRPr="009B434B">
        <w:rPr>
          <w:rFonts w:ascii="Times New Roman" w:hAnsi="Times New Roman"/>
          <w:sz w:val="24"/>
          <w:lang w:val="en-GB"/>
        </w:rPr>
        <w:t xml:space="preserve">educing </w:t>
      </w:r>
      <w:r w:rsidR="006F2990" w:rsidRPr="009B434B">
        <w:rPr>
          <w:rFonts w:ascii="Times New Roman" w:hAnsi="Times New Roman"/>
          <w:sz w:val="24"/>
          <w:lang w:val="en-GB"/>
        </w:rPr>
        <w:t>carbo</w:t>
      </w:r>
      <w:r w:rsidRPr="009B434B">
        <w:rPr>
          <w:rFonts w:ascii="Times New Roman" w:hAnsi="Times New Roman"/>
          <w:sz w:val="24"/>
          <w:lang w:val="en-GB"/>
        </w:rPr>
        <w:t>n dioxide (</w:t>
      </w:r>
      <w:r w:rsidR="009F1A75" w:rsidRPr="009B434B">
        <w:rPr>
          <w:rFonts w:ascii="Times New Roman" w:hAnsi="Times New Roman"/>
          <w:sz w:val="24"/>
          <w:lang w:val="en-GB"/>
        </w:rPr>
        <w:t>CO</w:t>
      </w:r>
      <w:r w:rsidR="009F1A75" w:rsidRPr="009B434B">
        <w:rPr>
          <w:rFonts w:ascii="Times New Roman" w:hAnsi="Times New Roman"/>
          <w:sz w:val="24"/>
          <w:vertAlign w:val="subscript"/>
          <w:lang w:val="en-GB"/>
        </w:rPr>
        <w:t>2</w:t>
      </w:r>
      <w:r w:rsidRPr="009B434B">
        <w:rPr>
          <w:rFonts w:ascii="Times New Roman" w:hAnsi="Times New Roman"/>
          <w:sz w:val="24"/>
          <w:lang w:val="en-GB"/>
        </w:rPr>
        <w:t>)</w:t>
      </w:r>
      <w:r w:rsidR="009F1A75" w:rsidRPr="009B434B">
        <w:rPr>
          <w:rFonts w:ascii="Times New Roman" w:hAnsi="Times New Roman"/>
          <w:sz w:val="24"/>
          <w:lang w:val="en-GB"/>
        </w:rPr>
        <w:t xml:space="preserve"> from direct ener</w:t>
      </w:r>
      <w:r w:rsidRPr="009B434B">
        <w:rPr>
          <w:rFonts w:ascii="Times New Roman" w:hAnsi="Times New Roman"/>
          <w:sz w:val="24"/>
          <w:lang w:val="en-GB"/>
        </w:rPr>
        <w:t>gy use;</w:t>
      </w:r>
      <w:r w:rsidR="009F1A75" w:rsidRPr="009B434B">
        <w:rPr>
          <w:rFonts w:ascii="Times New Roman" w:hAnsi="Times New Roman"/>
          <w:sz w:val="24"/>
          <w:lang w:val="en-GB"/>
        </w:rPr>
        <w:t xml:space="preserve"> </w:t>
      </w:r>
    </w:p>
    <w:p w:rsidR="00260259" w:rsidRPr="00260259" w:rsidRDefault="00260259" w:rsidP="006F2990">
      <w:pPr>
        <w:pStyle w:val="ListParagraph"/>
        <w:numPr>
          <w:ilvl w:val="0"/>
          <w:numId w:val="16"/>
        </w:numPr>
        <w:spacing w:after="0" w:line="240" w:lineRule="auto"/>
        <w:ind w:left="714" w:hanging="357"/>
        <w:rPr>
          <w:rFonts w:ascii="Times New Roman" w:hAnsi="Times New Roman"/>
          <w:sz w:val="24"/>
        </w:rPr>
      </w:pPr>
      <w:proofErr w:type="spellStart"/>
      <w:r>
        <w:rPr>
          <w:rFonts w:ascii="Times New Roman" w:hAnsi="Times New Roman"/>
          <w:sz w:val="24"/>
        </w:rPr>
        <w:t>Limiting</w:t>
      </w:r>
      <w:proofErr w:type="spellEnd"/>
      <w:r>
        <w:rPr>
          <w:rFonts w:ascii="Times New Roman" w:hAnsi="Times New Roman"/>
          <w:sz w:val="24"/>
        </w:rPr>
        <w:t xml:space="preserve"> </w:t>
      </w:r>
      <w:proofErr w:type="spellStart"/>
      <w:r>
        <w:rPr>
          <w:rFonts w:ascii="Times New Roman" w:hAnsi="Times New Roman"/>
          <w:sz w:val="24"/>
        </w:rPr>
        <w:t>deforestation</w:t>
      </w:r>
      <w:proofErr w:type="spellEnd"/>
      <w:r>
        <w:rPr>
          <w:rFonts w:ascii="Times New Roman" w:hAnsi="Times New Roman"/>
          <w:sz w:val="24"/>
        </w:rPr>
        <w:t xml:space="preserve"> </w:t>
      </w:r>
      <w:proofErr w:type="spellStart"/>
      <w:r>
        <w:rPr>
          <w:rFonts w:ascii="Times New Roman" w:hAnsi="Times New Roman"/>
          <w:sz w:val="24"/>
        </w:rPr>
        <w:t>rates</w:t>
      </w:r>
      <w:proofErr w:type="spellEnd"/>
      <w:r>
        <w:rPr>
          <w:rFonts w:ascii="Times New Roman" w:hAnsi="Times New Roman"/>
          <w:sz w:val="24"/>
        </w:rPr>
        <w:t>;</w:t>
      </w:r>
      <w:r w:rsidR="009F1A75" w:rsidRPr="00260259">
        <w:rPr>
          <w:rFonts w:ascii="Times New Roman" w:hAnsi="Times New Roman"/>
          <w:sz w:val="24"/>
        </w:rPr>
        <w:t xml:space="preserve"> </w:t>
      </w:r>
    </w:p>
    <w:p w:rsidR="009F1A75" w:rsidRPr="009B434B" w:rsidRDefault="00260259" w:rsidP="006F2990">
      <w:pPr>
        <w:pStyle w:val="ListParagraph"/>
        <w:numPr>
          <w:ilvl w:val="0"/>
          <w:numId w:val="16"/>
        </w:numPr>
        <w:spacing w:after="0" w:line="240" w:lineRule="auto"/>
        <w:ind w:left="714" w:hanging="357"/>
        <w:rPr>
          <w:rFonts w:ascii="Times New Roman" w:hAnsi="Times New Roman"/>
          <w:sz w:val="24"/>
          <w:lang w:val="en-GB"/>
        </w:rPr>
      </w:pPr>
      <w:r w:rsidRPr="009B434B">
        <w:rPr>
          <w:rFonts w:ascii="Times New Roman" w:hAnsi="Times New Roman"/>
          <w:sz w:val="24"/>
          <w:lang w:val="en-GB"/>
        </w:rPr>
        <w:t>B</w:t>
      </w:r>
      <w:r w:rsidR="009F1A75" w:rsidRPr="009B434B">
        <w:rPr>
          <w:rFonts w:ascii="Times New Roman" w:hAnsi="Times New Roman"/>
          <w:sz w:val="24"/>
          <w:lang w:val="en-GB"/>
        </w:rPr>
        <w:t xml:space="preserve">y large-scale implementation of carbon sequestration activities in soil and above ground biomass pools. </w:t>
      </w:r>
    </w:p>
    <w:p w:rsidR="009F1A75" w:rsidRDefault="009F1A75" w:rsidP="009F1A75">
      <w:proofErr w:type="gramStart"/>
      <w:r>
        <w:t>U</w:t>
      </w:r>
      <w:r w:rsidR="00260259">
        <w:t>ncertain future climate,</w:t>
      </w:r>
      <w:proofErr w:type="gramEnd"/>
      <w:r w:rsidR="00260259">
        <w:t xml:space="preserve"> </w:t>
      </w:r>
      <w:r>
        <w:t xml:space="preserve">increase in </w:t>
      </w:r>
      <w:r w:rsidRPr="00CF6B5C">
        <w:t>food demands</w:t>
      </w:r>
      <w:r>
        <w:t xml:space="preserve"> (mainly meat-based)</w:t>
      </w:r>
      <w:r w:rsidRPr="00CF6B5C">
        <w:t xml:space="preserve">, </w:t>
      </w:r>
      <w:r>
        <w:t xml:space="preserve">unsuitable </w:t>
      </w:r>
      <w:r w:rsidRPr="00CF6B5C">
        <w:t>bio</w:t>
      </w:r>
      <w:r>
        <w:t>fuel</w:t>
      </w:r>
      <w:r w:rsidRPr="00CF6B5C">
        <w:t xml:space="preserve"> p</w:t>
      </w:r>
      <w:r>
        <w:t>rogrammes</w:t>
      </w:r>
      <w:r w:rsidR="00260259">
        <w:t xml:space="preserve">, </w:t>
      </w:r>
      <w:r w:rsidRPr="00CF6B5C">
        <w:t>and</w:t>
      </w:r>
      <w:r>
        <w:t xml:space="preserve"> income</w:t>
      </w:r>
      <w:r w:rsidRPr="00CF6B5C">
        <w:t xml:space="preserve"> inequality could </w:t>
      </w:r>
      <w:r>
        <w:t>pose a risk for the sustainable future of the agricultural sector</w:t>
      </w:r>
      <w:r w:rsidR="00260259">
        <w:t xml:space="preserve"> [5, 6]</w:t>
      </w:r>
      <w:r w:rsidRPr="00211AC5">
        <w:rPr>
          <w:rFonts w:cs="Arial"/>
          <w:color w:val="333333"/>
          <w:shd w:val="clear" w:color="auto" w:fill="FFFFFF"/>
        </w:rPr>
        <w:t>.</w:t>
      </w:r>
      <w:r w:rsidR="00260259">
        <w:rPr>
          <w:rFonts w:cs="Arial"/>
          <w:color w:val="333333"/>
          <w:shd w:val="clear" w:color="auto" w:fill="FFFFFF"/>
        </w:rPr>
        <w:t xml:space="preserve"> </w:t>
      </w:r>
      <w:r>
        <w:t>Abrupt changes</w:t>
      </w:r>
      <w:r w:rsidRPr="00211AC5">
        <w:t xml:space="preserve"> </w:t>
      </w:r>
      <w:r>
        <w:t>and</w:t>
      </w:r>
      <w:r w:rsidRPr="00211AC5">
        <w:t xml:space="preserve"> rise in agricultural commodit</w:t>
      </w:r>
      <w:r>
        <w:t>y prices</w:t>
      </w:r>
      <w:r w:rsidRPr="00211AC5">
        <w:t xml:space="preserve"> </w:t>
      </w:r>
      <w:r>
        <w:t xml:space="preserve">could also </w:t>
      </w:r>
      <w:r w:rsidRPr="00211AC5">
        <w:t xml:space="preserve">have major </w:t>
      </w:r>
      <w:r>
        <w:t>macro</w:t>
      </w:r>
      <w:r w:rsidRPr="00211AC5">
        <w:t>economic effects</w:t>
      </w:r>
      <w:r w:rsidR="00260259">
        <w:t xml:space="preserve"> [7]. </w:t>
      </w:r>
      <w:r>
        <w:t>Due to high</w:t>
      </w:r>
      <w:r w:rsidRPr="005C4E91">
        <w:t xml:space="preserve"> economic growth rates</w:t>
      </w:r>
      <w:r w:rsidR="00260259">
        <w:t xml:space="preserve"> in developing countries, </w:t>
      </w:r>
      <w:r>
        <w:t>the AFOLU sector together with the energy system are experiencing abrupt transitions</w:t>
      </w:r>
      <w:r w:rsidR="00260259">
        <w:t xml:space="preserve">. Additionally, </w:t>
      </w:r>
      <w:r>
        <w:t xml:space="preserve">as emissions from developed economies </w:t>
      </w:r>
      <w:r w:rsidRPr="005C4E91">
        <w:t xml:space="preserve">are </w:t>
      </w:r>
      <w:r>
        <w:t>not being reduced rapidly enough to meet</w:t>
      </w:r>
      <w:r w:rsidR="00260259">
        <w:t xml:space="preserve"> mitigation targets, </w:t>
      </w:r>
      <w:r>
        <w:t>together are causing</w:t>
      </w:r>
      <w:r w:rsidRPr="005C4E91">
        <w:t xml:space="preserve"> major disruptions over terrestrial emissions</w:t>
      </w:r>
      <w:r>
        <w:t>,</w:t>
      </w:r>
      <w:r w:rsidRPr="005C4E91">
        <w:t xml:space="preserve"> with high probability of being the main cause </w:t>
      </w:r>
      <w:r>
        <w:t>of</w:t>
      </w:r>
      <w:r w:rsidRPr="005C4E91">
        <w:t xml:space="preserve"> global warming</w:t>
      </w:r>
      <w:r w:rsidR="00260259">
        <w:t xml:space="preserve"> [8]</w:t>
      </w:r>
      <w:r w:rsidRPr="005C4E91">
        <w:t xml:space="preserve">. </w:t>
      </w:r>
    </w:p>
    <w:p w:rsidR="009F1A75" w:rsidRDefault="00260259" w:rsidP="009F1A75">
      <w:r>
        <w:t xml:space="preserve">Nowadays, </w:t>
      </w:r>
      <w:r w:rsidR="009F1A75">
        <w:t>the average energy required to supply 1 kJ of food in developing countries, is approximately 1 kJ, while in modern economies is about 4 kJ to produce 1 kJ of food</w:t>
      </w:r>
      <w:r w:rsidR="00610CBC">
        <w:t xml:space="preserve"> [9]. </w:t>
      </w:r>
      <w:r w:rsidR="009F1A75">
        <w:t>Projections in agricultural commodities (food, bioenergy and forestry products) suggest that either intensification/mechanisation or land use expansion aiming at higher productivity will be required to meet future demands</w:t>
      </w:r>
      <w:r w:rsidR="00610CBC">
        <w:t xml:space="preserve"> [10]</w:t>
      </w:r>
      <w:r w:rsidR="009F1A75">
        <w:t xml:space="preserve">. </w:t>
      </w:r>
    </w:p>
    <w:p w:rsidR="009F1A75" w:rsidRPr="00616ABB" w:rsidRDefault="009A3326" w:rsidP="00616ABB">
      <w:pPr>
        <w:pStyle w:val="Heading3"/>
      </w:pPr>
      <w:r>
        <w:t>Review: a</w:t>
      </w:r>
      <w:r w:rsidR="009F1A75" w:rsidRPr="00616ABB">
        <w:t>gricu</w:t>
      </w:r>
      <w:r w:rsidR="00616ABB">
        <w:t>lture, land use and energy systems m</w:t>
      </w:r>
      <w:r w:rsidR="009F1A75" w:rsidRPr="00616ABB">
        <w:t xml:space="preserve">odels </w:t>
      </w:r>
    </w:p>
    <w:p w:rsidR="009F1A75" w:rsidRDefault="00616ABB" w:rsidP="001B365E">
      <w:pPr>
        <w:spacing w:line="280" w:lineRule="exact"/>
      </w:pPr>
      <w:r>
        <w:t xml:space="preserve">For energy planning, </w:t>
      </w:r>
      <w:r w:rsidR="009F1A75" w:rsidRPr="001041A0">
        <w:t xml:space="preserve">energy system models are typically used to provide insights </w:t>
      </w:r>
      <w:r w:rsidR="009F1A75">
        <w:t>into</w:t>
      </w:r>
      <w:r w:rsidR="009F1A75" w:rsidRPr="001041A0">
        <w:t xml:space="preserve"> </w:t>
      </w:r>
      <w:r w:rsidR="009F1A75">
        <w:t xml:space="preserve">energy </w:t>
      </w:r>
      <w:r>
        <w:t xml:space="preserve">technology implementation as </w:t>
      </w:r>
      <w:r w:rsidR="009F1A75" w:rsidRPr="001041A0">
        <w:t xml:space="preserve">well </w:t>
      </w:r>
      <w:r w:rsidR="009F1A75">
        <w:t xml:space="preserve">as </w:t>
      </w:r>
      <w:r w:rsidR="009F1A75" w:rsidRPr="001041A0">
        <w:t>socio-economic and environmental implications.</w:t>
      </w:r>
      <w:r w:rsidR="009F1A75">
        <w:t xml:space="preserve"> Similar to other sectors, agricultural production and land use systems can be modelled as a collection of discrete physical processes</w:t>
      </w:r>
      <w:r>
        <w:t xml:space="preserve"> [11]. </w:t>
      </w:r>
      <w:r w:rsidR="009F1A75">
        <w:t>On the other hand, several agricultural sys</w:t>
      </w:r>
      <w:r>
        <w:t xml:space="preserve">tem models have been developed, </w:t>
      </w:r>
      <w:r w:rsidR="009F1A75">
        <w:t>with high multidisciplinary and impacts in policy-making</w:t>
      </w:r>
      <w:r>
        <w:t xml:space="preserve"> [12]. </w:t>
      </w:r>
      <w:r w:rsidR="009F1A75" w:rsidRPr="00211AC5">
        <w:t xml:space="preserve">Currently, there </w:t>
      </w:r>
      <w:r w:rsidR="009F1A75">
        <w:t>is</w:t>
      </w:r>
      <w:r w:rsidR="009F1A75" w:rsidRPr="00211AC5">
        <w:t xml:space="preserve"> a wide range of open source and commercially available agricultural </w:t>
      </w:r>
      <w:r w:rsidR="009F1A75">
        <w:t xml:space="preserve">and land use </w:t>
      </w:r>
      <w:r w:rsidR="009F1A75" w:rsidRPr="00211AC5">
        <w:t xml:space="preserve">models </w:t>
      </w:r>
      <w:r w:rsidR="009F1A75">
        <w:t>(</w:t>
      </w:r>
      <w:r w:rsidR="009F1A75" w:rsidRPr="00211AC5">
        <w:t>IMAGE</w:t>
      </w:r>
      <w:r>
        <w:t xml:space="preserve"> [13]</w:t>
      </w:r>
      <w:r w:rsidR="009F1A75" w:rsidRPr="00211AC5">
        <w:t>, GLOBIOM</w:t>
      </w:r>
      <w:r>
        <w:t xml:space="preserve"> [14]</w:t>
      </w:r>
      <w:r w:rsidR="009F1A75" w:rsidRPr="00211AC5">
        <w:t xml:space="preserve">, </w:t>
      </w:r>
      <w:r w:rsidR="009F1A75">
        <w:t>MAgPie</w:t>
      </w:r>
      <w:r>
        <w:t xml:space="preserve"> [15]</w:t>
      </w:r>
      <w:r w:rsidR="009F1A75">
        <w:t>)</w:t>
      </w:r>
      <w:r>
        <w:t xml:space="preserve">. </w:t>
      </w:r>
      <w:r w:rsidR="009F1A75">
        <w:t>Nevertheless,</w:t>
      </w:r>
      <w:r>
        <w:t xml:space="preserve"> </w:t>
      </w:r>
      <w:r w:rsidR="009F1A75">
        <w:t>Integrated Assessment Models (IAM) and studies considering the synergy between</w:t>
      </w:r>
      <w:r w:rsidR="009F1A75" w:rsidRPr="00211AC5">
        <w:t xml:space="preserve"> agricultural productivity </w:t>
      </w:r>
      <w:r w:rsidR="009F1A75">
        <w:t>and</w:t>
      </w:r>
      <w:r w:rsidR="009F1A75" w:rsidRPr="00211AC5">
        <w:t xml:space="preserve"> land use </w:t>
      </w:r>
      <w:r w:rsidR="009F1A75">
        <w:t xml:space="preserve">dynamics combined with </w:t>
      </w:r>
      <w:r w:rsidR="009F1A75" w:rsidRPr="00211AC5">
        <w:t xml:space="preserve">energy </w:t>
      </w:r>
      <w:r w:rsidR="009F1A75">
        <w:t>systems studies have been limit</w:t>
      </w:r>
      <w:r>
        <w:t xml:space="preserve">ed. </w:t>
      </w:r>
      <w:r w:rsidR="009F1A75">
        <w:t xml:space="preserve">These models have to be soft-linked to external energy systems models adding complexity and a fragile internal model coherence due to different technical and economic approaches between sectors. On the other hand, the </w:t>
      </w:r>
      <w:r w:rsidR="009F1A75" w:rsidRPr="00A45880">
        <w:t>Global Change Assessment Model (GCAM)</w:t>
      </w:r>
      <w:r>
        <w:t xml:space="preserve"> [16], </w:t>
      </w:r>
      <w:r w:rsidR="009F1A75">
        <w:t>which</w:t>
      </w:r>
      <w:r w:rsidR="009F1A75" w:rsidRPr="00A45880">
        <w:t xml:space="preserve"> </w:t>
      </w:r>
      <w:r w:rsidR="009F1A75">
        <w:t>provides an</w:t>
      </w:r>
      <w:r w:rsidR="009F1A75" w:rsidRPr="00A45880">
        <w:t xml:space="preserve"> integration between energy and terrestrial systems</w:t>
      </w:r>
      <w:r>
        <w:t xml:space="preserve">, </w:t>
      </w:r>
      <w:r w:rsidR="009F1A75">
        <w:t>the agriculture sector lacks a representation of agricultural energy technologies.</w:t>
      </w:r>
    </w:p>
    <w:p w:rsidR="009F1A75" w:rsidRPr="0021211A" w:rsidRDefault="009F1A75" w:rsidP="001B365E">
      <w:pPr>
        <w:spacing w:line="280" w:lineRule="exact"/>
      </w:pPr>
      <w:r w:rsidRPr="00211AC5">
        <w:t>Other models ha</w:t>
      </w:r>
      <w:r>
        <w:t>ve</w:t>
      </w:r>
      <w:r w:rsidRPr="00211AC5">
        <w:t xml:space="preserve"> been presented with li</w:t>
      </w:r>
      <w:r>
        <w:t>mited development</w:t>
      </w:r>
      <w:r w:rsidRPr="00211AC5">
        <w:t xml:space="preserve"> or just to answer specific questions</w:t>
      </w:r>
      <w:r>
        <w:t>.</w:t>
      </w:r>
      <w:r w:rsidR="00616ABB">
        <w:t xml:space="preserve"> Elobeid </w:t>
      </w:r>
      <w:r w:rsidR="00616ABB" w:rsidRPr="00616ABB">
        <w:rPr>
          <w:i/>
        </w:rPr>
        <w:t>et al</w:t>
      </w:r>
      <w:r w:rsidR="00616ABB">
        <w:t xml:space="preserve">. [17] </w:t>
      </w:r>
      <w:r>
        <w:t xml:space="preserve">presented a modelling framework based on CARD U.S. and MARKAL models to capture the links between agricultural and energy markets. They focused on bioenergy expansion and related environmental impacts and illustrated the importance of integrating agricultural systems into </w:t>
      </w:r>
      <w:r w:rsidR="00D8784C">
        <w:t>Energy System M</w:t>
      </w:r>
      <w:r w:rsidR="00D8784C" w:rsidRPr="00D8784C">
        <w:t xml:space="preserve">odel </w:t>
      </w:r>
      <w:r w:rsidR="00D8784C">
        <w:t>(ESM)</w:t>
      </w:r>
      <w:r w:rsidRPr="00374BAF">
        <w:t xml:space="preserve"> </w:t>
      </w:r>
      <w:r>
        <w:t xml:space="preserve">to avoid </w:t>
      </w:r>
      <w:r w:rsidRPr="00374BAF">
        <w:t>an underestimation or overestimation</w:t>
      </w:r>
      <w:r>
        <w:t xml:space="preserve"> of the impacts either from the energy or the agricultural sector.</w:t>
      </w:r>
      <w:r w:rsidR="00616ABB">
        <w:t xml:space="preserve"> Rochedo [18] </w:t>
      </w:r>
      <w:r w:rsidRPr="00374BAF">
        <w:t>proposed an approach to integrate a land system model into the MESSAGE model aiming to assess the role of land use in a long-term carbon</w:t>
      </w:r>
      <w:r>
        <w:t xml:space="preserve"> </w:t>
      </w:r>
      <w:r w:rsidRPr="00374BAF">
        <w:t xml:space="preserve">constrained world. </w:t>
      </w:r>
      <w:r w:rsidR="00616ABB">
        <w:t xml:space="preserve">Miljkovic </w:t>
      </w:r>
      <w:r w:rsidR="00616ABB" w:rsidRPr="00616ABB">
        <w:rPr>
          <w:i/>
        </w:rPr>
        <w:t>et al</w:t>
      </w:r>
      <w:r w:rsidR="00616ABB">
        <w:t xml:space="preserve">. [19] </w:t>
      </w:r>
      <w:r w:rsidRPr="00374BAF">
        <w:t>developed a</w:t>
      </w:r>
      <w:r>
        <w:t xml:space="preserve"> simplified two-input two-output</w:t>
      </w:r>
      <w:r w:rsidRPr="00374BAF">
        <w:t xml:space="preserve"> model to study the effects of bioenergy policies on energy and land use. The authors </w:t>
      </w:r>
      <w:r>
        <w:t>reported</w:t>
      </w:r>
      <w:r w:rsidRPr="00374BAF">
        <w:t xml:space="preserve"> an increase of energy consumption (gas and fertiliz</w:t>
      </w:r>
      <w:r w:rsidR="00616ABB">
        <w:t xml:space="preserve">ers) in the agriculture sector, especially for corn production, </w:t>
      </w:r>
      <w:r w:rsidRPr="00374BAF">
        <w:t>contrasting with the</w:t>
      </w:r>
      <w:r>
        <w:t xml:space="preserve"> objectives of bioenergy</w:t>
      </w:r>
      <w:r w:rsidRPr="00374BAF">
        <w:t xml:space="preserve"> policies to decarbonise the energy system.</w:t>
      </w:r>
      <w:r w:rsidR="00616ABB">
        <w:t xml:space="preserve"> Al-Mansour and Jejcic </w:t>
      </w:r>
      <w:r w:rsidR="00616ABB" w:rsidRPr="00616ABB">
        <w:t>[20]</w:t>
      </w:r>
      <w:r w:rsidR="00616ABB">
        <w:t xml:space="preserve"> </w:t>
      </w:r>
      <w:r w:rsidRPr="00374BAF">
        <w:t>p</w:t>
      </w:r>
      <w:r>
        <w:t xml:space="preserve">resented the </w:t>
      </w:r>
      <w:r w:rsidRPr="00616ABB">
        <w:t xml:space="preserve">AgrFootprint </w:t>
      </w:r>
      <w:r w:rsidR="00616ABB">
        <w:t xml:space="preserve">model, </w:t>
      </w:r>
      <w:r w:rsidRPr="00374BAF">
        <w:t xml:space="preserve">capable of calculating </w:t>
      </w:r>
      <w:r>
        <w:t xml:space="preserve">the </w:t>
      </w:r>
      <w:r w:rsidRPr="00374BAF">
        <w:t>carbon footprint of dif</w:t>
      </w:r>
      <w:r w:rsidR="00616ABB">
        <w:t xml:space="preserve">ferent agricultural commodities </w:t>
      </w:r>
      <w:r w:rsidRPr="00374BAF">
        <w:t>(</w:t>
      </w:r>
      <w:r>
        <w:t xml:space="preserve">such as </w:t>
      </w:r>
      <w:r w:rsidRPr="00374BAF">
        <w:t xml:space="preserve">fruits, grains, meats), by defining average of fuel consumption for the different </w:t>
      </w:r>
      <w:r w:rsidRPr="00374BAF">
        <w:lastRenderedPageBreak/>
        <w:t>processes found in the production of these commodities.</w:t>
      </w:r>
      <w:r w:rsidR="00616ABB">
        <w:t xml:space="preserve"> </w:t>
      </w:r>
      <w:r w:rsidR="00616ABB" w:rsidRPr="00616ABB">
        <w:t xml:space="preserve">Chiodi </w:t>
      </w:r>
      <w:r w:rsidR="00616ABB" w:rsidRPr="00616ABB">
        <w:rPr>
          <w:i/>
        </w:rPr>
        <w:t>et al</w:t>
      </w:r>
      <w:r w:rsidR="00616ABB" w:rsidRPr="00616ABB">
        <w:t>. [21]</w:t>
      </w:r>
      <w:r w:rsidR="00616ABB">
        <w:t xml:space="preserve"> </w:t>
      </w:r>
      <w:r>
        <w:t xml:space="preserve">used TIMES to understand the role of bioenergy in meeting future demands for a low carbon Ireland economy. Although the authors envisioned that bioenergy could cover up to 40% of domestic energy demand, land use would have to increase 142-fold, posing severe risk to the country’s ecosystem. </w:t>
      </w:r>
      <w:r w:rsidR="00616ABB" w:rsidRPr="00616ABB">
        <w:t xml:space="preserve">Gonzalez-Salazar </w:t>
      </w:r>
      <w:r w:rsidR="00616ABB" w:rsidRPr="00616ABB">
        <w:rPr>
          <w:i/>
        </w:rPr>
        <w:t>et al</w:t>
      </w:r>
      <w:r w:rsidR="00616ABB" w:rsidRPr="00616ABB">
        <w:t>. [22]</w:t>
      </w:r>
      <w:r w:rsidR="00616ABB">
        <w:t xml:space="preserve"> </w:t>
      </w:r>
      <w:r w:rsidRPr="0021211A">
        <w:t>presented an integrated model considering energy systems, land use,</w:t>
      </w:r>
      <w:r>
        <w:t xml:space="preserve"> and climate modelling aiming at</w:t>
      </w:r>
      <w:r w:rsidRPr="0021211A">
        <w:t xml:space="preserve"> exploring the impacts of bioenergy production growth. The model, based on </w:t>
      </w:r>
      <w:r w:rsidRPr="00616ABB">
        <w:t xml:space="preserve">LEAP </w:t>
      </w:r>
      <w:r>
        <w:t>and Microsoft Excel, provided</w:t>
      </w:r>
      <w:r w:rsidRPr="0021211A">
        <w:t xml:space="preserve"> a robust framework to forecast the implications of bioenergy growth with the limitation of not being able </w:t>
      </w:r>
      <w:r w:rsidR="00616ABB">
        <w:t xml:space="preserve">to model explicit technological </w:t>
      </w:r>
      <w:r w:rsidRPr="0021211A">
        <w:t xml:space="preserve">uptake as well as providing a full life cycle emissions assessment of the analysed scenarios. </w:t>
      </w:r>
    </w:p>
    <w:p w:rsidR="009F1A75" w:rsidRDefault="00D8784C" w:rsidP="001B365E">
      <w:pPr>
        <w:spacing w:line="280" w:lineRule="exact"/>
      </w:pPr>
      <w:r>
        <w:t xml:space="preserve">Typically, </w:t>
      </w:r>
      <w:r w:rsidR="009F1A75">
        <w:t>the limited number of ESMs that model the agriculture se</w:t>
      </w:r>
      <w:r>
        <w:t xml:space="preserve">ctor, </w:t>
      </w:r>
      <w:r w:rsidR="009F1A75">
        <w:t>select energy services similar to those found in the building sector (e.g. heating, refrigeration, drying, lighting, etc.). In this way, although it is straightforward to establish processes th</w:t>
      </w:r>
      <w:r>
        <w:t xml:space="preserve">at cover those service demands, </w:t>
      </w:r>
      <w:r w:rsidR="009F1A75">
        <w:t>this approach is incapable to properly establish a relationship between productivity and land use requirements as a function of the p</w:t>
      </w:r>
      <w:r>
        <w:t xml:space="preserve">erformance of the technologies. </w:t>
      </w:r>
      <w:r w:rsidR="009F1A75" w:rsidRPr="00A45880">
        <w:t xml:space="preserve">As novel technologies </w:t>
      </w:r>
      <w:r w:rsidR="009F1A75">
        <w:t>could</w:t>
      </w:r>
      <w:r w:rsidR="009F1A75" w:rsidRPr="00A45880">
        <w:t xml:space="preserve"> easily impact </w:t>
      </w:r>
      <w:r w:rsidR="009F1A75">
        <w:t>the sectors land and energy dynamics</w:t>
      </w:r>
      <w:r w:rsidR="00B26577">
        <w:t xml:space="preserve"> [23</w:t>
      </w:r>
      <w:r>
        <w:t xml:space="preserve">], </w:t>
      </w:r>
      <w:r w:rsidR="009F1A75">
        <w:t>innovative modelling frameworks</w:t>
      </w:r>
      <w:r w:rsidR="009F1A75" w:rsidRPr="00A45880">
        <w:t xml:space="preserve"> are </w:t>
      </w:r>
      <w:r w:rsidR="009F1A75">
        <w:t>needed</w:t>
      </w:r>
      <w:r w:rsidR="009F1A75" w:rsidRPr="00A45880">
        <w:t xml:space="preserve"> to gain </w:t>
      </w:r>
      <w:r w:rsidR="009F1A75">
        <w:t>an understanding into the future role of the sector in the economy, the energ</w:t>
      </w:r>
      <w:r>
        <w:t xml:space="preserve">y system and, more importantly, </w:t>
      </w:r>
      <w:r w:rsidR="009F1A75">
        <w:t>in the environment</w:t>
      </w:r>
      <w:r w:rsidR="009F1A75" w:rsidRPr="00A45880">
        <w:t>.</w:t>
      </w:r>
      <w:r>
        <w:t xml:space="preserve"> Generally, </w:t>
      </w:r>
      <w:r w:rsidR="009F1A75" w:rsidRPr="002B51D4">
        <w:t>agricultural models suffe</w:t>
      </w:r>
      <w:r>
        <w:t xml:space="preserve">r from two main limitations: lack of robust data and </w:t>
      </w:r>
      <w:r w:rsidR="009F1A75" w:rsidRPr="002B51D4">
        <w:t>ineffective communication of outputs to society</w:t>
      </w:r>
      <w:r>
        <w:t xml:space="preserve"> [12]. </w:t>
      </w:r>
      <w:r w:rsidR="009F1A75" w:rsidRPr="002B51D4">
        <w:t>Additionally, ot</w:t>
      </w:r>
      <w:r>
        <w:t xml:space="preserve">her issues remain in the field. </w:t>
      </w:r>
      <w:r w:rsidR="009F1A75" w:rsidRPr="00211AC5">
        <w:t xml:space="preserve">The main </w:t>
      </w:r>
      <w:r w:rsidR="009F1A75">
        <w:t xml:space="preserve">one is the lack of formal procedure to </w:t>
      </w:r>
      <w:r w:rsidR="009F1A75" w:rsidRPr="00211AC5">
        <w:t xml:space="preserve">establish a </w:t>
      </w:r>
      <w:r w:rsidR="009F1A75">
        <w:t xml:space="preserve">strong </w:t>
      </w:r>
      <w:r w:rsidR="009F1A75" w:rsidRPr="00211AC5">
        <w:t xml:space="preserve">relationship between agricultural </w:t>
      </w:r>
      <w:r w:rsidR="009F1A75">
        <w:t>technologies</w:t>
      </w:r>
      <w:r w:rsidR="009F1A75" w:rsidRPr="00211AC5">
        <w:t xml:space="preserve"> and </w:t>
      </w:r>
      <w:r w:rsidR="009F1A75">
        <w:t xml:space="preserve">their impacts on </w:t>
      </w:r>
      <w:r w:rsidR="009F1A75" w:rsidRPr="00211AC5">
        <w:t>agricultural service demands</w:t>
      </w:r>
      <w:r w:rsidR="009F1A75">
        <w:t xml:space="preserve"> (mainly food demand) and land use</w:t>
      </w:r>
      <w:r w:rsidR="009F1A75" w:rsidRPr="00777853">
        <w:t>.</w:t>
      </w:r>
      <w:r w:rsidR="009F1A75">
        <w:t xml:space="preserve"> </w:t>
      </w:r>
    </w:p>
    <w:p w:rsidR="009F1A75" w:rsidRDefault="009F1A75" w:rsidP="001B365E">
      <w:pPr>
        <w:spacing w:line="280" w:lineRule="exact"/>
      </w:pPr>
      <w:r>
        <w:t>To the best of the authors’ knowledge there is still a lack of appropriate, transparent and robust energy systems models that deliver more realistic interactions of agricultural energy technologies and their implicati</w:t>
      </w:r>
      <w:r w:rsidR="001B365E">
        <w:t xml:space="preserve">ons in the wider energy system. </w:t>
      </w:r>
      <w:r>
        <w:t>The objective o</w:t>
      </w:r>
      <w:r w:rsidR="001B365E">
        <w:t xml:space="preserve">f the paper is to apply a novel </w:t>
      </w:r>
      <w:r>
        <w:t>agricultural energy systems m</w:t>
      </w:r>
      <w:r w:rsidR="001B365E">
        <w:t xml:space="preserve">odelling framework (MUSE-Ag&amp;LU) using Brazil as a case study. </w:t>
      </w:r>
      <w:r>
        <w:t>The model uses intensifica</w:t>
      </w:r>
      <w:r w:rsidR="001B365E">
        <w:t xml:space="preserve">tion/extensification processes, </w:t>
      </w:r>
      <w:r>
        <w:t>based on mechanisation levels, to calculate agricultural technology pro</w:t>
      </w:r>
      <w:r w:rsidR="001B365E">
        <w:t xml:space="preserve">ductivity. </w:t>
      </w:r>
      <w:r>
        <w:t>With special attention to study th</w:t>
      </w:r>
      <w:r w:rsidR="001B365E">
        <w:t xml:space="preserve">e dynamics between agriculture, </w:t>
      </w:r>
      <w:r>
        <w:t xml:space="preserve">land and energy, the study intends to identify the best uses of Brazilian gas reserves and sugarcane in a systems context as well as evaluate the effects of energy use and agricultural emissions under carbon constraint scenarios. </w:t>
      </w:r>
    </w:p>
    <w:p w:rsidR="009F1A75" w:rsidRDefault="009F1A75" w:rsidP="001B365E">
      <w:pPr>
        <w:spacing w:line="280" w:lineRule="exact"/>
      </w:pPr>
      <w:r>
        <w:t>The</w:t>
      </w:r>
      <w:r w:rsidR="001B365E">
        <w:t xml:space="preserve"> paper is organized as follows. </w:t>
      </w:r>
      <w:r>
        <w:t>First, an overview of the materials and methods as well as the development of the MUSE-Ag&amp;LU</w:t>
      </w:r>
      <w:r>
        <w:rPr>
          <w:rFonts w:cs="CMBX10"/>
          <w:color w:val="000000"/>
        </w:rPr>
        <w:t xml:space="preserve"> </w:t>
      </w:r>
      <w:r w:rsidR="001B365E">
        <w:t xml:space="preserve">model will be presented. </w:t>
      </w:r>
      <w:r>
        <w:t xml:space="preserve">Secondly, to present the case study, Brazil’s energy, agriculture and land use context will be discussed </w:t>
      </w:r>
      <w:r w:rsidRPr="00E95D4A">
        <w:t>alongside the proposed modelling scenarios.</w:t>
      </w:r>
      <w:r w:rsidR="001B365E">
        <w:t xml:space="preserve"> Then, </w:t>
      </w:r>
      <w:r>
        <w:t>the paper will show the results obtained for the selected case study, followed by discussions and conclusions.</w:t>
      </w:r>
    </w:p>
    <w:p w:rsidR="009F1A75" w:rsidRPr="001B365E" w:rsidRDefault="009F1A75" w:rsidP="001B365E">
      <w:pPr>
        <w:pStyle w:val="Heading2"/>
      </w:pPr>
      <w:r w:rsidRPr="001B365E">
        <w:t>MATERIALS AND METHODS</w:t>
      </w:r>
    </w:p>
    <w:p w:rsidR="009F1A75" w:rsidRDefault="009F1A75" w:rsidP="001B365E">
      <w:pPr>
        <w:spacing w:line="280" w:lineRule="exact"/>
      </w:pPr>
      <w:r>
        <w:t xml:space="preserve">MUSE is a new Python-based bottom-up energy system model developed </w:t>
      </w:r>
      <w:r w:rsidR="001B365E">
        <w:t xml:space="preserve">at the Imperial College London, </w:t>
      </w:r>
      <w:r>
        <w:t>aiming to explore long-term decarbonisation scenarios of energy systems</w:t>
      </w:r>
      <w:r w:rsidR="009A3326">
        <w:t xml:space="preserve"> [24]. </w:t>
      </w:r>
      <w:r>
        <w:t>MUSE is a partial equilibrium simulation model with microeconomic foundations wher</w:t>
      </w:r>
      <w:r w:rsidR="001B365E">
        <w:t>e equilibrium is reached via a Market Clearing A</w:t>
      </w:r>
      <w:r>
        <w:t>lgorithm (MCA). The model includes all supply, conversion and demand sectors where the MCA iterates between sector modules until price and quantity of each energy and industrial commodity converge.</w:t>
      </w:r>
      <w:r w:rsidR="001B365E">
        <w:t xml:space="preserve"> </w:t>
      </w:r>
      <w:r w:rsidRPr="00D266F5">
        <w:t xml:space="preserve">MUSE’s main strength is its </w:t>
      </w:r>
      <w:r w:rsidR="001B365E">
        <w:t xml:space="preserve">flexibility, </w:t>
      </w:r>
      <w:r>
        <w:t>allowing to represent each s</w:t>
      </w:r>
      <w:r w:rsidR="001B365E">
        <w:t xml:space="preserve">ector specific characteristics. Originally, </w:t>
      </w:r>
      <w:r>
        <w:t>MUSE is classified into 28 regions</w:t>
      </w:r>
      <w:r w:rsidR="001B365E">
        <w:t xml:space="preserve"> [24]</w:t>
      </w:r>
      <w:r>
        <w:t>.</w:t>
      </w:r>
    </w:p>
    <w:p w:rsidR="009F1A75" w:rsidRPr="001B365E" w:rsidRDefault="001B365E" w:rsidP="001B365E">
      <w:pPr>
        <w:pStyle w:val="Heading3"/>
      </w:pPr>
      <w:r w:rsidRPr="001B365E">
        <w:lastRenderedPageBreak/>
        <w:t>MUSE agriculture and land use m</w:t>
      </w:r>
      <w:r w:rsidR="009F1A75" w:rsidRPr="001B365E">
        <w:t>odel</w:t>
      </w:r>
    </w:p>
    <w:p w:rsidR="009F1A75" w:rsidRDefault="009F1A75" w:rsidP="009F1A75">
      <w:pPr>
        <w:rPr>
          <w:rFonts w:cs="CMBX10"/>
          <w:color w:val="000000" w:themeColor="text1"/>
        </w:rPr>
      </w:pPr>
      <w:r>
        <w:rPr>
          <w:rFonts w:cs="CMBX10"/>
          <w:color w:val="000000" w:themeColor="text1"/>
        </w:rPr>
        <w:t xml:space="preserve">The </w:t>
      </w:r>
      <w:r>
        <w:t>MUSE-Ag&amp;LU (agriculture and land use)</w:t>
      </w:r>
      <w:r>
        <w:rPr>
          <w:rFonts w:cs="CMBX10"/>
          <w:color w:val="000000"/>
        </w:rPr>
        <w:t xml:space="preserve"> </w:t>
      </w:r>
      <w:r w:rsidR="00B3305D">
        <w:t xml:space="preserve">[25] </w:t>
      </w:r>
      <w:r>
        <w:rPr>
          <w:rFonts w:cs="CMBX10"/>
          <w:color w:val="000000" w:themeColor="text1"/>
        </w:rPr>
        <w:t>is a technology-rich bottom-up demand and supply model that spatially and timely simulates energy and land use demand in the medium and long-term (up to 2050 or 2100).</w:t>
      </w:r>
      <w:r w:rsidR="00B3305D">
        <w:rPr>
          <w:rFonts w:cs="CMBX10"/>
          <w:color w:val="000000" w:themeColor="text1"/>
        </w:rPr>
        <w:t xml:space="preserve"> </w:t>
      </w:r>
      <w:r>
        <w:rPr>
          <w:rFonts w:cs="CMBX10"/>
          <w:color w:val="000000" w:themeColor="text1"/>
        </w:rPr>
        <w:t>Additionally, it endogenously simulates the supply of bioenergy determined by the requirements from the rest of the energy sectors (power, industry, transport, etc.).</w:t>
      </w:r>
      <w:r w:rsidR="00B3305D">
        <w:rPr>
          <w:rFonts w:cs="CMBX10"/>
          <w:color w:val="000000" w:themeColor="text1"/>
        </w:rPr>
        <w:t xml:space="preserve"> </w:t>
      </w:r>
      <w:r>
        <w:rPr>
          <w:rFonts w:cs="CMBX10"/>
          <w:color w:val="000000" w:themeColor="text1"/>
        </w:rPr>
        <w:t>The model aims to</w:t>
      </w:r>
      <w:r>
        <w:t xml:space="preserve"> produce a time series of fuel, agrochemicals and land demand</w:t>
      </w:r>
      <w:r>
        <w:rPr>
          <w:rFonts w:cs="CMBX10"/>
          <w:color w:val="000000" w:themeColor="text1"/>
        </w:rPr>
        <w:t xml:space="preserve"> to meet four general agricultural services:</w:t>
      </w:r>
      <w:r w:rsidR="00B3305D">
        <w:rPr>
          <w:rFonts w:cs="CMBX10"/>
          <w:color w:val="000000" w:themeColor="text1"/>
        </w:rPr>
        <w:t xml:space="preserve"> </w:t>
      </w:r>
      <w:r>
        <w:rPr>
          <w:rFonts w:cs="CMBX10"/>
          <w:color w:val="000000" w:themeColor="text1"/>
        </w:rPr>
        <w:t>crops</w:t>
      </w:r>
      <w:r w:rsidR="00B3305D">
        <w:rPr>
          <w:rFonts w:cs="CMBX10"/>
          <w:color w:val="000000" w:themeColor="text1"/>
        </w:rPr>
        <w:t xml:space="preserve">, </w:t>
      </w:r>
      <w:r>
        <w:rPr>
          <w:rFonts w:cs="CMBX10"/>
          <w:color w:val="000000" w:themeColor="text1"/>
        </w:rPr>
        <w:t>animal food,</w:t>
      </w:r>
      <w:r w:rsidR="00B3305D">
        <w:rPr>
          <w:rFonts w:cs="CMBX10"/>
          <w:color w:val="000000" w:themeColor="text1"/>
        </w:rPr>
        <w:t xml:space="preserve"> </w:t>
      </w:r>
      <w:r>
        <w:rPr>
          <w:rFonts w:cs="CMBX10"/>
          <w:color w:val="000000" w:themeColor="text1"/>
        </w:rPr>
        <w:t>forestry products and</w:t>
      </w:r>
      <w:r w:rsidR="00B3305D">
        <w:rPr>
          <w:rFonts w:cs="CMBX10"/>
          <w:color w:val="000000" w:themeColor="text1"/>
        </w:rPr>
        <w:t xml:space="preserve"> </w:t>
      </w:r>
      <w:r>
        <w:rPr>
          <w:rFonts w:cs="CMBX10"/>
          <w:color w:val="000000" w:themeColor="text1"/>
        </w:rPr>
        <w:t>bioenergy.</w:t>
      </w:r>
      <w:r w:rsidR="00B3305D">
        <w:rPr>
          <w:rFonts w:cs="CMBX10"/>
          <w:color w:val="000000" w:themeColor="text1"/>
        </w:rPr>
        <w:t xml:space="preserve"> </w:t>
      </w:r>
      <w:r w:rsidRPr="002211A4">
        <w:rPr>
          <w:rFonts w:cs="CMBX10"/>
          <w:color w:val="000000" w:themeColor="text1"/>
        </w:rPr>
        <w:t>This first categorisation can be considered broad, as for example, meat-based products could be further separated into pasture based livestock</w:t>
      </w:r>
      <w:r w:rsidR="00B3305D">
        <w:rPr>
          <w:rFonts w:cs="CMBX10"/>
          <w:color w:val="000000" w:themeColor="text1"/>
        </w:rPr>
        <w:t xml:space="preserve"> </w:t>
      </w:r>
      <w:r w:rsidRPr="002211A4">
        <w:rPr>
          <w:rFonts w:cs="CMBX10"/>
          <w:color w:val="000000" w:themeColor="text1"/>
        </w:rPr>
        <w:t>vs</w:t>
      </w:r>
      <w:r w:rsidR="00B3305D">
        <w:rPr>
          <w:rFonts w:cs="CMBX10"/>
          <w:color w:val="000000" w:themeColor="text1"/>
        </w:rPr>
        <w:t xml:space="preserve">. </w:t>
      </w:r>
      <w:r w:rsidRPr="002211A4">
        <w:rPr>
          <w:rFonts w:cs="CMBX10"/>
          <w:color w:val="000000" w:themeColor="text1"/>
        </w:rPr>
        <w:t>grain fed livestock, or crop production could be differentiated as rain-</w:t>
      </w:r>
      <w:r>
        <w:rPr>
          <w:rFonts w:cs="CMBX10"/>
          <w:color w:val="000000" w:themeColor="text1"/>
        </w:rPr>
        <w:t>fed vs</w:t>
      </w:r>
      <w:r w:rsidR="00B3305D">
        <w:rPr>
          <w:rFonts w:cs="CMBX10"/>
          <w:color w:val="000000" w:themeColor="text1"/>
        </w:rPr>
        <w:t>.</w:t>
      </w:r>
      <w:r>
        <w:rPr>
          <w:rFonts w:cs="CMBX10"/>
          <w:color w:val="000000" w:themeColor="text1"/>
        </w:rPr>
        <w:t xml:space="preserve"> irrigated production</w:t>
      </w:r>
      <w:r w:rsidR="00B3305D">
        <w:rPr>
          <w:rFonts w:cs="CMBX10"/>
          <w:color w:val="000000" w:themeColor="text1"/>
        </w:rPr>
        <w:t xml:space="preserve">, </w:t>
      </w:r>
      <w:r>
        <w:rPr>
          <w:rFonts w:cs="CMBX10"/>
          <w:color w:val="000000" w:themeColor="text1"/>
        </w:rPr>
        <w:t>h</w:t>
      </w:r>
      <w:r w:rsidRPr="002211A4">
        <w:rPr>
          <w:rFonts w:cs="CMBX10"/>
          <w:color w:val="000000" w:themeColor="text1"/>
        </w:rPr>
        <w:t xml:space="preserve">owever, this was done to reduce model complexities and </w:t>
      </w:r>
      <w:r>
        <w:rPr>
          <w:rFonts w:cs="CMBX10"/>
          <w:color w:val="000000" w:themeColor="text1"/>
        </w:rPr>
        <w:t>computing</w:t>
      </w:r>
      <w:r w:rsidRPr="002211A4">
        <w:rPr>
          <w:rFonts w:cs="CMBX10"/>
          <w:color w:val="000000" w:themeColor="text1"/>
        </w:rPr>
        <w:t xml:space="preserve"> times. </w:t>
      </w:r>
    </w:p>
    <w:p w:rsidR="009F1A75" w:rsidRPr="00B3305D" w:rsidRDefault="009F1A75" w:rsidP="00B3305D">
      <w:pPr>
        <w:pStyle w:val="Heading3"/>
      </w:pPr>
      <w:r w:rsidRPr="00B3305D">
        <w:t xml:space="preserve">Simulation </w:t>
      </w:r>
      <w:r w:rsidR="00B3305D">
        <w:t>w</w:t>
      </w:r>
      <w:r w:rsidRPr="00B3305D">
        <w:t>orkflow</w:t>
      </w:r>
    </w:p>
    <w:p w:rsidR="009F1A75" w:rsidRDefault="009F1A75" w:rsidP="009F1A75">
      <w:r w:rsidRPr="00B3305D">
        <w:t>Similar to</w:t>
      </w:r>
      <w:r>
        <w:t xml:space="preserve"> other demand modules, MUSE-Ag&amp;LU</w:t>
      </w:r>
      <w:r>
        <w:rPr>
          <w:rFonts w:cs="CMBX10"/>
          <w:color w:val="000000"/>
        </w:rPr>
        <w:t xml:space="preserve"> </w:t>
      </w:r>
      <w:r>
        <w:t>dynamically exchanges a set of variables (Figure 1)</w:t>
      </w:r>
      <w:r w:rsidR="00B3305D">
        <w:t xml:space="preserve"> </w:t>
      </w:r>
      <w:r>
        <w:t xml:space="preserve">with the MCA by sending information regarding fuel demand and emissions per region, time period and timeslice. </w:t>
      </w:r>
    </w:p>
    <w:p w:rsidR="009F1A75" w:rsidRDefault="009F1A75" w:rsidP="006F2990">
      <w:pPr>
        <w:ind w:firstLine="0"/>
        <w:jc w:val="center"/>
      </w:pPr>
    </w:p>
    <w:p w:rsidR="009F1A75" w:rsidRDefault="009F1A75" w:rsidP="009F1A75">
      <w:pPr>
        <w:ind w:firstLine="0"/>
        <w:jc w:val="center"/>
        <w:rPr>
          <w:noProof/>
          <w:lang w:eastAsia="en-GB"/>
        </w:rPr>
      </w:pPr>
      <w:r>
        <w:rPr>
          <w:noProof/>
          <w:lang w:val="hr-HR" w:eastAsia="hr-HR"/>
        </w:rPr>
        <w:drawing>
          <wp:inline distT="0" distB="0" distL="0" distR="0" wp14:anchorId="23FF0346" wp14:editId="29ECF84A">
            <wp:extent cx="3592286" cy="3139661"/>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srcRect l="919" t="1229" r="3819" b="3947"/>
                    <a:stretch/>
                  </pic:blipFill>
                  <pic:spPr bwMode="auto">
                    <a:xfrm>
                      <a:off x="0" y="0"/>
                      <a:ext cx="3633366" cy="3175565"/>
                    </a:xfrm>
                    <a:prstGeom prst="rect">
                      <a:avLst/>
                    </a:prstGeom>
                    <a:ln>
                      <a:noFill/>
                    </a:ln>
                    <a:extLst>
                      <a:ext uri="{53640926-AAD7-44D8-BBD7-CCE9431645EC}">
                        <a14:shadowObscured xmlns:a14="http://schemas.microsoft.com/office/drawing/2010/main"/>
                      </a:ext>
                    </a:extLst>
                  </pic:spPr>
                </pic:pic>
              </a:graphicData>
            </a:graphic>
          </wp:inline>
        </w:drawing>
      </w:r>
    </w:p>
    <w:p w:rsidR="009F1A75" w:rsidRPr="00B3305D" w:rsidRDefault="009F1A75" w:rsidP="00B3305D">
      <w:pPr>
        <w:ind w:firstLine="0"/>
        <w:jc w:val="center"/>
        <w:rPr>
          <w:noProof/>
          <w:sz w:val="22"/>
          <w:szCs w:val="22"/>
          <w:lang w:eastAsia="en-GB"/>
        </w:rPr>
      </w:pPr>
    </w:p>
    <w:p w:rsidR="009F1A75" w:rsidRPr="00317A92" w:rsidRDefault="009F1A75" w:rsidP="00B3305D">
      <w:pPr>
        <w:ind w:firstLine="0"/>
        <w:jc w:val="center"/>
        <w:rPr>
          <w:sz w:val="22"/>
        </w:rPr>
      </w:pPr>
      <w:r w:rsidRPr="00317A92">
        <w:rPr>
          <w:sz w:val="22"/>
        </w:rPr>
        <w:t>Figur</w:t>
      </w:r>
      <w:r>
        <w:rPr>
          <w:sz w:val="22"/>
        </w:rPr>
        <w:t>e 1.</w:t>
      </w:r>
      <w:r w:rsidR="00B3305D">
        <w:rPr>
          <w:sz w:val="22"/>
        </w:rPr>
        <w:t xml:space="preserve"> </w:t>
      </w:r>
      <w:r>
        <w:rPr>
          <w:sz w:val="22"/>
        </w:rPr>
        <w:t>Integration of the Ag&amp;LU module</w:t>
      </w:r>
      <w:r w:rsidRPr="00317A92">
        <w:rPr>
          <w:sz w:val="22"/>
        </w:rPr>
        <w:t xml:space="preserve"> into MUSE and data flow with MCA</w:t>
      </w:r>
      <w:r>
        <w:rPr>
          <w:sz w:val="22"/>
        </w:rPr>
        <w:t xml:space="preserve"> </w:t>
      </w:r>
      <w:r w:rsidR="00B3305D">
        <w:rPr>
          <w:sz w:val="22"/>
        </w:rPr>
        <w:t>[25]</w:t>
      </w:r>
    </w:p>
    <w:p w:rsidR="009F1A75" w:rsidRDefault="009F1A75" w:rsidP="00B3305D">
      <w:pPr>
        <w:ind w:firstLine="0"/>
        <w:jc w:val="center"/>
      </w:pPr>
    </w:p>
    <w:p w:rsidR="009F1A75" w:rsidRDefault="009F1A75" w:rsidP="009F1A75">
      <w:r>
        <w:t>The model is based on a two-step simulation approach:</w:t>
      </w:r>
    </w:p>
    <w:p w:rsidR="009F1A75" w:rsidRDefault="009F1A75" w:rsidP="00B3305D">
      <w:pPr>
        <w:pStyle w:val="ListParagraph"/>
        <w:numPr>
          <w:ilvl w:val="0"/>
          <w:numId w:val="18"/>
        </w:numPr>
        <w:adjustRightInd w:val="0"/>
        <w:spacing w:after="0" w:line="240" w:lineRule="auto"/>
        <w:jc w:val="both"/>
        <w:rPr>
          <w:rFonts w:ascii="Times New Roman" w:hAnsi="Times New Roman"/>
          <w:sz w:val="24"/>
          <w:szCs w:val="24"/>
          <w:lang w:val="en-GB"/>
        </w:rPr>
      </w:pPr>
      <w:r>
        <w:rPr>
          <w:rFonts w:ascii="Times New Roman" w:hAnsi="Times New Roman"/>
          <w:sz w:val="24"/>
          <w:szCs w:val="24"/>
          <w:lang w:val="en-GB"/>
        </w:rPr>
        <w:t>First,</w:t>
      </w:r>
      <w:r w:rsidR="00B3305D">
        <w:rPr>
          <w:rFonts w:ascii="Times New Roman" w:hAnsi="Times New Roman"/>
          <w:sz w:val="24"/>
          <w:szCs w:val="24"/>
          <w:lang w:val="en-GB"/>
        </w:rPr>
        <w:t xml:space="preserve"> </w:t>
      </w:r>
      <w:r>
        <w:rPr>
          <w:rFonts w:ascii="Times New Roman" w:hAnsi="Times New Roman"/>
          <w:sz w:val="24"/>
          <w:szCs w:val="24"/>
          <w:lang w:val="en-GB"/>
        </w:rPr>
        <w:t>the demand for energy services demand is dynamically calculated using selected macrodrivers, such as GDP per capita and population. Then, exogenous parameters for the techno-economic</w:t>
      </w:r>
      <w:r w:rsidR="00B3305D">
        <w:rPr>
          <w:rFonts w:ascii="Times New Roman" w:hAnsi="Times New Roman"/>
          <w:sz w:val="24"/>
          <w:szCs w:val="24"/>
          <w:lang w:val="en-GB"/>
        </w:rPr>
        <w:t xml:space="preserve"> </w:t>
      </w:r>
      <w:r>
        <w:rPr>
          <w:rFonts w:ascii="Times New Roman" w:hAnsi="Times New Roman"/>
          <w:sz w:val="24"/>
          <w:szCs w:val="24"/>
          <w:lang w:val="en-GB"/>
        </w:rPr>
        <w:t>and environmental characterisation of technologies are uploaded</w:t>
      </w:r>
      <w:r w:rsidR="00B3305D">
        <w:rPr>
          <w:rFonts w:ascii="Times New Roman" w:hAnsi="Times New Roman"/>
          <w:sz w:val="24"/>
          <w:szCs w:val="24"/>
          <w:lang w:val="en-GB"/>
        </w:rPr>
        <w:t>;</w:t>
      </w:r>
      <w:r>
        <w:rPr>
          <w:rFonts w:ascii="Times New Roman" w:hAnsi="Times New Roman"/>
          <w:sz w:val="24"/>
          <w:szCs w:val="24"/>
          <w:lang w:val="en-GB"/>
        </w:rPr>
        <w:t xml:space="preserve"> </w:t>
      </w:r>
    </w:p>
    <w:p w:rsidR="009F1A75" w:rsidRPr="002211A4" w:rsidRDefault="009F1A75" w:rsidP="00B3305D">
      <w:pPr>
        <w:pStyle w:val="ListParagraph"/>
        <w:numPr>
          <w:ilvl w:val="0"/>
          <w:numId w:val="18"/>
        </w:numPr>
        <w:adjustRightInd w:val="0"/>
        <w:spacing w:after="0" w:line="240" w:lineRule="auto"/>
        <w:jc w:val="both"/>
        <w:rPr>
          <w:rFonts w:ascii="Times New Roman" w:hAnsi="Times New Roman"/>
          <w:color w:val="000000" w:themeColor="text1"/>
          <w:sz w:val="24"/>
          <w:szCs w:val="24"/>
          <w:lang w:val="en-GB"/>
        </w:rPr>
      </w:pPr>
      <w:r>
        <w:rPr>
          <w:rFonts w:ascii="Times New Roman" w:hAnsi="Times New Roman"/>
          <w:sz w:val="24"/>
          <w:szCs w:val="24"/>
          <w:lang w:val="en-GB"/>
        </w:rPr>
        <w:t xml:space="preserve">Secondly, to model technological diffusion, a merit order approach based on </w:t>
      </w:r>
      <w:r w:rsidR="006F2990">
        <w:rPr>
          <w:rFonts w:ascii="Times New Roman" w:hAnsi="Times New Roman"/>
          <w:sz w:val="24"/>
          <w:szCs w:val="24"/>
          <w:lang w:val="en-GB"/>
        </w:rPr>
        <w:br/>
      </w:r>
      <w:r>
        <w:rPr>
          <w:rFonts w:ascii="Times New Roman" w:hAnsi="Times New Roman"/>
          <w:sz w:val="24"/>
          <w:szCs w:val="24"/>
          <w:lang w:val="en-GB"/>
        </w:rPr>
        <w:t>Net Present Value (NPV) is used to model investment decisions, thus defining the technological market share and the fuel mix.</w:t>
      </w:r>
      <w:r w:rsidRPr="00525788">
        <w:rPr>
          <w:rFonts w:ascii="Times New Roman" w:hAnsi="Times New Roman"/>
          <w:b/>
          <w:bCs/>
          <w:color w:val="000000" w:themeColor="text1"/>
          <w:sz w:val="24"/>
          <w:szCs w:val="24"/>
          <w:lang w:val="en-GB"/>
        </w:rPr>
        <w:t xml:space="preserve"> </w:t>
      </w:r>
      <w:r w:rsidRPr="00525788">
        <w:rPr>
          <w:rFonts w:ascii="Times New Roman" w:hAnsi="Times New Roman"/>
          <w:color w:val="000000" w:themeColor="text1"/>
          <w:sz w:val="24"/>
          <w:szCs w:val="24"/>
          <w:lang w:val="en-GB"/>
        </w:rPr>
        <w:t>The model ranks technologies based on its capital and operational costs, efficiency and environmental impact.</w:t>
      </w:r>
      <w:r w:rsidR="00B3305D">
        <w:rPr>
          <w:rFonts w:ascii="Times New Roman" w:hAnsi="Times New Roman"/>
          <w:color w:val="000000" w:themeColor="text1"/>
          <w:sz w:val="24"/>
          <w:szCs w:val="24"/>
          <w:lang w:val="en-GB"/>
        </w:rPr>
        <w:t xml:space="preserve"> </w:t>
      </w:r>
      <w:r w:rsidR="00B3305D">
        <w:rPr>
          <w:rFonts w:ascii="Times New Roman" w:hAnsi="Times New Roman"/>
          <w:color w:val="000000" w:themeColor="text1"/>
          <w:sz w:val="24"/>
          <w:szCs w:val="24"/>
          <w:lang w:val="en-GB"/>
        </w:rPr>
        <w:br/>
      </w:r>
      <w:r w:rsidRPr="00525788">
        <w:rPr>
          <w:rFonts w:ascii="Times New Roman" w:hAnsi="Times New Roman"/>
          <w:color w:val="000000" w:themeColor="text1"/>
          <w:sz w:val="24"/>
          <w:szCs w:val="24"/>
          <w:lang w:val="en-GB"/>
        </w:rPr>
        <w:t xml:space="preserve">Based on the </w:t>
      </w:r>
      <w:r w:rsidRPr="00525788">
        <w:rPr>
          <w:rFonts w:ascii="Times New Roman" w:hAnsi="Times New Roman"/>
          <w:sz w:val="24"/>
          <w:szCs w:val="24"/>
          <w:lang w:val="en-GB"/>
        </w:rPr>
        <w:t>market share,</w:t>
      </w:r>
      <w:r w:rsidR="00B3305D">
        <w:rPr>
          <w:rFonts w:ascii="Times New Roman" w:hAnsi="Times New Roman"/>
          <w:sz w:val="24"/>
          <w:szCs w:val="24"/>
          <w:lang w:val="en-GB"/>
        </w:rPr>
        <w:t xml:space="preserve"> </w:t>
      </w:r>
      <w:r w:rsidRPr="00525788">
        <w:rPr>
          <w:rFonts w:ascii="Times New Roman" w:hAnsi="Times New Roman"/>
          <w:sz w:val="24"/>
          <w:szCs w:val="24"/>
          <w:lang w:val="en-GB"/>
        </w:rPr>
        <w:t>MUSE-Ag&amp;LU would calculate per region, time period and timeslice the following metrics: fuel demand,</w:t>
      </w:r>
      <w:r>
        <w:rPr>
          <w:rFonts w:ascii="Times New Roman" w:hAnsi="Times New Roman"/>
          <w:sz w:val="24"/>
          <w:szCs w:val="24"/>
          <w:lang w:val="en-GB"/>
        </w:rPr>
        <w:t xml:space="preserve"> agrochemicals demand,</w:t>
      </w:r>
      <w:r w:rsidRPr="00525788">
        <w:rPr>
          <w:rFonts w:ascii="Times New Roman" w:hAnsi="Times New Roman"/>
          <w:sz w:val="24"/>
          <w:szCs w:val="24"/>
          <w:lang w:val="en-GB"/>
        </w:rPr>
        <w:t xml:space="preserve"> running operating costs (OPEX),</w:t>
      </w:r>
      <w:r w:rsidR="00B3305D">
        <w:rPr>
          <w:rFonts w:ascii="Times New Roman" w:hAnsi="Times New Roman"/>
          <w:sz w:val="24"/>
          <w:szCs w:val="24"/>
          <w:lang w:val="en-GB"/>
        </w:rPr>
        <w:t xml:space="preserve"> </w:t>
      </w:r>
      <w:r w:rsidRPr="00525788">
        <w:rPr>
          <w:rFonts w:ascii="Times New Roman" w:hAnsi="Times New Roman"/>
          <w:sz w:val="24"/>
          <w:szCs w:val="24"/>
          <w:lang w:val="en-GB"/>
        </w:rPr>
        <w:t>land use demand,</w:t>
      </w:r>
      <w:r w:rsidR="00B3305D">
        <w:rPr>
          <w:rFonts w:ascii="Times New Roman" w:hAnsi="Times New Roman"/>
          <w:sz w:val="24"/>
          <w:szCs w:val="24"/>
          <w:lang w:val="en-GB"/>
        </w:rPr>
        <w:t xml:space="preserve"> GHG </w:t>
      </w:r>
      <w:r w:rsidRPr="00525788">
        <w:rPr>
          <w:rFonts w:ascii="Times New Roman" w:hAnsi="Times New Roman"/>
          <w:sz w:val="24"/>
          <w:szCs w:val="24"/>
          <w:lang w:val="en-GB"/>
        </w:rPr>
        <w:t xml:space="preserve">emissions, </w:t>
      </w:r>
      <w:r>
        <w:rPr>
          <w:rFonts w:ascii="Times New Roman" w:hAnsi="Times New Roman"/>
          <w:sz w:val="24"/>
          <w:szCs w:val="24"/>
          <w:lang w:val="en-GB"/>
        </w:rPr>
        <w:t xml:space="preserve">and </w:t>
      </w:r>
      <w:r w:rsidRPr="00525788">
        <w:rPr>
          <w:rFonts w:ascii="Times New Roman" w:hAnsi="Times New Roman"/>
          <w:sz w:val="24"/>
          <w:szCs w:val="24"/>
          <w:lang w:val="en-GB"/>
        </w:rPr>
        <w:t>bioenergy and residual crop supply</w:t>
      </w:r>
      <w:r>
        <w:rPr>
          <w:rFonts w:ascii="Times New Roman" w:hAnsi="Times New Roman"/>
          <w:sz w:val="24"/>
          <w:szCs w:val="24"/>
          <w:lang w:val="en-GB"/>
        </w:rPr>
        <w:t>.</w:t>
      </w:r>
      <w:r w:rsidRPr="00525788">
        <w:rPr>
          <w:rFonts w:ascii="Times New Roman" w:hAnsi="Times New Roman"/>
          <w:sz w:val="24"/>
          <w:szCs w:val="24"/>
          <w:lang w:val="en-GB"/>
        </w:rPr>
        <w:t xml:space="preserve"> </w:t>
      </w:r>
      <w:r>
        <w:rPr>
          <w:rFonts w:ascii="Times New Roman" w:hAnsi="Times New Roman"/>
          <w:sz w:val="24"/>
          <w:szCs w:val="24"/>
          <w:lang w:val="en-GB"/>
        </w:rPr>
        <w:t xml:space="preserve">At the next iteration, </w:t>
      </w:r>
      <w:r w:rsidRPr="00525788">
        <w:rPr>
          <w:rFonts w:ascii="Times New Roman" w:hAnsi="Times New Roman"/>
          <w:sz w:val="24"/>
          <w:szCs w:val="24"/>
          <w:lang w:val="en-GB"/>
        </w:rPr>
        <w:t xml:space="preserve">updated fuel and carbon </w:t>
      </w:r>
      <w:r w:rsidRPr="00525788">
        <w:rPr>
          <w:rFonts w:ascii="Times New Roman" w:hAnsi="Times New Roman"/>
          <w:sz w:val="24"/>
          <w:szCs w:val="24"/>
          <w:lang w:val="en-GB"/>
        </w:rPr>
        <w:lastRenderedPageBreak/>
        <w:t>prices</w:t>
      </w:r>
      <w:r>
        <w:rPr>
          <w:rFonts w:ascii="Times New Roman" w:hAnsi="Times New Roman"/>
          <w:sz w:val="24"/>
          <w:szCs w:val="24"/>
          <w:lang w:val="en-GB"/>
        </w:rPr>
        <w:t xml:space="preserve"> information </w:t>
      </w:r>
      <w:r w:rsidRPr="00525788">
        <w:rPr>
          <w:rFonts w:ascii="Times New Roman" w:hAnsi="Times New Roman"/>
          <w:sz w:val="24"/>
          <w:szCs w:val="24"/>
          <w:lang w:val="en-GB"/>
        </w:rPr>
        <w:t>from the MCA</w:t>
      </w:r>
      <w:r>
        <w:rPr>
          <w:rFonts w:ascii="Times New Roman" w:hAnsi="Times New Roman"/>
          <w:sz w:val="24"/>
          <w:szCs w:val="24"/>
          <w:lang w:val="en-GB"/>
        </w:rPr>
        <w:t xml:space="preserve"> will be receive by the module, thus</w:t>
      </w:r>
      <w:r w:rsidRPr="00525788">
        <w:rPr>
          <w:rFonts w:ascii="Times New Roman" w:hAnsi="Times New Roman"/>
          <w:sz w:val="24"/>
          <w:szCs w:val="24"/>
          <w:lang w:val="en-GB"/>
        </w:rPr>
        <w:t xml:space="preserve"> </w:t>
      </w:r>
      <w:r>
        <w:rPr>
          <w:rFonts w:ascii="Times New Roman" w:hAnsi="Times New Roman"/>
          <w:sz w:val="24"/>
          <w:szCs w:val="24"/>
          <w:lang w:val="en-GB"/>
        </w:rPr>
        <w:t xml:space="preserve">repeating </w:t>
      </w:r>
      <w:r w:rsidRPr="00525788">
        <w:rPr>
          <w:rFonts w:ascii="Times New Roman" w:hAnsi="Times New Roman"/>
          <w:sz w:val="24"/>
          <w:szCs w:val="24"/>
          <w:lang w:val="en-GB"/>
        </w:rPr>
        <w:t>the simulation.</w:t>
      </w:r>
      <w:r w:rsidRPr="00525788">
        <w:rPr>
          <w:lang w:val="en-GB"/>
        </w:rPr>
        <w:t xml:space="preserve"> </w:t>
      </w:r>
    </w:p>
    <w:p w:rsidR="009F1A75" w:rsidRPr="00B3305D" w:rsidRDefault="009F1A75" w:rsidP="00B3305D">
      <w:pPr>
        <w:pStyle w:val="Heading3"/>
      </w:pPr>
      <w:r w:rsidRPr="00B3305D">
        <w:t xml:space="preserve">Demand </w:t>
      </w:r>
      <w:r w:rsidR="00B3305D" w:rsidRPr="00B3305D">
        <w:t>p</w:t>
      </w:r>
      <w:r w:rsidRPr="00B3305D">
        <w:t xml:space="preserve">rojection and </w:t>
      </w:r>
      <w:r w:rsidR="00B3305D" w:rsidRPr="00B3305D">
        <w:t>d</w:t>
      </w:r>
      <w:r w:rsidRPr="00B3305D">
        <w:t xml:space="preserve">ata </w:t>
      </w:r>
      <w:r w:rsidR="00B3305D" w:rsidRPr="00B3305D">
        <w:t>s</w:t>
      </w:r>
      <w:r w:rsidRPr="00B3305D">
        <w:t>ources</w:t>
      </w:r>
    </w:p>
    <w:p w:rsidR="009F1A75" w:rsidRDefault="009F1A75" w:rsidP="009F1A75">
      <w:r>
        <w:t xml:space="preserve">The model </w:t>
      </w:r>
      <w:r>
        <w:rPr>
          <w:rFonts w:cs="CMBX10"/>
          <w:color w:val="000000"/>
        </w:rPr>
        <w:t xml:space="preserve">projects the demand by energy content of crops, animal products, forestry products and bioenergy products </w:t>
      </w:r>
      <w:r>
        <w:t xml:space="preserve">in agreement with similar studies </w:t>
      </w:r>
      <w:r w:rsidR="00B3305D">
        <w:t>[6, 26, 27]</w:t>
      </w:r>
      <w:r>
        <w:t>.</w:t>
      </w:r>
      <w:r w:rsidR="00B3305D">
        <w:t xml:space="preserve"> </w:t>
      </w:r>
      <w:r w:rsidR="00B3305D">
        <w:br/>
      </w:r>
      <w:r>
        <w:t>As mentioned,</w:t>
      </w:r>
      <w:r w:rsidR="00B3305D">
        <w:t xml:space="preserve"> </w:t>
      </w:r>
      <w:r>
        <w:t>the sector’s</w:t>
      </w:r>
      <w:r>
        <w:rPr>
          <w:sz w:val="23"/>
          <w:szCs w:val="23"/>
        </w:rPr>
        <w:t xml:space="preserve"> </w:t>
      </w:r>
      <w:r>
        <w:rPr>
          <w:shd w:val="clear" w:color="auto" w:fill="FFFFFF"/>
        </w:rPr>
        <w:t>regional service demands are projected using regression models using GDP and population as macrodrivers</w:t>
      </w:r>
      <w:r w:rsidR="00B3305D">
        <w:rPr>
          <w:shd w:val="clear" w:color="auto" w:fill="FFFFFF"/>
        </w:rPr>
        <w:t xml:space="preserve"> [28]</w:t>
      </w:r>
      <w:r>
        <w:rPr>
          <w:shd w:val="clear" w:color="auto" w:fill="FFFFFF"/>
        </w:rPr>
        <w:t>.</w:t>
      </w:r>
      <w:r w:rsidR="00B3305D">
        <w:rPr>
          <w:shd w:val="clear" w:color="auto" w:fill="FFFFFF"/>
        </w:rPr>
        <w:t xml:space="preserve"> </w:t>
      </w:r>
      <w:r>
        <w:rPr>
          <w:shd w:val="clear" w:color="auto" w:fill="FFFFFF"/>
        </w:rPr>
        <w:t>For crops, meat and forestry products, the demands are projected based on historical regional diets and consumption trends</w:t>
      </w:r>
      <w:r w:rsidR="00B3305D">
        <w:t xml:space="preserve"> [2]</w:t>
      </w:r>
      <w:r>
        <w:rPr>
          <w:shd w:val="clear" w:color="auto" w:fill="FFFFFF"/>
        </w:rPr>
        <w:t xml:space="preserve">. </w:t>
      </w:r>
      <w:r>
        <w:t>From FAOSTAT</w:t>
      </w:r>
      <w:r w:rsidR="00B3305D">
        <w:t xml:space="preserve"> [2]</w:t>
      </w:r>
      <w:r>
        <w:t>,</w:t>
      </w:r>
      <w:r w:rsidR="00B3305D">
        <w:t xml:space="preserve"> </w:t>
      </w:r>
      <w:r>
        <w:t>data for the period 1970-2010 for diets (kJ person</w:t>
      </w:r>
      <w:r w:rsidR="00B3305D">
        <w:rPr>
          <w:vertAlign w:val="superscript"/>
        </w:rPr>
        <w:t>−</w:t>
      </w:r>
      <w:r w:rsidRPr="00272287">
        <w:rPr>
          <w:vertAlign w:val="superscript"/>
        </w:rPr>
        <w:t>1</w:t>
      </w:r>
      <w:r>
        <w:t xml:space="preserve"> from crops and animal-based products),</w:t>
      </w:r>
      <w:r w:rsidR="00B3305D">
        <w:t xml:space="preserve"> </w:t>
      </w:r>
      <w:r>
        <w:t>forestry products and bioenergy crops (tonnes of production) has been collected.</w:t>
      </w:r>
      <w:r w:rsidR="00B3305D">
        <w:t xml:space="preserve"> </w:t>
      </w:r>
      <w:r>
        <w:t>After comparing a set of suggested models from the literature,</w:t>
      </w:r>
      <w:r w:rsidR="00B3305D">
        <w:t xml:space="preserve"> </w:t>
      </w:r>
      <w:r>
        <w:t>the Engel’s</w:t>
      </w:r>
      <w:r w:rsidR="00B3305D">
        <w:t xml:space="preserve"> </w:t>
      </w:r>
      <w:r>
        <w:t>function (log-log function) has been identified as the most convenient to estimate the agricultural services demand:</w:t>
      </w:r>
    </w:p>
    <w:p w:rsidR="009F1A75" w:rsidRPr="006172D0" w:rsidRDefault="009F1A75" w:rsidP="00B3305D">
      <w:pPr>
        <w:ind w:firstLine="0"/>
        <w:jc w:val="cente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296"/>
      </w:tblGrid>
      <w:tr w:rsidR="00B3305D" w:rsidTr="006172D0">
        <w:tc>
          <w:tcPr>
            <w:tcW w:w="8195" w:type="dxa"/>
            <w:tcMar>
              <w:left w:w="0" w:type="dxa"/>
              <w:right w:w="0" w:type="dxa"/>
            </w:tcMar>
            <w:vAlign w:val="center"/>
          </w:tcPr>
          <w:p w:rsidR="00B3305D" w:rsidRDefault="008D35AA" w:rsidP="00B3305D">
            <w:pPr>
              <w:ind w:firstLine="0"/>
              <w:jc w:val="center"/>
            </w:pPr>
            <m:oMathPara>
              <m:oMath>
                <m:func>
                  <m:funcPr>
                    <m:ctrlPr>
                      <w:rPr>
                        <w:rFonts w:ascii="Cambria Math" w:hAnsi="Cambria Math"/>
                        <w:i/>
                      </w:rPr>
                    </m:ctrlPr>
                  </m:funcPr>
                  <m:fName>
                    <m:r>
                      <m:rPr>
                        <m:sty m:val="p"/>
                      </m:rPr>
                      <w:rPr>
                        <w:rFonts w:ascii="Cambria Math" w:hAnsi="Cambria Math"/>
                      </w:rPr>
                      <m:t>ln</m:t>
                    </m:r>
                  </m:fName>
                  <m:e>
                    <m:d>
                      <m:dPr>
                        <m:begChr m:val="["/>
                        <m:endChr m:val="]"/>
                        <m:ctrlPr>
                          <w:rPr>
                            <w:rFonts w:ascii="Cambria Math" w:hAnsi="Cambria Math"/>
                            <w:i/>
                          </w:rPr>
                        </m:ctrlPr>
                      </m:dPr>
                      <m:e>
                        <m:r>
                          <w:rPr>
                            <w:rFonts w:ascii="Cambria Math" w:hAnsi="Cambria Math"/>
                          </w:rPr>
                          <m:t>d</m:t>
                        </m:r>
                        <m:d>
                          <m:dPr>
                            <m:ctrlPr>
                              <w:rPr>
                                <w:rFonts w:ascii="Cambria Math" w:hAnsi="Cambria Math"/>
                                <w:i/>
                              </w:rPr>
                            </m:ctrlPr>
                          </m:dPr>
                          <m:e>
                            <m:r>
                              <w:rPr>
                                <w:rFonts w:ascii="Cambria Math" w:hAnsi="Cambria Math"/>
                              </w:rPr>
                              <m:t>T</m:t>
                            </m:r>
                          </m:e>
                        </m:d>
                      </m:e>
                    </m:d>
                  </m:e>
                </m:func>
                <m:r>
                  <w:rPr>
                    <w:rFonts w:ascii="Cambria Math" w:hAnsi="Cambria Math"/>
                  </w:rPr>
                  <m:t>= a+b×</m:t>
                </m:r>
                <m:r>
                  <m:rPr>
                    <m:sty m:val="p"/>
                  </m:rPr>
                  <w:rPr>
                    <w:rFonts w:ascii="Cambria Math" w:hAnsi="Cambria Math"/>
                  </w:rPr>
                  <m:t>ln⁡</m:t>
                </m:r>
                <m:r>
                  <w:rPr>
                    <w:rFonts w:ascii="Cambria Math" w:hAnsi="Cambria Math"/>
                  </w:rPr>
                  <m:t>(</m:t>
                </m:r>
                <m:sSub>
                  <m:sSubPr>
                    <m:ctrlPr>
                      <w:rPr>
                        <w:rFonts w:ascii="Cambria Math" w:hAnsi="Cambria Math"/>
                        <w:i/>
                        <w:sz w:val="22"/>
                        <w:szCs w:val="22"/>
                      </w:rPr>
                    </m:ctrlPr>
                  </m:sSubPr>
                  <m:e>
                    <m:r>
                      <m:rPr>
                        <m:sty m:val="p"/>
                      </m:rPr>
                      <w:rPr>
                        <w:rFonts w:ascii="Cambria Math" w:hAnsi="Cambria Math"/>
                      </w:rPr>
                      <m:t>GDP</m:t>
                    </m:r>
                  </m:e>
                  <m:sub>
                    <m:r>
                      <m:rPr>
                        <m:sty m:val="p"/>
                      </m:rPr>
                      <w:rPr>
                        <w:rFonts w:ascii="Cambria Math" w:hAnsi="Cambria Math"/>
                      </w:rPr>
                      <m:t>cap</m:t>
                    </m:r>
                  </m:sub>
                </m:sSub>
                <m:r>
                  <w:rPr>
                    <w:rFonts w:ascii="Cambria Math" w:hAnsi="Cambria Math"/>
                  </w:rPr>
                  <m:t>)</m:t>
                </m:r>
              </m:oMath>
            </m:oMathPara>
          </w:p>
        </w:tc>
        <w:tc>
          <w:tcPr>
            <w:tcW w:w="296" w:type="dxa"/>
            <w:tcMar>
              <w:left w:w="0" w:type="dxa"/>
              <w:right w:w="0" w:type="dxa"/>
            </w:tcMar>
            <w:vAlign w:val="center"/>
          </w:tcPr>
          <w:p w:rsidR="00B3305D" w:rsidRDefault="00B3305D" w:rsidP="00B3305D">
            <w:pPr>
              <w:ind w:firstLine="0"/>
              <w:jc w:val="right"/>
            </w:pPr>
            <w:r>
              <w:t>(1)</w:t>
            </w:r>
          </w:p>
        </w:tc>
      </w:tr>
    </w:tbl>
    <w:p w:rsidR="009F1A75" w:rsidRPr="006172D0" w:rsidRDefault="009F1A75" w:rsidP="00B3305D">
      <w:pPr>
        <w:ind w:firstLine="0"/>
        <w:jc w:val="center"/>
        <w:rPr>
          <w:sz w:val="22"/>
          <w:szCs w:val="22"/>
        </w:rPr>
      </w:pPr>
    </w:p>
    <w:p w:rsidR="009F1A75" w:rsidRPr="004414B8" w:rsidRDefault="009F1A75" w:rsidP="009F1A75">
      <w:r w:rsidRPr="004414B8">
        <w:t>The function shows that as income increases, demand for agricultural products would increase</w:t>
      </w:r>
      <w:r w:rsidR="006172D0">
        <w:t xml:space="preserve">, </w:t>
      </w:r>
      <w:r w:rsidRPr="004414B8">
        <w:t>nevertheless,</w:t>
      </w:r>
      <w:r w:rsidR="006172D0">
        <w:t xml:space="preserve"> </w:t>
      </w:r>
      <w:r w:rsidRPr="004414B8">
        <w:t>the increase is under-proportional with income.</w:t>
      </w:r>
      <w:r w:rsidR="006172D0">
        <w:t xml:space="preserve"> </w:t>
      </w:r>
      <w:r w:rsidRPr="004414B8">
        <w:t>Data from economies with high levels of income per capita show saturation level in demand, and in some extreme cases,</w:t>
      </w:r>
      <w:r w:rsidR="006172D0">
        <w:t xml:space="preserve"> </w:t>
      </w:r>
      <w:r w:rsidRPr="004414B8">
        <w:t>a demand decrease,</w:t>
      </w:r>
      <w:r w:rsidR="006172D0">
        <w:t xml:space="preserve"> </w:t>
      </w:r>
      <w:r w:rsidRPr="004414B8">
        <w:t>especially for meat-based products.</w:t>
      </w:r>
      <w:r w:rsidR="006172D0">
        <w:t xml:space="preserve"> </w:t>
      </w:r>
      <w:r w:rsidR="006172D0">
        <w:br/>
      </w:r>
      <w:r w:rsidRPr="004414B8">
        <w:t>For validation purposes, future projections have been cross-checked and validated against long-term projections reported from the</w:t>
      </w:r>
      <w:r w:rsidR="006172D0">
        <w:t xml:space="preserve"> FAO [29]</w:t>
      </w:r>
      <w:r w:rsidRPr="004414B8">
        <w:t xml:space="preserve">. </w:t>
      </w:r>
    </w:p>
    <w:p w:rsidR="009F1A75" w:rsidRPr="006172D0" w:rsidRDefault="009F1A75" w:rsidP="006172D0">
      <w:pPr>
        <w:pStyle w:val="Heading3"/>
      </w:pPr>
      <w:r w:rsidRPr="006172D0">
        <w:t xml:space="preserve">Technology </w:t>
      </w:r>
      <w:r w:rsidR="006172D0">
        <w:t>r</w:t>
      </w:r>
      <w:r w:rsidRPr="006172D0">
        <w:t>epresentation</w:t>
      </w:r>
    </w:p>
    <w:p w:rsidR="009F1A75" w:rsidRDefault="009F1A75" w:rsidP="009F1A75">
      <w:r>
        <w:t>In MUSE-Ag&amp;LU, the energy consumption in agriculture is associated to a specific level of mechanisation of the technologies used to supply a specific service. The energy use share for each process (i.e.</w:t>
      </w:r>
      <w:r w:rsidR="006172D0">
        <w:t xml:space="preserve"> </w:t>
      </w:r>
      <w:r>
        <w:t>a combination of a technology and each mechanisation level) has been modelled, extending the qualitative method proposed by</w:t>
      </w:r>
      <w:r w:rsidR="006172D0">
        <w:t xml:space="preserve"> Opio </w:t>
      </w:r>
      <w:r w:rsidR="006172D0" w:rsidRPr="006172D0">
        <w:rPr>
          <w:i/>
          <w:iCs/>
        </w:rPr>
        <w:t>et al</w:t>
      </w:r>
      <w:r w:rsidR="006172D0">
        <w:t xml:space="preserve">. [30] </w:t>
      </w:r>
      <w:r>
        <w:t>and integrating it with data analysis techniques. First, data on yields were collected for every agricultural service (crops, animal, and forestry products) as well as on energy requirements and land use have been obtained for each region</w:t>
      </w:r>
      <w:r w:rsidR="006172D0">
        <w:t xml:space="preserve"> [2]</w:t>
      </w:r>
      <w:r>
        <w:t>.</w:t>
      </w:r>
      <w:r w:rsidR="006172D0">
        <w:t xml:space="preserve"> </w:t>
      </w:r>
      <w:r>
        <w:t>By relating service production to land demand,</w:t>
      </w:r>
      <w:r w:rsidR="006172D0">
        <w:t xml:space="preserve"> </w:t>
      </w:r>
      <w:r>
        <w:t>a region mechanisation level over different yields can be categorised.</w:t>
      </w:r>
      <w:r w:rsidR="006172D0">
        <w:t xml:space="preserve"> </w:t>
      </w:r>
      <w:r>
        <w:t>Appendix A (Figure A.1) shows the yield distribution per agricultural commodity on a global scale.</w:t>
      </w:r>
    </w:p>
    <w:p w:rsidR="009F1A75" w:rsidRDefault="009F1A75" w:rsidP="009F1A75">
      <w:r>
        <w:t>Based on these distributions, three mechanisation levels have been defined using the quartiles, as detailed in Table 1.</w:t>
      </w:r>
    </w:p>
    <w:p w:rsidR="009F1A75" w:rsidRDefault="009F1A75" w:rsidP="006172D0">
      <w:pPr>
        <w:tabs>
          <w:tab w:val="left" w:pos="-437"/>
        </w:tabs>
        <w:suppressAutoHyphens/>
        <w:ind w:firstLine="0"/>
        <w:jc w:val="center"/>
        <w:rPr>
          <w:spacing w:val="-3"/>
          <w:sz w:val="22"/>
        </w:rPr>
      </w:pPr>
    </w:p>
    <w:p w:rsidR="009F1A75" w:rsidRDefault="009F1A75" w:rsidP="006172D0">
      <w:pPr>
        <w:tabs>
          <w:tab w:val="left" w:pos="-437"/>
        </w:tabs>
        <w:suppressAutoHyphens/>
        <w:ind w:firstLine="0"/>
        <w:jc w:val="center"/>
        <w:rPr>
          <w:spacing w:val="-3"/>
          <w:sz w:val="22"/>
        </w:rPr>
      </w:pPr>
      <w:r w:rsidRPr="00317A92">
        <w:rPr>
          <w:spacing w:val="-3"/>
          <w:sz w:val="22"/>
        </w:rPr>
        <w:t>Table 1</w:t>
      </w:r>
      <w:r w:rsidRPr="00317A92">
        <w:rPr>
          <w:sz w:val="22"/>
        </w:rPr>
        <w:t>.</w:t>
      </w:r>
      <w:r w:rsidR="006172D0">
        <w:rPr>
          <w:sz w:val="22"/>
        </w:rPr>
        <w:t xml:space="preserve"> </w:t>
      </w:r>
      <w:r w:rsidRPr="00317A92">
        <w:rPr>
          <w:spacing w:val="-3"/>
          <w:sz w:val="22"/>
        </w:rPr>
        <w:t>Description of mecha</w:t>
      </w:r>
      <w:r>
        <w:rPr>
          <w:spacing w:val="-3"/>
          <w:sz w:val="22"/>
        </w:rPr>
        <w:t>nisation levels in MUSE-Ag&amp;LU</w:t>
      </w:r>
    </w:p>
    <w:p w:rsidR="009F1A75" w:rsidRPr="00317A92" w:rsidRDefault="009F1A75" w:rsidP="006172D0">
      <w:pPr>
        <w:tabs>
          <w:tab w:val="left" w:pos="-437"/>
        </w:tabs>
        <w:suppressAutoHyphens/>
        <w:ind w:firstLine="0"/>
        <w:jc w:val="center"/>
        <w:rPr>
          <w:spacing w:val="-3"/>
          <w:sz w:val="22"/>
        </w:rPr>
      </w:pPr>
    </w:p>
    <w:tbl>
      <w:tblPr>
        <w:tblW w:w="8364" w:type="dxa"/>
        <w:jc w:val="center"/>
        <w:tblBorders>
          <w:top w:val="single" w:sz="12" w:space="0" w:color="auto"/>
          <w:bottom w:val="single" w:sz="12" w:space="0" w:color="auto"/>
          <w:insideH w:val="single" w:sz="4" w:space="0" w:color="auto"/>
        </w:tblBorders>
        <w:tblCellMar>
          <w:top w:w="28" w:type="dxa"/>
          <w:left w:w="0" w:type="dxa"/>
          <w:bottom w:w="28" w:type="dxa"/>
          <w:right w:w="0" w:type="dxa"/>
        </w:tblCellMar>
        <w:tblLook w:val="04A0" w:firstRow="1" w:lastRow="0" w:firstColumn="1" w:lastColumn="0" w:noHBand="0" w:noVBand="1"/>
      </w:tblPr>
      <w:tblGrid>
        <w:gridCol w:w="1578"/>
        <w:gridCol w:w="1929"/>
        <w:gridCol w:w="4857"/>
      </w:tblGrid>
      <w:tr w:rsidR="009F1A75" w:rsidRPr="006172D0" w:rsidTr="006172D0">
        <w:trPr>
          <w:jc w:val="center"/>
        </w:trPr>
        <w:tc>
          <w:tcPr>
            <w:tcW w:w="1562" w:type="dxa"/>
            <w:noWrap/>
            <w:vAlign w:val="center"/>
            <w:hideMark/>
          </w:tcPr>
          <w:p w:rsidR="009F1A75" w:rsidRPr="006172D0" w:rsidRDefault="009F1A75" w:rsidP="006172D0">
            <w:pPr>
              <w:ind w:firstLine="0"/>
              <w:jc w:val="center"/>
              <w:rPr>
                <w:bCs/>
                <w:color w:val="000000" w:themeColor="text1"/>
                <w:sz w:val="16"/>
                <w:szCs w:val="16"/>
                <w:lang w:eastAsia="en-GB"/>
              </w:rPr>
            </w:pPr>
            <w:r w:rsidRPr="006172D0">
              <w:rPr>
                <w:bCs/>
                <w:color w:val="000000" w:themeColor="text1"/>
                <w:sz w:val="16"/>
                <w:szCs w:val="16"/>
                <w:lang w:eastAsia="en-GB"/>
              </w:rPr>
              <w:t>Mechanisation level</w:t>
            </w:r>
          </w:p>
        </w:tc>
        <w:tc>
          <w:tcPr>
            <w:tcW w:w="1961" w:type="dxa"/>
            <w:vAlign w:val="center"/>
            <w:hideMark/>
          </w:tcPr>
          <w:p w:rsidR="009F1A75" w:rsidRPr="006172D0" w:rsidRDefault="009F1A75" w:rsidP="006172D0">
            <w:pPr>
              <w:ind w:firstLine="0"/>
              <w:jc w:val="center"/>
              <w:rPr>
                <w:bCs/>
                <w:color w:val="000000" w:themeColor="text1"/>
                <w:sz w:val="16"/>
                <w:szCs w:val="16"/>
                <w:lang w:eastAsia="en-GB"/>
              </w:rPr>
            </w:pPr>
            <w:r w:rsidRPr="006172D0">
              <w:rPr>
                <w:bCs/>
                <w:color w:val="000000" w:themeColor="text1"/>
                <w:sz w:val="16"/>
                <w:szCs w:val="16"/>
                <w:lang w:eastAsia="en-GB"/>
              </w:rPr>
              <w:t>Quartile</w:t>
            </w:r>
          </w:p>
        </w:tc>
        <w:tc>
          <w:tcPr>
            <w:tcW w:w="4841" w:type="dxa"/>
            <w:noWrap/>
            <w:vAlign w:val="center"/>
            <w:hideMark/>
          </w:tcPr>
          <w:p w:rsidR="009F1A75" w:rsidRPr="006172D0" w:rsidRDefault="009F1A75" w:rsidP="006172D0">
            <w:pPr>
              <w:ind w:firstLine="0"/>
              <w:jc w:val="center"/>
              <w:rPr>
                <w:bCs/>
                <w:color w:val="000000" w:themeColor="text1"/>
                <w:sz w:val="16"/>
                <w:szCs w:val="16"/>
                <w:lang w:eastAsia="en-GB"/>
              </w:rPr>
            </w:pPr>
            <w:r w:rsidRPr="006172D0">
              <w:rPr>
                <w:bCs/>
                <w:color w:val="000000" w:themeColor="text1"/>
                <w:sz w:val="16"/>
                <w:szCs w:val="16"/>
                <w:lang w:eastAsia="en-GB"/>
              </w:rPr>
              <w:t>Description</w:t>
            </w:r>
          </w:p>
        </w:tc>
      </w:tr>
      <w:tr w:rsidR="009F1A75" w:rsidRPr="006172D0" w:rsidTr="006172D0">
        <w:trPr>
          <w:jc w:val="center"/>
        </w:trPr>
        <w:tc>
          <w:tcPr>
            <w:tcW w:w="1562" w:type="dxa"/>
            <w:noWrap/>
            <w:vAlign w:val="center"/>
            <w:hideMark/>
          </w:tcPr>
          <w:p w:rsidR="009F1A75" w:rsidRPr="006172D0" w:rsidRDefault="009F1A75" w:rsidP="006172D0">
            <w:pPr>
              <w:ind w:firstLine="0"/>
              <w:jc w:val="center"/>
              <w:rPr>
                <w:color w:val="000000" w:themeColor="text1"/>
                <w:sz w:val="16"/>
                <w:szCs w:val="16"/>
                <w:lang w:eastAsia="en-GB"/>
              </w:rPr>
            </w:pPr>
            <w:r w:rsidRPr="006172D0">
              <w:rPr>
                <w:color w:val="000000" w:themeColor="text1"/>
                <w:sz w:val="16"/>
                <w:szCs w:val="16"/>
                <w:lang w:eastAsia="en-GB"/>
              </w:rPr>
              <w:t>Traditional</w:t>
            </w:r>
          </w:p>
        </w:tc>
        <w:tc>
          <w:tcPr>
            <w:tcW w:w="1961" w:type="dxa"/>
            <w:vAlign w:val="center"/>
            <w:hideMark/>
          </w:tcPr>
          <w:p w:rsidR="009F1A75" w:rsidRPr="006172D0" w:rsidRDefault="009F1A75" w:rsidP="006172D0">
            <w:pPr>
              <w:ind w:firstLine="0"/>
              <w:jc w:val="center"/>
              <w:rPr>
                <w:color w:val="000000" w:themeColor="text1"/>
                <w:sz w:val="16"/>
                <w:szCs w:val="16"/>
                <w:lang w:eastAsia="en-GB"/>
              </w:rPr>
            </w:pPr>
            <w:r w:rsidRPr="006172D0">
              <w:rPr>
                <w:color w:val="000000" w:themeColor="text1"/>
                <w:sz w:val="16"/>
                <w:szCs w:val="16"/>
                <w:lang w:eastAsia="en-GB"/>
              </w:rPr>
              <w:t>Below the 1</w:t>
            </w:r>
            <w:r w:rsidRPr="006172D0">
              <w:rPr>
                <w:color w:val="000000" w:themeColor="text1"/>
                <w:sz w:val="16"/>
                <w:szCs w:val="16"/>
                <w:vertAlign w:val="superscript"/>
                <w:lang w:eastAsia="en-GB"/>
              </w:rPr>
              <w:t>st</w:t>
            </w:r>
            <w:r w:rsidRPr="006172D0">
              <w:rPr>
                <w:color w:val="000000" w:themeColor="text1"/>
                <w:sz w:val="16"/>
                <w:szCs w:val="16"/>
                <w:lang w:eastAsia="en-GB"/>
              </w:rPr>
              <w:t xml:space="preserve"> quartile</w:t>
            </w:r>
          </w:p>
        </w:tc>
        <w:tc>
          <w:tcPr>
            <w:tcW w:w="4841" w:type="dxa"/>
            <w:hideMark/>
          </w:tcPr>
          <w:p w:rsidR="009F1A75" w:rsidRPr="006172D0" w:rsidRDefault="009F1A75" w:rsidP="006172D0">
            <w:pPr>
              <w:ind w:firstLine="0"/>
              <w:jc w:val="center"/>
              <w:rPr>
                <w:color w:val="000000" w:themeColor="text1"/>
                <w:sz w:val="16"/>
                <w:szCs w:val="16"/>
                <w:lang w:eastAsia="en-GB"/>
              </w:rPr>
            </w:pPr>
            <w:r w:rsidRPr="006172D0">
              <w:rPr>
                <w:color w:val="000000" w:themeColor="text1"/>
                <w:sz w:val="16"/>
                <w:szCs w:val="16"/>
                <w:lang w:eastAsia="en-GB"/>
              </w:rPr>
              <w:t>Original method of farming with minimum mechanized equipment</w:t>
            </w:r>
            <w:r w:rsidR="006172D0" w:rsidRPr="006172D0">
              <w:rPr>
                <w:color w:val="000000" w:themeColor="text1"/>
                <w:sz w:val="16"/>
                <w:szCs w:val="16"/>
                <w:lang w:eastAsia="en-GB"/>
              </w:rPr>
              <w:t>,</w:t>
            </w:r>
          </w:p>
          <w:p w:rsidR="009F1A75" w:rsidRPr="006172D0" w:rsidRDefault="009F1A75" w:rsidP="006172D0">
            <w:pPr>
              <w:ind w:firstLine="0"/>
              <w:jc w:val="center"/>
              <w:rPr>
                <w:color w:val="000000" w:themeColor="text1"/>
                <w:sz w:val="16"/>
                <w:szCs w:val="16"/>
                <w:lang w:eastAsia="en-GB"/>
              </w:rPr>
            </w:pPr>
            <w:r w:rsidRPr="006172D0">
              <w:rPr>
                <w:color w:val="000000"/>
                <w:sz w:val="16"/>
                <w:szCs w:val="16"/>
                <w:lang w:eastAsia="en-GB"/>
              </w:rPr>
              <w:t xml:space="preserve">e.g. </w:t>
            </w:r>
            <w:r w:rsidR="006172D0" w:rsidRPr="006172D0">
              <w:rPr>
                <w:color w:val="000000"/>
                <w:sz w:val="16"/>
                <w:szCs w:val="16"/>
                <w:lang w:eastAsia="en-GB"/>
              </w:rPr>
              <w:t>t</w:t>
            </w:r>
            <w:r w:rsidRPr="006172D0">
              <w:rPr>
                <w:color w:val="000000"/>
                <w:sz w:val="16"/>
                <w:szCs w:val="16"/>
                <w:lang w:eastAsia="en-GB"/>
              </w:rPr>
              <w:t>raditional cropping countries: Nicaragua, Cameroon, Haiti</w:t>
            </w:r>
            <w:r w:rsidR="006172D0" w:rsidRPr="006172D0">
              <w:rPr>
                <w:sz w:val="16"/>
                <w:szCs w:val="16"/>
              </w:rPr>
              <w:t xml:space="preserve"> [2].</w:t>
            </w:r>
          </w:p>
        </w:tc>
      </w:tr>
      <w:tr w:rsidR="009F1A75" w:rsidRPr="006172D0" w:rsidTr="006172D0">
        <w:trPr>
          <w:jc w:val="center"/>
        </w:trPr>
        <w:tc>
          <w:tcPr>
            <w:tcW w:w="1562" w:type="dxa"/>
            <w:noWrap/>
            <w:vAlign w:val="center"/>
            <w:hideMark/>
          </w:tcPr>
          <w:p w:rsidR="009F1A75" w:rsidRPr="006172D0" w:rsidRDefault="009F1A75" w:rsidP="006172D0">
            <w:pPr>
              <w:ind w:firstLine="0"/>
              <w:jc w:val="center"/>
              <w:rPr>
                <w:color w:val="000000" w:themeColor="text1"/>
                <w:sz w:val="16"/>
                <w:szCs w:val="16"/>
                <w:lang w:eastAsia="en-GB"/>
              </w:rPr>
            </w:pPr>
            <w:r w:rsidRPr="006172D0">
              <w:rPr>
                <w:color w:val="000000" w:themeColor="text1"/>
                <w:sz w:val="16"/>
                <w:szCs w:val="16"/>
                <w:lang w:eastAsia="en-GB"/>
              </w:rPr>
              <w:t>Transitional</w:t>
            </w:r>
          </w:p>
        </w:tc>
        <w:tc>
          <w:tcPr>
            <w:tcW w:w="1961" w:type="dxa"/>
            <w:vAlign w:val="center"/>
            <w:hideMark/>
          </w:tcPr>
          <w:p w:rsidR="009F1A75" w:rsidRPr="006172D0" w:rsidRDefault="009F1A75" w:rsidP="006172D0">
            <w:pPr>
              <w:ind w:firstLine="0"/>
              <w:jc w:val="center"/>
              <w:rPr>
                <w:color w:val="000000" w:themeColor="text1"/>
                <w:sz w:val="16"/>
                <w:szCs w:val="16"/>
                <w:lang w:eastAsia="en-GB"/>
              </w:rPr>
            </w:pPr>
            <w:r w:rsidRPr="006172D0">
              <w:rPr>
                <w:color w:val="000000" w:themeColor="text1"/>
                <w:sz w:val="16"/>
                <w:szCs w:val="16"/>
                <w:lang w:eastAsia="en-GB"/>
              </w:rPr>
              <w:t>Between the 1</w:t>
            </w:r>
            <w:r w:rsidRPr="006172D0">
              <w:rPr>
                <w:color w:val="000000" w:themeColor="text1"/>
                <w:sz w:val="16"/>
                <w:szCs w:val="16"/>
                <w:vertAlign w:val="superscript"/>
                <w:lang w:eastAsia="en-GB"/>
              </w:rPr>
              <w:t>st</w:t>
            </w:r>
            <w:r w:rsidRPr="006172D0">
              <w:rPr>
                <w:color w:val="000000" w:themeColor="text1"/>
                <w:sz w:val="16"/>
                <w:szCs w:val="16"/>
                <w:lang w:eastAsia="en-GB"/>
              </w:rPr>
              <w:t xml:space="preserve"> and 3</w:t>
            </w:r>
            <w:r w:rsidRPr="006172D0">
              <w:rPr>
                <w:color w:val="000000" w:themeColor="text1"/>
                <w:sz w:val="16"/>
                <w:szCs w:val="16"/>
                <w:vertAlign w:val="superscript"/>
                <w:lang w:eastAsia="en-GB"/>
              </w:rPr>
              <w:t>rd</w:t>
            </w:r>
            <w:r w:rsidRPr="006172D0">
              <w:rPr>
                <w:color w:val="000000" w:themeColor="text1"/>
                <w:sz w:val="16"/>
                <w:szCs w:val="16"/>
                <w:lang w:eastAsia="en-GB"/>
              </w:rPr>
              <w:t xml:space="preserve"> quartiles</w:t>
            </w:r>
          </w:p>
        </w:tc>
        <w:tc>
          <w:tcPr>
            <w:tcW w:w="4841" w:type="dxa"/>
            <w:hideMark/>
          </w:tcPr>
          <w:p w:rsidR="009F1A75" w:rsidRPr="006172D0" w:rsidRDefault="009F1A75" w:rsidP="006172D0">
            <w:pPr>
              <w:ind w:firstLine="0"/>
              <w:jc w:val="center"/>
              <w:rPr>
                <w:color w:val="000000" w:themeColor="text1"/>
                <w:sz w:val="16"/>
                <w:szCs w:val="16"/>
                <w:lang w:eastAsia="en-GB"/>
              </w:rPr>
            </w:pPr>
            <w:r w:rsidRPr="006172D0">
              <w:rPr>
                <w:color w:val="000000" w:themeColor="text1"/>
                <w:sz w:val="16"/>
                <w:szCs w:val="16"/>
                <w:lang w:eastAsia="en-GB"/>
              </w:rPr>
              <w:t xml:space="preserve">Mechanisation in some parts of the agricultural production chain. </w:t>
            </w:r>
            <w:r w:rsidR="006F2990">
              <w:rPr>
                <w:color w:val="000000" w:themeColor="text1"/>
                <w:sz w:val="16"/>
                <w:szCs w:val="16"/>
                <w:lang w:eastAsia="en-GB"/>
              </w:rPr>
              <w:br/>
            </w:r>
            <w:r w:rsidRPr="006172D0">
              <w:rPr>
                <w:color w:val="000000" w:themeColor="text1"/>
                <w:sz w:val="16"/>
                <w:szCs w:val="16"/>
                <w:lang w:eastAsia="en-GB"/>
              </w:rPr>
              <w:t>Typical equipment examples are tractors, tilling, mechanical drying and irrigation. Also the use of agrochemicals is common practice</w:t>
            </w:r>
            <w:r w:rsidR="006172D0" w:rsidRPr="006172D0">
              <w:rPr>
                <w:color w:val="000000" w:themeColor="text1"/>
                <w:sz w:val="16"/>
                <w:szCs w:val="16"/>
                <w:lang w:eastAsia="en-GB"/>
              </w:rPr>
              <w:t xml:space="preserve">, </w:t>
            </w:r>
            <w:r w:rsidR="006172D0" w:rsidRPr="006172D0">
              <w:rPr>
                <w:color w:val="000000" w:themeColor="text1"/>
                <w:sz w:val="16"/>
                <w:szCs w:val="16"/>
                <w:lang w:eastAsia="en-GB"/>
              </w:rPr>
              <w:br/>
            </w:r>
            <w:r w:rsidRPr="006172D0">
              <w:rPr>
                <w:color w:val="000000"/>
                <w:sz w:val="16"/>
                <w:szCs w:val="16"/>
                <w:lang w:eastAsia="en-GB"/>
              </w:rPr>
              <w:t xml:space="preserve">e.g. </w:t>
            </w:r>
            <w:r w:rsidR="006172D0" w:rsidRPr="006172D0">
              <w:rPr>
                <w:color w:val="000000"/>
                <w:sz w:val="16"/>
                <w:szCs w:val="16"/>
                <w:lang w:eastAsia="en-GB"/>
              </w:rPr>
              <w:t>t</w:t>
            </w:r>
            <w:r w:rsidRPr="006172D0">
              <w:rPr>
                <w:color w:val="000000"/>
                <w:sz w:val="16"/>
                <w:szCs w:val="16"/>
                <w:lang w:eastAsia="en-GB"/>
              </w:rPr>
              <w:t>ransitional cropping countries: India, Russia, Brazil</w:t>
            </w:r>
            <w:r w:rsidR="006172D0" w:rsidRPr="006172D0">
              <w:rPr>
                <w:sz w:val="16"/>
                <w:szCs w:val="16"/>
              </w:rPr>
              <w:t xml:space="preserve"> [2]</w:t>
            </w:r>
            <w:r w:rsidRPr="006172D0">
              <w:rPr>
                <w:color w:val="000000"/>
                <w:sz w:val="16"/>
                <w:szCs w:val="16"/>
                <w:lang w:eastAsia="en-GB"/>
              </w:rPr>
              <w:t>.</w:t>
            </w:r>
          </w:p>
        </w:tc>
      </w:tr>
      <w:tr w:rsidR="009F1A75" w:rsidRPr="006172D0" w:rsidTr="006172D0">
        <w:trPr>
          <w:jc w:val="center"/>
        </w:trPr>
        <w:tc>
          <w:tcPr>
            <w:tcW w:w="1562" w:type="dxa"/>
            <w:noWrap/>
            <w:vAlign w:val="center"/>
            <w:hideMark/>
          </w:tcPr>
          <w:p w:rsidR="009F1A75" w:rsidRPr="006172D0" w:rsidRDefault="009F1A75" w:rsidP="006172D0">
            <w:pPr>
              <w:ind w:firstLine="0"/>
              <w:jc w:val="center"/>
              <w:rPr>
                <w:color w:val="000000" w:themeColor="text1"/>
                <w:sz w:val="16"/>
                <w:szCs w:val="16"/>
                <w:lang w:eastAsia="en-GB"/>
              </w:rPr>
            </w:pPr>
            <w:r w:rsidRPr="006172D0">
              <w:rPr>
                <w:color w:val="000000" w:themeColor="text1"/>
                <w:sz w:val="16"/>
                <w:szCs w:val="16"/>
                <w:lang w:eastAsia="en-GB"/>
              </w:rPr>
              <w:t>Modern</w:t>
            </w:r>
            <w:r w:rsidRPr="006172D0">
              <w:rPr>
                <w:color w:val="000000" w:themeColor="text1"/>
                <w:sz w:val="16"/>
                <w:szCs w:val="16"/>
                <w:vertAlign w:val="superscript"/>
                <w:lang w:eastAsia="en-GB"/>
              </w:rPr>
              <w:t>$</w:t>
            </w:r>
          </w:p>
        </w:tc>
        <w:tc>
          <w:tcPr>
            <w:tcW w:w="1961" w:type="dxa"/>
            <w:vAlign w:val="center"/>
            <w:hideMark/>
          </w:tcPr>
          <w:p w:rsidR="009F1A75" w:rsidRPr="006172D0" w:rsidRDefault="009F1A75" w:rsidP="006172D0">
            <w:pPr>
              <w:ind w:firstLine="0"/>
              <w:jc w:val="center"/>
              <w:rPr>
                <w:color w:val="000000" w:themeColor="text1"/>
                <w:sz w:val="16"/>
                <w:szCs w:val="16"/>
                <w:lang w:eastAsia="en-GB"/>
              </w:rPr>
            </w:pPr>
            <w:r w:rsidRPr="006172D0">
              <w:rPr>
                <w:color w:val="000000" w:themeColor="text1"/>
                <w:sz w:val="16"/>
                <w:szCs w:val="16"/>
                <w:lang w:eastAsia="en-GB"/>
              </w:rPr>
              <w:t>Above the 3</w:t>
            </w:r>
            <w:r w:rsidRPr="006172D0">
              <w:rPr>
                <w:color w:val="000000" w:themeColor="text1"/>
                <w:sz w:val="16"/>
                <w:szCs w:val="16"/>
                <w:vertAlign w:val="superscript"/>
                <w:lang w:eastAsia="en-GB"/>
              </w:rPr>
              <w:t>rd</w:t>
            </w:r>
            <w:r w:rsidRPr="006172D0">
              <w:rPr>
                <w:color w:val="000000" w:themeColor="text1"/>
                <w:sz w:val="16"/>
                <w:szCs w:val="16"/>
                <w:lang w:eastAsia="en-GB"/>
              </w:rPr>
              <w:t xml:space="preserve"> quartile</w:t>
            </w:r>
          </w:p>
        </w:tc>
        <w:tc>
          <w:tcPr>
            <w:tcW w:w="4841" w:type="dxa"/>
            <w:hideMark/>
          </w:tcPr>
          <w:p w:rsidR="009F1A75" w:rsidRPr="006172D0" w:rsidRDefault="009F1A75" w:rsidP="006172D0">
            <w:pPr>
              <w:ind w:firstLine="0"/>
              <w:jc w:val="center"/>
              <w:rPr>
                <w:color w:val="000000" w:themeColor="text1"/>
                <w:sz w:val="16"/>
                <w:szCs w:val="16"/>
                <w:lang w:eastAsia="en-GB"/>
              </w:rPr>
            </w:pPr>
            <w:r w:rsidRPr="006172D0">
              <w:rPr>
                <w:color w:val="000000" w:themeColor="text1"/>
                <w:sz w:val="16"/>
                <w:szCs w:val="16"/>
                <w:lang w:eastAsia="en-GB"/>
              </w:rPr>
              <w:t>Most of the supply chain is fully mechanized supply chain, with high requirements in energy, water irrigation, and fertilizers</w:t>
            </w:r>
            <w:r w:rsidR="006172D0" w:rsidRPr="006172D0">
              <w:rPr>
                <w:color w:val="000000" w:themeColor="text1"/>
                <w:sz w:val="16"/>
                <w:szCs w:val="16"/>
                <w:lang w:eastAsia="en-GB"/>
              </w:rPr>
              <w:t>,</w:t>
            </w:r>
          </w:p>
          <w:p w:rsidR="009F1A75" w:rsidRPr="006172D0" w:rsidRDefault="009F1A75" w:rsidP="006172D0">
            <w:pPr>
              <w:ind w:firstLine="0"/>
              <w:jc w:val="center"/>
              <w:rPr>
                <w:color w:val="000000" w:themeColor="text1"/>
                <w:sz w:val="16"/>
                <w:szCs w:val="16"/>
                <w:lang w:eastAsia="en-GB"/>
              </w:rPr>
            </w:pPr>
            <w:r w:rsidRPr="006172D0">
              <w:rPr>
                <w:color w:val="000000"/>
                <w:sz w:val="16"/>
                <w:szCs w:val="16"/>
                <w:lang w:eastAsia="en-GB"/>
              </w:rPr>
              <w:t xml:space="preserve">e.g. </w:t>
            </w:r>
            <w:r w:rsidR="006172D0" w:rsidRPr="006172D0">
              <w:rPr>
                <w:color w:val="000000"/>
                <w:sz w:val="16"/>
                <w:szCs w:val="16"/>
                <w:lang w:eastAsia="en-GB"/>
              </w:rPr>
              <w:t>m</w:t>
            </w:r>
            <w:r w:rsidRPr="006172D0">
              <w:rPr>
                <w:color w:val="000000"/>
                <w:sz w:val="16"/>
                <w:szCs w:val="16"/>
                <w:lang w:eastAsia="en-GB"/>
              </w:rPr>
              <w:t>odern cropping countries: United States, Netherlands, Japan</w:t>
            </w:r>
            <w:r w:rsidR="006172D0" w:rsidRPr="006172D0">
              <w:rPr>
                <w:sz w:val="16"/>
                <w:szCs w:val="16"/>
              </w:rPr>
              <w:t xml:space="preserve"> [2]</w:t>
            </w:r>
            <w:r w:rsidRPr="006172D0">
              <w:rPr>
                <w:color w:val="000000"/>
                <w:sz w:val="16"/>
                <w:szCs w:val="16"/>
                <w:lang w:eastAsia="en-GB"/>
              </w:rPr>
              <w:t>.</w:t>
            </w:r>
          </w:p>
        </w:tc>
      </w:tr>
    </w:tbl>
    <w:p w:rsidR="009F1A75" w:rsidRPr="006172D0" w:rsidRDefault="009F1A75" w:rsidP="009F1A75">
      <w:pPr>
        <w:rPr>
          <w:sz w:val="14"/>
          <w:szCs w:val="12"/>
        </w:rPr>
      </w:pPr>
      <w:r w:rsidRPr="006172D0">
        <w:rPr>
          <w:sz w:val="14"/>
          <w:szCs w:val="12"/>
          <w:vertAlign w:val="superscript"/>
        </w:rPr>
        <w:t>$</w:t>
      </w:r>
      <w:r w:rsidRPr="006172D0">
        <w:rPr>
          <w:sz w:val="14"/>
          <w:szCs w:val="12"/>
        </w:rPr>
        <w:t xml:space="preserve"> Modern-renewable mechanisation level has added to represent renewable-based technology </w:t>
      </w:r>
    </w:p>
    <w:p w:rsidR="00DF23A1" w:rsidRDefault="00DF23A1" w:rsidP="009F1A75"/>
    <w:p w:rsidR="009F1A75" w:rsidRDefault="009F1A75" w:rsidP="009F1A75">
      <w:bookmarkStart w:id="0" w:name="_GoBack"/>
      <w:bookmarkEnd w:id="0"/>
      <w:r>
        <w:t>Although the FAO</w:t>
      </w:r>
      <w:r w:rsidR="008102B8">
        <w:t xml:space="preserve"> [2]</w:t>
      </w:r>
      <w:r>
        <w:t xml:space="preserve"> and IEA</w:t>
      </w:r>
      <w:r w:rsidR="008102B8">
        <w:t xml:space="preserve"> [31]</w:t>
      </w:r>
      <w:r>
        <w:t xml:space="preserve"> energy balances provide energy demand and fuel share for the sector,</w:t>
      </w:r>
      <w:r w:rsidR="008102B8">
        <w:t xml:space="preserve"> </w:t>
      </w:r>
      <w:r>
        <w:t xml:space="preserve">there is no information separated by agricultural service (crops, animal, forestry and bioenergy). To provide a share of fuel per mechanisation level, the </w:t>
      </w:r>
      <w:r>
        <w:lastRenderedPageBreak/>
        <w:t>non-</w:t>
      </w:r>
      <w:r w:rsidRPr="003E11BE">
        <w:t>hierarchical method approach has been used</w:t>
      </w:r>
      <w:r w:rsidR="008102B8">
        <w:t xml:space="preserve"> [32]</w:t>
      </w:r>
      <w:r w:rsidRPr="003E11BE">
        <w:t>.</w:t>
      </w:r>
      <w:r w:rsidR="008102B8">
        <w:t xml:space="preserve"> </w:t>
      </w:r>
      <w:r w:rsidRPr="003E11BE">
        <w:t>The aim is to classify a country or region within a set of groups looking for high within-class homogeneity and as much variability as possible between groups.</w:t>
      </w:r>
      <w:r w:rsidR="008102B8">
        <w:t xml:space="preserve"> </w:t>
      </w:r>
      <w:r w:rsidRPr="003E11BE">
        <w:t>Therefore,</w:t>
      </w:r>
      <w:r>
        <w:rPr>
          <w:color w:val="FF0000"/>
          <w:sz w:val="18"/>
          <w:szCs w:val="18"/>
        </w:rPr>
        <w:t xml:space="preserve"> </w:t>
      </w:r>
      <w:r>
        <w:t>country-level data by input/output ratio and yield have been grouped, and based on cluster segregation at different levels of distance between measurements, heterogeneous technological groups have been defined. For each mechanisation level, variation in energy use, agrochemicals demand, yields and investment parameters have been characterised. Based on the studied yields and the level of economic development, a different percentage of mechanisation level is allocated to every region.</w:t>
      </w:r>
      <w:r w:rsidR="008102B8">
        <w:t xml:space="preserve"> </w:t>
      </w:r>
      <w:r>
        <w:t xml:space="preserve">This means every country and region would have some level of mechanisation level to greater or lesser extent. </w:t>
      </w:r>
    </w:p>
    <w:p w:rsidR="009F1A75" w:rsidRPr="00FA44C7" w:rsidRDefault="009F1A75" w:rsidP="009F1A75">
      <w:r w:rsidRPr="00AF6F8A">
        <w:rPr>
          <w:lang w:eastAsia="en-GB"/>
        </w:rPr>
        <w:t xml:space="preserve">As previously </w:t>
      </w:r>
      <w:r>
        <w:rPr>
          <w:lang w:eastAsia="en-GB"/>
        </w:rPr>
        <w:t>mentioned</w:t>
      </w:r>
      <w:r w:rsidRPr="00AF6F8A">
        <w:rPr>
          <w:lang w:eastAsia="en-GB"/>
        </w:rPr>
        <w:t>, for the selection of future mechanisation adoption the model uses NPV as the main indicator for ranking technologies</w:t>
      </w:r>
      <w:r w:rsidR="008102B8">
        <w:rPr>
          <w:lang w:eastAsia="en-GB"/>
        </w:rPr>
        <w:t xml:space="preserve">, </w:t>
      </w:r>
      <w:r w:rsidRPr="00AF6F8A">
        <w:rPr>
          <w:lang w:eastAsia="en-GB"/>
        </w:rPr>
        <w:t>therefore, cost values for each mechanisation level must be defined.</w:t>
      </w:r>
      <w:r w:rsidRPr="00AF6F8A">
        <w:t xml:space="preserve"> For the definition of economic costs, </w:t>
      </w:r>
      <w:r w:rsidR="008102B8">
        <w:t xml:space="preserve">Baruah and Bora [10] </w:t>
      </w:r>
      <w:r w:rsidRPr="00AF6F8A">
        <w:rPr>
          <w:lang w:eastAsia="en-GB"/>
        </w:rPr>
        <w:t>provided capital and operational costs (</w:t>
      </w:r>
      <w:r w:rsidR="008102B8">
        <w:rPr>
          <w:lang w:eastAsia="en-GB"/>
        </w:rPr>
        <w:t>USD</w:t>
      </w:r>
      <w:r w:rsidRPr="00AF6F8A">
        <w:rPr>
          <w:lang w:eastAsia="en-GB"/>
        </w:rPr>
        <w:t xml:space="preserve"> ha</w:t>
      </w:r>
      <w:r w:rsidR="008102B8">
        <w:rPr>
          <w:vertAlign w:val="superscript"/>
          <w:lang w:eastAsia="en-GB"/>
        </w:rPr>
        <w:t>−</w:t>
      </w:r>
      <w:r w:rsidRPr="00AF6F8A">
        <w:rPr>
          <w:vertAlign w:val="superscript"/>
          <w:lang w:eastAsia="en-GB"/>
        </w:rPr>
        <w:t>1</w:t>
      </w:r>
      <w:r w:rsidRPr="00AF6F8A">
        <w:rPr>
          <w:lang w:eastAsia="en-GB"/>
        </w:rPr>
        <w:t>) for three strategic mechanisation scenarios. In the low-mechanisation scenario (traditional), more than 90% of the total cost is spent on muscle power,</w:t>
      </w:r>
      <w:r w:rsidR="008102B8">
        <w:rPr>
          <w:lang w:eastAsia="en-GB"/>
        </w:rPr>
        <w:t xml:space="preserve"> </w:t>
      </w:r>
      <w:r w:rsidRPr="00AF6F8A">
        <w:rPr>
          <w:lang w:eastAsia="en-GB"/>
        </w:rPr>
        <w:t xml:space="preserve">whereas in the partial mechanised scenario (transitional) this is about 59%. Machinery ownership and machinery operation including diesel are the major costs for the </w:t>
      </w:r>
      <w:r w:rsidR="008102B8">
        <w:rPr>
          <w:lang w:eastAsia="en-GB"/>
        </w:rPr>
        <w:t>‘</w:t>
      </w:r>
      <w:r w:rsidRPr="00AF6F8A">
        <w:rPr>
          <w:lang w:eastAsia="en-GB"/>
        </w:rPr>
        <w:t>transitional</w:t>
      </w:r>
      <w:r w:rsidR="008102B8">
        <w:rPr>
          <w:lang w:eastAsia="en-GB"/>
        </w:rPr>
        <w:t>’</w:t>
      </w:r>
      <w:r w:rsidRPr="00AF6F8A">
        <w:rPr>
          <w:lang w:eastAsia="en-GB"/>
        </w:rPr>
        <w:t xml:space="preserve"> and </w:t>
      </w:r>
      <w:r w:rsidR="008102B8">
        <w:rPr>
          <w:lang w:eastAsia="en-GB"/>
        </w:rPr>
        <w:t>‘</w:t>
      </w:r>
      <w:r w:rsidRPr="00AF6F8A">
        <w:rPr>
          <w:lang w:eastAsia="en-GB"/>
        </w:rPr>
        <w:t>modern</w:t>
      </w:r>
      <w:r w:rsidR="008102B8">
        <w:rPr>
          <w:lang w:eastAsia="en-GB"/>
        </w:rPr>
        <w:t>’</w:t>
      </w:r>
      <w:r w:rsidRPr="00AF6F8A">
        <w:rPr>
          <w:lang w:eastAsia="en-GB"/>
        </w:rPr>
        <w:t xml:space="preserve"> mechanisation scenarios (87% and 90% of the total operational cost) considered in the present study. </w:t>
      </w:r>
      <w:r>
        <w:rPr>
          <w:lang w:eastAsia="en-GB"/>
        </w:rPr>
        <w:t xml:space="preserve">Additionally, cost estimates data from the USDA </w:t>
      </w:r>
      <w:r w:rsidR="008102B8">
        <w:rPr>
          <w:lang w:eastAsia="en-GB"/>
        </w:rPr>
        <w:t xml:space="preserve">[33] </w:t>
      </w:r>
      <w:r>
        <w:rPr>
          <w:lang w:eastAsia="en-GB"/>
        </w:rPr>
        <w:t>has been collected. This data details the cost per hectare for each agricultural product according to its yields.</w:t>
      </w:r>
      <w:r w:rsidR="008102B8">
        <w:rPr>
          <w:lang w:eastAsia="en-GB"/>
        </w:rPr>
        <w:t xml:space="preserve"> </w:t>
      </w:r>
      <w:r>
        <w:rPr>
          <w:lang w:eastAsia="en-GB"/>
        </w:rPr>
        <w:t xml:space="preserve">Based on the yields illustrated in Figure A.1, cost per mechanisation level for each agricultural product can be defined. The values used in this study are shown in Appendix B (Table B.1). </w:t>
      </w:r>
    </w:p>
    <w:p w:rsidR="009F1A75" w:rsidRPr="008102B8" w:rsidRDefault="009F1A75" w:rsidP="008102B8">
      <w:pPr>
        <w:pStyle w:val="Heading3"/>
      </w:pPr>
      <w:r w:rsidRPr="008102B8">
        <w:t xml:space="preserve">Technology </w:t>
      </w:r>
      <w:r w:rsidR="008102B8">
        <w:t>c</w:t>
      </w:r>
      <w:r w:rsidRPr="008102B8">
        <w:t>alibration</w:t>
      </w:r>
    </w:p>
    <w:p w:rsidR="009F1A75" w:rsidRDefault="009F1A75" w:rsidP="009F1A75">
      <w:r>
        <w:t>To obtain installed capacities for each mechanisation level per region and solve the calibration problem, an optimisation model has been implemented in GAMS</w:t>
      </w:r>
      <w:r w:rsidR="008102B8">
        <w:t xml:space="preserve"> [34]</w:t>
      </w:r>
      <w:r>
        <w:t>.</w:t>
      </w:r>
      <w:r w:rsidR="008102B8">
        <w:t xml:space="preserve"> </w:t>
      </w:r>
      <w:r w:rsidR="008102B8">
        <w:br/>
      </w:r>
      <w:r>
        <w:t>The model aims to minimise the gap between estimated emissions and the historical values for 2010. The problem has been formulated as follows:</w:t>
      </w:r>
    </w:p>
    <w:p w:rsidR="009F1A75" w:rsidRDefault="009F1A75" w:rsidP="008102B8">
      <w:pPr>
        <w:ind w:firstLine="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90"/>
        <w:gridCol w:w="291"/>
      </w:tblGrid>
      <w:tr w:rsidR="008102B8" w:rsidTr="00FB1974">
        <w:tc>
          <w:tcPr>
            <w:tcW w:w="8200" w:type="dxa"/>
            <w:vAlign w:val="center"/>
          </w:tcPr>
          <w:p w:rsidR="008102B8" w:rsidRDefault="008D35AA" w:rsidP="009F1A75">
            <w:pPr>
              <w:ind w:firstLine="0"/>
            </w:pPr>
            <m:oMathPara>
              <m:oMath>
                <m:func>
                  <m:funcPr>
                    <m:ctrlPr>
                      <w:rPr>
                        <w:rFonts w:ascii="Cambria Math" w:eastAsiaTheme="minorEastAsia" w:hAnsi="Cambria Math"/>
                        <w:i/>
                        <w:sz w:val="22"/>
                        <w:szCs w:val="22"/>
                      </w:rPr>
                    </m:ctrlPr>
                  </m:funcPr>
                  <m:fName>
                    <m:r>
                      <m:rPr>
                        <m:sty m:val="p"/>
                      </m:rPr>
                      <w:rPr>
                        <w:rFonts w:ascii="Cambria Math" w:eastAsiaTheme="minorEastAsia" w:hAnsi="Cambria Math"/>
                        <w:sz w:val="22"/>
                      </w:rPr>
                      <m:t>min</m:t>
                    </m:r>
                  </m:fName>
                  <m:e>
                    <m:r>
                      <w:rPr>
                        <w:rFonts w:ascii="Cambria Math" w:eastAsiaTheme="minorEastAsia" w:hAnsi="Cambria Math"/>
                        <w:sz w:val="22"/>
                      </w:rPr>
                      <m:t>Z</m:t>
                    </m:r>
                  </m:e>
                </m:func>
                <m:r>
                  <w:rPr>
                    <w:rFonts w:ascii="Cambria Math" w:eastAsiaTheme="minorEastAsia" w:hAnsi="Cambria Math"/>
                    <w:sz w:val="22"/>
                  </w:rPr>
                  <m:t xml:space="preserve">= </m:t>
                </m:r>
                <m:nary>
                  <m:naryPr>
                    <m:chr m:val="∑"/>
                    <m:limLoc m:val="undOvr"/>
                    <m:supHide m:val="1"/>
                    <m:ctrlPr>
                      <w:rPr>
                        <w:rFonts w:ascii="Cambria Math" w:eastAsiaTheme="minorEastAsia" w:hAnsi="Cambria Math"/>
                        <w:i/>
                        <w:sz w:val="22"/>
                        <w:szCs w:val="22"/>
                      </w:rPr>
                    </m:ctrlPr>
                  </m:naryPr>
                  <m:sub>
                    <m:r>
                      <m:rPr>
                        <m:sty m:val="p"/>
                      </m:rPr>
                      <w:rPr>
                        <w:rFonts w:ascii="Cambria Math" w:eastAsiaTheme="minorEastAsia" w:hAnsi="Cambria Math"/>
                        <w:sz w:val="22"/>
                      </w:rPr>
                      <m:t>r</m:t>
                    </m:r>
                  </m:sub>
                  <m:sup/>
                  <m:e>
                    <m:d>
                      <m:dPr>
                        <m:begChr m:val="|"/>
                        <m:endChr m:val="|"/>
                        <m:ctrlPr>
                          <w:rPr>
                            <w:rFonts w:ascii="Cambria Math" w:eastAsiaTheme="minorEastAsia" w:hAnsi="Cambria Math"/>
                            <w:i/>
                            <w:sz w:val="22"/>
                            <w:szCs w:val="22"/>
                          </w:rPr>
                        </m:ctrlPr>
                      </m:dPr>
                      <m:e>
                        <m:sSub>
                          <m:sSubPr>
                            <m:ctrlPr>
                              <w:rPr>
                                <w:rFonts w:ascii="Cambria Math" w:eastAsiaTheme="minorEastAsia" w:hAnsi="Cambria Math"/>
                                <w:iCs/>
                                <w:sz w:val="22"/>
                                <w:szCs w:val="22"/>
                              </w:rPr>
                            </m:ctrlPr>
                          </m:sSubPr>
                          <m:e>
                            <m:sSub>
                              <m:sSubPr>
                                <m:ctrlPr>
                                  <w:rPr>
                                    <w:rFonts w:ascii="Cambria Math" w:eastAsiaTheme="minorEastAsia" w:hAnsi="Cambria Math"/>
                                    <w:iCs/>
                                    <w:sz w:val="22"/>
                                    <w:szCs w:val="22"/>
                                  </w:rPr>
                                </m:ctrlPr>
                              </m:sSubPr>
                              <m:e>
                                <m:r>
                                  <m:rPr>
                                    <m:sty m:val="p"/>
                                  </m:rPr>
                                  <w:rPr>
                                    <w:rFonts w:ascii="Cambria Math" w:eastAsiaTheme="minorEastAsia" w:hAnsi="Cambria Math"/>
                                    <w:sz w:val="22"/>
                                  </w:rPr>
                                  <m:t>Data</m:t>
                                </m:r>
                              </m:e>
                              <m:sub>
                                <m:r>
                                  <m:rPr>
                                    <m:sty m:val="p"/>
                                  </m:rPr>
                                  <w:rPr>
                                    <w:rFonts w:ascii="Cambria Math" w:eastAsiaTheme="minorEastAsia" w:hAnsi="Cambria Math"/>
                                    <w:sz w:val="22"/>
                                  </w:rPr>
                                  <m:t>emi</m:t>
                                </m:r>
                              </m:sub>
                            </m:sSub>
                            <m:r>
                              <m:rPr>
                                <m:sty m:val="p"/>
                              </m:rPr>
                              <w:rPr>
                                <w:rFonts w:ascii="Cambria Math" w:eastAsiaTheme="minorEastAsia" w:hAnsi="Cambria Math"/>
                                <w:sz w:val="22"/>
                              </w:rPr>
                              <m:t xml:space="preserve"> </m:t>
                            </m:r>
                          </m:e>
                          <m:sub>
                            <m:r>
                              <m:rPr>
                                <m:sty m:val="p"/>
                              </m:rPr>
                              <w:rPr>
                                <w:rFonts w:ascii="Cambria Math" w:eastAsiaTheme="minorEastAsia" w:hAnsi="Cambria Math"/>
                                <w:sz w:val="22"/>
                              </w:rPr>
                              <m:t>r</m:t>
                            </m:r>
                          </m:sub>
                        </m:sSub>
                        <m:r>
                          <w:rPr>
                            <w:rFonts w:ascii="Cambria Math" w:eastAsiaTheme="minorEastAsia" w:hAnsi="Cambria Math"/>
                            <w:sz w:val="22"/>
                          </w:rPr>
                          <m:t>-</m:t>
                        </m:r>
                        <m:d>
                          <m:dPr>
                            <m:ctrlPr>
                              <w:rPr>
                                <w:rFonts w:ascii="Cambria Math" w:eastAsiaTheme="minorEastAsia" w:hAnsi="Cambria Math"/>
                                <w:i/>
                                <w:sz w:val="22"/>
                                <w:szCs w:val="22"/>
                              </w:rPr>
                            </m:ctrlPr>
                          </m:dPr>
                          <m:e>
                            <m:nary>
                              <m:naryPr>
                                <m:chr m:val="∑"/>
                                <m:limLoc m:val="undOvr"/>
                                <m:supHide m:val="1"/>
                                <m:ctrlPr>
                                  <w:rPr>
                                    <w:rFonts w:ascii="Cambria Math" w:eastAsiaTheme="minorEastAsia" w:hAnsi="Cambria Math"/>
                                    <w:i/>
                                    <w:sz w:val="22"/>
                                    <w:szCs w:val="22"/>
                                  </w:rPr>
                                </m:ctrlPr>
                              </m:naryPr>
                              <m:sub>
                                <m:r>
                                  <m:rPr>
                                    <m:sty m:val="p"/>
                                  </m:rPr>
                                  <w:rPr>
                                    <w:rFonts w:ascii="Cambria Math" w:eastAsiaTheme="minorEastAsia" w:hAnsi="Cambria Math"/>
                                    <w:sz w:val="22"/>
                                  </w:rPr>
                                  <m:t>f,t</m:t>
                                </m:r>
                              </m:sub>
                              <m:sup/>
                              <m:e>
                                <m:sSub>
                                  <m:sSubPr>
                                    <m:ctrlPr>
                                      <w:rPr>
                                        <w:rFonts w:ascii="Cambria Math" w:eastAsiaTheme="minorEastAsia" w:hAnsi="Cambria Math"/>
                                        <w:i/>
                                        <w:sz w:val="22"/>
                                        <w:szCs w:val="22"/>
                                      </w:rPr>
                                    </m:ctrlPr>
                                  </m:sSubPr>
                                  <m:e>
                                    <m:r>
                                      <m:rPr>
                                        <m:sty m:val="p"/>
                                      </m:rPr>
                                      <w:rPr>
                                        <w:rFonts w:ascii="Cambria Math" w:eastAsiaTheme="minorEastAsia" w:hAnsi="Cambria Math"/>
                                        <w:sz w:val="22"/>
                                      </w:rPr>
                                      <m:t>Consumption</m:t>
                                    </m:r>
                                  </m:e>
                                  <m:sub>
                                    <m:r>
                                      <m:rPr>
                                        <m:sty m:val="p"/>
                                      </m:rPr>
                                      <w:rPr>
                                        <w:rFonts w:ascii="Cambria Math" w:eastAsiaTheme="minorEastAsia" w:hAnsi="Cambria Math"/>
                                        <w:sz w:val="22"/>
                                      </w:rPr>
                                      <m:t>r,f,t</m:t>
                                    </m:r>
                                  </m:sub>
                                </m:sSub>
                                <m:r>
                                  <w:rPr>
                                    <w:rFonts w:ascii="Cambria Math" w:eastAsiaTheme="minorEastAsia" w:hAnsi="Cambria Math"/>
                                    <w:sz w:val="22"/>
                                  </w:rPr>
                                  <m:t>×</m:t>
                                </m:r>
                                <m:sSub>
                                  <m:sSubPr>
                                    <m:ctrlPr>
                                      <w:rPr>
                                        <w:rFonts w:ascii="Cambria Math" w:eastAsiaTheme="minorEastAsia" w:hAnsi="Cambria Math"/>
                                        <w:i/>
                                        <w:sz w:val="22"/>
                                        <w:szCs w:val="22"/>
                                      </w:rPr>
                                    </m:ctrlPr>
                                  </m:sSubPr>
                                  <m:e>
                                    <m:r>
                                      <m:rPr>
                                        <m:sty m:val="p"/>
                                      </m:rPr>
                                      <w:rPr>
                                        <w:rFonts w:ascii="Cambria Math" w:eastAsiaTheme="minorEastAsia" w:hAnsi="Cambria Math"/>
                                        <w:sz w:val="22"/>
                                      </w:rPr>
                                      <m:t>Fuel emissions</m:t>
                                    </m:r>
                                  </m:e>
                                  <m:sub>
                                    <m:r>
                                      <m:rPr>
                                        <m:sty m:val="p"/>
                                      </m:rPr>
                                      <w:rPr>
                                        <w:rFonts w:ascii="Cambria Math" w:eastAsiaTheme="minorEastAsia" w:hAnsi="Cambria Math"/>
                                        <w:sz w:val="22"/>
                                      </w:rPr>
                                      <m:t>f</m:t>
                                    </m:r>
                                  </m:sub>
                                </m:sSub>
                                <m:r>
                                  <w:rPr>
                                    <w:rFonts w:ascii="Cambria Math" w:eastAsiaTheme="minorEastAsia" w:hAnsi="Cambria Math"/>
                                    <w:sz w:val="22"/>
                                  </w:rPr>
                                  <m:t xml:space="preserve"> </m:t>
                                </m:r>
                              </m:e>
                            </m:nary>
                          </m:e>
                        </m:d>
                      </m:e>
                    </m:d>
                  </m:e>
                </m:nary>
                <m:r>
                  <w:rPr>
                    <w:rFonts w:ascii="Cambria Math" w:eastAsiaTheme="minorEastAsia" w:hAnsi="Cambria Math"/>
                    <w:sz w:val="22"/>
                  </w:rPr>
                  <m:t>+</m:t>
                </m:r>
                <m:nary>
                  <m:naryPr>
                    <m:chr m:val="∑"/>
                    <m:limLoc m:val="undOvr"/>
                    <m:supHide m:val="1"/>
                    <m:ctrlPr>
                      <w:rPr>
                        <w:rFonts w:ascii="Cambria Math" w:eastAsiaTheme="minorEastAsia" w:hAnsi="Cambria Math"/>
                        <w:i/>
                        <w:sz w:val="22"/>
                        <w:szCs w:val="22"/>
                      </w:rPr>
                    </m:ctrlPr>
                  </m:naryPr>
                  <m:sub>
                    <m:r>
                      <m:rPr>
                        <m:sty m:val="p"/>
                      </m:rPr>
                      <w:rPr>
                        <w:rFonts w:ascii="Cambria Math" w:eastAsiaTheme="minorEastAsia" w:hAnsi="Cambria Math"/>
                        <w:sz w:val="22"/>
                      </w:rPr>
                      <m:t>r,f</m:t>
                    </m:r>
                  </m:sub>
                  <m:sup/>
                  <m:e>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m:rPr>
                                <m:sty m:val="p"/>
                              </m:rPr>
                              <w:rPr>
                                <w:rFonts w:ascii="Cambria Math" w:eastAsiaTheme="minorEastAsia" w:hAnsi="Cambria Math"/>
                                <w:sz w:val="22"/>
                              </w:rPr>
                              <m:t>Slack</m:t>
                            </m:r>
                          </m:e>
                          <m:sub>
                            <m:r>
                              <m:rPr>
                                <m:sty m:val="p"/>
                              </m:rPr>
                              <w:rPr>
                                <w:rFonts w:ascii="Cambria Math" w:eastAsiaTheme="minorEastAsia" w:hAnsi="Cambria Math"/>
                                <w:sz w:val="22"/>
                              </w:rPr>
                              <m:t>r,f</m:t>
                            </m:r>
                          </m:sub>
                        </m:sSub>
                      </m:e>
                    </m:d>
                  </m:e>
                </m:nary>
              </m:oMath>
            </m:oMathPara>
          </w:p>
        </w:tc>
        <w:tc>
          <w:tcPr>
            <w:tcW w:w="291" w:type="dxa"/>
            <w:vAlign w:val="center"/>
          </w:tcPr>
          <w:p w:rsidR="008102B8" w:rsidRDefault="008102B8" w:rsidP="008102B8">
            <w:pPr>
              <w:ind w:firstLine="0"/>
              <w:jc w:val="right"/>
            </w:pPr>
            <w:r>
              <w:t>(2)</w:t>
            </w:r>
          </w:p>
        </w:tc>
      </w:tr>
    </w:tbl>
    <w:p w:rsidR="009F1A75" w:rsidRPr="00B737D7" w:rsidRDefault="009F1A75" w:rsidP="008102B8">
      <w:pPr>
        <w:ind w:firstLine="0"/>
        <w:jc w:val="center"/>
        <w:rPr>
          <w:rFonts w:eastAsiaTheme="minorEastAsia"/>
        </w:rPr>
      </w:pPr>
    </w:p>
    <w:p w:rsidR="008102B8" w:rsidRDefault="009F1A75" w:rsidP="008102B8">
      <w:pPr>
        <w:ind w:firstLine="0"/>
        <w:jc w:val="left"/>
        <w:rPr>
          <w:rFonts w:eastAsiaTheme="minorEastAsia"/>
        </w:rPr>
      </w:pPr>
      <w:r>
        <w:rPr>
          <w:rFonts w:eastAsiaTheme="minorEastAsia"/>
        </w:rPr>
        <w:t>subject to</w:t>
      </w:r>
      <w:r w:rsidR="008102B8">
        <w:rPr>
          <w:rFonts w:eastAsiaTheme="minorEastAsia"/>
        </w:rPr>
        <w:t>:</w:t>
      </w:r>
    </w:p>
    <w:p w:rsidR="008102B8" w:rsidRPr="00B737D7" w:rsidRDefault="008102B8" w:rsidP="0011417B">
      <w:pPr>
        <w:ind w:firstLine="0"/>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1"/>
        <w:gridCol w:w="280"/>
      </w:tblGrid>
      <w:tr w:rsidR="0011417B" w:rsidTr="00FB1974">
        <w:tc>
          <w:tcPr>
            <w:tcW w:w="8223" w:type="dxa"/>
            <w:tcMar>
              <w:left w:w="0" w:type="dxa"/>
              <w:right w:w="0" w:type="dxa"/>
            </w:tcMar>
            <w:vAlign w:val="center"/>
          </w:tcPr>
          <w:p w:rsidR="0011417B" w:rsidRDefault="008D35AA" w:rsidP="008102B8">
            <w:pPr>
              <w:ind w:firstLine="0"/>
              <w:jc w:val="left"/>
              <w:rPr>
                <w:sz w:val="22"/>
                <w:szCs w:val="22"/>
              </w:rPr>
            </w:pPr>
            <m:oMathPara>
              <m:oMath>
                <m:nary>
                  <m:naryPr>
                    <m:chr m:val="∑"/>
                    <m:limLoc m:val="undOvr"/>
                    <m:supHide m:val="1"/>
                    <m:ctrlPr>
                      <w:rPr>
                        <w:rFonts w:ascii="Cambria Math" w:hAnsi="Cambria Math"/>
                        <w:i/>
                        <w:sz w:val="22"/>
                        <w:szCs w:val="22"/>
                      </w:rPr>
                    </m:ctrlPr>
                  </m:naryPr>
                  <m:sub>
                    <m:r>
                      <m:rPr>
                        <m:sty m:val="p"/>
                      </m:rPr>
                      <w:rPr>
                        <w:rFonts w:ascii="Cambria Math" w:hAnsi="Cambria Math"/>
                        <w:sz w:val="22"/>
                      </w:rPr>
                      <m:t>t</m:t>
                    </m:r>
                    <m:r>
                      <w:rPr>
                        <w:rFonts w:ascii="Cambria Math" w:hAnsi="Cambria Math"/>
                        <w:sz w:val="22"/>
                      </w:rPr>
                      <m:t>∈</m:t>
                    </m:r>
                    <m:sSub>
                      <m:sSubPr>
                        <m:ctrlPr>
                          <w:rPr>
                            <w:rFonts w:ascii="Cambria Math" w:hAnsi="Cambria Math"/>
                            <w:iCs/>
                            <w:sz w:val="22"/>
                            <w:szCs w:val="22"/>
                          </w:rPr>
                        </m:ctrlPr>
                      </m:sSubPr>
                      <m:e>
                        <m:r>
                          <m:rPr>
                            <m:sty m:val="p"/>
                          </m:rPr>
                          <w:rPr>
                            <w:rFonts w:ascii="Cambria Math" w:hAnsi="Cambria Math"/>
                            <w:sz w:val="22"/>
                          </w:rPr>
                          <m:t>TS</m:t>
                        </m:r>
                      </m:e>
                      <m:sub>
                        <m:r>
                          <m:rPr>
                            <m:sty m:val="p"/>
                          </m:rPr>
                          <w:rPr>
                            <w:rFonts w:ascii="Cambria Math" w:hAnsi="Cambria Math"/>
                            <w:sz w:val="22"/>
                          </w:rPr>
                          <m:t>s</m:t>
                        </m:r>
                      </m:sub>
                    </m:sSub>
                  </m:sub>
                  <m:sup/>
                  <m:e>
                    <m:sSub>
                      <m:sSubPr>
                        <m:ctrlPr>
                          <w:rPr>
                            <w:rFonts w:ascii="Cambria Math" w:hAnsi="Cambria Math"/>
                            <w:iCs/>
                            <w:sz w:val="22"/>
                            <w:szCs w:val="22"/>
                          </w:rPr>
                        </m:ctrlPr>
                      </m:sSubPr>
                      <m:e>
                        <m:r>
                          <m:rPr>
                            <m:sty m:val="p"/>
                          </m:rPr>
                          <w:rPr>
                            <w:rFonts w:ascii="Cambria Math" w:hAnsi="Cambria Math"/>
                            <w:sz w:val="22"/>
                          </w:rPr>
                          <m:t>Capacity</m:t>
                        </m:r>
                      </m:e>
                      <m:sub>
                        <m:r>
                          <m:rPr>
                            <m:sty m:val="p"/>
                          </m:rPr>
                          <w:rPr>
                            <w:rFonts w:ascii="Cambria Math" w:hAnsi="Cambria Math"/>
                            <w:sz w:val="22"/>
                          </w:rPr>
                          <m:t>r,t</m:t>
                        </m:r>
                      </m:sub>
                    </m:sSub>
                  </m:e>
                </m:nary>
                <m:r>
                  <w:rPr>
                    <w:rFonts w:ascii="Cambria Math" w:hAnsi="Cambria Math"/>
                    <w:sz w:val="22"/>
                  </w:rPr>
                  <m:t>&gt;</m:t>
                </m:r>
                <m:sSub>
                  <m:sSubPr>
                    <m:ctrlPr>
                      <w:rPr>
                        <w:rFonts w:ascii="Cambria Math" w:hAnsi="Cambria Math"/>
                        <w:i/>
                        <w:sz w:val="22"/>
                        <w:szCs w:val="22"/>
                      </w:rPr>
                    </m:ctrlPr>
                  </m:sSubPr>
                  <m:e>
                    <m:r>
                      <m:rPr>
                        <m:sty m:val="p"/>
                      </m:rPr>
                      <w:rPr>
                        <w:rFonts w:ascii="Cambria Math" w:hAnsi="Cambria Math"/>
                        <w:sz w:val="22"/>
                      </w:rPr>
                      <m:t>Demand</m:t>
                    </m:r>
                  </m:e>
                  <m:sub>
                    <m:r>
                      <m:rPr>
                        <m:sty m:val="p"/>
                      </m:rPr>
                      <w:rPr>
                        <w:rFonts w:ascii="Cambria Math" w:hAnsi="Cambria Math"/>
                        <w:sz w:val="22"/>
                      </w:rPr>
                      <m:t>r,s</m:t>
                    </m:r>
                  </m:sub>
                </m:sSub>
              </m:oMath>
            </m:oMathPara>
          </w:p>
        </w:tc>
        <w:tc>
          <w:tcPr>
            <w:tcW w:w="268" w:type="dxa"/>
            <w:vMerge w:val="restart"/>
            <w:tcMar>
              <w:left w:w="0" w:type="dxa"/>
              <w:right w:w="0" w:type="dxa"/>
            </w:tcMar>
            <w:vAlign w:val="center"/>
          </w:tcPr>
          <w:p w:rsidR="0011417B" w:rsidRDefault="0011417B" w:rsidP="0011417B">
            <w:pPr>
              <w:ind w:firstLine="0"/>
              <w:jc w:val="right"/>
              <w:rPr>
                <w:sz w:val="22"/>
                <w:szCs w:val="22"/>
              </w:rPr>
            </w:pPr>
            <w:r w:rsidRPr="009A3326">
              <w:rPr>
                <w:szCs w:val="22"/>
              </w:rPr>
              <w:t>(3)</w:t>
            </w:r>
          </w:p>
        </w:tc>
      </w:tr>
      <w:tr w:rsidR="00856969" w:rsidTr="00FB1974">
        <w:tc>
          <w:tcPr>
            <w:tcW w:w="8223" w:type="dxa"/>
            <w:tcMar>
              <w:left w:w="0" w:type="dxa"/>
              <w:right w:w="0" w:type="dxa"/>
            </w:tcMar>
            <w:vAlign w:val="center"/>
          </w:tcPr>
          <w:p w:rsidR="00856969" w:rsidRPr="00856969" w:rsidRDefault="00856969" w:rsidP="008102B8">
            <w:pPr>
              <w:ind w:firstLine="0"/>
              <w:jc w:val="left"/>
              <w:rPr>
                <w:sz w:val="22"/>
                <w:szCs w:val="22"/>
              </w:rPr>
            </w:pPr>
          </w:p>
        </w:tc>
        <w:tc>
          <w:tcPr>
            <w:tcW w:w="268" w:type="dxa"/>
            <w:vMerge/>
            <w:tcMar>
              <w:left w:w="0" w:type="dxa"/>
              <w:right w:w="0" w:type="dxa"/>
            </w:tcMar>
            <w:vAlign w:val="center"/>
          </w:tcPr>
          <w:p w:rsidR="00856969" w:rsidRDefault="00856969" w:rsidP="008102B8">
            <w:pPr>
              <w:ind w:firstLine="0"/>
              <w:jc w:val="left"/>
              <w:rPr>
                <w:sz w:val="22"/>
                <w:szCs w:val="22"/>
              </w:rPr>
            </w:pPr>
          </w:p>
        </w:tc>
      </w:tr>
      <w:tr w:rsidR="0011417B" w:rsidTr="00FB1974">
        <w:tc>
          <w:tcPr>
            <w:tcW w:w="8223" w:type="dxa"/>
            <w:tcMar>
              <w:left w:w="0" w:type="dxa"/>
              <w:right w:w="0" w:type="dxa"/>
            </w:tcMar>
            <w:vAlign w:val="center"/>
          </w:tcPr>
          <w:p w:rsidR="0011417B" w:rsidRDefault="008D35AA" w:rsidP="008102B8">
            <w:pPr>
              <w:ind w:firstLine="0"/>
              <w:jc w:val="left"/>
              <w:rPr>
                <w:sz w:val="22"/>
                <w:szCs w:val="22"/>
              </w:rPr>
            </w:pPr>
            <m:oMathPara>
              <m:oMath>
                <m:nary>
                  <m:naryPr>
                    <m:chr m:val="∑"/>
                    <m:limLoc m:val="undOvr"/>
                    <m:supHide m:val="1"/>
                    <m:ctrlPr>
                      <w:rPr>
                        <w:rFonts w:ascii="Cambria Math" w:hAnsi="Cambria Math"/>
                        <w:i/>
                        <w:sz w:val="22"/>
                        <w:szCs w:val="22"/>
                      </w:rPr>
                    </m:ctrlPr>
                  </m:naryPr>
                  <m:sub>
                    <m:r>
                      <m:rPr>
                        <m:sty m:val="p"/>
                      </m:rPr>
                      <w:rPr>
                        <w:rFonts w:ascii="Cambria Math" w:hAnsi="Cambria Math"/>
                        <w:sz w:val="22"/>
                      </w:rPr>
                      <m:t>t</m:t>
                    </m:r>
                  </m:sub>
                  <m:sup/>
                  <m:e>
                    <m:sSub>
                      <m:sSubPr>
                        <m:ctrlPr>
                          <w:rPr>
                            <w:rFonts w:ascii="Cambria Math" w:hAnsi="Cambria Math"/>
                            <w:iCs/>
                            <w:sz w:val="22"/>
                            <w:szCs w:val="22"/>
                          </w:rPr>
                        </m:ctrlPr>
                      </m:sSubPr>
                      <m:e>
                        <m:r>
                          <m:rPr>
                            <m:sty m:val="p"/>
                          </m:rPr>
                          <w:rPr>
                            <w:rFonts w:ascii="Cambria Math" w:hAnsi="Cambria Math"/>
                            <w:sz w:val="22"/>
                          </w:rPr>
                          <m:t>Consumption</m:t>
                        </m:r>
                      </m:e>
                      <m:sub>
                        <m:r>
                          <m:rPr>
                            <m:sty m:val="p"/>
                          </m:rPr>
                          <w:rPr>
                            <w:rFonts w:ascii="Cambria Math" w:hAnsi="Cambria Math"/>
                            <w:sz w:val="22"/>
                          </w:rPr>
                          <m:t>r,f,t</m:t>
                        </m:r>
                      </m:sub>
                    </m:sSub>
                  </m:e>
                </m:nary>
                <m:r>
                  <w:rPr>
                    <w:rFonts w:ascii="Cambria Math" w:eastAsiaTheme="minorEastAsia" w:hAnsi="Cambria Math"/>
                    <w:sz w:val="22"/>
                  </w:rPr>
                  <m:t xml:space="preserve">&lt; </m:t>
                </m:r>
                <m:d>
                  <m:dPr>
                    <m:ctrlPr>
                      <w:rPr>
                        <w:rFonts w:ascii="Cambria Math" w:hAnsi="Cambria Math"/>
                        <w:i/>
                        <w:sz w:val="22"/>
                        <w:szCs w:val="22"/>
                      </w:rPr>
                    </m:ctrlPr>
                  </m:dPr>
                  <m:e>
                    <m:sSub>
                      <m:sSubPr>
                        <m:ctrlPr>
                          <w:rPr>
                            <w:rFonts w:ascii="Cambria Math" w:hAnsi="Cambria Math"/>
                            <w:iCs/>
                            <w:sz w:val="22"/>
                            <w:szCs w:val="22"/>
                          </w:rPr>
                        </m:ctrlPr>
                      </m:sSubPr>
                      <m:e>
                        <m:r>
                          <m:rPr>
                            <m:sty m:val="p"/>
                          </m:rPr>
                          <w:rPr>
                            <w:rFonts w:ascii="Cambria Math" w:hAnsi="Cambria Math"/>
                            <w:sz w:val="22"/>
                          </w:rPr>
                          <m:t>Fuel demand</m:t>
                        </m:r>
                      </m:e>
                      <m:sub>
                        <m:r>
                          <m:rPr>
                            <m:sty m:val="p"/>
                          </m:rPr>
                          <w:rPr>
                            <w:rFonts w:ascii="Cambria Math" w:hAnsi="Cambria Math"/>
                            <w:sz w:val="22"/>
                          </w:rPr>
                          <m:t>r,f</m:t>
                        </m:r>
                      </m:sub>
                    </m:sSub>
                    <m:r>
                      <w:rPr>
                        <w:rFonts w:ascii="Cambria Math" w:eastAsiaTheme="minorEastAsia" w:hAnsi="Cambria Math"/>
                        <w:sz w:val="22"/>
                      </w:rPr>
                      <m:t>+</m:t>
                    </m:r>
                    <m:sSub>
                      <m:sSubPr>
                        <m:ctrlPr>
                          <w:rPr>
                            <w:rFonts w:ascii="Cambria Math" w:eastAsiaTheme="minorEastAsia" w:hAnsi="Cambria Math"/>
                            <w:iCs/>
                            <w:sz w:val="22"/>
                            <w:szCs w:val="22"/>
                          </w:rPr>
                        </m:ctrlPr>
                      </m:sSubPr>
                      <m:e>
                        <m:r>
                          <m:rPr>
                            <m:sty m:val="p"/>
                          </m:rPr>
                          <w:rPr>
                            <w:rFonts w:ascii="Cambria Math" w:eastAsiaTheme="minorEastAsia" w:hAnsi="Cambria Math"/>
                            <w:sz w:val="22"/>
                          </w:rPr>
                          <m:t>Slack</m:t>
                        </m:r>
                      </m:e>
                      <m:sub>
                        <m:r>
                          <m:rPr>
                            <m:sty m:val="p"/>
                          </m:rPr>
                          <w:rPr>
                            <w:rFonts w:ascii="Cambria Math" w:eastAsiaTheme="minorEastAsia" w:hAnsi="Cambria Math"/>
                            <w:sz w:val="22"/>
                          </w:rPr>
                          <m:t>r,f</m:t>
                        </m:r>
                      </m:sub>
                    </m:sSub>
                  </m:e>
                </m:d>
              </m:oMath>
            </m:oMathPara>
          </w:p>
        </w:tc>
        <w:tc>
          <w:tcPr>
            <w:tcW w:w="268" w:type="dxa"/>
            <w:vMerge/>
            <w:tcMar>
              <w:left w:w="0" w:type="dxa"/>
              <w:right w:w="0" w:type="dxa"/>
            </w:tcMar>
            <w:vAlign w:val="center"/>
          </w:tcPr>
          <w:p w:rsidR="0011417B" w:rsidRDefault="0011417B" w:rsidP="008102B8">
            <w:pPr>
              <w:ind w:firstLine="0"/>
              <w:jc w:val="left"/>
              <w:rPr>
                <w:sz w:val="22"/>
                <w:szCs w:val="22"/>
              </w:rPr>
            </w:pPr>
          </w:p>
        </w:tc>
      </w:tr>
    </w:tbl>
    <w:p w:rsidR="009F1A75" w:rsidRPr="0011417B" w:rsidRDefault="009F1A75" w:rsidP="0011417B">
      <w:pPr>
        <w:ind w:firstLine="0"/>
        <w:jc w:val="center"/>
        <w:rPr>
          <w:rFonts w:eastAsiaTheme="minorEastAsia"/>
        </w:rPr>
      </w:pPr>
    </w:p>
    <w:p w:rsidR="009F1A75" w:rsidRDefault="009F1A75" w:rsidP="0011417B">
      <w:pPr>
        <w:ind w:firstLine="0"/>
      </w:pPr>
      <w:r>
        <w:t xml:space="preserve">where </w:t>
      </w:r>
      <w:r w:rsidR="00856969" w:rsidRPr="00523E02">
        <w:rPr>
          <w:iCs/>
        </w:rPr>
        <w:t>r</w:t>
      </w:r>
      <w:r>
        <w:t xml:space="preserve"> refers to region, </w:t>
      </w:r>
      <w:r w:rsidR="00856969" w:rsidRPr="00523E02">
        <w:rPr>
          <w:iCs/>
        </w:rPr>
        <w:t>f</w:t>
      </w:r>
      <w:r>
        <w:t xml:space="preserve"> refers to fuel type, </w:t>
      </w:r>
      <w:r w:rsidR="00856969" w:rsidRPr="00523E02">
        <w:rPr>
          <w:iCs/>
        </w:rPr>
        <w:t>t</w:t>
      </w:r>
      <w:r>
        <w:t xml:space="preserve"> to technology, </w:t>
      </w:r>
      <w:r w:rsidR="00856969" w:rsidRPr="00523E02">
        <w:rPr>
          <w:iCs/>
        </w:rPr>
        <w:t>s</w:t>
      </w:r>
      <w:r w:rsidR="00856969">
        <w:t xml:space="preserve"> </w:t>
      </w:r>
      <w:r>
        <w:t>to service and</w:t>
      </w:r>
      <w:r w:rsidR="00856969">
        <w:t xml:space="preserve"> TS</w:t>
      </w:r>
      <w:r w:rsidR="00856969" w:rsidRPr="00856969">
        <w:rPr>
          <w:vertAlign w:val="subscript"/>
        </w:rPr>
        <w:t>s</w:t>
      </w:r>
      <w:r w:rsidR="00FB1974" w:rsidRPr="00FB1974">
        <w:t xml:space="preserve"> </w:t>
      </w:r>
      <w:r>
        <w:t>are the technologies available for service</w:t>
      </w:r>
      <w:r w:rsidR="00856969">
        <w:t xml:space="preserve"> </w:t>
      </w:r>
      <w:r w:rsidR="00856969" w:rsidRPr="00523E02">
        <w:rPr>
          <w:iCs/>
        </w:rPr>
        <w:t>s</w:t>
      </w:r>
      <w:r>
        <w:t>.</w:t>
      </w:r>
      <w:r w:rsidR="00856969">
        <w:t xml:space="preserve"> </w:t>
      </w:r>
      <w:r>
        <w:t>A slack variable has been added to fulfil fuel constraints. By solving the optimisation problem, all structural alternatives are evaluated and the capacities for each technology corresponding to the optimal solution are used as an estimate of the base year stock. In the periods after the base year, the MUSE-Ag&amp;LU</w:t>
      </w:r>
      <w:r>
        <w:rPr>
          <w:rFonts w:cs="CMBX10"/>
          <w:color w:val="000000"/>
        </w:rPr>
        <w:t xml:space="preserve"> </w:t>
      </w:r>
      <w:r>
        <w:t>applies the simulation algorithm previously described to model capital and investment decisions in order to meet the demand and balance the decommissioned stock.</w:t>
      </w:r>
    </w:p>
    <w:p w:rsidR="009F1A75" w:rsidRPr="00B737D7" w:rsidRDefault="009F1A75" w:rsidP="00B737D7">
      <w:pPr>
        <w:pStyle w:val="Heading3"/>
      </w:pPr>
      <w:r w:rsidRPr="00B737D7">
        <w:lastRenderedPageBreak/>
        <w:t xml:space="preserve">Land </w:t>
      </w:r>
      <w:r w:rsidR="00FB1974" w:rsidRPr="00B737D7">
        <w:t>u</w:t>
      </w:r>
      <w:r w:rsidRPr="00B737D7">
        <w:t xml:space="preserve">se </w:t>
      </w:r>
      <w:r w:rsidR="00FB1974" w:rsidRPr="00B737D7">
        <w:t>d</w:t>
      </w:r>
      <w:r w:rsidRPr="00B737D7">
        <w:t xml:space="preserve">emand and </w:t>
      </w:r>
      <w:r w:rsidR="00FB1974" w:rsidRPr="00B737D7">
        <w:t>l</w:t>
      </w:r>
      <w:r w:rsidRPr="00B737D7">
        <w:t xml:space="preserve">and </w:t>
      </w:r>
      <w:r w:rsidR="00FB1974" w:rsidRPr="00B737D7">
        <w:t>u</w:t>
      </w:r>
      <w:r w:rsidRPr="00B737D7">
        <w:t xml:space="preserve">se </w:t>
      </w:r>
      <w:r w:rsidR="00FB1974" w:rsidRPr="00B737D7">
        <w:t>c</w:t>
      </w:r>
      <w:r w:rsidRPr="00B737D7">
        <w:t xml:space="preserve">hange </w:t>
      </w:r>
      <w:r w:rsidR="00FB1974" w:rsidRPr="00B737D7">
        <w:t>e</w:t>
      </w:r>
      <w:r w:rsidRPr="00B737D7">
        <w:t>missions</w:t>
      </w:r>
    </w:p>
    <w:p w:rsidR="009F1A75" w:rsidRDefault="009F1A75" w:rsidP="009F1A75">
      <w:r>
        <w:t>The integration of mechanisation levels into the agricultural production system provides a straightforward elem</w:t>
      </w:r>
      <w:r w:rsidR="00B737D7">
        <w:t xml:space="preserve">ent to link installed capacity, </w:t>
      </w:r>
      <w:r>
        <w:t>commodity productivity and land</w:t>
      </w:r>
      <w:r w:rsidR="00B737D7">
        <w:t xml:space="preserve"> demand per service (Figure 2). </w:t>
      </w:r>
      <w:r>
        <w:t xml:space="preserve">Depending on the demand and production levels per </w:t>
      </w:r>
      <w:r w:rsidR="00B737D7">
        <w:t xml:space="preserve">mechanisation level technology, </w:t>
      </w:r>
      <w:r>
        <w:t xml:space="preserve">MUSE will calculate the land requirement specifically for that process. Processes with a selected output service will require same type of land. This means that, for example, the cropping processes will be allocated to cropland only. Then, land values are aggregated per land type, region, and period to obtain a final agricultural land requirement. </w:t>
      </w:r>
    </w:p>
    <w:p w:rsidR="009F1A75" w:rsidRDefault="009F1A75" w:rsidP="00B737D7">
      <w:pPr>
        <w:ind w:firstLine="0"/>
        <w:jc w:val="center"/>
      </w:pPr>
    </w:p>
    <w:p w:rsidR="009F1A75" w:rsidRDefault="009F1A75" w:rsidP="009F1A75">
      <w:pPr>
        <w:ind w:firstLine="0"/>
        <w:jc w:val="center"/>
        <w:rPr>
          <w:noProof/>
          <w:lang w:eastAsia="en-GB"/>
        </w:rPr>
      </w:pPr>
      <w:r>
        <w:rPr>
          <w:noProof/>
          <w:lang w:val="hr-HR" w:eastAsia="hr-HR"/>
        </w:rPr>
        <w:drawing>
          <wp:inline distT="0" distB="0" distL="0" distR="0">
            <wp:extent cx="5123815" cy="11214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3540" b="2312"/>
                    <a:stretch>
                      <a:fillRect/>
                    </a:stretch>
                  </pic:blipFill>
                  <pic:spPr bwMode="auto">
                    <a:xfrm>
                      <a:off x="0" y="0"/>
                      <a:ext cx="5123815" cy="1121410"/>
                    </a:xfrm>
                    <a:prstGeom prst="rect">
                      <a:avLst/>
                    </a:prstGeom>
                    <a:noFill/>
                    <a:ln>
                      <a:noFill/>
                    </a:ln>
                  </pic:spPr>
                </pic:pic>
              </a:graphicData>
            </a:graphic>
          </wp:inline>
        </w:drawing>
      </w:r>
    </w:p>
    <w:p w:rsidR="009F1A75" w:rsidRDefault="009F1A75" w:rsidP="00B737D7">
      <w:pPr>
        <w:ind w:firstLine="0"/>
        <w:jc w:val="center"/>
        <w:rPr>
          <w:noProof/>
          <w:sz w:val="22"/>
          <w:lang w:eastAsia="en-GB"/>
        </w:rPr>
      </w:pPr>
    </w:p>
    <w:p w:rsidR="009F1A75" w:rsidRPr="00317A92" w:rsidRDefault="009F1A75" w:rsidP="00B737D7">
      <w:pPr>
        <w:ind w:firstLine="0"/>
        <w:jc w:val="center"/>
        <w:rPr>
          <w:noProof/>
          <w:sz w:val="22"/>
          <w:lang w:eastAsia="en-GB"/>
        </w:rPr>
      </w:pPr>
      <w:r>
        <w:rPr>
          <w:noProof/>
          <w:sz w:val="22"/>
          <w:lang w:eastAsia="en-GB"/>
        </w:rPr>
        <w:t>Figure 2</w:t>
      </w:r>
      <w:r w:rsidR="00B737D7">
        <w:rPr>
          <w:noProof/>
          <w:sz w:val="22"/>
          <w:lang w:eastAsia="en-GB"/>
        </w:rPr>
        <w:t xml:space="preserve">. </w:t>
      </w:r>
      <w:r w:rsidRPr="00317A92">
        <w:rPr>
          <w:noProof/>
          <w:sz w:val="22"/>
          <w:lang w:eastAsia="en-GB"/>
        </w:rPr>
        <w:t xml:space="preserve">Basic representation of agricultural </w:t>
      </w:r>
      <w:r w:rsidR="00B737D7">
        <w:rPr>
          <w:noProof/>
          <w:sz w:val="22"/>
          <w:lang w:eastAsia="en-GB"/>
        </w:rPr>
        <w:t xml:space="preserve">mechanization </w:t>
      </w:r>
      <w:r>
        <w:rPr>
          <w:noProof/>
          <w:sz w:val="22"/>
          <w:lang w:eastAsia="en-GB"/>
        </w:rPr>
        <w:t>technology considering</w:t>
      </w:r>
      <w:r w:rsidRPr="00317A92">
        <w:rPr>
          <w:noProof/>
          <w:sz w:val="22"/>
          <w:lang w:eastAsia="en-GB"/>
        </w:rPr>
        <w:t xml:space="preserve"> fuel </w:t>
      </w:r>
      <w:r>
        <w:rPr>
          <w:noProof/>
          <w:sz w:val="22"/>
          <w:lang w:eastAsia="en-GB"/>
        </w:rPr>
        <w:t>input</w:t>
      </w:r>
      <w:r w:rsidRPr="00317A92">
        <w:rPr>
          <w:noProof/>
          <w:sz w:val="22"/>
          <w:lang w:eastAsia="en-GB"/>
        </w:rPr>
        <w:t>, production and land use demand</w:t>
      </w:r>
    </w:p>
    <w:p w:rsidR="009F1A75" w:rsidRDefault="009F1A75" w:rsidP="009F1A75">
      <w:pPr>
        <w:jc w:val="center"/>
      </w:pPr>
    </w:p>
    <w:p w:rsidR="009F1A75" w:rsidRDefault="009F1A75" w:rsidP="009F1A75">
      <w:r>
        <w:t xml:space="preserve">In MUSE-Ag&amp;LU, seven different land types have been modelled: </w:t>
      </w:r>
    </w:p>
    <w:p w:rsidR="009F1A75" w:rsidRPr="00B737D7" w:rsidRDefault="009F1A75" w:rsidP="00B737D7">
      <w:pPr>
        <w:pStyle w:val="ListParagraph"/>
        <w:numPr>
          <w:ilvl w:val="0"/>
          <w:numId w:val="12"/>
        </w:numPr>
        <w:spacing w:after="0" w:line="240" w:lineRule="auto"/>
        <w:ind w:left="680" w:hanging="340"/>
        <w:rPr>
          <w:rFonts w:ascii="Times New Roman" w:hAnsi="Times New Roman"/>
          <w:sz w:val="24"/>
          <w:szCs w:val="24"/>
          <w:lang w:val="en-GB"/>
        </w:rPr>
      </w:pPr>
      <w:r w:rsidRPr="00B737D7">
        <w:rPr>
          <w:rFonts w:ascii="Times New Roman" w:hAnsi="Times New Roman"/>
          <w:sz w:val="24"/>
          <w:szCs w:val="24"/>
          <w:lang w:val="en-GB"/>
        </w:rPr>
        <w:t>Cropland</w:t>
      </w:r>
      <w:r w:rsidR="00B737D7">
        <w:rPr>
          <w:rFonts w:ascii="Times New Roman" w:hAnsi="Times New Roman"/>
          <w:sz w:val="24"/>
          <w:szCs w:val="24"/>
          <w:lang w:val="en-GB"/>
        </w:rPr>
        <w:t>: land for crop cultivation;</w:t>
      </w:r>
    </w:p>
    <w:p w:rsidR="009F1A75" w:rsidRPr="00B737D7" w:rsidRDefault="009F1A75" w:rsidP="00B737D7">
      <w:pPr>
        <w:pStyle w:val="ListParagraph"/>
        <w:numPr>
          <w:ilvl w:val="0"/>
          <w:numId w:val="12"/>
        </w:numPr>
        <w:spacing w:after="0" w:line="240" w:lineRule="auto"/>
        <w:ind w:left="680" w:hanging="340"/>
        <w:rPr>
          <w:rFonts w:ascii="Times New Roman" w:hAnsi="Times New Roman"/>
          <w:sz w:val="24"/>
          <w:szCs w:val="24"/>
          <w:lang w:val="en-GB"/>
        </w:rPr>
      </w:pPr>
      <w:r w:rsidRPr="00B737D7">
        <w:rPr>
          <w:rFonts w:ascii="Times New Roman" w:hAnsi="Times New Roman"/>
          <w:sz w:val="24"/>
          <w:szCs w:val="24"/>
          <w:lang w:val="en-GB"/>
        </w:rPr>
        <w:t>Pasture land: land for grazing livestock</w:t>
      </w:r>
      <w:r w:rsidR="00B737D7">
        <w:rPr>
          <w:rFonts w:ascii="Times New Roman" w:hAnsi="Times New Roman"/>
          <w:sz w:val="24"/>
          <w:szCs w:val="24"/>
          <w:lang w:val="en-GB"/>
        </w:rPr>
        <w:t>;</w:t>
      </w:r>
    </w:p>
    <w:p w:rsidR="009F1A75" w:rsidRPr="00B737D7" w:rsidRDefault="009F1A75" w:rsidP="00B737D7">
      <w:pPr>
        <w:pStyle w:val="ListParagraph"/>
        <w:numPr>
          <w:ilvl w:val="0"/>
          <w:numId w:val="12"/>
        </w:numPr>
        <w:spacing w:after="0" w:line="240" w:lineRule="auto"/>
        <w:ind w:left="680" w:hanging="340"/>
        <w:rPr>
          <w:rFonts w:ascii="Times New Roman" w:hAnsi="Times New Roman"/>
          <w:sz w:val="24"/>
          <w:szCs w:val="24"/>
          <w:lang w:val="en-GB"/>
        </w:rPr>
      </w:pPr>
      <w:r w:rsidRPr="00B737D7">
        <w:rPr>
          <w:rFonts w:ascii="Times New Roman" w:hAnsi="Times New Roman"/>
          <w:sz w:val="24"/>
          <w:szCs w:val="24"/>
          <w:lang w:val="en-GB"/>
        </w:rPr>
        <w:t>Forestry products</w:t>
      </w:r>
      <w:r w:rsidR="00B737D7">
        <w:rPr>
          <w:rFonts w:ascii="Times New Roman" w:hAnsi="Times New Roman"/>
          <w:sz w:val="24"/>
          <w:szCs w:val="24"/>
          <w:lang w:val="en-GB"/>
        </w:rPr>
        <w:t>: land for silviculture;</w:t>
      </w:r>
    </w:p>
    <w:p w:rsidR="009F1A75" w:rsidRPr="00B737D7" w:rsidRDefault="009F1A75" w:rsidP="00B737D7">
      <w:pPr>
        <w:pStyle w:val="ListParagraph"/>
        <w:numPr>
          <w:ilvl w:val="0"/>
          <w:numId w:val="12"/>
        </w:numPr>
        <w:spacing w:after="0" w:line="240" w:lineRule="auto"/>
        <w:ind w:left="680" w:hanging="340"/>
        <w:rPr>
          <w:rFonts w:ascii="Times New Roman" w:hAnsi="Times New Roman"/>
          <w:sz w:val="24"/>
          <w:szCs w:val="24"/>
          <w:lang w:val="en-GB"/>
        </w:rPr>
      </w:pPr>
      <w:r w:rsidRPr="00B737D7">
        <w:rPr>
          <w:rFonts w:ascii="Times New Roman" w:hAnsi="Times New Roman"/>
          <w:sz w:val="24"/>
          <w:szCs w:val="24"/>
          <w:lang w:val="en-GB"/>
        </w:rPr>
        <w:t>Energy crops: land for bioenergy crops</w:t>
      </w:r>
      <w:r w:rsidR="00B737D7">
        <w:rPr>
          <w:rFonts w:ascii="Times New Roman" w:hAnsi="Times New Roman"/>
          <w:sz w:val="24"/>
          <w:szCs w:val="24"/>
          <w:lang w:val="en-GB"/>
        </w:rPr>
        <w:t>;</w:t>
      </w:r>
    </w:p>
    <w:p w:rsidR="009F1A75" w:rsidRPr="00B737D7" w:rsidRDefault="009F1A75" w:rsidP="00B737D7">
      <w:pPr>
        <w:pStyle w:val="ListParagraph"/>
        <w:numPr>
          <w:ilvl w:val="0"/>
          <w:numId w:val="12"/>
        </w:numPr>
        <w:spacing w:after="0" w:line="240" w:lineRule="auto"/>
        <w:ind w:left="680" w:hanging="340"/>
        <w:rPr>
          <w:rFonts w:ascii="Times New Roman" w:hAnsi="Times New Roman"/>
          <w:sz w:val="24"/>
          <w:szCs w:val="24"/>
          <w:lang w:val="en-GB"/>
        </w:rPr>
      </w:pPr>
      <w:r w:rsidRPr="00B737D7">
        <w:rPr>
          <w:rFonts w:ascii="Times New Roman" w:hAnsi="Times New Roman"/>
          <w:sz w:val="24"/>
          <w:szCs w:val="24"/>
          <w:lang w:val="en-GB"/>
        </w:rPr>
        <w:t>Natural forest: primary and secondary forest land</w:t>
      </w:r>
      <w:r w:rsidR="00B737D7">
        <w:rPr>
          <w:rFonts w:ascii="Times New Roman" w:hAnsi="Times New Roman"/>
          <w:sz w:val="24"/>
          <w:szCs w:val="24"/>
          <w:lang w:val="en-GB"/>
        </w:rPr>
        <w:t>;</w:t>
      </w:r>
    </w:p>
    <w:p w:rsidR="009F1A75" w:rsidRPr="00B737D7" w:rsidRDefault="009F1A75" w:rsidP="00B737D7">
      <w:pPr>
        <w:pStyle w:val="ListParagraph"/>
        <w:numPr>
          <w:ilvl w:val="0"/>
          <w:numId w:val="12"/>
        </w:numPr>
        <w:spacing w:after="0" w:line="240" w:lineRule="auto"/>
        <w:ind w:left="680" w:hanging="340"/>
        <w:rPr>
          <w:rFonts w:ascii="Times New Roman" w:hAnsi="Times New Roman"/>
          <w:sz w:val="24"/>
          <w:szCs w:val="24"/>
          <w:lang w:val="en-GB"/>
        </w:rPr>
      </w:pPr>
      <w:r w:rsidRPr="00B737D7">
        <w:rPr>
          <w:rFonts w:ascii="Times New Roman" w:hAnsi="Times New Roman"/>
          <w:sz w:val="24"/>
          <w:szCs w:val="24"/>
          <w:lang w:val="en-GB"/>
        </w:rPr>
        <w:t>Non-arable land: unsuitable farming land (desert, ice, tundra, rock)</w:t>
      </w:r>
      <w:r w:rsidR="00B737D7">
        <w:rPr>
          <w:rFonts w:ascii="Times New Roman" w:hAnsi="Times New Roman"/>
          <w:sz w:val="24"/>
          <w:szCs w:val="24"/>
          <w:lang w:val="en-GB"/>
        </w:rPr>
        <w:t>;</w:t>
      </w:r>
    </w:p>
    <w:p w:rsidR="009F1A75" w:rsidRPr="00B737D7" w:rsidRDefault="009F1A75" w:rsidP="00B737D7">
      <w:pPr>
        <w:pStyle w:val="ListParagraph"/>
        <w:numPr>
          <w:ilvl w:val="0"/>
          <w:numId w:val="12"/>
        </w:numPr>
        <w:spacing w:after="0" w:line="240" w:lineRule="auto"/>
        <w:ind w:left="680" w:hanging="340"/>
        <w:rPr>
          <w:rFonts w:ascii="Times New Roman" w:hAnsi="Times New Roman"/>
          <w:sz w:val="24"/>
          <w:szCs w:val="24"/>
          <w:lang w:val="en-GB"/>
        </w:rPr>
      </w:pPr>
      <w:r w:rsidRPr="00B737D7">
        <w:rPr>
          <w:rFonts w:ascii="Times New Roman" w:hAnsi="Times New Roman"/>
          <w:sz w:val="24"/>
          <w:szCs w:val="24"/>
          <w:lang w:val="en-GB"/>
        </w:rPr>
        <w:t>Urban/Infrastructure</w:t>
      </w:r>
      <w:r w:rsidR="00B737D7">
        <w:rPr>
          <w:rFonts w:ascii="Times New Roman" w:hAnsi="Times New Roman"/>
          <w:sz w:val="24"/>
          <w:szCs w:val="24"/>
          <w:lang w:val="en-GB"/>
        </w:rPr>
        <w:t>: land for human settlements.</w:t>
      </w:r>
    </w:p>
    <w:p w:rsidR="009F1A75" w:rsidRDefault="00B737D7" w:rsidP="00B737D7">
      <w:r>
        <w:t xml:space="preserve">The model calculates land use </w:t>
      </w:r>
      <w:r w:rsidR="009F1A75">
        <w:t>chan</w:t>
      </w:r>
      <w:r>
        <w:t xml:space="preserve">ge when the actual land to meet </w:t>
      </w:r>
      <w:r w:rsidR="009F1A75">
        <w:t xml:space="preserve">certain agricultural demand is not sufficient. Land becomes available either via deforestation or via a change in the destination of other land types in case of demand reduction or technology improvements (e.g. pasture land converted to energy crops). </w:t>
      </w:r>
    </w:p>
    <w:p w:rsidR="009F1A75" w:rsidRDefault="009F1A75" w:rsidP="00B737D7">
      <w:r>
        <w:t>To calculate land use emissions, the method is based on the non-spatially IPCC Tier 1 approach</w:t>
      </w:r>
      <w:r w:rsidR="00B737D7">
        <w:t xml:space="preserve"> [35]. </w:t>
      </w:r>
      <w:r>
        <w:t>The approach calculates net land use changes over a period in time considering CO</w:t>
      </w:r>
      <w:r w:rsidRPr="00A243A0">
        <w:rPr>
          <w:vertAlign w:val="subscript"/>
        </w:rPr>
        <w:t>2</w:t>
      </w:r>
      <w:r>
        <w:t xml:space="preserve"> emissions based on disruptions from each pool for each land use category</w:t>
      </w:r>
      <w:r>
        <w:rPr>
          <w:rStyle w:val="FootnoteReference"/>
        </w:rPr>
        <w:footnoteReference w:id="2"/>
      </w:r>
      <w:r w:rsidR="00B737D7">
        <w:t xml:space="preserve">. </w:t>
      </w:r>
      <w:r>
        <w:t xml:space="preserve">The four </w:t>
      </w:r>
      <w:r w:rsidR="00B737D7">
        <w:t>carbon pools considered are: above ground biomass, below ground biomass, Dead Organic Matter (DOM), and Soil Organic C</w:t>
      </w:r>
      <w:r>
        <w:t>arb</w:t>
      </w:r>
      <w:r w:rsidR="00B737D7">
        <w:t>on</w:t>
      </w:r>
      <w:r w:rsidR="000C1D08">
        <w:t xml:space="preserve"> (SOC)</w:t>
      </w:r>
      <w:r>
        <w:t xml:space="preserve">. </w:t>
      </w:r>
    </w:p>
    <w:p w:rsidR="009F1A75" w:rsidRDefault="009F1A75" w:rsidP="00B737D7">
      <w:r>
        <w:t>First, the stock-difference method is used to calculate carbon stocks differences for each carbon pool for a g</w:t>
      </w:r>
      <w:r w:rsidR="00B737D7">
        <w:t>iven land at two points of time:</w:t>
      </w:r>
      <w:r>
        <w:t xml:space="preserve"> </w:t>
      </w:r>
    </w:p>
    <w:p w:rsidR="009F1A75" w:rsidRPr="00B737D7" w:rsidRDefault="009F1A75" w:rsidP="00B737D7">
      <w:pPr>
        <w:ind w:firstLine="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1"/>
        <w:gridCol w:w="290"/>
      </w:tblGrid>
      <w:tr w:rsidR="00B737D7" w:rsidTr="00B737D7">
        <w:tc>
          <w:tcPr>
            <w:tcW w:w="8201" w:type="dxa"/>
            <w:tcMar>
              <w:left w:w="0" w:type="dxa"/>
              <w:right w:w="0" w:type="dxa"/>
            </w:tcMar>
            <w:vAlign w:val="center"/>
          </w:tcPr>
          <w:p w:rsidR="00B737D7" w:rsidRPr="00B737D7" w:rsidRDefault="00B737D7" w:rsidP="00B737D7">
            <w:pPr>
              <w:ind w:firstLine="0"/>
              <w:jc w:val="center"/>
              <w:rPr>
                <w:sz w:val="22"/>
              </w:rPr>
            </w:pPr>
            <m:oMathPara>
              <m:oMathParaPr>
                <m:jc m:val="center"/>
              </m:oMathParaPr>
              <m:oMath>
                <m:r>
                  <w:rPr>
                    <w:rFonts w:ascii="Cambria Math" w:hAnsi="Cambria Math"/>
                    <w:sz w:val="22"/>
                  </w:rPr>
                  <m:t>∆</m:t>
                </m:r>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l</m:t>
                    </m:r>
                  </m:sub>
                </m:sSub>
                <m:r>
                  <w:rPr>
                    <w:rFonts w:ascii="Cambria Math" w:hAnsi="Cambria Math"/>
                    <w:sz w:val="22"/>
                  </w:rPr>
                  <m:t>=</m:t>
                </m:r>
                <m:f>
                  <m:fPr>
                    <m:ctrlPr>
                      <w:rPr>
                        <w:rFonts w:ascii="Cambria Math" w:hAnsi="Cambria Math"/>
                        <w:i/>
                        <w:sz w:val="22"/>
                        <w:szCs w:val="22"/>
                      </w:rPr>
                    </m:ctrlPr>
                  </m:fPr>
                  <m:num>
                    <m:r>
                      <w:rPr>
                        <w:rFonts w:ascii="Cambria Math" w:hAnsi="Cambria Math"/>
                        <w:sz w:val="22"/>
                      </w:rPr>
                      <m:t>(</m:t>
                    </m:r>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l</m:t>
                        </m:r>
                        <m:r>
                          <m:rPr>
                            <m:sty m:val="p"/>
                          </m:rPr>
                          <w:rPr>
                            <w:rFonts w:ascii="Cambria Math" w:hAnsi="Cambria Math"/>
                            <w:sz w:val="22"/>
                          </w:rPr>
                          <m:t>,t2</m:t>
                        </m:r>
                        <m:r>
                          <w:rPr>
                            <w:rFonts w:ascii="Cambria Math" w:hAnsi="Cambria Math"/>
                            <w:sz w:val="22"/>
                          </w:rPr>
                          <m:t xml:space="preserve"> </m:t>
                        </m:r>
                      </m:sub>
                    </m:sSub>
                    <m:r>
                      <w:rPr>
                        <w:rFonts w:ascii="Cambria Math" w:hAnsi="Cambria Math"/>
                        <w:sz w:val="22"/>
                      </w:rPr>
                      <m:t xml:space="preserve">- </m:t>
                    </m:r>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l</m:t>
                        </m:r>
                        <m:r>
                          <m:rPr>
                            <m:sty m:val="p"/>
                          </m:rPr>
                          <w:rPr>
                            <w:rFonts w:ascii="Cambria Math" w:hAnsi="Cambria Math"/>
                            <w:sz w:val="22"/>
                          </w:rPr>
                          <m:t>, t1</m:t>
                        </m:r>
                      </m:sub>
                    </m:sSub>
                    <m:r>
                      <w:rPr>
                        <w:rFonts w:ascii="Cambria Math" w:hAnsi="Cambria Math"/>
                        <w:sz w:val="22"/>
                      </w:rPr>
                      <m:t>)</m:t>
                    </m:r>
                  </m:num>
                  <m:den>
                    <m:r>
                      <w:rPr>
                        <w:rFonts w:ascii="Cambria Math" w:hAnsi="Cambria Math"/>
                        <w:sz w:val="22"/>
                      </w:rPr>
                      <m:t>(</m:t>
                    </m:r>
                    <m:sSub>
                      <m:sSubPr>
                        <m:ctrlPr>
                          <w:rPr>
                            <w:rFonts w:ascii="Cambria Math" w:hAnsi="Cambria Math"/>
                            <w:i/>
                            <w:sz w:val="22"/>
                            <w:szCs w:val="22"/>
                          </w:rPr>
                        </m:ctrlPr>
                      </m:sSubPr>
                      <m:e>
                        <m:r>
                          <w:rPr>
                            <w:rFonts w:ascii="Cambria Math" w:hAnsi="Cambria Math"/>
                            <w:sz w:val="22"/>
                          </w:rPr>
                          <m:t>t</m:t>
                        </m:r>
                      </m:e>
                      <m:sub>
                        <m:r>
                          <w:rPr>
                            <w:rFonts w:ascii="Cambria Math" w:hAnsi="Cambria Math"/>
                            <w:sz w:val="22"/>
                          </w:rPr>
                          <m:t>2</m:t>
                        </m:r>
                      </m:sub>
                    </m:sSub>
                    <m:r>
                      <w:rPr>
                        <w:rFonts w:ascii="Cambria Math" w:hAnsi="Cambria Math"/>
                        <w:sz w:val="22"/>
                      </w:rPr>
                      <m:t xml:space="preserve">- </m:t>
                    </m:r>
                    <m:sSub>
                      <m:sSubPr>
                        <m:ctrlPr>
                          <w:rPr>
                            <w:rFonts w:ascii="Cambria Math" w:hAnsi="Cambria Math"/>
                            <w:i/>
                            <w:sz w:val="22"/>
                            <w:szCs w:val="22"/>
                          </w:rPr>
                        </m:ctrlPr>
                      </m:sSubPr>
                      <m:e>
                        <m:r>
                          <w:rPr>
                            <w:rFonts w:ascii="Cambria Math" w:hAnsi="Cambria Math"/>
                            <w:sz w:val="22"/>
                          </w:rPr>
                          <m:t>t</m:t>
                        </m:r>
                      </m:e>
                      <m:sub>
                        <m:r>
                          <w:rPr>
                            <w:rFonts w:ascii="Cambria Math" w:hAnsi="Cambria Math"/>
                            <w:sz w:val="22"/>
                          </w:rPr>
                          <m:t>1</m:t>
                        </m:r>
                      </m:sub>
                    </m:sSub>
                    <m:r>
                      <w:rPr>
                        <w:rFonts w:ascii="Cambria Math" w:hAnsi="Cambria Math"/>
                        <w:sz w:val="22"/>
                      </w:rPr>
                      <m:t>)</m:t>
                    </m:r>
                  </m:den>
                </m:f>
              </m:oMath>
            </m:oMathPara>
          </w:p>
        </w:tc>
        <w:tc>
          <w:tcPr>
            <w:tcW w:w="290" w:type="dxa"/>
            <w:tcMar>
              <w:left w:w="0" w:type="dxa"/>
              <w:right w:w="0" w:type="dxa"/>
            </w:tcMar>
            <w:vAlign w:val="center"/>
          </w:tcPr>
          <w:p w:rsidR="00B737D7" w:rsidRDefault="00B737D7" w:rsidP="00B737D7">
            <w:pPr>
              <w:ind w:firstLine="0"/>
              <w:jc w:val="right"/>
            </w:pPr>
            <w:r>
              <w:t>(4)</w:t>
            </w:r>
          </w:p>
        </w:tc>
      </w:tr>
    </w:tbl>
    <w:p w:rsidR="009F1A75" w:rsidRPr="00B737D7" w:rsidRDefault="009F1A75" w:rsidP="00B737D7">
      <w:pPr>
        <w:ind w:firstLine="0"/>
        <w:jc w:val="center"/>
      </w:pPr>
    </w:p>
    <w:p w:rsidR="009F1A75" w:rsidRDefault="00B737D7" w:rsidP="00B737D7">
      <w:pPr>
        <w:ind w:firstLine="0"/>
      </w:pPr>
      <w:r>
        <w:t>w</w:t>
      </w:r>
      <w:r w:rsidR="009F1A75">
        <w:t>here</w:t>
      </w:r>
      <w:r>
        <w:t xml:space="preserve"> Δ</w:t>
      </w:r>
      <w:r w:rsidRPr="00B737D7">
        <w:rPr>
          <w:i/>
        </w:rPr>
        <w:t>C</w:t>
      </w:r>
      <w:r w:rsidRPr="000546C6">
        <w:rPr>
          <w:i/>
          <w:vertAlign w:val="subscript"/>
        </w:rPr>
        <w:t>l</w:t>
      </w:r>
      <w:r w:rsidR="009F1A75">
        <w:t xml:space="preserve"> is the carbon change between periods for pool </w:t>
      </w:r>
      <w:r w:rsidR="009F1A75" w:rsidRPr="000546C6">
        <w:rPr>
          <w:i/>
          <w:iCs/>
        </w:rPr>
        <w:t>l</w:t>
      </w:r>
      <w:r w:rsidR="009F1A75">
        <w:t>,</w:t>
      </w:r>
      <w:r>
        <w:t xml:space="preserve"> </w:t>
      </w:r>
      <w:r w:rsidRPr="00523E02">
        <w:rPr>
          <w:i/>
        </w:rPr>
        <w:t>C</w:t>
      </w:r>
      <w:r w:rsidRPr="000546C6">
        <w:rPr>
          <w:i/>
          <w:vertAlign w:val="subscript"/>
        </w:rPr>
        <w:t>l</w:t>
      </w:r>
      <w:r w:rsidRPr="00523E02">
        <w:rPr>
          <w:vertAlign w:val="subscript"/>
        </w:rPr>
        <w:t>,t1</w:t>
      </w:r>
      <w:r>
        <w:t xml:space="preserve"> </w:t>
      </w:r>
      <w:r w:rsidR="009F1A75">
        <w:t xml:space="preserve">is the carbon stock at period </w:t>
      </w:r>
      <w:r w:rsidR="000546C6">
        <w:rPr>
          <w:i/>
        </w:rPr>
        <w:t>l</w:t>
      </w:r>
      <w:r w:rsidR="009F1A75">
        <w:t xml:space="preserve"> and</w:t>
      </w:r>
      <w:r>
        <w:t xml:space="preserve"> </w:t>
      </w:r>
      <w:r w:rsidRPr="00523E02">
        <w:rPr>
          <w:i/>
        </w:rPr>
        <w:t>C</w:t>
      </w:r>
      <w:r w:rsidRPr="000546C6">
        <w:rPr>
          <w:i/>
          <w:vertAlign w:val="subscript"/>
        </w:rPr>
        <w:t>l</w:t>
      </w:r>
      <w:r w:rsidRPr="00523E02">
        <w:rPr>
          <w:vertAlign w:val="subscript"/>
        </w:rPr>
        <w:t>,t2</w:t>
      </w:r>
      <w:r>
        <w:t xml:space="preserve"> </w:t>
      </w:r>
      <w:r w:rsidR="009F1A75">
        <w:t xml:space="preserve">is the carbon stock at the following period. </w:t>
      </w:r>
    </w:p>
    <w:p w:rsidR="009F1A75" w:rsidRDefault="009F1A75" w:rsidP="009F1A75">
      <w:r>
        <w:t>To account for carbon stock changes in each period:</w:t>
      </w:r>
    </w:p>
    <w:p w:rsidR="00B737D7" w:rsidRDefault="00B737D7" w:rsidP="00B737D7">
      <w:pPr>
        <w:ind w:firstLine="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1"/>
        <w:gridCol w:w="290"/>
      </w:tblGrid>
      <w:tr w:rsidR="00B737D7" w:rsidTr="00B737D7">
        <w:tc>
          <w:tcPr>
            <w:tcW w:w="8201" w:type="dxa"/>
            <w:tcMar>
              <w:left w:w="0" w:type="dxa"/>
              <w:right w:w="0" w:type="dxa"/>
            </w:tcMar>
            <w:vAlign w:val="center"/>
          </w:tcPr>
          <w:p w:rsidR="00C478D2" w:rsidRPr="00C478D2" w:rsidRDefault="00B737D7" w:rsidP="009F1A75">
            <w:pPr>
              <w:ind w:firstLine="0"/>
              <w:rPr>
                <w:sz w:val="22"/>
              </w:rPr>
            </w:pPr>
            <m:oMathPara>
              <m:oMath>
                <m:r>
                  <m:rPr>
                    <m:sty m:val="p"/>
                  </m:rPr>
                  <w:rPr>
                    <w:rFonts w:ascii="Cambria Math" w:hAnsi="Cambria Math"/>
                    <w:sz w:val="22"/>
                  </w:rPr>
                  <m:t>Δ</m:t>
                </m:r>
                <m:sSub>
                  <m:sSubPr>
                    <m:ctrlPr>
                      <w:rPr>
                        <w:rFonts w:ascii="Cambria Math" w:hAnsi="Cambria Math"/>
                        <w:sz w:val="22"/>
                        <w:szCs w:val="22"/>
                      </w:rPr>
                    </m:ctrlPr>
                  </m:sSubPr>
                  <m:e>
                    <m:r>
                      <w:rPr>
                        <w:rFonts w:ascii="Cambria Math" w:hAnsi="Cambria Math"/>
                        <w:sz w:val="22"/>
                      </w:rPr>
                      <m:t>C</m:t>
                    </m:r>
                  </m:e>
                  <m:sub>
                    <m:sSub>
                      <m:sSubPr>
                        <m:ctrlPr>
                          <w:rPr>
                            <w:rFonts w:ascii="Cambria Math" w:hAnsi="Cambria Math"/>
                            <w:sz w:val="22"/>
                            <w:szCs w:val="22"/>
                          </w:rPr>
                        </m:ctrlPr>
                      </m:sSubPr>
                      <m:e>
                        <m:r>
                          <m:rPr>
                            <m:sty m:val="p"/>
                          </m:rPr>
                          <w:rPr>
                            <w:rFonts w:ascii="Cambria Math" w:hAnsi="Cambria Math"/>
                            <w:sz w:val="22"/>
                          </w:rPr>
                          <m:t>LU</m:t>
                        </m:r>
                      </m:e>
                      <m:sub>
                        <m:r>
                          <w:rPr>
                            <w:rFonts w:ascii="Cambria Math" w:hAnsi="Cambria Math"/>
                            <w:sz w:val="22"/>
                          </w:rPr>
                          <m:t>i</m:t>
                        </m:r>
                      </m:sub>
                    </m:sSub>
                    <m:r>
                      <m:rPr>
                        <m:sty m:val="p"/>
                      </m:rPr>
                      <w:rPr>
                        <w:rFonts w:ascii="Cambria Math" w:hAnsi="Cambria Math"/>
                        <w:sz w:val="22"/>
                      </w:rPr>
                      <m:t xml:space="preserve"> </m:t>
                    </m:r>
                  </m:sub>
                </m:sSub>
                <m:r>
                  <m:rPr>
                    <m:sty m:val="p"/>
                  </m:rPr>
                  <w:rPr>
                    <w:rFonts w:ascii="Cambria Math" w:hAnsi="Cambria Math"/>
                    <w:sz w:val="22"/>
                  </w:rPr>
                  <m:t>= Δ</m:t>
                </m:r>
                <m:sSub>
                  <m:sSubPr>
                    <m:ctrlPr>
                      <w:rPr>
                        <w:rFonts w:ascii="Cambria Math" w:hAnsi="Cambria Math"/>
                        <w:sz w:val="22"/>
                        <w:szCs w:val="22"/>
                      </w:rPr>
                    </m:ctrlPr>
                  </m:sSubPr>
                  <m:e>
                    <m:sSub>
                      <m:sSubPr>
                        <m:ctrlPr>
                          <w:rPr>
                            <w:rFonts w:ascii="Cambria Math" w:hAnsi="Cambria Math"/>
                            <w:sz w:val="22"/>
                            <w:szCs w:val="22"/>
                          </w:rPr>
                        </m:ctrlPr>
                      </m:sSubPr>
                      <m:e>
                        <m:r>
                          <w:rPr>
                            <w:rFonts w:ascii="Cambria Math" w:hAnsi="Cambria Math"/>
                            <w:sz w:val="22"/>
                          </w:rPr>
                          <m:t>C</m:t>
                        </m:r>
                      </m:e>
                      <m:sub>
                        <m:r>
                          <m:rPr>
                            <m:sty m:val="p"/>
                          </m:rPr>
                          <w:rPr>
                            <w:rFonts w:ascii="Cambria Math" w:hAnsi="Cambria Math"/>
                            <w:sz w:val="22"/>
                          </w:rPr>
                          <m:t>AB</m:t>
                        </m:r>
                      </m:sub>
                    </m:sSub>
                    <m:r>
                      <m:rPr>
                        <m:sty m:val="p"/>
                      </m:rPr>
                      <w:rPr>
                        <w:rFonts w:ascii="Cambria Math" w:hAnsi="Cambria Math"/>
                        <w:sz w:val="22"/>
                      </w:rPr>
                      <m:t>+ Δ</m:t>
                    </m:r>
                    <m:sSub>
                      <m:sSubPr>
                        <m:ctrlPr>
                          <w:rPr>
                            <w:rFonts w:ascii="Cambria Math" w:hAnsi="Cambria Math"/>
                            <w:sz w:val="22"/>
                            <w:szCs w:val="22"/>
                          </w:rPr>
                        </m:ctrlPr>
                      </m:sSubPr>
                      <m:e>
                        <m:sSub>
                          <m:sSubPr>
                            <m:ctrlPr>
                              <w:rPr>
                                <w:rFonts w:ascii="Cambria Math" w:hAnsi="Cambria Math"/>
                                <w:sz w:val="22"/>
                                <w:szCs w:val="22"/>
                              </w:rPr>
                            </m:ctrlPr>
                          </m:sSubPr>
                          <m:e>
                            <m:r>
                              <w:rPr>
                                <w:rFonts w:ascii="Cambria Math" w:hAnsi="Cambria Math"/>
                                <w:sz w:val="22"/>
                              </w:rPr>
                              <m:t>C</m:t>
                            </m:r>
                          </m:e>
                          <m:sub>
                            <m:r>
                              <m:rPr>
                                <m:sty m:val="p"/>
                              </m:rPr>
                              <w:rPr>
                                <w:rFonts w:ascii="Cambria Math" w:hAnsi="Cambria Math"/>
                                <w:sz w:val="22"/>
                              </w:rPr>
                              <m:t>BB</m:t>
                            </m:r>
                          </m:sub>
                        </m:sSub>
                        <m:r>
                          <m:rPr>
                            <m:sty m:val="p"/>
                          </m:rPr>
                          <w:rPr>
                            <w:rFonts w:ascii="Cambria Math" w:hAnsi="Cambria Math"/>
                            <w:sz w:val="22"/>
                          </w:rPr>
                          <m:t xml:space="preserve">+ </m:t>
                        </m:r>
                      </m:e>
                      <m:sub>
                        <m:r>
                          <m:rPr>
                            <m:sty m:val="p"/>
                          </m:rPr>
                          <w:rPr>
                            <w:rFonts w:ascii="Cambria Math" w:hAnsi="Cambria Math"/>
                            <w:sz w:val="22"/>
                          </w:rPr>
                          <m:t xml:space="preserve"> </m:t>
                        </m:r>
                      </m:sub>
                    </m:sSub>
                    <m:r>
                      <m:rPr>
                        <m:sty m:val="p"/>
                      </m:rPr>
                      <w:rPr>
                        <w:rFonts w:ascii="Cambria Math" w:hAnsi="Cambria Math"/>
                        <w:sz w:val="22"/>
                      </w:rPr>
                      <m:t>Δ</m:t>
                    </m:r>
                    <m:sSub>
                      <m:sSubPr>
                        <m:ctrlPr>
                          <w:rPr>
                            <w:rFonts w:ascii="Cambria Math" w:hAnsi="Cambria Math"/>
                            <w:sz w:val="22"/>
                            <w:szCs w:val="22"/>
                          </w:rPr>
                        </m:ctrlPr>
                      </m:sSubPr>
                      <m:e>
                        <m:sSub>
                          <m:sSubPr>
                            <m:ctrlPr>
                              <w:rPr>
                                <w:rFonts w:ascii="Cambria Math" w:hAnsi="Cambria Math"/>
                                <w:sz w:val="22"/>
                                <w:szCs w:val="22"/>
                              </w:rPr>
                            </m:ctrlPr>
                          </m:sSubPr>
                          <m:e>
                            <m:r>
                              <w:rPr>
                                <w:rFonts w:ascii="Cambria Math" w:hAnsi="Cambria Math"/>
                                <w:sz w:val="22"/>
                              </w:rPr>
                              <m:t>C</m:t>
                            </m:r>
                          </m:e>
                          <m:sub>
                            <m:r>
                              <m:rPr>
                                <m:sty m:val="p"/>
                              </m:rPr>
                              <w:rPr>
                                <w:rFonts w:ascii="Cambria Math" w:hAnsi="Cambria Math"/>
                                <w:sz w:val="22"/>
                              </w:rPr>
                              <m:t>DOM</m:t>
                            </m:r>
                          </m:sub>
                        </m:sSub>
                        <m:r>
                          <m:rPr>
                            <m:sty m:val="p"/>
                          </m:rPr>
                          <w:rPr>
                            <w:rFonts w:ascii="Cambria Math" w:hAnsi="Cambria Math"/>
                            <w:sz w:val="22"/>
                          </w:rPr>
                          <m:t>+ Δ</m:t>
                        </m:r>
                        <m:sSub>
                          <m:sSubPr>
                            <m:ctrlPr>
                              <w:rPr>
                                <w:rFonts w:ascii="Cambria Math" w:hAnsi="Cambria Math"/>
                                <w:sz w:val="22"/>
                                <w:szCs w:val="22"/>
                              </w:rPr>
                            </m:ctrlPr>
                          </m:sSubPr>
                          <m:e>
                            <m:sSub>
                              <m:sSubPr>
                                <m:ctrlPr>
                                  <w:rPr>
                                    <w:rFonts w:ascii="Cambria Math" w:hAnsi="Cambria Math"/>
                                    <w:sz w:val="22"/>
                                    <w:szCs w:val="22"/>
                                  </w:rPr>
                                </m:ctrlPr>
                              </m:sSubPr>
                              <m:e>
                                <m:r>
                                  <w:rPr>
                                    <w:rFonts w:ascii="Cambria Math" w:hAnsi="Cambria Math"/>
                                    <w:sz w:val="22"/>
                                  </w:rPr>
                                  <m:t>C</m:t>
                                </m:r>
                              </m:e>
                              <m:sub>
                                <m:r>
                                  <m:rPr>
                                    <m:sty m:val="p"/>
                                  </m:rPr>
                                  <w:rPr>
                                    <w:rFonts w:ascii="Cambria Math" w:hAnsi="Cambria Math"/>
                                    <w:sz w:val="22"/>
                                  </w:rPr>
                                  <m:t>SOC</m:t>
                                </m:r>
                              </m:sub>
                            </m:sSub>
                          </m:e>
                          <m:sub>
                            <m:r>
                              <m:rPr>
                                <m:sty m:val="p"/>
                              </m:rPr>
                              <w:rPr>
                                <w:rFonts w:ascii="Cambria Math" w:hAnsi="Cambria Math"/>
                                <w:sz w:val="22"/>
                              </w:rPr>
                              <m:t xml:space="preserve"> </m:t>
                            </m:r>
                          </m:sub>
                        </m:sSub>
                      </m:e>
                      <m:sub>
                        <m:r>
                          <m:rPr>
                            <m:sty m:val="p"/>
                          </m:rPr>
                          <w:rPr>
                            <w:rFonts w:ascii="Cambria Math" w:hAnsi="Cambria Math"/>
                            <w:sz w:val="22"/>
                          </w:rPr>
                          <m:t xml:space="preserve"> </m:t>
                        </m:r>
                      </m:sub>
                    </m:sSub>
                  </m:e>
                  <m:sub>
                    <m:r>
                      <m:rPr>
                        <m:sty m:val="p"/>
                      </m:rPr>
                      <w:rPr>
                        <w:rFonts w:ascii="Cambria Math" w:hAnsi="Cambria Math"/>
                        <w:sz w:val="22"/>
                      </w:rPr>
                      <m:t xml:space="preserve"> </m:t>
                    </m:r>
                  </m:sub>
                </m:sSub>
              </m:oMath>
            </m:oMathPara>
          </w:p>
        </w:tc>
        <w:tc>
          <w:tcPr>
            <w:tcW w:w="290" w:type="dxa"/>
            <w:tcMar>
              <w:left w:w="0" w:type="dxa"/>
              <w:right w:w="0" w:type="dxa"/>
            </w:tcMar>
            <w:vAlign w:val="center"/>
          </w:tcPr>
          <w:p w:rsidR="00B737D7" w:rsidRDefault="00B737D7" w:rsidP="00B737D7">
            <w:pPr>
              <w:ind w:firstLine="0"/>
              <w:jc w:val="right"/>
            </w:pPr>
            <w:r>
              <w:t>(5)</w:t>
            </w:r>
          </w:p>
        </w:tc>
      </w:tr>
    </w:tbl>
    <w:p w:rsidR="009F1A75" w:rsidRDefault="009F1A75" w:rsidP="00B737D7">
      <w:pPr>
        <w:ind w:firstLine="0"/>
      </w:pPr>
      <w:r>
        <w:lastRenderedPageBreak/>
        <w:t xml:space="preserve">where </w:t>
      </w:r>
      <m:oMath>
        <m:r>
          <m:rPr>
            <m:sty m:val="p"/>
          </m:rPr>
          <w:rPr>
            <w:rFonts w:ascii="Cambria Math" w:hAnsi="Cambria Math"/>
          </w:rPr>
          <m:t>Δ</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m:rPr>
                    <m:sty m:val="p"/>
                  </m:rPr>
                  <w:rPr>
                    <w:rFonts w:ascii="Cambria Math" w:hAnsi="Cambria Math"/>
                  </w:rPr>
                  <m:t>LU</m:t>
                </m:r>
              </m:e>
              <m:sub>
                <m:r>
                  <w:rPr>
                    <w:rFonts w:ascii="Cambria Math" w:hAnsi="Cambria Math"/>
                  </w:rPr>
                  <m:t>i</m:t>
                </m:r>
              </m:sub>
            </m:sSub>
            <m:r>
              <w:rPr>
                <w:rFonts w:ascii="Cambria Math" w:hAnsi="Cambria Math"/>
              </w:rPr>
              <m:t xml:space="preserve"> </m:t>
            </m:r>
          </m:sub>
        </m:sSub>
      </m:oMath>
      <w:r>
        <w:t xml:space="preserve">is the carbon stock change for land type </w:t>
      </w:r>
      <w:r>
        <w:rPr>
          <w:i/>
          <w:iCs/>
        </w:rPr>
        <w:t>i</w:t>
      </w:r>
      <w:r>
        <w:t xml:space="preserve">, and subscripts </w:t>
      </w:r>
      <w:r w:rsidRPr="00C478D2">
        <w:rPr>
          <w:iCs/>
        </w:rPr>
        <w:t>AB,</w:t>
      </w:r>
      <w:r w:rsidRPr="00C478D2">
        <w:t xml:space="preserve"> </w:t>
      </w:r>
      <w:r w:rsidRPr="00C478D2">
        <w:rPr>
          <w:iCs/>
        </w:rPr>
        <w:t xml:space="preserve">BB, DOM </w:t>
      </w:r>
      <w:r>
        <w:t xml:space="preserve">to </w:t>
      </w:r>
      <w:r w:rsidRPr="00C478D2">
        <w:rPr>
          <w:iCs/>
        </w:rPr>
        <w:t>SOC</w:t>
      </w:r>
      <w:r w:rsidRPr="00C478D2">
        <w:t xml:space="preserve"> </w:t>
      </w:r>
      <w:r>
        <w:t>refer to above ground biomass, below groun</w:t>
      </w:r>
      <w:r w:rsidR="00C478D2">
        <w:t xml:space="preserve">d biomass, dead organic matter and soil organic carbon, </w:t>
      </w:r>
      <w:r>
        <w:t>respectively.</w:t>
      </w:r>
    </w:p>
    <w:p w:rsidR="009F1A75" w:rsidRDefault="00C478D2" w:rsidP="009F1A75">
      <w:r>
        <w:t xml:space="preserve">Finally, </w:t>
      </w:r>
      <w:r w:rsidR="009F1A75">
        <w:t>to account for AFOLU emissions, aggregated carbon stock changes is calculated as follows:</w:t>
      </w:r>
    </w:p>
    <w:p w:rsidR="00C478D2" w:rsidRDefault="00C478D2" w:rsidP="00C478D2">
      <w:pPr>
        <w:ind w:firstLine="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91"/>
        <w:gridCol w:w="290"/>
      </w:tblGrid>
      <w:tr w:rsidR="00C478D2" w:rsidTr="004B0E47">
        <w:tc>
          <w:tcPr>
            <w:tcW w:w="8201" w:type="dxa"/>
            <w:vAlign w:val="center"/>
          </w:tcPr>
          <w:p w:rsidR="00C478D2" w:rsidRPr="00C478D2" w:rsidRDefault="00C478D2" w:rsidP="00C478D2">
            <w:pPr>
              <w:ind w:firstLine="0"/>
              <w:rPr>
                <w:sz w:val="22"/>
              </w:rPr>
            </w:pPr>
            <m:oMathPara>
              <m:oMathParaPr>
                <m:jc m:val="center"/>
              </m:oMathParaPr>
              <m:oMath>
                <m:r>
                  <w:rPr>
                    <w:rFonts w:ascii="Cambria Math" w:hAnsi="Cambria Math"/>
                    <w:sz w:val="22"/>
                  </w:rPr>
                  <m:t>∆</m:t>
                </m:r>
                <m:sSub>
                  <m:sSubPr>
                    <m:ctrlPr>
                      <w:rPr>
                        <w:rFonts w:ascii="Cambria Math" w:hAnsi="Cambria Math"/>
                        <w:i/>
                        <w:sz w:val="22"/>
                        <w:szCs w:val="22"/>
                      </w:rPr>
                    </m:ctrlPr>
                  </m:sSubPr>
                  <m:e>
                    <m:r>
                      <w:rPr>
                        <w:rFonts w:ascii="Cambria Math" w:hAnsi="Cambria Math"/>
                        <w:sz w:val="22"/>
                      </w:rPr>
                      <m:t>C</m:t>
                    </m:r>
                  </m:e>
                  <m:sub>
                    <m:r>
                      <m:rPr>
                        <m:sty m:val="p"/>
                      </m:rPr>
                      <w:rPr>
                        <w:rFonts w:ascii="Cambria Math" w:hAnsi="Cambria Math"/>
                        <w:sz w:val="22"/>
                      </w:rPr>
                      <m:t>tot</m:t>
                    </m:r>
                  </m:sub>
                </m:sSub>
                <m:r>
                  <w:rPr>
                    <w:rFonts w:ascii="Cambria Math" w:hAnsi="Cambria Math"/>
                    <w:sz w:val="22"/>
                  </w:rPr>
                  <m:t xml:space="preserve">= </m:t>
                </m:r>
                <m:nary>
                  <m:naryPr>
                    <m:chr m:val="∑"/>
                    <m:limLoc m:val="undOvr"/>
                    <m:supHide m:val="1"/>
                    <m:ctrlPr>
                      <w:rPr>
                        <w:rFonts w:ascii="Cambria Math" w:hAnsi="Cambria Math"/>
                        <w:i/>
                        <w:sz w:val="22"/>
                        <w:szCs w:val="22"/>
                      </w:rPr>
                    </m:ctrlPr>
                  </m:naryPr>
                  <m:sub>
                    <m:r>
                      <w:rPr>
                        <w:rFonts w:ascii="Cambria Math" w:hAnsi="Cambria Math"/>
                        <w:sz w:val="22"/>
                      </w:rPr>
                      <m:t>i</m:t>
                    </m:r>
                  </m:sub>
                  <m:sup/>
                  <m:e>
                    <m:r>
                      <m:rPr>
                        <m:sty m:val="p"/>
                      </m:rPr>
                      <w:rPr>
                        <w:rFonts w:ascii="Cambria Math" w:hAnsi="Cambria Math"/>
                        <w:sz w:val="22"/>
                      </w:rPr>
                      <m:t>Δ</m:t>
                    </m:r>
                    <m:sSub>
                      <m:sSubPr>
                        <m:ctrlPr>
                          <w:rPr>
                            <w:rFonts w:ascii="Cambria Math" w:hAnsi="Cambria Math"/>
                            <w:i/>
                            <w:sz w:val="22"/>
                            <w:szCs w:val="22"/>
                          </w:rPr>
                        </m:ctrlPr>
                      </m:sSubPr>
                      <m:e>
                        <m:r>
                          <w:rPr>
                            <w:rFonts w:ascii="Cambria Math" w:hAnsi="Cambria Math"/>
                            <w:sz w:val="22"/>
                          </w:rPr>
                          <m:t>C</m:t>
                        </m:r>
                      </m:e>
                      <m:sub>
                        <m:sSub>
                          <m:sSubPr>
                            <m:ctrlPr>
                              <w:rPr>
                                <w:rFonts w:ascii="Cambria Math" w:hAnsi="Cambria Math"/>
                                <w:i/>
                                <w:sz w:val="22"/>
                                <w:szCs w:val="22"/>
                              </w:rPr>
                            </m:ctrlPr>
                          </m:sSubPr>
                          <m:e>
                            <m:r>
                              <m:rPr>
                                <m:sty m:val="p"/>
                              </m:rPr>
                              <w:rPr>
                                <w:rFonts w:ascii="Cambria Math" w:hAnsi="Cambria Math"/>
                                <w:sz w:val="22"/>
                              </w:rPr>
                              <m:t>LU</m:t>
                            </m:r>
                          </m:e>
                          <m:sub>
                            <m:r>
                              <w:rPr>
                                <w:rFonts w:ascii="Cambria Math" w:hAnsi="Cambria Math"/>
                                <w:sz w:val="22"/>
                              </w:rPr>
                              <m:t>i</m:t>
                            </m:r>
                          </m:sub>
                        </m:sSub>
                        <m:r>
                          <w:rPr>
                            <w:rFonts w:ascii="Cambria Math" w:hAnsi="Cambria Math"/>
                            <w:sz w:val="22"/>
                          </w:rPr>
                          <m:t xml:space="preserve"> </m:t>
                        </m:r>
                      </m:sub>
                    </m:sSub>
                    <m:r>
                      <w:rPr>
                        <w:rFonts w:ascii="Cambria Math" w:hAnsi="Cambria Math"/>
                        <w:sz w:val="22"/>
                      </w:rPr>
                      <m:t xml:space="preserve"> </m:t>
                    </m:r>
                  </m:e>
                </m:nary>
              </m:oMath>
            </m:oMathPara>
          </w:p>
        </w:tc>
        <w:tc>
          <w:tcPr>
            <w:tcW w:w="290" w:type="dxa"/>
            <w:vAlign w:val="center"/>
          </w:tcPr>
          <w:p w:rsidR="00C478D2" w:rsidRDefault="00C478D2" w:rsidP="00C478D2">
            <w:pPr>
              <w:ind w:firstLine="0"/>
              <w:jc w:val="right"/>
            </w:pPr>
            <w:r>
              <w:t>(6)</w:t>
            </w:r>
          </w:p>
        </w:tc>
      </w:tr>
    </w:tbl>
    <w:p w:rsidR="00C478D2" w:rsidRPr="00C478D2" w:rsidRDefault="00C478D2" w:rsidP="00C478D2">
      <w:pPr>
        <w:ind w:firstLine="0"/>
        <w:jc w:val="center"/>
        <w:rPr>
          <w:sz w:val="22"/>
        </w:rPr>
      </w:pPr>
    </w:p>
    <w:p w:rsidR="009F1A75" w:rsidRDefault="00C478D2" w:rsidP="00C478D2">
      <w:pPr>
        <w:ind w:firstLine="0"/>
      </w:pPr>
      <w:r>
        <w:t>w</w:t>
      </w:r>
      <w:r w:rsidR="009F1A75">
        <w:t>here</w:t>
      </w:r>
      <w:r>
        <w:t xml:space="preserve"> Δ</w:t>
      </w:r>
      <w:r w:rsidRPr="00B737D7">
        <w:rPr>
          <w:i/>
        </w:rPr>
        <w:t>C</w:t>
      </w:r>
      <w:r w:rsidRPr="00C478D2">
        <w:rPr>
          <w:vertAlign w:val="subscript"/>
        </w:rPr>
        <w:t>tot</w:t>
      </w:r>
      <w:r w:rsidR="009F1A75">
        <w:t xml:space="preserve"> is the aggregated carbon stock change and</w:t>
      </w:r>
      <w:r>
        <w:t xml:space="preserve"> Δ</w:t>
      </w:r>
      <w:r w:rsidRPr="00B737D7">
        <w:rPr>
          <w:i/>
        </w:rPr>
        <w:t>C</w:t>
      </w:r>
      <w:r>
        <w:rPr>
          <w:i/>
          <w:vertAlign w:val="subscript"/>
        </w:rPr>
        <w:t>i</w:t>
      </w:r>
      <w:r>
        <w:t xml:space="preserve"> </w:t>
      </w:r>
      <w:r w:rsidR="009F1A75">
        <w:t xml:space="preserve">is carbon stock difference land type </w:t>
      </w:r>
      <w:r w:rsidR="009F1A75" w:rsidRPr="00450781">
        <w:rPr>
          <w:i/>
        </w:rPr>
        <w:t>i</w:t>
      </w:r>
      <w:r w:rsidR="009F1A75">
        <w:t xml:space="preserve">. </w:t>
      </w:r>
    </w:p>
    <w:p w:rsidR="009F1A75" w:rsidRPr="00C478D2" w:rsidRDefault="009F1A75" w:rsidP="00C478D2">
      <w:pPr>
        <w:pStyle w:val="Heading2"/>
      </w:pPr>
      <w:r w:rsidRPr="00C478D2">
        <w:t>CASE STUDY</w:t>
      </w:r>
    </w:p>
    <w:p w:rsidR="009F1A75" w:rsidRDefault="004B0E47" w:rsidP="009F1A75">
      <w:r>
        <w:t xml:space="preserve">Brazil, </w:t>
      </w:r>
      <w:r w:rsidR="009F1A75">
        <w:t>the world’s seventh largest economy and the eighth largest energy consumer (10.9 EJ year</w:t>
      </w:r>
      <w:r>
        <w:rPr>
          <w:rStyle w:val="apple-converted-space"/>
          <w:vertAlign w:val="superscript"/>
        </w:rPr>
        <w:t>−</w:t>
      </w:r>
      <w:r w:rsidR="009F1A75" w:rsidRPr="00272287">
        <w:rPr>
          <w:rStyle w:val="apple-converted-space"/>
          <w:vertAlign w:val="superscript"/>
        </w:rPr>
        <w:t>1</w:t>
      </w:r>
      <w:r w:rsidR="009F1A75">
        <w:t xml:space="preserve"> in 2016</w:t>
      </w:r>
      <w:r>
        <w:t xml:space="preserve"> [36]</w:t>
      </w:r>
      <w:r w:rsidR="009F1A75">
        <w:t>)</w:t>
      </w:r>
      <w:r>
        <w:t xml:space="preserve"> has been used as a case study. </w:t>
      </w:r>
      <w:r w:rsidR="009F1A75">
        <w:t>By 2026, energy use is expected to rise by 18.6% (12.9 EJ year</w:t>
      </w:r>
      <w:r>
        <w:rPr>
          <w:rStyle w:val="apple-converted-space"/>
          <w:vertAlign w:val="superscript"/>
        </w:rPr>
        <w:t>−</w:t>
      </w:r>
      <w:r w:rsidR="009F1A75" w:rsidRPr="00272287">
        <w:rPr>
          <w:rStyle w:val="apple-converted-space"/>
          <w:vertAlign w:val="superscript"/>
        </w:rPr>
        <w:t>1</w:t>
      </w:r>
      <w:r w:rsidR="009F1A75">
        <w:t>)</w:t>
      </w:r>
      <w:r>
        <w:t xml:space="preserve"> [37]. </w:t>
      </w:r>
      <w:r w:rsidR="009F1A75">
        <w:t>In the last years, the energy system has experience h</w:t>
      </w:r>
      <w:r>
        <w:t xml:space="preserve">igh dynamism. For example, </w:t>
      </w:r>
      <w:r w:rsidR="009F1A75">
        <w:t>on the demand side, the government has implemented large-scale programs improving electricity access to marginal groups, especially in regions such as the Amazons</w:t>
      </w:r>
      <w:r>
        <w:t xml:space="preserve"> [38]. </w:t>
      </w:r>
      <w:r w:rsidR="009F1A75">
        <w:t>However, other sectors has experienced negative effects due to climate effects. For example, the power system, which mainly relies on hydroelectricity (&gt;</w:t>
      </w:r>
      <w:r>
        <w:t xml:space="preserve"> </w:t>
      </w:r>
      <w:r w:rsidR="009F1A75">
        <w:t>60%), has become more vulnerable to blackouts due to water shortages</w:t>
      </w:r>
      <w:r>
        <w:t xml:space="preserve"> [39, 40]. </w:t>
      </w:r>
      <w:r w:rsidR="009F1A75">
        <w:t>To minimise the blackout risks, other power sources, such as wind, h</w:t>
      </w:r>
      <w:r>
        <w:t xml:space="preserve">ave been extensively installed. </w:t>
      </w:r>
      <w:r w:rsidR="009F1A75">
        <w:t xml:space="preserve">For instance, wind installed capacity has grown from </w:t>
      </w:r>
      <w:r>
        <w:br/>
      </w:r>
      <w:r w:rsidR="009F1A75">
        <w:t>1.</w:t>
      </w:r>
      <w:r>
        <w:t xml:space="preserve">4 GW in 2011 to 8.1 GW in 2016, </w:t>
      </w:r>
      <w:r w:rsidR="009F1A75">
        <w:t>with important technical and socio-economic benefits</w:t>
      </w:r>
      <w:r>
        <w:t xml:space="preserve"> [41]</w:t>
      </w:r>
      <w:r w:rsidR="009F1A75">
        <w:t xml:space="preserve">. </w:t>
      </w:r>
    </w:p>
    <w:p w:rsidR="009F1A75" w:rsidRPr="004B0E47" w:rsidRDefault="009A3326" w:rsidP="004B0E47">
      <w:pPr>
        <w:pStyle w:val="Heading3"/>
      </w:pPr>
      <w:r>
        <w:t>Brazil: a</w:t>
      </w:r>
      <w:r w:rsidR="004B0E47">
        <w:t>griculture energy use and land use d</w:t>
      </w:r>
      <w:r w:rsidR="009F1A75" w:rsidRPr="004B0E47">
        <w:t>emand</w:t>
      </w:r>
    </w:p>
    <w:p w:rsidR="009F1A75" w:rsidRDefault="004B0E47" w:rsidP="009F1A75">
      <w:r>
        <w:t xml:space="preserve">Specifically, </w:t>
      </w:r>
      <w:r w:rsidR="009F1A75">
        <w:t xml:space="preserve">the Brazilian agriculture sector represents about 4% of the national energy consumption (481 PJ </w:t>
      </w:r>
      <w:r w:rsidR="009F1A75">
        <w:rPr>
          <w:rStyle w:val="apple-converted-space"/>
        </w:rPr>
        <w:t>year</w:t>
      </w:r>
      <w:r>
        <w:rPr>
          <w:rStyle w:val="apple-converted-space"/>
          <w:vertAlign w:val="superscript"/>
        </w:rPr>
        <w:t>−</w:t>
      </w:r>
      <w:r w:rsidR="009F1A75" w:rsidRPr="00272287">
        <w:rPr>
          <w:rStyle w:val="apple-converted-space"/>
          <w:vertAlign w:val="superscript"/>
        </w:rPr>
        <w:t>1</w:t>
      </w:r>
      <w:r w:rsidR="009F1A75">
        <w:t xml:space="preserve"> and 31.1 Mt</w:t>
      </w:r>
      <w:r>
        <w:t xml:space="preserve"> </w:t>
      </w:r>
      <w:r w:rsidR="009F1A75">
        <w:t>CO</w:t>
      </w:r>
      <w:r w:rsidR="009F1A75">
        <w:rPr>
          <w:vertAlign w:val="subscript"/>
        </w:rPr>
        <w:t>2</w:t>
      </w:r>
      <w:r w:rsidR="009F1A75">
        <w:rPr>
          <w:rStyle w:val="apple-converted-space"/>
        </w:rPr>
        <w:t xml:space="preserve"> year</w:t>
      </w:r>
      <w:r>
        <w:rPr>
          <w:rStyle w:val="apple-converted-space"/>
          <w:vertAlign w:val="superscript"/>
        </w:rPr>
        <w:t>−</w:t>
      </w:r>
      <w:r w:rsidR="009F1A75" w:rsidRPr="00272287">
        <w:rPr>
          <w:rStyle w:val="apple-converted-space"/>
          <w:vertAlign w:val="superscript"/>
        </w:rPr>
        <w:t>1</w:t>
      </w:r>
      <w:r w:rsidR="009F1A75">
        <w:t>), with diesel, firewood, and electricity responsible of 99.7% of the total sector energy share. In the last decades, due to a steady increase in per capita income, Brazil’s population has experienced major diet changes. According to data from the United Nations Food and Agriculture Organization (FAO)</w:t>
      </w:r>
      <w:r>
        <w:t xml:space="preserve"> [2]</w:t>
      </w:r>
      <w:r w:rsidR="009F1A75">
        <w:t>, between 1990 and 2015, per capita food energy consumption in Brazil grew from 9.5 MJ day</w:t>
      </w:r>
      <w:r>
        <w:rPr>
          <w:rStyle w:val="apple-converted-space"/>
          <w:vertAlign w:val="superscript"/>
        </w:rPr>
        <w:t>−</w:t>
      </w:r>
      <w:r w:rsidR="009F1A75" w:rsidRPr="00272287">
        <w:rPr>
          <w:rStyle w:val="apple-converted-space"/>
          <w:vertAlign w:val="superscript"/>
        </w:rPr>
        <w:t>1</w:t>
      </w:r>
      <w:r w:rsidR="009F1A75">
        <w:t xml:space="preserve"> and 1.9 MJ day</w:t>
      </w:r>
      <w:r>
        <w:rPr>
          <w:rStyle w:val="apple-converted-space"/>
          <w:vertAlign w:val="superscript"/>
        </w:rPr>
        <w:t>−</w:t>
      </w:r>
      <w:r w:rsidR="009F1A75" w:rsidRPr="00272287">
        <w:rPr>
          <w:rStyle w:val="apple-converted-space"/>
          <w:vertAlign w:val="superscript"/>
        </w:rPr>
        <w:t>1</w:t>
      </w:r>
      <w:r w:rsidR="009F1A75">
        <w:t xml:space="preserve"> from crop and animal-based products, to </w:t>
      </w:r>
      <w:r>
        <w:br/>
      </w:r>
      <w:r w:rsidR="009F1A75">
        <w:t>10.3 MJ day</w:t>
      </w:r>
      <w:r>
        <w:rPr>
          <w:rStyle w:val="apple-converted-space"/>
          <w:vertAlign w:val="superscript"/>
        </w:rPr>
        <w:t>−</w:t>
      </w:r>
      <w:r w:rsidR="009F1A75" w:rsidRPr="00272287">
        <w:rPr>
          <w:rStyle w:val="apple-converted-space"/>
          <w:vertAlign w:val="superscript"/>
        </w:rPr>
        <w:t>1</w:t>
      </w:r>
      <w:r w:rsidR="009F1A75">
        <w:t xml:space="preserve"> and 3.2 MJ day</w:t>
      </w:r>
      <w:r w:rsidRPr="004B0E47">
        <w:rPr>
          <w:vertAlign w:val="superscript"/>
        </w:rPr>
        <w:t>−</w:t>
      </w:r>
      <w:r w:rsidR="009F1A75" w:rsidRPr="00272287">
        <w:rPr>
          <w:rStyle w:val="apple-converted-space"/>
          <w:vertAlign w:val="superscript"/>
        </w:rPr>
        <w:t>1</w:t>
      </w:r>
      <w:r>
        <w:t xml:space="preserve">, </w:t>
      </w:r>
      <w:r w:rsidR="009F1A75">
        <w:t>respectively. Combined with an increase in population of about 25%, this represented an increase from 622 to 1,016 PJ year</w:t>
      </w:r>
      <w:r>
        <w:rPr>
          <w:rStyle w:val="apple-converted-space"/>
          <w:vertAlign w:val="superscript"/>
        </w:rPr>
        <w:t>−</w:t>
      </w:r>
      <w:r w:rsidR="009F1A75" w:rsidRPr="00272287">
        <w:rPr>
          <w:rStyle w:val="apple-converted-space"/>
          <w:vertAlign w:val="superscript"/>
        </w:rPr>
        <w:t>1</w:t>
      </w:r>
      <w:r w:rsidR="009F1A75">
        <w:t xml:space="preserve"> in total food energy content (an increase of 63.3%). In the same period, cropland has increased 50.8%, from 57.4 to 86.6 Mha (including 9.0 Mha for dedicated energy crops), while pasture land and secondary forest have increased by 6.4% (from 184 to 196 Mha) </w:t>
      </w:r>
      <w:r>
        <w:t xml:space="preserve">and 52.2% (from 4.9 to 7.6 Mha), </w:t>
      </w:r>
      <w:r w:rsidR="009F1A75">
        <w:t xml:space="preserve">respectively. Both food-related land use types (cropland and pasture) have lower percentage increase than total food demand due to intensification in agricultural systems. Nowadays, cropland and pasture land combined are accountable for 265 Mha or 31% of the country land (Figure 3a). </w:t>
      </w:r>
    </w:p>
    <w:p w:rsidR="009F1A75" w:rsidRDefault="009F1A75" w:rsidP="009F1A75">
      <w:r>
        <w:t>Conversely, Brazil is one of the biggest promoters of bioenergy production and utilisation in the world. In 2016, bioenergy (mainly ethanol and bagasse from sugarcane) represented 16.9% of the domestic energy supply (2,121 PJ)</w:t>
      </w:r>
      <w:r w:rsidR="006F2990">
        <w:t xml:space="preserve"> [36]. </w:t>
      </w:r>
      <w:r>
        <w:t>Although the South-East region is the area with the largest production, the Centre-West region has become the main place for sugarcane expansion where land use patterns have changed since the introduction of dedicated energy crops</w:t>
      </w:r>
      <w:r w:rsidR="004B0E47">
        <w:t xml:space="preserve"> [5]. </w:t>
      </w:r>
      <w:r>
        <w:t>For example, between 2003 and 2013, only in Goias and the Federal District, sugarcane area expanded six-fold (from 0.14 to 0.85 Mha)</w:t>
      </w:r>
      <w:r w:rsidR="004B0E47">
        <w:t xml:space="preserve"> [42], </w:t>
      </w:r>
      <w:r>
        <w:t>p</w:t>
      </w:r>
      <w:r w:rsidR="004B0E47">
        <w:t xml:space="preserve">ushing food crops to new lands. However, </w:t>
      </w:r>
      <w:r>
        <w:t xml:space="preserve">outside the most developed </w:t>
      </w:r>
      <w:r>
        <w:lastRenderedPageBreak/>
        <w:t>regions in Brazil, information is still scarce about land use change dynamics of new sugarcane and other bioenergy cultivations</w:t>
      </w:r>
      <w:r w:rsidR="004B0E47">
        <w:t xml:space="preserve"> [42]</w:t>
      </w:r>
      <w:r>
        <w:t xml:space="preserve">. </w:t>
      </w:r>
    </w:p>
    <w:p w:rsidR="009F1A75" w:rsidRDefault="004B0E47" w:rsidP="009F1A75">
      <w:r>
        <w:t xml:space="preserve">Both, </w:t>
      </w:r>
      <w:r w:rsidR="009F1A75">
        <w:t>food and energy crops are the main drivers of deforestation in Brazil which has become critical t</w:t>
      </w:r>
      <w:r w:rsidR="006F2990">
        <w:t xml:space="preserve">o any decarbonisation scenario. </w:t>
      </w:r>
      <w:r w:rsidR="009F1A75">
        <w:t>High rates of deforestation can drastically alter the storage and cycles of carbon and nitrogen pools</w:t>
      </w:r>
      <w:r>
        <w:t xml:space="preserve"> [43]. </w:t>
      </w:r>
      <w:r w:rsidR="009F1A75">
        <w:t>On a global scale, tropical deforestation alone is responsible between 7-14% of global GHG emissions</w:t>
      </w:r>
      <w:r>
        <w:t xml:space="preserve"> [44]. </w:t>
      </w:r>
      <w:r w:rsidR="009F1A75">
        <w:t>Currently, 20% of the global tropical deforestation is located in Brazil and is responsible for 0.43 Gt</w:t>
      </w:r>
      <w:r>
        <w:t xml:space="preserve"> </w:t>
      </w:r>
      <w:r w:rsidR="009F1A75">
        <w:t>CO</w:t>
      </w:r>
      <w:r w:rsidR="009F1A75">
        <w:rPr>
          <w:vertAlign w:val="subscript"/>
        </w:rPr>
        <w:t>2</w:t>
      </w:r>
      <w:r w:rsidR="009F1A75">
        <w:t xml:space="preserve"> year</w:t>
      </w:r>
      <w:r>
        <w:rPr>
          <w:rStyle w:val="apple-converted-space"/>
          <w:vertAlign w:val="superscript"/>
        </w:rPr>
        <w:t>−</w:t>
      </w:r>
      <w:r w:rsidR="009F1A75" w:rsidRPr="00272287">
        <w:rPr>
          <w:rStyle w:val="apple-converted-space"/>
          <w:vertAlign w:val="superscript"/>
        </w:rPr>
        <w:t>1</w:t>
      </w:r>
      <w:r>
        <w:t xml:space="preserve"> [45]. </w:t>
      </w:r>
      <w:r w:rsidR="009F1A75">
        <w:t>Between 1990 and 2014, the forest area in Brazil went from 541.7 Mha to 486.9 Mha</w:t>
      </w:r>
      <w:r>
        <w:t xml:space="preserve"> [2]. </w:t>
      </w:r>
      <w:r w:rsidR="009F1A75">
        <w:t>The loss of 54.8 Mha (includi</w:t>
      </w:r>
      <w:r>
        <w:t xml:space="preserve">ng 37 Mha of the Amazon forest) </w:t>
      </w:r>
      <w:r w:rsidR="009F1A75">
        <w:t xml:space="preserve">represented 6.6% of total </w:t>
      </w:r>
      <w:r>
        <w:t xml:space="preserve">land, a size similar to France. </w:t>
      </w:r>
      <w:r w:rsidR="009F1A75">
        <w:t>On the positive side, in the last decade programmes and regulatory policies have been put in place to reduce deforestation rates, declining from an average rate of 2.7 Mha</w:t>
      </w:r>
      <w:r w:rsidR="009F1A75">
        <w:rPr>
          <w:rStyle w:val="apple-converted-space"/>
        </w:rPr>
        <w:t xml:space="preserve"> year</w:t>
      </w:r>
      <w:r>
        <w:rPr>
          <w:rStyle w:val="apple-converted-space"/>
          <w:vertAlign w:val="superscript"/>
        </w:rPr>
        <w:t>−</w:t>
      </w:r>
      <w:r w:rsidR="009F1A75" w:rsidRPr="00272287">
        <w:rPr>
          <w:rStyle w:val="apple-converted-space"/>
          <w:vertAlign w:val="superscript"/>
        </w:rPr>
        <w:t>1</w:t>
      </w:r>
      <w:r w:rsidR="009F1A75">
        <w:rPr>
          <w:rStyle w:val="apple-converted-space"/>
        </w:rPr>
        <w:t xml:space="preserve"> </w:t>
      </w:r>
      <w:r w:rsidR="009F1A75">
        <w:t>(1990-2004) to 1.6 Mha</w:t>
      </w:r>
      <w:r w:rsidR="009F1A75">
        <w:rPr>
          <w:rStyle w:val="apple-converted-space"/>
        </w:rPr>
        <w:t xml:space="preserve"> year</w:t>
      </w:r>
      <w:r>
        <w:rPr>
          <w:rStyle w:val="apple-converted-space"/>
          <w:vertAlign w:val="superscript"/>
        </w:rPr>
        <w:t>−</w:t>
      </w:r>
      <w:r w:rsidR="009F1A75" w:rsidRPr="00272287">
        <w:rPr>
          <w:rStyle w:val="apple-converted-space"/>
          <w:vertAlign w:val="superscript"/>
        </w:rPr>
        <w:t>1</w:t>
      </w:r>
      <w:r w:rsidR="009F1A75">
        <w:rPr>
          <w:rStyle w:val="apple-converted-space"/>
        </w:rPr>
        <w:t xml:space="preserve"> </w:t>
      </w:r>
      <w:r w:rsidR="009F1A75">
        <w:t>(2005-2014)</w:t>
      </w:r>
      <w:r>
        <w:t xml:space="preserve"> [2]. </w:t>
      </w:r>
      <w:r w:rsidR="009F1A75">
        <w:t xml:space="preserve">If pre-2005 deforestation rates would not have been improved (combined with low agriculture intensification), by 2056, about </w:t>
      </w:r>
      <w:r>
        <w:br/>
      </w:r>
      <w:r w:rsidR="009F1A75">
        <w:t xml:space="preserve">62 Mha of forest would have been lost (Figure 3b). </w:t>
      </w:r>
    </w:p>
    <w:p w:rsidR="009F1A75" w:rsidRDefault="009F1A75" w:rsidP="004B0E47">
      <w:pPr>
        <w:ind w:firstLine="0"/>
        <w:jc w:val="center"/>
      </w:pPr>
    </w:p>
    <w:p w:rsidR="009F1A75" w:rsidRDefault="009F1A75" w:rsidP="00B651A1">
      <w:pPr>
        <w:ind w:firstLine="0"/>
        <w:jc w:val="center"/>
        <w:rPr>
          <w:noProof/>
          <w:lang w:eastAsia="en-GB"/>
        </w:rPr>
      </w:pPr>
      <w:r>
        <w:rPr>
          <w:noProof/>
          <w:lang w:val="hr-HR" w:eastAsia="hr-HR"/>
        </w:rPr>
        <w:drawing>
          <wp:inline distT="0" distB="0" distL="0" distR="0">
            <wp:extent cx="4809506" cy="1936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2136" b="4610"/>
                    <a:stretch>
                      <a:fillRect/>
                    </a:stretch>
                  </pic:blipFill>
                  <pic:spPr bwMode="auto">
                    <a:xfrm>
                      <a:off x="0" y="0"/>
                      <a:ext cx="4851785" cy="1953750"/>
                    </a:xfrm>
                    <a:prstGeom prst="rect">
                      <a:avLst/>
                    </a:prstGeom>
                    <a:noFill/>
                    <a:ln>
                      <a:noFill/>
                    </a:ln>
                  </pic:spPr>
                </pic:pic>
              </a:graphicData>
            </a:graphic>
          </wp:inline>
        </w:drawing>
      </w:r>
    </w:p>
    <w:p w:rsidR="009F1A75" w:rsidRPr="004267D6" w:rsidRDefault="009F1A75" w:rsidP="00AB3615">
      <w:pPr>
        <w:ind w:firstLine="0"/>
        <w:jc w:val="center"/>
        <w:rPr>
          <w:noProof/>
          <w:lang w:eastAsia="en-GB"/>
        </w:rPr>
      </w:pPr>
    </w:p>
    <w:p w:rsidR="009F1A75" w:rsidRDefault="00AB3615" w:rsidP="009F1A75">
      <w:pPr>
        <w:ind w:firstLine="0"/>
        <w:jc w:val="center"/>
        <w:rPr>
          <w:noProof/>
          <w:sz w:val="22"/>
          <w:lang w:eastAsia="en-GB"/>
        </w:rPr>
      </w:pPr>
      <w:r>
        <w:rPr>
          <w:noProof/>
          <w:sz w:val="22"/>
          <w:lang w:eastAsia="en-GB"/>
        </w:rPr>
        <w:t xml:space="preserve">Figure </w:t>
      </w:r>
      <w:r w:rsidR="009F1A75">
        <w:rPr>
          <w:noProof/>
          <w:sz w:val="22"/>
          <w:lang w:eastAsia="en-GB"/>
        </w:rPr>
        <w:t>3</w:t>
      </w:r>
      <w:r>
        <w:rPr>
          <w:noProof/>
          <w:sz w:val="22"/>
          <w:lang w:eastAsia="en-GB"/>
        </w:rPr>
        <w:t xml:space="preserve">. </w:t>
      </w:r>
      <w:r w:rsidR="009F1A75" w:rsidRPr="00317A92">
        <w:rPr>
          <w:noProof/>
          <w:sz w:val="22"/>
          <w:lang w:eastAsia="en-GB"/>
        </w:rPr>
        <w:t>Current la</w:t>
      </w:r>
      <w:r>
        <w:rPr>
          <w:noProof/>
          <w:sz w:val="22"/>
          <w:lang w:eastAsia="en-GB"/>
        </w:rPr>
        <w:t>nd share in Brazil (t</w:t>
      </w:r>
      <w:r w:rsidR="009F1A75" w:rsidRPr="00317A92">
        <w:rPr>
          <w:noProof/>
          <w:sz w:val="22"/>
          <w:lang w:eastAsia="en-GB"/>
        </w:rPr>
        <w:t xml:space="preserve">otal: 836 </w:t>
      </w:r>
      <w:r w:rsidR="009F1A75">
        <w:rPr>
          <w:noProof/>
          <w:sz w:val="22"/>
          <w:lang w:eastAsia="en-GB"/>
        </w:rPr>
        <w:t>Mha</w:t>
      </w:r>
      <w:r>
        <w:rPr>
          <w:noProof/>
          <w:sz w:val="22"/>
          <w:lang w:eastAsia="en-GB"/>
        </w:rPr>
        <w:t xml:space="preserve">) (a) and </w:t>
      </w:r>
      <w:r w:rsidR="009F1A75" w:rsidRPr="00317A92">
        <w:rPr>
          <w:noProof/>
          <w:sz w:val="22"/>
          <w:lang w:eastAsia="en-GB"/>
        </w:rPr>
        <w:t>Brazil land projection</w:t>
      </w:r>
      <w:r w:rsidR="000C1D08">
        <w:rPr>
          <w:noProof/>
          <w:sz w:val="22"/>
          <w:lang w:eastAsia="en-GB"/>
        </w:rPr>
        <w:t xml:space="preserve"> (b)</w:t>
      </w:r>
      <w:r w:rsidR="009F1A75" w:rsidRPr="00317A92">
        <w:rPr>
          <w:noProof/>
          <w:sz w:val="22"/>
          <w:lang w:eastAsia="en-GB"/>
        </w:rPr>
        <w:t xml:space="preserve"> for agricultural and forest land based on 1990-2004 and 2005-2014 deforestation rates </w:t>
      </w:r>
      <w:r>
        <w:rPr>
          <w:noProof/>
          <w:sz w:val="22"/>
          <w:lang w:eastAsia="en-GB"/>
        </w:rPr>
        <w:t>[2]</w:t>
      </w:r>
    </w:p>
    <w:p w:rsidR="009F1A75" w:rsidRPr="000C1D08" w:rsidRDefault="009F1A75" w:rsidP="000C1D08">
      <w:pPr>
        <w:pStyle w:val="Heading3"/>
      </w:pPr>
      <w:r w:rsidRPr="000C1D08">
        <w:t>The role of sugarcane and natural gas in Brazil</w:t>
      </w:r>
    </w:p>
    <w:p w:rsidR="009F1A75" w:rsidRDefault="009F1A75" w:rsidP="009F1A75">
      <w:r>
        <w:t>Overall, sugarcane products and natural gas represent 16.9% and 13.7% of the gross domestic energy supply</w:t>
      </w:r>
      <w:r w:rsidR="000C1D08">
        <w:t xml:space="preserve">, </w:t>
      </w:r>
      <w:r>
        <w:t>respectively, with higher growing rates exp</w:t>
      </w:r>
      <w:r w:rsidR="000C1D08">
        <w:t xml:space="preserve">ected in the following decades. </w:t>
      </w:r>
      <w:r>
        <w:t>Brazil has a tradition of generating varieties of high-yielding sugarcane combined with expertise in process optimisation for ethanol production. As a matter of fact, it remains the largest producer of sugar ethanol with 29 billion L year</w:t>
      </w:r>
      <w:r w:rsidR="000C1D08">
        <w:rPr>
          <w:rStyle w:val="apple-converted-space"/>
          <w:vertAlign w:val="superscript"/>
        </w:rPr>
        <w:t>−</w:t>
      </w:r>
      <w:r w:rsidRPr="00272287">
        <w:rPr>
          <w:rStyle w:val="apple-converted-space"/>
          <w:vertAlign w:val="superscript"/>
        </w:rPr>
        <w:t>1</w:t>
      </w:r>
      <w:r>
        <w:t>, mainly coming from 9 Mha of sugarcane plantations</w:t>
      </w:r>
      <w:r w:rsidR="000C1D08">
        <w:t xml:space="preserve"> [46]. </w:t>
      </w:r>
      <w:r>
        <w:t>Although bioenergy could simultaneously address energy security and climate change concerns, the associated global warming potential should account for LUC, agrochemic</w:t>
      </w:r>
      <w:r w:rsidR="000C1D08">
        <w:t xml:space="preserve">al inputs, SOC </w:t>
      </w:r>
      <w:r>
        <w:t>changes, and the auxiliary energy consumption of processes</w:t>
      </w:r>
      <w:r w:rsidR="000C1D08">
        <w:t xml:space="preserve"> [47]. </w:t>
      </w:r>
      <w:r>
        <w:t>E</w:t>
      </w:r>
      <w:r w:rsidR="000C1D08">
        <w:t>missions from biofuel indirect Land Use C</w:t>
      </w:r>
      <w:r>
        <w:t>hange (iLUC) is the most uncertain component when assessing emissions induced by</w:t>
      </w:r>
      <w:r w:rsidR="000C1D08">
        <w:t xml:space="preserve"> the expansion of energy crops, </w:t>
      </w:r>
      <w:r>
        <w:t>for example, ethanol production estimated emissions from iLUC could be in the range of 10-340 g</w:t>
      </w:r>
      <w:r w:rsidR="000C1D08">
        <w:t xml:space="preserve"> </w:t>
      </w:r>
      <w:r>
        <w:t>CO</w:t>
      </w:r>
      <w:r>
        <w:rPr>
          <w:vertAlign w:val="subscript"/>
        </w:rPr>
        <w:t>2</w:t>
      </w:r>
      <w:r>
        <w:t xml:space="preserve"> MJ</w:t>
      </w:r>
      <w:r w:rsidR="000C1D08">
        <w:rPr>
          <w:rStyle w:val="apple-converted-space"/>
          <w:vertAlign w:val="superscript"/>
        </w:rPr>
        <w:t>−</w:t>
      </w:r>
      <w:r w:rsidRPr="00272287">
        <w:rPr>
          <w:rStyle w:val="apple-converted-space"/>
          <w:vertAlign w:val="superscript"/>
        </w:rPr>
        <w:t>1</w:t>
      </w:r>
      <w:r>
        <w:t xml:space="preserve"> (central 95% interval: 21-142 g</w:t>
      </w:r>
      <w:r w:rsidR="000C1D08">
        <w:t xml:space="preserve"> </w:t>
      </w:r>
      <w:r>
        <w:t>CO</w:t>
      </w:r>
      <w:r>
        <w:rPr>
          <w:vertAlign w:val="subscript"/>
        </w:rPr>
        <w:t>2</w:t>
      </w:r>
      <w:r>
        <w:t xml:space="preserve"> MJ</w:t>
      </w:r>
      <w:r w:rsidR="000C1D08">
        <w:rPr>
          <w:rStyle w:val="apple-converted-space"/>
          <w:vertAlign w:val="superscript"/>
        </w:rPr>
        <w:t>−</w:t>
      </w:r>
      <w:r w:rsidRPr="00272287">
        <w:rPr>
          <w:rStyle w:val="apple-converted-space"/>
          <w:vertAlign w:val="superscript"/>
        </w:rPr>
        <w:t>1</w:t>
      </w:r>
      <w:r>
        <w:t>)</w:t>
      </w:r>
      <w:r w:rsidR="000C1D08">
        <w:t xml:space="preserve"> [48]</w:t>
      </w:r>
      <w:r>
        <w:t xml:space="preserve">. </w:t>
      </w:r>
    </w:p>
    <w:p w:rsidR="009F1A75" w:rsidRDefault="009F1A75" w:rsidP="009F1A75">
      <w:r>
        <w:t xml:space="preserve">Although the country counts with large amounts of natural gas reserves </w:t>
      </w:r>
      <w:r w:rsidR="000C1D08">
        <w:br/>
        <w:t>[</w:t>
      </w:r>
      <w:r>
        <w:t>388</w:t>
      </w:r>
      <w:r w:rsidR="000C1D08">
        <w:t xml:space="preserve">-453 billion cubic meters (bcm)], </w:t>
      </w:r>
      <w:r>
        <w:t>with a current daily production of 103.8 mcm (million cubic meters) (1,477 PJ year</w:t>
      </w:r>
      <w:r w:rsidR="000C1D08">
        <w:rPr>
          <w:rStyle w:val="apple-converted-space"/>
          <w:vertAlign w:val="superscript"/>
        </w:rPr>
        <w:t>−</w:t>
      </w:r>
      <w:r w:rsidRPr="00272287">
        <w:rPr>
          <w:rStyle w:val="apple-converted-space"/>
          <w:vertAlign w:val="superscript"/>
        </w:rPr>
        <w:t>1</w:t>
      </w:r>
      <w:r>
        <w:t>) and imports of 32.1 mcm (456 PJ year</w:t>
      </w:r>
      <w:r w:rsidR="000C1D08">
        <w:rPr>
          <w:rStyle w:val="apple-converted-space"/>
          <w:vertAlign w:val="superscript"/>
        </w:rPr>
        <w:t>−</w:t>
      </w:r>
      <w:r w:rsidRPr="00272287">
        <w:rPr>
          <w:rStyle w:val="apple-converted-space"/>
          <w:vertAlign w:val="superscript"/>
        </w:rPr>
        <w:t>1</w:t>
      </w:r>
      <w:r>
        <w:t>)</w:t>
      </w:r>
      <w:r w:rsidR="000C1D08">
        <w:t xml:space="preserve"> [36]</w:t>
      </w:r>
      <w:r>
        <w:t>, natural gas still plays a modest role. Up to a quarter of the national gas production (mostly offshore associ</w:t>
      </w:r>
      <w:r w:rsidR="000C1D08">
        <w:t xml:space="preserve">ated gas) is consumed upstream, </w:t>
      </w:r>
      <w:r>
        <w:t>or either used for gas processing or fertiliser production. Power generation required around 716 PJ year</w:t>
      </w:r>
      <w:r w:rsidR="000C1D08">
        <w:rPr>
          <w:rStyle w:val="apple-converted-space"/>
          <w:vertAlign w:val="superscript"/>
        </w:rPr>
        <w:t>−</w:t>
      </w:r>
      <w:r w:rsidRPr="00272287">
        <w:rPr>
          <w:rStyle w:val="apple-converted-space"/>
          <w:vertAlign w:val="superscript"/>
        </w:rPr>
        <w:t>1</w:t>
      </w:r>
      <w:r w:rsidR="000C1D08">
        <w:t xml:space="preserve">. </w:t>
      </w:r>
      <w:r>
        <w:t>In the demand sectors, the industry is the highest consumer, with a demand of 417 PJ year</w:t>
      </w:r>
      <w:r w:rsidR="000C1D08">
        <w:rPr>
          <w:rStyle w:val="apple-converted-space"/>
          <w:vertAlign w:val="superscript"/>
        </w:rPr>
        <w:t>−</w:t>
      </w:r>
      <w:r w:rsidRPr="00272287">
        <w:rPr>
          <w:rStyle w:val="apple-converted-space"/>
          <w:vertAlign w:val="superscript"/>
        </w:rPr>
        <w:t>1</w:t>
      </w:r>
      <w:r>
        <w:t xml:space="preserve">, while the </w:t>
      </w:r>
      <w:r>
        <w:lastRenderedPageBreak/>
        <w:t>domestic and commercial sectors’ consumption (concentrated in the South-East region) is relatively low, accounting for only 19.6 PJ year</w:t>
      </w:r>
      <w:r w:rsidR="000C1D08">
        <w:rPr>
          <w:rStyle w:val="apple-converted-space"/>
          <w:vertAlign w:val="superscript"/>
        </w:rPr>
        <w:t>−</w:t>
      </w:r>
      <w:r w:rsidRPr="00272287">
        <w:rPr>
          <w:rStyle w:val="apple-converted-space"/>
          <w:vertAlign w:val="superscript"/>
        </w:rPr>
        <w:t>1</w:t>
      </w:r>
      <w:r w:rsidR="000C1D08">
        <w:t xml:space="preserve"> [36]. </w:t>
      </w:r>
      <w:r>
        <w:t>This low reliance on the use of gas is mainly due to the predominant role of hydroelectricity and sugarcane products, the underdeveloped gas infrastructure, the lack of heating dema</w:t>
      </w:r>
      <w:r w:rsidR="000C1D08">
        <w:t xml:space="preserve">nd, and high subsidies for </w:t>
      </w:r>
      <w:r w:rsidR="00874B8A">
        <w:t>Liquefied Petroleum G</w:t>
      </w:r>
      <w:r w:rsidR="00874B8A" w:rsidRPr="00874B8A">
        <w:t xml:space="preserve">as </w:t>
      </w:r>
      <w:r w:rsidR="00874B8A">
        <w:t>(</w:t>
      </w:r>
      <w:r w:rsidR="000C1D08">
        <w:t>LPG</w:t>
      </w:r>
      <w:r w:rsidR="00874B8A">
        <w:t>)</w:t>
      </w:r>
      <w:r w:rsidR="000C1D08">
        <w:t xml:space="preserve">. </w:t>
      </w:r>
      <w:r>
        <w:t xml:space="preserve">The importance of natural gas in the Brazilian mix, though, is expected to grow considerably </w:t>
      </w:r>
      <w:r w:rsidR="000C1D08">
        <w:t xml:space="preserve">[49, 50] </w:t>
      </w:r>
      <w:r>
        <w:t>ensuring universal energy access to the population, and supporting the share increase of renewable energy and energy efficiency programmes in the country. Only in the last two decades, thanks to an increasing local production and imports from the Bolivian pipeline, natural gas consumption has seen a steady annual grow of 10.4%</w:t>
      </w:r>
      <w:r w:rsidR="000C1D08">
        <w:t xml:space="preserve"> [51]. </w:t>
      </w:r>
      <w:r>
        <w:t xml:space="preserve">Between 1990 and 2013, gas users grew from </w:t>
      </w:r>
      <w:r w:rsidR="00B26577">
        <w:br/>
      </w:r>
      <w:r>
        <w:t xml:space="preserve">0.5 million to 2.44 million, while energy consumption went from 40 PJ to 1,296 PJ. </w:t>
      </w:r>
    </w:p>
    <w:p w:rsidR="009F1A75" w:rsidRPr="000C1D08" w:rsidRDefault="009F1A75" w:rsidP="000C1D08">
      <w:pPr>
        <w:pStyle w:val="Heading2"/>
      </w:pPr>
      <w:r w:rsidRPr="000C1D08">
        <w:t>SCENARIOS</w:t>
      </w:r>
    </w:p>
    <w:p w:rsidR="009F1A75" w:rsidRDefault="009F1A75" w:rsidP="004267D6">
      <w:pPr>
        <w:spacing w:line="280" w:lineRule="exact"/>
      </w:pPr>
      <w:r>
        <w:t>In this study, the model has been applied to simulate transitions in the Brazilian agricultural energy system and land use between 2010 and 2050 under two differ</w:t>
      </w:r>
      <w:r w:rsidR="00874B8A">
        <w:t xml:space="preserve">ent two-degree scenarios (2DS). </w:t>
      </w:r>
      <w:r>
        <w:t>Based on the research from</w:t>
      </w:r>
      <w:r w:rsidR="00874B8A">
        <w:t xml:space="preserve"> Rochedo </w:t>
      </w:r>
      <w:r w:rsidR="00874B8A" w:rsidRPr="00874B8A">
        <w:rPr>
          <w:i/>
        </w:rPr>
        <w:t>et al</w:t>
      </w:r>
      <w:r w:rsidR="00874B8A">
        <w:t xml:space="preserve">. [52], </w:t>
      </w:r>
      <w:r>
        <w:t>a carbon budget of 40 Gt</w:t>
      </w:r>
      <w:r w:rsidR="00874B8A">
        <w:t xml:space="preserve"> </w:t>
      </w:r>
      <w:r>
        <w:t>CO</w:t>
      </w:r>
      <w:r w:rsidRPr="00E867E7">
        <w:rPr>
          <w:vertAlign w:val="subscript"/>
        </w:rPr>
        <w:t>2</w:t>
      </w:r>
      <w:r>
        <w:t xml:space="preserve"> has been considered accounting only for the energy and land systems. The selected value is located on the higher end of the range proposed by the authors (16.0-41.4 Gt</w:t>
      </w:r>
      <w:r w:rsidR="00874B8A">
        <w:t xml:space="preserve"> </w:t>
      </w:r>
      <w:r>
        <w:t>CO</w:t>
      </w:r>
      <w:r w:rsidRPr="00C55BED">
        <w:rPr>
          <w:vertAlign w:val="subscript"/>
        </w:rPr>
        <w:t>2</w:t>
      </w:r>
      <w:r>
        <w:t xml:space="preserve">), as in this study, carbon negative technologies such as carbon capture and storage, direct air capture, and/or reforestation have not been considered. </w:t>
      </w:r>
      <w:r w:rsidR="00874B8A">
        <w:br/>
      </w:r>
      <w:r>
        <w:t>The proposed two scenarios differ in terms of the assumptions made for the bioenergy production growth (Figure 4):</w:t>
      </w:r>
    </w:p>
    <w:p w:rsidR="009F1A75" w:rsidRPr="00874B8A" w:rsidRDefault="00874B8A" w:rsidP="004267D6">
      <w:pPr>
        <w:pStyle w:val="ListParagraph"/>
        <w:numPr>
          <w:ilvl w:val="0"/>
          <w:numId w:val="13"/>
        </w:numPr>
        <w:spacing w:after="0" w:line="280" w:lineRule="exact"/>
        <w:ind w:left="714" w:hanging="357"/>
        <w:jc w:val="both"/>
        <w:rPr>
          <w:rFonts w:ascii="Times New Roman" w:hAnsi="Times New Roman"/>
          <w:sz w:val="24"/>
          <w:szCs w:val="24"/>
          <w:lang w:val="en-GB"/>
        </w:rPr>
      </w:pPr>
      <w:r>
        <w:rPr>
          <w:rFonts w:ascii="Times New Roman" w:hAnsi="Times New Roman"/>
          <w:bCs/>
          <w:sz w:val="24"/>
          <w:szCs w:val="24"/>
          <w:lang w:val="en-GB"/>
        </w:rPr>
        <w:t xml:space="preserve">Two </w:t>
      </w:r>
      <w:r w:rsidR="009F1A75" w:rsidRPr="00874B8A">
        <w:rPr>
          <w:rFonts w:ascii="Times New Roman" w:hAnsi="Times New Roman"/>
          <w:bCs/>
          <w:sz w:val="24"/>
          <w:szCs w:val="24"/>
          <w:lang w:val="en-GB"/>
        </w:rPr>
        <w:t>degree scenario with sugarcane expansion (2DS</w:t>
      </w:r>
      <w:r>
        <w:rPr>
          <w:rFonts w:ascii="Times New Roman" w:hAnsi="Times New Roman"/>
          <w:bCs/>
          <w:sz w:val="24"/>
          <w:szCs w:val="24"/>
          <w:lang w:val="en-GB"/>
        </w:rPr>
        <w:t xml:space="preserve"> </w:t>
      </w:r>
      <w:r w:rsidR="009F1A75" w:rsidRPr="00874B8A">
        <w:rPr>
          <w:rFonts w:ascii="Times New Roman" w:hAnsi="Times New Roman"/>
          <w:bCs/>
          <w:sz w:val="24"/>
          <w:szCs w:val="24"/>
          <w:lang w:val="en-GB"/>
        </w:rPr>
        <w:t>+</w:t>
      </w:r>
      <w:r>
        <w:rPr>
          <w:rFonts w:ascii="Times New Roman" w:hAnsi="Times New Roman"/>
          <w:bCs/>
          <w:sz w:val="24"/>
          <w:szCs w:val="24"/>
          <w:lang w:val="en-GB"/>
        </w:rPr>
        <w:t xml:space="preserve"> </w:t>
      </w:r>
      <w:r w:rsidR="009F1A75" w:rsidRPr="00874B8A">
        <w:rPr>
          <w:rFonts w:ascii="Times New Roman" w:hAnsi="Times New Roman"/>
          <w:bCs/>
          <w:sz w:val="24"/>
          <w:szCs w:val="24"/>
          <w:lang w:val="en-GB"/>
        </w:rPr>
        <w:t>SugC)</w:t>
      </w:r>
      <w:r w:rsidR="009F1A75" w:rsidRPr="00874B8A">
        <w:rPr>
          <w:rFonts w:ascii="Times New Roman" w:hAnsi="Times New Roman"/>
          <w:sz w:val="24"/>
          <w:szCs w:val="24"/>
          <w:lang w:val="en-GB"/>
        </w:rPr>
        <w:t>: Explores a two-degree scenario that incentivises larger production of sugarcane and soybean assuming a blending mandate according to which the biofuels production grows steadily from a 2010 production rate of 0.59 EJ year</w:t>
      </w:r>
      <w:r>
        <w:rPr>
          <w:rFonts w:ascii="Times New Roman" w:hAnsi="Times New Roman"/>
          <w:sz w:val="24"/>
          <w:szCs w:val="24"/>
          <w:vertAlign w:val="superscript"/>
          <w:lang w:val="en-GB"/>
        </w:rPr>
        <w:t>−</w:t>
      </w:r>
      <w:r w:rsidR="009F1A75" w:rsidRPr="00874B8A">
        <w:rPr>
          <w:rFonts w:ascii="Times New Roman" w:hAnsi="Times New Roman"/>
          <w:sz w:val="24"/>
          <w:szCs w:val="24"/>
          <w:vertAlign w:val="superscript"/>
          <w:lang w:val="en-GB"/>
        </w:rPr>
        <w:t>1</w:t>
      </w:r>
      <w:r w:rsidR="009F1A75" w:rsidRPr="00874B8A">
        <w:rPr>
          <w:rFonts w:ascii="Times New Roman" w:hAnsi="Times New Roman"/>
          <w:sz w:val="24"/>
          <w:szCs w:val="24"/>
          <w:lang w:val="en-GB"/>
        </w:rPr>
        <w:t xml:space="preserve"> (0.54 PJ year</w:t>
      </w:r>
      <w:r>
        <w:rPr>
          <w:rFonts w:ascii="Times New Roman" w:hAnsi="Times New Roman"/>
          <w:sz w:val="24"/>
          <w:szCs w:val="24"/>
          <w:vertAlign w:val="superscript"/>
          <w:lang w:val="en-GB"/>
        </w:rPr>
        <w:t>−</w:t>
      </w:r>
      <w:r w:rsidR="009F1A75" w:rsidRPr="00874B8A">
        <w:rPr>
          <w:rFonts w:ascii="Times New Roman" w:hAnsi="Times New Roman"/>
          <w:sz w:val="24"/>
          <w:szCs w:val="24"/>
          <w:vertAlign w:val="superscript"/>
          <w:lang w:val="en-GB"/>
        </w:rPr>
        <w:t>1</w:t>
      </w:r>
      <w:r w:rsidR="009F1A75" w:rsidRPr="00874B8A">
        <w:rPr>
          <w:rFonts w:ascii="Times New Roman" w:hAnsi="Times New Roman"/>
          <w:sz w:val="24"/>
          <w:szCs w:val="24"/>
          <w:lang w:val="en-GB"/>
        </w:rPr>
        <w:t xml:space="preserve"> ethanol and 0.05 EJ year</w:t>
      </w:r>
      <w:r>
        <w:rPr>
          <w:rFonts w:ascii="Times New Roman" w:hAnsi="Times New Roman"/>
          <w:sz w:val="24"/>
          <w:szCs w:val="24"/>
          <w:vertAlign w:val="superscript"/>
          <w:lang w:val="en-GB"/>
        </w:rPr>
        <w:t>−</w:t>
      </w:r>
      <w:r w:rsidR="009F1A75" w:rsidRPr="00874B8A">
        <w:rPr>
          <w:rFonts w:ascii="Times New Roman" w:hAnsi="Times New Roman"/>
          <w:sz w:val="24"/>
          <w:szCs w:val="24"/>
          <w:vertAlign w:val="superscript"/>
          <w:lang w:val="en-GB"/>
        </w:rPr>
        <w:t>1</w:t>
      </w:r>
      <w:r>
        <w:rPr>
          <w:rFonts w:ascii="Times New Roman" w:hAnsi="Times New Roman"/>
          <w:sz w:val="24"/>
          <w:szCs w:val="24"/>
          <w:lang w:val="en-GB"/>
        </w:rPr>
        <w:t xml:space="preserve"> </w:t>
      </w:r>
      <w:r w:rsidR="009F1A75" w:rsidRPr="00874B8A">
        <w:rPr>
          <w:rFonts w:ascii="Times New Roman" w:hAnsi="Times New Roman"/>
          <w:sz w:val="24"/>
          <w:szCs w:val="24"/>
          <w:lang w:val="en-GB"/>
        </w:rPr>
        <w:t>biodiesel</w:t>
      </w:r>
      <w:r w:rsidRPr="009B434B">
        <w:rPr>
          <w:rFonts w:ascii="Times New Roman" w:hAnsi="Times New Roman"/>
          <w:sz w:val="24"/>
          <w:szCs w:val="24"/>
          <w:lang w:val="en-GB"/>
        </w:rPr>
        <w:t xml:space="preserve"> [53]</w:t>
      </w:r>
      <w:r w:rsidR="009F1A75" w:rsidRPr="00874B8A">
        <w:rPr>
          <w:rFonts w:ascii="Times New Roman" w:hAnsi="Times New Roman"/>
          <w:sz w:val="24"/>
          <w:szCs w:val="24"/>
          <w:lang w:val="en-GB"/>
        </w:rPr>
        <w:t>) to 5.0 EJ year</w:t>
      </w:r>
      <w:r>
        <w:rPr>
          <w:rFonts w:ascii="Times New Roman" w:hAnsi="Times New Roman"/>
          <w:sz w:val="24"/>
          <w:szCs w:val="24"/>
          <w:vertAlign w:val="superscript"/>
          <w:lang w:val="en-GB"/>
        </w:rPr>
        <w:t>−</w:t>
      </w:r>
      <w:r w:rsidR="009F1A75" w:rsidRPr="00874B8A">
        <w:rPr>
          <w:rFonts w:ascii="Times New Roman" w:hAnsi="Times New Roman"/>
          <w:sz w:val="24"/>
          <w:szCs w:val="24"/>
          <w:vertAlign w:val="superscript"/>
          <w:lang w:val="en-GB"/>
        </w:rPr>
        <w:t>1</w:t>
      </w:r>
      <w:r w:rsidR="009F1A75" w:rsidRPr="00874B8A">
        <w:rPr>
          <w:rFonts w:ascii="Times New Roman" w:hAnsi="Times New Roman"/>
          <w:sz w:val="24"/>
          <w:szCs w:val="24"/>
          <w:lang w:val="en-GB"/>
        </w:rPr>
        <w:t xml:space="preserve"> in 2050 and the production of local natural gas is limited to current levels (around 100 mcm day</w:t>
      </w:r>
      <w:r>
        <w:rPr>
          <w:rFonts w:ascii="Times New Roman" w:hAnsi="Times New Roman"/>
          <w:sz w:val="24"/>
          <w:szCs w:val="24"/>
          <w:vertAlign w:val="superscript"/>
          <w:lang w:val="en-GB"/>
        </w:rPr>
        <w:t>−</w:t>
      </w:r>
      <w:r w:rsidR="009F1A75" w:rsidRPr="00874B8A">
        <w:rPr>
          <w:rFonts w:ascii="Times New Roman" w:hAnsi="Times New Roman"/>
          <w:sz w:val="24"/>
          <w:szCs w:val="24"/>
          <w:vertAlign w:val="superscript"/>
          <w:lang w:val="en-GB"/>
        </w:rPr>
        <w:t>1</w:t>
      </w:r>
      <w:r w:rsidR="009F1A75" w:rsidRPr="00874B8A">
        <w:rPr>
          <w:rFonts w:ascii="Times New Roman" w:hAnsi="Times New Roman"/>
          <w:sz w:val="24"/>
          <w:szCs w:val="24"/>
          <w:lang w:val="en-GB"/>
        </w:rPr>
        <w:t xml:space="preserve">). It is assumed that the same share ethanol-biodiesel is maintained through to the time analysed. </w:t>
      </w:r>
      <w:r>
        <w:rPr>
          <w:rFonts w:ascii="Times New Roman" w:hAnsi="Times New Roman"/>
          <w:sz w:val="24"/>
          <w:szCs w:val="24"/>
          <w:lang w:val="en-GB"/>
        </w:rPr>
        <w:br/>
      </w:r>
      <w:r w:rsidR="009F1A75" w:rsidRPr="00874B8A">
        <w:rPr>
          <w:rFonts w:ascii="Times New Roman" w:hAnsi="Times New Roman"/>
          <w:sz w:val="24"/>
          <w:szCs w:val="24"/>
          <w:lang w:val="en-GB"/>
        </w:rPr>
        <w:t xml:space="preserve">The assumed biofuels growth occurs by about 6% per year and in line with the </w:t>
      </w:r>
      <w:r w:rsidR="009F1A75" w:rsidRPr="00874B8A">
        <w:rPr>
          <w:rFonts w:ascii="Times New Roman" w:hAnsi="Times New Roman"/>
          <w:iCs/>
          <w:sz w:val="24"/>
          <w:szCs w:val="24"/>
          <w:lang w:val="en-GB"/>
        </w:rPr>
        <w:t>“New Policies Scenario”</w:t>
      </w:r>
      <w:r w:rsidR="009F1A75" w:rsidRPr="00874B8A">
        <w:rPr>
          <w:rFonts w:ascii="Times New Roman" w:hAnsi="Times New Roman"/>
          <w:sz w:val="24"/>
          <w:szCs w:val="24"/>
          <w:lang w:val="en-GB"/>
        </w:rPr>
        <w:t xml:space="preserve"> from the 2010 IEA World Energy Outlook</w:t>
      </w:r>
      <w:r w:rsidRPr="009B434B">
        <w:rPr>
          <w:rFonts w:ascii="Times New Roman" w:hAnsi="Times New Roman"/>
          <w:sz w:val="24"/>
          <w:szCs w:val="24"/>
          <w:lang w:val="en-GB"/>
        </w:rPr>
        <w:t xml:space="preserve"> [53]</w:t>
      </w:r>
      <w:r>
        <w:rPr>
          <w:rFonts w:ascii="Times New Roman" w:hAnsi="Times New Roman"/>
          <w:sz w:val="24"/>
          <w:szCs w:val="24"/>
          <w:lang w:val="en-GB"/>
        </w:rPr>
        <w:t>;</w:t>
      </w:r>
      <w:r w:rsidR="009F1A75" w:rsidRPr="00874B8A">
        <w:rPr>
          <w:rFonts w:ascii="Times New Roman" w:hAnsi="Times New Roman"/>
          <w:sz w:val="24"/>
          <w:szCs w:val="24"/>
          <w:lang w:val="en-GB"/>
        </w:rPr>
        <w:t xml:space="preserve"> </w:t>
      </w:r>
    </w:p>
    <w:p w:rsidR="009F1A75" w:rsidRPr="00874B8A" w:rsidRDefault="009F1A75" w:rsidP="004267D6">
      <w:pPr>
        <w:pStyle w:val="ListParagraph"/>
        <w:numPr>
          <w:ilvl w:val="0"/>
          <w:numId w:val="13"/>
        </w:numPr>
        <w:spacing w:after="0" w:line="280" w:lineRule="exact"/>
        <w:ind w:left="714" w:hanging="357"/>
        <w:jc w:val="both"/>
        <w:rPr>
          <w:lang w:val="en-GB"/>
        </w:rPr>
      </w:pPr>
      <w:r w:rsidRPr="00874B8A">
        <w:rPr>
          <w:rFonts w:ascii="Times New Roman" w:hAnsi="Times New Roman"/>
          <w:bCs/>
          <w:sz w:val="24"/>
          <w:szCs w:val="24"/>
          <w:lang w:val="en-GB"/>
        </w:rPr>
        <w:t>Two degree scenario with</w:t>
      </w:r>
      <w:r w:rsidR="00874B8A">
        <w:rPr>
          <w:rFonts w:ascii="Times New Roman" w:hAnsi="Times New Roman"/>
          <w:bCs/>
          <w:sz w:val="24"/>
          <w:szCs w:val="24"/>
          <w:lang w:val="en-GB"/>
        </w:rPr>
        <w:t xml:space="preserve"> </w:t>
      </w:r>
      <w:r w:rsidRPr="00874B8A">
        <w:rPr>
          <w:rFonts w:ascii="Times New Roman" w:hAnsi="Times New Roman"/>
          <w:bCs/>
          <w:sz w:val="24"/>
          <w:szCs w:val="24"/>
          <w:lang w:val="en-GB"/>
        </w:rPr>
        <w:t>natural gas expansion (2DS</w:t>
      </w:r>
      <w:r w:rsidR="00874B8A">
        <w:rPr>
          <w:rFonts w:ascii="Times New Roman" w:hAnsi="Times New Roman"/>
          <w:bCs/>
          <w:sz w:val="24"/>
          <w:szCs w:val="24"/>
          <w:lang w:val="en-GB"/>
        </w:rPr>
        <w:t xml:space="preserve"> </w:t>
      </w:r>
      <w:r w:rsidRPr="00874B8A">
        <w:rPr>
          <w:rFonts w:ascii="Times New Roman" w:hAnsi="Times New Roman"/>
          <w:bCs/>
          <w:sz w:val="24"/>
          <w:szCs w:val="24"/>
          <w:lang w:val="en-GB"/>
        </w:rPr>
        <w:t>+</w:t>
      </w:r>
      <w:r w:rsidR="00874B8A">
        <w:rPr>
          <w:rFonts w:ascii="Times New Roman" w:hAnsi="Times New Roman"/>
          <w:bCs/>
          <w:sz w:val="24"/>
          <w:szCs w:val="24"/>
          <w:lang w:val="en-GB"/>
        </w:rPr>
        <w:t xml:space="preserve"> </w:t>
      </w:r>
      <w:r w:rsidRPr="00874B8A">
        <w:rPr>
          <w:rFonts w:ascii="Times New Roman" w:hAnsi="Times New Roman"/>
          <w:bCs/>
          <w:sz w:val="24"/>
          <w:szCs w:val="24"/>
          <w:lang w:val="en-GB"/>
        </w:rPr>
        <w:t>NG)</w:t>
      </w:r>
      <w:r w:rsidRPr="00874B8A">
        <w:rPr>
          <w:rFonts w:ascii="Times New Roman" w:hAnsi="Times New Roman"/>
          <w:sz w:val="24"/>
          <w:szCs w:val="24"/>
          <w:lang w:val="en-GB"/>
        </w:rPr>
        <w:t>: Explores a two-degree scenario that incentivises natural gas production and infrastructure expansion as well as limits bioenergy expansion by taxing land use emissions from bioenergy crops growth. It contemplates that biofuels would grow by about 3% per year. This means that bioenergy production will only increase from the current rate of 0.59 EJ year</w:t>
      </w:r>
      <w:r w:rsidR="00874B8A">
        <w:rPr>
          <w:rFonts w:ascii="Times New Roman" w:hAnsi="Times New Roman"/>
          <w:sz w:val="24"/>
          <w:szCs w:val="24"/>
          <w:vertAlign w:val="superscript"/>
          <w:lang w:val="en-GB"/>
        </w:rPr>
        <w:t>−</w:t>
      </w:r>
      <w:r w:rsidRPr="00874B8A">
        <w:rPr>
          <w:rFonts w:ascii="Times New Roman" w:hAnsi="Times New Roman"/>
          <w:sz w:val="24"/>
          <w:szCs w:val="24"/>
          <w:vertAlign w:val="superscript"/>
          <w:lang w:val="en-GB"/>
        </w:rPr>
        <w:t xml:space="preserve">1 </w:t>
      </w:r>
      <w:r w:rsidRPr="00874B8A">
        <w:rPr>
          <w:rFonts w:ascii="Times New Roman" w:hAnsi="Times New Roman"/>
          <w:sz w:val="24"/>
          <w:szCs w:val="24"/>
          <w:lang w:val="en-GB"/>
        </w:rPr>
        <w:t>in 2010 to 2.50 EJ year</w:t>
      </w:r>
      <w:r w:rsidR="00874B8A">
        <w:rPr>
          <w:rFonts w:ascii="Times New Roman" w:hAnsi="Times New Roman"/>
          <w:sz w:val="24"/>
          <w:szCs w:val="24"/>
          <w:vertAlign w:val="superscript"/>
          <w:lang w:val="en-GB"/>
        </w:rPr>
        <w:t>−</w:t>
      </w:r>
      <w:r w:rsidRPr="00874B8A">
        <w:rPr>
          <w:rFonts w:ascii="Times New Roman" w:hAnsi="Times New Roman"/>
          <w:sz w:val="24"/>
          <w:szCs w:val="24"/>
          <w:vertAlign w:val="superscript"/>
          <w:lang w:val="en-GB"/>
        </w:rPr>
        <w:t xml:space="preserve">1 </w:t>
      </w:r>
      <w:r w:rsidRPr="00874B8A">
        <w:rPr>
          <w:rFonts w:ascii="Times New Roman" w:hAnsi="Times New Roman"/>
          <w:sz w:val="24"/>
          <w:szCs w:val="24"/>
          <w:lang w:val="en-GB"/>
        </w:rPr>
        <w:t>in 2050.</w:t>
      </w:r>
    </w:p>
    <w:p w:rsidR="00874B8A" w:rsidRPr="00874B8A" w:rsidRDefault="00874B8A" w:rsidP="00874B8A">
      <w:pPr>
        <w:ind w:firstLine="0"/>
        <w:jc w:val="center"/>
        <w:rPr>
          <w:sz w:val="22"/>
        </w:rPr>
      </w:pPr>
    </w:p>
    <w:p w:rsidR="009F1A75" w:rsidRDefault="009F1A75" w:rsidP="00874B8A">
      <w:pPr>
        <w:ind w:firstLine="0"/>
        <w:jc w:val="center"/>
        <w:rPr>
          <w:noProof/>
          <w:sz w:val="22"/>
          <w:lang w:eastAsia="en-GB"/>
        </w:rPr>
      </w:pPr>
      <w:r>
        <w:rPr>
          <w:noProof/>
          <w:sz w:val="22"/>
          <w:lang w:val="hr-HR" w:eastAsia="hr-HR"/>
        </w:rPr>
        <w:drawing>
          <wp:inline distT="0" distB="0" distL="0" distR="0" wp14:anchorId="024E1071">
            <wp:extent cx="2725387" cy="20169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3201" b="2373"/>
                    <a:stretch/>
                  </pic:blipFill>
                  <pic:spPr bwMode="auto">
                    <a:xfrm>
                      <a:off x="0" y="0"/>
                      <a:ext cx="2811355" cy="2080560"/>
                    </a:xfrm>
                    <a:prstGeom prst="rect">
                      <a:avLst/>
                    </a:prstGeom>
                    <a:noFill/>
                    <a:ln>
                      <a:noFill/>
                    </a:ln>
                    <a:extLst>
                      <a:ext uri="{53640926-AAD7-44D8-BBD7-CCE9431645EC}">
                        <a14:shadowObscured xmlns:a14="http://schemas.microsoft.com/office/drawing/2010/main"/>
                      </a:ext>
                    </a:extLst>
                  </pic:spPr>
                </pic:pic>
              </a:graphicData>
            </a:graphic>
          </wp:inline>
        </w:drawing>
      </w:r>
    </w:p>
    <w:p w:rsidR="00B651A1" w:rsidRDefault="00B651A1" w:rsidP="00874B8A">
      <w:pPr>
        <w:ind w:firstLine="0"/>
        <w:jc w:val="center"/>
        <w:rPr>
          <w:noProof/>
          <w:sz w:val="22"/>
          <w:lang w:eastAsia="en-GB"/>
        </w:rPr>
      </w:pPr>
    </w:p>
    <w:p w:rsidR="009F1A75" w:rsidRDefault="009F1A75" w:rsidP="00874B8A">
      <w:pPr>
        <w:ind w:firstLine="0"/>
        <w:jc w:val="center"/>
        <w:rPr>
          <w:noProof/>
          <w:sz w:val="22"/>
          <w:lang w:eastAsia="en-GB"/>
        </w:rPr>
      </w:pPr>
      <w:r>
        <w:rPr>
          <w:noProof/>
          <w:sz w:val="22"/>
          <w:lang w:eastAsia="en-GB"/>
        </w:rPr>
        <w:t>Figure 4</w:t>
      </w:r>
      <w:r w:rsidR="00874B8A">
        <w:rPr>
          <w:noProof/>
          <w:sz w:val="22"/>
          <w:lang w:eastAsia="en-GB"/>
        </w:rPr>
        <w:t xml:space="preserve">. </w:t>
      </w:r>
      <w:r w:rsidRPr="00317A92">
        <w:rPr>
          <w:noProof/>
          <w:sz w:val="22"/>
          <w:lang w:eastAsia="en-GB"/>
        </w:rPr>
        <w:t>Projections of bioenergy production for both simulated scenarios</w:t>
      </w:r>
    </w:p>
    <w:p w:rsidR="009F1A75" w:rsidRDefault="00874B8A" w:rsidP="009F1A75">
      <w:pPr>
        <w:pStyle w:val="Heading3"/>
      </w:pPr>
      <w:r>
        <w:lastRenderedPageBreak/>
        <w:t>Brazil agriculture demand p</w:t>
      </w:r>
      <w:r w:rsidR="009F1A75">
        <w:t>rojection</w:t>
      </w:r>
    </w:p>
    <w:p w:rsidR="009F1A75" w:rsidRDefault="009F1A75" w:rsidP="009F1A75">
      <w:r>
        <w:t>IIASA SSP2</w:t>
      </w:r>
      <w:r>
        <w:rPr>
          <w:rStyle w:val="FootnoteReference"/>
        </w:rPr>
        <w:footnoteReference w:id="3"/>
      </w:r>
      <w:r>
        <w:t xml:space="preserve"> scenario on GDP and population has been used for food demand projections</w:t>
      </w:r>
      <w:r w:rsidR="00874B8A">
        <w:t xml:space="preserve"> [54]. </w:t>
      </w:r>
      <w:r>
        <w:t>The data suggest that by 2050, Brazil will hav</w:t>
      </w:r>
      <w:r w:rsidR="00874B8A">
        <w:t xml:space="preserve">e a per capita income of about USD </w:t>
      </w:r>
      <w:r>
        <w:t xml:space="preserve">22,617 (2005 USD) and a population of </w:t>
      </w:r>
      <w:r w:rsidR="00874B8A">
        <w:t xml:space="preserve">232 million inhabitants. </w:t>
      </w:r>
      <w:r w:rsidR="00874B8A">
        <w:br/>
        <w:t>Using e</w:t>
      </w:r>
      <w:r>
        <w:t xml:space="preserve">q. </w:t>
      </w:r>
      <w:r w:rsidR="00874B8A">
        <w:t>(</w:t>
      </w:r>
      <w:r>
        <w:t>1</w:t>
      </w:r>
      <w:r w:rsidR="00874B8A">
        <w:t>)</w:t>
      </w:r>
      <w:r>
        <w:t>, Figure 5 illustrates actual data for average daily food intake (both crop and meat based)</w:t>
      </w:r>
      <w:r>
        <w:rPr>
          <w:rStyle w:val="FootnoteReference"/>
        </w:rPr>
        <w:footnoteReference w:id="4"/>
      </w:r>
      <w:r>
        <w:t>. The Engel’s curves shows that by 2050, each person in Brazil will consume about 10.5 MJ day</w:t>
      </w:r>
      <w:r w:rsidR="00200866">
        <w:rPr>
          <w:rStyle w:val="apple-converted-space"/>
          <w:vertAlign w:val="superscript"/>
        </w:rPr>
        <w:t>−</w:t>
      </w:r>
      <w:r w:rsidRPr="00272287">
        <w:rPr>
          <w:rStyle w:val="apple-converted-space"/>
          <w:vertAlign w:val="superscript"/>
        </w:rPr>
        <w:t>1</w:t>
      </w:r>
      <w:r w:rsidR="00EA1D6D">
        <w:t xml:space="preserve"> </w:t>
      </w:r>
      <w:r>
        <w:t>of crop-based diet and 3.6 MJ day</w:t>
      </w:r>
      <w:r w:rsidR="00200866">
        <w:rPr>
          <w:rStyle w:val="apple-converted-space"/>
          <w:vertAlign w:val="superscript"/>
        </w:rPr>
        <w:t>−</w:t>
      </w:r>
      <w:r w:rsidRPr="00272287">
        <w:rPr>
          <w:rStyle w:val="apple-converted-space"/>
          <w:vertAlign w:val="superscript"/>
        </w:rPr>
        <w:t>1</w:t>
      </w:r>
      <w:r w:rsidR="00200866">
        <w:t xml:space="preserve"> of meat-based diet. </w:t>
      </w:r>
      <w:r w:rsidR="00200866">
        <w:br/>
      </w:r>
      <w:r>
        <w:t>In aggregated values, this means that the total energy in food demand will grow from of 732 PJ year</w:t>
      </w:r>
      <w:r w:rsidR="00200866">
        <w:rPr>
          <w:rStyle w:val="apple-converted-space"/>
          <w:vertAlign w:val="superscript"/>
        </w:rPr>
        <w:t>−</w:t>
      </w:r>
      <w:r w:rsidRPr="00272287">
        <w:rPr>
          <w:rStyle w:val="apple-converted-space"/>
          <w:vertAlign w:val="superscript"/>
        </w:rPr>
        <w:t>1</w:t>
      </w:r>
      <w:r>
        <w:t xml:space="preserve"> and 229 PJ year</w:t>
      </w:r>
      <w:r w:rsidR="00200866">
        <w:rPr>
          <w:rStyle w:val="apple-converted-space"/>
          <w:vertAlign w:val="superscript"/>
        </w:rPr>
        <w:t>−</w:t>
      </w:r>
      <w:r w:rsidRPr="00272287">
        <w:rPr>
          <w:rStyle w:val="apple-converted-space"/>
          <w:vertAlign w:val="superscript"/>
        </w:rPr>
        <w:t>1</w:t>
      </w:r>
      <w:r>
        <w:t xml:space="preserve"> of crop and animal-based food respectively in 2010 to about 889 PJ year</w:t>
      </w:r>
      <w:r w:rsidR="00200866">
        <w:rPr>
          <w:rStyle w:val="apple-converted-space"/>
          <w:vertAlign w:val="superscript"/>
        </w:rPr>
        <w:t>−</w:t>
      </w:r>
      <w:r w:rsidRPr="00272287">
        <w:rPr>
          <w:rStyle w:val="apple-converted-space"/>
          <w:vertAlign w:val="superscript"/>
        </w:rPr>
        <w:t>1</w:t>
      </w:r>
      <w:r>
        <w:t xml:space="preserve"> and 308 PJ year</w:t>
      </w:r>
      <w:r w:rsidR="00200866">
        <w:rPr>
          <w:rStyle w:val="apple-converted-space"/>
          <w:vertAlign w:val="superscript"/>
        </w:rPr>
        <w:t>−</w:t>
      </w:r>
      <w:r w:rsidRPr="00272287">
        <w:rPr>
          <w:rStyle w:val="apple-converted-space"/>
          <w:vertAlign w:val="superscript"/>
        </w:rPr>
        <w:t>1</w:t>
      </w:r>
      <w:r>
        <w:t xml:space="preserve"> by 2050: a 25% increase in total food demand compared to 2010. </w:t>
      </w:r>
    </w:p>
    <w:p w:rsidR="009F1A75" w:rsidRPr="004267D6" w:rsidRDefault="009F1A75" w:rsidP="00200866">
      <w:pPr>
        <w:ind w:firstLine="0"/>
        <w:jc w:val="center"/>
      </w:pPr>
    </w:p>
    <w:p w:rsidR="009F1A75" w:rsidRDefault="009F1A75" w:rsidP="009F1A75">
      <w:pPr>
        <w:ind w:firstLine="0"/>
        <w:jc w:val="center"/>
      </w:pPr>
      <w:r>
        <w:rPr>
          <w:noProof/>
          <w:lang w:val="hr-HR" w:eastAsia="hr-HR"/>
        </w:rPr>
        <w:drawing>
          <wp:inline distT="0" distB="0" distL="0" distR="0" wp14:anchorId="2B6497EC">
            <wp:extent cx="3147000" cy="2143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5" t="1520" r="1004" b="641"/>
                    <a:stretch/>
                  </pic:blipFill>
                  <pic:spPr bwMode="auto">
                    <a:xfrm>
                      <a:off x="0" y="0"/>
                      <a:ext cx="3173711" cy="2161689"/>
                    </a:xfrm>
                    <a:prstGeom prst="rect">
                      <a:avLst/>
                    </a:prstGeom>
                    <a:noFill/>
                    <a:ln>
                      <a:noFill/>
                    </a:ln>
                    <a:extLst>
                      <a:ext uri="{53640926-AAD7-44D8-BBD7-CCE9431645EC}">
                        <a14:shadowObscured xmlns:a14="http://schemas.microsoft.com/office/drawing/2010/main"/>
                      </a:ext>
                    </a:extLst>
                  </pic:spPr>
                </pic:pic>
              </a:graphicData>
            </a:graphic>
          </wp:inline>
        </w:drawing>
      </w:r>
    </w:p>
    <w:p w:rsidR="009F1A75" w:rsidRPr="004267D6" w:rsidRDefault="009F1A75" w:rsidP="00200866">
      <w:pPr>
        <w:ind w:firstLine="0"/>
        <w:jc w:val="center"/>
      </w:pPr>
    </w:p>
    <w:p w:rsidR="009F1A75" w:rsidRDefault="009F1A75" w:rsidP="00200866">
      <w:pPr>
        <w:ind w:firstLine="0"/>
        <w:jc w:val="center"/>
        <w:rPr>
          <w:noProof/>
          <w:sz w:val="22"/>
          <w:lang w:eastAsia="en-GB"/>
        </w:rPr>
      </w:pPr>
      <w:r>
        <w:rPr>
          <w:sz w:val="22"/>
          <w:shd w:val="clear" w:color="auto" w:fill="FFFFFF"/>
        </w:rPr>
        <w:t>Figure 5</w:t>
      </w:r>
      <w:r w:rsidRPr="00317A92">
        <w:rPr>
          <w:sz w:val="22"/>
          <w:shd w:val="clear" w:color="auto" w:fill="FFFFFF"/>
        </w:rPr>
        <w:t xml:space="preserve">. </w:t>
      </w:r>
      <w:r>
        <w:rPr>
          <w:sz w:val="22"/>
          <w:shd w:val="clear" w:color="auto" w:fill="FFFFFF"/>
        </w:rPr>
        <w:t>Projections between food intake and</w:t>
      </w:r>
      <w:r w:rsidRPr="00317A92">
        <w:rPr>
          <w:sz w:val="22"/>
          <w:shd w:val="clear" w:color="auto" w:fill="FFFFFF"/>
        </w:rPr>
        <w:t xml:space="preserve"> average </w:t>
      </w:r>
      <w:r>
        <w:rPr>
          <w:sz w:val="22"/>
          <w:shd w:val="clear" w:color="auto" w:fill="FFFFFF"/>
        </w:rPr>
        <w:t>GDP</w:t>
      </w:r>
      <w:r w:rsidRPr="00317A92">
        <w:rPr>
          <w:sz w:val="22"/>
          <w:shd w:val="clear" w:color="auto" w:fill="FFFFFF"/>
        </w:rPr>
        <w:t xml:space="preserve"> pe</w:t>
      </w:r>
      <w:r>
        <w:rPr>
          <w:sz w:val="22"/>
          <w:shd w:val="clear" w:color="auto" w:fill="FFFFFF"/>
        </w:rPr>
        <w:t>r capita in Brazil</w:t>
      </w:r>
      <w:r w:rsidR="00200866">
        <w:rPr>
          <w:sz w:val="22"/>
          <w:shd w:val="clear" w:color="auto" w:fill="FFFFFF"/>
        </w:rPr>
        <w:t xml:space="preserve"> </w:t>
      </w:r>
      <w:r w:rsidR="00200866">
        <w:rPr>
          <w:sz w:val="22"/>
          <w:shd w:val="clear" w:color="auto" w:fill="FFFFFF"/>
        </w:rPr>
        <w:br/>
        <w:t>(</w:t>
      </w:r>
      <w:r w:rsidR="00200866">
        <w:rPr>
          <w:noProof/>
          <w:sz w:val="22"/>
          <w:lang w:eastAsia="en-GB"/>
        </w:rPr>
        <w:t>s</w:t>
      </w:r>
      <w:r w:rsidRPr="00317A92">
        <w:rPr>
          <w:noProof/>
          <w:sz w:val="22"/>
          <w:lang w:eastAsia="en-GB"/>
        </w:rPr>
        <w:t>ource</w:t>
      </w:r>
      <w:r>
        <w:rPr>
          <w:noProof/>
          <w:sz w:val="22"/>
          <w:lang w:eastAsia="en-GB"/>
        </w:rPr>
        <w:t xml:space="preserve"> data</w:t>
      </w:r>
      <w:r w:rsidRPr="00317A92">
        <w:rPr>
          <w:noProof/>
          <w:sz w:val="22"/>
          <w:lang w:eastAsia="en-GB"/>
        </w:rPr>
        <w:t xml:space="preserve">: FAO </w:t>
      </w:r>
      <w:r w:rsidR="00200866">
        <w:rPr>
          <w:sz w:val="22"/>
        </w:rPr>
        <w:t>[2])</w:t>
      </w:r>
    </w:p>
    <w:p w:rsidR="00200866" w:rsidRPr="004267D6" w:rsidRDefault="00200866" w:rsidP="00200866">
      <w:pPr>
        <w:ind w:firstLine="0"/>
        <w:jc w:val="center"/>
        <w:rPr>
          <w:noProof/>
          <w:lang w:eastAsia="en-GB"/>
        </w:rPr>
      </w:pPr>
    </w:p>
    <w:p w:rsidR="009F1A75" w:rsidRDefault="009F1A75" w:rsidP="009F1A75">
      <w:r>
        <w:t>For sugarcane, the model endogenously calculates its production based on the demand for sugarcane by products (ethanol, bagasse) from the transport, power and industry sectors. Finally, to account for agricultur</w:t>
      </w:r>
      <w:r w:rsidR="00A61C30">
        <w:t xml:space="preserve">al commodities imports/exports, </w:t>
      </w:r>
      <w:r>
        <w:rPr>
          <w:rFonts w:cs="Arial"/>
          <w:szCs w:val="20"/>
        </w:rPr>
        <w:t>we have assumed that future trade is in a constant share with base year values</w:t>
      </w:r>
      <w:r w:rsidRPr="009953DE">
        <w:rPr>
          <w:rFonts w:cs="Arial"/>
          <w:szCs w:val="20"/>
        </w:rPr>
        <w:t>.</w:t>
      </w:r>
    </w:p>
    <w:p w:rsidR="009F1A75" w:rsidRPr="00A61C30" w:rsidRDefault="009F1A75" w:rsidP="00A61C30">
      <w:pPr>
        <w:pStyle w:val="Heading3"/>
      </w:pPr>
      <w:r w:rsidRPr="00A61C30">
        <w:t>Technology characterisation and land use representation</w:t>
      </w:r>
    </w:p>
    <w:p w:rsidR="009F1A75" w:rsidRDefault="00A61C30" w:rsidP="009F1A75">
      <w:r>
        <w:t xml:space="preserve">Based </w:t>
      </w:r>
      <w:r w:rsidR="009F1A75">
        <w:t>on analysed global yields and mechanisation definitions, Brazil can be regarded as having mainly transitional mechanisation as it was found that crops have an average yield of 10.49 PJ Mha</w:t>
      </w:r>
      <w:r>
        <w:rPr>
          <w:rStyle w:val="apple-converted-space"/>
          <w:vertAlign w:val="superscript"/>
        </w:rPr>
        <w:t>−</w:t>
      </w:r>
      <w:r w:rsidR="009F1A75" w:rsidRPr="00272287">
        <w:rPr>
          <w:rStyle w:val="apple-converted-space"/>
          <w:vertAlign w:val="superscript"/>
        </w:rPr>
        <w:t>1</w:t>
      </w:r>
      <w:r w:rsidR="009F1A75">
        <w:t>, while meat production of 1.16 PJ Mha</w:t>
      </w:r>
      <w:r>
        <w:rPr>
          <w:rStyle w:val="apple-converted-space"/>
          <w:vertAlign w:val="superscript"/>
        </w:rPr>
        <w:t>−</w:t>
      </w:r>
      <w:r w:rsidR="009F1A75" w:rsidRPr="00272287">
        <w:rPr>
          <w:rStyle w:val="apple-converted-space"/>
          <w:vertAlign w:val="superscript"/>
        </w:rPr>
        <w:t>1</w:t>
      </w:r>
      <w:r w:rsidR="009F1A75">
        <w:t xml:space="preserve"> and silviculture of 7.66 PJ Mha</w:t>
      </w:r>
      <w:r>
        <w:rPr>
          <w:rStyle w:val="apple-converted-space"/>
          <w:vertAlign w:val="superscript"/>
        </w:rPr>
        <w:t>−</w:t>
      </w:r>
      <w:r w:rsidR="009F1A75" w:rsidRPr="00272287">
        <w:rPr>
          <w:rStyle w:val="apple-converted-space"/>
          <w:vertAlign w:val="superscript"/>
        </w:rPr>
        <w:t>1</w:t>
      </w:r>
      <w:r>
        <w:t xml:space="preserve"> [2]. </w:t>
      </w:r>
      <w:r w:rsidR="009F1A75">
        <w:t>This could also be explained by the share of agricultural production to the national GDP, which stands at 4.3%</w:t>
      </w:r>
      <w:r>
        <w:t xml:space="preserve"> [2]</w:t>
      </w:r>
      <w:r w:rsidR="009F1A75">
        <w:t>. By u</w:t>
      </w:r>
      <w:r>
        <w:t xml:space="preserve">sing the optimisation process </w:t>
      </w:r>
      <w:r>
        <w:br/>
        <w:t>[e</w:t>
      </w:r>
      <w:r w:rsidR="009F1A75">
        <w:t xml:space="preserve">q. </w:t>
      </w:r>
      <w:r>
        <w:t>(</w:t>
      </w:r>
      <w:r w:rsidR="009F1A75">
        <w:t>2</w:t>
      </w:r>
      <w:r>
        <w:t>)</w:t>
      </w:r>
      <w:r w:rsidR="009F1A75">
        <w:t xml:space="preserve"> and </w:t>
      </w:r>
      <w:r>
        <w:t>eq. (</w:t>
      </w:r>
      <w:r w:rsidR="009F1A75">
        <w:t>3)</w:t>
      </w:r>
      <w:r>
        <w:t>]</w:t>
      </w:r>
      <w:r w:rsidR="009F1A75">
        <w:t xml:space="preserve">, base-year installed capacities for each agricultural service have been obtained. The outputs are shown in Appendix C (Table C.1). </w:t>
      </w:r>
    </w:p>
    <w:p w:rsidR="009F1A75" w:rsidRDefault="00A61C30" w:rsidP="009F1A75">
      <w:r>
        <w:t xml:space="preserve">Conversely, </w:t>
      </w:r>
      <w:r w:rsidR="009F1A75">
        <w:t xml:space="preserve">regional land demand characterisation has been one of the most challenging task due to the lack of public available data at the desired granularity. </w:t>
      </w:r>
      <w:r>
        <w:br/>
      </w:r>
      <w:r w:rsidR="009F1A75">
        <w:t xml:space="preserve">Main data on land use demand from agricultural, pasture and urban land has been obtained from the </w:t>
      </w:r>
      <w:r w:rsidR="009F1A75" w:rsidRPr="00A61C30">
        <w:t>Brazilian Institute of Geography and Statistics</w:t>
      </w:r>
      <w:r w:rsidR="009F1A75" w:rsidRPr="0087786C" w:rsidDel="0087786C">
        <w:t xml:space="preserve"> </w:t>
      </w:r>
      <w:r w:rsidR="009F1A75">
        <w:t xml:space="preserve">(IBGE) </w:t>
      </w:r>
      <w:r>
        <w:t xml:space="preserve">[55] </w:t>
      </w:r>
      <w:r w:rsidR="009F1A75">
        <w:t>and FAOSTAT</w:t>
      </w:r>
      <w:r>
        <w:t xml:space="preserve"> [2]. </w:t>
      </w:r>
      <w:r w:rsidR="009F1A75">
        <w:t xml:space="preserve">Land demand for different Land data on Brazilian forest and forestry production by biome has been gathered from the </w:t>
      </w:r>
      <w:r w:rsidR="009F1A75" w:rsidRPr="00A61C30">
        <w:t>Ministry of Environment</w:t>
      </w:r>
      <w:r w:rsidR="009F1A75" w:rsidRPr="00A61C30" w:rsidDel="0087786C">
        <w:t xml:space="preserve"> </w:t>
      </w:r>
      <w:r w:rsidR="009F1A75" w:rsidRPr="00A61C30">
        <w:t>(MME)</w:t>
      </w:r>
      <w:r w:rsidRPr="009B434B">
        <w:t xml:space="preserve"> [56]</w:t>
      </w:r>
      <w:r w:rsidR="009F1A75">
        <w:t xml:space="preserve">. </w:t>
      </w:r>
      <w:proofErr w:type="gramStart"/>
      <w:r w:rsidR="009F1A75">
        <w:t>Finally</w:t>
      </w:r>
      <w:proofErr w:type="gramEnd"/>
      <w:r w:rsidR="009F1A75">
        <w:t xml:space="preserve"> from the </w:t>
      </w:r>
      <w:r w:rsidR="009F1A75" w:rsidRPr="00A61C30">
        <w:t>Sugar Cane Industry Union</w:t>
      </w:r>
      <w:r w:rsidR="009F1A75" w:rsidRPr="00A61C30" w:rsidDel="0087786C">
        <w:t xml:space="preserve"> </w:t>
      </w:r>
      <w:r w:rsidR="009F1A75" w:rsidRPr="00A61C30">
        <w:t>(UNICA)</w:t>
      </w:r>
      <w:r w:rsidRPr="009B434B">
        <w:t xml:space="preserve"> [57]</w:t>
      </w:r>
      <w:r>
        <w:t xml:space="preserve">, </w:t>
      </w:r>
      <w:r w:rsidR="009F1A75">
        <w:t xml:space="preserve">regional land demand from sugarcane production has been collected. As shown in Figure 6, for the characterisation </w:t>
      </w:r>
      <w:r>
        <w:lastRenderedPageBreak/>
        <w:t xml:space="preserve">of the Brazilian forest land, </w:t>
      </w:r>
      <w:r w:rsidR="009F1A75">
        <w:t xml:space="preserve">all six biomes have been considered (Amazonia, Caatinga, Cerrado, Mata Atlántica, Pampa and Pantanal). </w:t>
      </w:r>
    </w:p>
    <w:p w:rsidR="009F1A75" w:rsidRDefault="009F1A75" w:rsidP="00B97B22">
      <w:pPr>
        <w:ind w:firstLine="0"/>
        <w:jc w:val="center"/>
      </w:pPr>
    </w:p>
    <w:p w:rsidR="009F1A75" w:rsidRDefault="009F1A75" w:rsidP="009F1A75">
      <w:pPr>
        <w:keepNext/>
        <w:ind w:firstLine="0"/>
        <w:jc w:val="center"/>
        <w:rPr>
          <w:noProof/>
          <w:lang w:eastAsia="en-GB"/>
        </w:rPr>
      </w:pPr>
      <w:r>
        <w:rPr>
          <w:noProof/>
          <w:lang w:val="hr-HR" w:eastAsia="hr-HR"/>
        </w:rPr>
        <w:drawing>
          <wp:inline distT="0" distB="0" distL="0" distR="0">
            <wp:extent cx="2386483" cy="22795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5439" cy="2288152"/>
                    </a:xfrm>
                    <a:prstGeom prst="rect">
                      <a:avLst/>
                    </a:prstGeom>
                    <a:noFill/>
                    <a:ln w="9525" cmpd="sng">
                      <a:noFill/>
                      <a:miter lim="800000"/>
                      <a:headEnd/>
                      <a:tailEnd/>
                    </a:ln>
                    <a:effectLst/>
                  </pic:spPr>
                </pic:pic>
              </a:graphicData>
            </a:graphic>
          </wp:inline>
        </w:drawing>
      </w:r>
      <w:r>
        <w:rPr>
          <w:noProof/>
          <w:lang w:eastAsia="en-GB"/>
        </w:rPr>
        <w:t xml:space="preserve"> </w:t>
      </w:r>
      <w:r>
        <w:rPr>
          <w:noProof/>
          <w:lang w:val="hr-HR" w:eastAsia="hr-HR"/>
        </w:rPr>
        <w:drawing>
          <wp:inline distT="0" distB="0" distL="0" distR="0">
            <wp:extent cx="2348425" cy="2284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5113" cy="2300270"/>
                    </a:xfrm>
                    <a:prstGeom prst="rect">
                      <a:avLst/>
                    </a:prstGeom>
                    <a:noFill/>
                    <a:ln w="9525" cmpd="sng">
                      <a:noFill/>
                      <a:miter lim="800000"/>
                      <a:headEnd/>
                      <a:tailEnd/>
                    </a:ln>
                    <a:effectLst/>
                  </pic:spPr>
                </pic:pic>
              </a:graphicData>
            </a:graphic>
          </wp:inline>
        </w:drawing>
      </w:r>
    </w:p>
    <w:p w:rsidR="00B97B22" w:rsidRPr="00B97B22" w:rsidRDefault="00B97B22" w:rsidP="00B97B22">
      <w:pPr>
        <w:ind w:firstLine="0"/>
        <w:jc w:val="center"/>
      </w:pPr>
    </w:p>
    <w:p w:rsidR="009F1A75" w:rsidRPr="00B97B22" w:rsidRDefault="00B97B22" w:rsidP="00B97B22">
      <w:pPr>
        <w:ind w:firstLine="0"/>
        <w:jc w:val="center"/>
        <w:rPr>
          <w:sz w:val="22"/>
        </w:rPr>
      </w:pPr>
      <w:r>
        <w:rPr>
          <w:sz w:val="22"/>
        </w:rPr>
        <w:t xml:space="preserve">Figure 6. </w:t>
      </w:r>
      <w:r w:rsidR="009F1A75" w:rsidRPr="00B97B22">
        <w:rPr>
          <w:sz w:val="22"/>
        </w:rPr>
        <w:t>Brazil’s main geopolitical regions (left) and biomes (right)</w:t>
      </w:r>
    </w:p>
    <w:p w:rsidR="009F1A75" w:rsidRDefault="009F1A75" w:rsidP="00B97B22">
      <w:pPr>
        <w:ind w:firstLine="0"/>
        <w:jc w:val="center"/>
      </w:pPr>
    </w:p>
    <w:p w:rsidR="009F1A75" w:rsidRDefault="009F1A75" w:rsidP="009F1A75">
      <w:r>
        <w:t>Some biomes can be found in two or more regions. For instance, the Amazonas is located in the North (305.4</w:t>
      </w:r>
      <w:r w:rsidR="00B97B22">
        <w:t xml:space="preserve"> </w:t>
      </w:r>
      <w:r>
        <w:t xml:space="preserve">Mha), North-East (2.7 Mha) and Centre-West (33.4 Mha) regions. This data has been considered and separated between the different regions as necessary. This has implications in the assumed carbon pools of the </w:t>
      </w:r>
      <w:r w:rsidR="00B97B22">
        <w:t xml:space="preserve">different geopolitical regions, </w:t>
      </w:r>
      <w:r>
        <w:t>therefore, biome shares for each region and related C stocks per unit area have been considered to calculate regi</w:t>
      </w:r>
      <w:r w:rsidR="00B97B22">
        <w:t xml:space="preserve">onal C stocks. </w:t>
      </w:r>
      <w:r>
        <w:t>To account for carbon emissions or sequestration from land</w:t>
      </w:r>
      <w:r w:rsidR="00B97B22">
        <w:t xml:space="preserve"> use, Brazil’s carbon densities</w:t>
      </w:r>
      <w:r>
        <w:t xml:space="preserve"> have been taken from the  IPCC </w:t>
      </w:r>
      <w:r w:rsidR="00B97B22">
        <w:t xml:space="preserve">[35] </w:t>
      </w:r>
      <w:r>
        <w:t>and other studies</w:t>
      </w:r>
      <w:r w:rsidR="00B97B22">
        <w:t xml:space="preserve"> [30, 58, 59] </w:t>
      </w:r>
      <w:r>
        <w:t xml:space="preserve">(Table 2). </w:t>
      </w:r>
    </w:p>
    <w:p w:rsidR="009F1A75" w:rsidRDefault="009F1A75" w:rsidP="00B97B22">
      <w:pPr>
        <w:ind w:firstLine="0"/>
        <w:jc w:val="center"/>
      </w:pPr>
    </w:p>
    <w:p w:rsidR="009F1A75" w:rsidRDefault="00B97B22" w:rsidP="00B97B22">
      <w:pPr>
        <w:tabs>
          <w:tab w:val="left" w:pos="-437"/>
        </w:tabs>
        <w:suppressAutoHyphens/>
        <w:ind w:firstLine="0"/>
        <w:jc w:val="center"/>
        <w:rPr>
          <w:spacing w:val="-3"/>
          <w:sz w:val="22"/>
        </w:rPr>
      </w:pPr>
      <w:r>
        <w:rPr>
          <w:spacing w:val="-3"/>
          <w:sz w:val="22"/>
        </w:rPr>
        <w:t xml:space="preserve">Table 2. </w:t>
      </w:r>
      <w:r w:rsidR="009F1A75" w:rsidRPr="00317A92">
        <w:rPr>
          <w:spacing w:val="-3"/>
          <w:sz w:val="22"/>
        </w:rPr>
        <w:t xml:space="preserve">Estimated Brazilian land area in 2010 </w:t>
      </w:r>
      <w:r>
        <w:rPr>
          <w:spacing w:val="-3"/>
          <w:sz w:val="22"/>
        </w:rPr>
        <w:t xml:space="preserve">[2] </w:t>
      </w:r>
      <w:r w:rsidR="009F1A75" w:rsidRPr="00317A92">
        <w:rPr>
          <w:spacing w:val="-3"/>
          <w:sz w:val="22"/>
        </w:rPr>
        <w:t xml:space="preserve">and stocks for each carbon pool </w:t>
      </w:r>
    </w:p>
    <w:p w:rsidR="009F1A75" w:rsidRPr="00A617AE" w:rsidRDefault="009F1A75" w:rsidP="00B97B22">
      <w:pPr>
        <w:tabs>
          <w:tab w:val="left" w:pos="-437"/>
        </w:tabs>
        <w:suppressAutoHyphens/>
        <w:ind w:firstLine="0"/>
        <w:jc w:val="center"/>
        <w:rPr>
          <w:spacing w:val="-3"/>
        </w:rPr>
      </w:pPr>
    </w:p>
    <w:tbl>
      <w:tblPr>
        <w:tblStyle w:val="TableGrid"/>
        <w:tblW w:w="8525" w:type="dxa"/>
        <w:jc w:val="center"/>
        <w:tblBorders>
          <w:top w:val="single" w:sz="12" w:space="0" w:color="auto"/>
          <w:left w:val="none" w:sz="0" w:space="0" w:color="auto"/>
          <w:bottom w:val="single" w:sz="12"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1157"/>
        <w:gridCol w:w="1157"/>
        <w:gridCol w:w="1157"/>
        <w:gridCol w:w="1157"/>
        <w:gridCol w:w="1157"/>
        <w:gridCol w:w="1158"/>
      </w:tblGrid>
      <w:tr w:rsidR="009F1A75" w:rsidRPr="00B651A1" w:rsidTr="00EA1D6D">
        <w:trPr>
          <w:jc w:val="center"/>
        </w:trPr>
        <w:tc>
          <w:tcPr>
            <w:tcW w:w="1582" w:type="dxa"/>
            <w:vAlign w:val="center"/>
            <w:hideMark/>
          </w:tcPr>
          <w:p w:rsidR="009F1A75" w:rsidRPr="00EA1D6D" w:rsidRDefault="009F1A75" w:rsidP="00B97B22">
            <w:pPr>
              <w:tabs>
                <w:tab w:val="left" w:pos="-437"/>
              </w:tabs>
              <w:suppressAutoHyphens/>
              <w:ind w:firstLine="0"/>
              <w:jc w:val="center"/>
              <w:rPr>
                <w:spacing w:val="-3"/>
                <w:sz w:val="14"/>
              </w:rPr>
            </w:pPr>
            <w:r w:rsidRPr="00EA1D6D">
              <w:rPr>
                <w:spacing w:val="-3"/>
                <w:sz w:val="14"/>
              </w:rPr>
              <w:t>Land type</w:t>
            </w:r>
          </w:p>
        </w:tc>
        <w:tc>
          <w:tcPr>
            <w:tcW w:w="1157" w:type="dxa"/>
            <w:vAlign w:val="center"/>
            <w:hideMark/>
          </w:tcPr>
          <w:p w:rsidR="009F1A75" w:rsidRPr="00EA1D6D" w:rsidRDefault="00A617AE" w:rsidP="00B97B22">
            <w:pPr>
              <w:tabs>
                <w:tab w:val="left" w:pos="-437"/>
              </w:tabs>
              <w:suppressAutoHyphens/>
              <w:ind w:firstLine="0"/>
              <w:jc w:val="center"/>
              <w:rPr>
                <w:sz w:val="14"/>
                <w:szCs w:val="22"/>
              </w:rPr>
            </w:pPr>
            <w:r w:rsidRPr="00EA1D6D">
              <w:rPr>
                <w:spacing w:val="-3"/>
                <w:sz w:val="14"/>
                <w:szCs w:val="22"/>
              </w:rPr>
              <w:t>Land a</w:t>
            </w:r>
            <w:r w:rsidR="009F1A75" w:rsidRPr="00EA1D6D">
              <w:rPr>
                <w:spacing w:val="-3"/>
                <w:sz w:val="14"/>
                <w:szCs w:val="22"/>
              </w:rPr>
              <w:t>rea</w:t>
            </w:r>
          </w:p>
          <w:p w:rsidR="009F1A75" w:rsidRPr="00EA1D6D" w:rsidRDefault="00A617AE" w:rsidP="00B97B22">
            <w:pPr>
              <w:tabs>
                <w:tab w:val="left" w:pos="-437"/>
              </w:tabs>
              <w:suppressAutoHyphens/>
              <w:ind w:firstLine="0"/>
              <w:jc w:val="center"/>
              <w:rPr>
                <w:sz w:val="14"/>
                <w:szCs w:val="22"/>
              </w:rPr>
            </w:pPr>
            <w:r w:rsidRPr="00EA1D6D">
              <w:rPr>
                <w:spacing w:val="-3"/>
                <w:sz w:val="14"/>
                <w:szCs w:val="22"/>
              </w:rPr>
              <w:t>[</w:t>
            </w:r>
            <w:r w:rsidR="009F1A75" w:rsidRPr="00EA1D6D">
              <w:rPr>
                <w:spacing w:val="-3"/>
                <w:sz w:val="14"/>
                <w:szCs w:val="22"/>
              </w:rPr>
              <w:t>Mha</w:t>
            </w:r>
            <w:r w:rsidRPr="00EA1D6D">
              <w:rPr>
                <w:spacing w:val="-3"/>
                <w:sz w:val="14"/>
                <w:szCs w:val="22"/>
              </w:rPr>
              <w:t>]</w:t>
            </w:r>
          </w:p>
        </w:tc>
        <w:tc>
          <w:tcPr>
            <w:tcW w:w="1157" w:type="dxa"/>
            <w:vAlign w:val="center"/>
            <w:hideMark/>
          </w:tcPr>
          <w:p w:rsidR="009F1A75" w:rsidRPr="00EA1D6D" w:rsidRDefault="00A617AE" w:rsidP="00B97B22">
            <w:pPr>
              <w:tabs>
                <w:tab w:val="left" w:pos="-437"/>
              </w:tabs>
              <w:suppressAutoHyphens/>
              <w:ind w:firstLine="0"/>
              <w:jc w:val="center"/>
              <w:rPr>
                <w:sz w:val="14"/>
                <w:szCs w:val="22"/>
              </w:rPr>
            </w:pPr>
            <w:r w:rsidRPr="00EA1D6D">
              <w:rPr>
                <w:spacing w:val="-3"/>
                <w:sz w:val="14"/>
                <w:szCs w:val="22"/>
              </w:rPr>
              <w:t>Above g</w:t>
            </w:r>
            <w:r w:rsidR="009F1A75" w:rsidRPr="00EA1D6D">
              <w:rPr>
                <w:spacing w:val="-3"/>
                <w:sz w:val="14"/>
                <w:szCs w:val="22"/>
              </w:rPr>
              <w:t>round</w:t>
            </w:r>
          </w:p>
          <w:p w:rsidR="009F1A75" w:rsidRPr="00EA1D6D" w:rsidRDefault="00A617AE" w:rsidP="00A617AE">
            <w:pPr>
              <w:tabs>
                <w:tab w:val="left" w:pos="-437"/>
              </w:tabs>
              <w:suppressAutoHyphens/>
              <w:ind w:firstLine="0"/>
              <w:jc w:val="center"/>
              <w:rPr>
                <w:sz w:val="14"/>
                <w:szCs w:val="22"/>
              </w:rPr>
            </w:pPr>
            <w:r w:rsidRPr="00EA1D6D">
              <w:rPr>
                <w:spacing w:val="-3"/>
                <w:sz w:val="14"/>
                <w:szCs w:val="22"/>
              </w:rPr>
              <w:t>[m</w:t>
            </w:r>
            <w:r w:rsidR="009F1A75" w:rsidRPr="00EA1D6D">
              <w:rPr>
                <w:spacing w:val="-3"/>
                <w:sz w:val="14"/>
                <w:szCs w:val="22"/>
              </w:rPr>
              <w:t>g C ha</w:t>
            </w:r>
            <w:r w:rsidRPr="00EA1D6D">
              <w:rPr>
                <w:spacing w:val="-3"/>
                <w:sz w:val="14"/>
                <w:szCs w:val="22"/>
                <w:vertAlign w:val="superscript"/>
              </w:rPr>
              <w:t>−</w:t>
            </w:r>
            <w:r w:rsidR="009F1A75" w:rsidRPr="00EA1D6D">
              <w:rPr>
                <w:spacing w:val="-3"/>
                <w:sz w:val="14"/>
                <w:szCs w:val="22"/>
                <w:vertAlign w:val="superscript"/>
              </w:rPr>
              <w:t>1</w:t>
            </w:r>
            <w:r w:rsidRPr="00EA1D6D">
              <w:rPr>
                <w:spacing w:val="-3"/>
                <w:sz w:val="14"/>
                <w:szCs w:val="22"/>
              </w:rPr>
              <w:t>]</w:t>
            </w:r>
          </w:p>
        </w:tc>
        <w:tc>
          <w:tcPr>
            <w:tcW w:w="1157" w:type="dxa"/>
            <w:vAlign w:val="center"/>
            <w:hideMark/>
          </w:tcPr>
          <w:p w:rsidR="009F1A75" w:rsidRPr="00EA1D6D" w:rsidRDefault="00A617AE" w:rsidP="00B97B22">
            <w:pPr>
              <w:ind w:firstLine="0"/>
              <w:jc w:val="center"/>
              <w:rPr>
                <w:sz w:val="14"/>
                <w:szCs w:val="22"/>
              </w:rPr>
            </w:pPr>
            <w:r w:rsidRPr="00EA1D6D">
              <w:rPr>
                <w:spacing w:val="-3"/>
                <w:sz w:val="14"/>
                <w:szCs w:val="22"/>
              </w:rPr>
              <w:t>Below g</w:t>
            </w:r>
            <w:r w:rsidR="009F1A75" w:rsidRPr="00EA1D6D">
              <w:rPr>
                <w:spacing w:val="-3"/>
                <w:sz w:val="14"/>
                <w:szCs w:val="22"/>
              </w:rPr>
              <w:t>round</w:t>
            </w:r>
          </w:p>
          <w:p w:rsidR="009F1A75" w:rsidRPr="00EA1D6D" w:rsidRDefault="00A617AE" w:rsidP="00B97B22">
            <w:pPr>
              <w:ind w:firstLine="0"/>
              <w:jc w:val="center"/>
              <w:rPr>
                <w:sz w:val="14"/>
                <w:szCs w:val="22"/>
              </w:rPr>
            </w:pPr>
            <w:r w:rsidRPr="00EA1D6D">
              <w:rPr>
                <w:spacing w:val="-3"/>
                <w:sz w:val="14"/>
                <w:szCs w:val="22"/>
              </w:rPr>
              <w:t>[m</w:t>
            </w:r>
            <w:r w:rsidR="009F1A75" w:rsidRPr="00EA1D6D">
              <w:rPr>
                <w:spacing w:val="-3"/>
                <w:sz w:val="14"/>
                <w:szCs w:val="22"/>
              </w:rPr>
              <w:t>g C ha</w:t>
            </w:r>
            <w:r w:rsidRPr="00EA1D6D">
              <w:rPr>
                <w:spacing w:val="-3"/>
                <w:sz w:val="14"/>
                <w:szCs w:val="22"/>
                <w:vertAlign w:val="superscript"/>
              </w:rPr>
              <w:t>−</w:t>
            </w:r>
            <w:r w:rsidR="009F1A75" w:rsidRPr="00EA1D6D">
              <w:rPr>
                <w:spacing w:val="-3"/>
                <w:sz w:val="14"/>
                <w:szCs w:val="22"/>
                <w:vertAlign w:val="superscript"/>
              </w:rPr>
              <w:t>1</w:t>
            </w:r>
            <w:r w:rsidRPr="00EA1D6D">
              <w:rPr>
                <w:spacing w:val="-3"/>
                <w:sz w:val="14"/>
                <w:szCs w:val="22"/>
              </w:rPr>
              <w:t>]</w:t>
            </w:r>
          </w:p>
        </w:tc>
        <w:tc>
          <w:tcPr>
            <w:tcW w:w="1157" w:type="dxa"/>
            <w:vAlign w:val="center"/>
            <w:hideMark/>
          </w:tcPr>
          <w:p w:rsidR="009F1A75" w:rsidRPr="00EA1D6D" w:rsidRDefault="00A617AE" w:rsidP="00B97B22">
            <w:pPr>
              <w:ind w:firstLine="0"/>
              <w:jc w:val="center"/>
              <w:rPr>
                <w:sz w:val="14"/>
                <w:szCs w:val="22"/>
              </w:rPr>
            </w:pPr>
            <w:r w:rsidRPr="00EA1D6D">
              <w:rPr>
                <w:spacing w:val="-3"/>
                <w:sz w:val="14"/>
                <w:szCs w:val="22"/>
              </w:rPr>
              <w:t>DOM</w:t>
            </w:r>
          </w:p>
          <w:p w:rsidR="009F1A75" w:rsidRPr="00EA1D6D" w:rsidRDefault="00A617AE" w:rsidP="00B97B22">
            <w:pPr>
              <w:ind w:firstLine="0"/>
              <w:jc w:val="center"/>
              <w:rPr>
                <w:sz w:val="14"/>
                <w:szCs w:val="22"/>
              </w:rPr>
            </w:pPr>
            <w:r w:rsidRPr="00EA1D6D">
              <w:rPr>
                <w:spacing w:val="-3"/>
                <w:sz w:val="14"/>
                <w:szCs w:val="22"/>
              </w:rPr>
              <w:t>[m</w:t>
            </w:r>
            <w:r w:rsidR="009F1A75" w:rsidRPr="00EA1D6D">
              <w:rPr>
                <w:spacing w:val="-3"/>
                <w:sz w:val="14"/>
                <w:szCs w:val="22"/>
              </w:rPr>
              <w:t>g C ha</w:t>
            </w:r>
            <w:r w:rsidRPr="00EA1D6D">
              <w:rPr>
                <w:spacing w:val="-3"/>
                <w:sz w:val="14"/>
                <w:szCs w:val="22"/>
                <w:vertAlign w:val="superscript"/>
              </w:rPr>
              <w:t>−</w:t>
            </w:r>
            <w:r w:rsidR="009F1A75" w:rsidRPr="00EA1D6D">
              <w:rPr>
                <w:spacing w:val="-3"/>
                <w:sz w:val="14"/>
                <w:szCs w:val="22"/>
                <w:vertAlign w:val="superscript"/>
              </w:rPr>
              <w:t>1</w:t>
            </w:r>
            <w:r w:rsidRPr="00EA1D6D">
              <w:rPr>
                <w:spacing w:val="-3"/>
                <w:sz w:val="14"/>
                <w:szCs w:val="22"/>
              </w:rPr>
              <w:t>]</w:t>
            </w:r>
          </w:p>
        </w:tc>
        <w:tc>
          <w:tcPr>
            <w:tcW w:w="1157" w:type="dxa"/>
            <w:vAlign w:val="center"/>
            <w:hideMark/>
          </w:tcPr>
          <w:p w:rsidR="009F1A75" w:rsidRPr="00EA1D6D" w:rsidRDefault="00A617AE" w:rsidP="00B97B22">
            <w:pPr>
              <w:ind w:firstLine="0"/>
              <w:jc w:val="center"/>
              <w:rPr>
                <w:sz w:val="14"/>
                <w:szCs w:val="22"/>
                <w:vertAlign w:val="superscript"/>
              </w:rPr>
            </w:pPr>
            <w:r w:rsidRPr="00EA1D6D">
              <w:rPr>
                <w:spacing w:val="-3"/>
                <w:sz w:val="14"/>
                <w:szCs w:val="22"/>
              </w:rPr>
              <w:t>SOC</w:t>
            </w:r>
            <w:r w:rsidR="009F1A75" w:rsidRPr="00EA1D6D">
              <w:rPr>
                <w:spacing w:val="-3"/>
                <w:sz w:val="14"/>
                <w:szCs w:val="22"/>
                <w:vertAlign w:val="superscript"/>
              </w:rPr>
              <w:t>&amp;</w:t>
            </w:r>
          </w:p>
          <w:p w:rsidR="009F1A75" w:rsidRPr="00EA1D6D" w:rsidRDefault="00A617AE" w:rsidP="00B97B22">
            <w:pPr>
              <w:ind w:firstLine="0"/>
              <w:jc w:val="center"/>
              <w:rPr>
                <w:sz w:val="14"/>
                <w:szCs w:val="22"/>
                <w:vertAlign w:val="superscript"/>
              </w:rPr>
            </w:pPr>
            <w:r w:rsidRPr="00EA1D6D">
              <w:rPr>
                <w:spacing w:val="-3"/>
                <w:sz w:val="14"/>
                <w:szCs w:val="22"/>
              </w:rPr>
              <w:t>[m</w:t>
            </w:r>
            <w:r w:rsidR="009F1A75" w:rsidRPr="00EA1D6D">
              <w:rPr>
                <w:spacing w:val="-3"/>
                <w:sz w:val="14"/>
                <w:szCs w:val="22"/>
              </w:rPr>
              <w:t>g C ha</w:t>
            </w:r>
            <w:r w:rsidRPr="00EA1D6D">
              <w:rPr>
                <w:spacing w:val="-3"/>
                <w:sz w:val="14"/>
                <w:szCs w:val="22"/>
                <w:vertAlign w:val="superscript"/>
              </w:rPr>
              <w:t>−</w:t>
            </w:r>
            <w:r w:rsidR="009F1A75" w:rsidRPr="00EA1D6D">
              <w:rPr>
                <w:spacing w:val="-3"/>
                <w:sz w:val="14"/>
                <w:szCs w:val="22"/>
                <w:vertAlign w:val="superscript"/>
              </w:rPr>
              <w:t>1</w:t>
            </w:r>
            <w:r w:rsidRPr="00EA1D6D">
              <w:rPr>
                <w:spacing w:val="-3"/>
                <w:sz w:val="14"/>
                <w:szCs w:val="22"/>
              </w:rPr>
              <w:t>]</w:t>
            </w:r>
          </w:p>
        </w:tc>
        <w:tc>
          <w:tcPr>
            <w:tcW w:w="1158" w:type="dxa"/>
            <w:vAlign w:val="center"/>
          </w:tcPr>
          <w:p w:rsidR="009F1A75" w:rsidRPr="00EA1D6D" w:rsidRDefault="009F1A75" w:rsidP="00B97B22">
            <w:pPr>
              <w:ind w:firstLine="0"/>
              <w:jc w:val="center"/>
              <w:rPr>
                <w:sz w:val="14"/>
                <w:szCs w:val="22"/>
              </w:rPr>
            </w:pPr>
            <w:r w:rsidRPr="00EA1D6D">
              <w:rPr>
                <w:spacing w:val="-3"/>
                <w:sz w:val="14"/>
                <w:szCs w:val="22"/>
              </w:rPr>
              <w:t>Total</w:t>
            </w:r>
          </w:p>
          <w:p w:rsidR="009F1A75" w:rsidRPr="00EA1D6D" w:rsidRDefault="00A617AE" w:rsidP="00B97B22">
            <w:pPr>
              <w:ind w:firstLine="0"/>
              <w:jc w:val="center"/>
              <w:rPr>
                <w:sz w:val="14"/>
                <w:szCs w:val="22"/>
              </w:rPr>
            </w:pPr>
            <w:r w:rsidRPr="00EA1D6D">
              <w:rPr>
                <w:spacing w:val="-3"/>
                <w:sz w:val="14"/>
                <w:szCs w:val="22"/>
              </w:rPr>
              <w:t>[m</w:t>
            </w:r>
            <w:r w:rsidR="009F1A75" w:rsidRPr="00EA1D6D">
              <w:rPr>
                <w:spacing w:val="-3"/>
                <w:sz w:val="14"/>
                <w:szCs w:val="22"/>
              </w:rPr>
              <w:t>g C ha</w:t>
            </w:r>
            <w:r w:rsidRPr="00EA1D6D">
              <w:rPr>
                <w:spacing w:val="-3"/>
                <w:sz w:val="14"/>
                <w:szCs w:val="22"/>
                <w:vertAlign w:val="superscript"/>
              </w:rPr>
              <w:t>−</w:t>
            </w:r>
            <w:r w:rsidR="009F1A75" w:rsidRPr="00EA1D6D">
              <w:rPr>
                <w:spacing w:val="-3"/>
                <w:sz w:val="14"/>
                <w:szCs w:val="22"/>
                <w:vertAlign w:val="superscript"/>
              </w:rPr>
              <w:t>1</w:t>
            </w:r>
            <w:r w:rsidRPr="00EA1D6D">
              <w:rPr>
                <w:spacing w:val="-3"/>
                <w:sz w:val="14"/>
                <w:szCs w:val="22"/>
              </w:rPr>
              <w:t>]</w:t>
            </w:r>
          </w:p>
        </w:tc>
      </w:tr>
      <w:tr w:rsidR="009F1A75" w:rsidRPr="00B651A1" w:rsidTr="00EA1D6D">
        <w:trPr>
          <w:jc w:val="center"/>
        </w:trPr>
        <w:tc>
          <w:tcPr>
            <w:tcW w:w="1582" w:type="dxa"/>
            <w:tcBorders>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Cropland</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iCs/>
                <w:sz w:val="14"/>
                <w:szCs w:val="22"/>
              </w:rPr>
            </w:pPr>
            <w:r w:rsidRPr="00EA1D6D">
              <w:rPr>
                <w:iCs/>
                <w:spacing w:val="-3"/>
                <w:sz w:val="14"/>
                <w:szCs w:val="22"/>
              </w:rPr>
              <w:t>67.8</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5.0</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1.4</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1.0</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53.1</w:t>
            </w:r>
          </w:p>
        </w:tc>
        <w:tc>
          <w:tcPr>
            <w:tcW w:w="1158" w:type="dxa"/>
            <w:tcBorders>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60.5</w:t>
            </w:r>
          </w:p>
        </w:tc>
      </w:tr>
      <w:tr w:rsidR="009F1A75" w:rsidRPr="00B651A1" w:rsidTr="00EA1D6D">
        <w:trPr>
          <w:jc w:val="center"/>
        </w:trPr>
        <w:tc>
          <w:tcPr>
            <w:tcW w:w="1582"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Pasture</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iCs/>
                <w:sz w:val="14"/>
                <w:szCs w:val="22"/>
              </w:rPr>
            </w:pPr>
            <w:r w:rsidRPr="00EA1D6D">
              <w:rPr>
                <w:iCs/>
                <w:spacing w:val="-3"/>
                <w:sz w:val="14"/>
                <w:szCs w:val="22"/>
              </w:rPr>
              <w:t>277.0</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7.6</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1.1</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0</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78.9</w:t>
            </w:r>
          </w:p>
        </w:tc>
        <w:tc>
          <w:tcPr>
            <w:tcW w:w="1158"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87.6</w:t>
            </w:r>
          </w:p>
        </w:tc>
      </w:tr>
      <w:tr w:rsidR="009F1A75" w:rsidRPr="00B651A1" w:rsidTr="00EA1D6D">
        <w:trPr>
          <w:jc w:val="center"/>
        </w:trPr>
        <w:tc>
          <w:tcPr>
            <w:tcW w:w="1582"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Forestry prod.</w:t>
            </w:r>
            <w:r w:rsidRPr="00EA1D6D">
              <w:rPr>
                <w:spacing w:val="-3"/>
                <w:sz w:val="14"/>
                <w:szCs w:val="22"/>
                <w:vertAlign w:val="superscript"/>
              </w:rPr>
              <w:t>+</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iCs/>
                <w:sz w:val="14"/>
                <w:szCs w:val="22"/>
              </w:rPr>
            </w:pPr>
            <w:r w:rsidRPr="00EA1D6D">
              <w:rPr>
                <w:iCs/>
                <w:spacing w:val="-3"/>
                <w:sz w:val="14"/>
                <w:szCs w:val="22"/>
              </w:rPr>
              <w:t>6.7</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62.0</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12.8</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1.8</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42.0</w:t>
            </w:r>
          </w:p>
        </w:tc>
        <w:tc>
          <w:tcPr>
            <w:tcW w:w="1158"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118.6</w:t>
            </w:r>
          </w:p>
        </w:tc>
      </w:tr>
      <w:tr w:rsidR="009F1A75" w:rsidRPr="00B651A1" w:rsidTr="00EA1D6D">
        <w:trPr>
          <w:jc w:val="center"/>
        </w:trPr>
        <w:tc>
          <w:tcPr>
            <w:tcW w:w="1582" w:type="dxa"/>
            <w:tcBorders>
              <w:top w:val="nil"/>
            </w:tcBorders>
            <w:vAlign w:val="center"/>
            <w:hideMark/>
          </w:tcPr>
          <w:p w:rsidR="009F1A75" w:rsidRPr="00EA1D6D" w:rsidRDefault="009F1A75" w:rsidP="00A617AE">
            <w:pPr>
              <w:tabs>
                <w:tab w:val="left" w:pos="-437"/>
              </w:tabs>
              <w:suppressAutoHyphens/>
              <w:ind w:firstLine="0"/>
              <w:jc w:val="center"/>
              <w:rPr>
                <w:spacing w:val="-3"/>
                <w:sz w:val="14"/>
                <w:szCs w:val="22"/>
                <w:vertAlign w:val="superscript"/>
              </w:rPr>
            </w:pPr>
            <w:r w:rsidRPr="00EA1D6D">
              <w:rPr>
                <w:spacing w:val="-3"/>
                <w:sz w:val="14"/>
                <w:szCs w:val="22"/>
              </w:rPr>
              <w:t>Bioenergy</w:t>
            </w:r>
            <w:r w:rsidRPr="00EA1D6D">
              <w:rPr>
                <w:spacing w:val="-3"/>
                <w:sz w:val="14"/>
                <w:szCs w:val="22"/>
                <w:vertAlign w:val="superscript"/>
              </w:rPr>
              <w:t>*</w:t>
            </w:r>
          </w:p>
        </w:tc>
        <w:tc>
          <w:tcPr>
            <w:tcW w:w="1157" w:type="dxa"/>
            <w:tcBorders>
              <w:top w:val="nil"/>
            </w:tcBorders>
            <w:vAlign w:val="center"/>
            <w:hideMark/>
          </w:tcPr>
          <w:p w:rsidR="009F1A75" w:rsidRPr="00EA1D6D" w:rsidRDefault="009F1A75" w:rsidP="00B97B22">
            <w:pPr>
              <w:tabs>
                <w:tab w:val="left" w:pos="-437"/>
              </w:tabs>
              <w:suppressAutoHyphens/>
              <w:ind w:firstLine="0"/>
              <w:jc w:val="center"/>
              <w:rPr>
                <w:iCs/>
                <w:sz w:val="14"/>
                <w:szCs w:val="22"/>
              </w:rPr>
            </w:pPr>
            <w:r w:rsidRPr="00EA1D6D">
              <w:rPr>
                <w:iCs/>
                <w:spacing w:val="-3"/>
                <w:sz w:val="14"/>
                <w:szCs w:val="22"/>
              </w:rPr>
              <w:t>9.7</w:t>
            </w:r>
          </w:p>
        </w:tc>
        <w:tc>
          <w:tcPr>
            <w:tcW w:w="1157" w:type="dxa"/>
            <w:tcBorders>
              <w:top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16.0</w:t>
            </w:r>
          </w:p>
        </w:tc>
        <w:tc>
          <w:tcPr>
            <w:tcW w:w="1157" w:type="dxa"/>
            <w:tcBorders>
              <w:top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14.3</w:t>
            </w:r>
          </w:p>
        </w:tc>
        <w:tc>
          <w:tcPr>
            <w:tcW w:w="1157" w:type="dxa"/>
            <w:tcBorders>
              <w:top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1.0</w:t>
            </w:r>
          </w:p>
        </w:tc>
        <w:tc>
          <w:tcPr>
            <w:tcW w:w="1157" w:type="dxa"/>
            <w:tcBorders>
              <w:top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33.5</w:t>
            </w:r>
          </w:p>
        </w:tc>
        <w:tc>
          <w:tcPr>
            <w:tcW w:w="1158" w:type="dxa"/>
            <w:tcBorders>
              <w:top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64.8</w:t>
            </w:r>
          </w:p>
        </w:tc>
      </w:tr>
      <w:tr w:rsidR="00EA1D6D" w:rsidRPr="00B651A1" w:rsidTr="00EA1D6D">
        <w:trPr>
          <w:jc w:val="center"/>
        </w:trPr>
        <w:tc>
          <w:tcPr>
            <w:tcW w:w="1582" w:type="dxa"/>
            <w:vAlign w:val="center"/>
          </w:tcPr>
          <w:p w:rsidR="00EA1D6D" w:rsidRPr="00EA1D6D" w:rsidRDefault="00EA1D6D" w:rsidP="00B97B22">
            <w:pPr>
              <w:tabs>
                <w:tab w:val="left" w:pos="-437"/>
              </w:tabs>
              <w:suppressAutoHyphens/>
              <w:ind w:firstLine="0"/>
              <w:jc w:val="center"/>
              <w:rPr>
                <w:spacing w:val="-3"/>
                <w:sz w:val="14"/>
                <w:szCs w:val="22"/>
              </w:rPr>
            </w:pPr>
            <w:r>
              <w:rPr>
                <w:spacing w:val="-3"/>
                <w:sz w:val="14"/>
                <w:szCs w:val="22"/>
              </w:rPr>
              <w:t>Forest</w:t>
            </w:r>
          </w:p>
        </w:tc>
        <w:tc>
          <w:tcPr>
            <w:tcW w:w="1157" w:type="dxa"/>
            <w:vAlign w:val="center"/>
          </w:tcPr>
          <w:p w:rsidR="00EA1D6D" w:rsidRPr="00EA1D6D" w:rsidRDefault="00EA1D6D" w:rsidP="00B97B22">
            <w:pPr>
              <w:tabs>
                <w:tab w:val="left" w:pos="-437"/>
              </w:tabs>
              <w:suppressAutoHyphens/>
              <w:ind w:firstLine="0"/>
              <w:jc w:val="center"/>
              <w:rPr>
                <w:color w:val="000000"/>
                <w:sz w:val="14"/>
                <w:szCs w:val="22"/>
                <w:lang w:eastAsia="en-GB"/>
              </w:rPr>
            </w:pPr>
          </w:p>
        </w:tc>
        <w:tc>
          <w:tcPr>
            <w:tcW w:w="1157" w:type="dxa"/>
            <w:vAlign w:val="center"/>
          </w:tcPr>
          <w:p w:rsidR="00EA1D6D" w:rsidRPr="00EA1D6D" w:rsidRDefault="00EA1D6D" w:rsidP="00B97B22">
            <w:pPr>
              <w:tabs>
                <w:tab w:val="left" w:pos="-437"/>
              </w:tabs>
              <w:suppressAutoHyphens/>
              <w:ind w:firstLine="0"/>
              <w:jc w:val="center"/>
              <w:rPr>
                <w:spacing w:val="-3"/>
                <w:sz w:val="14"/>
                <w:szCs w:val="22"/>
              </w:rPr>
            </w:pPr>
          </w:p>
        </w:tc>
        <w:tc>
          <w:tcPr>
            <w:tcW w:w="1157" w:type="dxa"/>
            <w:vAlign w:val="center"/>
          </w:tcPr>
          <w:p w:rsidR="00EA1D6D" w:rsidRPr="00EA1D6D" w:rsidRDefault="00EA1D6D" w:rsidP="00B97B22">
            <w:pPr>
              <w:tabs>
                <w:tab w:val="left" w:pos="-437"/>
              </w:tabs>
              <w:suppressAutoHyphens/>
              <w:ind w:firstLine="0"/>
              <w:jc w:val="center"/>
              <w:rPr>
                <w:spacing w:val="-3"/>
                <w:sz w:val="14"/>
                <w:szCs w:val="22"/>
              </w:rPr>
            </w:pPr>
          </w:p>
        </w:tc>
        <w:tc>
          <w:tcPr>
            <w:tcW w:w="1157" w:type="dxa"/>
            <w:vAlign w:val="center"/>
          </w:tcPr>
          <w:p w:rsidR="00EA1D6D" w:rsidRPr="00EA1D6D" w:rsidRDefault="00EA1D6D" w:rsidP="00B97B22">
            <w:pPr>
              <w:tabs>
                <w:tab w:val="left" w:pos="-437"/>
              </w:tabs>
              <w:suppressAutoHyphens/>
              <w:ind w:firstLine="0"/>
              <w:jc w:val="center"/>
              <w:rPr>
                <w:spacing w:val="-3"/>
                <w:sz w:val="14"/>
                <w:szCs w:val="22"/>
              </w:rPr>
            </w:pPr>
          </w:p>
        </w:tc>
        <w:tc>
          <w:tcPr>
            <w:tcW w:w="1157" w:type="dxa"/>
            <w:vAlign w:val="center"/>
          </w:tcPr>
          <w:p w:rsidR="00EA1D6D" w:rsidRPr="00EA1D6D" w:rsidRDefault="00EA1D6D" w:rsidP="00B97B22">
            <w:pPr>
              <w:tabs>
                <w:tab w:val="left" w:pos="-437"/>
              </w:tabs>
              <w:suppressAutoHyphens/>
              <w:ind w:firstLine="0"/>
              <w:jc w:val="center"/>
              <w:rPr>
                <w:spacing w:val="-3"/>
                <w:sz w:val="14"/>
                <w:szCs w:val="22"/>
              </w:rPr>
            </w:pPr>
          </w:p>
        </w:tc>
        <w:tc>
          <w:tcPr>
            <w:tcW w:w="1158" w:type="dxa"/>
            <w:vAlign w:val="center"/>
          </w:tcPr>
          <w:p w:rsidR="00EA1D6D" w:rsidRPr="00EA1D6D" w:rsidRDefault="00EA1D6D" w:rsidP="00B97B22">
            <w:pPr>
              <w:tabs>
                <w:tab w:val="left" w:pos="-437"/>
              </w:tabs>
              <w:suppressAutoHyphens/>
              <w:ind w:firstLine="0"/>
              <w:jc w:val="center"/>
              <w:rPr>
                <w:bCs/>
                <w:color w:val="000000"/>
                <w:spacing w:val="-3"/>
                <w:sz w:val="14"/>
                <w:szCs w:val="22"/>
              </w:rPr>
            </w:pPr>
          </w:p>
        </w:tc>
      </w:tr>
      <w:tr w:rsidR="009F1A75" w:rsidRPr="00B651A1" w:rsidTr="00EA1D6D">
        <w:trPr>
          <w:jc w:val="center"/>
        </w:trPr>
        <w:tc>
          <w:tcPr>
            <w:tcW w:w="1582" w:type="dxa"/>
            <w:tcBorders>
              <w:bottom w:val="nil"/>
            </w:tcBorders>
            <w:vAlign w:val="center"/>
            <w:hideMark/>
          </w:tcPr>
          <w:p w:rsidR="009F1A75" w:rsidRPr="00EA1D6D" w:rsidRDefault="009F1A75" w:rsidP="00EA1D6D">
            <w:pPr>
              <w:tabs>
                <w:tab w:val="left" w:pos="-437"/>
              </w:tabs>
              <w:suppressAutoHyphens/>
              <w:ind w:firstLine="0"/>
              <w:jc w:val="right"/>
              <w:rPr>
                <w:color w:val="FF0000"/>
                <w:sz w:val="14"/>
                <w:szCs w:val="22"/>
              </w:rPr>
            </w:pPr>
            <w:r w:rsidRPr="00EA1D6D">
              <w:rPr>
                <w:spacing w:val="-3"/>
                <w:sz w:val="14"/>
                <w:szCs w:val="22"/>
              </w:rPr>
              <w:t>Amazonia</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iCs/>
                <w:color w:val="FF0000"/>
                <w:sz w:val="14"/>
                <w:szCs w:val="22"/>
              </w:rPr>
            </w:pPr>
            <w:r w:rsidRPr="00EA1D6D">
              <w:rPr>
                <w:color w:val="000000"/>
                <w:sz w:val="14"/>
                <w:szCs w:val="22"/>
                <w:lang w:eastAsia="en-GB"/>
              </w:rPr>
              <w:t>341.6</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color w:val="FF0000"/>
                <w:sz w:val="14"/>
                <w:szCs w:val="22"/>
              </w:rPr>
            </w:pPr>
            <w:r w:rsidRPr="00EA1D6D">
              <w:rPr>
                <w:spacing w:val="-3"/>
                <w:sz w:val="14"/>
                <w:szCs w:val="22"/>
              </w:rPr>
              <w:t>78.2</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color w:val="FF0000"/>
                <w:sz w:val="14"/>
                <w:szCs w:val="22"/>
              </w:rPr>
            </w:pPr>
            <w:r w:rsidRPr="00EA1D6D">
              <w:rPr>
                <w:spacing w:val="-3"/>
                <w:sz w:val="14"/>
                <w:szCs w:val="22"/>
              </w:rPr>
              <w:t>28.9</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color w:val="FF0000"/>
                <w:sz w:val="14"/>
                <w:szCs w:val="22"/>
              </w:rPr>
            </w:pPr>
            <w:r w:rsidRPr="00EA1D6D">
              <w:rPr>
                <w:spacing w:val="-3"/>
                <w:sz w:val="14"/>
                <w:szCs w:val="22"/>
              </w:rPr>
              <w:t>5.2</w:t>
            </w:r>
          </w:p>
        </w:tc>
        <w:tc>
          <w:tcPr>
            <w:tcW w:w="1157" w:type="dxa"/>
            <w:tcBorders>
              <w:bottom w:val="nil"/>
            </w:tcBorders>
            <w:vAlign w:val="center"/>
            <w:hideMark/>
          </w:tcPr>
          <w:p w:rsidR="009F1A75" w:rsidRPr="00EA1D6D" w:rsidRDefault="009F1A75" w:rsidP="00B97B22">
            <w:pPr>
              <w:tabs>
                <w:tab w:val="left" w:pos="-437"/>
              </w:tabs>
              <w:suppressAutoHyphens/>
              <w:ind w:firstLine="0"/>
              <w:jc w:val="center"/>
              <w:rPr>
                <w:color w:val="FF0000"/>
                <w:sz w:val="14"/>
                <w:szCs w:val="22"/>
              </w:rPr>
            </w:pPr>
            <w:r w:rsidRPr="00EA1D6D">
              <w:rPr>
                <w:spacing w:val="-3"/>
                <w:sz w:val="14"/>
                <w:szCs w:val="22"/>
              </w:rPr>
              <w:t>44.0</w:t>
            </w:r>
          </w:p>
        </w:tc>
        <w:tc>
          <w:tcPr>
            <w:tcW w:w="1158" w:type="dxa"/>
            <w:tcBorders>
              <w:bottom w:val="nil"/>
            </w:tcBorders>
            <w:vAlign w:val="center"/>
            <w:hideMark/>
          </w:tcPr>
          <w:p w:rsidR="009F1A75" w:rsidRPr="00EA1D6D" w:rsidRDefault="009F1A75" w:rsidP="00B97B22">
            <w:pPr>
              <w:tabs>
                <w:tab w:val="left" w:pos="-437"/>
              </w:tabs>
              <w:suppressAutoHyphens/>
              <w:ind w:firstLine="0"/>
              <w:jc w:val="center"/>
              <w:rPr>
                <w:color w:val="FF0000"/>
                <w:sz w:val="14"/>
                <w:szCs w:val="22"/>
              </w:rPr>
            </w:pPr>
            <w:r w:rsidRPr="00EA1D6D">
              <w:rPr>
                <w:bCs/>
                <w:color w:val="000000"/>
                <w:spacing w:val="-3"/>
                <w:sz w:val="14"/>
                <w:szCs w:val="22"/>
              </w:rPr>
              <w:t>156.3</w:t>
            </w:r>
          </w:p>
        </w:tc>
      </w:tr>
      <w:tr w:rsidR="009F1A75" w:rsidRPr="00B651A1" w:rsidTr="00EA1D6D">
        <w:trPr>
          <w:jc w:val="center"/>
        </w:trPr>
        <w:tc>
          <w:tcPr>
            <w:tcW w:w="1582" w:type="dxa"/>
            <w:tcBorders>
              <w:top w:val="nil"/>
              <w:bottom w:val="nil"/>
            </w:tcBorders>
            <w:vAlign w:val="center"/>
            <w:hideMark/>
          </w:tcPr>
          <w:p w:rsidR="009F1A75" w:rsidRPr="00EA1D6D" w:rsidRDefault="009F1A75" w:rsidP="00EA1D6D">
            <w:pPr>
              <w:tabs>
                <w:tab w:val="left" w:pos="-437"/>
              </w:tabs>
              <w:suppressAutoHyphens/>
              <w:ind w:firstLine="0"/>
              <w:jc w:val="right"/>
              <w:rPr>
                <w:spacing w:val="-3"/>
                <w:sz w:val="14"/>
                <w:szCs w:val="22"/>
              </w:rPr>
            </w:pPr>
            <w:r w:rsidRPr="00EA1D6D">
              <w:rPr>
                <w:spacing w:val="-3"/>
                <w:sz w:val="14"/>
                <w:szCs w:val="22"/>
              </w:rPr>
              <w:t>Cerrado</w:t>
            </w:r>
          </w:p>
        </w:tc>
        <w:tc>
          <w:tcPr>
            <w:tcW w:w="1157" w:type="dxa"/>
            <w:tcBorders>
              <w:top w:val="nil"/>
              <w:bottom w:val="nil"/>
            </w:tcBorders>
            <w:vAlign w:val="center"/>
            <w:hideMark/>
          </w:tcPr>
          <w:p w:rsidR="009F1A75" w:rsidRPr="00EA1D6D" w:rsidRDefault="009F1A75" w:rsidP="00B97B22">
            <w:pPr>
              <w:autoSpaceDE/>
              <w:ind w:firstLine="0"/>
              <w:jc w:val="center"/>
              <w:rPr>
                <w:color w:val="000000"/>
                <w:sz w:val="14"/>
                <w:szCs w:val="22"/>
                <w:lang w:eastAsia="en-GB"/>
              </w:rPr>
            </w:pPr>
            <w:r w:rsidRPr="00EA1D6D">
              <w:rPr>
                <w:color w:val="000000"/>
                <w:sz w:val="14"/>
                <w:szCs w:val="22"/>
                <w:lang w:eastAsia="en-GB"/>
              </w:rPr>
              <w:t>41.4</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39.9</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7.9</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5.2</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65.0</w:t>
            </w:r>
          </w:p>
        </w:tc>
        <w:tc>
          <w:tcPr>
            <w:tcW w:w="1158" w:type="dxa"/>
            <w:tcBorders>
              <w:top w:val="nil"/>
              <w:bottom w:val="nil"/>
            </w:tcBorders>
            <w:vAlign w:val="center"/>
            <w:hideMark/>
          </w:tcPr>
          <w:p w:rsidR="009F1A75" w:rsidRPr="00EA1D6D" w:rsidRDefault="009F1A75" w:rsidP="00B97B22">
            <w:pPr>
              <w:autoSpaceDE/>
              <w:ind w:firstLine="0"/>
              <w:jc w:val="center"/>
              <w:rPr>
                <w:bCs/>
                <w:color w:val="000000"/>
                <w:sz w:val="14"/>
                <w:szCs w:val="22"/>
                <w:lang w:eastAsia="en-GB"/>
              </w:rPr>
            </w:pPr>
            <w:r w:rsidRPr="00EA1D6D">
              <w:rPr>
                <w:bCs/>
                <w:color w:val="000000"/>
                <w:spacing w:val="-3"/>
                <w:sz w:val="14"/>
                <w:szCs w:val="22"/>
              </w:rPr>
              <w:t>118</w:t>
            </w:r>
          </w:p>
        </w:tc>
      </w:tr>
      <w:tr w:rsidR="009F1A75" w:rsidRPr="00B651A1" w:rsidTr="00EA1D6D">
        <w:trPr>
          <w:jc w:val="center"/>
        </w:trPr>
        <w:tc>
          <w:tcPr>
            <w:tcW w:w="1582" w:type="dxa"/>
            <w:tcBorders>
              <w:top w:val="nil"/>
              <w:bottom w:val="nil"/>
            </w:tcBorders>
            <w:vAlign w:val="center"/>
            <w:hideMark/>
          </w:tcPr>
          <w:p w:rsidR="009F1A75" w:rsidRPr="00EA1D6D" w:rsidRDefault="009F1A75" w:rsidP="00EA1D6D">
            <w:pPr>
              <w:tabs>
                <w:tab w:val="left" w:pos="-437"/>
              </w:tabs>
              <w:suppressAutoHyphens/>
              <w:ind w:firstLine="0"/>
              <w:jc w:val="right"/>
              <w:rPr>
                <w:spacing w:val="-3"/>
                <w:sz w:val="14"/>
                <w:szCs w:val="22"/>
              </w:rPr>
            </w:pPr>
            <w:r w:rsidRPr="00EA1D6D">
              <w:rPr>
                <w:spacing w:val="-3"/>
                <w:sz w:val="14"/>
                <w:szCs w:val="22"/>
              </w:rPr>
              <w:t>Caatinga</w:t>
            </w:r>
          </w:p>
        </w:tc>
        <w:tc>
          <w:tcPr>
            <w:tcW w:w="1157" w:type="dxa"/>
            <w:tcBorders>
              <w:top w:val="nil"/>
              <w:bottom w:val="nil"/>
            </w:tcBorders>
            <w:vAlign w:val="center"/>
            <w:hideMark/>
          </w:tcPr>
          <w:p w:rsidR="009F1A75" w:rsidRPr="00EA1D6D" w:rsidRDefault="009F1A75" w:rsidP="00B97B22">
            <w:pPr>
              <w:autoSpaceDE/>
              <w:ind w:firstLine="0"/>
              <w:jc w:val="center"/>
              <w:rPr>
                <w:color w:val="000000"/>
                <w:sz w:val="14"/>
                <w:szCs w:val="22"/>
                <w:lang w:eastAsia="en-GB"/>
              </w:rPr>
            </w:pPr>
            <w:r w:rsidRPr="00EA1D6D">
              <w:rPr>
                <w:color w:val="000000"/>
                <w:sz w:val="14"/>
                <w:szCs w:val="22"/>
                <w:lang w:eastAsia="en-GB"/>
              </w:rPr>
              <w:t>40.3</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42.5</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8.5</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11.7</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38.0</w:t>
            </w:r>
          </w:p>
        </w:tc>
        <w:tc>
          <w:tcPr>
            <w:tcW w:w="1158" w:type="dxa"/>
            <w:tcBorders>
              <w:top w:val="nil"/>
              <w:bottom w:val="nil"/>
            </w:tcBorders>
            <w:vAlign w:val="center"/>
            <w:hideMark/>
          </w:tcPr>
          <w:p w:rsidR="009F1A75" w:rsidRPr="00EA1D6D" w:rsidRDefault="009F1A75" w:rsidP="00B97B22">
            <w:pPr>
              <w:ind w:firstLine="0"/>
              <w:jc w:val="center"/>
              <w:rPr>
                <w:bCs/>
                <w:color w:val="000000"/>
                <w:sz w:val="14"/>
                <w:szCs w:val="22"/>
              </w:rPr>
            </w:pPr>
            <w:r w:rsidRPr="00EA1D6D">
              <w:rPr>
                <w:bCs/>
                <w:color w:val="000000"/>
                <w:spacing w:val="-3"/>
                <w:sz w:val="14"/>
                <w:szCs w:val="22"/>
              </w:rPr>
              <w:t>100.7</w:t>
            </w:r>
          </w:p>
        </w:tc>
      </w:tr>
      <w:tr w:rsidR="009F1A75" w:rsidRPr="00B651A1" w:rsidTr="00EA1D6D">
        <w:trPr>
          <w:jc w:val="center"/>
        </w:trPr>
        <w:tc>
          <w:tcPr>
            <w:tcW w:w="1582" w:type="dxa"/>
            <w:tcBorders>
              <w:top w:val="nil"/>
              <w:bottom w:val="nil"/>
            </w:tcBorders>
            <w:vAlign w:val="center"/>
            <w:hideMark/>
          </w:tcPr>
          <w:p w:rsidR="009F1A75" w:rsidRPr="00EA1D6D" w:rsidRDefault="009F1A75" w:rsidP="00EA1D6D">
            <w:pPr>
              <w:tabs>
                <w:tab w:val="left" w:pos="-437"/>
              </w:tabs>
              <w:suppressAutoHyphens/>
              <w:ind w:firstLine="0"/>
              <w:jc w:val="right"/>
              <w:rPr>
                <w:spacing w:val="-3"/>
                <w:sz w:val="14"/>
                <w:szCs w:val="22"/>
              </w:rPr>
            </w:pPr>
            <w:r w:rsidRPr="00EA1D6D">
              <w:rPr>
                <w:spacing w:val="-3"/>
                <w:sz w:val="14"/>
                <w:szCs w:val="22"/>
              </w:rPr>
              <w:t>Mata Atlántica</w:t>
            </w:r>
          </w:p>
        </w:tc>
        <w:tc>
          <w:tcPr>
            <w:tcW w:w="1157" w:type="dxa"/>
            <w:tcBorders>
              <w:top w:val="nil"/>
              <w:bottom w:val="nil"/>
            </w:tcBorders>
            <w:vAlign w:val="center"/>
            <w:hideMark/>
          </w:tcPr>
          <w:p w:rsidR="009F1A75" w:rsidRPr="00EA1D6D" w:rsidRDefault="009F1A75" w:rsidP="00B97B22">
            <w:pPr>
              <w:autoSpaceDE/>
              <w:ind w:firstLine="0"/>
              <w:jc w:val="center"/>
              <w:rPr>
                <w:color w:val="000000"/>
                <w:sz w:val="14"/>
                <w:szCs w:val="22"/>
                <w:lang w:eastAsia="en-GB"/>
              </w:rPr>
            </w:pPr>
            <w:r w:rsidRPr="00EA1D6D">
              <w:rPr>
                <w:color w:val="000000"/>
                <w:sz w:val="14"/>
                <w:szCs w:val="22"/>
                <w:lang w:eastAsia="en-GB"/>
              </w:rPr>
              <w:t>24.1</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61.8</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14.8</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4.1</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47.0</w:t>
            </w:r>
          </w:p>
        </w:tc>
        <w:tc>
          <w:tcPr>
            <w:tcW w:w="1158" w:type="dxa"/>
            <w:tcBorders>
              <w:top w:val="nil"/>
              <w:bottom w:val="nil"/>
            </w:tcBorders>
            <w:vAlign w:val="center"/>
            <w:hideMark/>
          </w:tcPr>
          <w:p w:rsidR="009F1A75" w:rsidRPr="00EA1D6D" w:rsidRDefault="009F1A75" w:rsidP="00B97B22">
            <w:pPr>
              <w:ind w:firstLine="0"/>
              <w:jc w:val="center"/>
              <w:rPr>
                <w:bCs/>
                <w:color w:val="000000"/>
                <w:sz w:val="14"/>
                <w:szCs w:val="22"/>
              </w:rPr>
            </w:pPr>
            <w:r w:rsidRPr="00EA1D6D">
              <w:rPr>
                <w:bCs/>
                <w:color w:val="000000"/>
                <w:spacing w:val="-3"/>
                <w:sz w:val="14"/>
                <w:szCs w:val="22"/>
              </w:rPr>
              <w:t>127.7</w:t>
            </w:r>
          </w:p>
        </w:tc>
      </w:tr>
      <w:tr w:rsidR="009F1A75" w:rsidRPr="00B651A1" w:rsidTr="00EA1D6D">
        <w:trPr>
          <w:jc w:val="center"/>
        </w:trPr>
        <w:tc>
          <w:tcPr>
            <w:tcW w:w="1582" w:type="dxa"/>
            <w:tcBorders>
              <w:top w:val="nil"/>
              <w:bottom w:val="nil"/>
            </w:tcBorders>
            <w:vAlign w:val="center"/>
            <w:hideMark/>
          </w:tcPr>
          <w:p w:rsidR="009F1A75" w:rsidRPr="00EA1D6D" w:rsidRDefault="009F1A75" w:rsidP="00EA1D6D">
            <w:pPr>
              <w:tabs>
                <w:tab w:val="left" w:pos="-437"/>
              </w:tabs>
              <w:suppressAutoHyphens/>
              <w:ind w:firstLine="0"/>
              <w:jc w:val="right"/>
              <w:rPr>
                <w:spacing w:val="-3"/>
                <w:sz w:val="14"/>
                <w:szCs w:val="22"/>
              </w:rPr>
            </w:pPr>
            <w:r w:rsidRPr="00EA1D6D">
              <w:rPr>
                <w:spacing w:val="-3"/>
                <w:sz w:val="14"/>
                <w:szCs w:val="22"/>
              </w:rPr>
              <w:t>Pantanal</w:t>
            </w:r>
          </w:p>
        </w:tc>
        <w:tc>
          <w:tcPr>
            <w:tcW w:w="1157" w:type="dxa"/>
            <w:tcBorders>
              <w:top w:val="nil"/>
              <w:bottom w:val="nil"/>
            </w:tcBorders>
            <w:vAlign w:val="center"/>
            <w:hideMark/>
          </w:tcPr>
          <w:p w:rsidR="009F1A75" w:rsidRPr="00EA1D6D" w:rsidRDefault="009F1A75" w:rsidP="00B97B22">
            <w:pPr>
              <w:autoSpaceDE/>
              <w:ind w:firstLine="0"/>
              <w:jc w:val="center"/>
              <w:rPr>
                <w:color w:val="000000"/>
                <w:sz w:val="14"/>
                <w:szCs w:val="22"/>
                <w:lang w:eastAsia="en-GB"/>
              </w:rPr>
            </w:pPr>
            <w:r w:rsidRPr="00EA1D6D">
              <w:rPr>
                <w:color w:val="000000"/>
                <w:sz w:val="14"/>
                <w:szCs w:val="22"/>
                <w:lang w:eastAsia="en-GB"/>
              </w:rPr>
              <w:t>2.8</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60.2</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15.2</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5.2</w:t>
            </w:r>
          </w:p>
        </w:tc>
        <w:tc>
          <w:tcPr>
            <w:tcW w:w="1157" w:type="dxa"/>
            <w:tcBorders>
              <w:top w:val="nil"/>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44.0</w:t>
            </w:r>
          </w:p>
        </w:tc>
        <w:tc>
          <w:tcPr>
            <w:tcW w:w="1158" w:type="dxa"/>
            <w:tcBorders>
              <w:top w:val="nil"/>
              <w:bottom w:val="nil"/>
            </w:tcBorders>
            <w:vAlign w:val="center"/>
            <w:hideMark/>
          </w:tcPr>
          <w:p w:rsidR="009F1A75" w:rsidRPr="00EA1D6D" w:rsidRDefault="009F1A75" w:rsidP="00B97B22">
            <w:pPr>
              <w:ind w:firstLine="0"/>
              <w:jc w:val="center"/>
              <w:rPr>
                <w:bCs/>
                <w:color w:val="000000"/>
                <w:sz w:val="14"/>
                <w:szCs w:val="22"/>
              </w:rPr>
            </w:pPr>
            <w:r w:rsidRPr="00EA1D6D">
              <w:rPr>
                <w:bCs/>
                <w:color w:val="000000"/>
                <w:spacing w:val="-3"/>
                <w:sz w:val="14"/>
                <w:szCs w:val="22"/>
              </w:rPr>
              <w:t>124.6</w:t>
            </w:r>
          </w:p>
        </w:tc>
      </w:tr>
      <w:tr w:rsidR="009F1A75" w:rsidRPr="00B651A1" w:rsidTr="00EA1D6D">
        <w:trPr>
          <w:jc w:val="center"/>
        </w:trPr>
        <w:tc>
          <w:tcPr>
            <w:tcW w:w="1582" w:type="dxa"/>
            <w:tcBorders>
              <w:top w:val="nil"/>
              <w:bottom w:val="single" w:sz="4" w:space="0" w:color="auto"/>
            </w:tcBorders>
            <w:vAlign w:val="center"/>
            <w:hideMark/>
          </w:tcPr>
          <w:p w:rsidR="009F1A75" w:rsidRPr="00EA1D6D" w:rsidRDefault="009F1A75" w:rsidP="00EA1D6D">
            <w:pPr>
              <w:tabs>
                <w:tab w:val="left" w:pos="-437"/>
              </w:tabs>
              <w:suppressAutoHyphens/>
              <w:ind w:firstLine="0"/>
              <w:jc w:val="right"/>
              <w:rPr>
                <w:spacing w:val="-3"/>
                <w:sz w:val="14"/>
                <w:szCs w:val="22"/>
              </w:rPr>
            </w:pPr>
            <w:r w:rsidRPr="00EA1D6D">
              <w:rPr>
                <w:spacing w:val="-3"/>
                <w:sz w:val="14"/>
                <w:szCs w:val="22"/>
              </w:rPr>
              <w:t>Pampa</w:t>
            </w:r>
          </w:p>
        </w:tc>
        <w:tc>
          <w:tcPr>
            <w:tcW w:w="1157" w:type="dxa"/>
            <w:tcBorders>
              <w:top w:val="nil"/>
              <w:bottom w:val="single" w:sz="4" w:space="0" w:color="auto"/>
            </w:tcBorders>
            <w:vAlign w:val="center"/>
            <w:hideMark/>
          </w:tcPr>
          <w:p w:rsidR="009F1A75" w:rsidRPr="00EA1D6D" w:rsidRDefault="009F1A75" w:rsidP="00B97B22">
            <w:pPr>
              <w:autoSpaceDE/>
              <w:ind w:firstLine="0"/>
              <w:jc w:val="center"/>
              <w:rPr>
                <w:color w:val="000000"/>
                <w:sz w:val="14"/>
                <w:szCs w:val="22"/>
                <w:lang w:eastAsia="en-GB"/>
              </w:rPr>
            </w:pPr>
            <w:r w:rsidRPr="00EA1D6D">
              <w:rPr>
                <w:color w:val="000000"/>
                <w:sz w:val="14"/>
                <w:szCs w:val="22"/>
                <w:lang w:eastAsia="en-GB"/>
              </w:rPr>
              <w:t>8.9</w:t>
            </w:r>
          </w:p>
        </w:tc>
        <w:tc>
          <w:tcPr>
            <w:tcW w:w="1157" w:type="dxa"/>
            <w:tcBorders>
              <w:top w:val="nil"/>
              <w:bottom w:val="single" w:sz="4" w:space="0" w:color="auto"/>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61.8</w:t>
            </w:r>
          </w:p>
        </w:tc>
        <w:tc>
          <w:tcPr>
            <w:tcW w:w="1157" w:type="dxa"/>
            <w:tcBorders>
              <w:top w:val="nil"/>
              <w:bottom w:val="single" w:sz="4" w:space="0" w:color="auto"/>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14.8</w:t>
            </w:r>
          </w:p>
        </w:tc>
        <w:tc>
          <w:tcPr>
            <w:tcW w:w="1157" w:type="dxa"/>
            <w:tcBorders>
              <w:top w:val="nil"/>
              <w:bottom w:val="single" w:sz="4" w:space="0" w:color="auto"/>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4.1</w:t>
            </w:r>
          </w:p>
        </w:tc>
        <w:tc>
          <w:tcPr>
            <w:tcW w:w="1157" w:type="dxa"/>
            <w:tcBorders>
              <w:top w:val="nil"/>
              <w:bottom w:val="single" w:sz="4" w:space="0" w:color="auto"/>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47.0</w:t>
            </w:r>
          </w:p>
        </w:tc>
        <w:tc>
          <w:tcPr>
            <w:tcW w:w="1158" w:type="dxa"/>
            <w:tcBorders>
              <w:top w:val="nil"/>
              <w:bottom w:val="single" w:sz="4" w:space="0" w:color="auto"/>
            </w:tcBorders>
            <w:vAlign w:val="center"/>
            <w:hideMark/>
          </w:tcPr>
          <w:p w:rsidR="009F1A75" w:rsidRPr="00EA1D6D" w:rsidRDefault="009F1A75" w:rsidP="00B97B22">
            <w:pPr>
              <w:ind w:firstLine="0"/>
              <w:jc w:val="center"/>
              <w:rPr>
                <w:bCs/>
                <w:color w:val="000000"/>
                <w:sz w:val="14"/>
                <w:szCs w:val="22"/>
              </w:rPr>
            </w:pPr>
            <w:r w:rsidRPr="00EA1D6D">
              <w:rPr>
                <w:bCs/>
                <w:color w:val="000000"/>
                <w:spacing w:val="-3"/>
                <w:sz w:val="14"/>
                <w:szCs w:val="22"/>
              </w:rPr>
              <w:t>127.7</w:t>
            </w:r>
          </w:p>
        </w:tc>
      </w:tr>
      <w:tr w:rsidR="009F1A75" w:rsidRPr="00B651A1" w:rsidTr="00EA1D6D">
        <w:trPr>
          <w:jc w:val="center"/>
        </w:trPr>
        <w:tc>
          <w:tcPr>
            <w:tcW w:w="1582" w:type="dxa"/>
            <w:tcBorders>
              <w:top w:val="single" w:sz="4" w:space="0" w:color="auto"/>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Non- arable</w:t>
            </w:r>
          </w:p>
        </w:tc>
        <w:tc>
          <w:tcPr>
            <w:tcW w:w="1157" w:type="dxa"/>
            <w:tcBorders>
              <w:top w:val="single" w:sz="4" w:space="0" w:color="auto"/>
              <w:bottom w:val="nil"/>
            </w:tcBorders>
            <w:vAlign w:val="center"/>
            <w:hideMark/>
          </w:tcPr>
          <w:p w:rsidR="009F1A75" w:rsidRPr="00EA1D6D" w:rsidRDefault="009F1A75" w:rsidP="00B97B22">
            <w:pPr>
              <w:autoSpaceDE/>
              <w:ind w:firstLine="0"/>
              <w:jc w:val="center"/>
              <w:rPr>
                <w:color w:val="000000"/>
                <w:sz w:val="14"/>
                <w:szCs w:val="22"/>
                <w:lang w:eastAsia="en-GB"/>
              </w:rPr>
            </w:pPr>
            <w:r w:rsidRPr="00EA1D6D">
              <w:rPr>
                <w:iCs/>
                <w:spacing w:val="-3"/>
                <w:sz w:val="14"/>
                <w:szCs w:val="22"/>
              </w:rPr>
              <w:t>21.2</w:t>
            </w:r>
          </w:p>
        </w:tc>
        <w:tc>
          <w:tcPr>
            <w:tcW w:w="1157" w:type="dxa"/>
            <w:tcBorders>
              <w:top w:val="single" w:sz="4" w:space="0" w:color="auto"/>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w:t>
            </w:r>
          </w:p>
        </w:tc>
        <w:tc>
          <w:tcPr>
            <w:tcW w:w="1157" w:type="dxa"/>
            <w:tcBorders>
              <w:top w:val="single" w:sz="4" w:space="0" w:color="auto"/>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w:t>
            </w:r>
          </w:p>
        </w:tc>
        <w:tc>
          <w:tcPr>
            <w:tcW w:w="1157" w:type="dxa"/>
            <w:tcBorders>
              <w:top w:val="single" w:sz="4" w:space="0" w:color="auto"/>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w:t>
            </w:r>
          </w:p>
        </w:tc>
        <w:tc>
          <w:tcPr>
            <w:tcW w:w="1157" w:type="dxa"/>
            <w:tcBorders>
              <w:top w:val="single" w:sz="4" w:space="0" w:color="auto"/>
              <w:bottom w:val="nil"/>
            </w:tcBorders>
            <w:vAlign w:val="center"/>
            <w:hideMark/>
          </w:tcPr>
          <w:p w:rsidR="009F1A75" w:rsidRPr="00EA1D6D" w:rsidRDefault="009F1A75" w:rsidP="00B97B22">
            <w:pPr>
              <w:tabs>
                <w:tab w:val="left" w:pos="-437"/>
              </w:tabs>
              <w:suppressAutoHyphens/>
              <w:ind w:firstLine="0"/>
              <w:jc w:val="center"/>
              <w:rPr>
                <w:spacing w:val="-3"/>
                <w:sz w:val="14"/>
                <w:szCs w:val="22"/>
              </w:rPr>
            </w:pPr>
            <w:r w:rsidRPr="00EA1D6D">
              <w:rPr>
                <w:spacing w:val="-3"/>
                <w:sz w:val="14"/>
                <w:szCs w:val="22"/>
              </w:rPr>
              <w:t>-</w:t>
            </w:r>
          </w:p>
        </w:tc>
        <w:tc>
          <w:tcPr>
            <w:tcW w:w="1158" w:type="dxa"/>
            <w:tcBorders>
              <w:top w:val="single" w:sz="4" w:space="0" w:color="auto"/>
              <w:bottom w:val="nil"/>
            </w:tcBorders>
            <w:vAlign w:val="center"/>
            <w:hideMark/>
          </w:tcPr>
          <w:p w:rsidR="009F1A75" w:rsidRPr="00EA1D6D" w:rsidRDefault="009F1A75" w:rsidP="00B97B22">
            <w:pPr>
              <w:ind w:firstLine="0"/>
              <w:jc w:val="center"/>
              <w:rPr>
                <w:bCs/>
                <w:color w:val="000000"/>
                <w:sz w:val="14"/>
                <w:szCs w:val="22"/>
              </w:rPr>
            </w:pPr>
            <w:r w:rsidRPr="00EA1D6D">
              <w:rPr>
                <w:spacing w:val="-3"/>
                <w:sz w:val="14"/>
                <w:szCs w:val="22"/>
              </w:rPr>
              <w:t>0</w:t>
            </w:r>
          </w:p>
        </w:tc>
      </w:tr>
      <w:tr w:rsidR="009F1A75" w:rsidRPr="00B651A1" w:rsidTr="00EA1D6D">
        <w:trPr>
          <w:jc w:val="center"/>
        </w:trPr>
        <w:tc>
          <w:tcPr>
            <w:tcW w:w="1582" w:type="dxa"/>
            <w:tcBorders>
              <w:top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Urban</w:t>
            </w:r>
          </w:p>
        </w:tc>
        <w:tc>
          <w:tcPr>
            <w:tcW w:w="1157" w:type="dxa"/>
            <w:tcBorders>
              <w:top w:val="nil"/>
            </w:tcBorders>
            <w:vAlign w:val="center"/>
            <w:hideMark/>
          </w:tcPr>
          <w:p w:rsidR="009F1A75" w:rsidRPr="00EA1D6D" w:rsidRDefault="009F1A75" w:rsidP="00B97B22">
            <w:pPr>
              <w:tabs>
                <w:tab w:val="left" w:pos="-437"/>
              </w:tabs>
              <w:suppressAutoHyphens/>
              <w:ind w:firstLine="0"/>
              <w:jc w:val="center"/>
              <w:rPr>
                <w:iCs/>
                <w:sz w:val="14"/>
                <w:szCs w:val="22"/>
              </w:rPr>
            </w:pPr>
            <w:r w:rsidRPr="00EA1D6D">
              <w:rPr>
                <w:iCs/>
                <w:spacing w:val="-3"/>
                <w:sz w:val="14"/>
                <w:szCs w:val="22"/>
              </w:rPr>
              <w:t>13.5</w:t>
            </w:r>
          </w:p>
        </w:tc>
        <w:tc>
          <w:tcPr>
            <w:tcW w:w="1157" w:type="dxa"/>
            <w:tcBorders>
              <w:top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w:t>
            </w:r>
          </w:p>
        </w:tc>
        <w:tc>
          <w:tcPr>
            <w:tcW w:w="1157" w:type="dxa"/>
            <w:tcBorders>
              <w:top w:val="nil"/>
            </w:tcBorders>
            <w:vAlign w:val="center"/>
            <w:hideMark/>
          </w:tcPr>
          <w:p w:rsidR="009F1A75" w:rsidRPr="00EA1D6D" w:rsidRDefault="009F1A75" w:rsidP="00B97B22">
            <w:pPr>
              <w:ind w:firstLine="0"/>
              <w:jc w:val="center"/>
              <w:rPr>
                <w:sz w:val="14"/>
              </w:rPr>
            </w:pPr>
            <w:r w:rsidRPr="00EA1D6D">
              <w:rPr>
                <w:spacing w:val="-3"/>
                <w:sz w:val="14"/>
                <w:szCs w:val="22"/>
              </w:rPr>
              <w:t>-</w:t>
            </w:r>
          </w:p>
        </w:tc>
        <w:tc>
          <w:tcPr>
            <w:tcW w:w="1157" w:type="dxa"/>
            <w:tcBorders>
              <w:top w:val="nil"/>
            </w:tcBorders>
            <w:vAlign w:val="center"/>
            <w:hideMark/>
          </w:tcPr>
          <w:p w:rsidR="009F1A75" w:rsidRPr="00EA1D6D" w:rsidRDefault="009F1A75" w:rsidP="00B97B22">
            <w:pPr>
              <w:ind w:firstLine="0"/>
              <w:jc w:val="center"/>
              <w:rPr>
                <w:sz w:val="14"/>
              </w:rPr>
            </w:pPr>
            <w:r w:rsidRPr="00EA1D6D">
              <w:rPr>
                <w:spacing w:val="-3"/>
                <w:sz w:val="14"/>
                <w:szCs w:val="22"/>
              </w:rPr>
              <w:t>-</w:t>
            </w:r>
          </w:p>
        </w:tc>
        <w:tc>
          <w:tcPr>
            <w:tcW w:w="1157" w:type="dxa"/>
            <w:tcBorders>
              <w:top w:val="nil"/>
            </w:tcBorders>
            <w:vAlign w:val="center"/>
            <w:hideMark/>
          </w:tcPr>
          <w:p w:rsidR="009F1A75" w:rsidRPr="00EA1D6D" w:rsidRDefault="009F1A75" w:rsidP="00B97B22">
            <w:pPr>
              <w:ind w:firstLine="0"/>
              <w:jc w:val="center"/>
              <w:rPr>
                <w:sz w:val="14"/>
              </w:rPr>
            </w:pPr>
            <w:r w:rsidRPr="00EA1D6D">
              <w:rPr>
                <w:spacing w:val="-3"/>
                <w:sz w:val="14"/>
                <w:szCs w:val="22"/>
              </w:rPr>
              <w:t>-</w:t>
            </w:r>
          </w:p>
        </w:tc>
        <w:tc>
          <w:tcPr>
            <w:tcW w:w="1158" w:type="dxa"/>
            <w:tcBorders>
              <w:top w:val="nil"/>
            </w:tcBorders>
            <w:vAlign w:val="center"/>
            <w:hideMark/>
          </w:tcPr>
          <w:p w:rsidR="009F1A75" w:rsidRPr="00EA1D6D" w:rsidRDefault="009F1A75" w:rsidP="00B97B22">
            <w:pPr>
              <w:tabs>
                <w:tab w:val="left" w:pos="-437"/>
              </w:tabs>
              <w:suppressAutoHyphens/>
              <w:ind w:firstLine="0"/>
              <w:jc w:val="center"/>
              <w:rPr>
                <w:sz w:val="14"/>
                <w:szCs w:val="22"/>
              </w:rPr>
            </w:pPr>
            <w:r w:rsidRPr="00EA1D6D">
              <w:rPr>
                <w:spacing w:val="-3"/>
                <w:sz w:val="14"/>
                <w:szCs w:val="22"/>
              </w:rPr>
              <w:t>0</w:t>
            </w:r>
          </w:p>
        </w:tc>
      </w:tr>
    </w:tbl>
    <w:p w:rsidR="009F1A75" w:rsidRPr="00A617AE" w:rsidRDefault="009F1A75" w:rsidP="009F1A75">
      <w:pPr>
        <w:rPr>
          <w:sz w:val="14"/>
          <w:szCs w:val="18"/>
        </w:rPr>
      </w:pPr>
      <w:r w:rsidRPr="00A617AE">
        <w:rPr>
          <w:sz w:val="14"/>
          <w:szCs w:val="18"/>
          <w:vertAlign w:val="superscript"/>
        </w:rPr>
        <w:t>&amp;</w:t>
      </w:r>
      <w:r w:rsidR="00A617AE" w:rsidRPr="00A617AE">
        <w:rPr>
          <w:sz w:val="14"/>
          <w:szCs w:val="18"/>
          <w:vertAlign w:val="superscript"/>
        </w:rPr>
        <w:t xml:space="preserve"> </w:t>
      </w:r>
      <w:r w:rsidRPr="00A617AE">
        <w:rPr>
          <w:sz w:val="14"/>
          <w:szCs w:val="18"/>
        </w:rPr>
        <w:t>Estimations from the topsoil layer (0-20 cm in depth)</w:t>
      </w:r>
    </w:p>
    <w:p w:rsidR="009F1A75" w:rsidRPr="00A617AE" w:rsidRDefault="009F1A75" w:rsidP="009F1A75">
      <w:pPr>
        <w:rPr>
          <w:sz w:val="14"/>
          <w:szCs w:val="18"/>
        </w:rPr>
      </w:pPr>
      <w:r w:rsidRPr="00A617AE">
        <w:rPr>
          <w:sz w:val="14"/>
          <w:szCs w:val="18"/>
          <w:vertAlign w:val="superscript"/>
        </w:rPr>
        <w:t>*</w:t>
      </w:r>
      <w:r w:rsidR="00A617AE" w:rsidRPr="00A617AE">
        <w:rPr>
          <w:sz w:val="14"/>
          <w:szCs w:val="18"/>
          <w:vertAlign w:val="superscript"/>
        </w:rPr>
        <w:t xml:space="preserve"> </w:t>
      </w:r>
      <w:r w:rsidRPr="00A617AE">
        <w:rPr>
          <w:sz w:val="14"/>
          <w:szCs w:val="18"/>
        </w:rPr>
        <w:t>Sugarcane, considering an average productivity (yield) of 60 ton/ha</w:t>
      </w:r>
    </w:p>
    <w:p w:rsidR="009F1A75" w:rsidRPr="00A617AE" w:rsidRDefault="009F1A75" w:rsidP="009F1A75">
      <w:pPr>
        <w:rPr>
          <w:sz w:val="14"/>
          <w:szCs w:val="18"/>
        </w:rPr>
      </w:pPr>
      <w:r w:rsidRPr="00A617AE">
        <w:rPr>
          <w:sz w:val="14"/>
          <w:szCs w:val="18"/>
          <w:vertAlign w:val="superscript"/>
        </w:rPr>
        <w:t>+</w:t>
      </w:r>
      <w:r w:rsidR="00A617AE" w:rsidRPr="00A617AE">
        <w:rPr>
          <w:sz w:val="14"/>
          <w:szCs w:val="18"/>
          <w:vertAlign w:val="superscript"/>
        </w:rPr>
        <w:t xml:space="preserve"> </w:t>
      </w:r>
      <w:r w:rsidRPr="00A617AE">
        <w:rPr>
          <w:sz w:val="14"/>
          <w:szCs w:val="18"/>
        </w:rPr>
        <w:t>Eucalyptus plantation</w:t>
      </w:r>
    </w:p>
    <w:p w:rsidR="009F1A75" w:rsidRPr="00A617AE" w:rsidRDefault="009F1A75" w:rsidP="00A617AE">
      <w:pPr>
        <w:pStyle w:val="Heading2"/>
      </w:pPr>
      <w:r w:rsidRPr="00A617AE">
        <w:t>RESULTS</w:t>
      </w:r>
    </w:p>
    <w:p w:rsidR="009F1A75" w:rsidRPr="003A6CC1" w:rsidRDefault="009F1A75" w:rsidP="009F1A75">
      <w:pPr>
        <w:rPr>
          <w:lang w:eastAsia="en-GB"/>
        </w:rPr>
      </w:pPr>
      <w:r>
        <w:rPr>
          <w:lang w:eastAsia="en-GB"/>
        </w:rPr>
        <w:t>The results section has been</w:t>
      </w:r>
      <w:r w:rsidR="00A617AE">
        <w:rPr>
          <w:lang w:eastAsia="en-GB"/>
        </w:rPr>
        <w:t xml:space="preserve"> separated into three parts: </w:t>
      </w:r>
      <w:r>
        <w:rPr>
          <w:lang w:eastAsia="en-GB"/>
        </w:rPr>
        <w:t xml:space="preserve">technological diffusion and energy use </w:t>
      </w:r>
      <w:r w:rsidR="00A617AE">
        <w:rPr>
          <w:lang w:eastAsia="en-GB"/>
        </w:rPr>
        <w:t xml:space="preserve">in the agricultural sector, </w:t>
      </w:r>
      <w:r>
        <w:rPr>
          <w:lang w:eastAsia="en-GB"/>
        </w:rPr>
        <w:t xml:space="preserve">land demand projections and emissions </w:t>
      </w:r>
      <w:r w:rsidR="00A617AE">
        <w:rPr>
          <w:lang w:eastAsia="en-GB"/>
        </w:rPr>
        <w:t xml:space="preserve">related to land use and </w:t>
      </w:r>
      <w:r>
        <w:rPr>
          <w:lang w:eastAsia="en-GB"/>
        </w:rPr>
        <w:t xml:space="preserve">country-level primary energy use and emissions considering all sectors in the energy system as well as emissions from land and agricultural production. </w:t>
      </w:r>
    </w:p>
    <w:p w:rsidR="009F1A75" w:rsidRPr="00A617AE" w:rsidRDefault="009F1A75" w:rsidP="00A617AE">
      <w:pPr>
        <w:pStyle w:val="Heading3"/>
      </w:pPr>
      <w:r w:rsidRPr="00A617AE">
        <w:t>Agriculture technology diffusion and energy use</w:t>
      </w:r>
    </w:p>
    <w:p w:rsidR="009F1A75" w:rsidRDefault="009F1A75" w:rsidP="009F1A75">
      <w:pPr>
        <w:rPr>
          <w:sz w:val="22"/>
          <w:lang w:eastAsia="en-GB"/>
        </w:rPr>
      </w:pPr>
      <w:r>
        <w:rPr>
          <w:lang w:eastAsia="en-GB"/>
        </w:rPr>
        <w:t>Figure 7 shows a projection for both scenarios of the aggregated agricultural service demand (crops, meat, forestry products and bioenergy) in energy units (PJ) highlighting the share of production in terms of mechanisation levels.</w:t>
      </w:r>
    </w:p>
    <w:p w:rsidR="009F1A75" w:rsidRDefault="004267D6" w:rsidP="009F1A75">
      <w:pPr>
        <w:ind w:firstLine="0"/>
        <w:jc w:val="center"/>
        <w:rPr>
          <w:lang w:eastAsia="en-GB"/>
        </w:rPr>
      </w:pPr>
      <w:r>
        <w:rPr>
          <w:noProof/>
          <w:lang w:val="hr-HR" w:eastAsia="hr-HR"/>
        </w:rPr>
        <w:lastRenderedPageBreak/>
        <w:drawing>
          <wp:inline distT="0" distB="0" distL="0" distR="0" wp14:anchorId="69DAD70A" wp14:editId="0B789691">
            <wp:extent cx="5169703"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7616" cy="2442132"/>
                    </a:xfrm>
                    <a:prstGeom prst="rect">
                      <a:avLst/>
                    </a:prstGeom>
                    <a:noFill/>
                    <a:ln>
                      <a:noFill/>
                    </a:ln>
                  </pic:spPr>
                </pic:pic>
              </a:graphicData>
            </a:graphic>
          </wp:inline>
        </w:drawing>
      </w:r>
    </w:p>
    <w:p w:rsidR="009F1A75" w:rsidRPr="004267D6" w:rsidRDefault="009F1A75" w:rsidP="00A617AE">
      <w:pPr>
        <w:ind w:firstLine="0"/>
        <w:jc w:val="center"/>
        <w:rPr>
          <w:noProof/>
          <w:lang w:eastAsia="en-GB"/>
        </w:rPr>
      </w:pPr>
    </w:p>
    <w:p w:rsidR="009F1A75" w:rsidRPr="00317A92" w:rsidRDefault="009F1A75" w:rsidP="00A617AE">
      <w:pPr>
        <w:ind w:firstLine="0"/>
        <w:jc w:val="center"/>
        <w:rPr>
          <w:noProof/>
          <w:sz w:val="20"/>
          <w:lang w:eastAsia="en-GB"/>
        </w:rPr>
      </w:pPr>
      <w:r>
        <w:rPr>
          <w:noProof/>
          <w:sz w:val="20"/>
          <w:lang w:eastAsia="en-GB"/>
        </w:rPr>
        <w:t>Figure 7</w:t>
      </w:r>
      <w:r w:rsidR="00A617AE">
        <w:rPr>
          <w:noProof/>
          <w:sz w:val="20"/>
          <w:lang w:eastAsia="en-GB"/>
        </w:rPr>
        <w:t xml:space="preserve">. </w:t>
      </w:r>
      <w:r w:rsidRPr="00317A92">
        <w:rPr>
          <w:noProof/>
          <w:sz w:val="20"/>
          <w:lang w:eastAsia="en-GB"/>
        </w:rPr>
        <w:t>Share of different agriultural mechanisation levels for both scenarios</w:t>
      </w:r>
    </w:p>
    <w:p w:rsidR="009F1A75" w:rsidRPr="004267D6" w:rsidRDefault="009F1A75" w:rsidP="00A617AE">
      <w:pPr>
        <w:ind w:firstLine="0"/>
        <w:jc w:val="center"/>
        <w:rPr>
          <w:lang w:eastAsia="en-GB"/>
        </w:rPr>
      </w:pPr>
    </w:p>
    <w:p w:rsidR="009F1A75" w:rsidRDefault="00A617AE" w:rsidP="009F1A75">
      <w:pPr>
        <w:rPr>
          <w:sz w:val="22"/>
          <w:lang w:eastAsia="en-GB"/>
        </w:rPr>
      </w:pPr>
      <w:r>
        <w:rPr>
          <w:lang w:eastAsia="en-GB"/>
        </w:rPr>
        <w:t xml:space="preserve">By 2050, </w:t>
      </w:r>
      <w:r w:rsidR="009F1A75">
        <w:rPr>
          <w:lang w:eastAsia="en-GB"/>
        </w:rPr>
        <w:t>service demand in 2DS</w:t>
      </w:r>
      <w:r>
        <w:rPr>
          <w:lang w:eastAsia="en-GB"/>
        </w:rPr>
        <w:t xml:space="preserve"> </w:t>
      </w:r>
      <w:r w:rsidR="009F1A75">
        <w:rPr>
          <w:lang w:eastAsia="en-GB"/>
        </w:rPr>
        <w:t>+</w:t>
      </w:r>
      <w:r>
        <w:rPr>
          <w:lang w:eastAsia="en-GB"/>
        </w:rPr>
        <w:t xml:space="preserve"> </w:t>
      </w:r>
      <w:r w:rsidR="009F1A75">
        <w:rPr>
          <w:lang w:eastAsia="en-GB"/>
        </w:rPr>
        <w:t>SugC is higher than 2DS</w:t>
      </w:r>
      <w:r>
        <w:rPr>
          <w:lang w:eastAsia="en-GB"/>
        </w:rPr>
        <w:t xml:space="preserve"> </w:t>
      </w:r>
      <w:r w:rsidR="009F1A75">
        <w:rPr>
          <w:lang w:eastAsia="en-GB"/>
        </w:rPr>
        <w:t>+</w:t>
      </w:r>
      <w:r>
        <w:rPr>
          <w:lang w:eastAsia="en-GB"/>
        </w:rPr>
        <w:t xml:space="preserve"> </w:t>
      </w:r>
      <w:r w:rsidR="009F1A75">
        <w:rPr>
          <w:lang w:eastAsia="en-GB"/>
        </w:rPr>
        <w:t>NG as sugarcane production increases to satisfy the higher assumed demand for biofuels in the transport sector. 2DS</w:t>
      </w:r>
      <w:r>
        <w:rPr>
          <w:lang w:eastAsia="en-GB"/>
        </w:rPr>
        <w:t xml:space="preserve"> </w:t>
      </w:r>
      <w:r w:rsidR="009F1A75">
        <w:rPr>
          <w:lang w:eastAsia="en-GB"/>
        </w:rPr>
        <w:t>+</w:t>
      </w:r>
      <w:r>
        <w:rPr>
          <w:lang w:eastAsia="en-GB"/>
        </w:rPr>
        <w:t xml:space="preserve"> </w:t>
      </w:r>
      <w:r w:rsidR="009F1A75">
        <w:rPr>
          <w:lang w:eastAsia="en-GB"/>
        </w:rPr>
        <w:t xml:space="preserve">SugC is expected to reach a total agricultural service demand of </w:t>
      </w:r>
      <w:r>
        <w:rPr>
          <w:lang w:eastAsia="en-GB"/>
        </w:rPr>
        <w:br/>
      </w:r>
      <w:r w:rsidR="009F1A75">
        <w:rPr>
          <w:lang w:eastAsia="en-GB"/>
        </w:rPr>
        <w:t>9,634 PJ year</w:t>
      </w:r>
      <w:r>
        <w:rPr>
          <w:vertAlign w:val="superscript"/>
          <w:lang w:eastAsia="en-GB"/>
        </w:rPr>
        <w:t>−</w:t>
      </w:r>
      <w:r w:rsidR="009F1A75">
        <w:rPr>
          <w:vertAlign w:val="superscript"/>
          <w:lang w:eastAsia="en-GB"/>
        </w:rPr>
        <w:t>1</w:t>
      </w:r>
      <w:r w:rsidR="009F1A75">
        <w:rPr>
          <w:lang w:eastAsia="en-GB"/>
        </w:rPr>
        <w:t xml:space="preserve"> (891 PJ year</w:t>
      </w:r>
      <w:r>
        <w:rPr>
          <w:vertAlign w:val="superscript"/>
          <w:lang w:eastAsia="en-GB"/>
        </w:rPr>
        <w:t>−</w:t>
      </w:r>
      <w:r w:rsidR="009F1A75">
        <w:rPr>
          <w:vertAlign w:val="superscript"/>
          <w:lang w:eastAsia="en-GB"/>
        </w:rPr>
        <w:t>1</w:t>
      </w:r>
      <w:r w:rsidR="009F1A75">
        <w:rPr>
          <w:lang w:eastAsia="en-GB"/>
        </w:rPr>
        <w:t xml:space="preserve"> for crops, 307 PJ year</w:t>
      </w:r>
      <w:r>
        <w:rPr>
          <w:vertAlign w:val="superscript"/>
          <w:lang w:eastAsia="en-GB"/>
        </w:rPr>
        <w:t>−</w:t>
      </w:r>
      <w:r w:rsidR="009F1A75">
        <w:rPr>
          <w:vertAlign w:val="superscript"/>
          <w:lang w:eastAsia="en-GB"/>
        </w:rPr>
        <w:t>1</w:t>
      </w:r>
      <w:r w:rsidR="009F1A75">
        <w:rPr>
          <w:lang w:eastAsia="en-GB"/>
        </w:rPr>
        <w:t xml:space="preserve"> for meat-based, 3,423 PJ year</w:t>
      </w:r>
      <w:r>
        <w:rPr>
          <w:vertAlign w:val="superscript"/>
          <w:lang w:eastAsia="en-GB"/>
        </w:rPr>
        <w:t>−</w:t>
      </w:r>
      <w:r w:rsidR="009F1A75">
        <w:rPr>
          <w:vertAlign w:val="superscript"/>
          <w:lang w:eastAsia="en-GB"/>
        </w:rPr>
        <w:t>1</w:t>
      </w:r>
      <w:r w:rsidR="009F1A75">
        <w:rPr>
          <w:lang w:eastAsia="en-GB"/>
        </w:rPr>
        <w:t xml:space="preserve"> for forestry products and 5,013 PJ year</w:t>
      </w:r>
      <w:r>
        <w:rPr>
          <w:vertAlign w:val="superscript"/>
          <w:lang w:eastAsia="en-GB"/>
        </w:rPr>
        <w:t>−</w:t>
      </w:r>
      <w:r w:rsidR="009F1A75">
        <w:rPr>
          <w:vertAlign w:val="superscript"/>
          <w:lang w:eastAsia="en-GB"/>
        </w:rPr>
        <w:t>1</w:t>
      </w:r>
      <w:r w:rsidR="009F1A75">
        <w:rPr>
          <w:lang w:eastAsia="en-GB"/>
        </w:rPr>
        <w:t xml:space="preserve"> for bioenergy), representing an increase of 78% compared to 2010 (5,425 PJ year</w:t>
      </w:r>
      <w:r>
        <w:rPr>
          <w:vertAlign w:val="superscript"/>
          <w:lang w:eastAsia="en-GB"/>
        </w:rPr>
        <w:t>−</w:t>
      </w:r>
      <w:r w:rsidR="009F1A75">
        <w:rPr>
          <w:vertAlign w:val="superscript"/>
          <w:lang w:eastAsia="en-GB"/>
        </w:rPr>
        <w:t>1</w:t>
      </w:r>
      <w:r w:rsidR="009F1A75">
        <w:rPr>
          <w:lang w:eastAsia="en-GB"/>
        </w:rPr>
        <w:t>). Results show that modern mechanisation is expected to increase its share from 31% in 2010 to 42% in 2050, with a high share of renewable-based modern mechanisation. A change in the technological preference can be noted as the model installs up till 2025 fossil-based modern technology. As soon as modern renewable technologies becomes more accessible after 2025 due to more competitive energy renewable prices, these technologies become the preferred choice over fossil-based modern mechanisation. If only the food production is considered, the food energy content (output) per energy input decreases due to a more mechanised and energy intensive sector, meaning than more energy is required to produce one unit of food. In the base year, this index is around 2.64 kJ/kJ, and by 2050 it reaches 2.11 kJ/kJ, approximating current energy output/input ratios of developed economies</w:t>
      </w:r>
      <w:r>
        <w:rPr>
          <w:lang w:eastAsia="en-GB"/>
        </w:rPr>
        <w:t xml:space="preserve"> [32]</w:t>
      </w:r>
      <w:r w:rsidR="009F1A75">
        <w:rPr>
          <w:lang w:eastAsia="en-GB"/>
        </w:rPr>
        <w:t>.</w:t>
      </w:r>
    </w:p>
    <w:p w:rsidR="009F1A75" w:rsidRDefault="009F1A75" w:rsidP="009F1A75">
      <w:pPr>
        <w:rPr>
          <w:sz w:val="22"/>
          <w:lang w:eastAsia="en-GB"/>
        </w:rPr>
      </w:pPr>
      <w:r>
        <w:rPr>
          <w:lang w:eastAsia="en-GB"/>
        </w:rPr>
        <w:t>In 2DS</w:t>
      </w:r>
      <w:r w:rsidR="00A617AE">
        <w:rPr>
          <w:lang w:eastAsia="en-GB"/>
        </w:rPr>
        <w:t xml:space="preserve"> </w:t>
      </w:r>
      <w:r>
        <w:rPr>
          <w:lang w:eastAsia="en-GB"/>
        </w:rPr>
        <w:t>+</w:t>
      </w:r>
      <w:r w:rsidR="00A617AE">
        <w:rPr>
          <w:lang w:eastAsia="en-GB"/>
        </w:rPr>
        <w:t xml:space="preserve"> </w:t>
      </w:r>
      <w:r>
        <w:rPr>
          <w:lang w:eastAsia="en-GB"/>
        </w:rPr>
        <w:t>NG, the total service demand is expected to reach 6,974 PJ year</w:t>
      </w:r>
      <w:r w:rsidR="00A617AE">
        <w:rPr>
          <w:vertAlign w:val="superscript"/>
          <w:lang w:eastAsia="en-GB"/>
        </w:rPr>
        <w:t>−</w:t>
      </w:r>
      <w:r>
        <w:rPr>
          <w:vertAlign w:val="superscript"/>
          <w:lang w:eastAsia="en-GB"/>
        </w:rPr>
        <w:t>1</w:t>
      </w:r>
      <w:r>
        <w:rPr>
          <w:lang w:eastAsia="en-GB"/>
        </w:rPr>
        <w:t>, an increase of 29% compared to 2010. As mentioned, the service demand difference compared to 2DS</w:t>
      </w:r>
      <w:r w:rsidR="00A617AE">
        <w:rPr>
          <w:lang w:eastAsia="en-GB"/>
        </w:rPr>
        <w:t xml:space="preserve"> </w:t>
      </w:r>
      <w:r>
        <w:rPr>
          <w:lang w:eastAsia="en-GB"/>
        </w:rPr>
        <w:t>+</w:t>
      </w:r>
      <w:r w:rsidR="00A617AE">
        <w:rPr>
          <w:lang w:eastAsia="en-GB"/>
        </w:rPr>
        <w:t xml:space="preserve"> </w:t>
      </w:r>
      <w:r>
        <w:rPr>
          <w:lang w:eastAsia="en-GB"/>
        </w:rPr>
        <w:t>SugC mainly comes from the lower bioenerg</w:t>
      </w:r>
      <w:r w:rsidR="00A617AE">
        <w:rPr>
          <w:lang w:eastAsia="en-GB"/>
        </w:rPr>
        <w:t xml:space="preserve">y production. In this scenario, </w:t>
      </w:r>
      <w:r>
        <w:rPr>
          <w:lang w:eastAsia="en-GB"/>
        </w:rPr>
        <w:t>modern mechanisation represents 38% of the total share by 2050, where renewable-based modern mechanisation is only responsible for 2%, due to the limit availability of bioenergy for renewable-based on-farm processes. By the end of the time horizon, the food energy output/input indicator reaches 2.26 kJ/kJ, which represents a 7.1% less mechanised sector compared to 2DS</w:t>
      </w:r>
      <w:r w:rsidR="00A617AE">
        <w:rPr>
          <w:lang w:eastAsia="en-GB"/>
        </w:rPr>
        <w:t xml:space="preserve"> </w:t>
      </w:r>
      <w:r>
        <w:rPr>
          <w:lang w:eastAsia="en-GB"/>
        </w:rPr>
        <w:t>+</w:t>
      </w:r>
      <w:r w:rsidR="00A617AE">
        <w:rPr>
          <w:lang w:eastAsia="en-GB"/>
        </w:rPr>
        <w:t xml:space="preserve"> </w:t>
      </w:r>
      <w:r>
        <w:rPr>
          <w:lang w:eastAsia="en-GB"/>
        </w:rPr>
        <w:t>SugC.</w:t>
      </w:r>
    </w:p>
    <w:p w:rsidR="009F1A75" w:rsidRDefault="009F1A75" w:rsidP="009F1A75">
      <w:pPr>
        <w:rPr>
          <w:lang w:eastAsia="en-GB"/>
        </w:rPr>
      </w:pPr>
      <w:r>
        <w:rPr>
          <w:lang w:eastAsia="en-GB"/>
        </w:rPr>
        <w:t xml:space="preserve">Figure 8 shows the energy demand by fuel projections as well as fuel-related emissions exclusively from the Brazilian agriculture sector. </w:t>
      </w:r>
    </w:p>
    <w:p w:rsidR="00A617AE" w:rsidRDefault="00A617AE" w:rsidP="00A617AE">
      <w:pPr>
        <w:rPr>
          <w:sz w:val="22"/>
          <w:lang w:eastAsia="en-GB"/>
        </w:rPr>
      </w:pPr>
      <w:r>
        <w:rPr>
          <w:lang w:eastAsia="en-GB"/>
        </w:rPr>
        <w:t>By 2050, in 2DS + SugC, the agriculture sector is expected to consume 725 PJ year</w:t>
      </w:r>
      <w:r w:rsidR="002B0AA8">
        <w:rPr>
          <w:vertAlign w:val="superscript"/>
          <w:lang w:eastAsia="en-GB"/>
        </w:rPr>
        <w:t>−</w:t>
      </w:r>
      <w:r>
        <w:rPr>
          <w:vertAlign w:val="superscript"/>
          <w:lang w:eastAsia="en-GB"/>
        </w:rPr>
        <w:t>1</w:t>
      </w:r>
      <w:r>
        <w:rPr>
          <w:lang w:eastAsia="en-GB"/>
        </w:rPr>
        <w:t xml:space="preserve"> (73% increase compared to 2010). Results show that diesel (282 PJ year</w:t>
      </w:r>
      <w:r w:rsidR="002B0AA8">
        <w:rPr>
          <w:vertAlign w:val="superscript"/>
          <w:lang w:eastAsia="en-GB"/>
        </w:rPr>
        <w:t>−</w:t>
      </w:r>
      <w:r>
        <w:rPr>
          <w:vertAlign w:val="superscript"/>
          <w:lang w:eastAsia="en-GB"/>
        </w:rPr>
        <w:t>1</w:t>
      </w:r>
      <w:r>
        <w:rPr>
          <w:lang w:eastAsia="en-GB"/>
        </w:rPr>
        <w:t>), biodiesel (195 PJ year</w:t>
      </w:r>
      <w:r w:rsidR="002B0AA8">
        <w:rPr>
          <w:vertAlign w:val="superscript"/>
          <w:lang w:eastAsia="en-GB"/>
        </w:rPr>
        <w:t>−</w:t>
      </w:r>
      <w:r>
        <w:rPr>
          <w:vertAlign w:val="superscript"/>
          <w:lang w:eastAsia="en-GB"/>
        </w:rPr>
        <w:t>1</w:t>
      </w:r>
      <w:r>
        <w:rPr>
          <w:lang w:eastAsia="en-GB"/>
        </w:rPr>
        <w:t>) and biomass (147 PJ year</w:t>
      </w:r>
      <w:r w:rsidR="002B0AA8">
        <w:rPr>
          <w:vertAlign w:val="superscript"/>
          <w:lang w:eastAsia="en-GB"/>
        </w:rPr>
        <w:t>−</w:t>
      </w:r>
      <w:r>
        <w:rPr>
          <w:vertAlign w:val="superscript"/>
          <w:lang w:eastAsia="en-GB"/>
        </w:rPr>
        <w:t>1</w:t>
      </w:r>
      <w:r>
        <w:rPr>
          <w:lang w:eastAsia="en-GB"/>
        </w:rPr>
        <w:t>) are responsible of 86% of the total fuel share. On the other hand, the use of electricity grows from 64 to 85 PJ year</w:t>
      </w:r>
      <w:r w:rsidR="002B0AA8">
        <w:rPr>
          <w:vertAlign w:val="superscript"/>
          <w:lang w:eastAsia="en-GB"/>
        </w:rPr>
        <w:t>−</w:t>
      </w:r>
      <w:r>
        <w:rPr>
          <w:vertAlign w:val="superscript"/>
          <w:lang w:eastAsia="en-GB"/>
        </w:rPr>
        <w:t>1</w:t>
      </w:r>
      <w:r>
        <w:rPr>
          <w:lang w:eastAsia="en-GB"/>
        </w:rPr>
        <w:t>, but its total share decreases from 15% to 12%. Direct energy-related emissions reach 37.8 Mt</w:t>
      </w:r>
      <w:r w:rsidR="002B0AA8">
        <w:rPr>
          <w:lang w:eastAsia="en-GB"/>
        </w:rPr>
        <w:t xml:space="preserve"> </w:t>
      </w:r>
      <w:r>
        <w:rPr>
          <w:lang w:eastAsia="en-GB"/>
        </w:rPr>
        <w:t>CO</w:t>
      </w:r>
      <w:r>
        <w:rPr>
          <w:vertAlign w:val="subscript"/>
          <w:lang w:eastAsia="en-GB"/>
        </w:rPr>
        <w:t xml:space="preserve">2 </w:t>
      </w:r>
      <w:r>
        <w:rPr>
          <w:lang w:eastAsia="en-GB"/>
        </w:rPr>
        <w:t>year</w:t>
      </w:r>
      <w:r w:rsidR="002B0AA8">
        <w:rPr>
          <w:vertAlign w:val="superscript"/>
          <w:lang w:eastAsia="en-GB"/>
        </w:rPr>
        <w:t>−</w:t>
      </w:r>
      <w:r>
        <w:rPr>
          <w:vertAlign w:val="superscript"/>
          <w:lang w:eastAsia="en-GB"/>
        </w:rPr>
        <w:t>1</w:t>
      </w:r>
      <w:r>
        <w:rPr>
          <w:lang w:eastAsia="en-GB"/>
        </w:rPr>
        <w:t xml:space="preserve"> and the emissions intensity (emissions per unit service) decreases from </w:t>
      </w:r>
      <w:r w:rsidR="007F299D">
        <w:rPr>
          <w:lang w:eastAsia="en-GB"/>
        </w:rPr>
        <w:br/>
      </w:r>
      <w:r>
        <w:rPr>
          <w:lang w:eastAsia="en-GB"/>
        </w:rPr>
        <w:t>5.54 Mt</w:t>
      </w:r>
      <w:r w:rsidR="002B0AA8">
        <w:rPr>
          <w:lang w:eastAsia="en-GB"/>
        </w:rPr>
        <w:t xml:space="preserve"> </w:t>
      </w:r>
      <w:r>
        <w:rPr>
          <w:lang w:eastAsia="en-GB"/>
        </w:rPr>
        <w:t>CO</w:t>
      </w:r>
      <w:r>
        <w:rPr>
          <w:vertAlign w:val="subscript"/>
          <w:lang w:eastAsia="en-GB"/>
        </w:rPr>
        <w:t>2</w:t>
      </w:r>
      <w:r>
        <w:rPr>
          <w:lang w:eastAsia="en-GB"/>
        </w:rPr>
        <w:t xml:space="preserve"> PJ</w:t>
      </w:r>
      <w:r>
        <w:rPr>
          <w:vertAlign w:val="subscript"/>
          <w:lang w:eastAsia="en-GB"/>
        </w:rPr>
        <w:t>agr</w:t>
      </w:r>
      <w:r w:rsidR="002B0AA8">
        <w:rPr>
          <w:vertAlign w:val="superscript"/>
          <w:lang w:eastAsia="en-GB"/>
        </w:rPr>
        <w:t>−</w:t>
      </w:r>
      <w:r>
        <w:rPr>
          <w:vertAlign w:val="superscript"/>
          <w:lang w:eastAsia="en-GB"/>
        </w:rPr>
        <w:t>1</w:t>
      </w:r>
      <w:r>
        <w:rPr>
          <w:lang w:eastAsia="en-GB"/>
        </w:rPr>
        <w:t xml:space="preserve"> in 2010 to 3.92 Mt</w:t>
      </w:r>
      <w:r w:rsidR="002B0AA8">
        <w:rPr>
          <w:lang w:eastAsia="en-GB"/>
        </w:rPr>
        <w:t xml:space="preserve"> </w:t>
      </w:r>
      <w:r>
        <w:rPr>
          <w:lang w:eastAsia="en-GB"/>
        </w:rPr>
        <w:t>CO</w:t>
      </w:r>
      <w:r>
        <w:rPr>
          <w:vertAlign w:val="subscript"/>
          <w:lang w:eastAsia="en-GB"/>
        </w:rPr>
        <w:t>2</w:t>
      </w:r>
      <w:r>
        <w:rPr>
          <w:lang w:eastAsia="en-GB"/>
        </w:rPr>
        <w:t xml:space="preserve"> PJ</w:t>
      </w:r>
      <w:r>
        <w:rPr>
          <w:vertAlign w:val="subscript"/>
          <w:lang w:eastAsia="en-GB"/>
        </w:rPr>
        <w:t>agr</w:t>
      </w:r>
      <w:r w:rsidR="002B0AA8">
        <w:rPr>
          <w:vertAlign w:val="superscript"/>
          <w:lang w:eastAsia="en-GB"/>
        </w:rPr>
        <w:t>−</w:t>
      </w:r>
      <w:r>
        <w:rPr>
          <w:vertAlign w:val="superscript"/>
          <w:lang w:eastAsia="en-GB"/>
        </w:rPr>
        <w:t>1</w:t>
      </w:r>
      <w:r>
        <w:rPr>
          <w:lang w:eastAsia="en-GB"/>
        </w:rPr>
        <w:t xml:space="preserve"> in 2050. </w:t>
      </w:r>
    </w:p>
    <w:p w:rsidR="00A617AE" w:rsidRPr="00B651A1" w:rsidRDefault="00A617AE" w:rsidP="00A617AE">
      <w:pPr>
        <w:rPr>
          <w:lang w:eastAsia="en-GB"/>
        </w:rPr>
      </w:pPr>
      <w:r>
        <w:rPr>
          <w:lang w:eastAsia="en-GB"/>
        </w:rPr>
        <w:t>In 2DS</w:t>
      </w:r>
      <w:r w:rsidR="002B0AA8">
        <w:rPr>
          <w:lang w:eastAsia="en-GB"/>
        </w:rPr>
        <w:t xml:space="preserve"> </w:t>
      </w:r>
      <w:r>
        <w:rPr>
          <w:lang w:eastAsia="en-GB"/>
        </w:rPr>
        <w:t>+</w:t>
      </w:r>
      <w:r w:rsidR="002B0AA8">
        <w:rPr>
          <w:lang w:eastAsia="en-GB"/>
        </w:rPr>
        <w:t xml:space="preserve"> </w:t>
      </w:r>
      <w:r>
        <w:rPr>
          <w:lang w:eastAsia="en-GB"/>
        </w:rPr>
        <w:t>NG, the total energy demand is expected to reach 599 PJ year</w:t>
      </w:r>
      <w:r w:rsidR="002B0AA8">
        <w:rPr>
          <w:vertAlign w:val="superscript"/>
          <w:lang w:eastAsia="en-GB"/>
        </w:rPr>
        <w:t>−</w:t>
      </w:r>
      <w:r>
        <w:rPr>
          <w:vertAlign w:val="superscript"/>
          <w:lang w:eastAsia="en-GB"/>
        </w:rPr>
        <w:t>1</w:t>
      </w:r>
      <w:r>
        <w:rPr>
          <w:lang w:eastAsia="en-GB"/>
        </w:rPr>
        <w:t xml:space="preserve"> by 2050. This is lower than 2DS</w:t>
      </w:r>
      <w:r w:rsidR="002B0AA8">
        <w:rPr>
          <w:lang w:eastAsia="en-GB"/>
        </w:rPr>
        <w:t xml:space="preserve"> </w:t>
      </w:r>
      <w:r>
        <w:rPr>
          <w:lang w:eastAsia="en-GB"/>
        </w:rPr>
        <w:t>+</w:t>
      </w:r>
      <w:r w:rsidR="002B0AA8">
        <w:rPr>
          <w:lang w:eastAsia="en-GB"/>
        </w:rPr>
        <w:t xml:space="preserve"> </w:t>
      </w:r>
      <w:r>
        <w:rPr>
          <w:lang w:eastAsia="en-GB"/>
        </w:rPr>
        <w:t>SugC (125 PJ year</w:t>
      </w:r>
      <w:r w:rsidR="002B0AA8">
        <w:rPr>
          <w:vertAlign w:val="superscript"/>
          <w:lang w:eastAsia="en-GB"/>
        </w:rPr>
        <w:t>−</w:t>
      </w:r>
      <w:r>
        <w:rPr>
          <w:vertAlign w:val="superscript"/>
          <w:lang w:eastAsia="en-GB"/>
        </w:rPr>
        <w:t>1</w:t>
      </w:r>
      <w:r>
        <w:rPr>
          <w:lang w:eastAsia="en-GB"/>
        </w:rPr>
        <w:t xml:space="preserve"> lower) due to a smaller bioenergy industry. </w:t>
      </w:r>
      <w:r>
        <w:rPr>
          <w:lang w:eastAsia="en-GB"/>
        </w:rPr>
        <w:lastRenderedPageBreak/>
        <w:t>In this case, diesel (205 PJ year</w:t>
      </w:r>
      <w:r w:rsidR="002B0AA8">
        <w:rPr>
          <w:vertAlign w:val="superscript"/>
          <w:lang w:eastAsia="en-GB"/>
        </w:rPr>
        <w:t>−</w:t>
      </w:r>
      <w:r>
        <w:rPr>
          <w:vertAlign w:val="superscript"/>
          <w:lang w:eastAsia="en-GB"/>
        </w:rPr>
        <w:t>1</w:t>
      </w:r>
      <w:r>
        <w:rPr>
          <w:lang w:eastAsia="en-GB"/>
        </w:rPr>
        <w:t>), and biomass (137 PJ year</w:t>
      </w:r>
      <w:r w:rsidR="002B0AA8">
        <w:rPr>
          <w:vertAlign w:val="superscript"/>
          <w:lang w:eastAsia="en-GB"/>
        </w:rPr>
        <w:t>−</w:t>
      </w:r>
      <w:r>
        <w:rPr>
          <w:vertAlign w:val="superscript"/>
          <w:lang w:eastAsia="en-GB"/>
        </w:rPr>
        <w:t>1</w:t>
      </w:r>
      <w:r>
        <w:rPr>
          <w:lang w:eastAsia="en-GB"/>
        </w:rPr>
        <w:t>) are responsible for 57% of the total share. Biodiesel uptake occurs at a much slower rate compared to 2DS</w:t>
      </w:r>
      <w:r w:rsidR="002B0AA8">
        <w:rPr>
          <w:lang w:eastAsia="en-GB"/>
        </w:rPr>
        <w:t xml:space="preserve"> </w:t>
      </w:r>
      <w:r>
        <w:rPr>
          <w:lang w:eastAsia="en-GB"/>
        </w:rPr>
        <w:t>+</w:t>
      </w:r>
      <w:r w:rsidR="002B0AA8">
        <w:rPr>
          <w:lang w:eastAsia="en-GB"/>
        </w:rPr>
        <w:t xml:space="preserve"> </w:t>
      </w:r>
      <w:r>
        <w:rPr>
          <w:lang w:eastAsia="en-GB"/>
        </w:rPr>
        <w:t>SugC, only representing 96 PJ year</w:t>
      </w:r>
      <w:r w:rsidR="002B0AA8">
        <w:rPr>
          <w:vertAlign w:val="superscript"/>
          <w:lang w:eastAsia="en-GB"/>
        </w:rPr>
        <w:t>−</w:t>
      </w:r>
      <w:r>
        <w:rPr>
          <w:vertAlign w:val="superscript"/>
          <w:lang w:eastAsia="en-GB"/>
        </w:rPr>
        <w:t>1</w:t>
      </w:r>
      <w:r>
        <w:rPr>
          <w:lang w:eastAsia="en-GB"/>
        </w:rPr>
        <w:t xml:space="preserve"> by 2050. Additionally, electricity grows from </w:t>
      </w:r>
      <w:r w:rsidR="002B0AA8">
        <w:rPr>
          <w:lang w:eastAsia="en-GB"/>
        </w:rPr>
        <w:br/>
      </w:r>
      <w:r>
        <w:rPr>
          <w:lang w:eastAsia="en-GB"/>
        </w:rPr>
        <w:t>64 PJ year</w:t>
      </w:r>
      <w:r w:rsidR="002B0AA8">
        <w:rPr>
          <w:vertAlign w:val="superscript"/>
          <w:lang w:eastAsia="en-GB"/>
        </w:rPr>
        <w:t>−</w:t>
      </w:r>
      <w:r>
        <w:rPr>
          <w:vertAlign w:val="superscript"/>
          <w:lang w:eastAsia="en-GB"/>
        </w:rPr>
        <w:t>1</w:t>
      </w:r>
      <w:r>
        <w:rPr>
          <w:lang w:eastAsia="en-GB"/>
        </w:rPr>
        <w:t xml:space="preserve"> to 111 PJ year</w:t>
      </w:r>
      <w:r w:rsidR="002B0AA8">
        <w:rPr>
          <w:vertAlign w:val="superscript"/>
          <w:lang w:eastAsia="en-GB"/>
        </w:rPr>
        <w:t>−</w:t>
      </w:r>
      <w:r>
        <w:rPr>
          <w:vertAlign w:val="superscript"/>
          <w:lang w:eastAsia="en-GB"/>
        </w:rPr>
        <w:t>1</w:t>
      </w:r>
      <w:r>
        <w:rPr>
          <w:lang w:eastAsia="en-GB"/>
        </w:rPr>
        <w:t xml:space="preserve"> representing 19% of the total share, while demand for natural gas grows from 0.09 PJ year</w:t>
      </w:r>
      <w:r w:rsidR="002B0AA8">
        <w:rPr>
          <w:vertAlign w:val="superscript"/>
          <w:lang w:eastAsia="en-GB"/>
        </w:rPr>
        <w:t>−</w:t>
      </w:r>
      <w:r>
        <w:rPr>
          <w:vertAlign w:val="superscript"/>
          <w:lang w:eastAsia="en-GB"/>
        </w:rPr>
        <w:t>1</w:t>
      </w:r>
      <w:r>
        <w:rPr>
          <w:lang w:eastAsia="en-GB"/>
        </w:rPr>
        <w:t xml:space="preserve"> to 42.3 PJ year</w:t>
      </w:r>
      <w:r w:rsidR="002B0AA8">
        <w:rPr>
          <w:vertAlign w:val="superscript"/>
          <w:lang w:eastAsia="en-GB"/>
        </w:rPr>
        <w:t>−</w:t>
      </w:r>
      <w:r>
        <w:rPr>
          <w:vertAlign w:val="superscript"/>
          <w:lang w:eastAsia="en-GB"/>
        </w:rPr>
        <w:t>1</w:t>
      </w:r>
      <w:r>
        <w:rPr>
          <w:lang w:eastAsia="en-GB"/>
        </w:rPr>
        <w:t xml:space="preserve"> (supposedly to cover processes such as drying and machinery). In 2050, the direct energy-related emissions is lower than 2DS</w:t>
      </w:r>
      <w:r w:rsidR="002B0AA8">
        <w:rPr>
          <w:lang w:eastAsia="en-GB"/>
        </w:rPr>
        <w:t xml:space="preserve"> </w:t>
      </w:r>
      <w:r>
        <w:rPr>
          <w:lang w:eastAsia="en-GB"/>
        </w:rPr>
        <w:t>+</w:t>
      </w:r>
      <w:r w:rsidR="002B0AA8">
        <w:rPr>
          <w:lang w:eastAsia="en-GB"/>
        </w:rPr>
        <w:t xml:space="preserve"> </w:t>
      </w:r>
      <w:r>
        <w:rPr>
          <w:lang w:eastAsia="en-GB"/>
        </w:rPr>
        <w:t>SugC, reaching 33.2 Mt</w:t>
      </w:r>
      <w:r w:rsidR="002B0AA8">
        <w:rPr>
          <w:lang w:eastAsia="en-GB"/>
        </w:rPr>
        <w:t xml:space="preserve"> </w:t>
      </w:r>
      <w:r>
        <w:rPr>
          <w:lang w:eastAsia="en-GB"/>
        </w:rPr>
        <w:t>CO</w:t>
      </w:r>
      <w:r>
        <w:rPr>
          <w:vertAlign w:val="subscript"/>
          <w:lang w:eastAsia="en-GB"/>
        </w:rPr>
        <w:t>2,</w:t>
      </w:r>
      <w:r>
        <w:rPr>
          <w:lang w:eastAsia="en-GB"/>
        </w:rPr>
        <w:t xml:space="preserve"> but the emission intensity is higher </w:t>
      </w:r>
      <w:r w:rsidR="002B0AA8">
        <w:rPr>
          <w:lang w:eastAsia="en-GB"/>
        </w:rPr>
        <w:br/>
      </w:r>
      <w:r>
        <w:rPr>
          <w:lang w:eastAsia="en-GB"/>
        </w:rPr>
        <w:t>(4.77 Mt</w:t>
      </w:r>
      <w:r w:rsidR="002B0AA8">
        <w:rPr>
          <w:lang w:eastAsia="en-GB"/>
        </w:rPr>
        <w:t xml:space="preserve"> </w:t>
      </w:r>
      <w:r>
        <w:rPr>
          <w:lang w:eastAsia="en-GB"/>
        </w:rPr>
        <w:t>CO</w:t>
      </w:r>
      <w:r>
        <w:rPr>
          <w:vertAlign w:val="subscript"/>
          <w:lang w:eastAsia="en-GB"/>
        </w:rPr>
        <w:t>2</w:t>
      </w:r>
      <w:r>
        <w:rPr>
          <w:lang w:eastAsia="en-GB"/>
        </w:rPr>
        <w:t xml:space="preserve"> PJ</w:t>
      </w:r>
      <w:r>
        <w:rPr>
          <w:vertAlign w:val="subscript"/>
          <w:lang w:eastAsia="en-GB"/>
        </w:rPr>
        <w:t>agr</w:t>
      </w:r>
      <w:r w:rsidR="002B0AA8">
        <w:rPr>
          <w:vertAlign w:val="superscript"/>
          <w:lang w:eastAsia="en-GB"/>
        </w:rPr>
        <w:t>−</w:t>
      </w:r>
      <w:r>
        <w:rPr>
          <w:vertAlign w:val="superscript"/>
          <w:lang w:eastAsia="en-GB"/>
        </w:rPr>
        <w:t>1</w:t>
      </w:r>
      <w:r>
        <w:rPr>
          <w:lang w:eastAsia="en-GB"/>
        </w:rPr>
        <w:t xml:space="preserve">) due to higher demand of fossil fuels per unit of agricultural service. </w:t>
      </w:r>
    </w:p>
    <w:p w:rsidR="009F1A75" w:rsidRDefault="009F1A75" w:rsidP="009F1A75">
      <w:pPr>
        <w:ind w:firstLine="0"/>
        <w:jc w:val="center"/>
        <w:rPr>
          <w:lang w:eastAsia="en-GB"/>
        </w:rPr>
      </w:pPr>
    </w:p>
    <w:p w:rsidR="009F1A75" w:rsidRDefault="003D671D" w:rsidP="009F1A75">
      <w:pPr>
        <w:ind w:firstLine="0"/>
        <w:jc w:val="center"/>
        <w:rPr>
          <w:lang w:eastAsia="en-GB"/>
        </w:rPr>
      </w:pPr>
      <w:r>
        <w:rPr>
          <w:noProof/>
          <w:lang w:val="hr-HR" w:eastAsia="hr-HR"/>
        </w:rPr>
        <w:drawing>
          <wp:inline distT="0" distB="0" distL="0" distR="0" wp14:anchorId="4CA63778" wp14:editId="1FAAD48E">
            <wp:extent cx="5162550" cy="24059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6778" cy="2412574"/>
                    </a:xfrm>
                    <a:prstGeom prst="rect">
                      <a:avLst/>
                    </a:prstGeom>
                    <a:noFill/>
                    <a:ln>
                      <a:noFill/>
                    </a:ln>
                  </pic:spPr>
                </pic:pic>
              </a:graphicData>
            </a:graphic>
          </wp:inline>
        </w:drawing>
      </w:r>
    </w:p>
    <w:p w:rsidR="009F1A75" w:rsidRDefault="009F1A75" w:rsidP="00AD632A">
      <w:pPr>
        <w:ind w:firstLine="0"/>
        <w:jc w:val="center"/>
        <w:rPr>
          <w:noProof/>
          <w:sz w:val="22"/>
          <w:lang w:eastAsia="en-GB"/>
        </w:rPr>
      </w:pPr>
    </w:p>
    <w:p w:rsidR="009F1A75" w:rsidRDefault="009F1A75" w:rsidP="00AD632A">
      <w:pPr>
        <w:ind w:firstLine="0"/>
        <w:jc w:val="center"/>
        <w:rPr>
          <w:noProof/>
          <w:sz w:val="22"/>
          <w:lang w:eastAsia="en-GB"/>
        </w:rPr>
      </w:pPr>
      <w:r>
        <w:rPr>
          <w:noProof/>
          <w:sz w:val="22"/>
          <w:lang w:eastAsia="en-GB"/>
        </w:rPr>
        <w:t>Figure 8</w:t>
      </w:r>
      <w:r w:rsidR="00AD632A">
        <w:rPr>
          <w:noProof/>
          <w:sz w:val="22"/>
          <w:lang w:eastAsia="en-GB"/>
        </w:rPr>
        <w:t xml:space="preserve">. </w:t>
      </w:r>
      <w:r>
        <w:rPr>
          <w:noProof/>
          <w:sz w:val="22"/>
          <w:lang w:eastAsia="en-GB"/>
        </w:rPr>
        <w:t xml:space="preserve">Fuel demand </w:t>
      </w:r>
      <w:r w:rsidRPr="00317A92">
        <w:rPr>
          <w:noProof/>
          <w:sz w:val="22"/>
          <w:lang w:eastAsia="en-GB"/>
        </w:rPr>
        <w:t xml:space="preserve">projections and </w:t>
      </w:r>
      <w:r>
        <w:rPr>
          <w:noProof/>
          <w:sz w:val="22"/>
          <w:lang w:eastAsia="en-GB"/>
        </w:rPr>
        <w:t xml:space="preserve">aggregated </w:t>
      </w:r>
      <w:r w:rsidRPr="00317A92">
        <w:rPr>
          <w:noProof/>
          <w:sz w:val="22"/>
          <w:lang w:eastAsia="en-GB"/>
        </w:rPr>
        <w:t>energy-related emissions for both scenarios</w:t>
      </w:r>
    </w:p>
    <w:p w:rsidR="009F1A75" w:rsidRPr="00AD632A" w:rsidRDefault="009F1A75" w:rsidP="00AD632A">
      <w:pPr>
        <w:pStyle w:val="Heading3"/>
      </w:pPr>
      <w:r w:rsidRPr="00AD632A">
        <w:t>Land use and related emissions</w:t>
      </w:r>
    </w:p>
    <w:p w:rsidR="009F1A75" w:rsidRDefault="009F1A75" w:rsidP="00AD632A">
      <w:r>
        <w:t>Figure 9 illustrates land use requiremen</w:t>
      </w:r>
      <w:r w:rsidR="00AD632A">
        <w:t xml:space="preserve">ts for both analysed scenarios. </w:t>
      </w:r>
      <w:r>
        <w:t>As seen, the amount of land devoted to growing all agricultural services increases by a simultaneous decrease in other lands such as forest.</w:t>
      </w:r>
    </w:p>
    <w:p w:rsidR="009F1A75" w:rsidRPr="00AD632A" w:rsidRDefault="009F1A75" w:rsidP="00AD632A">
      <w:pPr>
        <w:ind w:firstLine="0"/>
        <w:jc w:val="center"/>
      </w:pPr>
    </w:p>
    <w:p w:rsidR="009F1A75" w:rsidRDefault="009F1A75" w:rsidP="009F1A75">
      <w:pPr>
        <w:ind w:firstLine="0"/>
        <w:jc w:val="center"/>
        <w:rPr>
          <w:i/>
        </w:rPr>
      </w:pPr>
      <w:r>
        <w:rPr>
          <w:noProof/>
          <w:lang w:val="hr-HR" w:eastAsia="hr-HR"/>
        </w:rPr>
        <w:drawing>
          <wp:inline distT="0" distB="0" distL="0" distR="0" wp14:anchorId="2D04271D" wp14:editId="5CBD0254">
            <wp:extent cx="5250264" cy="25468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1380" cy="2566766"/>
                    </a:xfrm>
                    <a:prstGeom prst="rect">
                      <a:avLst/>
                    </a:prstGeom>
                  </pic:spPr>
                </pic:pic>
              </a:graphicData>
            </a:graphic>
          </wp:inline>
        </w:drawing>
      </w:r>
    </w:p>
    <w:p w:rsidR="009F1A75" w:rsidRDefault="009F1A75" w:rsidP="00AD632A">
      <w:pPr>
        <w:ind w:firstLine="0"/>
        <w:jc w:val="center"/>
        <w:rPr>
          <w:noProof/>
          <w:sz w:val="22"/>
          <w:lang w:eastAsia="en-GB"/>
        </w:rPr>
      </w:pPr>
    </w:p>
    <w:p w:rsidR="009F1A75" w:rsidRPr="00317A92" w:rsidRDefault="009F1A75" w:rsidP="00AD632A">
      <w:pPr>
        <w:ind w:firstLine="0"/>
        <w:jc w:val="center"/>
        <w:rPr>
          <w:i/>
          <w:sz w:val="22"/>
        </w:rPr>
      </w:pPr>
      <w:r>
        <w:rPr>
          <w:noProof/>
          <w:sz w:val="22"/>
          <w:lang w:eastAsia="en-GB"/>
        </w:rPr>
        <w:t>Figure 9</w:t>
      </w:r>
      <w:r w:rsidR="00AD632A">
        <w:rPr>
          <w:noProof/>
          <w:sz w:val="22"/>
          <w:lang w:eastAsia="en-GB"/>
        </w:rPr>
        <w:t xml:space="preserve">. </w:t>
      </w:r>
      <w:r w:rsidRPr="00317A92">
        <w:rPr>
          <w:noProof/>
          <w:sz w:val="22"/>
          <w:lang w:eastAsia="en-GB"/>
        </w:rPr>
        <w:t>Land use demand projections for both scenarios</w:t>
      </w:r>
    </w:p>
    <w:p w:rsidR="009F1A75" w:rsidRDefault="009F1A75" w:rsidP="00AD632A">
      <w:pPr>
        <w:ind w:firstLine="0"/>
        <w:jc w:val="center"/>
      </w:pPr>
    </w:p>
    <w:p w:rsidR="009F1A75" w:rsidRPr="00AB399C" w:rsidRDefault="009F1A75" w:rsidP="009F1A75">
      <w:pPr>
        <w:rPr>
          <w:sz w:val="22"/>
        </w:rPr>
      </w:pPr>
      <w:r>
        <w:t xml:space="preserve">For both cases, a demand increase in meat-based products, causes a constant increase in pasture land until 2030, reaching around 228 Mha (+32 Mha) to later stabilise due to intensification of animal farming. On the other hand, crop land constantly increases until 2050. This takes place at an annual rate of 0.9% between 2010 and 2030, and reducing to </w:t>
      </w:r>
      <w:r>
        <w:lastRenderedPageBreak/>
        <w:t>0.3% year</w:t>
      </w:r>
      <w:r w:rsidR="00AD632A">
        <w:rPr>
          <w:vertAlign w:val="superscript"/>
        </w:rPr>
        <w:t>−</w:t>
      </w:r>
      <w:r>
        <w:rPr>
          <w:vertAlign w:val="superscript"/>
        </w:rPr>
        <w:t>1</w:t>
      </w:r>
      <w:r>
        <w:t xml:space="preserve"> between 2030 and 2050. Crop land demand reaches around 87 Mha </w:t>
      </w:r>
      <w:r w:rsidR="00AD632A">
        <w:br/>
      </w:r>
      <w:r>
        <w:t>(+18 Mha) by 2050. The largest differences are in land dedicated to bioenergy. While for 2DS</w:t>
      </w:r>
      <w:r w:rsidR="00AD632A">
        <w:t xml:space="preserve"> </w:t>
      </w:r>
      <w:r>
        <w:t>+</w:t>
      </w:r>
      <w:r w:rsidR="00AD632A">
        <w:t xml:space="preserve"> </w:t>
      </w:r>
      <w:r>
        <w:t>SugC, growth rates were found at 5.3% between 2010 and 2030 and 4.5% between 2030 and 2050, reaching 31.0 Mha of land, for 2DS</w:t>
      </w:r>
      <w:r w:rsidR="00AD632A">
        <w:t xml:space="preserve"> </w:t>
      </w:r>
      <w:r>
        <w:t>+</w:t>
      </w:r>
      <w:r w:rsidR="00AD632A">
        <w:t xml:space="preserve"> </w:t>
      </w:r>
      <w:r>
        <w:t>NG, gr</w:t>
      </w:r>
      <w:r w:rsidR="00AD632A">
        <w:t xml:space="preserve">owth rates were at 2.1% between </w:t>
      </w:r>
      <w:r>
        <w:t>2010 and 2030 and 1.4% between 20</w:t>
      </w:r>
      <w:r w:rsidR="00AD632A">
        <w:t xml:space="preserve">30 and 2050, reaching 14.5 Mha. </w:t>
      </w:r>
      <w:r w:rsidR="00AD632A">
        <w:br/>
      </w:r>
      <w:r>
        <w:t>In general, for 2DS</w:t>
      </w:r>
      <w:r w:rsidR="00AD632A">
        <w:t xml:space="preserve"> </w:t>
      </w:r>
      <w:r>
        <w:t>+</w:t>
      </w:r>
      <w:r w:rsidR="00AD632A">
        <w:t xml:space="preserve"> </w:t>
      </w:r>
      <w:r>
        <w:t>SugC, land demand to cover all four agricultural services grows from 280.4 to 351.7 Mha. Results suggest that future s</w:t>
      </w:r>
      <w:r w:rsidR="00AD632A">
        <w:t>ervice demands will be met 66.6</w:t>
      </w:r>
      <w:r>
        <w:t xml:space="preserve">% by intensification implying improved mechanisation and 33.4% by land use increase. </w:t>
      </w:r>
      <w:r w:rsidR="00AD632A">
        <w:br/>
      </w:r>
      <w:r>
        <w:t>In 2DS</w:t>
      </w:r>
      <w:r w:rsidR="00AD632A">
        <w:t xml:space="preserve"> </w:t>
      </w:r>
      <w:r>
        <w:t>+</w:t>
      </w:r>
      <w:r w:rsidR="00AD632A">
        <w:t xml:space="preserve"> </w:t>
      </w:r>
      <w:r>
        <w:t>NG, land demand for agricultural services increases to 339.1 Mha, where the new future serv</w:t>
      </w:r>
      <w:r w:rsidR="00AD632A">
        <w:t>ice demand will be covered 71.7</w:t>
      </w:r>
      <w:r>
        <w:t xml:space="preserve">% by intensification </w:t>
      </w:r>
      <w:r w:rsidR="00AD632A">
        <w:t xml:space="preserve">and 28.3% by land use increase. </w:t>
      </w:r>
      <w:r>
        <w:t>The results on land demand indicate that compared to 2DS</w:t>
      </w:r>
      <w:r w:rsidR="00AD632A">
        <w:t xml:space="preserve"> </w:t>
      </w:r>
      <w:r>
        <w:t>+</w:t>
      </w:r>
      <w:r w:rsidR="00AD632A">
        <w:t xml:space="preserve"> </w:t>
      </w:r>
      <w:r>
        <w:t xml:space="preserve">SugC </w:t>
      </w:r>
      <w:r w:rsidR="00AD632A">
        <w:br/>
      </w:r>
      <w:r>
        <w:t>(6% annual growth of bioenergy), 2DS</w:t>
      </w:r>
      <w:r w:rsidR="00AD632A">
        <w:t xml:space="preserve"> </w:t>
      </w:r>
      <w:r>
        <w:t>+</w:t>
      </w:r>
      <w:r w:rsidR="00AD632A">
        <w:t xml:space="preserve"> </w:t>
      </w:r>
      <w:r>
        <w:t xml:space="preserve">NG (developing gas infrastructure combined with 3% annual growth rate of bioenergy) could save around 12.6 Mha of forest by 2050 by limiting energy crops production that normally has an indirect land use change impact due to crop and pasture expansion in other land types. </w:t>
      </w:r>
    </w:p>
    <w:p w:rsidR="009F1A75" w:rsidRDefault="00AD632A" w:rsidP="009F1A75">
      <w:pPr>
        <w:rPr>
          <w:sz w:val="22"/>
        </w:rPr>
      </w:pPr>
      <w:r>
        <w:t>Finally, by using e</w:t>
      </w:r>
      <w:r w:rsidR="009F1A75">
        <w:t>q</w:t>
      </w:r>
      <w:r w:rsidR="004267D6">
        <w:t>s</w:t>
      </w:r>
      <w:r w:rsidR="009F1A75">
        <w:t xml:space="preserve">. </w:t>
      </w:r>
      <w:r>
        <w:t>(</w:t>
      </w:r>
      <w:r w:rsidR="009F1A75">
        <w:t>4-6</w:t>
      </w:r>
      <w:r>
        <w:t>)</w:t>
      </w:r>
      <w:r w:rsidR="009F1A75">
        <w:t xml:space="preserve"> in the model, Figure 10 illustrates the projected Ag&amp;LU sector CO</w:t>
      </w:r>
      <w:r w:rsidR="009F1A75">
        <w:rPr>
          <w:vertAlign w:val="subscript"/>
        </w:rPr>
        <w:t>2</w:t>
      </w:r>
      <w:r w:rsidR="009F1A75">
        <w:t xml:space="preserve"> flux estimations for both scenarios. Besides emissions from direct energy use, releases and uptake of C from land use and land use change have been calculated for all four carbon pools. </w:t>
      </w:r>
    </w:p>
    <w:p w:rsidR="009F1A75" w:rsidRPr="009F3028" w:rsidRDefault="009F1A75" w:rsidP="009F1A75">
      <w:pPr>
        <w:ind w:firstLine="0"/>
        <w:jc w:val="center"/>
        <w:rPr>
          <w:sz w:val="22"/>
        </w:rPr>
      </w:pPr>
    </w:p>
    <w:p w:rsidR="009F1A75" w:rsidRDefault="003D671D" w:rsidP="009F1A75">
      <w:pPr>
        <w:ind w:firstLine="0"/>
        <w:jc w:val="center"/>
        <w:rPr>
          <w:noProof/>
          <w:sz w:val="22"/>
          <w:lang w:eastAsia="en-GB"/>
        </w:rPr>
      </w:pPr>
      <w:r>
        <w:rPr>
          <w:noProof/>
          <w:sz w:val="22"/>
          <w:lang w:val="hr-HR" w:eastAsia="hr-HR"/>
        </w:rPr>
        <w:drawing>
          <wp:inline distT="0" distB="0" distL="0" distR="0" wp14:anchorId="070DEC06" wp14:editId="3C244C97">
            <wp:extent cx="5019675" cy="25542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726" cy="2564489"/>
                    </a:xfrm>
                    <a:prstGeom prst="rect">
                      <a:avLst/>
                    </a:prstGeom>
                    <a:noFill/>
                    <a:ln>
                      <a:noFill/>
                    </a:ln>
                  </pic:spPr>
                </pic:pic>
              </a:graphicData>
            </a:graphic>
          </wp:inline>
        </w:drawing>
      </w:r>
    </w:p>
    <w:p w:rsidR="009F1A75" w:rsidRDefault="009F1A75" w:rsidP="00AD632A">
      <w:pPr>
        <w:ind w:firstLine="0"/>
        <w:jc w:val="center"/>
        <w:rPr>
          <w:noProof/>
          <w:sz w:val="22"/>
          <w:lang w:eastAsia="en-GB"/>
        </w:rPr>
      </w:pPr>
    </w:p>
    <w:p w:rsidR="009F1A75" w:rsidRDefault="009F1A75" w:rsidP="00AD632A">
      <w:pPr>
        <w:ind w:firstLine="0"/>
        <w:jc w:val="center"/>
        <w:rPr>
          <w:noProof/>
          <w:sz w:val="22"/>
          <w:lang w:eastAsia="en-GB"/>
        </w:rPr>
      </w:pPr>
      <w:r>
        <w:rPr>
          <w:noProof/>
          <w:sz w:val="22"/>
          <w:lang w:eastAsia="en-GB"/>
        </w:rPr>
        <w:t>Figure 10</w:t>
      </w:r>
      <w:r w:rsidR="00AD632A">
        <w:rPr>
          <w:noProof/>
          <w:sz w:val="22"/>
          <w:lang w:eastAsia="en-GB"/>
        </w:rPr>
        <w:t xml:space="preserve">. </w:t>
      </w:r>
      <w:r w:rsidRPr="00317A92">
        <w:rPr>
          <w:noProof/>
          <w:sz w:val="22"/>
          <w:lang w:eastAsia="en-GB"/>
        </w:rPr>
        <w:t>CO</w:t>
      </w:r>
      <w:r w:rsidRPr="00317A92">
        <w:rPr>
          <w:noProof/>
          <w:sz w:val="22"/>
          <w:vertAlign w:val="subscript"/>
          <w:lang w:eastAsia="en-GB"/>
        </w:rPr>
        <w:t>2</w:t>
      </w:r>
      <w:r w:rsidRPr="00317A92">
        <w:rPr>
          <w:noProof/>
          <w:sz w:val="22"/>
          <w:lang w:eastAsia="en-GB"/>
        </w:rPr>
        <w:t xml:space="preserve"> emissions/sequestration rates from energy consumption in agriculture and </w:t>
      </w:r>
      <w:r w:rsidR="00AD632A">
        <w:rPr>
          <w:noProof/>
          <w:sz w:val="22"/>
          <w:lang w:eastAsia="en-GB"/>
        </w:rPr>
        <w:br/>
      </w:r>
      <w:r w:rsidRPr="00317A92">
        <w:rPr>
          <w:noProof/>
          <w:sz w:val="22"/>
          <w:lang w:eastAsia="en-GB"/>
        </w:rPr>
        <w:t>land use dynamics</w:t>
      </w:r>
    </w:p>
    <w:p w:rsidR="009F1A75" w:rsidRPr="00317A92" w:rsidRDefault="009F1A75" w:rsidP="00AD632A">
      <w:pPr>
        <w:ind w:firstLine="0"/>
        <w:jc w:val="center"/>
        <w:rPr>
          <w:noProof/>
          <w:sz w:val="22"/>
          <w:lang w:eastAsia="en-GB"/>
        </w:rPr>
      </w:pPr>
    </w:p>
    <w:p w:rsidR="009F1A75" w:rsidRDefault="009F1A75" w:rsidP="009F1A75">
      <w:r>
        <w:t>If compared, emissions due to agricultural energy use are insignificant compared to em</w:t>
      </w:r>
      <w:r w:rsidR="00321E1F">
        <w:t xml:space="preserve">issions due to land use change. </w:t>
      </w:r>
      <w:r>
        <w:t xml:space="preserve">The largest emissions arise from above ground biomass and SOC pools removal due to deforestation, while the largest sequestration rates come from SOC pools turning land into pasture land. Results also demonstrate that by 2050, the carbon pool from forest could be reduced by almost 20%, mainly due to deforestation, but with high increases in the biomass carbon pools due to large bioenergy developments. </w:t>
      </w:r>
    </w:p>
    <w:p w:rsidR="009F1A75" w:rsidRDefault="009F1A75" w:rsidP="009F1A75">
      <w:r>
        <w:t>For 2DS</w:t>
      </w:r>
      <w:r w:rsidR="00321E1F">
        <w:t xml:space="preserve"> </w:t>
      </w:r>
      <w:r>
        <w:t>+</w:t>
      </w:r>
      <w:r w:rsidR="00321E1F">
        <w:t xml:space="preserve"> </w:t>
      </w:r>
      <w:r>
        <w:t xml:space="preserve">SugC, modelling results project a net release rate of about </w:t>
      </w:r>
      <w:r w:rsidR="00321E1F">
        <w:br/>
      </w:r>
      <w:r>
        <w:t>608 Mt</w:t>
      </w:r>
      <w:r w:rsidR="00321E1F">
        <w:t xml:space="preserve"> </w:t>
      </w:r>
      <w:r>
        <w:t>CO</w:t>
      </w:r>
      <w:r>
        <w:rPr>
          <w:vertAlign w:val="subscript"/>
        </w:rPr>
        <w:t>2</w:t>
      </w:r>
      <w:r>
        <w:t xml:space="preserve"> year</w:t>
      </w:r>
      <w:r w:rsidR="00321E1F">
        <w:rPr>
          <w:vertAlign w:val="superscript"/>
        </w:rPr>
        <w:t>−</w:t>
      </w:r>
      <w:r w:rsidRPr="00272287">
        <w:rPr>
          <w:vertAlign w:val="superscript"/>
        </w:rPr>
        <w:t>1</w:t>
      </w:r>
      <w:r>
        <w:t xml:space="preserve"> in 2015 slowing to 344 Mt</w:t>
      </w:r>
      <w:r w:rsidR="00321E1F">
        <w:t xml:space="preserve"> </w:t>
      </w:r>
      <w:r>
        <w:t>CO</w:t>
      </w:r>
      <w:r>
        <w:rPr>
          <w:vertAlign w:val="subscript"/>
        </w:rPr>
        <w:t>2</w:t>
      </w:r>
      <w:r>
        <w:t xml:space="preserve"> year</w:t>
      </w:r>
      <w:r w:rsidR="00321E1F">
        <w:rPr>
          <w:rStyle w:val="apple-converted-space"/>
          <w:vertAlign w:val="superscript"/>
        </w:rPr>
        <w:t>−</w:t>
      </w:r>
      <w:r w:rsidRPr="00272287">
        <w:rPr>
          <w:rStyle w:val="apple-converted-space"/>
          <w:vertAlign w:val="superscript"/>
        </w:rPr>
        <w:t>1</w:t>
      </w:r>
      <w:r w:rsidR="00321E1F">
        <w:t xml:space="preserve"> in 2050. </w:t>
      </w:r>
      <w:r>
        <w:t>By the end of the modelling period, 2DS</w:t>
      </w:r>
      <w:r w:rsidR="00321E1F">
        <w:t xml:space="preserve"> </w:t>
      </w:r>
      <w:r>
        <w:t>+</w:t>
      </w:r>
      <w:r w:rsidR="00321E1F">
        <w:t xml:space="preserve"> </w:t>
      </w:r>
      <w:r>
        <w:t>SugC would have released to the atmosphere 5.1% of the actual Brazilian land carbon stock (16.0 Gt</w:t>
      </w:r>
      <w:r w:rsidR="00321E1F">
        <w:t xml:space="preserve"> </w:t>
      </w:r>
      <w:r>
        <w:t>CO</w:t>
      </w:r>
      <w:r>
        <w:rPr>
          <w:vertAlign w:val="subscript"/>
        </w:rPr>
        <w:t>2</w:t>
      </w:r>
      <w:r w:rsidR="00321E1F">
        <w:t>).</w:t>
      </w:r>
      <w:r>
        <w:t xml:space="preserve"> </w:t>
      </w:r>
    </w:p>
    <w:p w:rsidR="009F1A75" w:rsidRPr="0044182E" w:rsidRDefault="009F1A75" w:rsidP="009F1A75">
      <w:r>
        <w:t>For 2DS</w:t>
      </w:r>
      <w:r w:rsidR="00321E1F">
        <w:t xml:space="preserve"> </w:t>
      </w:r>
      <w:r>
        <w:t>+</w:t>
      </w:r>
      <w:r w:rsidR="00321E1F">
        <w:t xml:space="preserve"> </w:t>
      </w:r>
      <w:r>
        <w:t>NG emissions rates have been found at 580 Mt</w:t>
      </w:r>
      <w:r w:rsidR="00321E1F">
        <w:t xml:space="preserve"> </w:t>
      </w:r>
      <w:r>
        <w:t>CO</w:t>
      </w:r>
      <w:r>
        <w:rPr>
          <w:vertAlign w:val="subscript"/>
        </w:rPr>
        <w:t>2</w:t>
      </w:r>
      <w:r>
        <w:t xml:space="preserve"> year</w:t>
      </w:r>
      <w:r w:rsidR="00321E1F">
        <w:rPr>
          <w:vertAlign w:val="superscript"/>
        </w:rPr>
        <w:t>−</w:t>
      </w:r>
      <w:r w:rsidRPr="00272287">
        <w:rPr>
          <w:vertAlign w:val="superscript"/>
        </w:rPr>
        <w:t>1</w:t>
      </w:r>
      <w:r>
        <w:t xml:space="preserve"> in 2015 and reduced to 96 Mt</w:t>
      </w:r>
      <w:r w:rsidR="00321E1F">
        <w:t xml:space="preserve"> </w:t>
      </w:r>
      <w:r>
        <w:t>CO</w:t>
      </w:r>
      <w:r>
        <w:rPr>
          <w:vertAlign w:val="subscript"/>
        </w:rPr>
        <w:t>2</w:t>
      </w:r>
      <w:r>
        <w:t xml:space="preserve"> year</w:t>
      </w:r>
      <w:r w:rsidR="00321E1F">
        <w:rPr>
          <w:vertAlign w:val="superscript"/>
        </w:rPr>
        <w:t>−</w:t>
      </w:r>
      <w:r w:rsidRPr="00272287">
        <w:rPr>
          <w:vertAlign w:val="superscript"/>
        </w:rPr>
        <w:t>1</w:t>
      </w:r>
      <w:r>
        <w:t xml:space="preserve"> in 2050. By 2050, 2DS</w:t>
      </w:r>
      <w:r w:rsidR="00321E1F">
        <w:t xml:space="preserve"> </w:t>
      </w:r>
      <w:r>
        <w:t>+</w:t>
      </w:r>
      <w:r w:rsidR="00321E1F">
        <w:t xml:space="preserve"> </w:t>
      </w:r>
      <w:r>
        <w:t>NG would have released 4.1% of the current Brazilian land carbon stock (12.8 Gt</w:t>
      </w:r>
      <w:r w:rsidR="00321E1F">
        <w:t xml:space="preserve"> </w:t>
      </w:r>
      <w:r>
        <w:t>CO</w:t>
      </w:r>
      <w:r>
        <w:rPr>
          <w:vertAlign w:val="subscript"/>
        </w:rPr>
        <w:t>2</w:t>
      </w:r>
      <w:r>
        <w:t>). At the end of the modelling period, emissions’ rates are lower for the natural gas expansion scenario due to lowe</w:t>
      </w:r>
      <w:r w:rsidR="00321E1F">
        <w:t xml:space="preserve">r forest land </w:t>
      </w:r>
      <w:r w:rsidR="00321E1F">
        <w:lastRenderedPageBreak/>
        <w:t xml:space="preserve">conversion rates. Consequently, </w:t>
      </w:r>
      <w:r>
        <w:t>there is a more evident declining rate in carbon emissions, as less sugarcane lands are necessary and natural gas has a more import</w:t>
      </w:r>
      <w:r w:rsidR="00321E1F">
        <w:t xml:space="preserve">ant share in the energy system. </w:t>
      </w:r>
      <w:r>
        <w:t>It is important to mention that by having a much smaller bioenergy industry in 2DS</w:t>
      </w:r>
      <w:r w:rsidR="00321E1F">
        <w:t xml:space="preserve"> </w:t>
      </w:r>
      <w:r>
        <w:t>+</w:t>
      </w:r>
      <w:r w:rsidR="00321E1F">
        <w:t xml:space="preserve"> </w:t>
      </w:r>
      <w:r>
        <w:t>NG, the lower sectoral emissions compared to 2DS</w:t>
      </w:r>
      <w:r w:rsidR="00321E1F">
        <w:t xml:space="preserve"> </w:t>
      </w:r>
      <w:r>
        <w:t>+</w:t>
      </w:r>
      <w:r w:rsidR="00321E1F">
        <w:t xml:space="preserve"> </w:t>
      </w:r>
      <w:r>
        <w:t>SugC can be explained. If emissions from natural gas production, transportation and utilisation were to be considered, 2DS</w:t>
      </w:r>
      <w:r w:rsidR="00321E1F">
        <w:t xml:space="preserve"> </w:t>
      </w:r>
      <w:r>
        <w:t>+</w:t>
      </w:r>
      <w:r w:rsidR="00321E1F">
        <w:t xml:space="preserve"> NG would present higher values, </w:t>
      </w:r>
      <w:r>
        <w:t xml:space="preserve">however, this is out of the scope of this study as it is modelled in other modules in the MUSE framework. </w:t>
      </w:r>
    </w:p>
    <w:p w:rsidR="009F1A75" w:rsidRPr="00321E1F" w:rsidRDefault="009F1A75" w:rsidP="00321E1F">
      <w:pPr>
        <w:pStyle w:val="Heading3"/>
      </w:pPr>
      <w:r w:rsidRPr="00321E1F">
        <w:t>Country-level energy use and emissions</w:t>
      </w:r>
    </w:p>
    <w:p w:rsidR="009F1A75" w:rsidRDefault="009F1A75" w:rsidP="009F1A75">
      <w:r>
        <w:t>Figure 11 illustrates the projected primary energy supply for both scenarios. The main differences are defined by the contrasting share of bioenergy, natural gas and renewable energy sources. For instance, in the 2DS</w:t>
      </w:r>
      <w:r w:rsidR="009F3028">
        <w:t xml:space="preserve"> </w:t>
      </w:r>
      <w:r>
        <w:t>+</w:t>
      </w:r>
      <w:r w:rsidR="009F3028">
        <w:t xml:space="preserve"> </w:t>
      </w:r>
      <w:r>
        <w:t>SugC, bioenergy (considering both sugarcane and firewood/charcoal) would grow from 4,910 PJ year</w:t>
      </w:r>
      <w:r w:rsidR="009F3028">
        <w:rPr>
          <w:vertAlign w:val="superscript"/>
        </w:rPr>
        <w:t>−</w:t>
      </w:r>
      <w:r w:rsidRPr="00357BB4">
        <w:rPr>
          <w:vertAlign w:val="superscript"/>
        </w:rPr>
        <w:t>1</w:t>
      </w:r>
      <w:r>
        <w:t xml:space="preserve"> in 2015 to 9,843 PJ year</w:t>
      </w:r>
      <w:r w:rsidR="009F3028">
        <w:rPr>
          <w:vertAlign w:val="superscript"/>
        </w:rPr>
        <w:t>−</w:t>
      </w:r>
      <w:r w:rsidRPr="00357BB4">
        <w:rPr>
          <w:vertAlign w:val="superscript"/>
        </w:rPr>
        <w:t>1</w:t>
      </w:r>
      <w:r>
        <w:t xml:space="preserve"> by 2050. This would results in a share increase of bioenergy in the energy matrix from current 25% to about 49%. On the other hand, in this scenario natural gas is expected to decrease its share from 12% in 2015 to 8% in 2050, with an annual demand of </w:t>
      </w:r>
      <w:r w:rsidR="009F3028">
        <w:br/>
      </w:r>
      <w:r>
        <w:t>1,586 PJ year</w:t>
      </w:r>
      <w:r w:rsidR="009F3028">
        <w:rPr>
          <w:vertAlign w:val="superscript"/>
        </w:rPr>
        <w:t>−</w:t>
      </w:r>
      <w:r w:rsidRPr="00357BB4">
        <w:rPr>
          <w:vertAlign w:val="superscript"/>
        </w:rPr>
        <w:t>1</w:t>
      </w:r>
      <w:r>
        <w:t>. For the 2DS</w:t>
      </w:r>
      <w:r w:rsidR="009F3028">
        <w:t xml:space="preserve"> </w:t>
      </w:r>
      <w:r>
        <w:t>+</w:t>
      </w:r>
      <w:r w:rsidR="009F3028">
        <w:t xml:space="preserve"> </w:t>
      </w:r>
      <w:r>
        <w:t>NG scenario, bioenergy would increase at a lower rate, reaching 7,242 PJ year</w:t>
      </w:r>
      <w:r w:rsidR="009F3028">
        <w:rPr>
          <w:vertAlign w:val="superscript"/>
        </w:rPr>
        <w:t>−</w:t>
      </w:r>
      <w:r w:rsidRPr="00357BB4">
        <w:rPr>
          <w:vertAlign w:val="superscript"/>
        </w:rPr>
        <w:t>1</w:t>
      </w:r>
      <w:r>
        <w:t xml:space="preserve"> in 2050, representing 36% of the country’s primary energy supply. However, natural gas demand would experience almost a four-fold increase, from 1,380 PJ year</w:t>
      </w:r>
      <w:r w:rsidR="009F3028">
        <w:rPr>
          <w:vertAlign w:val="superscript"/>
        </w:rPr>
        <w:t>−</w:t>
      </w:r>
      <w:r w:rsidRPr="00357BB4">
        <w:rPr>
          <w:vertAlign w:val="superscript"/>
        </w:rPr>
        <w:t>1</w:t>
      </w:r>
      <w:r>
        <w:t xml:space="preserve"> in 2015 to 4,187 PJ year</w:t>
      </w:r>
      <w:r w:rsidR="009F3028">
        <w:rPr>
          <w:vertAlign w:val="superscript"/>
        </w:rPr>
        <w:t>−</w:t>
      </w:r>
      <w:r w:rsidRPr="00357BB4">
        <w:rPr>
          <w:vertAlign w:val="superscript"/>
        </w:rPr>
        <w:t>1</w:t>
      </w:r>
      <w:r>
        <w:t xml:space="preserve"> in 2050, increasing its share in the energy matrix from 12% to 21%. One important difference between scenarios is the share of “other renewable” energy, mainly represented by solar and wind. As it is expected that the 2DS</w:t>
      </w:r>
      <w:r w:rsidR="009F3028">
        <w:t xml:space="preserve"> </w:t>
      </w:r>
      <w:r>
        <w:t>+</w:t>
      </w:r>
      <w:r w:rsidR="009F3028">
        <w:t xml:space="preserve"> </w:t>
      </w:r>
      <w:r>
        <w:t>SugC would have larger emissions from land use, this scenario would require a larger share of clean energy sources to lower its energy-related emissions. As illustrated (Figure 11), by 2050 energy-related emission from the 2DS</w:t>
      </w:r>
      <w:r w:rsidR="009F3028">
        <w:t xml:space="preserve"> </w:t>
      </w:r>
      <w:r>
        <w:t>+</w:t>
      </w:r>
      <w:r w:rsidR="009F3028">
        <w:t xml:space="preserve"> </w:t>
      </w:r>
      <w:r>
        <w:t>SugC (0.47 Gt</w:t>
      </w:r>
      <w:r w:rsidR="009F3028">
        <w:t xml:space="preserve"> </w:t>
      </w:r>
      <w:r>
        <w:t>CO</w:t>
      </w:r>
      <w:r w:rsidRPr="00357BB4">
        <w:rPr>
          <w:vertAlign w:val="subscript"/>
        </w:rPr>
        <w:t>2</w:t>
      </w:r>
      <w:r>
        <w:t xml:space="preserve"> year</w:t>
      </w:r>
      <w:r w:rsidR="009F3028">
        <w:rPr>
          <w:vertAlign w:val="superscript"/>
        </w:rPr>
        <w:t>−</w:t>
      </w:r>
      <w:r w:rsidRPr="00357BB4">
        <w:rPr>
          <w:vertAlign w:val="superscript"/>
        </w:rPr>
        <w:t>1</w:t>
      </w:r>
      <w:r>
        <w:t>) would be 32% lower compared to those from the 2DS</w:t>
      </w:r>
      <w:r w:rsidR="009F3028">
        <w:t xml:space="preserve"> </w:t>
      </w:r>
      <w:r>
        <w:t>+</w:t>
      </w:r>
      <w:r w:rsidR="009F3028">
        <w:t xml:space="preserve"> </w:t>
      </w:r>
      <w:r>
        <w:t>NG (0.62 Gt</w:t>
      </w:r>
      <w:r w:rsidR="009F3028">
        <w:t xml:space="preserve"> </w:t>
      </w:r>
      <w:r>
        <w:t>CO</w:t>
      </w:r>
      <w:r w:rsidRPr="00357BB4">
        <w:rPr>
          <w:vertAlign w:val="subscript"/>
        </w:rPr>
        <w:t>2</w:t>
      </w:r>
      <w:r>
        <w:t xml:space="preserve"> year</w:t>
      </w:r>
      <w:r w:rsidR="009F3028">
        <w:rPr>
          <w:vertAlign w:val="superscript"/>
        </w:rPr>
        <w:t>−</w:t>
      </w:r>
      <w:r w:rsidRPr="00357BB4">
        <w:rPr>
          <w:vertAlign w:val="superscript"/>
        </w:rPr>
        <w:t>1</w:t>
      </w:r>
      <w:r>
        <w:t xml:space="preserve">). In both scenarios, the combined share of coal and oil would be reduced from 55% in 2015 to 25% by 2050, with almost a complete retirement of coal from the energy matrix.  </w:t>
      </w:r>
    </w:p>
    <w:p w:rsidR="009F1A75" w:rsidRPr="009F3028" w:rsidRDefault="009F1A75" w:rsidP="009F3028">
      <w:pPr>
        <w:ind w:firstLine="0"/>
        <w:jc w:val="center"/>
        <w:rPr>
          <w:sz w:val="22"/>
        </w:rPr>
      </w:pPr>
    </w:p>
    <w:p w:rsidR="009F1A75" w:rsidRDefault="004267D6" w:rsidP="00B651A1">
      <w:pPr>
        <w:ind w:firstLine="0"/>
        <w:jc w:val="center"/>
        <w:rPr>
          <w:noProof/>
          <w:lang w:eastAsia="en-GB"/>
        </w:rPr>
      </w:pPr>
      <w:r>
        <w:rPr>
          <w:noProof/>
          <w:lang w:val="hr-HR" w:eastAsia="hr-HR"/>
        </w:rPr>
        <w:drawing>
          <wp:inline distT="0" distB="0" distL="0" distR="0" wp14:anchorId="13AEAFFB" wp14:editId="2FA1F63E">
            <wp:extent cx="4876800" cy="2174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9217" cy="2179781"/>
                    </a:xfrm>
                    <a:prstGeom prst="rect">
                      <a:avLst/>
                    </a:prstGeom>
                    <a:noFill/>
                    <a:ln>
                      <a:noFill/>
                    </a:ln>
                  </pic:spPr>
                </pic:pic>
              </a:graphicData>
            </a:graphic>
          </wp:inline>
        </w:drawing>
      </w:r>
    </w:p>
    <w:p w:rsidR="009F3028" w:rsidRDefault="009F3028" w:rsidP="009F3028">
      <w:pPr>
        <w:ind w:firstLine="0"/>
        <w:jc w:val="center"/>
        <w:rPr>
          <w:noProof/>
          <w:sz w:val="22"/>
          <w:lang w:eastAsia="en-GB"/>
        </w:rPr>
      </w:pPr>
    </w:p>
    <w:p w:rsidR="009F1A75" w:rsidRDefault="009F1A75" w:rsidP="009F3028">
      <w:pPr>
        <w:ind w:firstLine="0"/>
        <w:jc w:val="center"/>
        <w:rPr>
          <w:noProof/>
          <w:sz w:val="22"/>
          <w:lang w:eastAsia="en-GB"/>
        </w:rPr>
      </w:pPr>
      <w:r>
        <w:rPr>
          <w:noProof/>
          <w:sz w:val="22"/>
          <w:lang w:eastAsia="en-GB"/>
        </w:rPr>
        <w:t>Figure 11</w:t>
      </w:r>
      <w:r w:rsidR="009F3028">
        <w:rPr>
          <w:noProof/>
          <w:sz w:val="22"/>
          <w:lang w:eastAsia="en-GB"/>
        </w:rPr>
        <w:t xml:space="preserve">. </w:t>
      </w:r>
      <w:r>
        <w:rPr>
          <w:noProof/>
          <w:sz w:val="22"/>
          <w:lang w:eastAsia="en-GB"/>
        </w:rPr>
        <w:t>Brazil’s primary energy supply for both analysed scenarios</w:t>
      </w:r>
    </w:p>
    <w:p w:rsidR="009F1A75" w:rsidRPr="009F3028" w:rsidRDefault="009F1A75" w:rsidP="009F3028">
      <w:pPr>
        <w:ind w:firstLine="0"/>
        <w:jc w:val="center"/>
        <w:rPr>
          <w:noProof/>
          <w:sz w:val="22"/>
          <w:lang w:eastAsia="en-GB"/>
        </w:rPr>
      </w:pPr>
    </w:p>
    <w:p w:rsidR="009F1A75" w:rsidRDefault="001E28B3" w:rsidP="009F1A75">
      <w:pPr>
        <w:rPr>
          <w:noProof/>
          <w:lang w:eastAsia="en-GB"/>
        </w:rPr>
      </w:pPr>
      <w:r>
        <w:rPr>
          <w:noProof/>
          <w:lang w:eastAsia="en-GB"/>
        </w:rPr>
        <w:t xml:space="preserve">Finally, </w:t>
      </w:r>
      <w:r w:rsidR="009F1A75">
        <w:rPr>
          <w:noProof/>
          <w:lang w:eastAsia="en-GB"/>
        </w:rPr>
        <w:t xml:space="preserve">Figure 12 illustrates the aggregated GHG </w:t>
      </w:r>
      <w:r>
        <w:rPr>
          <w:noProof/>
          <w:lang w:eastAsia="en-GB"/>
        </w:rPr>
        <w:t>emmissions separated by source [</w:t>
      </w:r>
      <w:r w:rsidR="009F1A75">
        <w:rPr>
          <w:noProof/>
          <w:lang w:eastAsia="en-GB"/>
        </w:rPr>
        <w:t>energy, agriculture (non-CO</w:t>
      </w:r>
      <w:r w:rsidR="009F1A75" w:rsidRPr="00C55BED">
        <w:rPr>
          <w:noProof/>
          <w:vertAlign w:val="subscript"/>
          <w:lang w:eastAsia="en-GB"/>
        </w:rPr>
        <w:t>2</w:t>
      </w:r>
      <w:r>
        <w:rPr>
          <w:noProof/>
          <w:lang w:eastAsia="en-GB"/>
        </w:rPr>
        <w:t>) and land use]</w:t>
      </w:r>
      <w:r w:rsidR="009F1A75">
        <w:rPr>
          <w:noProof/>
          <w:lang w:eastAsia="en-GB"/>
        </w:rPr>
        <w:t>. As aforementioned, the higher agricultural activity in the 2DS</w:t>
      </w:r>
      <w:r>
        <w:rPr>
          <w:noProof/>
          <w:lang w:eastAsia="en-GB"/>
        </w:rPr>
        <w:t xml:space="preserve"> </w:t>
      </w:r>
      <w:r w:rsidR="009F1A75">
        <w:rPr>
          <w:noProof/>
          <w:lang w:eastAsia="en-GB"/>
        </w:rPr>
        <w:t>+</w:t>
      </w:r>
      <w:r>
        <w:rPr>
          <w:noProof/>
          <w:lang w:eastAsia="en-GB"/>
        </w:rPr>
        <w:t xml:space="preserve"> </w:t>
      </w:r>
      <w:r w:rsidR="009F1A75">
        <w:rPr>
          <w:noProof/>
          <w:lang w:eastAsia="en-GB"/>
        </w:rPr>
        <w:t xml:space="preserve">SugC causes higher emissions from land use and agriculture. </w:t>
      </w:r>
      <w:r>
        <w:rPr>
          <w:noProof/>
          <w:lang w:eastAsia="en-GB"/>
        </w:rPr>
        <w:br/>
      </w:r>
      <w:r w:rsidR="009F1A75">
        <w:rPr>
          <w:noProof/>
          <w:lang w:eastAsia="en-GB"/>
        </w:rPr>
        <w:t>Only considering energy and land use emmisions, the 2DS</w:t>
      </w:r>
      <w:r>
        <w:rPr>
          <w:noProof/>
          <w:lang w:eastAsia="en-GB"/>
        </w:rPr>
        <w:t xml:space="preserve"> </w:t>
      </w:r>
      <w:r w:rsidR="009F1A75">
        <w:rPr>
          <w:noProof/>
          <w:lang w:eastAsia="en-GB"/>
        </w:rPr>
        <w:t>+</w:t>
      </w:r>
      <w:r>
        <w:rPr>
          <w:noProof/>
          <w:lang w:eastAsia="en-GB"/>
        </w:rPr>
        <w:t xml:space="preserve"> </w:t>
      </w:r>
      <w:r w:rsidR="009F1A75">
        <w:rPr>
          <w:noProof/>
          <w:lang w:eastAsia="en-GB"/>
        </w:rPr>
        <w:t>SugC depletes 38.8 Gt</w:t>
      </w:r>
      <w:r>
        <w:rPr>
          <w:noProof/>
          <w:lang w:eastAsia="en-GB"/>
        </w:rPr>
        <w:t xml:space="preserve"> </w:t>
      </w:r>
      <w:r w:rsidR="009F1A75">
        <w:rPr>
          <w:noProof/>
          <w:lang w:eastAsia="en-GB"/>
        </w:rPr>
        <w:t>CO</w:t>
      </w:r>
      <w:r w:rsidR="009F1A75" w:rsidRPr="00C55BED">
        <w:rPr>
          <w:noProof/>
          <w:vertAlign w:val="subscript"/>
          <w:lang w:eastAsia="en-GB"/>
        </w:rPr>
        <w:t>2</w:t>
      </w:r>
      <w:r w:rsidR="009F1A75">
        <w:rPr>
          <w:noProof/>
          <w:lang w:eastAsia="en-GB"/>
        </w:rPr>
        <w:t xml:space="preserve"> between 2015 and 2050, while for the 2DS</w:t>
      </w:r>
      <w:r>
        <w:rPr>
          <w:noProof/>
          <w:lang w:eastAsia="en-GB"/>
        </w:rPr>
        <w:t xml:space="preserve"> </w:t>
      </w:r>
      <w:r w:rsidR="009F1A75">
        <w:rPr>
          <w:noProof/>
          <w:lang w:eastAsia="en-GB"/>
        </w:rPr>
        <w:t>+</w:t>
      </w:r>
      <w:r>
        <w:rPr>
          <w:noProof/>
          <w:lang w:eastAsia="en-GB"/>
        </w:rPr>
        <w:t xml:space="preserve"> </w:t>
      </w:r>
      <w:r w:rsidR="009F1A75">
        <w:rPr>
          <w:noProof/>
          <w:lang w:eastAsia="en-GB"/>
        </w:rPr>
        <w:t>NG this value is around at 36.8 Gt</w:t>
      </w:r>
      <w:r>
        <w:rPr>
          <w:noProof/>
          <w:lang w:eastAsia="en-GB"/>
        </w:rPr>
        <w:t xml:space="preserve"> </w:t>
      </w:r>
      <w:r w:rsidR="009F1A75">
        <w:rPr>
          <w:noProof/>
          <w:lang w:eastAsia="en-GB"/>
        </w:rPr>
        <w:t>CO</w:t>
      </w:r>
      <w:r w:rsidR="009F1A75" w:rsidRPr="00C55BED">
        <w:rPr>
          <w:noProof/>
          <w:vertAlign w:val="subscript"/>
          <w:lang w:eastAsia="en-GB"/>
        </w:rPr>
        <w:t>2</w:t>
      </w:r>
      <w:r w:rsidR="009F1A75">
        <w:rPr>
          <w:noProof/>
          <w:lang w:eastAsia="en-GB"/>
        </w:rPr>
        <w:t xml:space="preserve">. </w:t>
      </w:r>
      <w:r>
        <w:rPr>
          <w:noProof/>
          <w:lang w:eastAsia="en-GB"/>
        </w:rPr>
        <w:br/>
      </w:r>
      <w:r w:rsidR="009F1A75">
        <w:rPr>
          <w:noProof/>
          <w:lang w:eastAsia="en-GB"/>
        </w:rPr>
        <w:t>By reducing land use emissions in the 2DS</w:t>
      </w:r>
      <w:r>
        <w:rPr>
          <w:noProof/>
          <w:lang w:eastAsia="en-GB"/>
        </w:rPr>
        <w:t xml:space="preserve"> </w:t>
      </w:r>
      <w:r w:rsidR="009F1A75">
        <w:rPr>
          <w:noProof/>
          <w:lang w:eastAsia="en-GB"/>
        </w:rPr>
        <w:t>+</w:t>
      </w:r>
      <w:r>
        <w:rPr>
          <w:noProof/>
          <w:lang w:eastAsia="en-GB"/>
        </w:rPr>
        <w:t xml:space="preserve"> </w:t>
      </w:r>
      <w:r w:rsidR="009F1A75">
        <w:rPr>
          <w:noProof/>
          <w:lang w:eastAsia="en-GB"/>
        </w:rPr>
        <w:t>NG by 2050, the total country’s emissions rate are found to be 6% lower compared to the 2DS</w:t>
      </w:r>
      <w:r>
        <w:rPr>
          <w:noProof/>
          <w:lang w:eastAsia="en-GB"/>
        </w:rPr>
        <w:t xml:space="preserve"> </w:t>
      </w:r>
      <w:r w:rsidR="009F1A75">
        <w:rPr>
          <w:noProof/>
          <w:lang w:eastAsia="en-GB"/>
        </w:rPr>
        <w:t>+</w:t>
      </w:r>
      <w:r>
        <w:rPr>
          <w:noProof/>
          <w:lang w:eastAsia="en-GB"/>
        </w:rPr>
        <w:t xml:space="preserve"> </w:t>
      </w:r>
      <w:r w:rsidR="009F1A75">
        <w:rPr>
          <w:noProof/>
          <w:lang w:eastAsia="en-GB"/>
        </w:rPr>
        <w:t>SugC (1.36 vs</w:t>
      </w:r>
      <w:r w:rsidR="003A7F24">
        <w:rPr>
          <w:noProof/>
          <w:lang w:eastAsia="en-GB"/>
        </w:rPr>
        <w:t>.</w:t>
      </w:r>
      <w:r w:rsidR="009F1A75">
        <w:rPr>
          <w:noProof/>
          <w:lang w:eastAsia="en-GB"/>
        </w:rPr>
        <w:t xml:space="preserve"> 1.45 Gt</w:t>
      </w:r>
      <w:r>
        <w:rPr>
          <w:noProof/>
          <w:lang w:eastAsia="en-GB"/>
        </w:rPr>
        <w:t xml:space="preserve"> </w:t>
      </w:r>
      <w:r w:rsidR="009F1A75">
        <w:rPr>
          <w:noProof/>
          <w:lang w:eastAsia="en-GB"/>
        </w:rPr>
        <w:t>CO</w:t>
      </w:r>
      <w:r w:rsidR="009F1A75" w:rsidRPr="0044182E">
        <w:rPr>
          <w:noProof/>
          <w:vertAlign w:val="subscript"/>
          <w:lang w:eastAsia="en-GB"/>
        </w:rPr>
        <w:t>2</w:t>
      </w:r>
      <w:r w:rsidR="009F1A75">
        <w:rPr>
          <w:noProof/>
          <w:lang w:eastAsia="en-GB"/>
        </w:rPr>
        <w:t xml:space="preserve"> year</w:t>
      </w:r>
      <w:r>
        <w:rPr>
          <w:noProof/>
          <w:vertAlign w:val="superscript"/>
          <w:lang w:eastAsia="en-GB"/>
        </w:rPr>
        <w:t>−</w:t>
      </w:r>
      <w:r w:rsidR="009F1A75" w:rsidRPr="00C55BED">
        <w:rPr>
          <w:noProof/>
          <w:vertAlign w:val="superscript"/>
          <w:lang w:eastAsia="en-GB"/>
        </w:rPr>
        <w:t>1</w:t>
      </w:r>
      <w:r w:rsidR="009F1A75">
        <w:rPr>
          <w:noProof/>
          <w:lang w:eastAsia="en-GB"/>
        </w:rPr>
        <w:t>).</w:t>
      </w:r>
    </w:p>
    <w:p w:rsidR="009F1A75" w:rsidRDefault="004267D6" w:rsidP="00B651A1">
      <w:pPr>
        <w:ind w:firstLine="0"/>
        <w:jc w:val="center"/>
      </w:pPr>
      <w:r>
        <w:rPr>
          <w:noProof/>
          <w:lang w:val="hr-HR" w:eastAsia="hr-HR"/>
        </w:rPr>
        <w:lastRenderedPageBreak/>
        <w:drawing>
          <wp:inline distT="0" distB="0" distL="0" distR="0" wp14:anchorId="299EC357" wp14:editId="4AB8AFCE">
            <wp:extent cx="4560125" cy="20462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45"/>
                    <a:stretch/>
                  </pic:blipFill>
                  <pic:spPr bwMode="auto">
                    <a:xfrm>
                      <a:off x="0" y="0"/>
                      <a:ext cx="4589071" cy="2059245"/>
                    </a:xfrm>
                    <a:prstGeom prst="rect">
                      <a:avLst/>
                    </a:prstGeom>
                    <a:noFill/>
                    <a:ln>
                      <a:noFill/>
                    </a:ln>
                    <a:extLst>
                      <a:ext uri="{53640926-AAD7-44D8-BBD7-CCE9431645EC}">
                        <a14:shadowObscured xmlns:a14="http://schemas.microsoft.com/office/drawing/2010/main"/>
                      </a:ext>
                    </a:extLst>
                  </pic:spPr>
                </pic:pic>
              </a:graphicData>
            </a:graphic>
          </wp:inline>
        </w:drawing>
      </w:r>
    </w:p>
    <w:p w:rsidR="00B651A1" w:rsidRDefault="00B651A1" w:rsidP="003A7F24">
      <w:pPr>
        <w:ind w:firstLine="0"/>
        <w:jc w:val="center"/>
        <w:rPr>
          <w:noProof/>
          <w:sz w:val="22"/>
          <w:lang w:eastAsia="en-GB"/>
        </w:rPr>
      </w:pPr>
    </w:p>
    <w:p w:rsidR="009F1A75" w:rsidRDefault="009F1A75" w:rsidP="003A7F24">
      <w:pPr>
        <w:ind w:firstLine="0"/>
        <w:jc w:val="center"/>
        <w:rPr>
          <w:noProof/>
          <w:sz w:val="22"/>
          <w:lang w:eastAsia="en-GB"/>
        </w:rPr>
      </w:pPr>
      <w:r>
        <w:rPr>
          <w:noProof/>
          <w:sz w:val="22"/>
          <w:lang w:eastAsia="en-GB"/>
        </w:rPr>
        <w:t>Figure 12</w:t>
      </w:r>
      <w:r w:rsidR="003A7F24">
        <w:rPr>
          <w:noProof/>
          <w:sz w:val="22"/>
          <w:lang w:eastAsia="en-GB"/>
        </w:rPr>
        <w:t xml:space="preserve">. </w:t>
      </w:r>
      <w:r>
        <w:rPr>
          <w:noProof/>
          <w:sz w:val="22"/>
          <w:lang w:eastAsia="en-GB"/>
        </w:rPr>
        <w:t>Brazil’s total GHG emissions projections for both analysed scenarios considering energy, agriculture and land use</w:t>
      </w:r>
    </w:p>
    <w:p w:rsidR="009F1A75" w:rsidRPr="003A7F24" w:rsidRDefault="009F1A75" w:rsidP="003A7F24">
      <w:pPr>
        <w:pStyle w:val="Heading2"/>
      </w:pPr>
      <w:r w:rsidRPr="003A7F24">
        <w:t>DISCUSSION</w:t>
      </w:r>
    </w:p>
    <w:p w:rsidR="009F1A75" w:rsidRDefault="009F1A75" w:rsidP="009F1A75">
      <w:r w:rsidRPr="00BB74C4">
        <w:rPr>
          <w:lang w:eastAsia="ja-JP"/>
        </w:rPr>
        <w:t>T</w:t>
      </w:r>
      <w:r>
        <w:rPr>
          <w:lang w:eastAsia="ja-JP"/>
        </w:rPr>
        <w:t>he</w:t>
      </w:r>
      <w:r w:rsidRPr="00BB74C4">
        <w:rPr>
          <w:lang w:eastAsia="ja-JP"/>
        </w:rPr>
        <w:t xml:space="preserve"> results show the importance of the </w:t>
      </w:r>
      <w:r>
        <w:rPr>
          <w:lang w:eastAsia="ja-JP"/>
        </w:rPr>
        <w:t xml:space="preserve">AFOLU </w:t>
      </w:r>
      <w:r w:rsidRPr="00BB74C4">
        <w:rPr>
          <w:lang w:eastAsia="ja-JP"/>
        </w:rPr>
        <w:t xml:space="preserve">sector in reaching </w:t>
      </w:r>
      <w:r>
        <w:rPr>
          <w:lang w:eastAsia="ja-JP"/>
        </w:rPr>
        <w:t xml:space="preserve">carbon </w:t>
      </w:r>
      <w:r w:rsidR="003A7F24">
        <w:rPr>
          <w:lang w:eastAsia="ja-JP"/>
        </w:rPr>
        <w:t xml:space="preserve">mitigation targets, </w:t>
      </w:r>
      <w:r w:rsidRPr="00BB74C4">
        <w:rPr>
          <w:lang w:eastAsia="ja-JP"/>
        </w:rPr>
        <w:t xml:space="preserve">especially </w:t>
      </w:r>
      <w:r>
        <w:rPr>
          <w:lang w:eastAsia="ja-JP"/>
        </w:rPr>
        <w:t>by contr</w:t>
      </w:r>
      <w:r w:rsidR="003A7F24">
        <w:rPr>
          <w:lang w:eastAsia="ja-JP"/>
        </w:rPr>
        <w:t xml:space="preserve">olling emissions from land use. </w:t>
      </w:r>
      <w:r>
        <w:t>Modern technological diffusion is expected in the Brazilian agricultural sector in order to meet fut</w:t>
      </w:r>
      <w:r w:rsidR="003A7F24">
        <w:t xml:space="preserve">ure demand for energy and food. </w:t>
      </w:r>
      <w:r>
        <w:t xml:space="preserve">Although energy demand and related emissions from farm equipment is minimal compared with the whole energy system, modern mechanisation levels could improve productivity rates, thus having a major impact in land use related emissions. </w:t>
      </w:r>
      <w:r w:rsidRPr="00BB74C4">
        <w:t>In both scenarios, an increase in energy demand in agriculture would be required to produce a unit of agricultural product, bringing energy index values closer to those found in developed economies.</w:t>
      </w:r>
    </w:p>
    <w:p w:rsidR="009F1A75" w:rsidRPr="007A14A2" w:rsidRDefault="009F1A75" w:rsidP="009F1A75">
      <w:pPr>
        <w:rPr>
          <w:lang w:eastAsia="ja-JP"/>
        </w:rPr>
      </w:pPr>
      <w:r>
        <w:t xml:space="preserve">If biofuel production is to be increased ten-fold by 2050, increasing land productivity would be fundamental to keep a sustainable bioenergy policy that would have marginal implications on crop competition and deforestation rates. However, intensification comes with larger amounts of embodied emissions in the form of agrochemicals. Improved land productivity could also have an adverse reaction, as it could motivate producers to </w:t>
      </w:r>
      <w:r w:rsidR="003A7F24">
        <w:t xml:space="preserve">spread production to new lands, </w:t>
      </w:r>
      <w:r>
        <w:t xml:space="preserve">however, these land use dynamics are difficult to foresee in presence of different stakeholders. </w:t>
      </w:r>
    </w:p>
    <w:p w:rsidR="009F1A75" w:rsidRDefault="009F1A75" w:rsidP="009F1A75">
      <w:r>
        <w:t>Natural gas is abundant in Brazil, however, mechanisms must be put in place for a sustainable infrastructure development and use of this resource. Off-shore natural gas has the potential to significantly reduce Brazil’s demand for wood energy and promote a more sustainable production of</w:t>
      </w:r>
      <w:r w:rsidR="003A7F24">
        <w:t xml:space="preserve"> sugarcane and land management. </w:t>
      </w:r>
      <w:r>
        <w:rPr>
          <w:noProof/>
          <w:lang w:eastAsia="en-GB"/>
        </w:rPr>
        <w:t xml:space="preserve">As shown by the </w:t>
      </w:r>
      <w:r w:rsidR="003A7F24">
        <w:rPr>
          <w:noProof/>
          <w:lang w:eastAsia="en-GB"/>
        </w:rPr>
        <w:br/>
      </w:r>
      <w:r>
        <w:rPr>
          <w:noProof/>
          <w:lang w:eastAsia="en-GB"/>
        </w:rPr>
        <w:t>2DS</w:t>
      </w:r>
      <w:r w:rsidR="003A7F24">
        <w:rPr>
          <w:noProof/>
          <w:lang w:eastAsia="en-GB"/>
        </w:rPr>
        <w:t xml:space="preserve"> </w:t>
      </w:r>
      <w:r>
        <w:rPr>
          <w:noProof/>
          <w:lang w:eastAsia="en-GB"/>
        </w:rPr>
        <w:t>+</w:t>
      </w:r>
      <w:r w:rsidR="003A7F24">
        <w:rPr>
          <w:noProof/>
          <w:lang w:eastAsia="en-GB"/>
        </w:rPr>
        <w:t xml:space="preserve"> </w:t>
      </w:r>
      <w:r>
        <w:rPr>
          <w:noProof/>
          <w:lang w:eastAsia="en-GB"/>
        </w:rPr>
        <w:t>NG, reducing sugarcane expansion and therefore deforestation would eventually minimise ecosystems depletion, with substantial socio-economic benefits.</w:t>
      </w:r>
      <w:r>
        <w:t xml:space="preserve"> However, the analysis is incomplete if the whole energy system is not considered, as emissions from natural gas could be considerable in other sectors in the economy (e.g. power, industry, refinery, extraction and distribution) as well as leakage methane emissions from the supply chain. </w:t>
      </w:r>
    </w:p>
    <w:p w:rsidR="009F1A75" w:rsidRDefault="009F1A75" w:rsidP="009F1A75">
      <w:r>
        <w:rPr>
          <w:shd w:val="clear" w:color="auto" w:fill="FFFFFF"/>
        </w:rPr>
        <w:t xml:space="preserve">Nevertheless, the analysis of both scenarios has shown that balancing resource utilisation and infrastructure development is necessary. </w:t>
      </w:r>
      <w:r>
        <w:t>As demonstrated in this study, new sugarcane lands, especially if their expansion comes from either direct or indirect deforestation, could have substantial impacts on regional carbon emissions.</w:t>
      </w:r>
    </w:p>
    <w:p w:rsidR="009F1A75" w:rsidRPr="003A7F24" w:rsidRDefault="009F1A75" w:rsidP="003A7F24">
      <w:pPr>
        <w:pStyle w:val="Heading2"/>
      </w:pPr>
      <w:r w:rsidRPr="003A7F24">
        <w:t>CONCLUSIONS</w:t>
      </w:r>
    </w:p>
    <w:p w:rsidR="009F1A75" w:rsidRPr="00FB16BF" w:rsidRDefault="009F1A75" w:rsidP="009F1A75">
      <w:r w:rsidRPr="00FB16BF">
        <w:rPr>
          <w:lang w:eastAsia="en-GB"/>
        </w:rPr>
        <w:t>Decarbonisation pathways are not widely discussed in agricultural sector modelling due to its s</w:t>
      </w:r>
      <w:r w:rsidR="003A7F24">
        <w:rPr>
          <w:lang w:eastAsia="en-GB"/>
        </w:rPr>
        <w:t xml:space="preserve">mall direct energy consumption, </w:t>
      </w:r>
      <w:r w:rsidRPr="00FB16BF">
        <w:rPr>
          <w:lang w:eastAsia="en-GB"/>
        </w:rPr>
        <w:t xml:space="preserve">however, the sector is of greater importance in the wider energy system. </w:t>
      </w:r>
      <w:r w:rsidRPr="00FB16BF">
        <w:t xml:space="preserve">Integrating the agriculture and land use sector into ESMs is </w:t>
      </w:r>
      <w:r w:rsidRPr="00FB16BF">
        <w:lastRenderedPageBreak/>
        <w:t>still</w:t>
      </w:r>
      <w:r w:rsidR="003A7F24">
        <w:t xml:space="preserve"> a challenge. </w:t>
      </w:r>
      <w:r w:rsidRPr="00FB16BF">
        <w:t xml:space="preserve">This paper has shown an application of the recently developed MUSE-Ag&amp;LU model. The model has been able to characterise intensification processes while simulating mechanisation diffusion, including agrochemical inputs (fertilisers and pesticides), energy and land demand. </w:t>
      </w:r>
    </w:p>
    <w:p w:rsidR="009F1A75" w:rsidRDefault="009F1A75" w:rsidP="009F1A75">
      <w:r>
        <w:t>The presented case study explored the complex relationshi</w:t>
      </w:r>
      <w:r w:rsidR="003A7F24">
        <w:t xml:space="preserve">p between sugarcane production, </w:t>
      </w:r>
      <w:r>
        <w:t>deforestation and fossil fuel resource exploitation under two different two-degree scenarios for Brazil. One scenario explored the effect of sugarcane expansion (ten-fold production increase) by 2050, while limiting the production of</w:t>
      </w:r>
      <w:r w:rsidR="003A7F24">
        <w:t xml:space="preserve"> natural gas to current levels. </w:t>
      </w:r>
      <w:r>
        <w:t xml:space="preserve">A second scenario explored a higher production and utilisation of natural gas while halving bioenergy production. </w:t>
      </w:r>
      <w:r w:rsidRPr="00FB16BF">
        <w:t>Both scenarios have demonstrate the importance of agricultural technological investment and sector intensification in Brazil.</w:t>
      </w:r>
      <w:r>
        <w:t xml:space="preserve"> Results have shown that the agriculture sector is likely to move from transitional to modern agricultural practices. This trend implies an increase in the energy consumption, but it is a necessary step to intensify the production processes, fulfil demands of food, forestry products and energy crops with limited amount of land.</w:t>
      </w:r>
      <w:r w:rsidRPr="007A14A2">
        <w:t xml:space="preserve"> </w:t>
      </w:r>
      <w:r>
        <w:t xml:space="preserve">Also, depending on the chosen path, renewable energy sources could have a larger share in the energy system if emissions need to be reduced to reach pre-defined carbon abatement targets.  </w:t>
      </w:r>
    </w:p>
    <w:p w:rsidR="009F1A75" w:rsidRDefault="009F1A75" w:rsidP="009F1A75">
      <w:pPr>
        <w:rPr>
          <w:lang w:eastAsia="en-GB"/>
        </w:rPr>
      </w:pPr>
      <w:r>
        <w:t>Deforestation still represent an</w:t>
      </w:r>
      <w:r w:rsidR="003A7F24">
        <w:t xml:space="preserve"> important source of emissions. </w:t>
      </w:r>
      <w:r>
        <w:t>In both scenarios, deforesta</w:t>
      </w:r>
      <w:r w:rsidR="003A7F24">
        <w:t xml:space="preserve">tion occurs at different rates, </w:t>
      </w:r>
      <w:r>
        <w:t>however, the promotion of expanding natural gas while limiting bioenergy production to 2.5 EJ year</w:t>
      </w:r>
      <w:r w:rsidR="003A7F24">
        <w:rPr>
          <w:vertAlign w:val="superscript"/>
        </w:rPr>
        <w:t>−</w:t>
      </w:r>
      <w:r w:rsidRPr="00272287">
        <w:rPr>
          <w:vertAlign w:val="superscript"/>
        </w:rPr>
        <w:t>1</w:t>
      </w:r>
      <w:r>
        <w:t xml:space="preserve"> instead of 5.0 EJ year</w:t>
      </w:r>
      <w:r w:rsidR="003A7F24">
        <w:rPr>
          <w:vertAlign w:val="superscript"/>
        </w:rPr>
        <w:t>−</w:t>
      </w:r>
      <w:r w:rsidRPr="00272287">
        <w:rPr>
          <w:vertAlign w:val="superscript"/>
        </w:rPr>
        <w:t>1</w:t>
      </w:r>
      <w:r>
        <w:t xml:space="preserve"> by 2050, has resulted in forest land savings of 12.6 Mha, thus sequestering 3.2 Gt</w:t>
      </w:r>
      <w:r w:rsidR="003A7F24">
        <w:t xml:space="preserve"> </w:t>
      </w:r>
      <w:r>
        <w:t>CO</w:t>
      </w:r>
      <w:r>
        <w:rPr>
          <w:vertAlign w:val="subscript"/>
        </w:rPr>
        <w:t>2</w:t>
      </w:r>
      <w:r w:rsidRPr="003A7F24">
        <w:t xml:space="preserve"> </w:t>
      </w:r>
      <w:r>
        <w:t>in wood and soil pools and reducing land use emissions rates to around 0.10 Gt</w:t>
      </w:r>
      <w:r w:rsidR="003A7F24">
        <w:t xml:space="preserve"> </w:t>
      </w:r>
      <w:r>
        <w:t>CO</w:t>
      </w:r>
      <w:r w:rsidRPr="00C55BED">
        <w:rPr>
          <w:vertAlign w:val="subscript"/>
        </w:rPr>
        <w:t>2</w:t>
      </w:r>
      <w:r>
        <w:t xml:space="preserve"> year</w:t>
      </w:r>
      <w:r w:rsidR="003A7F24">
        <w:rPr>
          <w:vertAlign w:val="superscript"/>
        </w:rPr>
        <w:t>−</w:t>
      </w:r>
      <w:r w:rsidRPr="00C55BED">
        <w:rPr>
          <w:vertAlign w:val="superscript"/>
        </w:rPr>
        <w:t>1</w:t>
      </w:r>
      <w:r w:rsidR="003A7F24">
        <w:t xml:space="preserve">. </w:t>
      </w:r>
      <w:r w:rsidR="003A7F24">
        <w:br/>
      </w:r>
      <w:r>
        <w:t>Thus, emissions from natural gas can be compensated by the capture and sequestration pote</w:t>
      </w:r>
      <w:r w:rsidR="003A7F24">
        <w:t xml:space="preserve">ntial of the Brazilian forests. </w:t>
      </w:r>
      <w:r>
        <w:t>Although the natural gas scenario showed that the resource could help manage deforestation rates, a large infrastructure with potentially high economic costs would be necessary.</w:t>
      </w:r>
      <w:r>
        <w:rPr>
          <w:lang w:eastAsia="en-GB"/>
        </w:rPr>
        <w:t xml:space="preserve"> </w:t>
      </w:r>
      <w:r>
        <w:t xml:space="preserve">Policy targets have to be consistent considering energy and land use emissions. On one hand, future bioenergy production could lead to unfeasible land use demand aiming to reach fossil fuel displacement target. On the other hand, an over exploitation of fossil fuel resources such as natural gas could also lead to undesired environmental implications. </w:t>
      </w:r>
    </w:p>
    <w:p w:rsidR="009F1A75" w:rsidRDefault="009F1A75" w:rsidP="009F1A75">
      <w:r>
        <w:t>The proposed results are to be considered as scenarios of development of the domestic agricultural sector in Brazil dealing with a</w:t>
      </w:r>
      <w:r w:rsidR="003A7F24">
        <w:t xml:space="preserve"> limited resource such as land. </w:t>
      </w:r>
      <w:r w:rsidR="003A7F24">
        <w:br/>
      </w:r>
      <w:r>
        <w:t xml:space="preserve">In doing so, the effect of trade was not considered. In the future work, the model will be expanded to consider different carbon abatement scenarios, providing an integrated view of the energy systems and the cross sectoral effects of agriculture and land use change. </w:t>
      </w:r>
    </w:p>
    <w:p w:rsidR="009F1A75" w:rsidRPr="003A7F24" w:rsidRDefault="009F1A75" w:rsidP="003A7F24">
      <w:pPr>
        <w:pStyle w:val="Heading2"/>
      </w:pPr>
      <w:r w:rsidRPr="003A7F24">
        <w:t>ACKNOWLEDGMENT</w:t>
      </w:r>
    </w:p>
    <w:p w:rsidR="009F1A75" w:rsidRDefault="009F1A75" w:rsidP="009F1A75">
      <w:r>
        <w:t>The authors would like to acknowledge</w:t>
      </w:r>
      <w:r w:rsidR="003A7F24">
        <w:t xml:space="preserve"> the Sustainable Gas Institute, </w:t>
      </w:r>
      <w:r>
        <w:t>Imperial College London and the Natural Environment Research Council (NERC) under the Newton Fund (NERC reference: NE/N018656/1) for funding this work.</w:t>
      </w:r>
    </w:p>
    <w:p w:rsidR="009F1A75" w:rsidRDefault="009F1A75" w:rsidP="0062157B">
      <w:pPr>
        <w:pStyle w:val="Heading2"/>
      </w:pPr>
      <w:r w:rsidRPr="00BD1F3E">
        <w:t>REFERENCES</w:t>
      </w:r>
    </w:p>
    <w:p w:rsidR="009F1A75" w:rsidRPr="0058740F" w:rsidRDefault="009F1A75" w:rsidP="009F1A75">
      <w:pPr>
        <w:pStyle w:val="EndNoteBibliography"/>
        <w:ind w:left="340" w:hanging="340"/>
      </w:pPr>
      <w:r>
        <w:fldChar w:fldCharType="begin"/>
      </w:r>
      <w:r w:rsidRPr="005728C1">
        <w:instrText xml:space="preserve"> ADDIN EN.REFLIST </w:instrText>
      </w:r>
      <w:r>
        <w:fldChar w:fldCharType="separate"/>
      </w:r>
      <w:r w:rsidRPr="0058740F">
        <w:t>1.</w:t>
      </w:r>
      <w:r w:rsidRPr="0058740F">
        <w:tab/>
      </w:r>
      <w:r w:rsidR="00975A96">
        <w:t>United Nations (</w:t>
      </w:r>
      <w:r w:rsidRPr="0058740F">
        <w:t>UN</w:t>
      </w:r>
      <w:r w:rsidR="00975A96">
        <w:t xml:space="preserve">), </w:t>
      </w:r>
      <w:r w:rsidRPr="00975A96">
        <w:t>Framework Convention on Climate Change: Adoption of the Paris Agreement</w:t>
      </w:r>
      <w:r w:rsidR="00975A96">
        <w:t xml:space="preserve">, </w:t>
      </w:r>
      <w:r w:rsidRPr="0058740F">
        <w:t>United Nations: 21</w:t>
      </w:r>
      <w:r w:rsidRPr="00975A96">
        <w:rPr>
          <w:vertAlign w:val="superscript"/>
        </w:rPr>
        <w:t>st</w:t>
      </w:r>
      <w:r w:rsidRPr="0058740F">
        <w:t xml:space="preserve"> Conference of the Parties,</w:t>
      </w:r>
      <w:r w:rsidR="00975A96">
        <w:t xml:space="preserve"> Paris, France, 2015.</w:t>
      </w:r>
    </w:p>
    <w:p w:rsidR="009F1A75" w:rsidRPr="0058740F" w:rsidRDefault="00975A96" w:rsidP="009F1A75">
      <w:pPr>
        <w:pStyle w:val="EndNoteBibliography"/>
        <w:ind w:left="340" w:hanging="340"/>
      </w:pPr>
      <w:r>
        <w:t>2.</w:t>
      </w:r>
      <w:r>
        <w:tab/>
      </w:r>
      <w:r w:rsidRPr="00975A96">
        <w:t xml:space="preserve">Food and Agriculture Organization </w:t>
      </w:r>
      <w:r>
        <w:t xml:space="preserve">(FAO), </w:t>
      </w:r>
      <w:r w:rsidR="009F1A75" w:rsidRPr="00975A96">
        <w:t>FAOSTAT</w:t>
      </w:r>
      <w:r w:rsidR="007F299D">
        <w:t>, 2017.</w:t>
      </w:r>
    </w:p>
    <w:p w:rsidR="009F1A75" w:rsidRPr="0058740F" w:rsidRDefault="009F1A75" w:rsidP="009F1A75">
      <w:pPr>
        <w:pStyle w:val="EndNoteBibliography"/>
        <w:ind w:left="340" w:hanging="340"/>
      </w:pPr>
      <w:r w:rsidRPr="0058740F">
        <w:t>3.</w:t>
      </w:r>
      <w:r w:rsidRPr="0058740F">
        <w:tab/>
      </w:r>
      <w:r w:rsidR="00975A96" w:rsidRPr="00975A96">
        <w:t xml:space="preserve">Intergovernmental Panel on Climate Change </w:t>
      </w:r>
      <w:r w:rsidR="00975A96">
        <w:t>(</w:t>
      </w:r>
      <w:r w:rsidRPr="0058740F">
        <w:t>IPCC</w:t>
      </w:r>
      <w:r w:rsidR="00975A96">
        <w:t>), Climate C</w:t>
      </w:r>
      <w:r w:rsidRPr="00975A96">
        <w:t>hange 2014: Mitigation of Climate Change Working Group III Contribution to the Fifth Assessment Report of the Intergovernmental Panel on Climate Change</w:t>
      </w:r>
      <w:r w:rsidR="00975A96">
        <w:t xml:space="preserve"> (</w:t>
      </w:r>
      <w:r w:rsidRPr="0058740F">
        <w:t>Edenhofer,</w:t>
      </w:r>
      <w:r w:rsidR="00975A96">
        <w:t xml:space="preserve"> O., </w:t>
      </w:r>
      <w:r w:rsidRPr="0058740F">
        <w:t>Pichs-Madruga,</w:t>
      </w:r>
      <w:r w:rsidR="00975A96">
        <w:t xml:space="preserve"> R., </w:t>
      </w:r>
      <w:r w:rsidRPr="0058740F">
        <w:t xml:space="preserve">Sokona, </w:t>
      </w:r>
      <w:r w:rsidR="00975A96">
        <w:t xml:space="preserve">Y., </w:t>
      </w:r>
      <w:r w:rsidRPr="0058740F">
        <w:t>Farahani,</w:t>
      </w:r>
      <w:r w:rsidR="00975A96">
        <w:t xml:space="preserve"> E., </w:t>
      </w:r>
      <w:r w:rsidRPr="0058740F">
        <w:t>Kadner,</w:t>
      </w:r>
      <w:r w:rsidR="00975A96">
        <w:t xml:space="preserve"> S., </w:t>
      </w:r>
      <w:r w:rsidRPr="0058740F">
        <w:t>Seyboth,</w:t>
      </w:r>
      <w:r w:rsidR="00975A96">
        <w:t xml:space="preserve"> K., </w:t>
      </w:r>
      <w:r w:rsidRPr="0058740F">
        <w:t>Adler,</w:t>
      </w:r>
      <w:r w:rsidR="00975A96">
        <w:t xml:space="preserve"> A., </w:t>
      </w:r>
      <w:r w:rsidRPr="0058740F">
        <w:t xml:space="preserve">Baum, </w:t>
      </w:r>
      <w:r w:rsidR="00975A96">
        <w:t xml:space="preserve">I., </w:t>
      </w:r>
      <w:r w:rsidRPr="0058740F">
        <w:t>Brunner,</w:t>
      </w:r>
      <w:r w:rsidR="00975A96">
        <w:t xml:space="preserve"> S., </w:t>
      </w:r>
      <w:r w:rsidRPr="0058740F">
        <w:t>Eickemeier,</w:t>
      </w:r>
      <w:r w:rsidR="00975A96">
        <w:t xml:space="preserve"> P., </w:t>
      </w:r>
      <w:r w:rsidRPr="0058740F">
        <w:t xml:space="preserve">Kriemann, </w:t>
      </w:r>
      <w:r w:rsidR="00975A96">
        <w:t xml:space="preserve">B., </w:t>
      </w:r>
      <w:r w:rsidRPr="0058740F">
        <w:t>Savolainen,</w:t>
      </w:r>
      <w:r w:rsidR="00975A96">
        <w:t xml:space="preserve"> J., </w:t>
      </w:r>
      <w:r w:rsidRPr="0058740F">
        <w:t>Schlömer,</w:t>
      </w:r>
      <w:r w:rsidR="00975A96">
        <w:t xml:space="preserve"> S., </w:t>
      </w:r>
      <w:r w:rsidRPr="0058740F">
        <w:lastRenderedPageBreak/>
        <w:t>von Stechow,</w:t>
      </w:r>
      <w:r w:rsidR="00975A96">
        <w:t xml:space="preserve"> C., </w:t>
      </w:r>
      <w:r w:rsidRPr="0058740F">
        <w:t>Zwic</w:t>
      </w:r>
      <w:r w:rsidR="00975A96">
        <w:t>kel, T. and Minx, J. C., eds.), United Kingdom and New York, New York, USA, 2014.</w:t>
      </w:r>
    </w:p>
    <w:p w:rsidR="009F1A75" w:rsidRPr="0058740F" w:rsidRDefault="00052973" w:rsidP="009F1A75">
      <w:pPr>
        <w:pStyle w:val="EndNoteBibliography"/>
        <w:ind w:left="340" w:hanging="340"/>
      </w:pPr>
      <w:r>
        <w:t>4.</w:t>
      </w:r>
      <w:r>
        <w:tab/>
        <w:t xml:space="preserve">Woods, J., </w:t>
      </w:r>
      <w:r w:rsidRPr="00052973">
        <w:t>Williams,</w:t>
      </w:r>
      <w:r>
        <w:t xml:space="preserve"> A., </w:t>
      </w:r>
      <w:r w:rsidRPr="00052973">
        <w:t>Hughes,</w:t>
      </w:r>
      <w:r>
        <w:t xml:space="preserve"> J. K., </w:t>
      </w:r>
      <w:r w:rsidRPr="00052973">
        <w:t>Black</w:t>
      </w:r>
      <w:r>
        <w:t xml:space="preserve">, M. and </w:t>
      </w:r>
      <w:r w:rsidRPr="00052973">
        <w:t>Murphy</w:t>
      </w:r>
      <w:r>
        <w:t xml:space="preserve">, R., </w:t>
      </w:r>
      <w:r w:rsidR="009F1A75" w:rsidRPr="00975A96">
        <w:t xml:space="preserve">Energy </w:t>
      </w:r>
      <w:r>
        <w:t>and t</w:t>
      </w:r>
      <w:r w:rsidR="00975A96" w:rsidRPr="00975A96">
        <w:t>he Food System</w:t>
      </w:r>
      <w:r>
        <w:t xml:space="preserve">, </w:t>
      </w:r>
      <w:r w:rsidR="009F1A75" w:rsidRPr="00975A96">
        <w:rPr>
          <w:i/>
        </w:rPr>
        <w:t>Philosophical Transactions of the Royal Society B: Biological Sciences</w:t>
      </w:r>
      <w:r>
        <w:t xml:space="preserve">, </w:t>
      </w:r>
      <w:r w:rsidR="00975A96">
        <w:t>Vol.</w:t>
      </w:r>
      <w:r>
        <w:t xml:space="preserve"> </w:t>
      </w:r>
      <w:r w:rsidR="009F1A75" w:rsidRPr="00975A96">
        <w:t>365</w:t>
      </w:r>
      <w:r>
        <w:t xml:space="preserve">, No. 1554, </w:t>
      </w:r>
      <w:r w:rsidR="005728C1">
        <w:t xml:space="preserve">pp 2991-3006, 2010, </w:t>
      </w:r>
      <w:hyperlink r:id="rId23" w:tgtFrame="_blank" w:history="1">
        <w:r w:rsidR="005728C1" w:rsidRPr="00E673F7">
          <w:rPr>
            <w:rStyle w:val="Hyperlink"/>
            <w:rFonts w:ascii="Verdana" w:hAnsi="Verdana" w:cs="Arial"/>
            <w:color w:val="FF0000"/>
            <w:sz w:val="18"/>
            <w:szCs w:val="18"/>
            <w:u w:val="none"/>
          </w:rPr>
          <w:t>https://doi.org/10.1098/rstb.2010.0172</w:t>
        </w:r>
      </w:hyperlink>
    </w:p>
    <w:p w:rsidR="009F1A75" w:rsidRPr="0058740F" w:rsidRDefault="00052973" w:rsidP="009F1A75">
      <w:pPr>
        <w:pStyle w:val="EndNoteBibliography"/>
        <w:ind w:left="340" w:hanging="340"/>
      </w:pPr>
      <w:r>
        <w:t>5.</w:t>
      </w:r>
      <w:r>
        <w:tab/>
        <w:t xml:space="preserve">Rathmann, R., </w:t>
      </w:r>
      <w:r w:rsidRPr="00052973">
        <w:t>Szklo</w:t>
      </w:r>
      <w:r>
        <w:t xml:space="preserve">, A. and </w:t>
      </w:r>
      <w:r w:rsidRPr="00052973">
        <w:t>Schaeffer</w:t>
      </w:r>
      <w:r>
        <w:t xml:space="preserve">, R., </w:t>
      </w:r>
      <w:r w:rsidR="009F1A75" w:rsidRPr="00052973">
        <w:t xml:space="preserve">Land </w:t>
      </w:r>
      <w:r>
        <w:t xml:space="preserve">Use Competition for Production of Food and Liquid Biofuels: </w:t>
      </w:r>
      <w:r w:rsidR="009F1A75" w:rsidRPr="00052973">
        <w:t xml:space="preserve">An </w:t>
      </w:r>
      <w:r>
        <w:t>Analysis of the Arguments in t</w:t>
      </w:r>
      <w:r w:rsidRPr="00052973">
        <w:t xml:space="preserve">he Current Debate, </w:t>
      </w:r>
      <w:r>
        <w:rPr>
          <w:i/>
        </w:rPr>
        <w:t xml:space="preserve">Renewable </w:t>
      </w:r>
      <w:r w:rsidR="009F1A75" w:rsidRPr="00052973">
        <w:rPr>
          <w:i/>
        </w:rPr>
        <w:t>Energy</w:t>
      </w:r>
      <w:r>
        <w:t xml:space="preserve">, Vol. </w:t>
      </w:r>
      <w:r w:rsidR="009F1A75" w:rsidRPr="00052973">
        <w:t>35</w:t>
      </w:r>
      <w:r w:rsidR="005728C1">
        <w:t xml:space="preserve">, No. 1, pp 14-22, 2010, </w:t>
      </w:r>
      <w:hyperlink r:id="rId24" w:tgtFrame="_blank" w:history="1">
        <w:r w:rsidR="005728C1" w:rsidRPr="00E673F7">
          <w:rPr>
            <w:rStyle w:val="Hyperlink"/>
            <w:rFonts w:ascii="Verdana" w:hAnsi="Verdana" w:cs="Arial"/>
            <w:color w:val="FF0000"/>
            <w:sz w:val="18"/>
            <w:szCs w:val="18"/>
            <w:u w:val="none"/>
          </w:rPr>
          <w:t>https://doi.org/10.1016/j.renene.2009.02.025</w:t>
        </w:r>
      </w:hyperlink>
    </w:p>
    <w:p w:rsidR="009F1A75" w:rsidRPr="0058740F" w:rsidRDefault="00052973" w:rsidP="009F1A75">
      <w:pPr>
        <w:pStyle w:val="EndNoteBibliography"/>
        <w:ind w:left="340" w:hanging="340"/>
      </w:pPr>
      <w:r>
        <w:t>6.</w:t>
      </w:r>
      <w:r>
        <w:tab/>
        <w:t xml:space="preserve">Cirera, X. and Masset, E., </w:t>
      </w:r>
      <w:r w:rsidR="009F1A75" w:rsidRPr="00052973">
        <w:t xml:space="preserve">Income </w:t>
      </w:r>
      <w:r>
        <w:t>Distribution Trends a</w:t>
      </w:r>
      <w:r w:rsidRPr="00052973">
        <w:t xml:space="preserve">nd Future Food Demand, </w:t>
      </w:r>
      <w:r w:rsidR="009F1A75" w:rsidRPr="00052973">
        <w:rPr>
          <w:i/>
        </w:rPr>
        <w:t>Philosophical Transactions of the Royal Society B: Biological Sciences</w:t>
      </w:r>
      <w:r>
        <w:t xml:space="preserve">, Vol. </w:t>
      </w:r>
      <w:r w:rsidR="009F1A75" w:rsidRPr="00052973">
        <w:t>365</w:t>
      </w:r>
      <w:r w:rsidRPr="00052973">
        <w:t xml:space="preserve">, No. </w:t>
      </w:r>
      <w:r w:rsidR="005728C1">
        <w:t xml:space="preserve">1554, pp 2821-2834, 2010, </w:t>
      </w:r>
      <w:hyperlink r:id="rId25" w:tgtFrame="_blank" w:history="1">
        <w:r w:rsidR="005728C1" w:rsidRPr="00E673F7">
          <w:rPr>
            <w:rStyle w:val="Hyperlink"/>
            <w:rFonts w:ascii="Verdana" w:hAnsi="Verdana" w:cs="Arial"/>
            <w:color w:val="FF0000"/>
            <w:sz w:val="18"/>
            <w:szCs w:val="18"/>
            <w:u w:val="none"/>
          </w:rPr>
          <w:t>https://doi.org/10.1098/rstb.2010.0164</w:t>
        </w:r>
      </w:hyperlink>
    </w:p>
    <w:p w:rsidR="009F1A75" w:rsidRPr="0058740F" w:rsidRDefault="00A414D6" w:rsidP="009F1A75">
      <w:pPr>
        <w:pStyle w:val="EndNoteBibliography"/>
        <w:ind w:left="340" w:hanging="340"/>
      </w:pPr>
      <w:r>
        <w:t>7.</w:t>
      </w:r>
      <w:r>
        <w:tab/>
        <w:t xml:space="preserve">Lamboll, R., </w:t>
      </w:r>
      <w:r w:rsidR="009F1A75" w:rsidRPr="00A414D6">
        <w:t xml:space="preserve">Climate Change and Agricultural Systems A2 </w:t>
      </w:r>
      <w:r>
        <w:t>‒</w:t>
      </w:r>
      <w:r w:rsidR="009F1A75" w:rsidRPr="00A414D6">
        <w:t xml:space="preserve"> Snapp, Sieglinde</w:t>
      </w:r>
      <w:r>
        <w:t xml:space="preserve">, in: </w:t>
      </w:r>
      <w:r w:rsidR="009F1A75" w:rsidRPr="0058740F">
        <w:rPr>
          <w:i/>
        </w:rPr>
        <w:t>Agri</w:t>
      </w:r>
      <w:r>
        <w:rPr>
          <w:i/>
        </w:rPr>
        <w:t xml:space="preserve">cultural Systems </w:t>
      </w:r>
      <w:r w:rsidRPr="005728C1">
        <w:t>(2</w:t>
      </w:r>
      <w:r w:rsidR="009F1A75" w:rsidRPr="005728C1">
        <w:rPr>
          <w:vertAlign w:val="superscript"/>
        </w:rPr>
        <w:t>nd</w:t>
      </w:r>
      <w:r w:rsidRPr="005728C1">
        <w:t xml:space="preserve"> ed.</w:t>
      </w:r>
      <w:r w:rsidR="009F1A75" w:rsidRPr="005728C1">
        <w:t>)</w:t>
      </w:r>
      <w:r w:rsidR="00052973">
        <w:t>,</w:t>
      </w:r>
      <w:r>
        <w:t xml:space="preserve"> pp 441-490, Academic Press, San </w:t>
      </w:r>
      <w:r w:rsidR="00052973">
        <w:t xml:space="preserve">Diego, </w:t>
      </w:r>
      <w:r w:rsidR="005728C1">
        <w:t xml:space="preserve">California, USA, 2017, </w:t>
      </w:r>
      <w:hyperlink r:id="rId26" w:tgtFrame="_blank" w:history="1">
        <w:r w:rsidR="005728C1" w:rsidRPr="00E673F7">
          <w:rPr>
            <w:rStyle w:val="Hyperlink"/>
            <w:rFonts w:ascii="Verdana" w:hAnsi="Verdana" w:cs="Arial"/>
            <w:color w:val="FF0000"/>
            <w:sz w:val="18"/>
            <w:szCs w:val="18"/>
            <w:u w:val="none"/>
          </w:rPr>
          <w:t>https://doi.org/10.1016/B978-0-12-802070-8.00013-X</w:t>
        </w:r>
      </w:hyperlink>
    </w:p>
    <w:p w:rsidR="009F1A75" w:rsidRPr="0058740F" w:rsidRDefault="009F1A75" w:rsidP="009F1A75">
      <w:pPr>
        <w:pStyle w:val="EndNoteBibliography"/>
        <w:ind w:left="340" w:hanging="340"/>
      </w:pPr>
      <w:r w:rsidRPr="0058740F">
        <w:t>8.</w:t>
      </w:r>
      <w:r w:rsidRPr="0058740F">
        <w:tab/>
      </w:r>
      <w:r w:rsidR="00A414D6" w:rsidRPr="00A414D6">
        <w:t xml:space="preserve">Intergovernmental Panel on Climate Change </w:t>
      </w:r>
      <w:r w:rsidR="00A414D6">
        <w:t>(</w:t>
      </w:r>
      <w:r w:rsidRPr="0058740F">
        <w:t>IPCC</w:t>
      </w:r>
      <w:r w:rsidR="00A414D6">
        <w:t xml:space="preserve">), </w:t>
      </w:r>
      <w:r w:rsidRPr="00A414D6">
        <w:t xml:space="preserve">Climate </w:t>
      </w:r>
      <w:r w:rsidR="00A414D6">
        <w:t xml:space="preserve">Change </w:t>
      </w:r>
      <w:r w:rsidR="00A414D6" w:rsidRPr="00A414D6">
        <w:t xml:space="preserve">2014: </w:t>
      </w:r>
      <w:r w:rsidRPr="00A414D6">
        <w:t xml:space="preserve">Synthesis </w:t>
      </w:r>
      <w:r w:rsidR="00A414D6">
        <w:t xml:space="preserve">Report, </w:t>
      </w:r>
      <w:r w:rsidRPr="00A414D6">
        <w:t xml:space="preserve">Contribution </w:t>
      </w:r>
      <w:r w:rsidR="00A414D6">
        <w:t>o</w:t>
      </w:r>
      <w:r w:rsidR="00A414D6" w:rsidRPr="00A414D6">
        <w:t xml:space="preserve">f Working Groups </w:t>
      </w:r>
      <w:r w:rsidRPr="00A414D6">
        <w:t>I</w:t>
      </w:r>
      <w:r w:rsidR="00A414D6" w:rsidRPr="00A414D6">
        <w:t xml:space="preserve">, </w:t>
      </w:r>
      <w:r w:rsidRPr="00A414D6">
        <w:t xml:space="preserve">II </w:t>
      </w:r>
      <w:r w:rsidR="00A414D6">
        <w:t>a</w:t>
      </w:r>
      <w:r w:rsidR="00A414D6" w:rsidRPr="00A414D6">
        <w:t xml:space="preserve">nd </w:t>
      </w:r>
      <w:r w:rsidRPr="00A414D6">
        <w:t xml:space="preserve">III </w:t>
      </w:r>
      <w:r w:rsidR="00A414D6">
        <w:t xml:space="preserve">to the </w:t>
      </w:r>
      <w:r w:rsidR="00A414D6" w:rsidRPr="00A414D6">
        <w:t>5</w:t>
      </w:r>
      <w:r w:rsidR="00A414D6" w:rsidRPr="00A414D6">
        <w:rPr>
          <w:vertAlign w:val="superscript"/>
        </w:rPr>
        <w:t>th</w:t>
      </w:r>
      <w:r w:rsidR="00A414D6">
        <w:t xml:space="preserve"> Assessment Report of the Intergovernmental Panel o</w:t>
      </w:r>
      <w:r w:rsidR="00A414D6" w:rsidRPr="00A414D6">
        <w:t>n Climate Change</w:t>
      </w:r>
      <w:r w:rsidRPr="00A414D6">
        <w:t>,</w:t>
      </w:r>
      <w:r w:rsidR="00A414D6">
        <w:t xml:space="preserve"> </w:t>
      </w:r>
      <w:r w:rsidRPr="0058740F">
        <w:t>2014.</w:t>
      </w:r>
    </w:p>
    <w:p w:rsidR="009F1A75" w:rsidRPr="0058740F" w:rsidRDefault="00A414D6" w:rsidP="009F1A75">
      <w:pPr>
        <w:pStyle w:val="EndNoteBibliography"/>
        <w:ind w:left="340" w:hanging="340"/>
      </w:pPr>
      <w:r>
        <w:t>9.</w:t>
      </w:r>
      <w:r>
        <w:tab/>
        <w:t xml:space="preserve">Pimentel, </w:t>
      </w:r>
      <w:r w:rsidR="009F1A75" w:rsidRPr="0058740F">
        <w:t xml:space="preserve">D., </w:t>
      </w:r>
      <w:r w:rsidR="009F1A75" w:rsidRPr="00A414D6">
        <w:t>Energy Inputs in Food Crop Production in D</w:t>
      </w:r>
      <w:r>
        <w:t xml:space="preserve">eveloping and Developed Nations, </w:t>
      </w:r>
      <w:r w:rsidR="009F1A75" w:rsidRPr="00A414D6">
        <w:rPr>
          <w:i/>
        </w:rPr>
        <w:t>Energies</w:t>
      </w:r>
      <w:r>
        <w:t xml:space="preserve">, Vol. </w:t>
      </w:r>
      <w:r w:rsidR="009F1A75" w:rsidRPr="00A414D6">
        <w:t>2</w:t>
      </w:r>
      <w:r w:rsidRPr="00A414D6">
        <w:t xml:space="preserve">, No. </w:t>
      </w:r>
      <w:r w:rsidR="005728C1">
        <w:t xml:space="preserve">1, pp 1-24, 2009, </w:t>
      </w:r>
      <w:hyperlink r:id="rId27" w:tgtFrame="_blank" w:history="1">
        <w:r w:rsidR="005728C1" w:rsidRPr="00E673F7">
          <w:rPr>
            <w:rStyle w:val="Hyperlink"/>
            <w:rFonts w:ascii="Verdana" w:hAnsi="Verdana" w:cs="Arial"/>
            <w:color w:val="FF0000"/>
            <w:sz w:val="18"/>
            <w:szCs w:val="18"/>
            <w:u w:val="none"/>
          </w:rPr>
          <w:t>https://doi.org/10.3390/en20100001</w:t>
        </w:r>
      </w:hyperlink>
    </w:p>
    <w:p w:rsidR="009F1A75" w:rsidRPr="0058740F" w:rsidRDefault="00A414D6" w:rsidP="009F1A75">
      <w:pPr>
        <w:pStyle w:val="EndNoteBibliography"/>
        <w:ind w:left="340" w:hanging="340"/>
      </w:pPr>
      <w:r>
        <w:t>10.</w:t>
      </w:r>
      <w:r>
        <w:tab/>
        <w:t xml:space="preserve">Baruah, </w:t>
      </w:r>
      <w:r w:rsidR="009F1A75" w:rsidRPr="0058740F">
        <w:t>D.</w:t>
      </w:r>
      <w:r>
        <w:t xml:space="preserve"> C. and Bora, G. C., </w:t>
      </w:r>
      <w:r w:rsidR="009F1A75" w:rsidRPr="00A414D6">
        <w:t xml:space="preserve">Energy </w:t>
      </w:r>
      <w:r>
        <w:t>Demand Forecast f</w:t>
      </w:r>
      <w:r w:rsidRPr="00A414D6">
        <w:t>or Mec</w:t>
      </w:r>
      <w:r>
        <w:t>hanized Agriculture i</w:t>
      </w:r>
      <w:r w:rsidRPr="00A414D6">
        <w:t xml:space="preserve">n Rural India, </w:t>
      </w:r>
      <w:r w:rsidR="009F1A75" w:rsidRPr="00A414D6">
        <w:rPr>
          <w:i/>
        </w:rPr>
        <w:t>Energy Pol</w:t>
      </w:r>
      <w:r w:rsidRPr="00A414D6">
        <w:rPr>
          <w:i/>
        </w:rPr>
        <w:t>icy</w:t>
      </w:r>
      <w:r>
        <w:t>, Vol.</w:t>
      </w:r>
      <w:r w:rsidR="009F1A75" w:rsidRPr="0058740F">
        <w:t xml:space="preserve"> </w:t>
      </w:r>
      <w:r w:rsidR="009F1A75" w:rsidRPr="00A414D6">
        <w:t>36</w:t>
      </w:r>
      <w:r w:rsidRPr="00A414D6">
        <w:t xml:space="preserve">, No. </w:t>
      </w:r>
      <w:r w:rsidR="005728C1">
        <w:t xml:space="preserve">7, pp 2628-2636, 2008, </w:t>
      </w:r>
      <w:hyperlink r:id="rId28" w:tgtFrame="_blank" w:history="1">
        <w:r w:rsidR="005728C1" w:rsidRPr="00E673F7">
          <w:rPr>
            <w:rStyle w:val="Hyperlink"/>
            <w:rFonts w:ascii="Verdana" w:hAnsi="Verdana" w:cs="Arial"/>
            <w:color w:val="FF0000"/>
            <w:sz w:val="18"/>
            <w:szCs w:val="18"/>
            <w:u w:val="none"/>
          </w:rPr>
          <w:t>https://doi.org/10.1016/j.enpol.2008.03.030</w:t>
        </w:r>
      </w:hyperlink>
    </w:p>
    <w:p w:rsidR="009F1A75" w:rsidRPr="0058740F" w:rsidRDefault="00EE7274" w:rsidP="009F1A75">
      <w:pPr>
        <w:pStyle w:val="EndNoteBibliography"/>
        <w:ind w:left="340" w:hanging="340"/>
      </w:pPr>
      <w:r>
        <w:t>11.</w:t>
      </w:r>
      <w:r>
        <w:tab/>
        <w:t xml:space="preserve">Walker, </w:t>
      </w:r>
      <w:r w:rsidR="009F1A75" w:rsidRPr="0058740F">
        <w:t>L.</w:t>
      </w:r>
      <w:r>
        <w:t xml:space="preserve"> </w:t>
      </w:r>
      <w:r w:rsidR="009F1A75" w:rsidRPr="0058740F">
        <w:t xml:space="preserve">P., </w:t>
      </w:r>
      <w:r w:rsidR="009F1A75" w:rsidRPr="00EE7274">
        <w:t xml:space="preserve">A </w:t>
      </w:r>
      <w:r>
        <w:t>Method for Modelling a</w:t>
      </w:r>
      <w:r w:rsidRPr="00EE7274">
        <w:t>nd Evalua</w:t>
      </w:r>
      <w:r>
        <w:t>ting Integrated Energy Systems i</w:t>
      </w:r>
      <w:r w:rsidRPr="00EE7274">
        <w:t>n Agriculture</w:t>
      </w:r>
      <w:r>
        <w:t xml:space="preserve">, </w:t>
      </w:r>
      <w:r w:rsidRPr="00EE7274">
        <w:rPr>
          <w:i/>
        </w:rPr>
        <w:t>Energy in Agriculture</w:t>
      </w:r>
      <w:r>
        <w:t xml:space="preserve">, Vol. </w:t>
      </w:r>
      <w:r w:rsidR="009F1A75" w:rsidRPr="00EE7274">
        <w:t>3</w:t>
      </w:r>
      <w:r w:rsidR="005728C1">
        <w:t xml:space="preserve">, pp 1-27, 1984, </w:t>
      </w:r>
      <w:hyperlink r:id="rId29" w:tgtFrame="_blank" w:history="1">
        <w:r w:rsidR="005728C1" w:rsidRPr="00E673F7">
          <w:rPr>
            <w:rStyle w:val="Hyperlink"/>
            <w:rFonts w:ascii="Verdana" w:hAnsi="Verdana" w:cs="Arial"/>
            <w:color w:val="FF0000"/>
            <w:sz w:val="18"/>
            <w:szCs w:val="18"/>
            <w:u w:val="none"/>
          </w:rPr>
          <w:t>https://doi.org/10.1016/0167-5826(84)90002-0</w:t>
        </w:r>
      </w:hyperlink>
    </w:p>
    <w:p w:rsidR="009F1A75" w:rsidRPr="0058740F" w:rsidRDefault="00F705C5" w:rsidP="009F1A75">
      <w:pPr>
        <w:pStyle w:val="EndNoteBibliography"/>
        <w:ind w:left="340" w:hanging="340"/>
      </w:pPr>
      <w:r>
        <w:t>12.</w:t>
      </w:r>
      <w:r>
        <w:tab/>
        <w:t xml:space="preserve">Jones, </w:t>
      </w:r>
      <w:r w:rsidR="009F1A75" w:rsidRPr="0058740F">
        <w:t>J.</w:t>
      </w:r>
      <w:r w:rsidR="00744BF8">
        <w:t xml:space="preserve"> W., </w:t>
      </w:r>
      <w:r>
        <w:t xml:space="preserve">Antle, J. M., Basso, B., Boote, K. J., Conant, R. T., Foster, I., </w:t>
      </w:r>
      <w:r w:rsidRPr="00F705C5">
        <w:t>G</w:t>
      </w:r>
      <w:r>
        <w:t>odfray</w:t>
      </w:r>
      <w:r w:rsidR="00744BF8">
        <w:t xml:space="preserve">, H. C. J., Herrero, M., </w:t>
      </w:r>
      <w:r w:rsidRPr="00F705C5">
        <w:t>Howitth</w:t>
      </w:r>
      <w:r w:rsidR="00744BF8">
        <w:t>, R. E., Janssen, S., Keating, B. A., Munoz-Carpena, R., Porter, C. H., Rosenzweig, C. and Wheeler</w:t>
      </w:r>
      <w:r>
        <w:t>,</w:t>
      </w:r>
      <w:r w:rsidR="00744BF8">
        <w:t xml:space="preserve"> T. R., </w:t>
      </w:r>
      <w:r w:rsidR="009F1A75" w:rsidRPr="00F705C5">
        <w:t xml:space="preserve">Brief </w:t>
      </w:r>
      <w:r>
        <w:t>History o</w:t>
      </w:r>
      <w:r w:rsidRPr="00F705C5">
        <w:t xml:space="preserve">f Agricultural Systems Modeling, </w:t>
      </w:r>
      <w:r w:rsidR="009F1A75" w:rsidRPr="00F705C5">
        <w:rPr>
          <w:i/>
        </w:rPr>
        <w:t>Agricultural</w:t>
      </w:r>
      <w:r w:rsidRPr="00F705C5">
        <w:rPr>
          <w:i/>
        </w:rPr>
        <w:t xml:space="preserve"> Systems</w:t>
      </w:r>
      <w:r>
        <w:t xml:space="preserve">, Vol. </w:t>
      </w:r>
      <w:r w:rsidR="009F1A75" w:rsidRPr="00F705C5">
        <w:t>155</w:t>
      </w:r>
      <w:r w:rsidR="005728C1">
        <w:t xml:space="preserve">, pp 240-254, 2017, </w:t>
      </w:r>
      <w:hyperlink r:id="rId30" w:tgtFrame="_blank" w:history="1">
        <w:r w:rsidR="005728C1" w:rsidRPr="00E673F7">
          <w:rPr>
            <w:rStyle w:val="Hyperlink"/>
            <w:rFonts w:ascii="Verdana" w:hAnsi="Verdana" w:cs="Arial"/>
            <w:color w:val="FF0000"/>
            <w:sz w:val="18"/>
            <w:szCs w:val="18"/>
            <w:u w:val="none"/>
          </w:rPr>
          <w:t>https://doi.org/10.1016/j.agsy.2016.05.014</w:t>
        </w:r>
      </w:hyperlink>
    </w:p>
    <w:p w:rsidR="009F1A75" w:rsidRPr="0058740F" w:rsidRDefault="009F1A75" w:rsidP="009F1A75">
      <w:pPr>
        <w:pStyle w:val="EndNoteBibliography"/>
        <w:ind w:left="340" w:hanging="340"/>
      </w:pPr>
      <w:r w:rsidRPr="0058740F">
        <w:t>13.</w:t>
      </w:r>
      <w:r w:rsidRPr="0058740F">
        <w:tab/>
        <w:t xml:space="preserve">IMAGE-contributors, </w:t>
      </w:r>
      <w:r w:rsidRPr="00744BF8">
        <w:t>Welcome to IMAGE 3.0 Documentation</w:t>
      </w:r>
      <w:r w:rsidR="00744BF8">
        <w:t>, 2019.</w:t>
      </w:r>
    </w:p>
    <w:p w:rsidR="009F1A75" w:rsidRPr="0058740F" w:rsidRDefault="00744BF8" w:rsidP="009F1A75">
      <w:pPr>
        <w:pStyle w:val="EndNoteBibliography"/>
        <w:ind w:left="340" w:hanging="340"/>
      </w:pPr>
      <w:r>
        <w:t>14.</w:t>
      </w:r>
      <w:r>
        <w:tab/>
      </w:r>
      <w:r w:rsidR="00397099">
        <w:t xml:space="preserve">Krey, </w:t>
      </w:r>
      <w:r w:rsidRPr="00744BF8">
        <w:t>V</w:t>
      </w:r>
      <w:r w:rsidR="00397099">
        <w:t>.</w:t>
      </w:r>
      <w:r w:rsidRPr="00744BF8">
        <w:t>, Havlik</w:t>
      </w:r>
      <w:r w:rsidR="00397099">
        <w:t>,</w:t>
      </w:r>
      <w:r w:rsidRPr="00744BF8">
        <w:t xml:space="preserve"> P</w:t>
      </w:r>
      <w:r w:rsidR="00397099">
        <w:t>.</w:t>
      </w:r>
      <w:r w:rsidRPr="00744BF8">
        <w:t>, Fricko</w:t>
      </w:r>
      <w:r w:rsidR="00397099">
        <w:t xml:space="preserve">, </w:t>
      </w:r>
      <w:r w:rsidRPr="00744BF8">
        <w:t>O</w:t>
      </w:r>
      <w:r w:rsidR="00397099">
        <w:t>.</w:t>
      </w:r>
      <w:r w:rsidRPr="00744BF8">
        <w:t>, Zilliacus</w:t>
      </w:r>
      <w:r w:rsidR="00397099">
        <w:t>,</w:t>
      </w:r>
      <w:r w:rsidRPr="00744BF8">
        <w:t xml:space="preserve"> J</w:t>
      </w:r>
      <w:r w:rsidR="00397099">
        <w:t xml:space="preserve">., </w:t>
      </w:r>
      <w:r w:rsidRPr="00744BF8">
        <w:t>Gidden</w:t>
      </w:r>
      <w:r w:rsidR="00397099">
        <w:t>,</w:t>
      </w:r>
      <w:r w:rsidRPr="00744BF8">
        <w:t xml:space="preserve"> M</w:t>
      </w:r>
      <w:r w:rsidR="00397099">
        <w:t xml:space="preserve">., </w:t>
      </w:r>
      <w:r w:rsidRPr="00744BF8">
        <w:t>Strubegger</w:t>
      </w:r>
      <w:r w:rsidR="00397099">
        <w:t>,</w:t>
      </w:r>
      <w:r w:rsidRPr="00744BF8">
        <w:t xml:space="preserve"> M</w:t>
      </w:r>
      <w:r w:rsidR="00397099">
        <w:t>.</w:t>
      </w:r>
      <w:r w:rsidRPr="00744BF8">
        <w:t>, Kartasasmita</w:t>
      </w:r>
      <w:r w:rsidR="00397099">
        <w:t>,</w:t>
      </w:r>
      <w:r w:rsidRPr="00744BF8">
        <w:t xml:space="preserve"> G</w:t>
      </w:r>
      <w:r w:rsidR="00397099">
        <w:t>.</w:t>
      </w:r>
      <w:r w:rsidRPr="00744BF8">
        <w:t>, Ermolieva</w:t>
      </w:r>
      <w:r w:rsidR="00397099">
        <w:t>,</w:t>
      </w:r>
      <w:r w:rsidRPr="00744BF8">
        <w:t xml:space="preserve"> T</w:t>
      </w:r>
      <w:r w:rsidR="00397099">
        <w:t xml:space="preserve">., </w:t>
      </w:r>
      <w:r w:rsidRPr="00744BF8">
        <w:t>Forsell</w:t>
      </w:r>
      <w:r w:rsidR="00397099">
        <w:t xml:space="preserve">, </w:t>
      </w:r>
      <w:r w:rsidRPr="00744BF8">
        <w:t>N</w:t>
      </w:r>
      <w:r w:rsidR="00397099">
        <w:t>., Gusti, M.,</w:t>
      </w:r>
      <w:r w:rsidRPr="00744BF8">
        <w:t xml:space="preserve"> Johnson</w:t>
      </w:r>
      <w:r w:rsidR="00397099">
        <w:t>,</w:t>
      </w:r>
      <w:r w:rsidRPr="00744BF8">
        <w:t xml:space="preserve"> N</w:t>
      </w:r>
      <w:r w:rsidR="00397099">
        <w:t xml:space="preserve">., </w:t>
      </w:r>
      <w:r w:rsidRPr="00744BF8">
        <w:t>Kindermann</w:t>
      </w:r>
      <w:r w:rsidR="00397099">
        <w:t>,</w:t>
      </w:r>
      <w:r w:rsidRPr="00744BF8">
        <w:t xml:space="preserve"> G</w:t>
      </w:r>
      <w:r w:rsidR="00397099">
        <w:t xml:space="preserve">., Kolp, </w:t>
      </w:r>
      <w:r w:rsidRPr="00744BF8">
        <w:t>P</w:t>
      </w:r>
      <w:r w:rsidR="00397099">
        <w:t xml:space="preserve">., </w:t>
      </w:r>
      <w:r w:rsidRPr="00744BF8">
        <w:t>McCollum</w:t>
      </w:r>
      <w:r w:rsidR="00397099">
        <w:t xml:space="preserve">, </w:t>
      </w:r>
      <w:r w:rsidRPr="00744BF8">
        <w:t>D</w:t>
      </w:r>
      <w:r w:rsidR="00397099">
        <w:t xml:space="preserve">. </w:t>
      </w:r>
      <w:r w:rsidRPr="00744BF8">
        <w:t>L</w:t>
      </w:r>
      <w:r w:rsidR="00397099">
        <w:t xml:space="preserve">., </w:t>
      </w:r>
      <w:r w:rsidRPr="00744BF8">
        <w:t>Pachauri</w:t>
      </w:r>
      <w:r w:rsidR="00397099">
        <w:t>,</w:t>
      </w:r>
      <w:r w:rsidRPr="00744BF8">
        <w:t xml:space="preserve"> S</w:t>
      </w:r>
      <w:r w:rsidR="00397099">
        <w:t xml:space="preserve">., </w:t>
      </w:r>
      <w:r w:rsidRPr="00744BF8">
        <w:t>Rao</w:t>
      </w:r>
      <w:r w:rsidR="00397099">
        <w:t>,</w:t>
      </w:r>
      <w:r w:rsidRPr="00744BF8">
        <w:t xml:space="preserve"> S</w:t>
      </w:r>
      <w:r w:rsidR="00397099">
        <w:t xml:space="preserve">., </w:t>
      </w:r>
      <w:r w:rsidRPr="00744BF8">
        <w:t>Rogelj</w:t>
      </w:r>
      <w:r w:rsidR="00397099">
        <w:t>,</w:t>
      </w:r>
      <w:r w:rsidRPr="00744BF8">
        <w:t xml:space="preserve"> J</w:t>
      </w:r>
      <w:r w:rsidR="00397099">
        <w:t xml:space="preserve">., </w:t>
      </w:r>
      <w:r w:rsidRPr="00744BF8">
        <w:t>Valin</w:t>
      </w:r>
      <w:r w:rsidR="00397099">
        <w:t xml:space="preserve">, </w:t>
      </w:r>
      <w:r w:rsidRPr="00744BF8">
        <w:t>H</w:t>
      </w:r>
      <w:r w:rsidR="00397099">
        <w:t xml:space="preserve">., </w:t>
      </w:r>
      <w:r w:rsidRPr="00744BF8">
        <w:t>Obersteiner</w:t>
      </w:r>
      <w:r w:rsidR="00397099">
        <w:t>,</w:t>
      </w:r>
      <w:r w:rsidRPr="00744BF8">
        <w:t xml:space="preserve"> M</w:t>
      </w:r>
      <w:r w:rsidR="00397099">
        <w:t xml:space="preserve">. and </w:t>
      </w:r>
      <w:r w:rsidRPr="00744BF8">
        <w:t>Riahi</w:t>
      </w:r>
      <w:r w:rsidR="00397099">
        <w:t xml:space="preserve">, </w:t>
      </w:r>
      <w:r w:rsidRPr="00744BF8">
        <w:t>K</w:t>
      </w:r>
      <w:r w:rsidR="00397099">
        <w:t xml:space="preserve">., </w:t>
      </w:r>
      <w:r w:rsidR="009F1A75" w:rsidRPr="00744BF8">
        <w:t>MESSAGE-GLOBIOM 1.0 Documentation</w:t>
      </w:r>
      <w:r>
        <w:t xml:space="preserve">, </w:t>
      </w:r>
      <w:r w:rsidR="009F1A75" w:rsidRPr="0058740F">
        <w:t>International Institute for Ap</w:t>
      </w:r>
      <w:r w:rsidR="00397099">
        <w:t xml:space="preserve">plied Systems Analysis (IIASA), </w:t>
      </w:r>
      <w:r>
        <w:t>Laxenburg, Austria, 2016.</w:t>
      </w:r>
    </w:p>
    <w:p w:rsidR="009F1A75" w:rsidRPr="0058740F" w:rsidRDefault="009F1A75" w:rsidP="009F1A75">
      <w:pPr>
        <w:pStyle w:val="EndNoteBibliography"/>
        <w:ind w:left="340" w:hanging="340"/>
      </w:pPr>
      <w:r w:rsidRPr="0058740F">
        <w:t>15.</w:t>
      </w:r>
      <w:r w:rsidRPr="0058740F">
        <w:tab/>
        <w:t>D</w:t>
      </w:r>
      <w:r w:rsidR="00397099">
        <w:t xml:space="preserve">ietrich, </w:t>
      </w:r>
      <w:r w:rsidRPr="0058740F">
        <w:t>J</w:t>
      </w:r>
      <w:r w:rsidR="00397099">
        <w:t xml:space="preserve">., </w:t>
      </w:r>
      <w:r w:rsidR="00397099" w:rsidRPr="00397099">
        <w:t>Bodirsky</w:t>
      </w:r>
      <w:r w:rsidR="00397099">
        <w:t xml:space="preserve">, </w:t>
      </w:r>
      <w:r w:rsidR="00397099" w:rsidRPr="00397099">
        <w:t>B</w:t>
      </w:r>
      <w:r w:rsidR="00397099">
        <w:t>.</w:t>
      </w:r>
      <w:r w:rsidR="00397099" w:rsidRPr="00397099">
        <w:t>, Weindl</w:t>
      </w:r>
      <w:r w:rsidR="00397099">
        <w:t xml:space="preserve">, </w:t>
      </w:r>
      <w:r w:rsidR="00397099" w:rsidRPr="00397099">
        <w:t>I</w:t>
      </w:r>
      <w:r w:rsidR="00397099">
        <w:t xml:space="preserve">., </w:t>
      </w:r>
      <w:r w:rsidR="00397099" w:rsidRPr="00397099">
        <w:t>Humpenöder</w:t>
      </w:r>
      <w:r w:rsidR="00397099">
        <w:t xml:space="preserve">, </w:t>
      </w:r>
      <w:r w:rsidR="00397099" w:rsidRPr="00397099">
        <w:t>F</w:t>
      </w:r>
      <w:r w:rsidR="00397099">
        <w:t>.</w:t>
      </w:r>
      <w:r w:rsidR="00397099" w:rsidRPr="00397099">
        <w:t>, Stevanovic</w:t>
      </w:r>
      <w:r w:rsidR="00397099">
        <w:t>,</w:t>
      </w:r>
      <w:r w:rsidR="00397099" w:rsidRPr="00397099">
        <w:t xml:space="preserve"> M</w:t>
      </w:r>
      <w:r w:rsidR="00397099">
        <w:t xml:space="preserve">., </w:t>
      </w:r>
      <w:r w:rsidR="00103B0A">
        <w:br/>
      </w:r>
      <w:r w:rsidR="00397099" w:rsidRPr="00397099">
        <w:t>Kreidenweis</w:t>
      </w:r>
      <w:r w:rsidR="00397099">
        <w:t>,</w:t>
      </w:r>
      <w:r w:rsidR="00397099" w:rsidRPr="00397099">
        <w:t xml:space="preserve"> U</w:t>
      </w:r>
      <w:r w:rsidR="00397099">
        <w:t>.</w:t>
      </w:r>
      <w:r w:rsidR="00397099" w:rsidRPr="00397099">
        <w:t>, Wang</w:t>
      </w:r>
      <w:r w:rsidR="00397099">
        <w:t>,</w:t>
      </w:r>
      <w:r w:rsidR="00397099" w:rsidRPr="00397099">
        <w:t xml:space="preserve"> X</w:t>
      </w:r>
      <w:r w:rsidR="00397099">
        <w:t>.</w:t>
      </w:r>
      <w:r w:rsidR="00397099" w:rsidRPr="00397099">
        <w:t>, Karstens</w:t>
      </w:r>
      <w:r w:rsidR="00397099">
        <w:t>,</w:t>
      </w:r>
      <w:r w:rsidR="00397099" w:rsidRPr="00397099">
        <w:t xml:space="preserve"> K</w:t>
      </w:r>
      <w:r w:rsidR="00397099">
        <w:t>.</w:t>
      </w:r>
      <w:r w:rsidR="00397099" w:rsidRPr="00397099">
        <w:t>, Mishra</w:t>
      </w:r>
      <w:r w:rsidR="00397099">
        <w:t>,</w:t>
      </w:r>
      <w:r w:rsidR="00397099" w:rsidRPr="00397099">
        <w:t xml:space="preserve"> A</w:t>
      </w:r>
      <w:r w:rsidR="00397099">
        <w:t>.</w:t>
      </w:r>
      <w:r w:rsidR="00397099" w:rsidRPr="00397099">
        <w:t>, Klein</w:t>
      </w:r>
      <w:r w:rsidR="00397099">
        <w:t>,</w:t>
      </w:r>
      <w:r w:rsidR="00397099" w:rsidRPr="00397099">
        <w:t xml:space="preserve"> D</w:t>
      </w:r>
      <w:r w:rsidR="00397099">
        <w:t>.</w:t>
      </w:r>
      <w:r w:rsidR="00397099" w:rsidRPr="00397099">
        <w:t>, Ambrósio</w:t>
      </w:r>
      <w:r w:rsidR="00397099">
        <w:t>,</w:t>
      </w:r>
      <w:r w:rsidR="00397099" w:rsidRPr="00397099">
        <w:t xml:space="preserve"> G</w:t>
      </w:r>
      <w:r w:rsidR="00397099">
        <w:t>.</w:t>
      </w:r>
      <w:r w:rsidR="00397099" w:rsidRPr="00397099">
        <w:t>, Araujo</w:t>
      </w:r>
      <w:r w:rsidR="00397099">
        <w:t>,</w:t>
      </w:r>
      <w:r w:rsidR="00397099" w:rsidRPr="00397099">
        <w:t xml:space="preserve"> E</w:t>
      </w:r>
      <w:r w:rsidR="00397099">
        <w:t>.</w:t>
      </w:r>
      <w:r w:rsidR="00397099" w:rsidRPr="00397099">
        <w:t>, Biewald</w:t>
      </w:r>
      <w:r w:rsidR="00397099">
        <w:t>,</w:t>
      </w:r>
      <w:r w:rsidR="00397099" w:rsidRPr="00397099">
        <w:t xml:space="preserve"> A</w:t>
      </w:r>
      <w:r w:rsidR="00397099">
        <w:t xml:space="preserve">., </w:t>
      </w:r>
      <w:r w:rsidR="00397099" w:rsidRPr="00397099">
        <w:t>Lotze-Campen</w:t>
      </w:r>
      <w:r w:rsidR="00397099">
        <w:t>,</w:t>
      </w:r>
      <w:r w:rsidR="00397099" w:rsidRPr="00397099">
        <w:t xml:space="preserve"> H</w:t>
      </w:r>
      <w:r w:rsidR="00397099">
        <w:t xml:space="preserve">. and Popp, </w:t>
      </w:r>
      <w:r w:rsidR="00397099" w:rsidRPr="00397099">
        <w:t>A</w:t>
      </w:r>
      <w:r w:rsidR="00397099">
        <w:t>.</w:t>
      </w:r>
      <w:r w:rsidRPr="0058740F">
        <w:t xml:space="preserve">, </w:t>
      </w:r>
      <w:r w:rsidR="00397099">
        <w:t>MAgPIE ‒</w:t>
      </w:r>
      <w:r w:rsidRPr="00397099">
        <w:t xml:space="preserve"> An Open Source </w:t>
      </w:r>
      <w:r w:rsidR="00397099" w:rsidRPr="00397099">
        <w:t>Land-Use Modeling Framework</w:t>
      </w:r>
      <w:r w:rsidR="00397099">
        <w:t xml:space="preserve">, </w:t>
      </w:r>
      <w:r w:rsidR="00397099" w:rsidRPr="00397099">
        <w:rPr>
          <w:i/>
        </w:rPr>
        <w:t>Geoscientific Model Development Discussions</w:t>
      </w:r>
      <w:r w:rsidR="00397099">
        <w:t xml:space="preserve">, pp 1-26, </w:t>
      </w:r>
      <w:r w:rsidR="005728C1">
        <w:t xml:space="preserve">2018, </w:t>
      </w:r>
      <w:hyperlink r:id="rId31" w:tgtFrame="_blank" w:history="1">
        <w:r w:rsidR="005728C1" w:rsidRPr="00E673F7">
          <w:rPr>
            <w:rStyle w:val="Hyperlink"/>
            <w:rFonts w:ascii="Verdana" w:hAnsi="Verdana" w:cs="Arial"/>
            <w:color w:val="FF0000"/>
            <w:sz w:val="18"/>
            <w:szCs w:val="18"/>
            <w:u w:val="none"/>
          </w:rPr>
          <w:t>https://doi.org/10.5194/gmd-2018-295</w:t>
        </w:r>
      </w:hyperlink>
    </w:p>
    <w:p w:rsidR="009F1A75" w:rsidRPr="0058740F" w:rsidRDefault="00397099" w:rsidP="009F1A75">
      <w:pPr>
        <w:pStyle w:val="EndNoteBibliography"/>
        <w:ind w:left="340" w:hanging="340"/>
      </w:pPr>
      <w:r>
        <w:t>16.</w:t>
      </w:r>
      <w:r>
        <w:tab/>
        <w:t xml:space="preserve">Wise, M., </w:t>
      </w:r>
      <w:r w:rsidRPr="00397099">
        <w:t>Calvin,</w:t>
      </w:r>
      <w:r>
        <w:t xml:space="preserve"> K., </w:t>
      </w:r>
      <w:r w:rsidRPr="00397099">
        <w:t>Kyle,</w:t>
      </w:r>
      <w:r>
        <w:t xml:space="preserve"> P., </w:t>
      </w:r>
      <w:r w:rsidRPr="00397099">
        <w:t>Luckow</w:t>
      </w:r>
      <w:r>
        <w:t xml:space="preserve">, P. and </w:t>
      </w:r>
      <w:r w:rsidRPr="00397099">
        <w:t>Edmonds</w:t>
      </w:r>
      <w:r w:rsidR="009F1A75" w:rsidRPr="0058740F">
        <w:t>,</w:t>
      </w:r>
      <w:r>
        <w:t xml:space="preserve"> J., </w:t>
      </w:r>
      <w:r w:rsidR="009F1A75" w:rsidRPr="00397099">
        <w:t xml:space="preserve">Economic </w:t>
      </w:r>
      <w:r>
        <w:t>and Physical Modeling of Land Use in Gcam 3.0 and an Application t</w:t>
      </w:r>
      <w:r w:rsidRPr="00397099">
        <w:t>o Ag</w:t>
      </w:r>
      <w:r>
        <w:t>ricultural Productivity, Land, a</w:t>
      </w:r>
      <w:r w:rsidRPr="00397099">
        <w:t>nd Terrestrial Carbon</w:t>
      </w:r>
      <w:r w:rsidR="002D0F79">
        <w:t xml:space="preserve">, </w:t>
      </w:r>
      <w:r w:rsidR="009F1A75" w:rsidRPr="002D0F79">
        <w:rPr>
          <w:i/>
        </w:rPr>
        <w:t>Climate Change Economi</w:t>
      </w:r>
      <w:r w:rsidRPr="002D0F79">
        <w:rPr>
          <w:i/>
        </w:rPr>
        <w:t>cs</w:t>
      </w:r>
      <w:r w:rsidR="002D0F79">
        <w:t xml:space="preserve">, </w:t>
      </w:r>
      <w:r>
        <w:t xml:space="preserve">Vol. </w:t>
      </w:r>
      <w:r w:rsidR="009F1A75" w:rsidRPr="00397099">
        <w:t>5</w:t>
      </w:r>
      <w:r>
        <w:t xml:space="preserve">, </w:t>
      </w:r>
      <w:r w:rsidRPr="00397099">
        <w:t xml:space="preserve">No. </w:t>
      </w:r>
      <w:r w:rsidR="00103B0A">
        <w:t xml:space="preserve">2, </w:t>
      </w:r>
      <w:r w:rsidR="005728C1">
        <w:t xml:space="preserve">1450003, 2014, </w:t>
      </w:r>
      <w:hyperlink r:id="rId32" w:tgtFrame="_blank" w:history="1">
        <w:r w:rsidR="005728C1" w:rsidRPr="00E673F7">
          <w:rPr>
            <w:rStyle w:val="Hyperlink"/>
            <w:rFonts w:ascii="Verdana" w:hAnsi="Verdana" w:cs="Arial"/>
            <w:color w:val="FF0000"/>
            <w:sz w:val="18"/>
            <w:szCs w:val="18"/>
            <w:u w:val="none"/>
          </w:rPr>
          <w:t>https://doi.org/10.1142/S2010007814500031</w:t>
        </w:r>
      </w:hyperlink>
    </w:p>
    <w:p w:rsidR="009F1A75" w:rsidRPr="0058740F" w:rsidRDefault="002D0F79" w:rsidP="009F1A75">
      <w:pPr>
        <w:pStyle w:val="EndNoteBibliography"/>
        <w:ind w:left="340" w:hanging="340"/>
      </w:pPr>
      <w:r>
        <w:t>17.</w:t>
      </w:r>
      <w:r>
        <w:tab/>
        <w:t>Elobe</w:t>
      </w:r>
      <w:r w:rsidR="00D403F7">
        <w:t xml:space="preserve">id, A., </w:t>
      </w:r>
      <w:r>
        <w:t xml:space="preserve">Tokgoz, S., Dodder, R., </w:t>
      </w:r>
      <w:r w:rsidRPr="002D0F79">
        <w:t>Johnson</w:t>
      </w:r>
      <w:r>
        <w:t xml:space="preserve">, T., Kaplan, O., Kurkalova, L. and Secchi, S., </w:t>
      </w:r>
      <w:r w:rsidR="009F1A75" w:rsidRPr="002D0F79">
        <w:t xml:space="preserve">Integration </w:t>
      </w:r>
      <w:r>
        <w:t>of Agricultural a</w:t>
      </w:r>
      <w:r w:rsidRPr="002D0F79">
        <w:t>nd Ener</w:t>
      </w:r>
      <w:r>
        <w:t xml:space="preserve">gy System Models for Biofuel Assessment, </w:t>
      </w:r>
      <w:r w:rsidR="009F1A75" w:rsidRPr="002D0F79">
        <w:rPr>
          <w:i/>
        </w:rPr>
        <w:t>Environmental Modelling &amp; Software</w:t>
      </w:r>
      <w:r>
        <w:t xml:space="preserve">, Vol. </w:t>
      </w:r>
      <w:r w:rsidR="009F1A75" w:rsidRPr="002D0F79">
        <w:t>48</w:t>
      </w:r>
      <w:r w:rsidR="005728C1">
        <w:t xml:space="preserve">, pp 1-16, 2013, </w:t>
      </w:r>
      <w:hyperlink r:id="rId33" w:tgtFrame="_blank" w:history="1">
        <w:r w:rsidR="005728C1" w:rsidRPr="00E673F7">
          <w:rPr>
            <w:rStyle w:val="Hyperlink"/>
            <w:rFonts w:ascii="Verdana" w:hAnsi="Verdana" w:cs="Arial"/>
            <w:color w:val="FF0000"/>
            <w:sz w:val="18"/>
            <w:szCs w:val="18"/>
            <w:u w:val="none"/>
          </w:rPr>
          <w:t>https://doi.org/10.1016/j.envsoft.2013.05.007</w:t>
        </w:r>
      </w:hyperlink>
    </w:p>
    <w:p w:rsidR="009F1A75" w:rsidRPr="0058740F" w:rsidRDefault="00D403F7" w:rsidP="009F1A75">
      <w:pPr>
        <w:pStyle w:val="EndNoteBibliography"/>
        <w:ind w:left="340" w:hanging="340"/>
      </w:pPr>
      <w:r>
        <w:lastRenderedPageBreak/>
        <w:t>18.</w:t>
      </w:r>
      <w:r>
        <w:tab/>
        <w:t xml:space="preserve">Rochedo, P. R. R., </w:t>
      </w:r>
      <w:r w:rsidR="009F1A75" w:rsidRPr="00D403F7">
        <w:t xml:space="preserve">Development </w:t>
      </w:r>
      <w:r>
        <w:t>of a</w:t>
      </w:r>
      <w:r w:rsidRPr="00D403F7">
        <w:t xml:space="preserve"> </w:t>
      </w:r>
      <w:r>
        <w:t>Global Integrated Energy Model to Evaluate t</w:t>
      </w:r>
      <w:r w:rsidRPr="00D403F7">
        <w:t xml:space="preserve">he </w:t>
      </w:r>
      <w:r w:rsidR="009F1A75" w:rsidRPr="00D403F7">
        <w:t xml:space="preserve">Brazilian </w:t>
      </w:r>
      <w:r>
        <w:t>Role i</w:t>
      </w:r>
      <w:r w:rsidRPr="00D403F7">
        <w:t>n Climat</w:t>
      </w:r>
      <w:r>
        <w:t xml:space="preserve">e Change Mitigation Scenarios, </w:t>
      </w:r>
      <w:r w:rsidRPr="00D403F7">
        <w:rPr>
          <w:i/>
        </w:rPr>
        <w:t>Ph. D. Thesis</w:t>
      </w:r>
      <w:r>
        <w:t xml:space="preserve">, </w:t>
      </w:r>
      <w:r>
        <w:br/>
      </w:r>
      <w:r w:rsidRPr="00D403F7">
        <w:t>Federal University of Rio de Janeiro</w:t>
      </w:r>
      <w:r>
        <w:t>, Rio de Janeiro, Brazil, 2016.</w:t>
      </w:r>
    </w:p>
    <w:p w:rsidR="009F1A75" w:rsidRPr="0058740F" w:rsidRDefault="00D403F7" w:rsidP="009F1A75">
      <w:pPr>
        <w:pStyle w:val="EndNoteBibliography"/>
        <w:ind w:left="340" w:hanging="340"/>
      </w:pPr>
      <w:r>
        <w:t>19.</w:t>
      </w:r>
      <w:r>
        <w:tab/>
        <w:t xml:space="preserve">Miljkovic, D., </w:t>
      </w:r>
      <w:r w:rsidRPr="00D403F7">
        <w:t>Ripplinger</w:t>
      </w:r>
      <w:r>
        <w:t xml:space="preserve">, D. and </w:t>
      </w:r>
      <w:r w:rsidRPr="00D403F7">
        <w:t>Shaik</w:t>
      </w:r>
      <w:r>
        <w:t xml:space="preserve">, S., </w:t>
      </w:r>
      <w:r w:rsidR="009F1A75" w:rsidRPr="00D403F7">
        <w:t xml:space="preserve">Impact </w:t>
      </w:r>
      <w:r>
        <w:t>of Biofuel Policies on the Use of Land and Energy i</w:t>
      </w:r>
      <w:r w:rsidRPr="00D403F7">
        <w:t xml:space="preserve">n </w:t>
      </w:r>
      <w:r w:rsidR="009F1A75" w:rsidRPr="00D403F7">
        <w:t>U</w:t>
      </w:r>
      <w:r w:rsidRPr="00D403F7">
        <w:t>.</w:t>
      </w:r>
      <w:r w:rsidR="009F1A75" w:rsidRPr="00D403F7">
        <w:t>S</w:t>
      </w:r>
      <w:r w:rsidR="004302FB">
        <w:t xml:space="preserve">. </w:t>
      </w:r>
      <w:r>
        <w:t xml:space="preserve">Agriculture, </w:t>
      </w:r>
      <w:r w:rsidR="009F1A75" w:rsidRPr="00D403F7">
        <w:rPr>
          <w:i/>
        </w:rPr>
        <w:t>J</w:t>
      </w:r>
      <w:r w:rsidRPr="00D403F7">
        <w:rPr>
          <w:i/>
        </w:rPr>
        <w:t>ournal of Policy Modeling</w:t>
      </w:r>
      <w:r w:rsidR="004302FB">
        <w:t xml:space="preserve">, </w:t>
      </w:r>
      <w:r>
        <w:t xml:space="preserve">Vol. </w:t>
      </w:r>
      <w:r w:rsidR="009F1A75" w:rsidRPr="00D403F7">
        <w:t>38</w:t>
      </w:r>
      <w:r>
        <w:t xml:space="preserve">, </w:t>
      </w:r>
      <w:r w:rsidRPr="00D403F7">
        <w:t xml:space="preserve">No. </w:t>
      </w:r>
      <w:r>
        <w:t>6,</w:t>
      </w:r>
      <w:r w:rsidR="004302FB">
        <w:t xml:space="preserve"> </w:t>
      </w:r>
      <w:r w:rsidR="004302FB">
        <w:br/>
      </w:r>
      <w:r w:rsidR="005728C1">
        <w:t xml:space="preserve">pp 1089-1098, 2016, </w:t>
      </w:r>
      <w:hyperlink r:id="rId34" w:tgtFrame="_blank" w:history="1">
        <w:r w:rsidR="005728C1" w:rsidRPr="00A20041">
          <w:rPr>
            <w:rStyle w:val="Hyperlink"/>
            <w:rFonts w:ascii="Verdana" w:hAnsi="Verdana" w:cs="Arial"/>
            <w:color w:val="FF0000"/>
            <w:sz w:val="18"/>
            <w:szCs w:val="18"/>
            <w:u w:val="none"/>
          </w:rPr>
          <w:t>https://doi.org/10.1016/j.jpolmod.2016.10.001</w:t>
        </w:r>
      </w:hyperlink>
    </w:p>
    <w:p w:rsidR="009F1A75" w:rsidRPr="0058740F" w:rsidRDefault="004302FB" w:rsidP="009F1A75">
      <w:pPr>
        <w:pStyle w:val="EndNoteBibliography"/>
        <w:ind w:left="340" w:hanging="340"/>
      </w:pPr>
      <w:r>
        <w:t>20.</w:t>
      </w:r>
      <w:r>
        <w:tab/>
        <w:t xml:space="preserve">Al-Mansour, F. and Jejcic, V., </w:t>
      </w:r>
      <w:r w:rsidR="009F1A75" w:rsidRPr="004302FB">
        <w:t xml:space="preserve">A </w:t>
      </w:r>
      <w:r>
        <w:t>Model Calculation of the Carbon Footprint o</w:t>
      </w:r>
      <w:r w:rsidRPr="004302FB">
        <w:t xml:space="preserve">f Agricultural Products: </w:t>
      </w:r>
      <w:r w:rsidR="009F1A75" w:rsidRPr="004302FB">
        <w:t xml:space="preserve">The </w:t>
      </w:r>
      <w:r>
        <w:t>Case o</w:t>
      </w:r>
      <w:r w:rsidRPr="004302FB">
        <w:t xml:space="preserve">f </w:t>
      </w:r>
      <w:r w:rsidR="009F1A75" w:rsidRPr="004302FB">
        <w:t>Slovenia</w:t>
      </w:r>
      <w:r>
        <w:t xml:space="preserve">, </w:t>
      </w:r>
      <w:r w:rsidR="009F1A75" w:rsidRPr="004302FB">
        <w:rPr>
          <w:i/>
        </w:rPr>
        <w:t>Energy</w:t>
      </w:r>
      <w:r w:rsidR="009C4831">
        <w:t xml:space="preserve">, Vol. </w:t>
      </w:r>
      <w:r w:rsidR="009F1A75" w:rsidRPr="004302FB">
        <w:t>136</w:t>
      </w:r>
      <w:r>
        <w:t xml:space="preserve">, pp </w:t>
      </w:r>
      <w:r w:rsidR="009C4831">
        <w:t xml:space="preserve">7-15, </w:t>
      </w:r>
      <w:r w:rsidR="005728C1">
        <w:t xml:space="preserve">2017, </w:t>
      </w:r>
      <w:hyperlink r:id="rId35" w:tgtFrame="_blank" w:history="1">
        <w:r w:rsidR="005728C1" w:rsidRPr="00A20041">
          <w:rPr>
            <w:rStyle w:val="Hyperlink"/>
            <w:rFonts w:ascii="Verdana" w:hAnsi="Verdana" w:cs="Arial"/>
            <w:color w:val="FF0000"/>
            <w:sz w:val="18"/>
            <w:szCs w:val="18"/>
            <w:u w:val="none"/>
          </w:rPr>
          <w:t>https://doi.org/10.1016/j.energy.2016.10.099</w:t>
        </w:r>
      </w:hyperlink>
    </w:p>
    <w:p w:rsidR="009F1A75" w:rsidRPr="0058740F" w:rsidRDefault="009C4831" w:rsidP="009F1A75">
      <w:pPr>
        <w:pStyle w:val="EndNoteBibliography"/>
        <w:ind w:left="340" w:hanging="340"/>
      </w:pPr>
      <w:r>
        <w:t>21.</w:t>
      </w:r>
      <w:r>
        <w:tab/>
        <w:t xml:space="preserve">Chiodi, A., Deane, P., Gargiulo, M. and O'Gallachoir, B., </w:t>
      </w:r>
      <w:r w:rsidR="009F1A75" w:rsidRPr="009C4831">
        <w:t xml:space="preserve">The </w:t>
      </w:r>
      <w:r>
        <w:t>Role of Bioenergy i</w:t>
      </w:r>
      <w:r w:rsidRPr="009C4831">
        <w:t xml:space="preserve">n </w:t>
      </w:r>
      <w:r w:rsidR="009F1A75" w:rsidRPr="009C4831">
        <w:t xml:space="preserve">Ireland’s </w:t>
      </w:r>
      <w:r>
        <w:t>Low Carbon Future – Is i</w:t>
      </w:r>
      <w:r w:rsidRPr="009C4831">
        <w:t>t Sustainable?</w:t>
      </w:r>
      <w:r>
        <w:t xml:space="preserve">, </w:t>
      </w:r>
      <w:r w:rsidR="009F1A75" w:rsidRPr="009C4831">
        <w:rPr>
          <w:i/>
        </w:rPr>
        <w:t>Journal of Sus</w:t>
      </w:r>
      <w:r>
        <w:rPr>
          <w:i/>
        </w:rPr>
        <w:t xml:space="preserve">tainable Development of Energy, </w:t>
      </w:r>
      <w:r w:rsidR="009F1A75" w:rsidRPr="009C4831">
        <w:rPr>
          <w:i/>
        </w:rPr>
        <w:t>Water and Environment Systems</w:t>
      </w:r>
      <w:r>
        <w:t>, Vol.</w:t>
      </w:r>
      <w:r w:rsidR="009F1A75" w:rsidRPr="0058740F">
        <w:t xml:space="preserve"> </w:t>
      </w:r>
      <w:r w:rsidR="009F1A75" w:rsidRPr="009C4831">
        <w:t>3</w:t>
      </w:r>
      <w:r w:rsidRPr="009C4831">
        <w:t xml:space="preserve">, No. </w:t>
      </w:r>
      <w:r w:rsidR="005728C1">
        <w:t xml:space="preserve">2, pp 196-216, 2015, </w:t>
      </w:r>
      <w:hyperlink r:id="rId36" w:tgtFrame="_blank" w:history="1">
        <w:r w:rsidR="005728C1" w:rsidRPr="00A20041">
          <w:rPr>
            <w:rStyle w:val="Hyperlink"/>
            <w:rFonts w:ascii="Verdana" w:hAnsi="Verdana" w:cs="Arial"/>
            <w:color w:val="FF0000"/>
            <w:sz w:val="18"/>
            <w:szCs w:val="18"/>
            <w:u w:val="none"/>
          </w:rPr>
          <w:t>https://doi.org/10.13044/j.sdewes.2015.03.0016</w:t>
        </w:r>
      </w:hyperlink>
    </w:p>
    <w:p w:rsidR="009F1A75" w:rsidRPr="0058740F" w:rsidRDefault="009C4831" w:rsidP="009F1A75">
      <w:pPr>
        <w:pStyle w:val="EndNoteBibliography"/>
        <w:ind w:left="340" w:hanging="340"/>
      </w:pPr>
      <w:r>
        <w:t>22.</w:t>
      </w:r>
      <w:r>
        <w:tab/>
        <w:t xml:space="preserve">Gonzalez-Salazar, </w:t>
      </w:r>
      <w:r w:rsidR="009F1A75" w:rsidRPr="0058740F">
        <w:t>M.</w:t>
      </w:r>
      <w:r>
        <w:t xml:space="preserve"> A., Venturini, M., Poganietz, W.-R., Finkenrath, M., Kirsten, T., Acevedo, H. and Spina, P. R., </w:t>
      </w:r>
      <w:r w:rsidR="009F1A75" w:rsidRPr="009C4831">
        <w:t xml:space="preserve">A </w:t>
      </w:r>
      <w:r>
        <w:t>General Modeling Framework t</w:t>
      </w:r>
      <w:r w:rsidRPr="009C4831">
        <w:t>o Evaluate Energy, Ec</w:t>
      </w:r>
      <w:r>
        <w:t>onomy, Land-Use a</w:t>
      </w:r>
      <w:r w:rsidRPr="009C4831">
        <w:t xml:space="preserve">nd </w:t>
      </w:r>
      <w:r w:rsidR="009F1A75" w:rsidRPr="009C4831">
        <w:t xml:space="preserve">GHG </w:t>
      </w:r>
      <w:r w:rsidRPr="009C4831">
        <w:t>Emissions Ne</w:t>
      </w:r>
      <w:r>
        <w:t xml:space="preserve">xus for Bioenergy Exploitation, </w:t>
      </w:r>
      <w:r>
        <w:br/>
      </w:r>
      <w:r w:rsidR="009F1A75" w:rsidRPr="009C4831">
        <w:rPr>
          <w:i/>
        </w:rPr>
        <w:t>Applied Energy</w:t>
      </w:r>
      <w:r>
        <w:t xml:space="preserve">, Vol. </w:t>
      </w:r>
      <w:r w:rsidR="009F1A75" w:rsidRPr="009C4831">
        <w:t>178</w:t>
      </w:r>
      <w:r w:rsidR="005728C1">
        <w:t xml:space="preserve">, pp 223-249, 2016, </w:t>
      </w:r>
      <w:hyperlink r:id="rId37" w:tgtFrame="_blank" w:history="1">
        <w:r w:rsidR="005728C1" w:rsidRPr="00A20041">
          <w:rPr>
            <w:rStyle w:val="Hyperlink"/>
            <w:rFonts w:ascii="Verdana" w:hAnsi="Verdana" w:cs="Arial"/>
            <w:color w:val="FF0000"/>
            <w:sz w:val="18"/>
            <w:szCs w:val="18"/>
            <w:u w:val="none"/>
          </w:rPr>
          <w:t>https://doi.org/10.1016/j.apenergy.2016.06.039</w:t>
        </w:r>
      </w:hyperlink>
    </w:p>
    <w:p w:rsidR="009F1A75" w:rsidRPr="0058740F" w:rsidRDefault="00460D62" w:rsidP="009F1A75">
      <w:pPr>
        <w:pStyle w:val="EndNoteBibliography"/>
        <w:ind w:left="340" w:hanging="340"/>
      </w:pPr>
      <w:r>
        <w:t>23.</w:t>
      </w:r>
      <w:r>
        <w:tab/>
        <w:t xml:space="preserve">Wise, M., </w:t>
      </w:r>
      <w:r w:rsidRPr="00460D62">
        <w:t>Calvin,</w:t>
      </w:r>
      <w:r>
        <w:t xml:space="preserve"> K., </w:t>
      </w:r>
      <w:r w:rsidRPr="00460D62">
        <w:t xml:space="preserve">Thomson, </w:t>
      </w:r>
      <w:r>
        <w:t xml:space="preserve">A., </w:t>
      </w:r>
      <w:r w:rsidRPr="00460D62">
        <w:t>Clarke,</w:t>
      </w:r>
      <w:r>
        <w:t xml:space="preserve"> L., </w:t>
      </w:r>
      <w:r w:rsidRPr="00460D62">
        <w:t>Bond-Lamberty,</w:t>
      </w:r>
      <w:r>
        <w:t xml:space="preserve"> B., Sands</w:t>
      </w:r>
      <w:r w:rsidRPr="00460D62">
        <w:t>,</w:t>
      </w:r>
      <w:r>
        <w:t xml:space="preserve"> R., </w:t>
      </w:r>
      <w:r w:rsidRPr="00460D62">
        <w:t>Smith,</w:t>
      </w:r>
      <w:r>
        <w:t xml:space="preserve"> S. J., </w:t>
      </w:r>
      <w:r w:rsidRPr="00460D62">
        <w:t>Janetos,</w:t>
      </w:r>
      <w:r>
        <w:t xml:space="preserve"> A. and Edmonds, J., </w:t>
      </w:r>
      <w:r w:rsidR="009F1A75" w:rsidRPr="00460D62">
        <w:t>Implications of Limiting CO</w:t>
      </w:r>
      <w:r w:rsidR="009F1A75" w:rsidRPr="005728C1">
        <w:rPr>
          <w:vertAlign w:val="subscript"/>
        </w:rPr>
        <w:t>2</w:t>
      </w:r>
      <w:r w:rsidR="009F1A75" w:rsidRPr="00460D62">
        <w:t xml:space="preserve"> Concent</w:t>
      </w:r>
      <w:r>
        <w:t xml:space="preserve">rations for Land Use and Energy, </w:t>
      </w:r>
      <w:r w:rsidRPr="00460D62">
        <w:rPr>
          <w:i/>
        </w:rPr>
        <w:t>Science</w:t>
      </w:r>
      <w:r>
        <w:t xml:space="preserve">, Vol. </w:t>
      </w:r>
      <w:r w:rsidR="009F1A75" w:rsidRPr="00460D62">
        <w:t>324</w:t>
      </w:r>
      <w:r w:rsidRPr="00460D62">
        <w:t xml:space="preserve">, No. </w:t>
      </w:r>
      <w:r w:rsidR="005728C1">
        <w:t xml:space="preserve">5931, pp 1183-1186, 2009, </w:t>
      </w:r>
      <w:hyperlink r:id="rId38" w:tgtFrame="_blank" w:history="1">
        <w:r w:rsidR="005728C1" w:rsidRPr="00A20041">
          <w:rPr>
            <w:rStyle w:val="Hyperlink"/>
            <w:rFonts w:ascii="Verdana" w:hAnsi="Verdana" w:cs="Arial"/>
            <w:color w:val="FF0000"/>
            <w:sz w:val="18"/>
            <w:szCs w:val="18"/>
            <w:u w:val="none"/>
          </w:rPr>
          <w:t>https://doi.org/10.1126/science.1168475</w:t>
        </w:r>
      </w:hyperlink>
    </w:p>
    <w:p w:rsidR="009F1A75" w:rsidRPr="0058740F" w:rsidRDefault="00C0636B" w:rsidP="009F1A75">
      <w:pPr>
        <w:pStyle w:val="EndNoteBibliography"/>
        <w:ind w:left="340" w:hanging="340"/>
      </w:pPr>
      <w:r>
        <w:t>24.</w:t>
      </w:r>
      <w:r>
        <w:tab/>
        <w:t xml:space="preserve">Giarola, S., </w:t>
      </w:r>
      <w:r w:rsidRPr="00C0636B">
        <w:t>Budinis, S</w:t>
      </w:r>
      <w:r>
        <w:t xml:space="preserve">., Sachs, </w:t>
      </w:r>
      <w:r w:rsidRPr="00C0636B">
        <w:t>J</w:t>
      </w:r>
      <w:r>
        <w:t xml:space="preserve">. and </w:t>
      </w:r>
      <w:r w:rsidRPr="00C0636B">
        <w:t>Hawkes, A</w:t>
      </w:r>
      <w:r>
        <w:t xml:space="preserve">. </w:t>
      </w:r>
      <w:r w:rsidRPr="00C0636B">
        <w:t>D</w:t>
      </w:r>
      <w:r>
        <w:t xml:space="preserve">., </w:t>
      </w:r>
      <w:r w:rsidR="009F1A75" w:rsidRPr="00C0636B">
        <w:t>Long</w:t>
      </w:r>
      <w:r w:rsidRPr="00C0636B">
        <w:t>-</w:t>
      </w:r>
      <w:r>
        <w:t xml:space="preserve">Term Decarbonisation Scenarios in the Industrial Sector, </w:t>
      </w:r>
      <w:r w:rsidRPr="00C0636B">
        <w:rPr>
          <w:i/>
        </w:rPr>
        <w:t xml:space="preserve">Proceedings of the 2017 </w:t>
      </w:r>
      <w:r w:rsidR="009F1A75" w:rsidRPr="00C0636B">
        <w:rPr>
          <w:i/>
        </w:rPr>
        <w:t>International Energy Workshop</w:t>
      </w:r>
      <w:r>
        <w:t xml:space="preserve">, </w:t>
      </w:r>
      <w:r w:rsidRPr="00C0636B">
        <w:t>July 12-14</w:t>
      </w:r>
      <w:r>
        <w:t>, College Park, Maryland, USA, 2017.</w:t>
      </w:r>
    </w:p>
    <w:p w:rsidR="009F1A75" w:rsidRPr="0058740F" w:rsidRDefault="00C0636B" w:rsidP="009F1A75">
      <w:pPr>
        <w:pStyle w:val="EndNoteBibliography"/>
        <w:ind w:left="340" w:hanging="340"/>
      </w:pPr>
      <w:r>
        <w:t>25.</w:t>
      </w:r>
      <w:r>
        <w:tab/>
        <w:t xml:space="preserve">García Kerdan, I., Giarola, S. and Hawkes, A., </w:t>
      </w:r>
      <w:r w:rsidR="009F1A75" w:rsidRPr="00C0636B">
        <w:t xml:space="preserve">A </w:t>
      </w:r>
      <w:r>
        <w:t>Novel Energy Systems Model to Explore the Role of Land Use and Reforestation i</w:t>
      </w:r>
      <w:r w:rsidRPr="00C0636B">
        <w:t xml:space="preserve">n Achieving Carbon Mitigation Targets: </w:t>
      </w:r>
      <w:r w:rsidR="009F1A75" w:rsidRPr="00C0636B">
        <w:t xml:space="preserve">A Brazil </w:t>
      </w:r>
      <w:r>
        <w:t>Case Study,</w:t>
      </w:r>
      <w:r w:rsidRPr="00C0636B">
        <w:t xml:space="preserve"> </w:t>
      </w:r>
      <w:r w:rsidR="009F1A75" w:rsidRPr="00C0636B">
        <w:rPr>
          <w:i/>
        </w:rPr>
        <w:t>Journal of Cleaner Production</w:t>
      </w:r>
      <w:r>
        <w:t xml:space="preserve">, Vol. 232, pp 796-821, 2019, </w:t>
      </w:r>
      <w:hyperlink r:id="rId39" w:history="1">
        <w:r w:rsidR="009F1A75" w:rsidRPr="00C0636B">
          <w:rPr>
            <w:rStyle w:val="Hyperlink"/>
            <w:rFonts w:ascii="Verdana" w:hAnsi="Verdana"/>
            <w:color w:val="FF0000"/>
            <w:sz w:val="18"/>
            <w:u w:val="none"/>
          </w:rPr>
          <w:t>https://doi.org/10.1016/j.jclepro.2019.05.345</w:t>
        </w:r>
      </w:hyperlink>
    </w:p>
    <w:p w:rsidR="009F1A75" w:rsidRPr="0058740F" w:rsidRDefault="009F1A75" w:rsidP="009F1A75">
      <w:pPr>
        <w:pStyle w:val="EndNoteBibliography"/>
        <w:ind w:left="340" w:hanging="340"/>
      </w:pPr>
      <w:r w:rsidRPr="0058740F">
        <w:t>26.</w:t>
      </w:r>
      <w:r w:rsidRPr="0058740F">
        <w:tab/>
        <w:t>Bodirsky, B.</w:t>
      </w:r>
      <w:r w:rsidR="00C0636B">
        <w:t xml:space="preserve"> L., Rolinski</w:t>
      </w:r>
      <w:r w:rsidR="00C0636B" w:rsidRPr="00C0636B">
        <w:t>,</w:t>
      </w:r>
      <w:r w:rsidR="00C0636B">
        <w:t xml:space="preserve"> S., </w:t>
      </w:r>
      <w:r w:rsidR="00C0636B" w:rsidRPr="00C0636B">
        <w:t>Biewald,</w:t>
      </w:r>
      <w:r w:rsidR="00C0636B">
        <w:t xml:space="preserve"> A., </w:t>
      </w:r>
      <w:r w:rsidR="00C0636B" w:rsidRPr="00C0636B">
        <w:t>Weindl,</w:t>
      </w:r>
      <w:r w:rsidR="00C0636B">
        <w:t xml:space="preserve"> I., </w:t>
      </w:r>
      <w:r w:rsidR="00C0636B" w:rsidRPr="00C0636B">
        <w:t>Popp,</w:t>
      </w:r>
      <w:r w:rsidR="00103B0A">
        <w:t xml:space="preserve"> A. and </w:t>
      </w:r>
      <w:r w:rsidR="00103B0A">
        <w:br/>
      </w:r>
      <w:r w:rsidR="00C0636B" w:rsidRPr="00C0636B">
        <w:t>Lotze-Campen</w:t>
      </w:r>
      <w:r w:rsidR="00C0636B">
        <w:t xml:space="preserve">, H., </w:t>
      </w:r>
      <w:r w:rsidRPr="00C0636B">
        <w:t>Global Food Demand</w:t>
      </w:r>
      <w:r w:rsidR="00C0636B">
        <w:t xml:space="preserve"> Scenarios for the 21</w:t>
      </w:r>
      <w:r w:rsidR="00C0636B" w:rsidRPr="00C0636B">
        <w:rPr>
          <w:vertAlign w:val="superscript"/>
        </w:rPr>
        <w:t>st</w:t>
      </w:r>
      <w:r w:rsidR="00C0636B">
        <w:t xml:space="preserve"> Century, </w:t>
      </w:r>
      <w:r w:rsidR="00C0636B" w:rsidRPr="00C0636B">
        <w:rPr>
          <w:i/>
        </w:rPr>
        <w:t>PLOS ONE</w:t>
      </w:r>
      <w:r w:rsidR="00C0636B">
        <w:t>, Vol.</w:t>
      </w:r>
      <w:r w:rsidR="00F17EE6">
        <w:t xml:space="preserve"> </w:t>
      </w:r>
      <w:r w:rsidRPr="00C0636B">
        <w:t>10</w:t>
      </w:r>
      <w:r w:rsidR="00F17EE6">
        <w:t xml:space="preserve">, No. </w:t>
      </w:r>
      <w:r w:rsidR="00C0636B">
        <w:t>11,</w:t>
      </w:r>
      <w:r w:rsidR="00F17EE6">
        <w:t xml:space="preserve"> </w:t>
      </w:r>
      <w:r w:rsidR="005728C1">
        <w:t xml:space="preserve">e0139201, 2015, </w:t>
      </w:r>
      <w:hyperlink r:id="rId40" w:tgtFrame="_blank" w:history="1">
        <w:r w:rsidR="005728C1" w:rsidRPr="00A20041">
          <w:rPr>
            <w:rStyle w:val="Hyperlink"/>
            <w:rFonts w:ascii="Verdana" w:hAnsi="Verdana" w:cs="Arial"/>
            <w:color w:val="FF0000"/>
            <w:sz w:val="18"/>
            <w:szCs w:val="18"/>
            <w:u w:val="none"/>
          </w:rPr>
          <w:t>https://doi.org/10.1371/journal.pone.0139201</w:t>
        </w:r>
      </w:hyperlink>
    </w:p>
    <w:p w:rsidR="009F1A75" w:rsidRPr="0058740F" w:rsidRDefault="00F17EE6" w:rsidP="009F1A75">
      <w:pPr>
        <w:pStyle w:val="EndNoteBibliography"/>
        <w:ind w:left="340" w:hanging="340"/>
      </w:pPr>
      <w:r>
        <w:t>27.</w:t>
      </w:r>
      <w:r>
        <w:tab/>
        <w:t xml:space="preserve">Zhang, W., Bai, C. and Liu, G., </w:t>
      </w:r>
      <w:r w:rsidR="009F1A75" w:rsidRPr="00F17EE6">
        <w:t xml:space="preserve">A </w:t>
      </w:r>
      <w:r>
        <w:t xml:space="preserve">Longer-Term Forecast on Global Supply and Demand of Food Products, </w:t>
      </w:r>
      <w:r w:rsidR="009F1A75" w:rsidRPr="00F17EE6">
        <w:rPr>
          <w:i/>
        </w:rPr>
        <w:t xml:space="preserve">Journal of Food, </w:t>
      </w:r>
      <w:r w:rsidRPr="00F17EE6">
        <w:rPr>
          <w:i/>
        </w:rPr>
        <w:t>Agriculture &amp; Environment</w:t>
      </w:r>
      <w:r>
        <w:t xml:space="preserve">, Vol. </w:t>
      </w:r>
      <w:r w:rsidR="009F1A75" w:rsidRPr="00F17EE6">
        <w:t>5</w:t>
      </w:r>
      <w:r>
        <w:t xml:space="preserve">, </w:t>
      </w:r>
      <w:r>
        <w:br/>
      </w:r>
      <w:r w:rsidRPr="00F17EE6">
        <w:t xml:space="preserve">No. </w:t>
      </w:r>
      <w:r w:rsidR="005728C1">
        <w:t xml:space="preserve">1, pp 105-110, 2007, </w:t>
      </w:r>
      <w:hyperlink r:id="rId41" w:tgtFrame="_blank" w:history="1">
        <w:r w:rsidR="005728C1" w:rsidRPr="00A20041">
          <w:rPr>
            <w:rStyle w:val="Hyperlink"/>
            <w:rFonts w:ascii="Verdana" w:hAnsi="Verdana" w:cs="Arial"/>
            <w:color w:val="FF0000"/>
            <w:sz w:val="18"/>
            <w:szCs w:val="18"/>
            <w:u w:val="none"/>
          </w:rPr>
          <w:t>https://doi.org/10.1016/S0026-0576(07)80208-X</w:t>
        </w:r>
      </w:hyperlink>
    </w:p>
    <w:p w:rsidR="009F1A75" w:rsidRPr="0058740F" w:rsidRDefault="00064653" w:rsidP="009F1A75">
      <w:pPr>
        <w:pStyle w:val="EndNoteBibliography"/>
        <w:ind w:left="340" w:hanging="340"/>
      </w:pPr>
      <w:r>
        <w:t>28.</w:t>
      </w:r>
      <w:r>
        <w:tab/>
        <w:t xml:space="preserve">World Bank, </w:t>
      </w:r>
      <w:r w:rsidR="009F1A75" w:rsidRPr="00064653">
        <w:t>World Bank Open Data</w:t>
      </w:r>
      <w:r>
        <w:t xml:space="preserve">, 2017, </w:t>
      </w:r>
      <w:r w:rsidR="009F1A75" w:rsidRPr="00064653">
        <w:rPr>
          <w:rStyle w:val="Hyperlink"/>
          <w:color w:val="auto"/>
          <w:u w:val="none"/>
        </w:rPr>
        <w:t>https://data.worldbank.org/</w:t>
      </w:r>
      <w:r>
        <w:t xml:space="preserve">, </w:t>
      </w:r>
      <w:r>
        <w:br/>
        <w:t>[Accessed: 01-August-2017]</w:t>
      </w:r>
    </w:p>
    <w:p w:rsidR="009F1A75" w:rsidRPr="0058740F" w:rsidRDefault="009F1A75" w:rsidP="009F1A75">
      <w:pPr>
        <w:pStyle w:val="EndNoteBibliography"/>
        <w:ind w:left="340" w:hanging="340"/>
      </w:pPr>
      <w:r w:rsidRPr="0058740F">
        <w:t>29.</w:t>
      </w:r>
      <w:r w:rsidRPr="0058740F">
        <w:tab/>
      </w:r>
      <w:r w:rsidR="00064653" w:rsidRPr="00064653">
        <w:t>Food and Agriculture Organization</w:t>
      </w:r>
      <w:r w:rsidR="00064653">
        <w:t xml:space="preserve"> (</w:t>
      </w:r>
      <w:r w:rsidRPr="0058740F">
        <w:t>FAO</w:t>
      </w:r>
      <w:r w:rsidR="00064653">
        <w:t xml:space="preserve">), </w:t>
      </w:r>
      <w:r w:rsidR="00064653" w:rsidRPr="00064653">
        <w:rPr>
          <w:i/>
        </w:rPr>
        <w:t xml:space="preserve">World Agriculture: </w:t>
      </w:r>
      <w:r w:rsidRPr="00064653">
        <w:rPr>
          <w:i/>
        </w:rPr>
        <w:t xml:space="preserve">Towards </w:t>
      </w:r>
      <w:r w:rsidR="00064653">
        <w:rPr>
          <w:i/>
        </w:rPr>
        <w:t>2015/2030 ‒ A</w:t>
      </w:r>
      <w:r w:rsidR="00064653" w:rsidRPr="00064653">
        <w:rPr>
          <w:i/>
        </w:rPr>
        <w:t xml:space="preserve">n </w:t>
      </w:r>
      <w:r w:rsidRPr="00064653">
        <w:rPr>
          <w:i/>
        </w:rPr>
        <w:t xml:space="preserve">FAO </w:t>
      </w:r>
      <w:r w:rsidR="00064653" w:rsidRPr="00064653">
        <w:rPr>
          <w:i/>
        </w:rPr>
        <w:t>Perspective</w:t>
      </w:r>
      <w:r w:rsidR="00064653">
        <w:t xml:space="preserve">, </w:t>
      </w:r>
      <w:r w:rsidRPr="0058740F">
        <w:t>Earthscan Publi</w:t>
      </w:r>
      <w:r w:rsidR="00064653">
        <w:t>cations Ltd, London, UK, 2003.</w:t>
      </w:r>
    </w:p>
    <w:p w:rsidR="009F1A75" w:rsidRPr="0058740F" w:rsidRDefault="00064653" w:rsidP="00064653">
      <w:pPr>
        <w:pStyle w:val="EndNoteBibliography"/>
        <w:ind w:left="340" w:hanging="340"/>
      </w:pPr>
      <w:r>
        <w:t>30.</w:t>
      </w:r>
      <w:r>
        <w:tab/>
        <w:t xml:space="preserve">Opio, C., </w:t>
      </w:r>
      <w:r w:rsidR="00365630">
        <w:t xml:space="preserve">Gerber, P., </w:t>
      </w:r>
      <w:r>
        <w:t>Mottet, A., Falcucci, A., Tempio,</w:t>
      </w:r>
      <w:r w:rsidR="00365630">
        <w:t xml:space="preserve"> G., MacLeod, M., Vellinga, T., </w:t>
      </w:r>
      <w:r>
        <w:t>Henderson, B. and Steinfeld, H</w:t>
      </w:r>
      <w:r w:rsidR="00365630">
        <w:t xml:space="preserve">., </w:t>
      </w:r>
      <w:r>
        <w:t>G</w:t>
      </w:r>
      <w:r w:rsidR="009F1A75" w:rsidRPr="00064653">
        <w:t xml:space="preserve">reenhouse </w:t>
      </w:r>
      <w:r w:rsidRPr="00064653">
        <w:t>Gas Emission</w:t>
      </w:r>
      <w:r>
        <w:t xml:space="preserve">s From Ruminant Supply Chains – </w:t>
      </w:r>
      <w:r w:rsidR="009F1A75" w:rsidRPr="00064653">
        <w:t xml:space="preserve">A </w:t>
      </w:r>
      <w:r w:rsidRPr="00064653">
        <w:t>Global Life Cycle Assessment</w:t>
      </w:r>
      <w:r>
        <w:t xml:space="preserve">, Report, </w:t>
      </w:r>
      <w:r w:rsidRPr="00064653">
        <w:t>Food and Agriculture Organization of the United Nations</w:t>
      </w:r>
      <w:r>
        <w:t xml:space="preserve"> (FAO), Rome, Italy, 2013.</w:t>
      </w:r>
    </w:p>
    <w:p w:rsidR="009F1A75" w:rsidRPr="0058740F" w:rsidRDefault="009F1A75" w:rsidP="009F1A75">
      <w:pPr>
        <w:pStyle w:val="EndNoteBibliography"/>
        <w:ind w:left="340" w:hanging="340"/>
      </w:pPr>
      <w:r w:rsidRPr="0058740F">
        <w:t>31.</w:t>
      </w:r>
      <w:r w:rsidRPr="0058740F">
        <w:tab/>
      </w:r>
      <w:r w:rsidR="00365630" w:rsidRPr="00365630">
        <w:t>International Energy Agency</w:t>
      </w:r>
      <w:r w:rsidR="00365630">
        <w:t xml:space="preserve"> (</w:t>
      </w:r>
      <w:r w:rsidRPr="0058740F">
        <w:t>IEA</w:t>
      </w:r>
      <w:r w:rsidR="00365630">
        <w:t>)</w:t>
      </w:r>
      <w:r w:rsidRPr="0058740F">
        <w:t xml:space="preserve">, </w:t>
      </w:r>
      <w:r w:rsidR="00365630" w:rsidRPr="00365630">
        <w:t>World Energy Outlook 2014</w:t>
      </w:r>
      <w:r w:rsidR="00365630">
        <w:t>, Paris, France, 2014.</w:t>
      </w:r>
    </w:p>
    <w:p w:rsidR="009F1A75" w:rsidRPr="0058740F" w:rsidRDefault="00365630" w:rsidP="009F1A75">
      <w:pPr>
        <w:pStyle w:val="EndNoteBibliography"/>
        <w:ind w:left="340" w:hanging="340"/>
      </w:pPr>
      <w:r>
        <w:t>32.</w:t>
      </w:r>
      <w:r>
        <w:tab/>
        <w:t xml:space="preserve">Conforti, </w:t>
      </w:r>
      <w:r w:rsidR="009F1A75" w:rsidRPr="0058740F">
        <w:t>P.</w:t>
      </w:r>
      <w:r>
        <w:t xml:space="preserve"> and Giampetro, M., </w:t>
      </w:r>
      <w:r w:rsidR="009F1A75" w:rsidRPr="00365630">
        <w:t xml:space="preserve">Fossil </w:t>
      </w:r>
      <w:r>
        <w:t>Energy Use i</w:t>
      </w:r>
      <w:r w:rsidRPr="00365630">
        <w:t>n Agricultu</w:t>
      </w:r>
      <w:r>
        <w:t xml:space="preserve">re: An International Comparison, </w:t>
      </w:r>
      <w:r w:rsidR="009F1A75" w:rsidRPr="00365630">
        <w:rPr>
          <w:i/>
        </w:rPr>
        <w:t>Agriculture,</w:t>
      </w:r>
      <w:r w:rsidRPr="00365630">
        <w:rPr>
          <w:i/>
        </w:rPr>
        <w:t xml:space="preserve"> Ecosystems &amp; Environment</w:t>
      </w:r>
      <w:r>
        <w:t>, Vol.</w:t>
      </w:r>
      <w:r w:rsidR="009F1A75" w:rsidRPr="0058740F">
        <w:t xml:space="preserve"> </w:t>
      </w:r>
      <w:r w:rsidR="009F1A75" w:rsidRPr="00365630">
        <w:t>65</w:t>
      </w:r>
      <w:r w:rsidRPr="00365630">
        <w:t xml:space="preserve">, No. </w:t>
      </w:r>
      <w:r w:rsidR="005728C1">
        <w:t xml:space="preserve">3, pp 231-243, 1997, </w:t>
      </w:r>
      <w:hyperlink r:id="rId42" w:tgtFrame="_blank" w:history="1">
        <w:r w:rsidR="005728C1" w:rsidRPr="00A20041">
          <w:rPr>
            <w:rStyle w:val="Hyperlink"/>
            <w:rFonts w:ascii="Verdana" w:hAnsi="Verdana" w:cs="Arial"/>
            <w:color w:val="FF0000"/>
            <w:sz w:val="18"/>
            <w:szCs w:val="18"/>
            <w:u w:val="none"/>
          </w:rPr>
          <w:t>https://doi.org/10.1016/S0167-8809(97)00048-0</w:t>
        </w:r>
      </w:hyperlink>
    </w:p>
    <w:p w:rsidR="009F1A75" w:rsidRPr="00365630" w:rsidRDefault="00365630" w:rsidP="009F1A75">
      <w:pPr>
        <w:pStyle w:val="EndNoteBibliography"/>
        <w:ind w:left="340" w:hanging="340"/>
      </w:pPr>
      <w:r>
        <w:t>33.</w:t>
      </w:r>
      <w:r>
        <w:tab/>
      </w:r>
      <w:r w:rsidRPr="00365630">
        <w:t>United States Department of Agriculture</w:t>
      </w:r>
      <w:r>
        <w:t xml:space="preserve"> (USDA), </w:t>
      </w:r>
      <w:r w:rsidRPr="00365630">
        <w:t xml:space="preserve">USDA </w:t>
      </w:r>
      <w:r>
        <w:t xml:space="preserve">Food Composition Databases, 2017, </w:t>
      </w:r>
      <w:r w:rsidR="009F1A75" w:rsidRPr="00365630">
        <w:rPr>
          <w:rStyle w:val="Hyperlink"/>
          <w:color w:val="auto"/>
          <w:u w:val="none"/>
        </w:rPr>
        <w:t>https://ndb.nal.usda.gov/ndb/</w:t>
      </w:r>
      <w:r w:rsidRPr="00365630">
        <w:rPr>
          <w:rStyle w:val="Hyperlink"/>
          <w:color w:val="auto"/>
          <w:u w:val="none"/>
        </w:rPr>
        <w:t xml:space="preserve">, [Accessed: </w:t>
      </w:r>
      <w:r w:rsidR="00523E02">
        <w:rPr>
          <w:rStyle w:val="Hyperlink"/>
          <w:color w:val="auto"/>
          <w:u w:val="none"/>
        </w:rPr>
        <w:t>06-June-2019</w:t>
      </w:r>
      <w:r w:rsidRPr="00365630">
        <w:rPr>
          <w:rStyle w:val="Hyperlink"/>
          <w:color w:val="auto"/>
          <w:u w:val="none"/>
        </w:rPr>
        <w:t>]</w:t>
      </w:r>
    </w:p>
    <w:p w:rsidR="009F1A75" w:rsidRPr="0058740F" w:rsidRDefault="009F1A75" w:rsidP="009F1A75">
      <w:pPr>
        <w:pStyle w:val="EndNoteBibliography"/>
        <w:ind w:left="340" w:hanging="340"/>
      </w:pPr>
      <w:r w:rsidRPr="0058740F">
        <w:t>34</w:t>
      </w:r>
      <w:r w:rsidR="00103B0A">
        <w:t>.</w:t>
      </w:r>
      <w:r w:rsidR="00103B0A">
        <w:tab/>
        <w:t xml:space="preserve">GAMS Development </w:t>
      </w:r>
      <w:r w:rsidR="00365630">
        <w:t xml:space="preserve">Corporation, </w:t>
      </w:r>
      <w:r w:rsidRPr="00365630">
        <w:t>Ge</w:t>
      </w:r>
      <w:r w:rsidR="00365630">
        <w:t xml:space="preserve">neral Algebraic Modeling System </w:t>
      </w:r>
      <w:r w:rsidRPr="00365630">
        <w:t>(GAMS) Release 24.2.1</w:t>
      </w:r>
      <w:r w:rsidR="00365630">
        <w:t xml:space="preserve">., </w:t>
      </w:r>
      <w:r w:rsidRPr="0058740F">
        <w:t>Washington, D</w:t>
      </w:r>
      <w:r w:rsidR="00365630">
        <w:t>.</w:t>
      </w:r>
      <w:r w:rsidRPr="0058740F">
        <w:t>C</w:t>
      </w:r>
      <w:r w:rsidR="00365630">
        <w:t>., USA, 2013.</w:t>
      </w:r>
    </w:p>
    <w:p w:rsidR="009F1A75" w:rsidRPr="009B434B" w:rsidRDefault="009F1A75" w:rsidP="009F1A75">
      <w:pPr>
        <w:pStyle w:val="EndNoteBibliography"/>
        <w:ind w:left="340" w:hanging="340"/>
        <w:rPr>
          <w:lang w:val="en-GB"/>
        </w:rPr>
      </w:pPr>
      <w:r w:rsidRPr="0058740F">
        <w:lastRenderedPageBreak/>
        <w:t>35.</w:t>
      </w:r>
      <w:r w:rsidRPr="0058740F">
        <w:tab/>
      </w:r>
      <w:r w:rsidR="00365630" w:rsidRPr="00365630">
        <w:t>Intergovernmental Panel on Climate Change</w:t>
      </w:r>
      <w:r w:rsidR="00365630">
        <w:t xml:space="preserve"> (</w:t>
      </w:r>
      <w:r w:rsidRPr="0058740F">
        <w:t>IPCC</w:t>
      </w:r>
      <w:r w:rsidR="00365630">
        <w:t xml:space="preserve">), </w:t>
      </w:r>
      <w:r w:rsidRPr="00365630">
        <w:t>2006 IPCC Guidelines for National Greenhouse Gas Inventories</w:t>
      </w:r>
      <w:r w:rsidR="00365630">
        <w:t xml:space="preserve">, </w:t>
      </w:r>
      <w:r w:rsidR="00365630" w:rsidRPr="009B434B">
        <w:rPr>
          <w:lang w:val="en-GB"/>
        </w:rPr>
        <w:t>2006.</w:t>
      </w:r>
    </w:p>
    <w:p w:rsidR="009F1A75" w:rsidRPr="009B434B" w:rsidRDefault="009F1A75" w:rsidP="009F1A75">
      <w:pPr>
        <w:pStyle w:val="EndNoteBibliography"/>
        <w:ind w:left="340" w:hanging="340"/>
        <w:rPr>
          <w:lang w:val="en-GB"/>
        </w:rPr>
      </w:pPr>
      <w:r w:rsidRPr="009B434B">
        <w:rPr>
          <w:lang w:val="en-GB"/>
        </w:rPr>
        <w:t>36.</w:t>
      </w:r>
      <w:r w:rsidRPr="009B434B">
        <w:rPr>
          <w:lang w:val="en-GB"/>
        </w:rPr>
        <w:tab/>
      </w:r>
      <w:r w:rsidR="00365630" w:rsidRPr="009B434B">
        <w:rPr>
          <w:lang w:val="en-GB"/>
        </w:rPr>
        <w:t>Energy Research Company (</w:t>
      </w:r>
      <w:r w:rsidRPr="009B434B">
        <w:rPr>
          <w:lang w:val="en-GB"/>
        </w:rPr>
        <w:t>EPE</w:t>
      </w:r>
      <w:r w:rsidR="00365630" w:rsidRPr="009B434B">
        <w:rPr>
          <w:lang w:val="en-GB"/>
        </w:rPr>
        <w:t xml:space="preserve">), </w:t>
      </w:r>
      <w:r w:rsidRPr="009B434B">
        <w:rPr>
          <w:lang w:val="en-GB"/>
        </w:rPr>
        <w:t>National Energy Balance 2016 (</w:t>
      </w:r>
      <w:r w:rsidR="00365630" w:rsidRPr="009B434B">
        <w:rPr>
          <w:lang w:val="en-GB"/>
        </w:rPr>
        <w:t>in Portuguese</w:t>
      </w:r>
      <w:r w:rsidRPr="009B434B">
        <w:rPr>
          <w:lang w:val="en-GB"/>
        </w:rPr>
        <w:t>)</w:t>
      </w:r>
      <w:r w:rsidR="00365630" w:rsidRPr="009B434B">
        <w:rPr>
          <w:lang w:val="en-GB"/>
        </w:rPr>
        <w:t xml:space="preserve">, </w:t>
      </w:r>
      <w:r w:rsidRPr="009B434B">
        <w:rPr>
          <w:lang w:val="en-GB"/>
        </w:rPr>
        <w:t xml:space="preserve">Ministry of Mines and </w:t>
      </w:r>
      <w:r w:rsidR="00365630" w:rsidRPr="009B434B">
        <w:rPr>
          <w:lang w:val="en-GB"/>
        </w:rPr>
        <w:t>Energy, Rio de Janeiro, Brazil, 2017.</w:t>
      </w:r>
    </w:p>
    <w:p w:rsidR="009F1A75" w:rsidRPr="009B434B" w:rsidRDefault="00E969DD" w:rsidP="009F1A75">
      <w:pPr>
        <w:pStyle w:val="EndNoteBibliography"/>
        <w:ind w:left="340" w:hanging="340"/>
        <w:rPr>
          <w:lang w:val="en-GB"/>
        </w:rPr>
      </w:pPr>
      <w:r w:rsidRPr="009B434B">
        <w:rPr>
          <w:lang w:val="en-GB"/>
        </w:rPr>
        <w:t>37.</w:t>
      </w:r>
      <w:r w:rsidRPr="009B434B">
        <w:rPr>
          <w:lang w:val="en-GB"/>
        </w:rPr>
        <w:tab/>
        <w:t xml:space="preserve">Energy Research Company (EPE), </w:t>
      </w:r>
      <w:r w:rsidR="009F1A75" w:rsidRPr="009B434B">
        <w:rPr>
          <w:lang w:val="en-GB"/>
        </w:rPr>
        <w:t>Ten Year Energy Expansion P</w:t>
      </w:r>
      <w:r w:rsidRPr="009B434B">
        <w:rPr>
          <w:lang w:val="en-GB"/>
        </w:rPr>
        <w:t xml:space="preserve">lan 2026 </w:t>
      </w:r>
      <w:r w:rsidRPr="009B434B">
        <w:rPr>
          <w:lang w:val="en-GB"/>
        </w:rPr>
        <w:br/>
        <w:t xml:space="preserve">(in Portuguese), </w:t>
      </w:r>
      <w:r w:rsidR="009F1A75" w:rsidRPr="009B434B">
        <w:rPr>
          <w:lang w:val="en-GB"/>
        </w:rPr>
        <w:t>Mi</w:t>
      </w:r>
      <w:r w:rsidR="00F10FFD" w:rsidRPr="009B434B">
        <w:rPr>
          <w:lang w:val="en-GB"/>
        </w:rPr>
        <w:t>nistry of Mines and Energy (in Portuguese</w:t>
      </w:r>
      <w:r w:rsidR="009F1A75" w:rsidRPr="009B434B">
        <w:rPr>
          <w:lang w:val="en-GB"/>
        </w:rPr>
        <w:t>)</w:t>
      </w:r>
      <w:r w:rsidRPr="009B434B">
        <w:rPr>
          <w:lang w:val="en-GB"/>
        </w:rPr>
        <w:t xml:space="preserve">, </w:t>
      </w:r>
      <w:r w:rsidRPr="009B434B">
        <w:rPr>
          <w:lang w:val="en-GB"/>
        </w:rPr>
        <w:br/>
        <w:t>pp 264, Rio de Janeiro, Brazil, 2017.</w:t>
      </w:r>
    </w:p>
    <w:p w:rsidR="009F1A75" w:rsidRPr="0058740F" w:rsidRDefault="00E969DD" w:rsidP="009F1A75">
      <w:pPr>
        <w:pStyle w:val="EndNoteBibliography"/>
        <w:ind w:left="340" w:hanging="340"/>
      </w:pPr>
      <w:r>
        <w:t>38.</w:t>
      </w:r>
      <w:r>
        <w:tab/>
        <w:t xml:space="preserve">Gómez, M. F., </w:t>
      </w:r>
      <w:r w:rsidRPr="00E969DD">
        <w:t>Sanches-Pereira</w:t>
      </w:r>
      <w:r>
        <w:t xml:space="preserve">, A. and </w:t>
      </w:r>
      <w:r w:rsidRPr="00E969DD">
        <w:t>Silveira</w:t>
      </w:r>
      <w:r>
        <w:t xml:space="preserve">, S., </w:t>
      </w:r>
      <w:r w:rsidR="009F1A75" w:rsidRPr="00E969DD">
        <w:t xml:space="preserve">Technology </w:t>
      </w:r>
      <w:r>
        <w:t>f</w:t>
      </w:r>
      <w:r w:rsidRPr="00E969DD">
        <w:t xml:space="preserve">or Social Inclusion: </w:t>
      </w:r>
      <w:r w:rsidR="009F1A75" w:rsidRPr="00E969DD">
        <w:t xml:space="preserve">The </w:t>
      </w:r>
      <w:r>
        <w:t>Case of Electricity Access in t</w:t>
      </w:r>
      <w:r w:rsidRPr="00E969DD">
        <w:t xml:space="preserve">he </w:t>
      </w:r>
      <w:r w:rsidR="009F1A75" w:rsidRPr="00E969DD">
        <w:t>Brazilian Am</w:t>
      </w:r>
      <w:r w:rsidRPr="00E969DD">
        <w:t>azon</w:t>
      </w:r>
      <w:r>
        <w:t xml:space="preserve">, </w:t>
      </w:r>
      <w:r w:rsidR="009F1A75" w:rsidRPr="00E969DD">
        <w:rPr>
          <w:i/>
        </w:rPr>
        <w:t>Journal of Sustainable Development of Energy, Wate</w:t>
      </w:r>
      <w:r w:rsidRPr="00E969DD">
        <w:rPr>
          <w:i/>
        </w:rPr>
        <w:t>r and Environment Systems</w:t>
      </w:r>
      <w:r>
        <w:t>, Vol.</w:t>
      </w:r>
      <w:r w:rsidR="009F1A75" w:rsidRPr="0058740F">
        <w:t xml:space="preserve"> </w:t>
      </w:r>
      <w:r w:rsidR="009F1A75" w:rsidRPr="00E969DD">
        <w:t>1</w:t>
      </w:r>
      <w:r>
        <w:t xml:space="preserve">, </w:t>
      </w:r>
      <w:r w:rsidRPr="00E969DD">
        <w:t xml:space="preserve">No. </w:t>
      </w:r>
      <w:r w:rsidR="005728C1">
        <w:t xml:space="preserve">3,  pp 237-259, 2013, </w:t>
      </w:r>
      <w:hyperlink r:id="rId43" w:tgtFrame="_blank" w:history="1">
        <w:r w:rsidR="005728C1" w:rsidRPr="00A20041">
          <w:rPr>
            <w:rStyle w:val="Hyperlink"/>
            <w:rFonts w:ascii="Verdana" w:hAnsi="Verdana" w:cs="Arial"/>
            <w:color w:val="FF0000"/>
            <w:sz w:val="18"/>
            <w:szCs w:val="18"/>
            <w:u w:val="none"/>
          </w:rPr>
          <w:t>https://doi.org/10.13044/j.sdewes.2013.01.0018</w:t>
        </w:r>
      </w:hyperlink>
    </w:p>
    <w:p w:rsidR="009F1A75" w:rsidRPr="0058740F" w:rsidRDefault="00E969DD" w:rsidP="009F1A75">
      <w:pPr>
        <w:pStyle w:val="EndNoteBibliography"/>
        <w:ind w:left="340" w:hanging="340"/>
      </w:pPr>
      <w:r>
        <w:t>39.</w:t>
      </w:r>
      <w:r>
        <w:tab/>
        <w:t xml:space="preserve">Semertzidis, T., Spataru, C. and </w:t>
      </w:r>
      <w:r w:rsidRPr="00E969DD">
        <w:t>Bleischwitz</w:t>
      </w:r>
      <w:r>
        <w:t xml:space="preserve">, R., </w:t>
      </w:r>
      <w:r w:rsidR="009F1A75" w:rsidRPr="00E969DD">
        <w:t>Cross</w:t>
      </w:r>
      <w:r>
        <w:t>-Sectional Integration of the Water-Energy Nexus i</w:t>
      </w:r>
      <w:r w:rsidRPr="00E969DD">
        <w:t xml:space="preserve">n Brazil, </w:t>
      </w:r>
      <w:r w:rsidR="009F1A75" w:rsidRPr="00E969DD">
        <w:rPr>
          <w:i/>
        </w:rPr>
        <w:t>Journal of Sustainable Development of Energy, Water and</w:t>
      </w:r>
      <w:r w:rsidRPr="00E969DD">
        <w:rPr>
          <w:i/>
        </w:rPr>
        <w:t xml:space="preserve"> Environment Systems</w:t>
      </w:r>
      <w:r>
        <w:t xml:space="preserve">, Vol. </w:t>
      </w:r>
      <w:r w:rsidR="009F1A75" w:rsidRPr="00E969DD">
        <w:t>6</w:t>
      </w:r>
      <w:r>
        <w:t xml:space="preserve">, </w:t>
      </w:r>
      <w:r w:rsidRPr="00E969DD">
        <w:t xml:space="preserve">No. </w:t>
      </w:r>
      <w:r w:rsidR="005728C1">
        <w:t xml:space="preserve">1, pp 114-128, 2018, </w:t>
      </w:r>
      <w:hyperlink r:id="rId44" w:tgtFrame="_blank" w:history="1">
        <w:r w:rsidR="005728C1" w:rsidRPr="00A20041">
          <w:rPr>
            <w:rStyle w:val="Hyperlink"/>
            <w:rFonts w:ascii="Verdana" w:hAnsi="Verdana" w:cs="Arial"/>
            <w:color w:val="FF0000"/>
            <w:sz w:val="18"/>
            <w:szCs w:val="18"/>
            <w:u w:val="none"/>
          </w:rPr>
          <w:t>https://doi.org/10.13044/j.sdewes.d5.0169</w:t>
        </w:r>
      </w:hyperlink>
    </w:p>
    <w:p w:rsidR="009F1A75" w:rsidRPr="0058740F" w:rsidRDefault="00E969DD" w:rsidP="009F1A75">
      <w:pPr>
        <w:pStyle w:val="EndNoteBibliography"/>
        <w:ind w:left="340" w:hanging="340"/>
      </w:pPr>
      <w:r>
        <w:t>40.</w:t>
      </w:r>
      <w:r>
        <w:tab/>
        <w:t>Se</w:t>
      </w:r>
      <w:r w:rsidR="00424706">
        <w:t>mertzidis, T., Spataru</w:t>
      </w:r>
      <w:r>
        <w:t>,</w:t>
      </w:r>
      <w:r w:rsidR="00424706">
        <w:t xml:space="preserve"> C. and </w:t>
      </w:r>
      <w:r w:rsidR="00424706" w:rsidRPr="00424706">
        <w:t>Bleischwitz</w:t>
      </w:r>
      <w:r w:rsidR="00424706">
        <w:t xml:space="preserve">, R., </w:t>
      </w:r>
      <w:r w:rsidR="009F1A75" w:rsidRPr="00E969DD">
        <w:t xml:space="preserve">The </w:t>
      </w:r>
      <w:r w:rsidR="00424706">
        <w:t xml:space="preserve">Nexus: </w:t>
      </w:r>
      <w:r w:rsidR="009F1A75" w:rsidRPr="00E969DD">
        <w:t xml:space="preserve">Estimation </w:t>
      </w:r>
      <w:r>
        <w:t>of Water Consumption for Hydropower i</w:t>
      </w:r>
      <w:r w:rsidRPr="00E969DD">
        <w:t>n Brazil</w:t>
      </w:r>
      <w:r w:rsidR="00424706">
        <w:t xml:space="preserve">, </w:t>
      </w:r>
      <w:r w:rsidR="009F1A75" w:rsidRPr="00E969DD">
        <w:rPr>
          <w:i/>
        </w:rPr>
        <w:t>Journal of Sustainable Development of Energy, Water</w:t>
      </w:r>
      <w:r w:rsidRPr="00E969DD">
        <w:rPr>
          <w:i/>
        </w:rPr>
        <w:t xml:space="preserve"> and Environment Systems</w:t>
      </w:r>
      <w:r>
        <w:t xml:space="preserve">, Vol. </w:t>
      </w:r>
      <w:r w:rsidR="009F1A75" w:rsidRPr="00E969DD">
        <w:t>7</w:t>
      </w:r>
      <w:r w:rsidRPr="00E969DD">
        <w:t xml:space="preserve">, No. </w:t>
      </w:r>
      <w:r>
        <w:t>1, p</w:t>
      </w:r>
      <w:r w:rsidR="005728C1">
        <w:t xml:space="preserve">p 122-138, 2019, </w:t>
      </w:r>
      <w:hyperlink r:id="rId45" w:tgtFrame="_blank" w:history="1">
        <w:r w:rsidR="005728C1" w:rsidRPr="00A20041">
          <w:rPr>
            <w:rStyle w:val="Hyperlink"/>
            <w:rFonts w:ascii="Verdana" w:hAnsi="Verdana" w:cs="Arial"/>
            <w:color w:val="FF0000"/>
            <w:sz w:val="18"/>
            <w:szCs w:val="18"/>
            <w:u w:val="none"/>
          </w:rPr>
          <w:t>https://doi.org/10.13044/j.sdewes.d6.0229</w:t>
        </w:r>
      </w:hyperlink>
    </w:p>
    <w:p w:rsidR="009F1A75" w:rsidRPr="0058740F" w:rsidRDefault="009F1A75" w:rsidP="009F1A75">
      <w:pPr>
        <w:pStyle w:val="EndNoteBibliography"/>
        <w:ind w:left="340" w:hanging="340"/>
      </w:pPr>
      <w:r w:rsidRPr="0058740F">
        <w:t>41.</w:t>
      </w:r>
      <w:r w:rsidRPr="0058740F">
        <w:tab/>
        <w:t xml:space="preserve">Simas, </w:t>
      </w:r>
      <w:r w:rsidR="00424706">
        <w:t xml:space="preserve">M. and Pacca, S., </w:t>
      </w:r>
      <w:r w:rsidRPr="00424706">
        <w:t>Socio</w:t>
      </w:r>
      <w:r w:rsidR="00424706">
        <w:t xml:space="preserve">-Economic Benefits of Wind Power in </w:t>
      </w:r>
      <w:r w:rsidR="00424706" w:rsidRPr="00424706">
        <w:t>Brazil</w:t>
      </w:r>
      <w:r w:rsidR="00424706">
        <w:t xml:space="preserve">, </w:t>
      </w:r>
      <w:r w:rsidR="00424706">
        <w:br/>
      </w:r>
      <w:r w:rsidRPr="00424706">
        <w:rPr>
          <w:i/>
        </w:rPr>
        <w:t>Journal of Sus</w:t>
      </w:r>
      <w:r w:rsidR="00424706">
        <w:rPr>
          <w:i/>
        </w:rPr>
        <w:t xml:space="preserve">tainable Development of Energy, </w:t>
      </w:r>
      <w:r w:rsidRPr="00424706">
        <w:rPr>
          <w:i/>
        </w:rPr>
        <w:t>Wate</w:t>
      </w:r>
      <w:r w:rsidR="00424706" w:rsidRPr="00424706">
        <w:rPr>
          <w:i/>
        </w:rPr>
        <w:t>r and Environment Systems</w:t>
      </w:r>
      <w:r w:rsidR="00424706">
        <w:t xml:space="preserve">, Vol. </w:t>
      </w:r>
      <w:r w:rsidRPr="00424706">
        <w:t>1</w:t>
      </w:r>
      <w:r w:rsidR="00424706">
        <w:t xml:space="preserve">, </w:t>
      </w:r>
      <w:r w:rsidR="00424706" w:rsidRPr="00424706">
        <w:t xml:space="preserve">No. </w:t>
      </w:r>
      <w:r w:rsidR="005728C1">
        <w:t xml:space="preserve">1, pp 27-40, 2013, </w:t>
      </w:r>
      <w:hyperlink r:id="rId46" w:tgtFrame="_blank" w:history="1">
        <w:r w:rsidR="005728C1" w:rsidRPr="00A20041">
          <w:rPr>
            <w:rStyle w:val="Hyperlink"/>
            <w:rFonts w:ascii="Verdana" w:hAnsi="Verdana" w:cs="Arial"/>
            <w:color w:val="FF0000"/>
            <w:sz w:val="18"/>
            <w:szCs w:val="18"/>
            <w:u w:val="none"/>
          </w:rPr>
          <w:t>https://doi.org/10.13044/j.sdewes.2013.01.0003</w:t>
        </w:r>
      </w:hyperlink>
    </w:p>
    <w:p w:rsidR="009F1A75" w:rsidRPr="0058740F" w:rsidRDefault="00424706" w:rsidP="009F1A75">
      <w:pPr>
        <w:pStyle w:val="EndNoteBibliography"/>
        <w:ind w:left="340" w:hanging="340"/>
      </w:pPr>
      <w:r>
        <w:t>42.</w:t>
      </w:r>
      <w:r>
        <w:tab/>
        <w:t xml:space="preserve">Spera, S., VanWey, L. and Mustard, J., </w:t>
      </w:r>
      <w:r w:rsidR="009F1A75" w:rsidRPr="00424706">
        <w:t xml:space="preserve">The </w:t>
      </w:r>
      <w:r>
        <w:t>Drivers of Sugarcane Expansion i</w:t>
      </w:r>
      <w:r w:rsidRPr="00424706">
        <w:t>n Goiás</w:t>
      </w:r>
      <w:r>
        <w:t xml:space="preserve">, </w:t>
      </w:r>
      <w:r w:rsidRPr="00424706">
        <w:t xml:space="preserve">Brazil, </w:t>
      </w:r>
      <w:r w:rsidRPr="00424706">
        <w:rPr>
          <w:i/>
        </w:rPr>
        <w:t>Land Use Policy</w:t>
      </w:r>
      <w:r>
        <w:t xml:space="preserve">, Vol. </w:t>
      </w:r>
      <w:r w:rsidR="009F1A75" w:rsidRPr="00424706">
        <w:t>66</w:t>
      </w:r>
      <w:r w:rsidRPr="00424706">
        <w:t xml:space="preserve">, </w:t>
      </w:r>
      <w:r w:rsidR="005728C1">
        <w:t xml:space="preserve">pp 111-119, 2017, </w:t>
      </w:r>
      <w:hyperlink r:id="rId47" w:tgtFrame="_blank" w:history="1">
        <w:r w:rsidR="005728C1" w:rsidRPr="00A20041">
          <w:rPr>
            <w:rStyle w:val="Hyperlink"/>
            <w:rFonts w:ascii="Verdana" w:hAnsi="Verdana" w:cs="Arial"/>
            <w:color w:val="FF0000"/>
            <w:sz w:val="18"/>
            <w:szCs w:val="18"/>
            <w:u w:val="none"/>
          </w:rPr>
          <w:t>https://doi.org/10.1016/j.landusepol.2017.03.037</w:t>
        </w:r>
      </w:hyperlink>
    </w:p>
    <w:p w:rsidR="009F1A75" w:rsidRPr="0058740F" w:rsidRDefault="00424706" w:rsidP="009F1A75">
      <w:pPr>
        <w:pStyle w:val="EndNoteBibliography"/>
        <w:ind w:left="340" w:hanging="340"/>
      </w:pPr>
      <w:r>
        <w:t>43.</w:t>
      </w:r>
      <w:r>
        <w:tab/>
        <w:t xml:space="preserve">Flint Hughes, R., </w:t>
      </w:r>
      <w:r w:rsidRPr="00424706">
        <w:t>Boone Kauffman</w:t>
      </w:r>
      <w:r>
        <w:t xml:space="preserve">, J. and </w:t>
      </w:r>
      <w:r w:rsidRPr="00424706">
        <w:t>Cummings</w:t>
      </w:r>
      <w:r>
        <w:t xml:space="preserve">, D. L., </w:t>
      </w:r>
      <w:r w:rsidR="009F1A75" w:rsidRPr="00424706">
        <w:t>Dynamics of Aboveground and Soil Carbon and Nitrogen Stocks and</w:t>
      </w:r>
      <w:r>
        <w:t xml:space="preserve"> Cycling of Available Nitrogen A</w:t>
      </w:r>
      <w:r w:rsidR="009F1A75" w:rsidRPr="00424706">
        <w:t>long a Land-u</w:t>
      </w:r>
      <w:r>
        <w:t>se Gradient in Rondônia, Brazil,</w:t>
      </w:r>
      <w:r w:rsidRPr="00424706">
        <w:t xml:space="preserve"> </w:t>
      </w:r>
      <w:r w:rsidRPr="00424706">
        <w:rPr>
          <w:i/>
        </w:rPr>
        <w:t>Ecosystems</w:t>
      </w:r>
      <w:r>
        <w:t xml:space="preserve">, Vol. </w:t>
      </w:r>
      <w:r w:rsidR="009F1A75" w:rsidRPr="00424706">
        <w:t>5</w:t>
      </w:r>
      <w:r w:rsidRPr="00424706">
        <w:t xml:space="preserve">, No. </w:t>
      </w:r>
      <w:r w:rsidR="005728C1">
        <w:t xml:space="preserve">3, pp 244-259, 2002, </w:t>
      </w:r>
      <w:hyperlink r:id="rId48" w:tgtFrame="_blank" w:history="1">
        <w:r w:rsidR="005728C1" w:rsidRPr="00A20041">
          <w:rPr>
            <w:rStyle w:val="Hyperlink"/>
            <w:rFonts w:ascii="Verdana" w:hAnsi="Verdana" w:cs="Arial"/>
            <w:color w:val="FF0000"/>
            <w:sz w:val="18"/>
            <w:szCs w:val="18"/>
            <w:u w:val="none"/>
          </w:rPr>
          <w:t>https://doi.org/10.1007/s10021-001-0069-1</w:t>
        </w:r>
      </w:hyperlink>
    </w:p>
    <w:p w:rsidR="009F1A75" w:rsidRPr="0058740F" w:rsidRDefault="00333C52" w:rsidP="009F1A75">
      <w:pPr>
        <w:pStyle w:val="EndNoteBibliography"/>
        <w:ind w:left="340" w:hanging="340"/>
      </w:pPr>
      <w:r>
        <w:t>44.</w:t>
      </w:r>
      <w:r>
        <w:tab/>
        <w:t xml:space="preserve">Harris, </w:t>
      </w:r>
      <w:r w:rsidR="009F1A75" w:rsidRPr="0058740F">
        <w:t>N.</w:t>
      </w:r>
      <w:r w:rsidR="008872D1">
        <w:t xml:space="preserve"> L., </w:t>
      </w:r>
      <w:r>
        <w:t>Brown</w:t>
      </w:r>
      <w:r w:rsidRPr="00333C52">
        <w:t>,</w:t>
      </w:r>
      <w:r>
        <w:t xml:space="preserve"> S., Hagen</w:t>
      </w:r>
      <w:r w:rsidRPr="00333C52">
        <w:t>,</w:t>
      </w:r>
      <w:r w:rsidR="008872D1">
        <w:t xml:space="preserve"> S. </w:t>
      </w:r>
      <w:r>
        <w:t>C., Saatchi</w:t>
      </w:r>
      <w:r w:rsidRPr="00333C52">
        <w:t>,</w:t>
      </w:r>
      <w:r w:rsidR="008872D1">
        <w:t xml:space="preserve"> S. </w:t>
      </w:r>
      <w:r>
        <w:t>S., Petrova</w:t>
      </w:r>
      <w:r w:rsidRPr="00333C52">
        <w:t>,</w:t>
      </w:r>
      <w:r>
        <w:t xml:space="preserve"> S., Salas</w:t>
      </w:r>
      <w:r w:rsidRPr="00333C52">
        <w:t>,</w:t>
      </w:r>
      <w:r>
        <w:t xml:space="preserve"> W., Hansen</w:t>
      </w:r>
      <w:r w:rsidRPr="00333C52">
        <w:t>,</w:t>
      </w:r>
      <w:r w:rsidR="008872D1">
        <w:t xml:space="preserve"> M. </w:t>
      </w:r>
      <w:r>
        <w:t>C., Potapov</w:t>
      </w:r>
      <w:r w:rsidRPr="00333C52">
        <w:t>,</w:t>
      </w:r>
      <w:r w:rsidR="008872D1">
        <w:t xml:space="preserve"> P. V. and Lotsch, A., </w:t>
      </w:r>
      <w:r w:rsidR="009F1A75" w:rsidRPr="00333C52">
        <w:t>Baseline Map of Carbon Emissions from De</w:t>
      </w:r>
      <w:r w:rsidRPr="00333C52">
        <w:t>f</w:t>
      </w:r>
      <w:r>
        <w:t xml:space="preserve">orestation in Tropical Regions, </w:t>
      </w:r>
      <w:r w:rsidRPr="00333C52">
        <w:rPr>
          <w:i/>
        </w:rPr>
        <w:t>Science</w:t>
      </w:r>
      <w:r>
        <w:t xml:space="preserve">, Vol. </w:t>
      </w:r>
      <w:r w:rsidR="009F1A75" w:rsidRPr="00333C52">
        <w:t>336</w:t>
      </w:r>
      <w:r w:rsidRPr="00333C52">
        <w:t xml:space="preserve">, No. </w:t>
      </w:r>
      <w:r w:rsidR="005728C1">
        <w:t xml:space="preserve">6088, pp 1573-1576, 2012, </w:t>
      </w:r>
      <w:hyperlink r:id="rId49" w:tgtFrame="_blank" w:history="1">
        <w:r w:rsidR="005728C1" w:rsidRPr="00A20041">
          <w:rPr>
            <w:rStyle w:val="Hyperlink"/>
            <w:rFonts w:ascii="Verdana" w:hAnsi="Verdana" w:cs="Arial"/>
            <w:color w:val="FF0000"/>
            <w:sz w:val="18"/>
            <w:szCs w:val="18"/>
            <w:u w:val="none"/>
          </w:rPr>
          <w:t>https://doi.org/10.1126/science.1217962</w:t>
        </w:r>
      </w:hyperlink>
    </w:p>
    <w:p w:rsidR="009F1A75" w:rsidRPr="0058740F" w:rsidRDefault="003D04B7" w:rsidP="009F1A75">
      <w:pPr>
        <w:pStyle w:val="EndNoteBibliography"/>
        <w:ind w:left="340" w:hanging="340"/>
      </w:pPr>
      <w:r>
        <w:t>45.</w:t>
      </w:r>
      <w:r>
        <w:tab/>
        <w:t xml:space="preserve">Zarin, </w:t>
      </w:r>
      <w:r w:rsidR="009F1A75" w:rsidRPr="0058740F">
        <w:t>D.</w:t>
      </w:r>
      <w:r w:rsidR="008872D1">
        <w:t xml:space="preserve"> J.,</w:t>
      </w:r>
      <w:r w:rsidR="008872D1">
        <w:rPr>
          <w:rFonts w:hint="eastAsia"/>
        </w:rPr>
        <w:t xml:space="preserve"> </w:t>
      </w:r>
      <w:r w:rsidR="008872D1" w:rsidRPr="008872D1">
        <w:rPr>
          <w:rFonts w:hint="eastAsia"/>
        </w:rPr>
        <w:t>Harris</w:t>
      </w:r>
      <w:r w:rsidR="008872D1">
        <w:t>, N. L.,</w:t>
      </w:r>
      <w:r w:rsidR="008872D1">
        <w:rPr>
          <w:rFonts w:hint="eastAsia"/>
        </w:rPr>
        <w:t xml:space="preserve"> </w:t>
      </w:r>
      <w:r w:rsidR="008872D1" w:rsidRPr="008872D1">
        <w:rPr>
          <w:rFonts w:hint="eastAsia"/>
        </w:rPr>
        <w:t>Baccini</w:t>
      </w:r>
      <w:r w:rsidR="008872D1">
        <w:t xml:space="preserve">, A., </w:t>
      </w:r>
      <w:r w:rsidR="008872D1" w:rsidRPr="008872D1">
        <w:rPr>
          <w:rFonts w:hint="eastAsia"/>
        </w:rPr>
        <w:t>Aksenov</w:t>
      </w:r>
      <w:r w:rsidR="008872D1">
        <w:t>, D.,</w:t>
      </w:r>
      <w:r w:rsidR="008872D1">
        <w:rPr>
          <w:rFonts w:hint="eastAsia"/>
        </w:rPr>
        <w:t xml:space="preserve"> </w:t>
      </w:r>
      <w:r w:rsidR="008872D1" w:rsidRPr="008872D1">
        <w:rPr>
          <w:rFonts w:hint="eastAsia"/>
        </w:rPr>
        <w:t>Hansen</w:t>
      </w:r>
      <w:r w:rsidR="008872D1">
        <w:t>, M. C.,</w:t>
      </w:r>
      <w:r w:rsidR="008872D1">
        <w:rPr>
          <w:rFonts w:hint="eastAsia"/>
        </w:rPr>
        <w:t xml:space="preserve"> </w:t>
      </w:r>
      <w:r w:rsidR="008872D1" w:rsidRPr="008872D1">
        <w:rPr>
          <w:rFonts w:hint="eastAsia"/>
        </w:rPr>
        <w:t>Azevedo</w:t>
      </w:r>
      <w:r w:rsidR="008872D1">
        <w:rPr>
          <w:rFonts w:hint="eastAsia"/>
        </w:rPr>
        <w:t>-</w:t>
      </w:r>
      <w:r w:rsidR="008872D1" w:rsidRPr="008872D1">
        <w:rPr>
          <w:rFonts w:hint="eastAsia"/>
        </w:rPr>
        <w:t>Ramos</w:t>
      </w:r>
      <w:r w:rsidR="008872D1">
        <w:t>, C.,</w:t>
      </w:r>
      <w:r w:rsidR="008872D1">
        <w:rPr>
          <w:rFonts w:hint="eastAsia"/>
        </w:rPr>
        <w:t xml:space="preserve"> </w:t>
      </w:r>
      <w:r w:rsidR="008872D1" w:rsidRPr="008872D1">
        <w:rPr>
          <w:rFonts w:hint="eastAsia"/>
        </w:rPr>
        <w:t>Azevedo</w:t>
      </w:r>
      <w:r w:rsidR="008872D1">
        <w:t>, T.,</w:t>
      </w:r>
      <w:r w:rsidR="008872D1">
        <w:rPr>
          <w:rFonts w:hint="eastAsia"/>
        </w:rPr>
        <w:t xml:space="preserve"> </w:t>
      </w:r>
      <w:r w:rsidR="008872D1" w:rsidRPr="008872D1">
        <w:rPr>
          <w:rFonts w:hint="eastAsia"/>
        </w:rPr>
        <w:t>Margono</w:t>
      </w:r>
      <w:r w:rsidR="008872D1">
        <w:t>, B. A.,</w:t>
      </w:r>
      <w:r w:rsidR="008872D1">
        <w:rPr>
          <w:rFonts w:hint="eastAsia"/>
        </w:rPr>
        <w:t xml:space="preserve"> </w:t>
      </w:r>
      <w:r w:rsidR="008872D1" w:rsidRPr="008872D1">
        <w:rPr>
          <w:rFonts w:hint="eastAsia"/>
        </w:rPr>
        <w:t>Alencar</w:t>
      </w:r>
      <w:r w:rsidR="008872D1">
        <w:t>, A. C.,</w:t>
      </w:r>
      <w:r w:rsidR="008872D1">
        <w:rPr>
          <w:rFonts w:hint="eastAsia"/>
        </w:rPr>
        <w:t xml:space="preserve"> </w:t>
      </w:r>
      <w:r w:rsidR="008872D1" w:rsidRPr="008872D1">
        <w:rPr>
          <w:rFonts w:hint="eastAsia"/>
        </w:rPr>
        <w:t>Gabris</w:t>
      </w:r>
      <w:r w:rsidR="008872D1">
        <w:t>, C.,</w:t>
      </w:r>
      <w:r w:rsidR="008872D1">
        <w:rPr>
          <w:rFonts w:hint="eastAsia"/>
        </w:rPr>
        <w:t xml:space="preserve"> </w:t>
      </w:r>
      <w:r w:rsidR="008872D1" w:rsidRPr="008872D1">
        <w:rPr>
          <w:rFonts w:hint="eastAsia"/>
        </w:rPr>
        <w:t>Allegretti</w:t>
      </w:r>
      <w:r w:rsidR="008872D1">
        <w:t>, A.,</w:t>
      </w:r>
      <w:r w:rsidR="008872D1">
        <w:rPr>
          <w:rFonts w:hint="eastAsia"/>
        </w:rPr>
        <w:t xml:space="preserve"> </w:t>
      </w:r>
      <w:r w:rsidR="008872D1" w:rsidRPr="008872D1">
        <w:rPr>
          <w:rFonts w:hint="eastAsia"/>
        </w:rPr>
        <w:t>Potapov</w:t>
      </w:r>
      <w:r w:rsidR="008872D1">
        <w:t xml:space="preserve">, </w:t>
      </w:r>
      <w:r w:rsidR="008872D1" w:rsidRPr="002112C4">
        <w:t>P.,</w:t>
      </w:r>
      <w:r w:rsidR="008872D1" w:rsidRPr="002112C4">
        <w:rPr>
          <w:rFonts w:hint="eastAsia"/>
        </w:rPr>
        <w:t xml:space="preserve"> Farina</w:t>
      </w:r>
      <w:r w:rsidR="008872D1" w:rsidRPr="002112C4">
        <w:t>, M.,</w:t>
      </w:r>
      <w:r w:rsidR="008872D1" w:rsidRPr="002112C4">
        <w:rPr>
          <w:rFonts w:hint="eastAsia"/>
        </w:rPr>
        <w:t xml:space="preserve"> Walker</w:t>
      </w:r>
      <w:r w:rsidR="008872D1" w:rsidRPr="002112C4">
        <w:t>, W. S.,</w:t>
      </w:r>
      <w:r w:rsidR="008872D1" w:rsidRPr="002112C4">
        <w:rPr>
          <w:rFonts w:hint="eastAsia"/>
        </w:rPr>
        <w:t xml:space="preserve"> She</w:t>
      </w:r>
      <w:r w:rsidR="008872D1" w:rsidRPr="002112C4">
        <w:t>vade, V. S., Loboda, T. V., Turubanova, S. and</w:t>
      </w:r>
      <w:r w:rsidR="008872D1">
        <w:t xml:space="preserve"> </w:t>
      </w:r>
      <w:r w:rsidR="008872D1" w:rsidRPr="008872D1">
        <w:t>Tyukavina</w:t>
      </w:r>
      <w:r w:rsidR="008872D1">
        <w:t xml:space="preserve">, A., </w:t>
      </w:r>
      <w:r w:rsidR="009F1A75" w:rsidRPr="008872D1">
        <w:t xml:space="preserve">Can </w:t>
      </w:r>
      <w:r w:rsidR="008872D1">
        <w:t>Carbon Emissions f</w:t>
      </w:r>
      <w:r w:rsidR="008872D1" w:rsidRPr="008872D1">
        <w:t>rom Tropical Defores</w:t>
      </w:r>
      <w:r w:rsidR="008872D1">
        <w:t xml:space="preserve">tation Drop by 50% in 5 Years?, </w:t>
      </w:r>
      <w:r w:rsidR="008872D1" w:rsidRPr="008872D1">
        <w:rPr>
          <w:i/>
        </w:rPr>
        <w:t>Global Change Biology</w:t>
      </w:r>
      <w:r w:rsidR="008872D1">
        <w:t>, Vol.</w:t>
      </w:r>
      <w:r w:rsidR="009F1A75" w:rsidRPr="0058740F">
        <w:t xml:space="preserve"> </w:t>
      </w:r>
      <w:r w:rsidR="009F1A75" w:rsidRPr="008872D1">
        <w:t>22</w:t>
      </w:r>
      <w:r w:rsidR="008872D1" w:rsidRPr="008872D1">
        <w:t xml:space="preserve">, No. </w:t>
      </w:r>
      <w:r w:rsidR="005728C1">
        <w:t xml:space="preserve">4, pp 1336-1347, 2016, </w:t>
      </w:r>
      <w:hyperlink r:id="rId50" w:tgtFrame="_blank" w:history="1">
        <w:r w:rsidR="005728C1" w:rsidRPr="00A20041">
          <w:rPr>
            <w:rStyle w:val="Hyperlink"/>
            <w:rFonts w:ascii="Verdana" w:hAnsi="Verdana" w:cs="Arial"/>
            <w:color w:val="FF0000"/>
            <w:sz w:val="18"/>
            <w:szCs w:val="18"/>
            <w:u w:val="none"/>
          </w:rPr>
          <w:t>https://doi.org/10.1111/gcb.13153</w:t>
        </w:r>
      </w:hyperlink>
    </w:p>
    <w:p w:rsidR="009F1A75" w:rsidRPr="0058740F" w:rsidRDefault="009F1A75" w:rsidP="009F1A75">
      <w:pPr>
        <w:pStyle w:val="EndNoteBibliography"/>
        <w:ind w:left="340" w:hanging="340"/>
      </w:pPr>
      <w:r w:rsidRPr="0058740F">
        <w:t>46.</w:t>
      </w:r>
      <w:r w:rsidR="003D04B7">
        <w:tab/>
        <w:t>Salles-Filho, S</w:t>
      </w:r>
      <w:r w:rsidRPr="0058740F">
        <w:t>.</w:t>
      </w:r>
      <w:r w:rsidR="003D04B7">
        <w:t xml:space="preserve"> </w:t>
      </w:r>
      <w:r w:rsidRPr="0058740F">
        <w:t>L.</w:t>
      </w:r>
      <w:r w:rsidR="003D04B7">
        <w:t xml:space="preserve"> M., </w:t>
      </w:r>
      <w:r w:rsidR="003D04B7" w:rsidRPr="003D04B7">
        <w:t>de</w:t>
      </w:r>
      <w:r w:rsidR="003D04B7">
        <w:t xml:space="preserve"> Castro, P. F. D., Bin, A., Edquist, C., </w:t>
      </w:r>
      <w:r w:rsidR="003D04B7" w:rsidRPr="003D04B7">
        <w:t>Portilho</w:t>
      </w:r>
      <w:r w:rsidR="003D04B7">
        <w:t xml:space="preserve"> Ferro, A. F. and Corder, S., </w:t>
      </w:r>
      <w:r w:rsidRPr="003D04B7">
        <w:t xml:space="preserve">Perspectives </w:t>
      </w:r>
      <w:r w:rsidR="003D04B7">
        <w:t>for t</w:t>
      </w:r>
      <w:r w:rsidR="003D04B7" w:rsidRPr="003D04B7">
        <w:t xml:space="preserve">he </w:t>
      </w:r>
      <w:r w:rsidRPr="003D04B7">
        <w:t xml:space="preserve">Brazilian </w:t>
      </w:r>
      <w:r w:rsidR="00B47106">
        <w:t xml:space="preserve">Bioethanol Sector: </w:t>
      </w:r>
      <w:r w:rsidR="003D04B7" w:rsidRPr="003D04B7">
        <w:t xml:space="preserve">The </w:t>
      </w:r>
      <w:r w:rsidR="003D04B7">
        <w:t xml:space="preserve">Innovation Driver, </w:t>
      </w:r>
      <w:r w:rsidR="003D04B7" w:rsidRPr="003D04B7">
        <w:rPr>
          <w:i/>
        </w:rPr>
        <w:t>Energy Policy</w:t>
      </w:r>
      <w:r w:rsidR="00B47106">
        <w:t xml:space="preserve">, Vol. </w:t>
      </w:r>
      <w:r w:rsidRPr="003D04B7">
        <w:t>108</w:t>
      </w:r>
      <w:r w:rsidR="003D04B7" w:rsidRPr="003D04B7">
        <w:t xml:space="preserve">, </w:t>
      </w:r>
      <w:r w:rsidR="005728C1">
        <w:t xml:space="preserve">pp 70-77, 2017, </w:t>
      </w:r>
      <w:hyperlink r:id="rId51" w:tgtFrame="_blank" w:history="1">
        <w:r w:rsidR="005728C1" w:rsidRPr="002112C4">
          <w:rPr>
            <w:rStyle w:val="Hyperlink"/>
            <w:rFonts w:ascii="Verdana" w:hAnsi="Verdana" w:cs="Arial"/>
            <w:color w:val="FF0000"/>
            <w:sz w:val="18"/>
            <w:szCs w:val="18"/>
            <w:u w:val="none"/>
          </w:rPr>
          <w:t>https://doi.org/10.1016/j.enpol.2017.05.037</w:t>
        </w:r>
      </w:hyperlink>
    </w:p>
    <w:p w:rsidR="009F1A75" w:rsidRPr="0058740F" w:rsidRDefault="007437BE" w:rsidP="009F1A75">
      <w:pPr>
        <w:pStyle w:val="EndNoteBibliography"/>
        <w:ind w:left="340" w:hanging="340"/>
      </w:pPr>
      <w:r>
        <w:t>47.</w:t>
      </w:r>
      <w:r>
        <w:tab/>
        <w:t>Njakou Djomo, S., Witters, N., Van Dael, M., Gabrielle, B. and Ceulemans, R.,</w:t>
      </w:r>
      <w:r w:rsidR="009F1A75" w:rsidRPr="0058740F">
        <w:t xml:space="preserve"> </w:t>
      </w:r>
      <w:r w:rsidR="009F1A75" w:rsidRPr="007437BE">
        <w:t xml:space="preserve">Impact </w:t>
      </w:r>
      <w:r>
        <w:t>of Feedstock, Land Use Change, and Soil Organic Carbon o</w:t>
      </w:r>
      <w:r w:rsidRPr="007437BE">
        <w:t>n Energy</w:t>
      </w:r>
      <w:r>
        <w:t xml:space="preserve"> and Greenhouse Gas Performance of </w:t>
      </w:r>
      <w:r w:rsidRPr="007437BE">
        <w:t>Bio</w:t>
      </w:r>
      <w:r>
        <w:t xml:space="preserve">mass Cogeneration Technologies, </w:t>
      </w:r>
      <w:r>
        <w:br/>
      </w:r>
      <w:r w:rsidRPr="007437BE">
        <w:rPr>
          <w:i/>
        </w:rPr>
        <w:t>Applied Energy</w:t>
      </w:r>
      <w:r>
        <w:t>, Vol.</w:t>
      </w:r>
      <w:r w:rsidR="009F1A75" w:rsidRPr="0058740F">
        <w:t xml:space="preserve"> </w:t>
      </w:r>
      <w:r w:rsidR="009F1A75" w:rsidRPr="007437BE">
        <w:t>154</w:t>
      </w:r>
      <w:r w:rsidRPr="007437BE">
        <w:t xml:space="preserve">, </w:t>
      </w:r>
      <w:r w:rsidR="005728C1">
        <w:t xml:space="preserve">pp 122-130, 2015, </w:t>
      </w:r>
      <w:hyperlink r:id="rId52" w:tgtFrame="_blank" w:history="1">
        <w:r w:rsidR="005728C1" w:rsidRPr="002112C4">
          <w:rPr>
            <w:rStyle w:val="Hyperlink"/>
            <w:rFonts w:ascii="Verdana" w:hAnsi="Verdana" w:cs="Arial"/>
            <w:color w:val="FF0000"/>
            <w:sz w:val="18"/>
            <w:szCs w:val="18"/>
            <w:u w:val="none"/>
          </w:rPr>
          <w:t>https://doi.org/10.1016/j.apenergy.2015.04.097</w:t>
        </w:r>
      </w:hyperlink>
    </w:p>
    <w:p w:rsidR="009F1A75" w:rsidRPr="0058740F" w:rsidRDefault="007437BE" w:rsidP="009F1A75">
      <w:pPr>
        <w:pStyle w:val="EndNoteBibliography"/>
        <w:ind w:left="340" w:hanging="340"/>
      </w:pPr>
      <w:r>
        <w:t>48.</w:t>
      </w:r>
      <w:r>
        <w:tab/>
        <w:t xml:space="preserve">Plevin, </w:t>
      </w:r>
      <w:r w:rsidR="009F1A75" w:rsidRPr="0058740F">
        <w:t>R.</w:t>
      </w:r>
      <w:r>
        <w:t xml:space="preserve"> J., </w:t>
      </w:r>
      <w:r w:rsidRPr="007437BE">
        <w:rPr>
          <w:rFonts w:hint="eastAsia"/>
        </w:rPr>
        <w:t>O</w:t>
      </w:r>
      <w:r>
        <w:t>'</w:t>
      </w:r>
      <w:r>
        <w:rPr>
          <w:rFonts w:hint="eastAsia"/>
        </w:rPr>
        <w:t xml:space="preserve">Hare, M., </w:t>
      </w:r>
      <w:r w:rsidRPr="007437BE">
        <w:rPr>
          <w:rFonts w:hint="eastAsia"/>
        </w:rPr>
        <w:t>Jones</w:t>
      </w:r>
      <w:r>
        <w:rPr>
          <w:rFonts w:hint="eastAsia"/>
        </w:rPr>
        <w:t xml:space="preserve">, A. D., </w:t>
      </w:r>
      <w:r w:rsidRPr="007437BE">
        <w:rPr>
          <w:rFonts w:hint="eastAsia"/>
        </w:rPr>
        <w:t>Torn</w:t>
      </w:r>
      <w:r>
        <w:rPr>
          <w:rFonts w:hint="eastAsia"/>
        </w:rPr>
        <w:t xml:space="preserve">, M. S. and </w:t>
      </w:r>
      <w:r w:rsidRPr="007437BE">
        <w:rPr>
          <w:rFonts w:hint="eastAsia"/>
        </w:rPr>
        <w:t>Gibbs</w:t>
      </w:r>
      <w:r>
        <w:rPr>
          <w:rFonts w:hint="eastAsia"/>
        </w:rPr>
        <w:t xml:space="preserve">, H. K., </w:t>
      </w:r>
      <w:r w:rsidR="009F1A75" w:rsidRPr="007437BE">
        <w:t>Greenhouse Gas Emissions from Biofuels’ Indirect Land Us</w:t>
      </w:r>
      <w:r w:rsidR="00FC230E">
        <w:t>e Change a</w:t>
      </w:r>
      <w:r>
        <w:t>re Uncertain but May b</w:t>
      </w:r>
      <w:r w:rsidR="009F1A75" w:rsidRPr="007437BE">
        <w:t>e Much Gr</w:t>
      </w:r>
      <w:r w:rsidRPr="007437BE">
        <w:t>eater than Previously</w:t>
      </w:r>
      <w:r>
        <w:t xml:space="preserve"> Estimated, </w:t>
      </w:r>
      <w:r w:rsidR="009F1A75" w:rsidRPr="007437BE">
        <w:rPr>
          <w:i/>
        </w:rPr>
        <w:t>Environme</w:t>
      </w:r>
      <w:r w:rsidRPr="007437BE">
        <w:rPr>
          <w:i/>
        </w:rPr>
        <w:t>ntal Science &amp; Technology</w:t>
      </w:r>
      <w:r>
        <w:t xml:space="preserve">, Vol. </w:t>
      </w:r>
      <w:r w:rsidR="009F1A75" w:rsidRPr="007437BE">
        <w:t>44</w:t>
      </w:r>
      <w:r w:rsidR="005728C1">
        <w:t xml:space="preserve">, No. 21, pp 8015-8021, 2010, </w:t>
      </w:r>
      <w:hyperlink r:id="rId53" w:tgtFrame="_blank" w:history="1">
        <w:r w:rsidR="005728C1" w:rsidRPr="002112C4">
          <w:rPr>
            <w:rStyle w:val="Hyperlink"/>
            <w:rFonts w:ascii="Verdana" w:hAnsi="Verdana" w:cs="Arial"/>
            <w:color w:val="FF0000"/>
            <w:sz w:val="18"/>
            <w:szCs w:val="18"/>
            <w:u w:val="none"/>
          </w:rPr>
          <w:t>https://doi.org/10.1021/es101946t</w:t>
        </w:r>
      </w:hyperlink>
    </w:p>
    <w:p w:rsidR="009F1A75" w:rsidRPr="0058740F" w:rsidRDefault="009F1A75" w:rsidP="009F1A75">
      <w:pPr>
        <w:pStyle w:val="EndNoteBibliography"/>
        <w:ind w:left="340" w:hanging="340"/>
      </w:pPr>
      <w:r w:rsidRPr="0058740F">
        <w:lastRenderedPageBreak/>
        <w:t>49.</w:t>
      </w:r>
      <w:r w:rsidRPr="0058740F">
        <w:tab/>
        <w:t>Chávez-Rodríguez, M.</w:t>
      </w:r>
      <w:r w:rsidR="00B857A2">
        <w:t xml:space="preserve"> F., Dias, L., Simoes, S., Seixas, J., Hawkes, A., Szklo, A. and Lucena, A. F. P., </w:t>
      </w:r>
      <w:r w:rsidRPr="00B857A2">
        <w:t xml:space="preserve">Modelling </w:t>
      </w:r>
      <w:r w:rsidR="00B857A2">
        <w:t>the Natural Gas Dynamics in t</w:t>
      </w:r>
      <w:r w:rsidR="00B857A2" w:rsidRPr="00B857A2">
        <w:t xml:space="preserve">he Southern Cone </w:t>
      </w:r>
      <w:r w:rsidR="00B857A2">
        <w:t>o</w:t>
      </w:r>
      <w:r w:rsidR="00B857A2" w:rsidRPr="00B857A2">
        <w:t>f Latin America</w:t>
      </w:r>
      <w:r w:rsidR="00B857A2">
        <w:t xml:space="preserve">, </w:t>
      </w:r>
      <w:r w:rsidR="00B857A2" w:rsidRPr="00B857A2">
        <w:rPr>
          <w:i/>
        </w:rPr>
        <w:t>Applied Energy</w:t>
      </w:r>
      <w:r w:rsidR="00B857A2">
        <w:t>, Vol.</w:t>
      </w:r>
      <w:r w:rsidRPr="0058740F">
        <w:t xml:space="preserve"> </w:t>
      </w:r>
      <w:r w:rsidRPr="00B857A2">
        <w:t>201</w:t>
      </w:r>
      <w:r w:rsidR="00B857A2" w:rsidRPr="00B857A2">
        <w:t xml:space="preserve">, </w:t>
      </w:r>
      <w:r w:rsidR="005728C1">
        <w:t xml:space="preserve">pp 219-239, 2017, </w:t>
      </w:r>
      <w:hyperlink r:id="rId54" w:tgtFrame="_blank" w:history="1">
        <w:r w:rsidR="005728C1" w:rsidRPr="002112C4">
          <w:rPr>
            <w:rStyle w:val="Hyperlink"/>
            <w:rFonts w:ascii="Verdana" w:hAnsi="Verdana" w:cs="Arial"/>
            <w:color w:val="FF0000"/>
            <w:sz w:val="18"/>
            <w:szCs w:val="18"/>
            <w:u w:val="none"/>
          </w:rPr>
          <w:t>https://doi.org/10.1016/j.apenergy.2017.05.061</w:t>
        </w:r>
      </w:hyperlink>
    </w:p>
    <w:p w:rsidR="009F1A75" w:rsidRPr="0058740F" w:rsidRDefault="009F1A75" w:rsidP="009F1A75">
      <w:pPr>
        <w:pStyle w:val="EndNoteBibliography"/>
        <w:ind w:left="340" w:hanging="340"/>
      </w:pPr>
      <w:r w:rsidRPr="0058740F">
        <w:t>50.</w:t>
      </w:r>
      <w:r w:rsidRPr="0058740F">
        <w:tab/>
        <w:t>Camp</w:t>
      </w:r>
      <w:r w:rsidR="002324A6">
        <w:t xml:space="preserve">os, </w:t>
      </w:r>
      <w:r w:rsidRPr="0058740F">
        <w:t>A.</w:t>
      </w:r>
      <w:r w:rsidR="002324A6">
        <w:t xml:space="preserve"> F., da Silva, N. F., </w:t>
      </w:r>
      <w:r w:rsidR="002324A6" w:rsidRPr="002324A6">
        <w:t>Giannini</w:t>
      </w:r>
      <w:r w:rsidR="002324A6">
        <w:t xml:space="preserve"> Pereira, M. and Vasconcelos Freitas, M. A., </w:t>
      </w:r>
      <w:r w:rsidRPr="002324A6">
        <w:t xml:space="preserve">A </w:t>
      </w:r>
      <w:r w:rsidR="002324A6">
        <w:t>Review o</w:t>
      </w:r>
      <w:r w:rsidR="002324A6" w:rsidRPr="002324A6">
        <w:t xml:space="preserve">f </w:t>
      </w:r>
      <w:r w:rsidRPr="002324A6">
        <w:t xml:space="preserve">Brazilian </w:t>
      </w:r>
      <w:r w:rsidR="002324A6" w:rsidRPr="002324A6">
        <w:t>Natural Gas Indus</w:t>
      </w:r>
      <w:r w:rsidR="002324A6">
        <w:t xml:space="preserve">try: Challenges and Strategies, </w:t>
      </w:r>
      <w:r w:rsidR="002324A6">
        <w:br/>
      </w:r>
      <w:r w:rsidRPr="002324A6">
        <w:rPr>
          <w:i/>
        </w:rPr>
        <w:t>Renewable and S</w:t>
      </w:r>
      <w:r w:rsidR="002324A6" w:rsidRPr="002324A6">
        <w:rPr>
          <w:i/>
        </w:rPr>
        <w:t>ustainable Energy Reviews</w:t>
      </w:r>
      <w:r w:rsidR="002324A6">
        <w:t xml:space="preserve">, Vol. </w:t>
      </w:r>
      <w:r w:rsidRPr="002324A6">
        <w:t>75</w:t>
      </w:r>
      <w:r w:rsidR="002324A6" w:rsidRPr="002324A6">
        <w:t xml:space="preserve">, </w:t>
      </w:r>
      <w:r w:rsidR="005728C1">
        <w:t xml:space="preserve">pp 1207-1216, 2017, </w:t>
      </w:r>
      <w:hyperlink r:id="rId55" w:tgtFrame="_blank" w:history="1">
        <w:r w:rsidR="005728C1" w:rsidRPr="002112C4">
          <w:rPr>
            <w:rStyle w:val="Hyperlink"/>
            <w:rFonts w:ascii="Verdana" w:hAnsi="Verdana" w:cs="Arial"/>
            <w:color w:val="FF0000"/>
            <w:sz w:val="18"/>
            <w:szCs w:val="18"/>
            <w:u w:val="none"/>
          </w:rPr>
          <w:t>https://doi.org/10.1016/j.rser.2016.11.104</w:t>
        </w:r>
      </w:hyperlink>
    </w:p>
    <w:p w:rsidR="009F1A75" w:rsidRPr="0058740F" w:rsidRDefault="009956A2" w:rsidP="009F1A75">
      <w:pPr>
        <w:pStyle w:val="EndNoteBibliography"/>
        <w:ind w:left="340" w:hanging="340"/>
      </w:pPr>
      <w:r>
        <w:t>51.</w:t>
      </w:r>
      <w:r>
        <w:tab/>
        <w:t xml:space="preserve">Gomes, I., </w:t>
      </w:r>
      <w:r w:rsidR="009F1A75" w:rsidRPr="009956A2">
        <w:rPr>
          <w:i/>
        </w:rPr>
        <w:t>Brazil</w:t>
      </w:r>
      <w:r w:rsidRPr="009956A2">
        <w:rPr>
          <w:i/>
        </w:rPr>
        <w:t xml:space="preserve">: </w:t>
      </w:r>
      <w:r w:rsidR="009F1A75" w:rsidRPr="009956A2">
        <w:rPr>
          <w:i/>
        </w:rPr>
        <w:t xml:space="preserve">Country </w:t>
      </w:r>
      <w:r w:rsidRPr="009956A2">
        <w:rPr>
          <w:i/>
        </w:rPr>
        <w:t>of the Future or Has its Time Come for Natural Gas?</w:t>
      </w:r>
      <w:r>
        <w:t xml:space="preserve">, </w:t>
      </w:r>
      <w:r w:rsidRPr="009956A2">
        <w:t xml:space="preserve">Oxford Institute for </w:t>
      </w:r>
      <w:r>
        <w:t xml:space="preserve">Energy Studies, Oxford, </w:t>
      </w:r>
      <w:r w:rsidRPr="009956A2">
        <w:t>United Kingdom</w:t>
      </w:r>
      <w:r>
        <w:t xml:space="preserve">, </w:t>
      </w:r>
      <w:r w:rsidR="005728C1">
        <w:t xml:space="preserve">2014, </w:t>
      </w:r>
      <w:hyperlink r:id="rId56" w:tgtFrame="_blank" w:history="1">
        <w:r w:rsidR="005728C1" w:rsidRPr="002112C4">
          <w:rPr>
            <w:rStyle w:val="Hyperlink"/>
            <w:rFonts w:ascii="Verdana" w:hAnsi="Verdana" w:cs="Arial"/>
            <w:color w:val="FF0000"/>
            <w:sz w:val="18"/>
            <w:szCs w:val="18"/>
            <w:u w:val="none"/>
          </w:rPr>
          <w:t>https://doi.org/10.26889/9781784670047</w:t>
        </w:r>
      </w:hyperlink>
    </w:p>
    <w:p w:rsidR="009F1A75" w:rsidRPr="0058740F" w:rsidRDefault="009F1A75" w:rsidP="009F1A75">
      <w:pPr>
        <w:pStyle w:val="EndNoteBibliography"/>
        <w:ind w:left="340" w:hanging="340"/>
      </w:pPr>
      <w:r w:rsidRPr="0058740F">
        <w:t>52.</w:t>
      </w:r>
      <w:r w:rsidRPr="0058740F">
        <w:tab/>
        <w:t>Rochedo, P.</w:t>
      </w:r>
      <w:r w:rsidR="00065710">
        <w:t xml:space="preserve"> </w:t>
      </w:r>
      <w:r w:rsidRPr="0058740F">
        <w:t>R.</w:t>
      </w:r>
      <w:r w:rsidR="00065710">
        <w:t xml:space="preserve"> R., </w:t>
      </w:r>
      <w:r w:rsidR="00065710" w:rsidRPr="00065710">
        <w:t>Soares-Filho,</w:t>
      </w:r>
      <w:r w:rsidR="00065710">
        <w:t xml:space="preserve"> B., </w:t>
      </w:r>
      <w:r w:rsidR="00065710" w:rsidRPr="00065710">
        <w:t>Schaeffer,</w:t>
      </w:r>
      <w:r w:rsidR="00065710">
        <w:t xml:space="preserve"> R., </w:t>
      </w:r>
      <w:r w:rsidR="00065710" w:rsidRPr="00065710">
        <w:t>Viola,</w:t>
      </w:r>
      <w:r w:rsidR="00065710">
        <w:t xml:space="preserve"> E., </w:t>
      </w:r>
      <w:r w:rsidR="00065710" w:rsidRPr="00065710">
        <w:t>Szklo,</w:t>
      </w:r>
      <w:r w:rsidR="00065710">
        <w:t xml:space="preserve"> A., </w:t>
      </w:r>
      <w:r w:rsidR="00065710" w:rsidRPr="00065710">
        <w:t>Lucena,</w:t>
      </w:r>
      <w:r w:rsidR="00065710">
        <w:t xml:space="preserve"> A. F. P., </w:t>
      </w:r>
      <w:r w:rsidR="00065710" w:rsidRPr="00065710">
        <w:t>Koberle,</w:t>
      </w:r>
      <w:r w:rsidR="00065710">
        <w:t xml:space="preserve"> A., </w:t>
      </w:r>
      <w:r w:rsidR="00065710" w:rsidRPr="00065710">
        <w:t>Leroy Davis,</w:t>
      </w:r>
      <w:r w:rsidR="00065710">
        <w:t xml:space="preserve"> J., </w:t>
      </w:r>
      <w:r w:rsidR="00065710" w:rsidRPr="00065710">
        <w:t>Rajão</w:t>
      </w:r>
      <w:r w:rsidR="00065710">
        <w:t xml:space="preserve">, R. and </w:t>
      </w:r>
      <w:r w:rsidR="00065710" w:rsidRPr="00065710">
        <w:t>Rathmann</w:t>
      </w:r>
      <w:r w:rsidR="00065710">
        <w:t xml:space="preserve">, R., </w:t>
      </w:r>
      <w:r w:rsidRPr="00065710">
        <w:t xml:space="preserve">The </w:t>
      </w:r>
      <w:r w:rsidR="00065710">
        <w:t>Threat of Political Bargaining to Climate Mitigation i</w:t>
      </w:r>
      <w:r w:rsidR="00065710" w:rsidRPr="00065710">
        <w:t>n Brazil</w:t>
      </w:r>
      <w:r w:rsidR="00065710">
        <w:t xml:space="preserve">, </w:t>
      </w:r>
      <w:r w:rsidR="00065710" w:rsidRPr="00065710">
        <w:rPr>
          <w:i/>
        </w:rPr>
        <w:t>Nature Climate Change</w:t>
      </w:r>
      <w:r w:rsidR="00065710">
        <w:t xml:space="preserve">, Vol. </w:t>
      </w:r>
      <w:r w:rsidRPr="00065710">
        <w:t>8</w:t>
      </w:r>
      <w:r w:rsidR="00065710" w:rsidRPr="00065710">
        <w:t xml:space="preserve">, No. </w:t>
      </w:r>
      <w:r w:rsidR="005728C1">
        <w:t xml:space="preserve">8, </w:t>
      </w:r>
      <w:r w:rsidR="005728C1">
        <w:br/>
        <w:t xml:space="preserve">pp 695-698, 2018, </w:t>
      </w:r>
      <w:hyperlink r:id="rId57" w:tgtFrame="_blank" w:history="1">
        <w:r w:rsidR="005728C1" w:rsidRPr="002112C4">
          <w:rPr>
            <w:rStyle w:val="Hyperlink"/>
            <w:rFonts w:ascii="Verdana" w:hAnsi="Verdana" w:cs="Arial"/>
            <w:color w:val="FF0000"/>
            <w:sz w:val="18"/>
            <w:szCs w:val="18"/>
            <w:u w:val="none"/>
          </w:rPr>
          <w:t>https://doi.org/10.1038/s41558-018-0213-y</w:t>
        </w:r>
      </w:hyperlink>
    </w:p>
    <w:p w:rsidR="009F1A75" w:rsidRPr="0058740F" w:rsidRDefault="009F1A75" w:rsidP="009F1A75">
      <w:pPr>
        <w:pStyle w:val="EndNoteBibliography"/>
        <w:ind w:left="340" w:hanging="340"/>
      </w:pPr>
      <w:r w:rsidRPr="0058740F">
        <w:t>53.</w:t>
      </w:r>
      <w:r w:rsidRPr="0058740F">
        <w:tab/>
      </w:r>
      <w:r w:rsidR="000528DF" w:rsidRPr="000528DF">
        <w:t>International Energy Agency</w:t>
      </w:r>
      <w:r w:rsidR="000528DF">
        <w:t xml:space="preserve"> (</w:t>
      </w:r>
      <w:r w:rsidRPr="0058740F">
        <w:t>IEA</w:t>
      </w:r>
      <w:r w:rsidR="000528DF">
        <w:t xml:space="preserve">), </w:t>
      </w:r>
      <w:r w:rsidRPr="000528DF">
        <w:t>World Energy Outlook 2010</w:t>
      </w:r>
      <w:r w:rsidR="000528DF">
        <w:t>, Paris, France, 2010.</w:t>
      </w:r>
    </w:p>
    <w:p w:rsidR="009F1A75" w:rsidRPr="0058740F" w:rsidRDefault="0071561B" w:rsidP="009F1A75">
      <w:pPr>
        <w:pStyle w:val="EndNoteBibliography"/>
        <w:ind w:left="340" w:hanging="340"/>
      </w:pPr>
      <w:r>
        <w:t>54.</w:t>
      </w:r>
      <w:r>
        <w:tab/>
        <w:t xml:space="preserve">Fricko, O., Havlik, P., Rogelj, J., Klimont, Z., Gusti, M., Johnson, N., Kolp, P., Strubegger, M., Valin, H., Amann, M., Ermolieva, T., Forsell, N., Herrero, M., Heyes, C., Kindermann, G., Krey, V., </w:t>
      </w:r>
      <w:r w:rsidRPr="0071561B">
        <w:t>McCollu</w:t>
      </w:r>
      <w:r>
        <w:t xml:space="preserve">m, D. L., Obersteiner, M., Pachauri, S., Rao, S., Schmid, E., Schoepp, W. and Riahi, K., </w:t>
      </w:r>
      <w:r w:rsidR="009F1A75" w:rsidRPr="0071561B">
        <w:t xml:space="preserve">The </w:t>
      </w:r>
      <w:r>
        <w:t>Marker Quantification of t</w:t>
      </w:r>
      <w:r w:rsidRPr="0071561B">
        <w:t xml:space="preserve">he </w:t>
      </w:r>
      <w:r w:rsidR="009F1A75" w:rsidRPr="0071561B">
        <w:t xml:space="preserve">Shared Socioeconomic Pathway </w:t>
      </w:r>
      <w:r>
        <w:t xml:space="preserve">2: </w:t>
      </w:r>
      <w:r w:rsidR="009F1A75" w:rsidRPr="0071561B">
        <w:t xml:space="preserve">A </w:t>
      </w:r>
      <w:r>
        <w:t>Middle-Of-The-Road Scenario for t</w:t>
      </w:r>
      <w:r w:rsidRPr="0071561B">
        <w:t>he 21</w:t>
      </w:r>
      <w:r w:rsidRPr="0071561B">
        <w:rPr>
          <w:vertAlign w:val="superscript"/>
        </w:rPr>
        <w:t>st</w:t>
      </w:r>
      <w:r w:rsidRPr="0071561B">
        <w:t xml:space="preserve"> Cent</w:t>
      </w:r>
      <w:r>
        <w:t xml:space="preserve">ury, </w:t>
      </w:r>
      <w:r w:rsidR="009F1A75" w:rsidRPr="0071561B">
        <w:rPr>
          <w:i/>
        </w:rPr>
        <w:t>Gl</w:t>
      </w:r>
      <w:r w:rsidRPr="0071561B">
        <w:rPr>
          <w:i/>
        </w:rPr>
        <w:t>obal Environmental Change</w:t>
      </w:r>
      <w:r>
        <w:t xml:space="preserve">, Vol. </w:t>
      </w:r>
      <w:r w:rsidR="009F1A75" w:rsidRPr="0071561B">
        <w:t>42</w:t>
      </w:r>
      <w:r w:rsidRPr="0071561B">
        <w:t xml:space="preserve">, </w:t>
      </w:r>
      <w:r w:rsidR="005728C1">
        <w:t xml:space="preserve">Suppl. C, pp 251-267, 2017, </w:t>
      </w:r>
      <w:hyperlink r:id="rId58" w:tgtFrame="_blank" w:history="1">
        <w:r w:rsidR="005728C1" w:rsidRPr="002112C4">
          <w:rPr>
            <w:rStyle w:val="Hyperlink"/>
            <w:rFonts w:ascii="Verdana" w:hAnsi="Verdana" w:cs="Arial"/>
            <w:color w:val="FF0000"/>
            <w:sz w:val="18"/>
            <w:szCs w:val="18"/>
            <w:u w:val="none"/>
          </w:rPr>
          <w:t>https://doi.org/10.1016/j.gloenvcha.2016.06.004</w:t>
        </w:r>
      </w:hyperlink>
    </w:p>
    <w:p w:rsidR="009F1A75" w:rsidRPr="0058740F" w:rsidRDefault="0051287B" w:rsidP="009F1A75">
      <w:pPr>
        <w:pStyle w:val="EndNoteBibliography"/>
        <w:ind w:left="340" w:hanging="340"/>
      </w:pPr>
      <w:r>
        <w:t>55.</w:t>
      </w:r>
      <w:r>
        <w:tab/>
      </w:r>
      <w:r w:rsidRPr="0051287B">
        <w:t>Brazilian Institute of Geography and Statistics</w:t>
      </w:r>
      <w:r>
        <w:t xml:space="preserve"> (IBGE), </w:t>
      </w:r>
      <w:r w:rsidR="009F1A75" w:rsidRPr="0051287B">
        <w:t>Natural Resources and Environmental St</w:t>
      </w:r>
      <w:r>
        <w:t xml:space="preserve">udies ‒ Coverage and Land Use </w:t>
      </w:r>
      <w:r>
        <w:br/>
        <w:t>(in Portuguese</w:t>
      </w:r>
      <w:r w:rsidR="009F1A75" w:rsidRPr="0051287B">
        <w:t>)</w:t>
      </w:r>
      <w:r>
        <w:t xml:space="preserve">, 2018, </w:t>
      </w:r>
      <w:r w:rsidR="009F1A75" w:rsidRPr="0051287B">
        <w:rPr>
          <w:rStyle w:val="Hyperlink"/>
          <w:color w:val="auto"/>
          <w:u w:val="none"/>
        </w:rPr>
        <w:t>https://ww2.ibge.gov.br/home/geociencias/recursosnaturais/</w:t>
      </w:r>
      <w:r w:rsidR="00103B0A">
        <w:rPr>
          <w:rStyle w:val="Hyperlink"/>
          <w:color w:val="auto"/>
          <w:u w:val="none"/>
        </w:rPr>
        <w:br/>
      </w:r>
      <w:r w:rsidR="009F1A75" w:rsidRPr="0051287B">
        <w:rPr>
          <w:rStyle w:val="Hyperlink"/>
          <w:color w:val="auto"/>
          <w:u w:val="none"/>
        </w:rPr>
        <w:t>usodaterra/default.shtm</w:t>
      </w:r>
      <w:r>
        <w:t>, [Accessed: 01-April-2018]</w:t>
      </w:r>
    </w:p>
    <w:p w:rsidR="009F1A75" w:rsidRPr="0058740F" w:rsidRDefault="00E24C21" w:rsidP="009F1A75">
      <w:pPr>
        <w:pStyle w:val="EndNoteBibliography"/>
        <w:ind w:left="340" w:hanging="340"/>
      </w:pPr>
      <w:r>
        <w:t>56.</w:t>
      </w:r>
      <w:r>
        <w:tab/>
      </w:r>
      <w:r w:rsidRPr="00E24C21">
        <w:t xml:space="preserve">Ministry </w:t>
      </w:r>
      <w:r>
        <w:t>of t</w:t>
      </w:r>
      <w:r w:rsidRPr="00E24C21">
        <w:t xml:space="preserve">he </w:t>
      </w:r>
      <w:r>
        <w:t xml:space="preserve">Environment, </w:t>
      </w:r>
      <w:r w:rsidR="009F1A75" w:rsidRPr="00E24C21">
        <w:t xml:space="preserve">PROBIO </w:t>
      </w:r>
      <w:r>
        <w:t>‒</w:t>
      </w:r>
      <w:r w:rsidRPr="00E24C21">
        <w:t xml:space="preserve"> </w:t>
      </w:r>
      <w:r w:rsidR="009F1A75" w:rsidRPr="00E24C21">
        <w:t xml:space="preserve">Project </w:t>
      </w:r>
      <w:r>
        <w:t>for the Conservation and Sustainable Use o</w:t>
      </w:r>
      <w:r w:rsidRPr="00E24C21">
        <w:t xml:space="preserve">f </w:t>
      </w:r>
      <w:r w:rsidR="009F1A75" w:rsidRPr="00E24C21">
        <w:t xml:space="preserve">Brazilian </w:t>
      </w:r>
      <w:r w:rsidRPr="00E24C21">
        <w:t>Biological Diversity</w:t>
      </w:r>
      <w:r>
        <w:t xml:space="preserve"> (in Portuguese), Brasilia, Brazil,</w:t>
      </w:r>
      <w:r w:rsidR="00103B0A">
        <w:t xml:space="preserve"> 2018.</w:t>
      </w:r>
    </w:p>
    <w:p w:rsidR="009F1A75" w:rsidRPr="0058740F" w:rsidRDefault="00E24C21" w:rsidP="009F1A75">
      <w:pPr>
        <w:pStyle w:val="EndNoteBibliography"/>
        <w:ind w:left="340" w:hanging="340"/>
      </w:pPr>
      <w:r>
        <w:t>57.</w:t>
      </w:r>
      <w:r>
        <w:tab/>
        <w:t>Brazilian Sugarcane Industry A</w:t>
      </w:r>
      <w:r w:rsidRPr="00E24C21">
        <w:t xml:space="preserve">ssociation </w:t>
      </w:r>
      <w:r>
        <w:t xml:space="preserve">(UNICA), </w:t>
      </w:r>
      <w:r w:rsidR="009F1A75" w:rsidRPr="00E24C21">
        <w:t xml:space="preserve">Unicadata </w:t>
      </w:r>
      <w:r>
        <w:t>‒</w:t>
      </w:r>
      <w:r w:rsidR="009F1A75" w:rsidRPr="00E24C21">
        <w:t xml:space="preserve"> Brazilian Sugarcane Industry Association</w:t>
      </w:r>
      <w:r>
        <w:t>, Brasilia, Brazil,</w:t>
      </w:r>
      <w:r w:rsidR="00103B0A">
        <w:t xml:space="preserve"> 2018.</w:t>
      </w:r>
    </w:p>
    <w:p w:rsidR="009F1A75" w:rsidRPr="0058740F" w:rsidRDefault="00E24C21" w:rsidP="009F1A75">
      <w:pPr>
        <w:pStyle w:val="EndNoteBibliography"/>
        <w:ind w:left="340" w:hanging="340"/>
      </w:pPr>
      <w:r>
        <w:t>58.</w:t>
      </w:r>
      <w:r>
        <w:tab/>
        <w:t xml:space="preserve">Sallustio, L., Quatrini, V., Geneletti, D., Corona, P. and Marchetti, M., </w:t>
      </w:r>
      <w:r>
        <w:br/>
      </w:r>
      <w:r w:rsidR="009F1A75" w:rsidRPr="00E24C21">
        <w:t xml:space="preserve">Assessing </w:t>
      </w:r>
      <w:r>
        <w:t>Land Take by Urban Development and its Impact o</w:t>
      </w:r>
      <w:r w:rsidRPr="00E24C21">
        <w:t xml:space="preserve">n Carbon Storage: </w:t>
      </w:r>
      <w:r w:rsidR="009F1A75" w:rsidRPr="00E24C21">
        <w:t xml:space="preserve">Findings </w:t>
      </w:r>
      <w:r w:rsidR="009F5270">
        <w:t>f</w:t>
      </w:r>
      <w:r w:rsidRPr="00E24C21">
        <w:t xml:space="preserve">rom Two Case </w:t>
      </w:r>
      <w:r>
        <w:t xml:space="preserve">Studies in </w:t>
      </w:r>
      <w:r w:rsidR="009F1A75" w:rsidRPr="00E24C21">
        <w:t>Italy</w:t>
      </w:r>
      <w:r>
        <w:t xml:space="preserve">, </w:t>
      </w:r>
      <w:r w:rsidR="009F1A75" w:rsidRPr="00E24C21">
        <w:rPr>
          <w:i/>
        </w:rPr>
        <w:t>Environmental Impact Assessment Review</w:t>
      </w:r>
      <w:r>
        <w:t>, Vol.</w:t>
      </w:r>
      <w:r w:rsidR="009F1A75" w:rsidRPr="0058740F">
        <w:t xml:space="preserve"> </w:t>
      </w:r>
      <w:r w:rsidR="009F1A75" w:rsidRPr="00E24C21">
        <w:t>54</w:t>
      </w:r>
      <w:r w:rsidRPr="00E24C21">
        <w:t xml:space="preserve">, </w:t>
      </w:r>
      <w:r>
        <w:t xml:space="preserve">Suppl. C, pp </w:t>
      </w:r>
      <w:r w:rsidR="005728C1">
        <w:t xml:space="preserve">80-90, 2015, </w:t>
      </w:r>
      <w:hyperlink r:id="rId59" w:tgtFrame="_blank" w:history="1">
        <w:r w:rsidR="005728C1" w:rsidRPr="002112C4">
          <w:rPr>
            <w:rStyle w:val="Hyperlink"/>
            <w:rFonts w:ascii="Verdana" w:hAnsi="Verdana" w:cs="Arial"/>
            <w:color w:val="FF0000"/>
            <w:sz w:val="18"/>
            <w:szCs w:val="18"/>
            <w:u w:val="none"/>
          </w:rPr>
          <w:t>https://doi.org/10.1016/j.eiar.2015.05.006</w:t>
        </w:r>
      </w:hyperlink>
    </w:p>
    <w:p w:rsidR="009F1A75" w:rsidRDefault="00E24C21" w:rsidP="009F1A75">
      <w:pPr>
        <w:pStyle w:val="EndNoteBibliography"/>
        <w:ind w:left="340" w:hanging="340"/>
      </w:pPr>
      <w:r>
        <w:t>59.</w:t>
      </w:r>
      <w:r>
        <w:tab/>
        <w:t xml:space="preserve">Miteva, </w:t>
      </w:r>
      <w:r w:rsidR="009F1A75" w:rsidRPr="0058740F">
        <w:t>D.</w:t>
      </w:r>
      <w:r>
        <w:t xml:space="preserve"> A., </w:t>
      </w:r>
      <w:r w:rsidRPr="00E24C21">
        <w:t>Kennedy, C.</w:t>
      </w:r>
      <w:r>
        <w:t xml:space="preserve"> M. and Baumgarten, L., </w:t>
      </w:r>
      <w:r w:rsidR="009F1A75" w:rsidRPr="00E24C21">
        <w:t xml:space="preserve">Carbon </w:t>
      </w:r>
      <w:r>
        <w:t xml:space="preserve">Biophysical Parameters Applied to the </w:t>
      </w:r>
      <w:r w:rsidR="009F1A75" w:rsidRPr="00E24C21">
        <w:t>Brazilian Cerrado</w:t>
      </w:r>
      <w:r>
        <w:t xml:space="preserve">, </w:t>
      </w:r>
      <w:r w:rsidR="009F1A75" w:rsidRPr="00E24C21">
        <w:t>The Nature Conservancy</w:t>
      </w:r>
      <w:r>
        <w:t xml:space="preserve">, </w:t>
      </w:r>
      <w:r w:rsidR="009F1A75" w:rsidRPr="00E24C21">
        <w:t>2</w:t>
      </w:r>
      <w:r>
        <w:t xml:space="preserve">014, </w:t>
      </w:r>
      <w:r w:rsidRPr="00E24C21">
        <w:t>https://conservationgateway.org/ConservationPractices/EcosystemServices/tnc_dow_collaboration/brazil/Documents/Carbon_parameters_documentation.pdf</w:t>
      </w:r>
      <w:r>
        <w:t xml:space="preserve">, [Accessed: </w:t>
      </w:r>
      <w:r w:rsidR="00523E02">
        <w:t>06-June-2019</w:t>
      </w:r>
      <w:r>
        <w:t>]</w:t>
      </w:r>
    </w:p>
    <w:p w:rsidR="00A70C4A" w:rsidRDefault="00A70C4A" w:rsidP="009F1A75">
      <w:pPr>
        <w:pStyle w:val="EndNoteBibliography"/>
        <w:ind w:left="340" w:hanging="340"/>
      </w:pPr>
    </w:p>
    <w:p w:rsidR="00A70C4A" w:rsidRDefault="00A70C4A" w:rsidP="009F1A75">
      <w:pPr>
        <w:pStyle w:val="EndNoteBibliography"/>
        <w:ind w:left="340" w:hanging="340"/>
      </w:pPr>
    </w:p>
    <w:p w:rsidR="00A70C4A" w:rsidRDefault="00A70C4A" w:rsidP="009F1A75">
      <w:pPr>
        <w:pStyle w:val="EndNoteBibliography"/>
        <w:ind w:left="340" w:hanging="340"/>
      </w:pPr>
    </w:p>
    <w:p w:rsidR="00A70C4A" w:rsidRDefault="00A70C4A" w:rsidP="009F1A75">
      <w:pPr>
        <w:pStyle w:val="EndNoteBibliography"/>
        <w:ind w:left="340" w:hanging="340"/>
      </w:pPr>
    </w:p>
    <w:p w:rsidR="00A70C4A" w:rsidRDefault="00A70C4A" w:rsidP="00A70C4A">
      <w:pPr>
        <w:jc w:val="right"/>
        <w:rPr>
          <w:sz w:val="20"/>
          <w:szCs w:val="20"/>
        </w:rPr>
      </w:pPr>
      <w:r>
        <w:rPr>
          <w:sz w:val="20"/>
          <w:szCs w:val="20"/>
        </w:rPr>
        <w:t>Paper submitted: 06.03.2019</w:t>
      </w:r>
    </w:p>
    <w:p w:rsidR="00A70C4A" w:rsidRDefault="00A70C4A" w:rsidP="00A70C4A">
      <w:pPr>
        <w:jc w:val="right"/>
        <w:rPr>
          <w:sz w:val="20"/>
          <w:szCs w:val="20"/>
        </w:rPr>
      </w:pPr>
      <w:r>
        <w:rPr>
          <w:sz w:val="20"/>
          <w:szCs w:val="20"/>
        </w:rPr>
        <w:t>Paper revised: 06.06.2019</w:t>
      </w:r>
    </w:p>
    <w:p w:rsidR="00A70C4A" w:rsidRDefault="00A70C4A" w:rsidP="00A70C4A">
      <w:pPr>
        <w:jc w:val="right"/>
        <w:rPr>
          <w:sz w:val="20"/>
          <w:szCs w:val="20"/>
        </w:rPr>
      </w:pPr>
      <w:r>
        <w:rPr>
          <w:sz w:val="20"/>
          <w:szCs w:val="20"/>
        </w:rPr>
        <w:t>Paper accepted: 13.08.2019</w:t>
      </w:r>
    </w:p>
    <w:p w:rsidR="00A70C4A" w:rsidRPr="0058740F" w:rsidRDefault="00A70C4A" w:rsidP="009F1A75">
      <w:pPr>
        <w:pStyle w:val="EndNoteBibliography"/>
        <w:ind w:left="340" w:hanging="340"/>
      </w:pPr>
    </w:p>
    <w:p w:rsidR="009F1A75" w:rsidRDefault="009F1A75" w:rsidP="009F1A75">
      <w:pPr>
        <w:pStyle w:val="reference"/>
        <w:numPr>
          <w:ilvl w:val="0"/>
          <w:numId w:val="0"/>
        </w:numPr>
        <w:ind w:left="340" w:hanging="340"/>
      </w:pPr>
      <w:r>
        <w:fldChar w:fldCharType="end"/>
      </w:r>
    </w:p>
    <w:p w:rsidR="009F1A75" w:rsidRDefault="009F1A75" w:rsidP="009F1A75">
      <w:pPr>
        <w:pStyle w:val="reference"/>
        <w:numPr>
          <w:ilvl w:val="0"/>
          <w:numId w:val="0"/>
        </w:numPr>
        <w:ind w:left="284"/>
      </w:pPr>
    </w:p>
    <w:p w:rsidR="009F1A75" w:rsidRPr="000C0CDA" w:rsidRDefault="009F1A75" w:rsidP="00547C5E">
      <w:pPr>
        <w:pStyle w:val="Heading2"/>
        <w:spacing w:before="120"/>
      </w:pPr>
      <w:r>
        <w:br w:type="page"/>
      </w:r>
      <w:r w:rsidR="00B26577">
        <w:lastRenderedPageBreak/>
        <w:t>APPENDIX</w:t>
      </w:r>
    </w:p>
    <w:p w:rsidR="009F1A75" w:rsidRDefault="009F1A75" w:rsidP="009F1A75">
      <w:pPr>
        <w:pStyle w:val="Heading3"/>
      </w:pPr>
      <w:r>
        <w:t>Appendix A. Global yields distribution per agricultural service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45"/>
        <w:gridCol w:w="4061"/>
      </w:tblGrid>
      <w:tr w:rsidR="00284767" w:rsidTr="00485B09">
        <w:trPr>
          <w:trHeight w:val="2556"/>
          <w:jc w:val="center"/>
        </w:trPr>
        <w:tc>
          <w:tcPr>
            <w:tcW w:w="4245" w:type="dxa"/>
          </w:tcPr>
          <w:p w:rsidR="00284767" w:rsidRDefault="00284767" w:rsidP="00284767">
            <w:pPr>
              <w:ind w:firstLine="0"/>
              <w:jc w:val="center"/>
            </w:pPr>
            <w:r>
              <w:rPr>
                <w:noProof/>
                <w:lang w:val="hr-HR" w:eastAsia="hr-HR"/>
              </w:rPr>
              <w:drawing>
                <wp:inline distT="0" distB="0" distL="0" distR="0" wp14:anchorId="24FE036D" wp14:editId="3FD6380D">
                  <wp:extent cx="2194050" cy="1512000"/>
                  <wp:effectExtent l="0" t="0" r="0" b="0"/>
                  <wp:docPr id="9" name="Picture 9" descr="crop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_final"/>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89" t="4374" r="7036" b="2975"/>
                          <a:stretch/>
                        </pic:blipFill>
                        <pic:spPr bwMode="auto">
                          <a:xfrm>
                            <a:off x="0" y="0"/>
                            <a:ext cx="2212704" cy="1524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61" w:type="dxa"/>
          </w:tcPr>
          <w:p w:rsidR="00284767" w:rsidRDefault="00284767" w:rsidP="00284767">
            <w:pPr>
              <w:ind w:firstLine="0"/>
              <w:jc w:val="center"/>
            </w:pPr>
            <w:r>
              <w:rPr>
                <w:noProof/>
                <w:lang w:val="hr-HR" w:eastAsia="hr-HR"/>
              </w:rPr>
              <w:drawing>
                <wp:inline distT="0" distB="0" distL="0" distR="0" wp14:anchorId="5177F4DB" wp14:editId="01F9594B">
                  <wp:extent cx="2302394" cy="1512000"/>
                  <wp:effectExtent l="0" t="0" r="0" b="0"/>
                  <wp:docPr id="8" name="Picture 8" descr="animal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imal_final"/>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84" t="4354" r="2454" b="3003"/>
                          <a:stretch/>
                        </pic:blipFill>
                        <pic:spPr bwMode="auto">
                          <a:xfrm>
                            <a:off x="0" y="0"/>
                            <a:ext cx="2333123" cy="1532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4767" w:rsidTr="00485B09">
        <w:trPr>
          <w:trHeight w:val="2406"/>
          <w:jc w:val="center"/>
        </w:trPr>
        <w:tc>
          <w:tcPr>
            <w:tcW w:w="4245" w:type="dxa"/>
          </w:tcPr>
          <w:p w:rsidR="00284767" w:rsidRDefault="00284767" w:rsidP="00284767">
            <w:pPr>
              <w:ind w:firstLine="0"/>
              <w:jc w:val="center"/>
            </w:pPr>
            <w:r>
              <w:rPr>
                <w:noProof/>
                <w:lang w:val="hr-HR" w:eastAsia="hr-HR"/>
              </w:rPr>
              <w:drawing>
                <wp:inline distT="0" distB="0" distL="0" distR="0" wp14:anchorId="127EEA5D" wp14:editId="29F1AFFA">
                  <wp:extent cx="2266506" cy="1548000"/>
                  <wp:effectExtent l="0" t="0" r="0" b="0"/>
                  <wp:docPr id="7" name="Picture 7" descr="fores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est_final"/>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483" t="2183" r="4269" b="3038"/>
                          <a:stretch/>
                        </pic:blipFill>
                        <pic:spPr bwMode="auto">
                          <a:xfrm>
                            <a:off x="0" y="0"/>
                            <a:ext cx="2288497" cy="15630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61" w:type="dxa"/>
            <w:vAlign w:val="center"/>
          </w:tcPr>
          <w:tbl>
            <w:tblPr>
              <w:tblStyle w:val="TableGrid"/>
              <w:tblpPr w:leftFromText="180" w:rightFromText="180" w:vertAnchor="text" w:horzAnchor="margin" w:tblpY="225"/>
              <w:tblOverlap w:val="never"/>
              <w:tblW w:w="5000" w:type="pct"/>
              <w:tblBorders>
                <w:top w:val="single" w:sz="12" w:space="0" w:color="auto"/>
                <w:left w:val="none" w:sz="0" w:space="0" w:color="auto"/>
                <w:bottom w:val="single" w:sz="12"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049"/>
              <w:gridCol w:w="1004"/>
              <w:gridCol w:w="1004"/>
              <w:gridCol w:w="1004"/>
            </w:tblGrid>
            <w:tr w:rsidR="00485B09" w:rsidTr="00485B09">
              <w:tc>
                <w:tcPr>
                  <w:tcW w:w="1291" w:type="pct"/>
                  <w:vAlign w:val="center"/>
                </w:tcPr>
                <w:p w:rsidR="00485B09" w:rsidRPr="00284767" w:rsidRDefault="00485B09" w:rsidP="00485B09">
                  <w:pPr>
                    <w:ind w:firstLine="0"/>
                    <w:jc w:val="center"/>
                    <w:rPr>
                      <w:shd w:val="clear" w:color="auto" w:fill="FFFFFF"/>
                    </w:rPr>
                  </w:pPr>
                  <w:r w:rsidRPr="00284767">
                    <w:rPr>
                      <w:bCs/>
                      <w:color w:val="000000" w:themeColor="text1"/>
                      <w:sz w:val="18"/>
                      <w:szCs w:val="18"/>
                      <w:lang w:eastAsia="en-GB"/>
                    </w:rPr>
                    <w:t>Summary</w:t>
                  </w:r>
                </w:p>
              </w:tc>
              <w:tc>
                <w:tcPr>
                  <w:tcW w:w="1236" w:type="pct"/>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Crops</w:t>
                  </w:r>
                </w:p>
                <w:p w:rsidR="00485B09" w:rsidRPr="00284767" w:rsidRDefault="00485B09" w:rsidP="00485B09">
                  <w:pPr>
                    <w:autoSpaceDE/>
                    <w:ind w:firstLine="0"/>
                    <w:jc w:val="center"/>
                    <w:rPr>
                      <w:bCs/>
                      <w:color w:val="000000" w:themeColor="text1"/>
                      <w:sz w:val="18"/>
                      <w:szCs w:val="18"/>
                      <w:lang w:eastAsia="en-GB"/>
                    </w:rPr>
                  </w:pPr>
                  <w:r>
                    <w:rPr>
                      <w:bCs/>
                      <w:color w:val="000000" w:themeColor="text1"/>
                      <w:sz w:val="18"/>
                      <w:szCs w:val="18"/>
                      <w:lang w:eastAsia="en-GB"/>
                    </w:rPr>
                    <w:t>[</w:t>
                  </w:r>
                  <w:r w:rsidRPr="00284767">
                    <w:rPr>
                      <w:bCs/>
                      <w:color w:val="000000" w:themeColor="text1"/>
                      <w:sz w:val="18"/>
                      <w:szCs w:val="18"/>
                      <w:lang w:eastAsia="en-GB"/>
                    </w:rPr>
                    <w:t>PJ/Mha</w:t>
                  </w:r>
                  <w:r>
                    <w:rPr>
                      <w:bCs/>
                      <w:color w:val="000000" w:themeColor="text1"/>
                      <w:sz w:val="18"/>
                      <w:szCs w:val="18"/>
                      <w:lang w:eastAsia="en-GB"/>
                    </w:rPr>
                    <w:t>]</w:t>
                  </w:r>
                </w:p>
              </w:tc>
              <w:tc>
                <w:tcPr>
                  <w:tcW w:w="1236" w:type="pct"/>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Animal</w:t>
                  </w:r>
                </w:p>
                <w:p w:rsidR="00485B09" w:rsidRPr="00284767" w:rsidRDefault="00485B09" w:rsidP="00485B09">
                  <w:pPr>
                    <w:autoSpaceDE/>
                    <w:ind w:firstLine="0"/>
                    <w:jc w:val="center"/>
                    <w:rPr>
                      <w:bCs/>
                      <w:color w:val="000000" w:themeColor="text1"/>
                      <w:sz w:val="18"/>
                      <w:szCs w:val="18"/>
                      <w:lang w:eastAsia="en-GB"/>
                    </w:rPr>
                  </w:pPr>
                  <w:r>
                    <w:rPr>
                      <w:bCs/>
                      <w:color w:val="000000" w:themeColor="text1"/>
                      <w:sz w:val="18"/>
                      <w:szCs w:val="18"/>
                      <w:lang w:eastAsia="en-GB"/>
                    </w:rPr>
                    <w:t>[</w:t>
                  </w:r>
                  <w:r w:rsidRPr="00284767">
                    <w:rPr>
                      <w:bCs/>
                      <w:color w:val="000000" w:themeColor="text1"/>
                      <w:sz w:val="18"/>
                      <w:szCs w:val="18"/>
                      <w:lang w:eastAsia="en-GB"/>
                    </w:rPr>
                    <w:t>PJ/Mha</w:t>
                  </w:r>
                  <w:r>
                    <w:rPr>
                      <w:bCs/>
                      <w:color w:val="000000" w:themeColor="text1"/>
                      <w:sz w:val="18"/>
                      <w:szCs w:val="18"/>
                      <w:lang w:eastAsia="en-GB"/>
                    </w:rPr>
                    <w:t>]</w:t>
                  </w:r>
                </w:p>
              </w:tc>
              <w:tc>
                <w:tcPr>
                  <w:tcW w:w="1236" w:type="pct"/>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Forestry</w:t>
                  </w:r>
                </w:p>
                <w:p w:rsidR="00485B09" w:rsidRPr="00284767" w:rsidRDefault="00485B09" w:rsidP="00485B09">
                  <w:pPr>
                    <w:autoSpaceDE/>
                    <w:ind w:firstLine="0"/>
                    <w:jc w:val="center"/>
                    <w:rPr>
                      <w:bCs/>
                      <w:color w:val="000000" w:themeColor="text1"/>
                      <w:sz w:val="18"/>
                      <w:szCs w:val="18"/>
                      <w:lang w:eastAsia="en-GB"/>
                    </w:rPr>
                  </w:pPr>
                  <w:r>
                    <w:rPr>
                      <w:bCs/>
                      <w:color w:val="000000" w:themeColor="text1"/>
                      <w:sz w:val="18"/>
                      <w:szCs w:val="18"/>
                      <w:lang w:eastAsia="en-GB"/>
                    </w:rPr>
                    <w:t>[</w:t>
                  </w:r>
                  <w:r w:rsidRPr="00284767">
                    <w:rPr>
                      <w:bCs/>
                      <w:color w:val="000000" w:themeColor="text1"/>
                      <w:sz w:val="18"/>
                      <w:szCs w:val="18"/>
                      <w:lang w:eastAsia="en-GB"/>
                    </w:rPr>
                    <w:t>PJ/Mha</w:t>
                  </w:r>
                  <w:r>
                    <w:rPr>
                      <w:bCs/>
                      <w:color w:val="000000" w:themeColor="text1"/>
                      <w:sz w:val="18"/>
                      <w:szCs w:val="18"/>
                      <w:lang w:eastAsia="en-GB"/>
                    </w:rPr>
                    <w:t>]</w:t>
                  </w:r>
                </w:p>
              </w:tc>
            </w:tr>
            <w:tr w:rsidR="00485B09" w:rsidTr="00485B09">
              <w:tc>
                <w:tcPr>
                  <w:tcW w:w="1291" w:type="pct"/>
                  <w:tcBorders>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Min.</w:t>
                  </w:r>
                </w:p>
              </w:tc>
              <w:tc>
                <w:tcPr>
                  <w:tcW w:w="1236" w:type="pct"/>
                  <w:tcBorders>
                    <w:bottom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2.06</w:t>
                  </w:r>
                </w:p>
              </w:tc>
              <w:tc>
                <w:tcPr>
                  <w:tcW w:w="1236" w:type="pct"/>
                  <w:tcBorders>
                    <w:bottom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0.11</w:t>
                  </w:r>
                </w:p>
              </w:tc>
              <w:tc>
                <w:tcPr>
                  <w:tcW w:w="1236" w:type="pct"/>
                  <w:tcBorders>
                    <w:bottom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0.23</w:t>
                  </w:r>
                </w:p>
              </w:tc>
            </w:tr>
            <w:tr w:rsidR="00485B09" w:rsidTr="00485B09">
              <w:tc>
                <w:tcPr>
                  <w:tcW w:w="1291"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1</w:t>
                  </w:r>
                  <w:r w:rsidRPr="00284767">
                    <w:rPr>
                      <w:bCs/>
                      <w:color w:val="000000" w:themeColor="text1"/>
                      <w:sz w:val="18"/>
                      <w:szCs w:val="18"/>
                      <w:vertAlign w:val="superscript"/>
                      <w:lang w:eastAsia="en-GB"/>
                    </w:rPr>
                    <w:t>st</w:t>
                  </w:r>
                  <w:r w:rsidRPr="00284767">
                    <w:rPr>
                      <w:bCs/>
                      <w:color w:val="000000" w:themeColor="text1"/>
                      <w:sz w:val="18"/>
                      <w:szCs w:val="18"/>
                      <w:lang w:eastAsia="en-GB"/>
                    </w:rPr>
                    <w:t xml:space="preserve"> Qu.</w:t>
                  </w:r>
                </w:p>
              </w:tc>
              <w:tc>
                <w:tcPr>
                  <w:tcW w:w="1236"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8.01</w:t>
                  </w:r>
                </w:p>
              </w:tc>
              <w:tc>
                <w:tcPr>
                  <w:tcW w:w="1236"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0.52</w:t>
                  </w:r>
                </w:p>
              </w:tc>
              <w:tc>
                <w:tcPr>
                  <w:tcW w:w="1236"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3.88</w:t>
                  </w:r>
                </w:p>
              </w:tc>
            </w:tr>
            <w:tr w:rsidR="00485B09" w:rsidTr="00485B09">
              <w:tc>
                <w:tcPr>
                  <w:tcW w:w="1291"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Median</w:t>
                  </w:r>
                </w:p>
              </w:tc>
              <w:tc>
                <w:tcPr>
                  <w:tcW w:w="1236"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14.73</w:t>
                  </w:r>
                </w:p>
              </w:tc>
              <w:tc>
                <w:tcPr>
                  <w:tcW w:w="1236"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1.89</w:t>
                  </w:r>
                </w:p>
              </w:tc>
              <w:tc>
                <w:tcPr>
                  <w:tcW w:w="1236"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12.91</w:t>
                  </w:r>
                </w:p>
              </w:tc>
            </w:tr>
            <w:tr w:rsidR="00485B09" w:rsidTr="00485B09">
              <w:tc>
                <w:tcPr>
                  <w:tcW w:w="1291"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3</w:t>
                  </w:r>
                  <w:r w:rsidRPr="00284767">
                    <w:rPr>
                      <w:bCs/>
                      <w:color w:val="000000" w:themeColor="text1"/>
                      <w:sz w:val="18"/>
                      <w:szCs w:val="18"/>
                      <w:vertAlign w:val="superscript"/>
                      <w:lang w:eastAsia="en-GB"/>
                    </w:rPr>
                    <w:t>rd</w:t>
                  </w:r>
                  <w:r w:rsidRPr="00284767">
                    <w:rPr>
                      <w:bCs/>
                      <w:color w:val="000000" w:themeColor="text1"/>
                      <w:sz w:val="18"/>
                      <w:szCs w:val="18"/>
                      <w:lang w:eastAsia="en-GB"/>
                    </w:rPr>
                    <w:t xml:space="preserve"> Qu.</w:t>
                  </w:r>
                </w:p>
              </w:tc>
              <w:tc>
                <w:tcPr>
                  <w:tcW w:w="1236"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24.58</w:t>
                  </w:r>
                </w:p>
              </w:tc>
              <w:tc>
                <w:tcPr>
                  <w:tcW w:w="1236"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10.12</w:t>
                  </w:r>
                </w:p>
              </w:tc>
              <w:tc>
                <w:tcPr>
                  <w:tcW w:w="1236"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32.83</w:t>
                  </w:r>
                </w:p>
              </w:tc>
            </w:tr>
            <w:tr w:rsidR="00485B09" w:rsidTr="00485B09">
              <w:tc>
                <w:tcPr>
                  <w:tcW w:w="1291"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Max.</w:t>
                  </w:r>
                </w:p>
              </w:tc>
              <w:tc>
                <w:tcPr>
                  <w:tcW w:w="1236" w:type="pct"/>
                  <w:tcBorders>
                    <w:top w:val="nil"/>
                    <w:bottom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91.41</w:t>
                  </w:r>
                </w:p>
              </w:tc>
              <w:tc>
                <w:tcPr>
                  <w:tcW w:w="1236" w:type="pct"/>
                  <w:tcBorders>
                    <w:top w:val="nil"/>
                    <w:bottom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67.46</w:t>
                  </w:r>
                </w:p>
              </w:tc>
              <w:tc>
                <w:tcPr>
                  <w:tcW w:w="1236" w:type="pct"/>
                  <w:tcBorders>
                    <w:top w:val="nil"/>
                    <w:bottom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68.40</w:t>
                  </w:r>
                </w:p>
              </w:tc>
            </w:tr>
            <w:tr w:rsidR="00485B09" w:rsidTr="00485B09">
              <w:tc>
                <w:tcPr>
                  <w:tcW w:w="1291" w:type="pct"/>
                  <w:tcBorders>
                    <w:top w:val="nil"/>
                    <w:bottom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Mean</w:t>
                  </w:r>
                </w:p>
              </w:tc>
              <w:tc>
                <w:tcPr>
                  <w:tcW w:w="1236" w:type="pct"/>
                  <w:tcBorders>
                    <w:top w:val="nil"/>
                    <w:bottom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22.10</w:t>
                  </w:r>
                </w:p>
              </w:tc>
              <w:tc>
                <w:tcPr>
                  <w:tcW w:w="1236" w:type="pct"/>
                  <w:tcBorders>
                    <w:top w:val="nil"/>
                    <w:bottom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11.61</w:t>
                  </w:r>
                </w:p>
              </w:tc>
              <w:tc>
                <w:tcPr>
                  <w:tcW w:w="1236" w:type="pct"/>
                  <w:tcBorders>
                    <w:top w:val="nil"/>
                    <w:bottom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19.09</w:t>
                  </w:r>
                </w:p>
              </w:tc>
            </w:tr>
            <w:tr w:rsidR="00485B09" w:rsidTr="00485B09">
              <w:tc>
                <w:tcPr>
                  <w:tcW w:w="1291" w:type="pct"/>
                  <w:tcBorders>
                    <w:top w:val="nil"/>
                  </w:tcBorders>
                  <w:vAlign w:val="center"/>
                </w:tcPr>
                <w:p w:rsidR="00485B09" w:rsidRPr="00284767" w:rsidRDefault="00485B09" w:rsidP="00485B09">
                  <w:pPr>
                    <w:autoSpaceDE/>
                    <w:ind w:firstLine="0"/>
                    <w:jc w:val="center"/>
                    <w:rPr>
                      <w:bCs/>
                      <w:color w:val="000000" w:themeColor="text1"/>
                      <w:sz w:val="18"/>
                      <w:szCs w:val="18"/>
                      <w:lang w:eastAsia="en-GB"/>
                    </w:rPr>
                  </w:pPr>
                  <w:r w:rsidRPr="00284767">
                    <w:rPr>
                      <w:bCs/>
                      <w:color w:val="000000" w:themeColor="text1"/>
                      <w:sz w:val="18"/>
                      <w:szCs w:val="18"/>
                      <w:lang w:eastAsia="en-GB"/>
                    </w:rPr>
                    <w:t>SD</w:t>
                  </w:r>
                </w:p>
              </w:tc>
              <w:tc>
                <w:tcPr>
                  <w:tcW w:w="1236" w:type="pct"/>
                  <w:tcBorders>
                    <w:top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23.98</w:t>
                  </w:r>
                </w:p>
              </w:tc>
              <w:tc>
                <w:tcPr>
                  <w:tcW w:w="1236" w:type="pct"/>
                  <w:tcBorders>
                    <w:top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19.10</w:t>
                  </w:r>
                </w:p>
              </w:tc>
              <w:tc>
                <w:tcPr>
                  <w:tcW w:w="1236" w:type="pct"/>
                  <w:tcBorders>
                    <w:top w:val="nil"/>
                  </w:tcBorders>
                  <w:vAlign w:val="center"/>
                </w:tcPr>
                <w:p w:rsidR="00485B09" w:rsidRPr="00284767" w:rsidRDefault="00485B09" w:rsidP="00485B09">
                  <w:pPr>
                    <w:autoSpaceDE/>
                    <w:ind w:firstLine="0"/>
                    <w:jc w:val="center"/>
                    <w:rPr>
                      <w:color w:val="000000" w:themeColor="text1"/>
                      <w:sz w:val="18"/>
                      <w:szCs w:val="18"/>
                      <w:lang w:eastAsia="en-GB"/>
                    </w:rPr>
                  </w:pPr>
                  <w:r w:rsidRPr="00284767">
                    <w:rPr>
                      <w:color w:val="000000" w:themeColor="text1"/>
                      <w:sz w:val="18"/>
                      <w:szCs w:val="18"/>
                      <w:lang w:eastAsia="en-GB"/>
                    </w:rPr>
                    <w:t>18.04</w:t>
                  </w:r>
                </w:p>
              </w:tc>
            </w:tr>
          </w:tbl>
          <w:p w:rsidR="00284767" w:rsidRDefault="00284767" w:rsidP="00485B09">
            <w:pPr>
              <w:ind w:firstLine="0"/>
              <w:jc w:val="center"/>
            </w:pPr>
          </w:p>
        </w:tc>
      </w:tr>
      <w:tr w:rsidR="00284767" w:rsidTr="00485B09">
        <w:trPr>
          <w:jc w:val="center"/>
        </w:trPr>
        <w:tc>
          <w:tcPr>
            <w:tcW w:w="8306" w:type="dxa"/>
            <w:gridSpan w:val="2"/>
            <w:vAlign w:val="center"/>
          </w:tcPr>
          <w:p w:rsidR="00284767" w:rsidRPr="00284767" w:rsidRDefault="00284767" w:rsidP="00284767">
            <w:pPr>
              <w:ind w:firstLine="0"/>
              <w:jc w:val="center"/>
              <w:rPr>
                <w:shd w:val="clear" w:color="auto" w:fill="FFFFFF"/>
              </w:rPr>
            </w:pPr>
          </w:p>
          <w:p w:rsidR="00284767" w:rsidRPr="00284767" w:rsidRDefault="00284767" w:rsidP="00284767">
            <w:pPr>
              <w:ind w:firstLine="0"/>
              <w:jc w:val="center"/>
              <w:rPr>
                <w:sz w:val="22"/>
              </w:rPr>
            </w:pPr>
            <w:r>
              <w:rPr>
                <w:sz w:val="22"/>
                <w:shd w:val="clear" w:color="auto" w:fill="FFFFFF"/>
              </w:rPr>
              <w:t>Figure A</w:t>
            </w:r>
            <w:r w:rsidRPr="00317A92">
              <w:rPr>
                <w:sz w:val="22"/>
                <w:shd w:val="clear" w:color="auto" w:fill="FFFFFF"/>
              </w:rPr>
              <w:t>.</w:t>
            </w:r>
            <w:r>
              <w:rPr>
                <w:sz w:val="22"/>
                <w:shd w:val="clear" w:color="auto" w:fill="FFFFFF"/>
              </w:rPr>
              <w:t xml:space="preserve">1. </w:t>
            </w:r>
            <w:r w:rsidRPr="00317A92">
              <w:rPr>
                <w:sz w:val="22"/>
                <w:shd w:val="clear" w:color="auto" w:fill="FFFFFF"/>
              </w:rPr>
              <w:t>Global distribution of agricultural services yields (2010</w:t>
            </w:r>
            <w:r>
              <w:rPr>
                <w:sz w:val="22"/>
                <w:shd w:val="clear" w:color="auto" w:fill="FFFFFF"/>
              </w:rPr>
              <w:t>) (</w:t>
            </w:r>
            <w:r>
              <w:rPr>
                <w:noProof/>
                <w:sz w:val="22"/>
                <w:lang w:eastAsia="en-GB"/>
              </w:rPr>
              <w:t>s</w:t>
            </w:r>
            <w:r w:rsidRPr="00317A92">
              <w:rPr>
                <w:noProof/>
                <w:sz w:val="22"/>
                <w:lang w:eastAsia="en-GB"/>
              </w:rPr>
              <w:t xml:space="preserve">ource: FAO </w:t>
            </w:r>
            <w:r>
              <w:rPr>
                <w:sz w:val="22"/>
              </w:rPr>
              <w:t>[2])</w:t>
            </w:r>
          </w:p>
        </w:tc>
      </w:tr>
    </w:tbl>
    <w:p w:rsidR="009F1A75" w:rsidRPr="00284767" w:rsidRDefault="009F1A75" w:rsidP="00284767">
      <w:pPr>
        <w:pStyle w:val="Heading3"/>
      </w:pPr>
      <w:r w:rsidRPr="00284767">
        <w:t>Appendix B. Mechanisation levels economic cost</w:t>
      </w:r>
    </w:p>
    <w:p w:rsidR="009F1A75" w:rsidRDefault="009F1A75" w:rsidP="00547C5E">
      <w:pPr>
        <w:ind w:firstLine="0"/>
        <w:jc w:val="center"/>
        <w:rPr>
          <w:sz w:val="22"/>
          <w:shd w:val="clear" w:color="auto" w:fill="FFFFFF"/>
        </w:rPr>
      </w:pPr>
      <w:r w:rsidRPr="00AF6F8A">
        <w:rPr>
          <w:sz w:val="22"/>
          <w:shd w:val="clear" w:color="auto" w:fill="FFFFFF"/>
        </w:rPr>
        <w:t>Table B.1</w:t>
      </w:r>
      <w:r w:rsidR="00547C5E">
        <w:rPr>
          <w:sz w:val="22"/>
          <w:shd w:val="clear" w:color="auto" w:fill="FFFFFF"/>
        </w:rPr>
        <w:t xml:space="preserve">. </w:t>
      </w:r>
      <w:r>
        <w:rPr>
          <w:sz w:val="22"/>
          <w:shd w:val="clear" w:color="auto" w:fill="FFFFFF"/>
        </w:rPr>
        <w:t>Capital and operational cost per mechanisation level</w:t>
      </w:r>
    </w:p>
    <w:p w:rsidR="00547C5E" w:rsidRDefault="00547C5E" w:rsidP="00BC4FEC">
      <w:pPr>
        <w:ind w:firstLine="0"/>
        <w:jc w:val="center"/>
        <w:rPr>
          <w:sz w:val="22"/>
          <w:shd w:val="clear" w:color="auto" w:fill="FFFFFF"/>
        </w:rPr>
      </w:pPr>
    </w:p>
    <w:tbl>
      <w:tblPr>
        <w:tblW w:w="6689" w:type="dxa"/>
        <w:jc w:val="center"/>
        <w:tblBorders>
          <w:top w:val="single" w:sz="12" w:space="0" w:color="auto"/>
          <w:bottom w:val="single" w:sz="12" w:space="0" w:color="auto"/>
          <w:insideH w:val="single" w:sz="4" w:space="0" w:color="auto"/>
        </w:tblBorders>
        <w:tblCellMar>
          <w:left w:w="0" w:type="dxa"/>
          <w:right w:w="0" w:type="dxa"/>
        </w:tblCellMar>
        <w:tblLook w:val="04A0" w:firstRow="1" w:lastRow="0" w:firstColumn="1" w:lastColumn="0" w:noHBand="0" w:noVBand="1"/>
      </w:tblPr>
      <w:tblGrid>
        <w:gridCol w:w="1025"/>
        <w:gridCol w:w="2685"/>
        <w:gridCol w:w="1407"/>
        <w:gridCol w:w="1572"/>
      </w:tblGrid>
      <w:tr w:rsidR="00BC4FEC" w:rsidRPr="00547C5E" w:rsidTr="00243F66">
        <w:trPr>
          <w:jc w:val="center"/>
        </w:trPr>
        <w:tc>
          <w:tcPr>
            <w:tcW w:w="1009" w:type="dxa"/>
            <w:shd w:val="clear" w:color="auto" w:fill="auto"/>
            <w:noWrap/>
            <w:vAlign w:val="center"/>
            <w:hideMark/>
          </w:tcPr>
          <w:p w:rsidR="00BC4FEC" w:rsidRPr="00243F66" w:rsidRDefault="00BC4FEC" w:rsidP="00BC4FEC">
            <w:pPr>
              <w:autoSpaceDE/>
              <w:autoSpaceDN/>
              <w:ind w:firstLine="0"/>
              <w:jc w:val="center"/>
              <w:rPr>
                <w:rFonts w:eastAsia="Times New Roman"/>
                <w:bCs/>
                <w:sz w:val="16"/>
                <w:szCs w:val="16"/>
                <w:lang w:eastAsia="en-GB"/>
              </w:rPr>
            </w:pPr>
            <w:r w:rsidRPr="00243F66">
              <w:rPr>
                <w:rFonts w:eastAsia="Times New Roman"/>
                <w:bCs/>
                <w:color w:val="000000" w:themeColor="text1"/>
                <w:sz w:val="16"/>
                <w:szCs w:val="16"/>
                <w:lang w:eastAsia="en-GB"/>
              </w:rPr>
              <w:t>Service</w:t>
            </w:r>
          </w:p>
        </w:tc>
        <w:tc>
          <w:tcPr>
            <w:tcW w:w="2693" w:type="dxa"/>
            <w:shd w:val="clear" w:color="auto" w:fill="auto"/>
            <w:vAlign w:val="center"/>
            <w:hideMark/>
          </w:tcPr>
          <w:p w:rsidR="00BC4FEC" w:rsidRPr="00243F66" w:rsidRDefault="00BC4FEC" w:rsidP="00BC4FEC">
            <w:pPr>
              <w:autoSpaceDE/>
              <w:autoSpaceDN/>
              <w:ind w:firstLine="0"/>
              <w:jc w:val="center"/>
              <w:rPr>
                <w:rFonts w:eastAsia="Times New Roman"/>
                <w:bCs/>
                <w:sz w:val="16"/>
                <w:szCs w:val="16"/>
                <w:lang w:eastAsia="en-GB"/>
              </w:rPr>
            </w:pPr>
            <w:r w:rsidRPr="00243F66">
              <w:rPr>
                <w:rFonts w:eastAsia="Times New Roman"/>
                <w:bCs/>
                <w:color w:val="000000" w:themeColor="text1"/>
                <w:sz w:val="16"/>
                <w:szCs w:val="16"/>
                <w:lang w:eastAsia="en-GB"/>
              </w:rPr>
              <w:t>Mechanisation</w:t>
            </w:r>
          </w:p>
        </w:tc>
        <w:tc>
          <w:tcPr>
            <w:tcW w:w="1411" w:type="dxa"/>
            <w:shd w:val="clear" w:color="auto" w:fill="auto"/>
            <w:vAlign w:val="center"/>
            <w:hideMark/>
          </w:tcPr>
          <w:p w:rsidR="00BC4FEC" w:rsidRPr="00243F66" w:rsidRDefault="00BC4FEC" w:rsidP="00BC4FEC">
            <w:pPr>
              <w:autoSpaceDE/>
              <w:autoSpaceDN/>
              <w:ind w:firstLine="0"/>
              <w:jc w:val="center"/>
              <w:rPr>
                <w:rFonts w:eastAsia="Times New Roman"/>
                <w:bCs/>
                <w:sz w:val="16"/>
                <w:szCs w:val="16"/>
                <w:lang w:eastAsia="en-GB"/>
              </w:rPr>
            </w:pPr>
            <w:r w:rsidRPr="00243F66">
              <w:rPr>
                <w:rFonts w:eastAsia="Times New Roman"/>
                <w:bCs/>
                <w:color w:val="000000" w:themeColor="text1"/>
                <w:sz w:val="16"/>
                <w:szCs w:val="16"/>
                <w:lang w:eastAsia="en-GB"/>
              </w:rPr>
              <w:t>Capital cost</w:t>
            </w:r>
          </w:p>
          <w:p w:rsidR="00BC4FEC" w:rsidRPr="00243F66" w:rsidRDefault="00BC4FEC" w:rsidP="00BC4FEC">
            <w:pPr>
              <w:ind w:firstLine="0"/>
              <w:jc w:val="center"/>
              <w:rPr>
                <w:rFonts w:eastAsia="Times New Roman"/>
                <w:bCs/>
                <w:sz w:val="16"/>
                <w:szCs w:val="16"/>
                <w:lang w:eastAsia="en-GB"/>
              </w:rPr>
            </w:pPr>
            <w:r w:rsidRPr="00243F66">
              <w:rPr>
                <w:rFonts w:eastAsia="Times New Roman"/>
                <w:bCs/>
                <w:color w:val="000000" w:themeColor="text1"/>
                <w:sz w:val="16"/>
                <w:szCs w:val="16"/>
                <w:lang w:eastAsia="en-GB"/>
              </w:rPr>
              <w:t>[</w:t>
            </w:r>
            <w:r w:rsidRPr="00243F66">
              <w:rPr>
                <w:rFonts w:eastAsia="Times New Roman"/>
                <w:bCs/>
                <w:sz w:val="16"/>
                <w:szCs w:val="16"/>
                <w:lang w:eastAsia="en-GB"/>
              </w:rPr>
              <w:t>MUS USD PJ</w:t>
            </w:r>
            <w:r w:rsidRPr="00243F66">
              <w:rPr>
                <w:rFonts w:eastAsia="Times New Roman"/>
                <w:sz w:val="16"/>
                <w:szCs w:val="16"/>
                <w:vertAlign w:val="superscript"/>
                <w:lang w:eastAsia="en-GB"/>
              </w:rPr>
              <w:t>−1</w:t>
            </w:r>
            <w:r w:rsidRPr="00243F66">
              <w:rPr>
                <w:rFonts w:eastAsia="Times New Roman"/>
                <w:bCs/>
                <w:sz w:val="16"/>
                <w:szCs w:val="16"/>
                <w:lang w:eastAsia="en-GB"/>
              </w:rPr>
              <w:t>]</w:t>
            </w:r>
          </w:p>
        </w:tc>
        <w:tc>
          <w:tcPr>
            <w:tcW w:w="1576" w:type="dxa"/>
            <w:shd w:val="clear" w:color="auto" w:fill="auto"/>
            <w:vAlign w:val="center"/>
            <w:hideMark/>
          </w:tcPr>
          <w:p w:rsidR="00BC4FEC" w:rsidRPr="00243F66" w:rsidRDefault="00BC4FEC" w:rsidP="00BC4FEC">
            <w:pPr>
              <w:autoSpaceDE/>
              <w:autoSpaceDN/>
              <w:ind w:firstLine="0"/>
              <w:jc w:val="center"/>
              <w:rPr>
                <w:rFonts w:eastAsia="Times New Roman"/>
                <w:bCs/>
                <w:sz w:val="16"/>
                <w:szCs w:val="16"/>
                <w:lang w:eastAsia="en-GB"/>
              </w:rPr>
            </w:pPr>
            <w:r w:rsidRPr="00243F66">
              <w:rPr>
                <w:rFonts w:eastAsia="Times New Roman"/>
                <w:bCs/>
                <w:color w:val="000000" w:themeColor="text1"/>
                <w:sz w:val="16"/>
                <w:szCs w:val="16"/>
                <w:lang w:eastAsia="en-GB"/>
              </w:rPr>
              <w:t>Operational cost</w:t>
            </w:r>
          </w:p>
          <w:p w:rsidR="00BC4FEC" w:rsidRPr="00243F66" w:rsidRDefault="00BC4FEC" w:rsidP="00BC4FEC">
            <w:pPr>
              <w:ind w:firstLine="0"/>
              <w:jc w:val="center"/>
              <w:rPr>
                <w:rFonts w:eastAsia="Times New Roman"/>
                <w:bCs/>
                <w:sz w:val="16"/>
                <w:szCs w:val="16"/>
                <w:lang w:eastAsia="en-GB"/>
              </w:rPr>
            </w:pPr>
            <w:r w:rsidRPr="00243F66">
              <w:rPr>
                <w:rFonts w:eastAsia="Times New Roman"/>
                <w:bCs/>
                <w:color w:val="000000" w:themeColor="text1"/>
                <w:sz w:val="16"/>
                <w:szCs w:val="16"/>
                <w:lang w:eastAsia="en-GB"/>
              </w:rPr>
              <w:t>[</w:t>
            </w:r>
            <w:r w:rsidRPr="00243F66">
              <w:rPr>
                <w:rFonts w:eastAsia="Times New Roman"/>
                <w:bCs/>
                <w:sz w:val="16"/>
                <w:szCs w:val="16"/>
                <w:lang w:eastAsia="en-GB"/>
              </w:rPr>
              <w:t>MUS USD PJ</w:t>
            </w:r>
            <w:r w:rsidRPr="00243F66">
              <w:rPr>
                <w:rFonts w:eastAsia="Times New Roman"/>
                <w:sz w:val="16"/>
                <w:szCs w:val="16"/>
                <w:vertAlign w:val="superscript"/>
                <w:lang w:eastAsia="en-GB"/>
              </w:rPr>
              <w:t>−1</w:t>
            </w:r>
            <w:r w:rsidRPr="00243F66">
              <w:rPr>
                <w:rFonts w:eastAsia="Times New Roman"/>
                <w:bCs/>
                <w:sz w:val="16"/>
                <w:szCs w:val="16"/>
                <w:lang w:eastAsia="en-GB"/>
              </w:rPr>
              <w:t>]</w:t>
            </w:r>
          </w:p>
        </w:tc>
      </w:tr>
      <w:tr w:rsidR="009F1A75" w:rsidRPr="00547C5E" w:rsidTr="00243F66">
        <w:trPr>
          <w:jc w:val="center"/>
        </w:trPr>
        <w:tc>
          <w:tcPr>
            <w:tcW w:w="1009" w:type="dxa"/>
            <w:vMerge w:val="restart"/>
            <w:shd w:val="clear" w:color="auto" w:fill="auto"/>
            <w:noWrap/>
            <w:vAlign w:val="center"/>
            <w:hideMark/>
          </w:tcPr>
          <w:p w:rsidR="009F1A75" w:rsidRPr="00243F66" w:rsidRDefault="009F1A75" w:rsidP="00BC4FEC">
            <w:pPr>
              <w:autoSpaceDE/>
              <w:autoSpaceDN/>
              <w:ind w:firstLine="0"/>
              <w:jc w:val="center"/>
              <w:rPr>
                <w:rFonts w:eastAsia="Times New Roman"/>
                <w:bCs/>
                <w:sz w:val="16"/>
                <w:szCs w:val="16"/>
                <w:lang w:eastAsia="en-GB"/>
              </w:rPr>
            </w:pPr>
            <w:r w:rsidRPr="00243F66">
              <w:rPr>
                <w:rFonts w:eastAsia="Times New Roman"/>
                <w:bCs/>
                <w:color w:val="000000" w:themeColor="text1"/>
                <w:sz w:val="16"/>
                <w:szCs w:val="16"/>
                <w:lang w:eastAsia="en-GB"/>
              </w:rPr>
              <w:t>Crops</w:t>
            </w:r>
          </w:p>
        </w:tc>
        <w:tc>
          <w:tcPr>
            <w:tcW w:w="2693"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Traditional</w:t>
            </w:r>
          </w:p>
        </w:tc>
        <w:tc>
          <w:tcPr>
            <w:tcW w:w="1411"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1.3</w:t>
            </w:r>
          </w:p>
        </w:tc>
        <w:tc>
          <w:tcPr>
            <w:tcW w:w="1576"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1.3</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Transitional</w:t>
            </w:r>
          </w:p>
        </w:tc>
        <w:tc>
          <w:tcPr>
            <w:tcW w:w="1411"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2.2</w:t>
            </w:r>
          </w:p>
        </w:tc>
        <w:tc>
          <w:tcPr>
            <w:tcW w:w="1576"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1.1</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Modern (Fossil-based)</w:t>
            </w:r>
          </w:p>
        </w:tc>
        <w:tc>
          <w:tcPr>
            <w:tcW w:w="1411"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2.8</w:t>
            </w:r>
          </w:p>
        </w:tc>
        <w:tc>
          <w:tcPr>
            <w:tcW w:w="1576"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1.0</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Modern (Renewable-based)</w:t>
            </w:r>
          </w:p>
        </w:tc>
        <w:tc>
          <w:tcPr>
            <w:tcW w:w="1411"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2.9</w:t>
            </w:r>
          </w:p>
        </w:tc>
        <w:tc>
          <w:tcPr>
            <w:tcW w:w="1576"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0.8</w:t>
            </w:r>
          </w:p>
        </w:tc>
      </w:tr>
      <w:tr w:rsidR="009F1A75" w:rsidRPr="00547C5E" w:rsidTr="00243F66">
        <w:trPr>
          <w:jc w:val="center"/>
        </w:trPr>
        <w:tc>
          <w:tcPr>
            <w:tcW w:w="1009" w:type="dxa"/>
            <w:vMerge w:val="restart"/>
            <w:shd w:val="clear" w:color="auto" w:fill="auto"/>
            <w:noWrap/>
            <w:vAlign w:val="center"/>
            <w:hideMark/>
          </w:tcPr>
          <w:p w:rsidR="009F1A75" w:rsidRPr="00243F66" w:rsidRDefault="009F1A75" w:rsidP="00BC4FEC">
            <w:pPr>
              <w:autoSpaceDE/>
              <w:autoSpaceDN/>
              <w:ind w:firstLine="0"/>
              <w:jc w:val="center"/>
              <w:rPr>
                <w:rFonts w:eastAsia="Times New Roman"/>
                <w:bCs/>
                <w:sz w:val="16"/>
                <w:szCs w:val="16"/>
                <w:lang w:eastAsia="en-GB"/>
              </w:rPr>
            </w:pPr>
            <w:r w:rsidRPr="00243F66">
              <w:rPr>
                <w:rFonts w:eastAsia="Times New Roman"/>
                <w:bCs/>
                <w:color w:val="000000" w:themeColor="text1"/>
                <w:sz w:val="16"/>
                <w:szCs w:val="16"/>
                <w:lang w:eastAsia="en-GB"/>
              </w:rPr>
              <w:t>Meat-based</w:t>
            </w:r>
          </w:p>
        </w:tc>
        <w:tc>
          <w:tcPr>
            <w:tcW w:w="2693"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Traditional</w:t>
            </w:r>
          </w:p>
        </w:tc>
        <w:tc>
          <w:tcPr>
            <w:tcW w:w="1411"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2.8</w:t>
            </w:r>
          </w:p>
        </w:tc>
        <w:tc>
          <w:tcPr>
            <w:tcW w:w="1576"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1.2</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Transitional</w:t>
            </w:r>
          </w:p>
        </w:tc>
        <w:tc>
          <w:tcPr>
            <w:tcW w:w="1411"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6.3</w:t>
            </w:r>
          </w:p>
        </w:tc>
        <w:tc>
          <w:tcPr>
            <w:tcW w:w="1576"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2.0</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Modern (Fossil-based)</w:t>
            </w:r>
          </w:p>
        </w:tc>
        <w:tc>
          <w:tcPr>
            <w:tcW w:w="1411"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6.6</w:t>
            </w:r>
          </w:p>
        </w:tc>
        <w:tc>
          <w:tcPr>
            <w:tcW w:w="1576"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2.1</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Modern (Renewable-based)</w:t>
            </w:r>
          </w:p>
        </w:tc>
        <w:tc>
          <w:tcPr>
            <w:tcW w:w="1411"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6.9</w:t>
            </w:r>
          </w:p>
        </w:tc>
        <w:tc>
          <w:tcPr>
            <w:tcW w:w="1576"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1.8</w:t>
            </w:r>
          </w:p>
        </w:tc>
      </w:tr>
      <w:tr w:rsidR="009F1A75" w:rsidRPr="00547C5E" w:rsidTr="00243F66">
        <w:trPr>
          <w:jc w:val="center"/>
        </w:trPr>
        <w:tc>
          <w:tcPr>
            <w:tcW w:w="1009" w:type="dxa"/>
            <w:vMerge w:val="restart"/>
            <w:shd w:val="clear" w:color="auto" w:fill="auto"/>
            <w:noWrap/>
            <w:vAlign w:val="center"/>
            <w:hideMark/>
          </w:tcPr>
          <w:p w:rsidR="009F1A75" w:rsidRPr="00243F66" w:rsidRDefault="009F1A75" w:rsidP="00BC4FEC">
            <w:pPr>
              <w:autoSpaceDE/>
              <w:autoSpaceDN/>
              <w:ind w:firstLine="0"/>
              <w:jc w:val="center"/>
              <w:rPr>
                <w:rFonts w:eastAsia="Times New Roman"/>
                <w:bCs/>
                <w:sz w:val="16"/>
                <w:szCs w:val="16"/>
                <w:lang w:eastAsia="en-GB"/>
              </w:rPr>
            </w:pPr>
            <w:r w:rsidRPr="00243F66">
              <w:rPr>
                <w:rFonts w:eastAsia="Times New Roman"/>
                <w:bCs/>
                <w:color w:val="000000" w:themeColor="text1"/>
                <w:sz w:val="16"/>
                <w:szCs w:val="16"/>
                <w:lang w:eastAsia="en-GB"/>
              </w:rPr>
              <w:t>Forestry products</w:t>
            </w:r>
          </w:p>
        </w:tc>
        <w:tc>
          <w:tcPr>
            <w:tcW w:w="2693"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Traditional</w:t>
            </w:r>
          </w:p>
        </w:tc>
        <w:tc>
          <w:tcPr>
            <w:tcW w:w="1411"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3.6</w:t>
            </w:r>
          </w:p>
        </w:tc>
        <w:tc>
          <w:tcPr>
            <w:tcW w:w="1576"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0.9</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Transitional</w:t>
            </w:r>
          </w:p>
        </w:tc>
        <w:tc>
          <w:tcPr>
            <w:tcW w:w="1411"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14.4</w:t>
            </w:r>
          </w:p>
        </w:tc>
        <w:tc>
          <w:tcPr>
            <w:tcW w:w="1576"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1.8</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Modern (Fossil-based)</w:t>
            </w:r>
          </w:p>
        </w:tc>
        <w:tc>
          <w:tcPr>
            <w:tcW w:w="1411"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13.5</w:t>
            </w:r>
          </w:p>
        </w:tc>
        <w:tc>
          <w:tcPr>
            <w:tcW w:w="1576"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2.3</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Modern (Renewable-based)</w:t>
            </w:r>
          </w:p>
        </w:tc>
        <w:tc>
          <w:tcPr>
            <w:tcW w:w="1411"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18.0</w:t>
            </w:r>
          </w:p>
        </w:tc>
        <w:tc>
          <w:tcPr>
            <w:tcW w:w="1576"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3.0</w:t>
            </w:r>
          </w:p>
        </w:tc>
      </w:tr>
      <w:tr w:rsidR="009F1A75" w:rsidRPr="00547C5E" w:rsidTr="00243F66">
        <w:trPr>
          <w:jc w:val="center"/>
        </w:trPr>
        <w:tc>
          <w:tcPr>
            <w:tcW w:w="1009" w:type="dxa"/>
            <w:vMerge w:val="restart"/>
            <w:shd w:val="clear" w:color="auto" w:fill="auto"/>
            <w:noWrap/>
            <w:vAlign w:val="center"/>
            <w:hideMark/>
          </w:tcPr>
          <w:p w:rsidR="009F1A75" w:rsidRPr="00243F66" w:rsidRDefault="009F1A75" w:rsidP="00BC4FEC">
            <w:pPr>
              <w:autoSpaceDE/>
              <w:autoSpaceDN/>
              <w:ind w:firstLine="0"/>
              <w:jc w:val="center"/>
              <w:rPr>
                <w:rFonts w:eastAsia="Times New Roman"/>
                <w:bCs/>
                <w:sz w:val="16"/>
                <w:szCs w:val="16"/>
                <w:lang w:eastAsia="en-GB"/>
              </w:rPr>
            </w:pPr>
            <w:r w:rsidRPr="00243F66">
              <w:rPr>
                <w:rFonts w:eastAsia="Times New Roman"/>
                <w:bCs/>
                <w:color w:val="000000" w:themeColor="text1"/>
                <w:sz w:val="16"/>
                <w:szCs w:val="16"/>
                <w:lang w:eastAsia="en-GB"/>
              </w:rPr>
              <w:t>Bioenergy</w:t>
            </w:r>
          </w:p>
        </w:tc>
        <w:tc>
          <w:tcPr>
            <w:tcW w:w="2693"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Traditional</w:t>
            </w:r>
          </w:p>
        </w:tc>
        <w:tc>
          <w:tcPr>
            <w:tcW w:w="1411"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3.8</w:t>
            </w:r>
          </w:p>
        </w:tc>
        <w:tc>
          <w:tcPr>
            <w:tcW w:w="1576" w:type="dxa"/>
            <w:tcBorders>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2.1</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Transitional</w:t>
            </w:r>
          </w:p>
        </w:tc>
        <w:tc>
          <w:tcPr>
            <w:tcW w:w="1411"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5.3</w:t>
            </w:r>
          </w:p>
        </w:tc>
        <w:tc>
          <w:tcPr>
            <w:tcW w:w="1576"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2.1</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Modern (Fossil-based)</w:t>
            </w:r>
          </w:p>
        </w:tc>
        <w:tc>
          <w:tcPr>
            <w:tcW w:w="1411"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6.3</w:t>
            </w:r>
          </w:p>
        </w:tc>
        <w:tc>
          <w:tcPr>
            <w:tcW w:w="1576" w:type="dxa"/>
            <w:tcBorders>
              <w:top w:val="nil"/>
              <w:bottom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2.0</w:t>
            </w:r>
          </w:p>
        </w:tc>
      </w:tr>
      <w:tr w:rsidR="009F1A75" w:rsidRPr="00547C5E" w:rsidTr="00243F66">
        <w:trPr>
          <w:jc w:val="center"/>
        </w:trPr>
        <w:tc>
          <w:tcPr>
            <w:tcW w:w="1009" w:type="dxa"/>
            <w:vMerge/>
            <w:vAlign w:val="center"/>
            <w:hideMark/>
          </w:tcPr>
          <w:p w:rsidR="009F1A75" w:rsidRPr="00243F66" w:rsidRDefault="009F1A75" w:rsidP="00BC4FEC">
            <w:pPr>
              <w:autoSpaceDE/>
              <w:autoSpaceDN/>
              <w:ind w:firstLine="0"/>
              <w:jc w:val="center"/>
              <w:rPr>
                <w:rFonts w:eastAsia="Times New Roman"/>
                <w:bCs/>
                <w:sz w:val="16"/>
                <w:szCs w:val="16"/>
                <w:lang w:eastAsia="en-GB"/>
              </w:rPr>
            </w:pPr>
          </w:p>
        </w:tc>
        <w:tc>
          <w:tcPr>
            <w:tcW w:w="2693"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iCs/>
                <w:sz w:val="16"/>
                <w:szCs w:val="16"/>
                <w:lang w:eastAsia="en-GB"/>
              </w:rPr>
            </w:pPr>
            <w:r w:rsidRPr="00243F66">
              <w:rPr>
                <w:rFonts w:eastAsia="Times New Roman"/>
                <w:iCs/>
                <w:color w:val="000000" w:themeColor="text1"/>
                <w:sz w:val="16"/>
                <w:szCs w:val="16"/>
                <w:lang w:eastAsia="en-GB"/>
              </w:rPr>
              <w:t>Modern (Renewable-based)</w:t>
            </w:r>
          </w:p>
        </w:tc>
        <w:tc>
          <w:tcPr>
            <w:tcW w:w="1411"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8.0</w:t>
            </w:r>
          </w:p>
        </w:tc>
        <w:tc>
          <w:tcPr>
            <w:tcW w:w="1576" w:type="dxa"/>
            <w:tcBorders>
              <w:top w:val="nil"/>
            </w:tcBorders>
            <w:shd w:val="clear" w:color="auto" w:fill="auto"/>
            <w:vAlign w:val="center"/>
            <w:hideMark/>
          </w:tcPr>
          <w:p w:rsidR="009F1A75" w:rsidRPr="00243F66" w:rsidRDefault="009F1A75" w:rsidP="00BC4FEC">
            <w:pPr>
              <w:autoSpaceDE/>
              <w:autoSpaceDN/>
              <w:ind w:firstLine="0"/>
              <w:jc w:val="center"/>
              <w:rPr>
                <w:rFonts w:eastAsia="Times New Roman"/>
                <w:sz w:val="16"/>
                <w:szCs w:val="16"/>
                <w:lang w:eastAsia="en-GB"/>
              </w:rPr>
            </w:pPr>
            <w:r w:rsidRPr="00243F66">
              <w:rPr>
                <w:rFonts w:eastAsia="Times New Roman"/>
                <w:color w:val="000000" w:themeColor="text1"/>
                <w:sz w:val="16"/>
                <w:szCs w:val="16"/>
                <w:lang w:eastAsia="en-GB"/>
              </w:rPr>
              <w:t>1.7</w:t>
            </w:r>
          </w:p>
        </w:tc>
      </w:tr>
    </w:tbl>
    <w:p w:rsidR="009F1A75" w:rsidRDefault="009F1A75" w:rsidP="009F1A75">
      <w:pPr>
        <w:rPr>
          <w:shd w:val="clear" w:color="auto" w:fill="FFFFFF"/>
        </w:rPr>
      </w:pPr>
      <w:r w:rsidRPr="00AF6F8A">
        <w:rPr>
          <w:shd w:val="clear" w:color="auto" w:fill="FFFFFF"/>
        </w:rPr>
        <w:t xml:space="preserve"> </w:t>
      </w:r>
    </w:p>
    <w:p w:rsidR="009F1A75" w:rsidRDefault="009F1A75" w:rsidP="009F1A75">
      <w:pPr>
        <w:rPr>
          <w:shd w:val="clear" w:color="auto" w:fill="FFFFFF"/>
        </w:rPr>
      </w:pPr>
      <w:r>
        <w:rPr>
          <w:shd w:val="clear" w:color="auto" w:fill="FFFFFF"/>
        </w:rPr>
        <w:br w:type="page"/>
      </w:r>
    </w:p>
    <w:p w:rsidR="009F1A75" w:rsidRPr="00125B73" w:rsidRDefault="009F1A75" w:rsidP="00125B73">
      <w:pPr>
        <w:pStyle w:val="Heading3"/>
      </w:pPr>
      <w:r w:rsidRPr="00125B73">
        <w:lastRenderedPageBreak/>
        <w:t>Appendix C. Mechanisation levels baseline installed capacities</w:t>
      </w:r>
    </w:p>
    <w:p w:rsidR="009F1A75" w:rsidRPr="00547C5E" w:rsidRDefault="00547C5E" w:rsidP="00125B73">
      <w:pPr>
        <w:pStyle w:val="reference"/>
        <w:numPr>
          <w:ilvl w:val="0"/>
          <w:numId w:val="0"/>
        </w:numPr>
        <w:tabs>
          <w:tab w:val="clear" w:pos="-437"/>
        </w:tabs>
        <w:jc w:val="center"/>
        <w:rPr>
          <w:sz w:val="22"/>
        </w:rPr>
      </w:pPr>
      <w:r>
        <w:rPr>
          <w:sz w:val="22"/>
        </w:rPr>
        <w:t xml:space="preserve">Table C.1. </w:t>
      </w:r>
      <w:r w:rsidR="009F1A75" w:rsidRPr="00547C5E">
        <w:rPr>
          <w:sz w:val="22"/>
        </w:rPr>
        <w:t>Installed capacity and fuel share for the calibration base year in Brazil</w:t>
      </w:r>
    </w:p>
    <w:p w:rsidR="00547C5E" w:rsidRDefault="00547C5E" w:rsidP="00547C5E">
      <w:pPr>
        <w:pStyle w:val="reference"/>
        <w:numPr>
          <w:ilvl w:val="0"/>
          <w:numId w:val="0"/>
        </w:numPr>
        <w:tabs>
          <w:tab w:val="left" w:pos="426"/>
          <w:tab w:val="num" w:pos="720"/>
        </w:tabs>
        <w:jc w:val="center"/>
      </w:pPr>
    </w:p>
    <w:tbl>
      <w:tblPr>
        <w:tblStyle w:val="TableGrid"/>
        <w:tblW w:w="8514" w:type="dxa"/>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CellMar>
          <w:top w:w="17" w:type="dxa"/>
          <w:left w:w="0" w:type="dxa"/>
          <w:bottom w:w="17" w:type="dxa"/>
          <w:right w:w="0" w:type="dxa"/>
        </w:tblCellMar>
        <w:tblLook w:val="04A0" w:firstRow="1" w:lastRow="0" w:firstColumn="1" w:lastColumn="0" w:noHBand="0" w:noVBand="1"/>
      </w:tblPr>
      <w:tblGrid>
        <w:gridCol w:w="1033"/>
        <w:gridCol w:w="1142"/>
        <w:gridCol w:w="992"/>
        <w:gridCol w:w="581"/>
        <w:gridCol w:w="567"/>
        <w:gridCol w:w="709"/>
        <w:gridCol w:w="567"/>
        <w:gridCol w:w="709"/>
        <w:gridCol w:w="655"/>
        <w:gridCol w:w="850"/>
        <w:gridCol w:w="709"/>
      </w:tblGrid>
      <w:tr w:rsidR="0066233C" w:rsidRPr="00243F66" w:rsidTr="00125B73">
        <w:trPr>
          <w:jc w:val="center"/>
        </w:trPr>
        <w:tc>
          <w:tcPr>
            <w:tcW w:w="1033" w:type="dxa"/>
            <w:vAlign w:val="center"/>
          </w:tcPr>
          <w:p w:rsidR="009F1A75" w:rsidRPr="00243F66" w:rsidRDefault="009F1A75" w:rsidP="00547C5E">
            <w:pPr>
              <w:autoSpaceDE/>
              <w:ind w:firstLine="0"/>
              <w:jc w:val="center"/>
              <w:rPr>
                <w:bCs/>
                <w:color w:val="000000" w:themeColor="text1"/>
                <w:sz w:val="14"/>
                <w:szCs w:val="20"/>
                <w:lang w:eastAsia="en-GB"/>
              </w:rPr>
            </w:pPr>
          </w:p>
        </w:tc>
        <w:tc>
          <w:tcPr>
            <w:tcW w:w="1142" w:type="dxa"/>
            <w:vAlign w:val="center"/>
          </w:tcPr>
          <w:p w:rsidR="009F1A75" w:rsidRPr="00243F66" w:rsidRDefault="009F1A75"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Mechanisation</w:t>
            </w:r>
          </w:p>
        </w:tc>
        <w:tc>
          <w:tcPr>
            <w:tcW w:w="992" w:type="dxa"/>
            <w:vAlign w:val="center"/>
          </w:tcPr>
          <w:p w:rsidR="009F1A75" w:rsidRPr="00243F66" w:rsidRDefault="00547C5E"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Installed c</w:t>
            </w:r>
            <w:r w:rsidR="009F1A75" w:rsidRPr="00243F66">
              <w:rPr>
                <w:bCs/>
                <w:color w:val="000000" w:themeColor="text1"/>
                <w:sz w:val="14"/>
                <w:szCs w:val="20"/>
                <w:lang w:eastAsia="en-GB"/>
              </w:rPr>
              <w:t>apacity</w:t>
            </w:r>
          </w:p>
          <w:p w:rsidR="009F1A75"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[GW]</w:t>
            </w:r>
          </w:p>
        </w:tc>
        <w:tc>
          <w:tcPr>
            <w:tcW w:w="581" w:type="dxa"/>
            <w:vAlign w:val="center"/>
          </w:tcPr>
          <w:p w:rsidR="009F1A75"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Biomass [</w:t>
            </w:r>
            <w:r w:rsidR="009F1A75" w:rsidRPr="00243F66">
              <w:rPr>
                <w:bCs/>
                <w:color w:val="000000" w:themeColor="text1"/>
                <w:sz w:val="14"/>
                <w:szCs w:val="20"/>
                <w:lang w:eastAsia="en-GB"/>
              </w:rPr>
              <w:t>P</w:t>
            </w:r>
            <w:r w:rsidRPr="00243F66">
              <w:rPr>
                <w:bCs/>
                <w:color w:val="000000" w:themeColor="text1"/>
                <w:sz w:val="14"/>
                <w:szCs w:val="20"/>
                <w:lang w:eastAsia="en-GB"/>
              </w:rPr>
              <w:t>J/PJ]</w:t>
            </w:r>
          </w:p>
        </w:tc>
        <w:tc>
          <w:tcPr>
            <w:tcW w:w="567" w:type="dxa"/>
            <w:vAlign w:val="center"/>
          </w:tcPr>
          <w:p w:rsidR="009F1A75" w:rsidRPr="00243F66" w:rsidRDefault="009F1A75"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Biogas</w:t>
            </w:r>
          </w:p>
          <w:p w:rsidR="009F1A75"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[PJ/PJ]</w:t>
            </w:r>
          </w:p>
        </w:tc>
        <w:tc>
          <w:tcPr>
            <w:tcW w:w="709" w:type="dxa"/>
            <w:vAlign w:val="center"/>
          </w:tcPr>
          <w:p w:rsidR="009F1A75" w:rsidRPr="00243F66" w:rsidRDefault="009F1A75"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Biodiesel</w:t>
            </w:r>
          </w:p>
          <w:p w:rsidR="009F1A75"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[PJ/PJ]</w:t>
            </w:r>
          </w:p>
        </w:tc>
        <w:tc>
          <w:tcPr>
            <w:tcW w:w="567" w:type="dxa"/>
            <w:vAlign w:val="center"/>
          </w:tcPr>
          <w:p w:rsidR="009F1A75" w:rsidRPr="00243F66" w:rsidRDefault="009F1A75"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Diesel</w:t>
            </w:r>
          </w:p>
          <w:p w:rsidR="009F1A75"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[PJ/PJ]</w:t>
            </w:r>
          </w:p>
        </w:tc>
        <w:tc>
          <w:tcPr>
            <w:tcW w:w="709" w:type="dxa"/>
            <w:vAlign w:val="center"/>
          </w:tcPr>
          <w:p w:rsidR="009F1A75" w:rsidRPr="00243F66" w:rsidRDefault="009F1A75"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Electricity</w:t>
            </w:r>
          </w:p>
          <w:p w:rsidR="009F1A75"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[PJ/PJ]</w:t>
            </w:r>
          </w:p>
        </w:tc>
        <w:tc>
          <w:tcPr>
            <w:tcW w:w="655" w:type="dxa"/>
            <w:vAlign w:val="center"/>
          </w:tcPr>
          <w:p w:rsidR="009F1A75" w:rsidRPr="00243F66" w:rsidRDefault="009F1A75"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Gas</w:t>
            </w:r>
          </w:p>
          <w:p w:rsidR="009F1A75"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[PJ/PJ]</w:t>
            </w:r>
          </w:p>
        </w:tc>
        <w:tc>
          <w:tcPr>
            <w:tcW w:w="850" w:type="dxa"/>
            <w:vAlign w:val="center"/>
          </w:tcPr>
          <w:p w:rsidR="009F1A75" w:rsidRPr="00243F66" w:rsidRDefault="009F1A75"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Heavy fuel oil</w:t>
            </w:r>
          </w:p>
          <w:p w:rsidR="009F1A75"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[PJ/PJ]</w:t>
            </w:r>
          </w:p>
        </w:tc>
        <w:tc>
          <w:tcPr>
            <w:tcW w:w="709" w:type="dxa"/>
            <w:vAlign w:val="center"/>
          </w:tcPr>
          <w:p w:rsidR="009F1A75" w:rsidRPr="00243F66" w:rsidRDefault="009F1A75"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Yield</w:t>
            </w:r>
          </w:p>
          <w:p w:rsidR="009F1A75" w:rsidRPr="00243F66" w:rsidRDefault="00125B73"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w:t>
            </w:r>
            <w:r w:rsidR="009F1A75" w:rsidRPr="00243F66">
              <w:rPr>
                <w:bCs/>
                <w:color w:val="000000" w:themeColor="text1"/>
                <w:sz w:val="14"/>
                <w:szCs w:val="20"/>
                <w:lang w:eastAsia="en-GB"/>
              </w:rPr>
              <w:t>Mha</w:t>
            </w:r>
            <w:r w:rsidR="0066233C" w:rsidRPr="00243F66">
              <w:rPr>
                <w:bCs/>
                <w:color w:val="000000" w:themeColor="text1"/>
                <w:sz w:val="14"/>
                <w:szCs w:val="20"/>
                <w:lang w:eastAsia="en-GB"/>
              </w:rPr>
              <w:t>/PJ]</w:t>
            </w:r>
          </w:p>
        </w:tc>
      </w:tr>
      <w:tr w:rsidR="0066233C" w:rsidRPr="00243F66" w:rsidTr="00125B73">
        <w:trPr>
          <w:jc w:val="center"/>
        </w:trPr>
        <w:tc>
          <w:tcPr>
            <w:tcW w:w="1033" w:type="dxa"/>
            <w:vMerge w:val="restart"/>
            <w:vAlign w:val="center"/>
          </w:tcPr>
          <w:p w:rsidR="0066233C"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Crops</w:t>
            </w:r>
          </w:p>
        </w:tc>
        <w:tc>
          <w:tcPr>
            <w:tcW w:w="1142" w:type="dxa"/>
            <w:tcBorders>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Traditional</w:t>
            </w:r>
          </w:p>
        </w:tc>
        <w:tc>
          <w:tcPr>
            <w:tcW w:w="992" w:type="dxa"/>
            <w:tcBorders>
              <w:bottom w:val="nil"/>
            </w:tcBorders>
            <w:vAlign w:val="center"/>
          </w:tcPr>
          <w:p w:rsidR="0066233C" w:rsidRPr="00243F66" w:rsidRDefault="0066233C" w:rsidP="00547C5E">
            <w:pPr>
              <w:ind w:firstLine="0"/>
              <w:jc w:val="center"/>
              <w:rPr>
                <w:bCs/>
                <w:sz w:val="14"/>
                <w:szCs w:val="20"/>
              </w:rPr>
            </w:pPr>
            <w:r w:rsidRPr="00243F66">
              <w:rPr>
                <w:bCs/>
                <w:sz w:val="14"/>
                <w:szCs w:val="20"/>
              </w:rPr>
              <w:t>3.49</w:t>
            </w:r>
          </w:p>
        </w:tc>
        <w:tc>
          <w:tcPr>
            <w:tcW w:w="581" w:type="dxa"/>
            <w:tcBorders>
              <w:bottom w:val="nil"/>
            </w:tcBorders>
            <w:vAlign w:val="center"/>
          </w:tcPr>
          <w:p w:rsidR="0066233C" w:rsidRPr="00243F66" w:rsidRDefault="0066233C" w:rsidP="00547C5E">
            <w:pPr>
              <w:autoSpaceDE/>
              <w:ind w:firstLine="0"/>
              <w:jc w:val="center"/>
              <w:rPr>
                <w:color w:val="000000" w:themeColor="text1"/>
                <w:sz w:val="14"/>
                <w:szCs w:val="20"/>
                <w:lang w:eastAsia="en-GB"/>
              </w:rPr>
            </w:pPr>
            <w:r w:rsidRPr="00243F66">
              <w:rPr>
                <w:color w:val="000000" w:themeColor="text1"/>
                <w:sz w:val="14"/>
                <w:szCs w:val="20"/>
              </w:rPr>
              <w:t>0.090</w:t>
            </w:r>
          </w:p>
        </w:tc>
        <w:tc>
          <w:tcPr>
            <w:tcW w:w="567"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655"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0.030</w:t>
            </w:r>
          </w:p>
        </w:tc>
        <w:tc>
          <w:tcPr>
            <w:tcW w:w="709" w:type="dxa"/>
            <w:tcBorders>
              <w:bottom w:val="nil"/>
            </w:tcBorders>
            <w:vAlign w:val="center"/>
          </w:tcPr>
          <w:p w:rsidR="0066233C" w:rsidRPr="00243F66" w:rsidRDefault="0066233C" w:rsidP="00547C5E">
            <w:pPr>
              <w:ind w:firstLine="0"/>
              <w:jc w:val="center"/>
              <w:rPr>
                <w:iCs/>
                <w:sz w:val="14"/>
                <w:szCs w:val="20"/>
              </w:rPr>
            </w:pPr>
            <w:r w:rsidRPr="00243F66">
              <w:rPr>
                <w:iCs/>
                <w:sz w:val="14"/>
                <w:szCs w:val="20"/>
              </w:rPr>
              <w:t>0.173</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Transitional</w:t>
            </w:r>
          </w:p>
        </w:tc>
        <w:tc>
          <w:tcPr>
            <w:tcW w:w="992" w:type="dxa"/>
            <w:tcBorders>
              <w:top w:val="nil"/>
              <w:bottom w:val="nil"/>
            </w:tcBorders>
            <w:vAlign w:val="center"/>
          </w:tcPr>
          <w:p w:rsidR="0066233C" w:rsidRPr="00243F66" w:rsidRDefault="0066233C" w:rsidP="00547C5E">
            <w:pPr>
              <w:ind w:firstLine="0"/>
              <w:jc w:val="center"/>
              <w:rPr>
                <w:bCs/>
                <w:sz w:val="14"/>
                <w:szCs w:val="20"/>
              </w:rPr>
            </w:pPr>
            <w:r w:rsidRPr="00243F66">
              <w:rPr>
                <w:bCs/>
                <w:sz w:val="14"/>
                <w:szCs w:val="20"/>
              </w:rPr>
              <w:t>10.90</w:t>
            </w:r>
          </w:p>
        </w:tc>
        <w:tc>
          <w:tcPr>
            <w:tcW w:w="581"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0.129</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0.040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0.010</w:t>
            </w:r>
          </w:p>
        </w:tc>
        <w:tc>
          <w:tcPr>
            <w:tcW w:w="655"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iCs/>
                <w:sz w:val="14"/>
                <w:szCs w:val="20"/>
              </w:rPr>
            </w:pPr>
            <w:r w:rsidRPr="00243F66">
              <w:rPr>
                <w:iCs/>
                <w:sz w:val="14"/>
                <w:szCs w:val="20"/>
              </w:rPr>
              <w:t>0.105</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Modern</w:t>
            </w:r>
          </w:p>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(Fossil-based)</w:t>
            </w:r>
          </w:p>
        </w:tc>
        <w:tc>
          <w:tcPr>
            <w:tcW w:w="992" w:type="dxa"/>
            <w:tcBorders>
              <w:top w:val="nil"/>
              <w:bottom w:val="nil"/>
            </w:tcBorders>
            <w:vAlign w:val="center"/>
          </w:tcPr>
          <w:p w:rsidR="0066233C" w:rsidRPr="00243F66" w:rsidRDefault="0066233C" w:rsidP="00547C5E">
            <w:pPr>
              <w:ind w:firstLine="0"/>
              <w:jc w:val="center"/>
              <w:rPr>
                <w:bCs/>
                <w:sz w:val="14"/>
                <w:szCs w:val="20"/>
              </w:rPr>
            </w:pPr>
            <w:r w:rsidRPr="00243F66">
              <w:rPr>
                <w:bCs/>
                <w:sz w:val="14"/>
                <w:szCs w:val="20"/>
              </w:rPr>
              <w:t>8.72</w:t>
            </w:r>
          </w:p>
        </w:tc>
        <w:tc>
          <w:tcPr>
            <w:tcW w:w="581"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0.200</w:t>
            </w:r>
          </w:p>
          <w:p w:rsidR="0066233C" w:rsidRPr="00243F66" w:rsidRDefault="0066233C" w:rsidP="00547C5E">
            <w:pPr>
              <w:ind w:firstLine="0"/>
              <w:jc w:val="center"/>
              <w:rPr>
                <w:color w:val="000000" w:themeColor="text1"/>
                <w:sz w:val="14"/>
                <w:szCs w:val="20"/>
              </w:rPr>
            </w:pPr>
            <w:r w:rsidRPr="00243F66">
              <w:rPr>
                <w:color w:val="000000" w:themeColor="text1"/>
                <w:sz w:val="14"/>
                <w:szCs w:val="16"/>
              </w:rPr>
              <w:t>(0.060)</w:t>
            </w:r>
            <w:r w:rsidRPr="00243F66">
              <w:rPr>
                <w:color w:val="000000" w:themeColor="text1"/>
                <w:sz w:val="14"/>
                <w:szCs w:val="16"/>
                <w:vertAlign w:val="superscript"/>
              </w:rPr>
              <w:t>*</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0.102</w:t>
            </w:r>
          </w:p>
          <w:p w:rsidR="0066233C" w:rsidRPr="00243F66" w:rsidRDefault="0066233C" w:rsidP="00547C5E">
            <w:pPr>
              <w:ind w:firstLine="0"/>
              <w:jc w:val="center"/>
              <w:rPr>
                <w:color w:val="000000" w:themeColor="text1"/>
                <w:sz w:val="14"/>
                <w:szCs w:val="20"/>
              </w:rPr>
            </w:pPr>
            <w:r w:rsidRPr="00243F66">
              <w:rPr>
                <w:color w:val="000000" w:themeColor="text1"/>
                <w:sz w:val="14"/>
                <w:szCs w:val="16"/>
              </w:rPr>
              <w:t>(0.142)</w:t>
            </w:r>
            <w:r w:rsidRPr="00243F66">
              <w:rPr>
                <w:color w:val="000000" w:themeColor="text1"/>
                <w:sz w:val="14"/>
                <w:szCs w:val="16"/>
                <w:vertAlign w:val="superscript"/>
              </w:rPr>
              <w:t>*</w:t>
            </w:r>
          </w:p>
        </w:tc>
        <w:tc>
          <w:tcPr>
            <w:tcW w:w="655"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0.010</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(0.090)</w:t>
            </w:r>
            <w:r w:rsidRPr="00243F66">
              <w:rPr>
                <w:color w:val="000000" w:themeColor="text1"/>
                <w:sz w:val="14"/>
                <w:szCs w:val="16"/>
                <w:vertAlign w:val="superscript"/>
              </w:rPr>
              <w:t>*</w:t>
            </w:r>
          </w:p>
        </w:tc>
        <w:tc>
          <w:tcPr>
            <w:tcW w:w="850"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iCs/>
                <w:sz w:val="14"/>
                <w:szCs w:val="20"/>
              </w:rPr>
            </w:pPr>
            <w:r w:rsidRPr="00243F66">
              <w:rPr>
                <w:iCs/>
                <w:sz w:val="14"/>
                <w:szCs w:val="20"/>
              </w:rPr>
              <w:t>0.053</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Modern (Renewable-based)</w:t>
            </w:r>
          </w:p>
        </w:tc>
        <w:tc>
          <w:tcPr>
            <w:tcW w:w="992" w:type="dxa"/>
            <w:tcBorders>
              <w:top w:val="nil"/>
            </w:tcBorders>
            <w:vAlign w:val="center"/>
          </w:tcPr>
          <w:p w:rsidR="0066233C" w:rsidRPr="00243F66" w:rsidRDefault="0066233C" w:rsidP="00547C5E">
            <w:pPr>
              <w:ind w:firstLine="0"/>
              <w:jc w:val="center"/>
              <w:rPr>
                <w:bCs/>
                <w:sz w:val="14"/>
                <w:szCs w:val="20"/>
              </w:rPr>
            </w:pPr>
            <w:r w:rsidRPr="00243F66">
              <w:rPr>
                <w:bCs/>
                <w:sz w:val="14"/>
                <w:szCs w:val="20"/>
              </w:rPr>
              <w:t>0.00</w:t>
            </w:r>
          </w:p>
        </w:tc>
        <w:tc>
          <w:tcPr>
            <w:tcW w:w="581"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0.010</w:t>
            </w:r>
          </w:p>
        </w:tc>
        <w:tc>
          <w:tcPr>
            <w:tcW w:w="709"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0.500</w:t>
            </w:r>
          </w:p>
        </w:tc>
        <w:tc>
          <w:tcPr>
            <w:tcW w:w="567"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0.082</w:t>
            </w:r>
          </w:p>
        </w:tc>
        <w:tc>
          <w:tcPr>
            <w:tcW w:w="655"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tcBorders>
            <w:vAlign w:val="center"/>
          </w:tcPr>
          <w:p w:rsidR="0066233C" w:rsidRPr="00243F66" w:rsidRDefault="0066233C" w:rsidP="00547C5E">
            <w:pPr>
              <w:ind w:firstLine="0"/>
              <w:jc w:val="center"/>
              <w:rPr>
                <w:iCs/>
                <w:sz w:val="14"/>
                <w:szCs w:val="20"/>
              </w:rPr>
            </w:pPr>
            <w:r w:rsidRPr="00243F66">
              <w:rPr>
                <w:iCs/>
                <w:sz w:val="14"/>
                <w:szCs w:val="20"/>
              </w:rPr>
              <w:t>0.053</w:t>
            </w:r>
          </w:p>
        </w:tc>
      </w:tr>
      <w:tr w:rsidR="0066233C" w:rsidRPr="00243F66" w:rsidTr="00125B73">
        <w:trPr>
          <w:jc w:val="center"/>
        </w:trPr>
        <w:tc>
          <w:tcPr>
            <w:tcW w:w="1033" w:type="dxa"/>
            <w:vMerge w:val="restart"/>
            <w:vAlign w:val="center"/>
          </w:tcPr>
          <w:p w:rsidR="0066233C"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Animal</w:t>
            </w:r>
          </w:p>
        </w:tc>
        <w:tc>
          <w:tcPr>
            <w:tcW w:w="1142" w:type="dxa"/>
            <w:tcBorders>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Traditional</w:t>
            </w:r>
          </w:p>
        </w:tc>
        <w:tc>
          <w:tcPr>
            <w:tcW w:w="992" w:type="dxa"/>
            <w:tcBorders>
              <w:bottom w:val="nil"/>
            </w:tcBorders>
            <w:vAlign w:val="center"/>
          </w:tcPr>
          <w:p w:rsidR="0066233C" w:rsidRPr="00243F66" w:rsidRDefault="0066233C" w:rsidP="00547C5E">
            <w:pPr>
              <w:ind w:firstLine="0"/>
              <w:jc w:val="center"/>
              <w:rPr>
                <w:bCs/>
                <w:sz w:val="14"/>
                <w:szCs w:val="20"/>
              </w:rPr>
            </w:pPr>
            <w:r w:rsidRPr="00243F66">
              <w:rPr>
                <w:bCs/>
                <w:sz w:val="14"/>
                <w:szCs w:val="20"/>
              </w:rPr>
              <w:t>0.69</w:t>
            </w:r>
          </w:p>
        </w:tc>
        <w:tc>
          <w:tcPr>
            <w:tcW w:w="581" w:type="dxa"/>
            <w:tcBorders>
              <w:bottom w:val="nil"/>
            </w:tcBorders>
            <w:vAlign w:val="center"/>
          </w:tcPr>
          <w:p w:rsidR="0066233C" w:rsidRPr="00243F66" w:rsidRDefault="0066233C" w:rsidP="00547C5E">
            <w:pPr>
              <w:autoSpaceDE/>
              <w:ind w:firstLine="0"/>
              <w:jc w:val="center"/>
              <w:rPr>
                <w:color w:val="000000" w:themeColor="text1"/>
                <w:sz w:val="14"/>
                <w:szCs w:val="20"/>
                <w:lang w:eastAsia="en-GB"/>
              </w:rPr>
            </w:pPr>
            <w:r w:rsidRPr="00243F66">
              <w:rPr>
                <w:color w:val="000000" w:themeColor="text1"/>
                <w:sz w:val="14"/>
                <w:szCs w:val="20"/>
              </w:rPr>
              <w:t>0.245</w:t>
            </w:r>
          </w:p>
        </w:tc>
        <w:tc>
          <w:tcPr>
            <w:tcW w:w="567"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655"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0.016</w:t>
            </w:r>
          </w:p>
        </w:tc>
        <w:tc>
          <w:tcPr>
            <w:tcW w:w="709" w:type="dxa"/>
            <w:tcBorders>
              <w:bottom w:val="nil"/>
            </w:tcBorders>
            <w:vAlign w:val="center"/>
          </w:tcPr>
          <w:p w:rsidR="0066233C" w:rsidRPr="00243F66" w:rsidRDefault="0066233C" w:rsidP="00547C5E">
            <w:pPr>
              <w:ind w:firstLine="0"/>
              <w:jc w:val="center"/>
              <w:rPr>
                <w:iCs/>
                <w:sz w:val="14"/>
                <w:szCs w:val="20"/>
              </w:rPr>
            </w:pPr>
            <w:r w:rsidRPr="00243F66">
              <w:rPr>
                <w:iCs/>
                <w:sz w:val="14"/>
                <w:szCs w:val="20"/>
              </w:rPr>
              <w:t>3.599</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Transitional</w:t>
            </w:r>
          </w:p>
        </w:tc>
        <w:tc>
          <w:tcPr>
            <w:tcW w:w="992" w:type="dxa"/>
            <w:tcBorders>
              <w:top w:val="nil"/>
              <w:bottom w:val="nil"/>
            </w:tcBorders>
            <w:vAlign w:val="center"/>
          </w:tcPr>
          <w:p w:rsidR="0066233C" w:rsidRPr="00243F66" w:rsidRDefault="0066233C" w:rsidP="00547C5E">
            <w:pPr>
              <w:ind w:firstLine="0"/>
              <w:jc w:val="center"/>
              <w:rPr>
                <w:bCs/>
                <w:sz w:val="14"/>
                <w:szCs w:val="20"/>
              </w:rPr>
            </w:pPr>
            <w:r w:rsidRPr="00243F66">
              <w:rPr>
                <w:bCs/>
                <w:sz w:val="14"/>
                <w:szCs w:val="20"/>
              </w:rPr>
              <w:t>3.09</w:t>
            </w:r>
          </w:p>
        </w:tc>
        <w:tc>
          <w:tcPr>
            <w:tcW w:w="581"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0.258</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0.160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0.023</w:t>
            </w:r>
          </w:p>
        </w:tc>
        <w:tc>
          <w:tcPr>
            <w:tcW w:w="655"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iCs/>
                <w:sz w:val="14"/>
                <w:szCs w:val="20"/>
              </w:rPr>
            </w:pPr>
            <w:r w:rsidRPr="00243F66">
              <w:rPr>
                <w:iCs/>
                <w:sz w:val="14"/>
                <w:szCs w:val="20"/>
              </w:rPr>
              <w:t>1.100</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Modern</w:t>
            </w:r>
          </w:p>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(Fossil-based)</w:t>
            </w:r>
          </w:p>
        </w:tc>
        <w:tc>
          <w:tcPr>
            <w:tcW w:w="992" w:type="dxa"/>
            <w:tcBorders>
              <w:top w:val="nil"/>
              <w:bottom w:val="nil"/>
            </w:tcBorders>
            <w:vAlign w:val="center"/>
          </w:tcPr>
          <w:p w:rsidR="0066233C" w:rsidRPr="00243F66" w:rsidRDefault="0066233C" w:rsidP="00547C5E">
            <w:pPr>
              <w:ind w:firstLine="0"/>
              <w:jc w:val="center"/>
              <w:rPr>
                <w:bCs/>
                <w:sz w:val="14"/>
                <w:szCs w:val="20"/>
              </w:rPr>
            </w:pPr>
            <w:r w:rsidRPr="00243F66">
              <w:rPr>
                <w:bCs/>
                <w:sz w:val="14"/>
                <w:szCs w:val="20"/>
              </w:rPr>
              <w:t>3.46</w:t>
            </w:r>
          </w:p>
        </w:tc>
        <w:tc>
          <w:tcPr>
            <w:tcW w:w="581"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1.198</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(0.360)</w:t>
            </w:r>
            <w:r w:rsidRPr="00243F66">
              <w:rPr>
                <w:color w:val="000000" w:themeColor="text1"/>
                <w:sz w:val="14"/>
                <w:szCs w:val="16"/>
                <w:vertAlign w:val="superscript"/>
              </w:rPr>
              <w:t>*</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0.205</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(0.564)</w:t>
            </w:r>
            <w:r w:rsidRPr="00243F66">
              <w:rPr>
                <w:color w:val="000000" w:themeColor="text1"/>
                <w:sz w:val="14"/>
                <w:szCs w:val="16"/>
                <w:vertAlign w:val="superscript"/>
              </w:rPr>
              <w:t>*</w:t>
            </w:r>
          </w:p>
        </w:tc>
        <w:tc>
          <w:tcPr>
            <w:tcW w:w="655"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0.001</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(0.479)</w:t>
            </w:r>
            <w:r w:rsidRPr="00243F66">
              <w:rPr>
                <w:color w:val="000000" w:themeColor="text1"/>
                <w:sz w:val="14"/>
                <w:szCs w:val="16"/>
                <w:vertAlign w:val="superscript"/>
              </w:rPr>
              <w:t>*</w:t>
            </w:r>
          </w:p>
        </w:tc>
        <w:tc>
          <w:tcPr>
            <w:tcW w:w="850"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iCs/>
                <w:sz w:val="14"/>
                <w:szCs w:val="20"/>
              </w:rPr>
            </w:pPr>
            <w:r w:rsidRPr="00243F66">
              <w:rPr>
                <w:iCs/>
                <w:sz w:val="14"/>
                <w:szCs w:val="20"/>
              </w:rPr>
              <w:t>0.094</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Modern (Renewable-based)</w:t>
            </w:r>
          </w:p>
        </w:tc>
        <w:tc>
          <w:tcPr>
            <w:tcW w:w="992" w:type="dxa"/>
            <w:tcBorders>
              <w:top w:val="nil"/>
            </w:tcBorders>
            <w:vAlign w:val="center"/>
          </w:tcPr>
          <w:p w:rsidR="0066233C" w:rsidRPr="00243F66" w:rsidRDefault="0066233C" w:rsidP="00547C5E">
            <w:pPr>
              <w:ind w:firstLine="0"/>
              <w:jc w:val="center"/>
              <w:rPr>
                <w:bCs/>
                <w:sz w:val="14"/>
                <w:szCs w:val="20"/>
              </w:rPr>
            </w:pPr>
            <w:r w:rsidRPr="00243F66">
              <w:rPr>
                <w:bCs/>
                <w:sz w:val="14"/>
                <w:szCs w:val="20"/>
              </w:rPr>
              <w:t>0.00</w:t>
            </w:r>
          </w:p>
        </w:tc>
        <w:tc>
          <w:tcPr>
            <w:tcW w:w="581"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0.048</w:t>
            </w:r>
          </w:p>
        </w:tc>
        <w:tc>
          <w:tcPr>
            <w:tcW w:w="709"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3.000</w:t>
            </w:r>
          </w:p>
        </w:tc>
        <w:tc>
          <w:tcPr>
            <w:tcW w:w="567"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1.198</w:t>
            </w:r>
          </w:p>
        </w:tc>
        <w:tc>
          <w:tcPr>
            <w:tcW w:w="709"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0.205</w:t>
            </w:r>
          </w:p>
        </w:tc>
        <w:tc>
          <w:tcPr>
            <w:tcW w:w="655"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tcBorders>
            <w:vAlign w:val="center"/>
          </w:tcPr>
          <w:p w:rsidR="0066233C" w:rsidRPr="00243F66" w:rsidRDefault="0066233C" w:rsidP="00547C5E">
            <w:pPr>
              <w:ind w:firstLine="0"/>
              <w:jc w:val="center"/>
              <w:rPr>
                <w:iCs/>
                <w:sz w:val="14"/>
                <w:szCs w:val="20"/>
              </w:rPr>
            </w:pPr>
            <w:r w:rsidRPr="00243F66">
              <w:rPr>
                <w:iCs/>
                <w:sz w:val="14"/>
                <w:szCs w:val="20"/>
              </w:rPr>
              <w:t>0.094</w:t>
            </w:r>
          </w:p>
        </w:tc>
      </w:tr>
      <w:tr w:rsidR="0066233C" w:rsidRPr="00243F66" w:rsidTr="00125B73">
        <w:trPr>
          <w:jc w:val="center"/>
        </w:trPr>
        <w:tc>
          <w:tcPr>
            <w:tcW w:w="1033" w:type="dxa"/>
            <w:vMerge w:val="restart"/>
            <w:vAlign w:val="center"/>
          </w:tcPr>
          <w:p w:rsidR="0066233C"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Forestry products</w:t>
            </w:r>
          </w:p>
        </w:tc>
        <w:tc>
          <w:tcPr>
            <w:tcW w:w="1142" w:type="dxa"/>
            <w:tcBorders>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Traditional</w:t>
            </w:r>
          </w:p>
        </w:tc>
        <w:tc>
          <w:tcPr>
            <w:tcW w:w="992" w:type="dxa"/>
            <w:tcBorders>
              <w:bottom w:val="nil"/>
            </w:tcBorders>
            <w:vAlign w:val="center"/>
          </w:tcPr>
          <w:p w:rsidR="0066233C" w:rsidRPr="00243F66" w:rsidRDefault="0066233C" w:rsidP="00547C5E">
            <w:pPr>
              <w:ind w:firstLine="0"/>
              <w:jc w:val="center"/>
              <w:rPr>
                <w:bCs/>
                <w:sz w:val="14"/>
                <w:szCs w:val="20"/>
              </w:rPr>
            </w:pPr>
            <w:r w:rsidRPr="00243F66">
              <w:rPr>
                <w:bCs/>
                <w:sz w:val="14"/>
                <w:szCs w:val="20"/>
              </w:rPr>
              <w:t>1.29</w:t>
            </w:r>
          </w:p>
        </w:tc>
        <w:tc>
          <w:tcPr>
            <w:tcW w:w="581" w:type="dxa"/>
            <w:tcBorders>
              <w:bottom w:val="nil"/>
            </w:tcBorders>
            <w:vAlign w:val="center"/>
          </w:tcPr>
          <w:p w:rsidR="0066233C" w:rsidRPr="00243F66" w:rsidRDefault="0066233C" w:rsidP="00547C5E">
            <w:pPr>
              <w:autoSpaceDE/>
              <w:ind w:firstLine="0"/>
              <w:jc w:val="center"/>
              <w:rPr>
                <w:color w:val="000000" w:themeColor="text1"/>
                <w:sz w:val="14"/>
                <w:szCs w:val="20"/>
                <w:lang w:eastAsia="en-GB"/>
              </w:rPr>
            </w:pPr>
            <w:r w:rsidRPr="00243F66">
              <w:rPr>
                <w:color w:val="000000" w:themeColor="text1"/>
                <w:sz w:val="14"/>
                <w:szCs w:val="20"/>
              </w:rPr>
              <w:t>0.006</w:t>
            </w:r>
          </w:p>
        </w:tc>
        <w:tc>
          <w:tcPr>
            <w:tcW w:w="567"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655"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0.001</w:t>
            </w:r>
          </w:p>
        </w:tc>
        <w:tc>
          <w:tcPr>
            <w:tcW w:w="709" w:type="dxa"/>
            <w:tcBorders>
              <w:bottom w:val="nil"/>
            </w:tcBorders>
            <w:vAlign w:val="center"/>
          </w:tcPr>
          <w:p w:rsidR="0066233C" w:rsidRPr="00243F66" w:rsidRDefault="0066233C" w:rsidP="00547C5E">
            <w:pPr>
              <w:ind w:firstLine="0"/>
              <w:jc w:val="center"/>
              <w:rPr>
                <w:iCs/>
                <w:sz w:val="14"/>
                <w:szCs w:val="20"/>
              </w:rPr>
            </w:pPr>
            <w:r w:rsidRPr="00243F66">
              <w:rPr>
                <w:iCs/>
                <w:sz w:val="14"/>
                <w:szCs w:val="20"/>
              </w:rPr>
              <w:t>0.004</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Transitional</w:t>
            </w:r>
          </w:p>
        </w:tc>
        <w:tc>
          <w:tcPr>
            <w:tcW w:w="992" w:type="dxa"/>
            <w:tcBorders>
              <w:top w:val="nil"/>
              <w:bottom w:val="nil"/>
            </w:tcBorders>
            <w:vAlign w:val="center"/>
          </w:tcPr>
          <w:p w:rsidR="0066233C" w:rsidRPr="00243F66" w:rsidRDefault="0066233C" w:rsidP="00547C5E">
            <w:pPr>
              <w:ind w:firstLine="0"/>
              <w:jc w:val="center"/>
              <w:rPr>
                <w:bCs/>
                <w:sz w:val="14"/>
                <w:szCs w:val="20"/>
              </w:rPr>
            </w:pPr>
            <w:r w:rsidRPr="00243F66">
              <w:rPr>
                <w:bCs/>
                <w:sz w:val="14"/>
                <w:szCs w:val="20"/>
              </w:rPr>
              <w:t>6.46</w:t>
            </w:r>
          </w:p>
        </w:tc>
        <w:tc>
          <w:tcPr>
            <w:tcW w:w="581"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0.006</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0.004</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0.001</w:t>
            </w:r>
          </w:p>
        </w:tc>
        <w:tc>
          <w:tcPr>
            <w:tcW w:w="655"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iCs/>
                <w:sz w:val="14"/>
                <w:szCs w:val="20"/>
              </w:rPr>
            </w:pPr>
            <w:r w:rsidRPr="00243F66">
              <w:rPr>
                <w:iCs/>
                <w:sz w:val="14"/>
                <w:szCs w:val="20"/>
              </w:rPr>
              <w:t>0.002</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Modern</w:t>
            </w:r>
          </w:p>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(Fossil-based)</w:t>
            </w:r>
          </w:p>
        </w:tc>
        <w:tc>
          <w:tcPr>
            <w:tcW w:w="992" w:type="dxa"/>
            <w:tcBorders>
              <w:top w:val="nil"/>
              <w:bottom w:val="nil"/>
            </w:tcBorders>
            <w:vAlign w:val="center"/>
          </w:tcPr>
          <w:p w:rsidR="0066233C" w:rsidRPr="00243F66" w:rsidRDefault="0066233C" w:rsidP="00547C5E">
            <w:pPr>
              <w:ind w:firstLine="0"/>
              <w:jc w:val="center"/>
              <w:rPr>
                <w:bCs/>
                <w:sz w:val="14"/>
                <w:szCs w:val="20"/>
              </w:rPr>
            </w:pPr>
            <w:r w:rsidRPr="00243F66">
              <w:rPr>
                <w:bCs/>
                <w:sz w:val="14"/>
                <w:szCs w:val="20"/>
              </w:rPr>
              <w:t>3.23</w:t>
            </w:r>
          </w:p>
        </w:tc>
        <w:tc>
          <w:tcPr>
            <w:tcW w:w="581"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0.012</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(0.004)</w:t>
            </w:r>
            <w:r w:rsidRPr="00243F66">
              <w:rPr>
                <w:color w:val="000000" w:themeColor="text1"/>
                <w:sz w:val="14"/>
                <w:szCs w:val="16"/>
                <w:vertAlign w:val="superscript"/>
              </w:rPr>
              <w:t>*</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0.004</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(0.008)</w:t>
            </w:r>
            <w:r w:rsidRPr="00243F66">
              <w:rPr>
                <w:color w:val="000000" w:themeColor="text1"/>
                <w:sz w:val="14"/>
                <w:szCs w:val="16"/>
                <w:vertAlign w:val="superscript"/>
              </w:rPr>
              <w:t>*</w:t>
            </w:r>
          </w:p>
        </w:tc>
        <w:tc>
          <w:tcPr>
            <w:tcW w:w="655"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0.001</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(0.005)</w:t>
            </w:r>
            <w:r w:rsidRPr="00243F66">
              <w:rPr>
                <w:color w:val="000000" w:themeColor="text1"/>
                <w:sz w:val="14"/>
                <w:szCs w:val="16"/>
                <w:vertAlign w:val="superscript"/>
              </w:rPr>
              <w:t>*</w:t>
            </w:r>
          </w:p>
        </w:tc>
        <w:tc>
          <w:tcPr>
            <w:tcW w:w="850"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iCs/>
                <w:sz w:val="14"/>
                <w:szCs w:val="20"/>
              </w:rPr>
            </w:pPr>
            <w:r w:rsidRPr="00243F66">
              <w:rPr>
                <w:iCs/>
                <w:sz w:val="14"/>
                <w:szCs w:val="20"/>
              </w:rPr>
              <w:t>0.001</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Modern (Renewable-based)</w:t>
            </w:r>
          </w:p>
        </w:tc>
        <w:tc>
          <w:tcPr>
            <w:tcW w:w="992" w:type="dxa"/>
            <w:tcBorders>
              <w:top w:val="nil"/>
            </w:tcBorders>
            <w:vAlign w:val="center"/>
          </w:tcPr>
          <w:p w:rsidR="0066233C" w:rsidRPr="00243F66" w:rsidRDefault="0066233C" w:rsidP="00547C5E">
            <w:pPr>
              <w:ind w:firstLine="0"/>
              <w:jc w:val="center"/>
              <w:rPr>
                <w:bCs/>
                <w:sz w:val="14"/>
                <w:szCs w:val="20"/>
              </w:rPr>
            </w:pPr>
            <w:r w:rsidRPr="00243F66">
              <w:rPr>
                <w:bCs/>
                <w:sz w:val="14"/>
                <w:szCs w:val="20"/>
              </w:rPr>
              <w:t>0.00</w:t>
            </w:r>
          </w:p>
        </w:tc>
        <w:tc>
          <w:tcPr>
            <w:tcW w:w="581"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0.003</w:t>
            </w:r>
          </w:p>
        </w:tc>
        <w:tc>
          <w:tcPr>
            <w:tcW w:w="709"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0.030</w:t>
            </w:r>
          </w:p>
        </w:tc>
        <w:tc>
          <w:tcPr>
            <w:tcW w:w="567"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0.004</w:t>
            </w:r>
          </w:p>
        </w:tc>
        <w:tc>
          <w:tcPr>
            <w:tcW w:w="655"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tcBorders>
            <w:vAlign w:val="center"/>
          </w:tcPr>
          <w:p w:rsidR="0066233C" w:rsidRPr="00243F66" w:rsidRDefault="0066233C" w:rsidP="00547C5E">
            <w:pPr>
              <w:ind w:firstLine="0"/>
              <w:jc w:val="center"/>
              <w:rPr>
                <w:iCs/>
                <w:sz w:val="14"/>
                <w:szCs w:val="20"/>
              </w:rPr>
            </w:pPr>
            <w:r w:rsidRPr="00243F66">
              <w:rPr>
                <w:iCs/>
                <w:sz w:val="14"/>
                <w:szCs w:val="20"/>
              </w:rPr>
              <w:t>0.001</w:t>
            </w:r>
          </w:p>
        </w:tc>
      </w:tr>
      <w:tr w:rsidR="0066233C" w:rsidRPr="00243F66" w:rsidTr="00125B73">
        <w:trPr>
          <w:jc w:val="center"/>
        </w:trPr>
        <w:tc>
          <w:tcPr>
            <w:tcW w:w="1033" w:type="dxa"/>
            <w:vMerge w:val="restart"/>
            <w:vAlign w:val="center"/>
          </w:tcPr>
          <w:p w:rsidR="0066233C" w:rsidRPr="00243F66" w:rsidRDefault="0066233C" w:rsidP="00547C5E">
            <w:pPr>
              <w:autoSpaceDE/>
              <w:ind w:firstLine="0"/>
              <w:jc w:val="center"/>
              <w:rPr>
                <w:bCs/>
                <w:color w:val="000000" w:themeColor="text1"/>
                <w:sz w:val="14"/>
                <w:szCs w:val="20"/>
                <w:lang w:eastAsia="en-GB"/>
              </w:rPr>
            </w:pPr>
            <w:r w:rsidRPr="00243F66">
              <w:rPr>
                <w:bCs/>
                <w:color w:val="000000" w:themeColor="text1"/>
                <w:sz w:val="14"/>
                <w:szCs w:val="20"/>
                <w:lang w:eastAsia="en-GB"/>
              </w:rPr>
              <w:t>Bioenergy</w:t>
            </w:r>
          </w:p>
        </w:tc>
        <w:tc>
          <w:tcPr>
            <w:tcW w:w="1142" w:type="dxa"/>
            <w:tcBorders>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Traditional</w:t>
            </w:r>
          </w:p>
        </w:tc>
        <w:tc>
          <w:tcPr>
            <w:tcW w:w="992" w:type="dxa"/>
            <w:tcBorders>
              <w:bottom w:val="nil"/>
            </w:tcBorders>
            <w:vAlign w:val="center"/>
          </w:tcPr>
          <w:p w:rsidR="0066233C" w:rsidRPr="00243F66" w:rsidRDefault="0066233C" w:rsidP="00547C5E">
            <w:pPr>
              <w:ind w:firstLine="0"/>
              <w:jc w:val="center"/>
              <w:rPr>
                <w:bCs/>
                <w:sz w:val="14"/>
                <w:szCs w:val="20"/>
              </w:rPr>
            </w:pPr>
            <w:r w:rsidRPr="00243F66">
              <w:rPr>
                <w:bCs/>
                <w:sz w:val="14"/>
                <w:szCs w:val="20"/>
              </w:rPr>
              <w:t>0.38</w:t>
            </w:r>
          </w:p>
        </w:tc>
        <w:tc>
          <w:tcPr>
            <w:tcW w:w="581" w:type="dxa"/>
            <w:tcBorders>
              <w:bottom w:val="nil"/>
            </w:tcBorders>
            <w:vAlign w:val="center"/>
          </w:tcPr>
          <w:p w:rsidR="0066233C" w:rsidRPr="00243F66" w:rsidRDefault="0066233C" w:rsidP="00547C5E">
            <w:pPr>
              <w:autoSpaceDE/>
              <w:ind w:firstLine="0"/>
              <w:jc w:val="center"/>
              <w:rPr>
                <w:color w:val="000000" w:themeColor="text1"/>
                <w:sz w:val="14"/>
                <w:szCs w:val="20"/>
                <w:lang w:eastAsia="en-GB"/>
              </w:rPr>
            </w:pPr>
            <w:r w:rsidRPr="00243F66">
              <w:rPr>
                <w:color w:val="000000" w:themeColor="text1"/>
                <w:sz w:val="14"/>
                <w:szCs w:val="20"/>
              </w:rPr>
              <w:t>0.006</w:t>
            </w:r>
          </w:p>
        </w:tc>
        <w:tc>
          <w:tcPr>
            <w:tcW w:w="567"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655"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0.001</w:t>
            </w:r>
          </w:p>
        </w:tc>
        <w:tc>
          <w:tcPr>
            <w:tcW w:w="709" w:type="dxa"/>
            <w:tcBorders>
              <w:bottom w:val="nil"/>
            </w:tcBorders>
            <w:vAlign w:val="center"/>
          </w:tcPr>
          <w:p w:rsidR="0066233C" w:rsidRPr="00243F66" w:rsidRDefault="0066233C" w:rsidP="00547C5E">
            <w:pPr>
              <w:ind w:firstLine="0"/>
              <w:jc w:val="center"/>
              <w:rPr>
                <w:iCs/>
                <w:sz w:val="14"/>
                <w:szCs w:val="20"/>
              </w:rPr>
            </w:pPr>
            <w:r w:rsidRPr="00243F66">
              <w:rPr>
                <w:iCs/>
                <w:sz w:val="14"/>
                <w:szCs w:val="20"/>
              </w:rPr>
              <w:t>0.015</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Transitional</w:t>
            </w:r>
          </w:p>
        </w:tc>
        <w:tc>
          <w:tcPr>
            <w:tcW w:w="992" w:type="dxa"/>
            <w:tcBorders>
              <w:top w:val="nil"/>
              <w:bottom w:val="nil"/>
            </w:tcBorders>
            <w:vAlign w:val="center"/>
          </w:tcPr>
          <w:p w:rsidR="0066233C" w:rsidRPr="00243F66" w:rsidRDefault="0066233C" w:rsidP="00547C5E">
            <w:pPr>
              <w:ind w:firstLine="0"/>
              <w:jc w:val="center"/>
              <w:rPr>
                <w:bCs/>
                <w:sz w:val="14"/>
                <w:szCs w:val="20"/>
              </w:rPr>
            </w:pPr>
            <w:r w:rsidRPr="00243F66">
              <w:rPr>
                <w:bCs/>
                <w:sz w:val="14"/>
                <w:szCs w:val="20"/>
              </w:rPr>
              <w:t>1.89</w:t>
            </w:r>
          </w:p>
        </w:tc>
        <w:tc>
          <w:tcPr>
            <w:tcW w:w="581"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0.006</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0.004</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0.001</w:t>
            </w:r>
          </w:p>
        </w:tc>
        <w:tc>
          <w:tcPr>
            <w:tcW w:w="655"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iCs/>
                <w:sz w:val="14"/>
                <w:szCs w:val="20"/>
              </w:rPr>
            </w:pPr>
            <w:r w:rsidRPr="00243F66">
              <w:rPr>
                <w:iCs/>
                <w:sz w:val="14"/>
                <w:szCs w:val="20"/>
              </w:rPr>
              <w:t>0.009</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bottom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Modern</w:t>
            </w:r>
          </w:p>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(Fossil-based)</w:t>
            </w:r>
          </w:p>
        </w:tc>
        <w:tc>
          <w:tcPr>
            <w:tcW w:w="992" w:type="dxa"/>
            <w:tcBorders>
              <w:top w:val="nil"/>
              <w:bottom w:val="nil"/>
            </w:tcBorders>
            <w:vAlign w:val="center"/>
          </w:tcPr>
          <w:p w:rsidR="0066233C" w:rsidRPr="00243F66" w:rsidRDefault="0066233C" w:rsidP="00547C5E">
            <w:pPr>
              <w:ind w:firstLine="0"/>
              <w:jc w:val="center"/>
              <w:rPr>
                <w:bCs/>
                <w:sz w:val="14"/>
                <w:szCs w:val="20"/>
              </w:rPr>
            </w:pPr>
            <w:r w:rsidRPr="00243F66">
              <w:rPr>
                <w:bCs/>
                <w:sz w:val="14"/>
                <w:szCs w:val="20"/>
              </w:rPr>
              <w:t>0.95</w:t>
            </w:r>
          </w:p>
        </w:tc>
        <w:tc>
          <w:tcPr>
            <w:tcW w:w="581"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0.012</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(0.004)</w:t>
            </w:r>
            <w:r w:rsidRPr="00243F66">
              <w:rPr>
                <w:color w:val="000000" w:themeColor="text1"/>
                <w:sz w:val="14"/>
                <w:szCs w:val="16"/>
                <w:vertAlign w:val="superscript"/>
              </w:rPr>
              <w:t>*</w:t>
            </w:r>
          </w:p>
        </w:tc>
        <w:tc>
          <w:tcPr>
            <w:tcW w:w="709"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0.004</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(0.008)</w:t>
            </w:r>
            <w:r w:rsidRPr="00243F66">
              <w:rPr>
                <w:color w:val="000000" w:themeColor="text1"/>
                <w:sz w:val="14"/>
                <w:szCs w:val="16"/>
                <w:vertAlign w:val="superscript"/>
              </w:rPr>
              <w:t>*</w:t>
            </w:r>
          </w:p>
        </w:tc>
        <w:tc>
          <w:tcPr>
            <w:tcW w:w="655"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0.001</w:t>
            </w:r>
          </w:p>
          <w:p w:rsidR="0066233C" w:rsidRPr="00243F66" w:rsidRDefault="0066233C" w:rsidP="00547C5E">
            <w:pPr>
              <w:ind w:firstLine="0"/>
              <w:jc w:val="center"/>
              <w:rPr>
                <w:color w:val="000000" w:themeColor="text1"/>
                <w:sz w:val="14"/>
                <w:szCs w:val="16"/>
              </w:rPr>
            </w:pPr>
            <w:r w:rsidRPr="00243F66">
              <w:rPr>
                <w:color w:val="000000" w:themeColor="text1"/>
                <w:sz w:val="14"/>
                <w:szCs w:val="16"/>
              </w:rPr>
              <w:t>(0.005)</w:t>
            </w:r>
            <w:r w:rsidRPr="00243F66">
              <w:rPr>
                <w:color w:val="000000" w:themeColor="text1"/>
                <w:sz w:val="14"/>
                <w:szCs w:val="16"/>
                <w:vertAlign w:val="superscript"/>
              </w:rPr>
              <w:t>*</w:t>
            </w:r>
          </w:p>
        </w:tc>
        <w:tc>
          <w:tcPr>
            <w:tcW w:w="850" w:type="dxa"/>
            <w:tcBorders>
              <w:top w:val="nil"/>
              <w:bottom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bottom w:val="nil"/>
            </w:tcBorders>
            <w:vAlign w:val="center"/>
          </w:tcPr>
          <w:p w:rsidR="0066233C" w:rsidRPr="00243F66" w:rsidRDefault="0066233C" w:rsidP="00547C5E">
            <w:pPr>
              <w:ind w:firstLine="0"/>
              <w:jc w:val="center"/>
              <w:rPr>
                <w:iCs/>
                <w:sz w:val="14"/>
                <w:szCs w:val="20"/>
              </w:rPr>
            </w:pPr>
            <w:r w:rsidRPr="00243F66">
              <w:rPr>
                <w:iCs/>
                <w:sz w:val="14"/>
                <w:szCs w:val="20"/>
              </w:rPr>
              <w:t>0.004</w:t>
            </w:r>
          </w:p>
        </w:tc>
      </w:tr>
      <w:tr w:rsidR="0066233C" w:rsidRPr="00243F66" w:rsidTr="00125B73">
        <w:trPr>
          <w:jc w:val="center"/>
        </w:trPr>
        <w:tc>
          <w:tcPr>
            <w:tcW w:w="1033" w:type="dxa"/>
            <w:vMerge/>
            <w:vAlign w:val="center"/>
          </w:tcPr>
          <w:p w:rsidR="0066233C" w:rsidRPr="00243F66" w:rsidRDefault="0066233C" w:rsidP="00547C5E">
            <w:pPr>
              <w:autoSpaceDE/>
              <w:autoSpaceDN/>
              <w:ind w:firstLine="0"/>
              <w:jc w:val="center"/>
              <w:rPr>
                <w:bCs/>
                <w:color w:val="000000" w:themeColor="text1"/>
                <w:sz w:val="14"/>
                <w:szCs w:val="20"/>
                <w:lang w:eastAsia="en-GB"/>
              </w:rPr>
            </w:pPr>
          </w:p>
        </w:tc>
        <w:tc>
          <w:tcPr>
            <w:tcW w:w="1142" w:type="dxa"/>
            <w:tcBorders>
              <w:top w:val="nil"/>
            </w:tcBorders>
            <w:vAlign w:val="center"/>
          </w:tcPr>
          <w:p w:rsidR="0066233C" w:rsidRPr="00243F66" w:rsidRDefault="0066233C" w:rsidP="00547C5E">
            <w:pPr>
              <w:autoSpaceDE/>
              <w:ind w:firstLine="0"/>
              <w:jc w:val="center"/>
              <w:rPr>
                <w:iCs/>
                <w:color w:val="000000" w:themeColor="text1"/>
                <w:sz w:val="14"/>
                <w:szCs w:val="20"/>
                <w:lang w:eastAsia="en-GB"/>
              </w:rPr>
            </w:pPr>
            <w:r w:rsidRPr="00243F66">
              <w:rPr>
                <w:iCs/>
                <w:color w:val="000000" w:themeColor="text1"/>
                <w:sz w:val="14"/>
                <w:szCs w:val="20"/>
                <w:lang w:eastAsia="en-GB"/>
              </w:rPr>
              <w:t>Modern (Renewable-based)</w:t>
            </w:r>
          </w:p>
        </w:tc>
        <w:tc>
          <w:tcPr>
            <w:tcW w:w="992" w:type="dxa"/>
            <w:tcBorders>
              <w:top w:val="nil"/>
            </w:tcBorders>
            <w:vAlign w:val="center"/>
          </w:tcPr>
          <w:p w:rsidR="0066233C" w:rsidRPr="00243F66" w:rsidRDefault="0066233C" w:rsidP="00547C5E">
            <w:pPr>
              <w:ind w:firstLine="0"/>
              <w:jc w:val="center"/>
              <w:rPr>
                <w:bCs/>
                <w:sz w:val="14"/>
                <w:szCs w:val="20"/>
              </w:rPr>
            </w:pPr>
            <w:r w:rsidRPr="00243F66">
              <w:rPr>
                <w:bCs/>
                <w:sz w:val="14"/>
                <w:szCs w:val="20"/>
              </w:rPr>
              <w:t>0.00</w:t>
            </w:r>
          </w:p>
        </w:tc>
        <w:tc>
          <w:tcPr>
            <w:tcW w:w="581"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567"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0.003</w:t>
            </w:r>
          </w:p>
        </w:tc>
        <w:tc>
          <w:tcPr>
            <w:tcW w:w="709"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0.030</w:t>
            </w:r>
          </w:p>
        </w:tc>
        <w:tc>
          <w:tcPr>
            <w:tcW w:w="567"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0.004</w:t>
            </w:r>
          </w:p>
        </w:tc>
        <w:tc>
          <w:tcPr>
            <w:tcW w:w="655"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850" w:type="dxa"/>
            <w:tcBorders>
              <w:top w:val="nil"/>
            </w:tcBorders>
            <w:vAlign w:val="center"/>
          </w:tcPr>
          <w:p w:rsidR="0066233C" w:rsidRPr="00243F66" w:rsidRDefault="0066233C" w:rsidP="00547C5E">
            <w:pPr>
              <w:ind w:firstLine="0"/>
              <w:jc w:val="center"/>
              <w:rPr>
                <w:color w:val="000000" w:themeColor="text1"/>
                <w:sz w:val="14"/>
                <w:szCs w:val="20"/>
              </w:rPr>
            </w:pPr>
            <w:r w:rsidRPr="00243F66">
              <w:rPr>
                <w:color w:val="000000" w:themeColor="text1"/>
                <w:sz w:val="14"/>
                <w:szCs w:val="20"/>
              </w:rPr>
              <w:t>0.000</w:t>
            </w:r>
          </w:p>
        </w:tc>
        <w:tc>
          <w:tcPr>
            <w:tcW w:w="709" w:type="dxa"/>
            <w:tcBorders>
              <w:top w:val="nil"/>
            </w:tcBorders>
            <w:vAlign w:val="center"/>
          </w:tcPr>
          <w:p w:rsidR="0066233C" w:rsidRPr="00243F66" w:rsidRDefault="0066233C" w:rsidP="00547C5E">
            <w:pPr>
              <w:ind w:firstLine="0"/>
              <w:jc w:val="center"/>
              <w:rPr>
                <w:iCs/>
                <w:sz w:val="14"/>
                <w:szCs w:val="20"/>
              </w:rPr>
            </w:pPr>
            <w:r w:rsidRPr="00243F66">
              <w:rPr>
                <w:iCs/>
                <w:sz w:val="14"/>
                <w:szCs w:val="20"/>
              </w:rPr>
              <w:t>0.004</w:t>
            </w:r>
          </w:p>
        </w:tc>
      </w:tr>
    </w:tbl>
    <w:p w:rsidR="009F1A75" w:rsidRPr="0066233C" w:rsidRDefault="009F1A75" w:rsidP="0066233C">
      <w:pPr>
        <w:ind w:left="340" w:firstLine="0"/>
        <w:rPr>
          <w:sz w:val="18"/>
        </w:rPr>
      </w:pPr>
      <w:r w:rsidRPr="0066233C">
        <w:rPr>
          <w:iCs/>
          <w:color w:val="000000" w:themeColor="text1"/>
          <w:sz w:val="10"/>
          <w:szCs w:val="16"/>
          <w:lang w:eastAsia="en-GB"/>
        </w:rPr>
        <w:t>*</w:t>
      </w:r>
      <w:r w:rsidR="0066233C">
        <w:rPr>
          <w:iCs/>
          <w:color w:val="000000" w:themeColor="text1"/>
          <w:sz w:val="10"/>
          <w:szCs w:val="16"/>
          <w:lang w:eastAsia="en-GB"/>
        </w:rPr>
        <w:t xml:space="preserve"> </w:t>
      </w:r>
      <w:r w:rsidRPr="0066233C">
        <w:rPr>
          <w:iCs/>
          <w:color w:val="000000" w:themeColor="text1"/>
          <w:sz w:val="10"/>
          <w:szCs w:val="16"/>
          <w:lang w:eastAsia="en-GB"/>
        </w:rPr>
        <w:t>Values for gas expansion scenario</w:t>
      </w:r>
    </w:p>
    <w:sectPr w:rsidR="009F1A75" w:rsidRPr="0066233C" w:rsidSect="00B651A1">
      <w:headerReference w:type="even" r:id="rId63"/>
      <w:footnotePr>
        <w:numFmt w:val="chicago"/>
      </w:footnotePr>
      <w:pgSz w:w="11906" w:h="16838" w:code="9"/>
      <w:pgMar w:top="964" w:right="1440" w:bottom="1440" w:left="1985" w:header="431" w:footer="748"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5AA" w:rsidRDefault="008D35AA">
      <w:r>
        <w:separator/>
      </w:r>
    </w:p>
  </w:endnote>
  <w:endnote w:type="continuationSeparator" w:id="0">
    <w:p w:rsidR="008D35AA" w:rsidRDefault="008D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MBX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5AA" w:rsidRDefault="008D35AA">
      <w:r>
        <w:separator/>
      </w:r>
    </w:p>
  </w:footnote>
  <w:footnote w:type="continuationSeparator" w:id="0">
    <w:p w:rsidR="008D35AA" w:rsidRDefault="008D35AA">
      <w:r>
        <w:continuationSeparator/>
      </w:r>
    </w:p>
  </w:footnote>
  <w:footnote w:id="1">
    <w:p w:rsidR="003D671D" w:rsidRDefault="003D671D" w:rsidP="002F18C4">
      <w:pPr>
        <w:pStyle w:val="FootnoteText"/>
        <w:rPr>
          <w:lang w:val="hr-HR"/>
        </w:rPr>
      </w:pPr>
      <w:r>
        <w:rPr>
          <w:rStyle w:val="FootnoteReference"/>
        </w:rPr>
        <w:footnoteRef/>
      </w:r>
      <w:r>
        <w:t xml:space="preserve"> Corresponding author</w:t>
      </w:r>
    </w:p>
  </w:footnote>
  <w:footnote w:id="2">
    <w:p w:rsidR="003D671D" w:rsidRDefault="003D671D" w:rsidP="009F1A75">
      <w:r>
        <w:rPr>
          <w:rStyle w:val="FootnoteReference"/>
        </w:rPr>
        <w:footnoteRef/>
      </w:r>
      <w:r>
        <w:t xml:space="preserve"> </w:t>
      </w:r>
      <w:r>
        <w:rPr>
          <w:sz w:val="18"/>
        </w:rPr>
        <w:t>Changes in C stock are converted to CO</w:t>
      </w:r>
      <w:r>
        <w:rPr>
          <w:sz w:val="18"/>
          <w:vertAlign w:val="subscript"/>
        </w:rPr>
        <w:t>2</w:t>
      </w:r>
      <w:r>
        <w:rPr>
          <w:sz w:val="18"/>
        </w:rPr>
        <w:t xml:space="preserve"> emissions by multiplying by 44/12. This is based on the ratio of molecular weights.</w:t>
      </w:r>
    </w:p>
  </w:footnote>
  <w:footnote w:id="3">
    <w:p w:rsidR="003D671D" w:rsidRDefault="003D671D" w:rsidP="009F1A75">
      <w:pPr>
        <w:pStyle w:val="FootnoteText"/>
      </w:pPr>
      <w:r>
        <w:rPr>
          <w:rStyle w:val="FootnoteReference"/>
          <w:sz w:val="18"/>
          <w:szCs w:val="18"/>
        </w:rPr>
        <w:footnoteRef/>
      </w:r>
      <w:r>
        <w:rPr>
          <w:sz w:val="18"/>
          <w:szCs w:val="18"/>
        </w:rPr>
        <w:t xml:space="preserve"> The SSP2 narrative describes a middle-of-the-road development in mitigation and adaptation.</w:t>
      </w:r>
    </w:p>
  </w:footnote>
  <w:footnote w:id="4">
    <w:p w:rsidR="003D671D" w:rsidRDefault="003D671D" w:rsidP="009F1A75">
      <w:pPr>
        <w:rPr>
          <w:sz w:val="18"/>
          <w:szCs w:val="18"/>
        </w:rPr>
      </w:pPr>
      <w:r>
        <w:rPr>
          <w:rStyle w:val="FootnoteReference"/>
          <w:sz w:val="18"/>
          <w:szCs w:val="18"/>
        </w:rPr>
        <w:footnoteRef/>
      </w:r>
      <w:r>
        <w:rPr>
          <w:sz w:val="18"/>
          <w:szCs w:val="18"/>
        </w:rPr>
        <w:t xml:space="preserve"> Same function has been used to regress forestry products and bioenergy crops.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71D" w:rsidRPr="009B434B" w:rsidRDefault="003D671D" w:rsidP="009B4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7F88"/>
    <w:multiLevelType w:val="hybridMultilevel"/>
    <w:tmpl w:val="A98CD1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7963A52"/>
    <w:multiLevelType w:val="hybridMultilevel"/>
    <w:tmpl w:val="F56CDB12"/>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F0A1909"/>
    <w:multiLevelType w:val="hybridMultilevel"/>
    <w:tmpl w:val="60E0E97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3BC021D"/>
    <w:multiLevelType w:val="hybridMultilevel"/>
    <w:tmpl w:val="34868A9A"/>
    <w:lvl w:ilvl="0" w:tplc="DEC25070">
      <w:start w:val="1"/>
      <w:numFmt w:val="decimal"/>
      <w:lvlText w:val="%1)"/>
      <w:lvlJc w:val="left"/>
      <w:pPr>
        <w:ind w:left="597" w:hanging="360"/>
      </w:pPr>
      <w:rPr>
        <w:rFonts w:hint="default"/>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4" w15:restartNumberingAfterBreak="0">
    <w:nsid w:val="33CB2E0B"/>
    <w:multiLevelType w:val="hybridMultilevel"/>
    <w:tmpl w:val="3CB4487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56E5B89"/>
    <w:multiLevelType w:val="singleLevel"/>
    <w:tmpl w:val="DCDEF30A"/>
    <w:lvl w:ilvl="0">
      <w:start w:val="1"/>
      <w:numFmt w:val="decimal"/>
      <w:lvlText w:val="[%1]"/>
      <w:lvlJc w:val="center"/>
      <w:pPr>
        <w:tabs>
          <w:tab w:val="num" w:pos="648"/>
        </w:tabs>
        <w:ind w:left="360" w:hanging="72"/>
      </w:pPr>
      <w:rPr>
        <w:sz w:val="22"/>
        <w:szCs w:val="22"/>
      </w:rPr>
    </w:lvl>
  </w:abstractNum>
  <w:abstractNum w:abstractNumId="6" w15:restartNumberingAfterBreak="0">
    <w:nsid w:val="4CD67873"/>
    <w:multiLevelType w:val="hybridMultilevel"/>
    <w:tmpl w:val="53241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7A64985"/>
    <w:multiLevelType w:val="hybridMultilevel"/>
    <w:tmpl w:val="8D6CF3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5803274B"/>
    <w:multiLevelType w:val="hybridMultilevel"/>
    <w:tmpl w:val="8B02694C"/>
    <w:lvl w:ilvl="0" w:tplc="4C3C18D2">
      <w:start w:val="1"/>
      <w:numFmt w:val="decimal"/>
      <w:lvlText w:val="%1)"/>
      <w:lvlJc w:val="left"/>
      <w:pPr>
        <w:ind w:left="597" w:hanging="360"/>
      </w:pPr>
      <w:rPr>
        <w:rFonts w:hint="default"/>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9" w15:restartNumberingAfterBreak="0">
    <w:nsid w:val="5A8036B8"/>
    <w:multiLevelType w:val="hybridMultilevel"/>
    <w:tmpl w:val="7026E74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AE767B5"/>
    <w:multiLevelType w:val="singleLevel"/>
    <w:tmpl w:val="F5EE5AA4"/>
    <w:lvl w:ilvl="0">
      <w:start w:val="1"/>
      <w:numFmt w:val="decimal"/>
      <w:lvlText w:val="   [%1]"/>
      <w:lvlJc w:val="center"/>
      <w:pPr>
        <w:tabs>
          <w:tab w:val="num" w:pos="360"/>
        </w:tabs>
        <w:ind w:left="340" w:hanging="340"/>
      </w:pPr>
      <w:rPr>
        <w:rFonts w:hint="default"/>
        <w:spacing w:val="0"/>
        <w:w w:val="100"/>
        <w:position w:val="0"/>
        <w:sz w:val="22"/>
        <w:szCs w:val="22"/>
      </w:rPr>
    </w:lvl>
  </w:abstractNum>
  <w:abstractNum w:abstractNumId="11" w15:restartNumberingAfterBreak="0">
    <w:nsid w:val="6D3A29AA"/>
    <w:multiLevelType w:val="hybridMultilevel"/>
    <w:tmpl w:val="C00E6016"/>
    <w:lvl w:ilvl="0" w:tplc="C4BACD34">
      <w:start w:val="1"/>
      <w:numFmt w:val="lowerRoman"/>
      <w:lvlText w:val="%1)"/>
      <w:lvlJc w:val="left"/>
      <w:pPr>
        <w:ind w:left="780" w:hanging="72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2" w15:restartNumberingAfterBreak="0">
    <w:nsid w:val="6F4A3D87"/>
    <w:multiLevelType w:val="hybridMultilevel"/>
    <w:tmpl w:val="6CD6B496"/>
    <w:lvl w:ilvl="0" w:tplc="5A2A54F6">
      <w:start w:val="1"/>
      <w:numFmt w:val="decimal"/>
      <w:pStyle w:val="reference"/>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710F0A2C"/>
    <w:multiLevelType w:val="hybridMultilevel"/>
    <w:tmpl w:val="C7D606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759074E3"/>
    <w:multiLevelType w:val="hybridMultilevel"/>
    <w:tmpl w:val="E2D0D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74A13A8"/>
    <w:multiLevelType w:val="hybridMultilevel"/>
    <w:tmpl w:val="AB20745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97B276B"/>
    <w:multiLevelType w:val="singleLevel"/>
    <w:tmpl w:val="953490B4"/>
    <w:lvl w:ilvl="0">
      <w:start w:val="1"/>
      <w:numFmt w:val="decimal"/>
      <w:lvlText w:val="[%1]"/>
      <w:lvlJc w:val="center"/>
      <w:pPr>
        <w:tabs>
          <w:tab w:val="num" w:pos="648"/>
        </w:tabs>
        <w:ind w:left="360" w:hanging="72"/>
      </w:pPr>
    </w:lvl>
  </w:abstractNum>
  <w:num w:numId="1">
    <w:abstractNumId w:val="16"/>
  </w:num>
  <w:num w:numId="2">
    <w:abstractNumId w:val="5"/>
  </w:num>
  <w:num w:numId="3">
    <w:abstractNumId w:val="10"/>
  </w:num>
  <w:num w:numId="4">
    <w:abstractNumId w:val="1"/>
  </w:num>
  <w:num w:numId="5">
    <w:abstractNumId w:val="7"/>
  </w:num>
  <w:num w:numId="6">
    <w:abstractNumId w:val="9"/>
  </w:num>
  <w:num w:numId="7">
    <w:abstractNumId w:val="12"/>
  </w:num>
  <w:num w:numId="8">
    <w:abstractNumId w:val="13"/>
  </w:num>
  <w:num w:numId="9">
    <w:abstractNumId w:val="3"/>
  </w:num>
  <w:num w:numId="10">
    <w:abstractNumId w:val="8"/>
  </w:num>
  <w:num w:numId="11">
    <w:abstractNumId w:val="14"/>
  </w:num>
  <w:num w:numId="12">
    <w:abstractNumId w:val="6"/>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0"/>
  <w:displayVerticalDrawingGridEvery w:val="3"/>
  <w:characterSpacingControl w:val="compressPunctuation"/>
  <w:hdrShapeDefaults>
    <o:shapedefaults v:ext="edit" spidmax="2049">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2B3"/>
    <w:rsid w:val="00027DF4"/>
    <w:rsid w:val="000366FC"/>
    <w:rsid w:val="000455E3"/>
    <w:rsid w:val="00050D4E"/>
    <w:rsid w:val="000528DF"/>
    <w:rsid w:val="00052973"/>
    <w:rsid w:val="000546C6"/>
    <w:rsid w:val="000560C4"/>
    <w:rsid w:val="00064653"/>
    <w:rsid w:val="00065710"/>
    <w:rsid w:val="00065E85"/>
    <w:rsid w:val="00077076"/>
    <w:rsid w:val="000931D3"/>
    <w:rsid w:val="000C1D08"/>
    <w:rsid w:val="000D41C2"/>
    <w:rsid w:val="000D52E5"/>
    <w:rsid w:val="000E6E1B"/>
    <w:rsid w:val="00103B0A"/>
    <w:rsid w:val="00106F9E"/>
    <w:rsid w:val="0011417B"/>
    <w:rsid w:val="001144CF"/>
    <w:rsid w:val="00120288"/>
    <w:rsid w:val="001242E7"/>
    <w:rsid w:val="00125B73"/>
    <w:rsid w:val="00133B53"/>
    <w:rsid w:val="001433F0"/>
    <w:rsid w:val="001611B3"/>
    <w:rsid w:val="001705DD"/>
    <w:rsid w:val="00172094"/>
    <w:rsid w:val="00176D24"/>
    <w:rsid w:val="00180444"/>
    <w:rsid w:val="001862FC"/>
    <w:rsid w:val="001929C9"/>
    <w:rsid w:val="001A3341"/>
    <w:rsid w:val="001B02D2"/>
    <w:rsid w:val="001B365E"/>
    <w:rsid w:val="001C50C8"/>
    <w:rsid w:val="001D4F78"/>
    <w:rsid w:val="001E28B3"/>
    <w:rsid w:val="001E7C04"/>
    <w:rsid w:val="00200866"/>
    <w:rsid w:val="00205CB3"/>
    <w:rsid w:val="002112C4"/>
    <w:rsid w:val="00213C92"/>
    <w:rsid w:val="00216F3D"/>
    <w:rsid w:val="002223BB"/>
    <w:rsid w:val="00223286"/>
    <w:rsid w:val="002324A6"/>
    <w:rsid w:val="00243F66"/>
    <w:rsid w:val="00244186"/>
    <w:rsid w:val="00247388"/>
    <w:rsid w:val="00251095"/>
    <w:rsid w:val="00260259"/>
    <w:rsid w:val="00262621"/>
    <w:rsid w:val="00266D43"/>
    <w:rsid w:val="00270D5F"/>
    <w:rsid w:val="00272492"/>
    <w:rsid w:val="00281BCD"/>
    <w:rsid w:val="00284767"/>
    <w:rsid w:val="00284FF5"/>
    <w:rsid w:val="00286EE9"/>
    <w:rsid w:val="0029060F"/>
    <w:rsid w:val="0029113B"/>
    <w:rsid w:val="002A3DC4"/>
    <w:rsid w:val="002B08C0"/>
    <w:rsid w:val="002B0AA8"/>
    <w:rsid w:val="002B48F6"/>
    <w:rsid w:val="002C5A24"/>
    <w:rsid w:val="002D0F79"/>
    <w:rsid w:val="002F18C4"/>
    <w:rsid w:val="002F6869"/>
    <w:rsid w:val="00310BF6"/>
    <w:rsid w:val="003146DF"/>
    <w:rsid w:val="00321E1F"/>
    <w:rsid w:val="00333C52"/>
    <w:rsid w:val="003467E2"/>
    <w:rsid w:val="00361C3A"/>
    <w:rsid w:val="003639B9"/>
    <w:rsid w:val="00365630"/>
    <w:rsid w:val="00376AAA"/>
    <w:rsid w:val="0038045F"/>
    <w:rsid w:val="00382A62"/>
    <w:rsid w:val="00392CC7"/>
    <w:rsid w:val="00396BE4"/>
    <w:rsid w:val="00397099"/>
    <w:rsid w:val="003A7F24"/>
    <w:rsid w:val="003B1FEB"/>
    <w:rsid w:val="003C6294"/>
    <w:rsid w:val="003D04B7"/>
    <w:rsid w:val="003D671D"/>
    <w:rsid w:val="003D744E"/>
    <w:rsid w:val="003E5466"/>
    <w:rsid w:val="003F6654"/>
    <w:rsid w:val="00400B53"/>
    <w:rsid w:val="00410616"/>
    <w:rsid w:val="004238A0"/>
    <w:rsid w:val="00424706"/>
    <w:rsid w:val="004267D6"/>
    <w:rsid w:val="004302FB"/>
    <w:rsid w:val="00454EB1"/>
    <w:rsid w:val="00460D62"/>
    <w:rsid w:val="004655E2"/>
    <w:rsid w:val="00470141"/>
    <w:rsid w:val="0047273C"/>
    <w:rsid w:val="00485B09"/>
    <w:rsid w:val="00486821"/>
    <w:rsid w:val="0049541E"/>
    <w:rsid w:val="004A28D2"/>
    <w:rsid w:val="004B0E47"/>
    <w:rsid w:val="004B6867"/>
    <w:rsid w:val="004D6FB3"/>
    <w:rsid w:val="004D7672"/>
    <w:rsid w:val="004F4075"/>
    <w:rsid w:val="004F69A0"/>
    <w:rsid w:val="004F777A"/>
    <w:rsid w:val="005035E4"/>
    <w:rsid w:val="00507EE5"/>
    <w:rsid w:val="0051287B"/>
    <w:rsid w:val="005213F7"/>
    <w:rsid w:val="00523E02"/>
    <w:rsid w:val="00534725"/>
    <w:rsid w:val="0053728C"/>
    <w:rsid w:val="00542D25"/>
    <w:rsid w:val="00547C5E"/>
    <w:rsid w:val="00553B6B"/>
    <w:rsid w:val="00554544"/>
    <w:rsid w:val="00563823"/>
    <w:rsid w:val="0056533C"/>
    <w:rsid w:val="0056750E"/>
    <w:rsid w:val="00571C9D"/>
    <w:rsid w:val="005728C1"/>
    <w:rsid w:val="00576CE4"/>
    <w:rsid w:val="005825F7"/>
    <w:rsid w:val="005843C7"/>
    <w:rsid w:val="00593E45"/>
    <w:rsid w:val="005A06CA"/>
    <w:rsid w:val="005A08CF"/>
    <w:rsid w:val="005A625E"/>
    <w:rsid w:val="005B19F8"/>
    <w:rsid w:val="005B5B53"/>
    <w:rsid w:val="005C15AC"/>
    <w:rsid w:val="005C327A"/>
    <w:rsid w:val="005C4301"/>
    <w:rsid w:val="005D2E4A"/>
    <w:rsid w:val="005F3716"/>
    <w:rsid w:val="005F4573"/>
    <w:rsid w:val="00610CBC"/>
    <w:rsid w:val="00616ABB"/>
    <w:rsid w:val="006172D0"/>
    <w:rsid w:val="0062157B"/>
    <w:rsid w:val="00622BF3"/>
    <w:rsid w:val="00633470"/>
    <w:rsid w:val="0065303A"/>
    <w:rsid w:val="0066233C"/>
    <w:rsid w:val="00672C37"/>
    <w:rsid w:val="00683899"/>
    <w:rsid w:val="00685A7B"/>
    <w:rsid w:val="00690783"/>
    <w:rsid w:val="00692D00"/>
    <w:rsid w:val="006950FD"/>
    <w:rsid w:val="006A1936"/>
    <w:rsid w:val="006B4627"/>
    <w:rsid w:val="006B7023"/>
    <w:rsid w:val="006C5907"/>
    <w:rsid w:val="006D1312"/>
    <w:rsid w:val="006F14A4"/>
    <w:rsid w:val="006F16B7"/>
    <w:rsid w:val="006F2990"/>
    <w:rsid w:val="00700FF8"/>
    <w:rsid w:val="0070432D"/>
    <w:rsid w:val="0071561B"/>
    <w:rsid w:val="00721194"/>
    <w:rsid w:val="0073705C"/>
    <w:rsid w:val="007437BE"/>
    <w:rsid w:val="00744104"/>
    <w:rsid w:val="00744BF8"/>
    <w:rsid w:val="00760C2D"/>
    <w:rsid w:val="007617C9"/>
    <w:rsid w:val="00763E0D"/>
    <w:rsid w:val="00766CD1"/>
    <w:rsid w:val="0077080D"/>
    <w:rsid w:val="00774478"/>
    <w:rsid w:val="007A69C0"/>
    <w:rsid w:val="007C44B1"/>
    <w:rsid w:val="007D334D"/>
    <w:rsid w:val="007E165F"/>
    <w:rsid w:val="007E7014"/>
    <w:rsid w:val="007F299D"/>
    <w:rsid w:val="007F4154"/>
    <w:rsid w:val="007F4F79"/>
    <w:rsid w:val="007F5C2C"/>
    <w:rsid w:val="008035EE"/>
    <w:rsid w:val="008036F8"/>
    <w:rsid w:val="008102B8"/>
    <w:rsid w:val="00822BBE"/>
    <w:rsid w:val="0082376A"/>
    <w:rsid w:val="008262D1"/>
    <w:rsid w:val="00855E25"/>
    <w:rsid w:val="00856969"/>
    <w:rsid w:val="00874B8A"/>
    <w:rsid w:val="008868DB"/>
    <w:rsid w:val="008872D1"/>
    <w:rsid w:val="00890532"/>
    <w:rsid w:val="008A1467"/>
    <w:rsid w:val="008A1FEC"/>
    <w:rsid w:val="008A238A"/>
    <w:rsid w:val="008B1682"/>
    <w:rsid w:val="008B4C8E"/>
    <w:rsid w:val="008D35AA"/>
    <w:rsid w:val="008E3C76"/>
    <w:rsid w:val="008E5388"/>
    <w:rsid w:val="008F0FA5"/>
    <w:rsid w:val="008F4BFE"/>
    <w:rsid w:val="00900835"/>
    <w:rsid w:val="009159D5"/>
    <w:rsid w:val="00930A61"/>
    <w:rsid w:val="00931F35"/>
    <w:rsid w:val="00952957"/>
    <w:rsid w:val="00954D48"/>
    <w:rsid w:val="009568B7"/>
    <w:rsid w:val="00975A96"/>
    <w:rsid w:val="009830F4"/>
    <w:rsid w:val="00986392"/>
    <w:rsid w:val="00987C2A"/>
    <w:rsid w:val="009943DA"/>
    <w:rsid w:val="009956A2"/>
    <w:rsid w:val="00996973"/>
    <w:rsid w:val="009A262B"/>
    <w:rsid w:val="009A3326"/>
    <w:rsid w:val="009B434B"/>
    <w:rsid w:val="009C2811"/>
    <w:rsid w:val="009C4831"/>
    <w:rsid w:val="009D04A5"/>
    <w:rsid w:val="009E35FF"/>
    <w:rsid w:val="009F1A75"/>
    <w:rsid w:val="009F3028"/>
    <w:rsid w:val="009F5270"/>
    <w:rsid w:val="00A02892"/>
    <w:rsid w:val="00A17692"/>
    <w:rsid w:val="00A20041"/>
    <w:rsid w:val="00A32C33"/>
    <w:rsid w:val="00A414D6"/>
    <w:rsid w:val="00A44632"/>
    <w:rsid w:val="00A54135"/>
    <w:rsid w:val="00A54AE1"/>
    <w:rsid w:val="00A617AE"/>
    <w:rsid w:val="00A61C30"/>
    <w:rsid w:val="00A678A4"/>
    <w:rsid w:val="00A70C4A"/>
    <w:rsid w:val="00A7172A"/>
    <w:rsid w:val="00A73E4B"/>
    <w:rsid w:val="00A80B87"/>
    <w:rsid w:val="00A82B0F"/>
    <w:rsid w:val="00A90614"/>
    <w:rsid w:val="00A96803"/>
    <w:rsid w:val="00AA21AE"/>
    <w:rsid w:val="00AB3615"/>
    <w:rsid w:val="00AB3BDE"/>
    <w:rsid w:val="00AC47FE"/>
    <w:rsid w:val="00AC64D7"/>
    <w:rsid w:val="00AD632A"/>
    <w:rsid w:val="00AE37C2"/>
    <w:rsid w:val="00B00476"/>
    <w:rsid w:val="00B030F9"/>
    <w:rsid w:val="00B1160F"/>
    <w:rsid w:val="00B233CB"/>
    <w:rsid w:val="00B26577"/>
    <w:rsid w:val="00B3305D"/>
    <w:rsid w:val="00B45D8D"/>
    <w:rsid w:val="00B47106"/>
    <w:rsid w:val="00B47E09"/>
    <w:rsid w:val="00B52661"/>
    <w:rsid w:val="00B577E4"/>
    <w:rsid w:val="00B651A1"/>
    <w:rsid w:val="00B70FA5"/>
    <w:rsid w:val="00B737D7"/>
    <w:rsid w:val="00B77B21"/>
    <w:rsid w:val="00B82101"/>
    <w:rsid w:val="00B82192"/>
    <w:rsid w:val="00B857A2"/>
    <w:rsid w:val="00B90BF9"/>
    <w:rsid w:val="00B922B0"/>
    <w:rsid w:val="00B97B22"/>
    <w:rsid w:val="00BA7D84"/>
    <w:rsid w:val="00BB3ABF"/>
    <w:rsid w:val="00BC4FEC"/>
    <w:rsid w:val="00BD1F3E"/>
    <w:rsid w:val="00BD6029"/>
    <w:rsid w:val="00BF0E5C"/>
    <w:rsid w:val="00C0541C"/>
    <w:rsid w:val="00C0636B"/>
    <w:rsid w:val="00C1155F"/>
    <w:rsid w:val="00C26E97"/>
    <w:rsid w:val="00C33A67"/>
    <w:rsid w:val="00C40F61"/>
    <w:rsid w:val="00C41125"/>
    <w:rsid w:val="00C478D2"/>
    <w:rsid w:val="00C547E0"/>
    <w:rsid w:val="00C72D10"/>
    <w:rsid w:val="00C73E3F"/>
    <w:rsid w:val="00C7485A"/>
    <w:rsid w:val="00C82344"/>
    <w:rsid w:val="00C842D3"/>
    <w:rsid w:val="00C865BE"/>
    <w:rsid w:val="00CA4C4D"/>
    <w:rsid w:val="00CA7B4D"/>
    <w:rsid w:val="00CB70E8"/>
    <w:rsid w:val="00CC01A9"/>
    <w:rsid w:val="00CC2C3D"/>
    <w:rsid w:val="00CD0D04"/>
    <w:rsid w:val="00CE65F5"/>
    <w:rsid w:val="00CE7284"/>
    <w:rsid w:val="00CF1C19"/>
    <w:rsid w:val="00CF2989"/>
    <w:rsid w:val="00CF6761"/>
    <w:rsid w:val="00D0181A"/>
    <w:rsid w:val="00D022F4"/>
    <w:rsid w:val="00D04718"/>
    <w:rsid w:val="00D077EC"/>
    <w:rsid w:val="00D07DF0"/>
    <w:rsid w:val="00D229D5"/>
    <w:rsid w:val="00D26B01"/>
    <w:rsid w:val="00D403F7"/>
    <w:rsid w:val="00D606DC"/>
    <w:rsid w:val="00D7675C"/>
    <w:rsid w:val="00D778A3"/>
    <w:rsid w:val="00D85FCB"/>
    <w:rsid w:val="00D8784C"/>
    <w:rsid w:val="00D92989"/>
    <w:rsid w:val="00DA10C2"/>
    <w:rsid w:val="00DB0C2A"/>
    <w:rsid w:val="00DB7E93"/>
    <w:rsid w:val="00DC27AD"/>
    <w:rsid w:val="00DC4635"/>
    <w:rsid w:val="00DC6D74"/>
    <w:rsid w:val="00DD015D"/>
    <w:rsid w:val="00DD01D1"/>
    <w:rsid w:val="00DD2FF1"/>
    <w:rsid w:val="00DE6958"/>
    <w:rsid w:val="00DF23A1"/>
    <w:rsid w:val="00E07E44"/>
    <w:rsid w:val="00E1533A"/>
    <w:rsid w:val="00E24C21"/>
    <w:rsid w:val="00E349B9"/>
    <w:rsid w:val="00E45F29"/>
    <w:rsid w:val="00E506BF"/>
    <w:rsid w:val="00E673F7"/>
    <w:rsid w:val="00E67EB5"/>
    <w:rsid w:val="00E70B5E"/>
    <w:rsid w:val="00E80D0D"/>
    <w:rsid w:val="00E90D13"/>
    <w:rsid w:val="00E969DD"/>
    <w:rsid w:val="00E96C22"/>
    <w:rsid w:val="00EA1D6D"/>
    <w:rsid w:val="00EA638C"/>
    <w:rsid w:val="00EA7AB0"/>
    <w:rsid w:val="00EE677D"/>
    <w:rsid w:val="00EE7257"/>
    <w:rsid w:val="00EE7274"/>
    <w:rsid w:val="00EF013D"/>
    <w:rsid w:val="00EF0484"/>
    <w:rsid w:val="00F028FB"/>
    <w:rsid w:val="00F10FFD"/>
    <w:rsid w:val="00F17EE6"/>
    <w:rsid w:val="00F236F4"/>
    <w:rsid w:val="00F403B2"/>
    <w:rsid w:val="00F43733"/>
    <w:rsid w:val="00F4691A"/>
    <w:rsid w:val="00F52615"/>
    <w:rsid w:val="00F571F1"/>
    <w:rsid w:val="00F6290D"/>
    <w:rsid w:val="00F705C5"/>
    <w:rsid w:val="00F80AD9"/>
    <w:rsid w:val="00F8526A"/>
    <w:rsid w:val="00F852B3"/>
    <w:rsid w:val="00F85361"/>
    <w:rsid w:val="00F94D27"/>
    <w:rsid w:val="00F950CA"/>
    <w:rsid w:val="00FB1974"/>
    <w:rsid w:val="00FB3CD0"/>
    <w:rsid w:val="00FC230E"/>
    <w:rsid w:val="00FC36F7"/>
    <w:rsid w:val="00FC4265"/>
    <w:rsid w:val="00FD3695"/>
    <w:rsid w:val="00FD7FE9"/>
    <w:rsid w:val="00FE5235"/>
    <w:rsid w:val="00FF3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1472928"/>
  <w15:docId w15:val="{A7B80045-9A08-4CDA-AB8E-E52D9A50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hr-HR" w:eastAsia="hr-H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030F9"/>
    <w:pPr>
      <w:autoSpaceDE w:val="0"/>
      <w:autoSpaceDN w:val="0"/>
      <w:ind w:firstLine="340"/>
      <w:jc w:val="both"/>
    </w:pPr>
    <w:rPr>
      <w:sz w:val="24"/>
      <w:szCs w:val="24"/>
      <w:lang w:val="en-GB" w:eastAsia="en-US"/>
    </w:rPr>
  </w:style>
  <w:style w:type="paragraph" w:styleId="Heading1">
    <w:name w:val="heading 1"/>
    <w:basedOn w:val="Normal"/>
    <w:next w:val="Normal"/>
    <w:qFormat/>
    <w:rsid w:val="00DC27AD"/>
    <w:pPr>
      <w:keepNext/>
      <w:keepLines/>
      <w:spacing w:before="480" w:after="240"/>
      <w:jc w:val="center"/>
      <w:outlineLvl w:val="0"/>
    </w:pPr>
    <w:rPr>
      <w:b/>
      <w:bCs/>
      <w:sz w:val="28"/>
      <w:szCs w:val="28"/>
    </w:rPr>
  </w:style>
  <w:style w:type="paragraph" w:styleId="Heading2">
    <w:name w:val="heading 2"/>
    <w:basedOn w:val="Normal"/>
    <w:next w:val="Normal"/>
    <w:qFormat/>
    <w:rsid w:val="00205CB3"/>
    <w:pPr>
      <w:keepNext/>
      <w:keepLines/>
      <w:spacing w:before="240" w:after="120"/>
      <w:ind w:firstLine="0"/>
      <w:jc w:val="left"/>
      <w:outlineLvl w:val="1"/>
    </w:pPr>
    <w:rPr>
      <w:b/>
      <w:bCs/>
    </w:rPr>
  </w:style>
  <w:style w:type="paragraph" w:styleId="Heading3">
    <w:name w:val="heading 3"/>
    <w:basedOn w:val="Normal"/>
    <w:next w:val="Normal"/>
    <w:qFormat/>
    <w:rsid w:val="00205CB3"/>
    <w:pPr>
      <w:keepNext/>
      <w:spacing w:before="240" w:after="60"/>
      <w:ind w:firstLine="113"/>
      <w:jc w:val="left"/>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27AD"/>
    <w:rPr>
      <w:color w:val="0000FF"/>
      <w:u w:val="single"/>
    </w:rPr>
  </w:style>
  <w:style w:type="character" w:styleId="FollowedHyperlink">
    <w:name w:val="FollowedHyperlink"/>
    <w:rsid w:val="00DC27AD"/>
    <w:rPr>
      <w:color w:val="800080"/>
      <w:u w:val="single"/>
    </w:rPr>
  </w:style>
  <w:style w:type="paragraph" w:styleId="FootnoteText">
    <w:name w:val="footnote text"/>
    <w:basedOn w:val="Normal"/>
    <w:link w:val="FootnoteTextChar"/>
    <w:semiHidden/>
    <w:rsid w:val="00DC27AD"/>
    <w:rPr>
      <w:sz w:val="20"/>
      <w:szCs w:val="20"/>
    </w:rPr>
  </w:style>
  <w:style w:type="character" w:styleId="FootnoteReference">
    <w:name w:val="footnote reference"/>
    <w:semiHidden/>
    <w:rsid w:val="00DC27AD"/>
    <w:rPr>
      <w:vertAlign w:val="superscript"/>
    </w:rPr>
  </w:style>
  <w:style w:type="character" w:styleId="Strong">
    <w:name w:val="Strong"/>
    <w:qFormat/>
    <w:rsid w:val="00DC27AD"/>
    <w:rPr>
      <w:b/>
      <w:bCs/>
    </w:rPr>
  </w:style>
  <w:style w:type="paragraph" w:customStyle="1" w:styleId="reference">
    <w:name w:val="reference"/>
    <w:basedOn w:val="Normal"/>
    <w:rsid w:val="00DC27AD"/>
    <w:pPr>
      <w:numPr>
        <w:numId w:val="7"/>
      </w:numPr>
      <w:tabs>
        <w:tab w:val="left" w:pos="-437"/>
        <w:tab w:val="num" w:pos="284"/>
      </w:tabs>
      <w:suppressAutoHyphens/>
      <w:ind w:left="284" w:hanging="295"/>
    </w:pPr>
    <w:rPr>
      <w:spacing w:val="-3"/>
    </w:rPr>
  </w:style>
  <w:style w:type="paragraph" w:customStyle="1" w:styleId="Equation">
    <w:name w:val="Equation"/>
    <w:basedOn w:val="Normal"/>
    <w:rsid w:val="00DC27AD"/>
    <w:pPr>
      <w:tabs>
        <w:tab w:val="left" w:pos="-720"/>
        <w:tab w:val="right" w:pos="8931"/>
      </w:tabs>
      <w:suppressAutoHyphens/>
    </w:pPr>
  </w:style>
  <w:style w:type="paragraph" w:styleId="Header">
    <w:name w:val="header"/>
    <w:basedOn w:val="Normal"/>
    <w:link w:val="HeaderChar"/>
    <w:rsid w:val="00D077EC"/>
    <w:pPr>
      <w:tabs>
        <w:tab w:val="center" w:pos="4536"/>
        <w:tab w:val="right" w:pos="9072"/>
      </w:tabs>
    </w:pPr>
  </w:style>
  <w:style w:type="character" w:customStyle="1" w:styleId="HeaderChar">
    <w:name w:val="Header Char"/>
    <w:link w:val="Header"/>
    <w:rsid w:val="00D077EC"/>
    <w:rPr>
      <w:sz w:val="24"/>
      <w:szCs w:val="24"/>
      <w:lang w:val="en-GB" w:eastAsia="en-US"/>
    </w:rPr>
  </w:style>
  <w:style w:type="paragraph" w:styleId="Footer">
    <w:name w:val="footer"/>
    <w:basedOn w:val="Normal"/>
    <w:link w:val="FooterChar"/>
    <w:rsid w:val="00D077EC"/>
    <w:pPr>
      <w:tabs>
        <w:tab w:val="center" w:pos="4536"/>
        <w:tab w:val="right" w:pos="9072"/>
      </w:tabs>
    </w:pPr>
  </w:style>
  <w:style w:type="character" w:customStyle="1" w:styleId="FooterChar">
    <w:name w:val="Footer Char"/>
    <w:link w:val="Footer"/>
    <w:rsid w:val="00D077EC"/>
    <w:rPr>
      <w:sz w:val="24"/>
      <w:szCs w:val="24"/>
      <w:lang w:val="en-GB" w:eastAsia="en-US"/>
    </w:rPr>
  </w:style>
  <w:style w:type="table" w:styleId="TableGrid">
    <w:name w:val="Table Grid"/>
    <w:basedOn w:val="TableNormal"/>
    <w:rsid w:val="00E70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7675C"/>
    <w:rPr>
      <w:sz w:val="16"/>
      <w:szCs w:val="16"/>
    </w:rPr>
  </w:style>
  <w:style w:type="paragraph" w:styleId="CommentText">
    <w:name w:val="annotation text"/>
    <w:basedOn w:val="Normal"/>
    <w:link w:val="CommentTextChar"/>
    <w:rsid w:val="00D7675C"/>
    <w:rPr>
      <w:sz w:val="20"/>
      <w:szCs w:val="20"/>
    </w:rPr>
  </w:style>
  <w:style w:type="character" w:customStyle="1" w:styleId="CommentTextChar">
    <w:name w:val="Comment Text Char"/>
    <w:link w:val="CommentText"/>
    <w:rsid w:val="00D7675C"/>
    <w:rPr>
      <w:lang w:val="en-GB" w:eastAsia="en-US"/>
    </w:rPr>
  </w:style>
  <w:style w:type="paragraph" w:styleId="CommentSubject">
    <w:name w:val="annotation subject"/>
    <w:basedOn w:val="CommentText"/>
    <w:next w:val="CommentText"/>
    <w:link w:val="CommentSubjectChar"/>
    <w:rsid w:val="00D7675C"/>
    <w:rPr>
      <w:b/>
      <w:bCs/>
    </w:rPr>
  </w:style>
  <w:style w:type="character" w:customStyle="1" w:styleId="CommentSubjectChar">
    <w:name w:val="Comment Subject Char"/>
    <w:link w:val="CommentSubject"/>
    <w:rsid w:val="00D7675C"/>
    <w:rPr>
      <w:b/>
      <w:bCs/>
      <w:lang w:val="en-GB" w:eastAsia="en-US"/>
    </w:rPr>
  </w:style>
  <w:style w:type="paragraph" w:styleId="BalloonText">
    <w:name w:val="Balloon Text"/>
    <w:basedOn w:val="Normal"/>
    <w:link w:val="BalloonTextChar"/>
    <w:rsid w:val="00D7675C"/>
    <w:rPr>
      <w:rFonts w:ascii="Tahoma" w:hAnsi="Tahoma" w:cs="Tahoma"/>
      <w:sz w:val="16"/>
      <w:szCs w:val="16"/>
    </w:rPr>
  </w:style>
  <w:style w:type="character" w:customStyle="1" w:styleId="BalloonTextChar">
    <w:name w:val="Balloon Text Char"/>
    <w:link w:val="BalloonText"/>
    <w:rsid w:val="00D7675C"/>
    <w:rPr>
      <w:rFonts w:ascii="Tahoma" w:hAnsi="Tahoma" w:cs="Tahoma"/>
      <w:sz w:val="16"/>
      <w:szCs w:val="16"/>
      <w:lang w:val="en-GB" w:eastAsia="en-US"/>
    </w:rPr>
  </w:style>
  <w:style w:type="paragraph" w:styleId="Revision">
    <w:name w:val="Revision"/>
    <w:hidden/>
    <w:uiPriority w:val="99"/>
    <w:semiHidden/>
    <w:rsid w:val="0029060F"/>
    <w:rPr>
      <w:sz w:val="24"/>
      <w:szCs w:val="24"/>
      <w:lang w:val="en-GB" w:eastAsia="en-US"/>
    </w:rPr>
  </w:style>
  <w:style w:type="character" w:customStyle="1" w:styleId="FootnoteTextChar">
    <w:name w:val="Footnote Text Char"/>
    <w:basedOn w:val="DefaultParagraphFont"/>
    <w:link w:val="FootnoteText"/>
    <w:semiHidden/>
    <w:rsid w:val="002F18C4"/>
    <w:rPr>
      <w:lang w:val="en-GB" w:eastAsia="en-US"/>
    </w:rPr>
  </w:style>
  <w:style w:type="character" w:customStyle="1" w:styleId="url">
    <w:name w:val="url"/>
    <w:rsid w:val="00133B53"/>
  </w:style>
  <w:style w:type="paragraph" w:styleId="NormalWeb">
    <w:name w:val="Normal (Web)"/>
    <w:basedOn w:val="Normal"/>
    <w:uiPriority w:val="99"/>
    <w:semiHidden/>
    <w:unhideWhenUsed/>
    <w:rsid w:val="008E5388"/>
    <w:pPr>
      <w:autoSpaceDE/>
      <w:autoSpaceDN/>
      <w:spacing w:before="100" w:beforeAutospacing="1" w:after="100" w:afterAutospacing="1"/>
      <w:ind w:firstLine="0"/>
      <w:jc w:val="left"/>
    </w:pPr>
    <w:rPr>
      <w:rFonts w:eastAsiaTheme="minorEastAsia"/>
      <w:lang w:val="en-US"/>
    </w:rPr>
  </w:style>
  <w:style w:type="character" w:customStyle="1" w:styleId="apple-converted-space">
    <w:name w:val="apple-converted-space"/>
    <w:rsid w:val="009F1A75"/>
  </w:style>
  <w:style w:type="paragraph" w:customStyle="1" w:styleId="EndNoteBibliographyTitle">
    <w:name w:val="EndNote Bibliography Title"/>
    <w:basedOn w:val="Normal"/>
    <w:link w:val="EndNoteBibliographyTitleChar"/>
    <w:rsid w:val="009F1A75"/>
    <w:pPr>
      <w:jc w:val="center"/>
    </w:pPr>
    <w:rPr>
      <w:noProof/>
      <w:lang w:val="en-US"/>
    </w:rPr>
  </w:style>
  <w:style w:type="character" w:customStyle="1" w:styleId="EndNoteBibliographyTitleChar">
    <w:name w:val="EndNote Bibliography Title Char"/>
    <w:basedOn w:val="DefaultParagraphFont"/>
    <w:link w:val="EndNoteBibliographyTitle"/>
    <w:rsid w:val="009F1A75"/>
    <w:rPr>
      <w:noProof/>
      <w:sz w:val="24"/>
      <w:szCs w:val="24"/>
      <w:lang w:val="en-US" w:eastAsia="en-US"/>
    </w:rPr>
  </w:style>
  <w:style w:type="paragraph" w:customStyle="1" w:styleId="EndNoteBibliography">
    <w:name w:val="EndNote Bibliography"/>
    <w:basedOn w:val="Normal"/>
    <w:link w:val="EndNoteBibliographyChar"/>
    <w:rsid w:val="009F1A75"/>
    <w:rPr>
      <w:noProof/>
      <w:lang w:val="en-US"/>
    </w:rPr>
  </w:style>
  <w:style w:type="character" w:customStyle="1" w:styleId="EndNoteBibliographyChar">
    <w:name w:val="EndNote Bibliography Char"/>
    <w:basedOn w:val="DefaultParagraphFont"/>
    <w:link w:val="EndNoteBibliography"/>
    <w:rsid w:val="009F1A75"/>
    <w:rPr>
      <w:noProof/>
      <w:sz w:val="24"/>
      <w:szCs w:val="24"/>
      <w:lang w:val="en-US" w:eastAsia="en-US"/>
    </w:rPr>
  </w:style>
  <w:style w:type="paragraph" w:styleId="ListParagraph">
    <w:name w:val="List Paragraph"/>
    <w:basedOn w:val="Normal"/>
    <w:uiPriority w:val="34"/>
    <w:qFormat/>
    <w:rsid w:val="009F1A75"/>
    <w:pPr>
      <w:autoSpaceDE/>
      <w:autoSpaceDN/>
      <w:spacing w:after="160" w:line="256" w:lineRule="auto"/>
      <w:ind w:left="720" w:firstLine="0"/>
      <w:contextualSpacing/>
      <w:jc w:val="left"/>
    </w:pPr>
    <w:rPr>
      <w:rFonts w:ascii="Calibri" w:eastAsia="Calibri" w:hAnsi="Calibri"/>
      <w:sz w:val="22"/>
      <w:szCs w:val="22"/>
      <w:lang w:val="es-MX"/>
    </w:rPr>
  </w:style>
  <w:style w:type="character" w:styleId="PlaceholderText">
    <w:name w:val="Placeholder Text"/>
    <w:basedOn w:val="DefaultParagraphFont"/>
    <w:uiPriority w:val="99"/>
    <w:semiHidden/>
    <w:rsid w:val="000455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9460">
      <w:bodyDiv w:val="1"/>
      <w:marLeft w:val="0"/>
      <w:marRight w:val="0"/>
      <w:marTop w:val="0"/>
      <w:marBottom w:val="0"/>
      <w:divBdr>
        <w:top w:val="none" w:sz="0" w:space="0" w:color="auto"/>
        <w:left w:val="none" w:sz="0" w:space="0" w:color="auto"/>
        <w:bottom w:val="none" w:sz="0" w:space="0" w:color="auto"/>
        <w:right w:val="none" w:sz="0" w:space="0" w:color="auto"/>
      </w:divBdr>
    </w:div>
    <w:div w:id="1897426306">
      <w:bodyDiv w:val="1"/>
      <w:marLeft w:val="0"/>
      <w:marRight w:val="0"/>
      <w:marTop w:val="0"/>
      <w:marBottom w:val="0"/>
      <w:divBdr>
        <w:top w:val="none" w:sz="0" w:space="0" w:color="auto"/>
        <w:left w:val="none" w:sz="0" w:space="0" w:color="auto"/>
        <w:bottom w:val="none" w:sz="0" w:space="0" w:color="auto"/>
        <w:right w:val="none" w:sz="0" w:space="0" w:color="auto"/>
      </w:divBdr>
    </w:div>
    <w:div w:id="209940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B978-0-12-802070-8.00013-X" TargetMode="External"/><Relationship Id="rId21" Type="http://schemas.openxmlformats.org/officeDocument/2006/relationships/image" Target="media/image12.png"/><Relationship Id="rId34" Type="http://schemas.openxmlformats.org/officeDocument/2006/relationships/hyperlink" Target="https://doi.org/10.1016/j.jpolmod.2016.10.001" TargetMode="External"/><Relationship Id="rId42" Type="http://schemas.openxmlformats.org/officeDocument/2006/relationships/hyperlink" Target="https://doi.org/10.1016/S0167-8809(97)00048-0" TargetMode="External"/><Relationship Id="rId47" Type="http://schemas.openxmlformats.org/officeDocument/2006/relationships/hyperlink" Target="https://doi.org/10.1016/j.landusepol.2017.03.037" TargetMode="External"/><Relationship Id="rId50" Type="http://schemas.openxmlformats.org/officeDocument/2006/relationships/hyperlink" Target="https://doi.org/10.1111/gcb.13153" TargetMode="External"/><Relationship Id="rId55" Type="http://schemas.openxmlformats.org/officeDocument/2006/relationships/hyperlink" Target="https://doi.org/10.1016/j.rser.2016.11.104"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016/0167-5826(84)90002-0" TargetMode="External"/><Relationship Id="rId11" Type="http://schemas.openxmlformats.org/officeDocument/2006/relationships/image" Target="media/image2.png"/><Relationship Id="rId24" Type="http://schemas.openxmlformats.org/officeDocument/2006/relationships/hyperlink" Target="https://doi.org/10.1016/j.renene.2009.02.025" TargetMode="External"/><Relationship Id="rId32" Type="http://schemas.openxmlformats.org/officeDocument/2006/relationships/hyperlink" Target="https://doi.org/10.1142/S2010007814500031" TargetMode="External"/><Relationship Id="rId37" Type="http://schemas.openxmlformats.org/officeDocument/2006/relationships/hyperlink" Target="https://doi.org/10.1016/j.apenergy.2016.06.039" TargetMode="External"/><Relationship Id="rId40" Type="http://schemas.openxmlformats.org/officeDocument/2006/relationships/hyperlink" Target="https://doi.org/10.1371/journal.pone.0139201" TargetMode="External"/><Relationship Id="rId45" Type="http://schemas.openxmlformats.org/officeDocument/2006/relationships/hyperlink" Target="https://doi.org/10.13044/j.sdewes.d6.0229" TargetMode="External"/><Relationship Id="rId53" Type="http://schemas.openxmlformats.org/officeDocument/2006/relationships/hyperlink" Target="https://doi.org/10.1021/es101946t" TargetMode="External"/><Relationship Id="rId58" Type="http://schemas.openxmlformats.org/officeDocument/2006/relationships/hyperlink" Target="https://doi.org/10.1016/j.gloenvcha.2016.06.004" TargetMode="Externa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doi.org/10.3390/en20100001" TargetMode="External"/><Relationship Id="rId30" Type="http://schemas.openxmlformats.org/officeDocument/2006/relationships/hyperlink" Target="https://doi.org/10.1016/j.agsy.2016.05.014" TargetMode="External"/><Relationship Id="rId35" Type="http://schemas.openxmlformats.org/officeDocument/2006/relationships/hyperlink" Target="https://doi.org/10.1016/j.energy.2016.10.099" TargetMode="External"/><Relationship Id="rId43" Type="http://schemas.openxmlformats.org/officeDocument/2006/relationships/hyperlink" Target="https://doi.org/10.13044/j.sdewes.2013.01.0018" TargetMode="External"/><Relationship Id="rId48" Type="http://schemas.openxmlformats.org/officeDocument/2006/relationships/hyperlink" Target="https://doi.org/10.1007/s10021-001-0069-1" TargetMode="External"/><Relationship Id="rId56" Type="http://schemas.openxmlformats.org/officeDocument/2006/relationships/hyperlink" Target="https://doi.org/10.26889/9781784670047" TargetMode="External"/><Relationship Id="rId64" Type="http://schemas.openxmlformats.org/officeDocument/2006/relationships/fontTable" Target="fontTable.xml"/><Relationship Id="rId8" Type="http://schemas.openxmlformats.org/officeDocument/2006/relationships/hyperlink" Target="mailto:i.garcia-kerdan@imperial.ac.uk" TargetMode="External"/><Relationship Id="rId51" Type="http://schemas.openxmlformats.org/officeDocument/2006/relationships/hyperlink" Target="https://doi.org/10.1016/j.enpol.2017.05.037"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098/rstb.2010.0164" TargetMode="External"/><Relationship Id="rId33" Type="http://schemas.openxmlformats.org/officeDocument/2006/relationships/hyperlink" Target="https://doi.org/10.1016/j.envsoft.2013.05.007" TargetMode="External"/><Relationship Id="rId38" Type="http://schemas.openxmlformats.org/officeDocument/2006/relationships/hyperlink" Target="https://doi.org/10.1126/science.1168475" TargetMode="External"/><Relationship Id="rId46" Type="http://schemas.openxmlformats.org/officeDocument/2006/relationships/hyperlink" Target="https://doi.org/10.13044/j.sdewes.2013.01.0003" TargetMode="External"/><Relationship Id="rId59" Type="http://schemas.openxmlformats.org/officeDocument/2006/relationships/hyperlink" Target="https://doi.org/10.1016/j.eiar.2015.05.006" TargetMode="External"/><Relationship Id="rId20" Type="http://schemas.openxmlformats.org/officeDocument/2006/relationships/image" Target="media/image11.png"/><Relationship Id="rId41" Type="http://schemas.openxmlformats.org/officeDocument/2006/relationships/hyperlink" Target="https://doi.org/10.1016/S0026-0576(07)80208-X" TargetMode="External"/><Relationship Id="rId54" Type="http://schemas.openxmlformats.org/officeDocument/2006/relationships/hyperlink" Target="https://doi.org/10.1016/j.apenergy.2017.05.061" TargetMode="Externa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98/rstb.2010.0172" TargetMode="External"/><Relationship Id="rId28" Type="http://schemas.openxmlformats.org/officeDocument/2006/relationships/hyperlink" Target="https://doi.org/10.1016/j.enpol.2008.03.030" TargetMode="External"/><Relationship Id="rId36" Type="http://schemas.openxmlformats.org/officeDocument/2006/relationships/hyperlink" Target="https://doi.org/10.13044/j.sdewes.2015.03.0016" TargetMode="External"/><Relationship Id="rId49" Type="http://schemas.openxmlformats.org/officeDocument/2006/relationships/hyperlink" Target="https://doi.org/10.1126/science.1217962" TargetMode="External"/><Relationship Id="rId57" Type="http://schemas.openxmlformats.org/officeDocument/2006/relationships/hyperlink" Target="https://doi.org/10.1038/s41558-018-0213-y" TargetMode="External"/><Relationship Id="rId10" Type="http://schemas.openxmlformats.org/officeDocument/2006/relationships/image" Target="media/image1.png"/><Relationship Id="rId31" Type="http://schemas.openxmlformats.org/officeDocument/2006/relationships/hyperlink" Target="https://doi.org/10.5194/gmd-2018-295" TargetMode="External"/><Relationship Id="rId44" Type="http://schemas.openxmlformats.org/officeDocument/2006/relationships/hyperlink" Target="https://doi.org/10.13044/j.sdewes.d5.0169" TargetMode="External"/><Relationship Id="rId52" Type="http://schemas.openxmlformats.org/officeDocument/2006/relationships/hyperlink" Target="https://doi.org/10.1016/j.apenergy.2015.04.097" TargetMode="External"/><Relationship Id="rId60" Type="http://schemas.openxmlformats.org/officeDocument/2006/relationships/image" Target="media/image1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hawkes@imperial.ac.uk"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yperlink" Target="https://doi.org/10.1016/j.jclepro.2019.05.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SECitSeqEgy.XSL" StyleName="CSE - Citation Sequence - EGY"/>
</file>

<file path=customXml/itemProps1.xml><?xml version="1.0" encoding="utf-8"?>
<ds:datastoreItem xmlns:ds="http://schemas.openxmlformats.org/officeDocument/2006/customXml" ds:itemID="{7FF42884-BD7B-4453-9B91-807550C0F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10828</Words>
  <Characters>61726</Characters>
  <Application>Microsoft Office Word</Application>
  <DocSecurity>0</DocSecurity>
  <Lines>514</Lines>
  <Paragraphs>144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Insert the title here</vt:lpstr>
      <vt:lpstr>Insert the title here</vt:lpstr>
    </vt:vector>
  </TitlesOfParts>
  <Company>Grizli777</Company>
  <LinksUpToDate>false</LinksUpToDate>
  <CharactersWithSpaces>72410</CharactersWithSpaces>
  <SharedDoc>false</SharedDoc>
  <HLinks>
    <vt:vector size="12" baseType="variant">
      <vt:variant>
        <vt:i4>2359395</vt:i4>
      </vt:variant>
      <vt:variant>
        <vt:i4>9</vt:i4>
      </vt:variant>
      <vt:variant>
        <vt:i4>0</vt:i4>
      </vt:variant>
      <vt:variant>
        <vt:i4>5</vt:i4>
      </vt:variant>
      <vt:variant>
        <vt:lpwstr>http://www.sdewes.org/journals.php</vt:lpwstr>
      </vt:variant>
      <vt:variant>
        <vt:lpwstr/>
      </vt:variant>
      <vt:variant>
        <vt:i4>4325476</vt:i4>
      </vt:variant>
      <vt:variant>
        <vt:i4>0</vt:i4>
      </vt:variant>
      <vt:variant>
        <vt:i4>0</vt:i4>
      </vt:variant>
      <vt:variant>
        <vt:i4>5</vt:i4>
      </vt:variant>
      <vt:variant>
        <vt:lpwstr>mailto:e@mail.com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the title here</dc:title>
  <dc:creator>aw</dc:creator>
  <cp:lastModifiedBy>Garcia Kerdan, Ivan</cp:lastModifiedBy>
  <cp:revision>3</cp:revision>
  <cp:lastPrinted>2016-11-14T10:13:00Z</cp:lastPrinted>
  <dcterms:created xsi:type="dcterms:W3CDTF">2020-04-14T09:49:00Z</dcterms:created>
  <dcterms:modified xsi:type="dcterms:W3CDTF">2020-04-14T09:50:00Z</dcterms:modified>
</cp:coreProperties>
</file>