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BEF4" w14:textId="5C610077" w:rsidR="00C91607" w:rsidRDefault="006C44FD" w:rsidP="008926AB">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Research Article</w:t>
      </w:r>
    </w:p>
    <w:p w14:paraId="047144F8" w14:textId="77777777" w:rsidR="008379CF" w:rsidRDefault="008379CF" w:rsidP="008926AB">
      <w:pPr>
        <w:rPr>
          <w:rFonts w:ascii="Times New Roman" w:hAnsi="Times New Roman" w:cs="Times New Roman"/>
          <w:b/>
          <w:sz w:val="28"/>
          <w:szCs w:val="28"/>
        </w:rPr>
      </w:pPr>
    </w:p>
    <w:p w14:paraId="4B720CFD" w14:textId="2823E768" w:rsidR="00A40581" w:rsidRPr="001E5C4F" w:rsidRDefault="00F718E0" w:rsidP="008926AB">
      <w:pPr>
        <w:rPr>
          <w:rFonts w:ascii="Times New Roman" w:hAnsi="Times New Roman" w:cs="Times New Roman"/>
          <w:b/>
          <w:sz w:val="28"/>
          <w:szCs w:val="28"/>
        </w:rPr>
      </w:pPr>
      <w:r w:rsidRPr="001E5C4F">
        <w:rPr>
          <w:rFonts w:ascii="Times New Roman" w:hAnsi="Times New Roman" w:cs="Times New Roman"/>
          <w:b/>
          <w:sz w:val="28"/>
          <w:szCs w:val="28"/>
        </w:rPr>
        <w:t>Health inequalities: embodied evidence across biological layers</w:t>
      </w:r>
      <w:r w:rsidRPr="001E5C4F" w:rsidDel="00F718E0">
        <w:rPr>
          <w:rFonts w:ascii="Times New Roman" w:hAnsi="Times New Roman" w:cs="Times New Roman"/>
          <w:b/>
          <w:sz w:val="28"/>
          <w:szCs w:val="28"/>
        </w:rPr>
        <w:t xml:space="preserve"> </w:t>
      </w:r>
    </w:p>
    <w:p w14:paraId="5EFC7ACA" w14:textId="77777777" w:rsidR="008926AB" w:rsidRPr="00820343" w:rsidRDefault="008926AB" w:rsidP="0086535B">
      <w:pPr>
        <w:spacing w:line="360" w:lineRule="auto"/>
        <w:jc w:val="both"/>
        <w:rPr>
          <w:rFonts w:ascii="Times New Roman" w:hAnsi="Times New Roman" w:cs="Times New Roman"/>
          <w:sz w:val="24"/>
          <w:szCs w:val="24"/>
        </w:rPr>
      </w:pPr>
    </w:p>
    <w:p w14:paraId="71692478" w14:textId="3442ADCC" w:rsidR="00A40581" w:rsidRPr="00F34645" w:rsidRDefault="00A40581" w:rsidP="0086535B">
      <w:pPr>
        <w:spacing w:line="360" w:lineRule="auto"/>
        <w:jc w:val="both"/>
        <w:rPr>
          <w:rFonts w:ascii="Times New Roman" w:hAnsi="Times New Roman" w:cs="Times New Roman"/>
          <w:sz w:val="24"/>
          <w:szCs w:val="24"/>
          <w:lang w:val="it-IT"/>
        </w:rPr>
      </w:pPr>
      <w:r w:rsidRPr="00F34645">
        <w:rPr>
          <w:rFonts w:ascii="Times New Roman" w:hAnsi="Times New Roman" w:cs="Times New Roman"/>
          <w:sz w:val="24"/>
          <w:szCs w:val="24"/>
          <w:lang w:val="it-IT"/>
        </w:rPr>
        <w:t>Paolo Vineis</w:t>
      </w:r>
      <w:r w:rsidR="00CA3401" w:rsidRPr="00F34645">
        <w:rPr>
          <w:rFonts w:ascii="Times New Roman" w:hAnsi="Times New Roman" w:cs="Times New Roman"/>
          <w:sz w:val="24"/>
          <w:szCs w:val="24"/>
          <w:vertAlign w:val="superscript"/>
          <w:lang w:val="it-IT"/>
        </w:rPr>
        <w:t>1</w:t>
      </w:r>
      <w:r w:rsidR="00BA7108" w:rsidRPr="00F34645">
        <w:rPr>
          <w:rFonts w:ascii="Times New Roman" w:hAnsi="Times New Roman" w:cs="Times New Roman"/>
          <w:sz w:val="24"/>
          <w:szCs w:val="24"/>
          <w:vertAlign w:val="superscript"/>
          <w:lang w:val="it-IT"/>
        </w:rPr>
        <w:t>,</w:t>
      </w:r>
      <w:r w:rsidR="009F713B" w:rsidRPr="00F34645">
        <w:rPr>
          <w:rFonts w:ascii="Times New Roman" w:hAnsi="Times New Roman" w:cs="Times New Roman"/>
          <w:sz w:val="24"/>
          <w:szCs w:val="24"/>
          <w:vertAlign w:val="superscript"/>
          <w:lang w:val="it-IT"/>
        </w:rPr>
        <w:t>2</w:t>
      </w:r>
      <w:r w:rsidRPr="00F34645">
        <w:rPr>
          <w:rFonts w:ascii="Times New Roman" w:hAnsi="Times New Roman" w:cs="Times New Roman"/>
          <w:sz w:val="24"/>
          <w:szCs w:val="24"/>
          <w:lang w:val="it-IT"/>
        </w:rPr>
        <w:t xml:space="preserve">, </w:t>
      </w:r>
      <w:r w:rsidR="00E37014" w:rsidRPr="00F34645">
        <w:rPr>
          <w:rFonts w:ascii="Times New Roman" w:hAnsi="Times New Roman" w:cs="Times New Roman"/>
          <w:sz w:val="24"/>
          <w:szCs w:val="24"/>
          <w:lang w:val="it-IT"/>
        </w:rPr>
        <w:t>Cyrille Delpierre</w:t>
      </w:r>
      <w:r w:rsidR="009F713B" w:rsidRPr="00F34645">
        <w:rPr>
          <w:rFonts w:ascii="Times New Roman" w:hAnsi="Times New Roman" w:cs="Times New Roman"/>
          <w:sz w:val="24"/>
          <w:szCs w:val="24"/>
          <w:vertAlign w:val="superscript"/>
          <w:lang w:val="it-IT"/>
        </w:rPr>
        <w:t>3</w:t>
      </w:r>
      <w:r w:rsidR="00E37014" w:rsidRPr="00F34645">
        <w:rPr>
          <w:rFonts w:ascii="Times New Roman" w:hAnsi="Times New Roman" w:cs="Times New Roman"/>
          <w:sz w:val="24"/>
          <w:szCs w:val="24"/>
          <w:lang w:val="it-IT"/>
        </w:rPr>
        <w:t xml:space="preserve">, </w:t>
      </w:r>
      <w:r w:rsidR="00CC64B0" w:rsidRPr="00F34645">
        <w:rPr>
          <w:rFonts w:ascii="Times New Roman" w:hAnsi="Times New Roman" w:cs="Times New Roman"/>
          <w:sz w:val="24"/>
          <w:szCs w:val="24"/>
          <w:lang w:val="it-IT"/>
        </w:rPr>
        <w:t xml:space="preserve">Raphaële </w:t>
      </w:r>
      <w:r w:rsidR="00022F98" w:rsidRPr="00F34645">
        <w:rPr>
          <w:rFonts w:ascii="Times New Roman" w:hAnsi="Times New Roman" w:cs="Times New Roman"/>
          <w:sz w:val="24"/>
          <w:szCs w:val="24"/>
          <w:lang w:val="it-IT"/>
        </w:rPr>
        <w:t>Castagn</w:t>
      </w:r>
      <w:r w:rsidR="00CC64B0" w:rsidRPr="00F34645">
        <w:rPr>
          <w:rFonts w:ascii="Times New Roman" w:hAnsi="Times New Roman" w:cs="Times New Roman"/>
          <w:sz w:val="24"/>
          <w:szCs w:val="24"/>
          <w:lang w:val="it-IT"/>
        </w:rPr>
        <w:t>é</w:t>
      </w:r>
      <w:r w:rsidR="009F713B" w:rsidRPr="00F34645">
        <w:rPr>
          <w:rFonts w:ascii="Times New Roman" w:hAnsi="Times New Roman" w:cs="Times New Roman"/>
          <w:sz w:val="24"/>
          <w:szCs w:val="24"/>
          <w:vertAlign w:val="superscript"/>
          <w:lang w:val="it-IT"/>
        </w:rPr>
        <w:t>3</w:t>
      </w:r>
      <w:r w:rsidR="00022F98" w:rsidRPr="00F34645">
        <w:rPr>
          <w:rFonts w:ascii="Times New Roman" w:hAnsi="Times New Roman" w:cs="Times New Roman"/>
          <w:sz w:val="24"/>
          <w:szCs w:val="24"/>
          <w:lang w:val="it-IT"/>
        </w:rPr>
        <w:t xml:space="preserve">, </w:t>
      </w:r>
      <w:r w:rsidR="002C5228" w:rsidRPr="00F34645">
        <w:rPr>
          <w:rFonts w:ascii="Times New Roman" w:hAnsi="Times New Roman" w:cs="Times New Roman"/>
          <w:sz w:val="24"/>
          <w:szCs w:val="24"/>
          <w:lang w:val="it-IT"/>
        </w:rPr>
        <w:t>Giovanni Fiorito</w:t>
      </w:r>
      <w:r w:rsidR="002C5228" w:rsidRPr="00F34645">
        <w:rPr>
          <w:rFonts w:ascii="Times New Roman" w:hAnsi="Times New Roman" w:cs="Times New Roman"/>
          <w:sz w:val="24"/>
          <w:szCs w:val="24"/>
          <w:vertAlign w:val="superscript"/>
          <w:lang w:val="it-IT"/>
        </w:rPr>
        <w:t>2</w:t>
      </w:r>
      <w:r w:rsidR="002C5228" w:rsidRPr="00F34645">
        <w:rPr>
          <w:rFonts w:ascii="Times New Roman" w:hAnsi="Times New Roman" w:cs="Times New Roman"/>
          <w:sz w:val="24"/>
          <w:szCs w:val="24"/>
          <w:lang w:val="it-IT"/>
        </w:rPr>
        <w:t xml:space="preserve">, </w:t>
      </w:r>
      <w:r w:rsidR="00462C21" w:rsidRPr="00F34645">
        <w:rPr>
          <w:rFonts w:ascii="Times New Roman" w:hAnsi="Times New Roman" w:cs="Times New Roman"/>
          <w:sz w:val="24"/>
          <w:szCs w:val="24"/>
          <w:lang w:val="it-IT"/>
        </w:rPr>
        <w:t>Cathal McCrory</w:t>
      </w:r>
      <w:r w:rsidR="00462C21" w:rsidRPr="00F34645">
        <w:rPr>
          <w:rFonts w:ascii="Times New Roman" w:hAnsi="Times New Roman" w:cs="Times New Roman"/>
          <w:sz w:val="24"/>
          <w:szCs w:val="24"/>
          <w:vertAlign w:val="superscript"/>
          <w:lang w:val="it-IT"/>
        </w:rPr>
        <w:t>4</w:t>
      </w:r>
      <w:r w:rsidR="00462C21" w:rsidRPr="00F34645">
        <w:rPr>
          <w:rFonts w:ascii="Times New Roman" w:hAnsi="Times New Roman" w:cs="Times New Roman"/>
          <w:sz w:val="24"/>
          <w:szCs w:val="24"/>
          <w:lang w:val="it-IT"/>
        </w:rPr>
        <w:t xml:space="preserve">, </w:t>
      </w:r>
      <w:r w:rsidR="00700D4A" w:rsidRPr="00F34645">
        <w:rPr>
          <w:rFonts w:ascii="Times New Roman" w:hAnsi="Times New Roman" w:cs="Times New Roman"/>
          <w:sz w:val="24"/>
          <w:szCs w:val="24"/>
          <w:lang w:val="it-IT"/>
        </w:rPr>
        <w:t>Mika Kivimaki</w:t>
      </w:r>
      <w:r w:rsidR="00700D4A" w:rsidRPr="00F34645">
        <w:rPr>
          <w:rFonts w:ascii="Times New Roman" w:hAnsi="Times New Roman" w:cs="Times New Roman"/>
          <w:sz w:val="24"/>
          <w:szCs w:val="24"/>
          <w:vertAlign w:val="superscript"/>
          <w:lang w:val="it-IT"/>
        </w:rPr>
        <w:t>5</w:t>
      </w:r>
      <w:r w:rsidR="00700D4A" w:rsidRPr="00F34645">
        <w:rPr>
          <w:rFonts w:ascii="Times New Roman" w:hAnsi="Times New Roman" w:cs="Times New Roman"/>
          <w:sz w:val="24"/>
          <w:szCs w:val="24"/>
          <w:lang w:val="it-IT"/>
        </w:rPr>
        <w:t xml:space="preserve">, </w:t>
      </w:r>
      <w:r w:rsidR="009F713B" w:rsidRPr="00F34645">
        <w:rPr>
          <w:rFonts w:ascii="Times New Roman" w:hAnsi="Times New Roman" w:cs="Times New Roman"/>
          <w:sz w:val="24"/>
          <w:szCs w:val="24"/>
          <w:lang w:val="it-IT"/>
        </w:rPr>
        <w:t>Silvia Stringhini</w:t>
      </w:r>
      <w:r w:rsidR="00700D4A" w:rsidRPr="00F34645">
        <w:rPr>
          <w:rFonts w:ascii="Times New Roman" w:hAnsi="Times New Roman" w:cs="Times New Roman"/>
          <w:sz w:val="24"/>
          <w:szCs w:val="24"/>
          <w:vertAlign w:val="superscript"/>
          <w:lang w:val="it-IT"/>
        </w:rPr>
        <w:t>6</w:t>
      </w:r>
      <w:r w:rsidR="009F713B" w:rsidRPr="00F34645">
        <w:rPr>
          <w:rFonts w:ascii="Times New Roman" w:hAnsi="Times New Roman" w:cs="Times New Roman"/>
          <w:sz w:val="24"/>
          <w:szCs w:val="24"/>
          <w:lang w:val="it-IT"/>
        </w:rPr>
        <w:t xml:space="preserve">, </w:t>
      </w:r>
      <w:r w:rsidR="002C5228" w:rsidRPr="00F34645">
        <w:rPr>
          <w:rFonts w:ascii="Times New Roman" w:hAnsi="Times New Roman" w:cs="Times New Roman"/>
          <w:sz w:val="24"/>
          <w:szCs w:val="24"/>
          <w:lang w:val="it-IT"/>
        </w:rPr>
        <w:t>Cristian Carmeli</w:t>
      </w:r>
      <w:r w:rsidR="008A6576" w:rsidRPr="00F34645">
        <w:rPr>
          <w:rFonts w:ascii="Times New Roman" w:hAnsi="Times New Roman" w:cs="Times New Roman"/>
          <w:sz w:val="24"/>
          <w:szCs w:val="24"/>
          <w:vertAlign w:val="superscript"/>
          <w:lang w:val="it-IT"/>
        </w:rPr>
        <w:t>7</w:t>
      </w:r>
      <w:r w:rsidR="002C5228" w:rsidRPr="00F34645">
        <w:rPr>
          <w:rFonts w:ascii="Times New Roman" w:hAnsi="Times New Roman" w:cs="Times New Roman"/>
          <w:sz w:val="24"/>
          <w:szCs w:val="24"/>
          <w:lang w:val="it-IT"/>
        </w:rPr>
        <w:t xml:space="preserve">, </w:t>
      </w:r>
      <w:r w:rsidRPr="00F34645">
        <w:rPr>
          <w:rFonts w:ascii="Times New Roman" w:hAnsi="Times New Roman" w:cs="Times New Roman"/>
          <w:sz w:val="24"/>
          <w:szCs w:val="24"/>
          <w:lang w:val="it-IT"/>
        </w:rPr>
        <w:t>Michelle Kelly-Irving</w:t>
      </w:r>
      <w:r w:rsidR="009F713B" w:rsidRPr="00F34645">
        <w:rPr>
          <w:rFonts w:ascii="Times New Roman" w:hAnsi="Times New Roman" w:cs="Times New Roman"/>
          <w:sz w:val="24"/>
          <w:szCs w:val="24"/>
          <w:vertAlign w:val="superscript"/>
          <w:lang w:val="it-IT"/>
        </w:rPr>
        <w:t>3</w:t>
      </w:r>
    </w:p>
    <w:p w14:paraId="420E5EA6" w14:textId="580DDB32" w:rsidR="00730D70" w:rsidRPr="00F34645" w:rsidRDefault="00730D70" w:rsidP="0086535B">
      <w:pPr>
        <w:spacing w:line="360" w:lineRule="auto"/>
        <w:jc w:val="both"/>
        <w:rPr>
          <w:rFonts w:ascii="Times New Roman" w:hAnsi="Times New Roman" w:cs="Times New Roman"/>
          <w:b/>
          <w:sz w:val="24"/>
          <w:szCs w:val="24"/>
          <w:lang w:val="it-IT"/>
        </w:rPr>
      </w:pPr>
    </w:p>
    <w:p w14:paraId="269EE5E2" w14:textId="7950C3D4" w:rsidR="00CA3401" w:rsidRPr="00E140BC" w:rsidRDefault="00462C21" w:rsidP="0086535B">
      <w:pPr>
        <w:pStyle w:val="ListParagraph"/>
        <w:numPr>
          <w:ilvl w:val="0"/>
          <w:numId w:val="5"/>
        </w:numPr>
        <w:spacing w:line="360" w:lineRule="auto"/>
        <w:jc w:val="both"/>
        <w:rPr>
          <w:rFonts w:ascii="Times New Roman" w:hAnsi="Times New Roman" w:cs="Times New Roman"/>
          <w:sz w:val="24"/>
          <w:szCs w:val="24"/>
          <w:lang w:val="en-US"/>
        </w:rPr>
      </w:pPr>
      <w:r w:rsidRPr="00E140BC">
        <w:rPr>
          <w:rFonts w:ascii="Times New Roman" w:hAnsi="Times New Roman" w:cs="Times New Roman"/>
          <w:sz w:val="24"/>
          <w:szCs w:val="24"/>
          <w:lang w:val="en-US"/>
        </w:rPr>
        <w:t>MRC-PHE Centre for Environment and Health, School of Public Health, Imperial College London, W2</w:t>
      </w:r>
      <w:r w:rsidR="00CF2654">
        <w:rPr>
          <w:rFonts w:ascii="Times New Roman" w:hAnsi="Times New Roman" w:cs="Times New Roman"/>
          <w:sz w:val="24"/>
          <w:szCs w:val="24"/>
          <w:lang w:val="en-US"/>
        </w:rPr>
        <w:t xml:space="preserve"> </w:t>
      </w:r>
      <w:r w:rsidRPr="00E140BC">
        <w:rPr>
          <w:rFonts w:ascii="Times New Roman" w:hAnsi="Times New Roman" w:cs="Times New Roman"/>
          <w:sz w:val="24"/>
          <w:szCs w:val="24"/>
          <w:lang w:val="en-US"/>
        </w:rPr>
        <w:t>1PG UK</w:t>
      </w:r>
      <w:r w:rsidR="00BA7108" w:rsidRPr="00E140BC">
        <w:rPr>
          <w:rFonts w:ascii="Times New Roman" w:hAnsi="Times New Roman" w:cs="Times New Roman"/>
          <w:sz w:val="24"/>
          <w:szCs w:val="24"/>
          <w:lang w:val="en-US"/>
        </w:rPr>
        <w:t>.</w:t>
      </w:r>
    </w:p>
    <w:p w14:paraId="7C1AD393" w14:textId="21DD18A7" w:rsidR="00CA3401" w:rsidRPr="00E140BC" w:rsidRDefault="00462C21" w:rsidP="0086535B">
      <w:pPr>
        <w:pStyle w:val="ListParagraph"/>
        <w:numPr>
          <w:ilvl w:val="0"/>
          <w:numId w:val="5"/>
        </w:numPr>
        <w:spacing w:line="360" w:lineRule="auto"/>
        <w:jc w:val="both"/>
        <w:rPr>
          <w:rFonts w:ascii="Times New Roman" w:hAnsi="Times New Roman" w:cs="Times New Roman"/>
          <w:sz w:val="24"/>
          <w:szCs w:val="24"/>
          <w:lang w:val="en-US"/>
        </w:rPr>
      </w:pPr>
      <w:r w:rsidRPr="00E140BC">
        <w:rPr>
          <w:rFonts w:ascii="Times New Roman" w:hAnsi="Times New Roman" w:cs="Times New Roman"/>
          <w:sz w:val="24"/>
          <w:szCs w:val="24"/>
          <w:lang w:val="en-US"/>
        </w:rPr>
        <w:t>Italian Institute for Genomic Medicine, Torino</w:t>
      </w:r>
      <w:r w:rsidR="00BA7108" w:rsidRPr="00E140BC">
        <w:rPr>
          <w:rFonts w:ascii="Times New Roman" w:hAnsi="Times New Roman" w:cs="Times New Roman"/>
          <w:sz w:val="24"/>
          <w:szCs w:val="24"/>
          <w:lang w:val="en-US"/>
        </w:rPr>
        <w:t>,</w:t>
      </w:r>
      <w:r w:rsidRPr="00E140BC">
        <w:rPr>
          <w:rFonts w:ascii="Times New Roman" w:hAnsi="Times New Roman" w:cs="Times New Roman"/>
          <w:sz w:val="24"/>
          <w:szCs w:val="24"/>
          <w:lang w:val="en-US"/>
        </w:rPr>
        <w:t xml:space="preserve"> Italy</w:t>
      </w:r>
      <w:r w:rsidR="00BA7108" w:rsidRPr="00E140BC">
        <w:rPr>
          <w:rFonts w:ascii="Times New Roman" w:hAnsi="Times New Roman" w:cs="Times New Roman"/>
          <w:sz w:val="24"/>
          <w:szCs w:val="24"/>
          <w:lang w:val="en-US"/>
        </w:rPr>
        <w:t>.</w:t>
      </w:r>
    </w:p>
    <w:p w14:paraId="4B4FA91D" w14:textId="377C90AB" w:rsidR="00462C21" w:rsidRPr="00E140BC" w:rsidRDefault="00F15159" w:rsidP="0086535B">
      <w:pPr>
        <w:pStyle w:val="ListParagraph"/>
        <w:numPr>
          <w:ilvl w:val="0"/>
          <w:numId w:val="5"/>
        </w:numPr>
        <w:spacing w:line="360" w:lineRule="auto"/>
        <w:jc w:val="both"/>
        <w:rPr>
          <w:rFonts w:ascii="Times New Roman" w:hAnsi="Times New Roman" w:cs="Times New Roman"/>
          <w:sz w:val="24"/>
          <w:szCs w:val="24"/>
          <w:lang w:val="fr-FR"/>
        </w:rPr>
      </w:pPr>
      <w:r w:rsidRPr="00E140BC">
        <w:rPr>
          <w:rFonts w:ascii="Times New Roman" w:hAnsi="Times New Roman" w:cs="Times New Roman"/>
          <w:sz w:val="24"/>
          <w:szCs w:val="24"/>
          <w:lang w:val="fr-FR"/>
        </w:rPr>
        <w:t>UMR</w:t>
      </w:r>
      <w:r w:rsidR="00F73111" w:rsidRPr="00E140BC">
        <w:rPr>
          <w:rFonts w:ascii="Times New Roman" w:hAnsi="Times New Roman" w:cs="Times New Roman"/>
          <w:sz w:val="24"/>
          <w:szCs w:val="24"/>
          <w:lang w:val="fr-FR"/>
        </w:rPr>
        <w:t xml:space="preserve"> LEASP</w:t>
      </w:r>
      <w:r w:rsidRPr="00E140BC">
        <w:rPr>
          <w:rFonts w:ascii="Times New Roman" w:hAnsi="Times New Roman" w:cs="Times New Roman"/>
          <w:sz w:val="24"/>
          <w:szCs w:val="24"/>
          <w:lang w:val="fr-FR"/>
        </w:rPr>
        <w:t>, Université de Toulouse</w:t>
      </w:r>
      <w:r w:rsidR="00F73111" w:rsidRPr="00E140BC">
        <w:rPr>
          <w:rFonts w:ascii="Times New Roman" w:hAnsi="Times New Roman" w:cs="Times New Roman"/>
          <w:sz w:val="24"/>
          <w:szCs w:val="24"/>
          <w:lang w:val="fr-FR"/>
        </w:rPr>
        <w:t xml:space="preserve"> III</w:t>
      </w:r>
      <w:r w:rsidRPr="00E140BC">
        <w:rPr>
          <w:rFonts w:ascii="Times New Roman" w:hAnsi="Times New Roman" w:cs="Times New Roman"/>
          <w:sz w:val="24"/>
          <w:szCs w:val="24"/>
          <w:lang w:val="fr-FR"/>
        </w:rPr>
        <w:t xml:space="preserve">, UPS, Inserm, Toulouse, </w:t>
      </w:r>
      <w:r w:rsidR="00BA7108" w:rsidRPr="00E140BC">
        <w:rPr>
          <w:rFonts w:ascii="Times New Roman" w:hAnsi="Times New Roman" w:cs="Times New Roman"/>
          <w:sz w:val="24"/>
          <w:szCs w:val="24"/>
          <w:lang w:val="fr-FR"/>
        </w:rPr>
        <w:t>France.</w:t>
      </w:r>
    </w:p>
    <w:p w14:paraId="6D349D22" w14:textId="77777777" w:rsidR="00D40AE6" w:rsidRPr="00BA5F04" w:rsidRDefault="00462C21" w:rsidP="0086535B">
      <w:pPr>
        <w:pStyle w:val="ListParagraph"/>
        <w:numPr>
          <w:ilvl w:val="0"/>
          <w:numId w:val="5"/>
        </w:numPr>
        <w:spacing w:line="360" w:lineRule="auto"/>
        <w:jc w:val="both"/>
        <w:rPr>
          <w:rFonts w:ascii="Times New Roman" w:hAnsi="Times New Roman" w:cs="Times New Roman"/>
          <w:sz w:val="24"/>
          <w:szCs w:val="24"/>
        </w:rPr>
      </w:pPr>
      <w:r w:rsidRPr="008A6576">
        <w:rPr>
          <w:rFonts w:ascii="Times New Roman" w:hAnsi="Times New Roman" w:cs="Times New Roman"/>
          <w:sz w:val="24"/>
          <w:szCs w:val="24"/>
        </w:rPr>
        <w:t>Department of Gerontology, Trinity College Dublin, Ireland</w:t>
      </w:r>
      <w:r w:rsidR="00BA7108" w:rsidRPr="00503AA3">
        <w:rPr>
          <w:rFonts w:ascii="Times New Roman" w:hAnsi="Times New Roman" w:cs="Times New Roman"/>
          <w:sz w:val="24"/>
          <w:szCs w:val="24"/>
        </w:rPr>
        <w:t>.</w:t>
      </w:r>
    </w:p>
    <w:p w14:paraId="6EE6E7BC" w14:textId="49DF2C65" w:rsidR="00700D4A" w:rsidRPr="008A6576" w:rsidRDefault="004307A2" w:rsidP="0086535B">
      <w:pPr>
        <w:pStyle w:val="ListParagraph"/>
        <w:numPr>
          <w:ilvl w:val="0"/>
          <w:numId w:val="5"/>
        </w:numPr>
        <w:spacing w:line="360" w:lineRule="auto"/>
        <w:jc w:val="both"/>
        <w:rPr>
          <w:rFonts w:ascii="Times New Roman" w:hAnsi="Times New Roman" w:cs="Times New Roman"/>
          <w:sz w:val="24"/>
          <w:szCs w:val="24"/>
        </w:rPr>
      </w:pPr>
      <w:r w:rsidRPr="008A6576">
        <w:rPr>
          <w:rFonts w:ascii="Times New Roman" w:hAnsi="Times New Roman" w:cs="Times New Roman"/>
          <w:sz w:val="24"/>
          <w:szCs w:val="24"/>
        </w:rPr>
        <w:t>Department</w:t>
      </w:r>
      <w:r w:rsidR="00D40AE6" w:rsidRPr="008A6576">
        <w:rPr>
          <w:rFonts w:ascii="Times New Roman" w:hAnsi="Times New Roman" w:cs="Times New Roman"/>
          <w:sz w:val="24"/>
          <w:szCs w:val="24"/>
        </w:rPr>
        <w:t xml:space="preserve"> of Epidemiology, University College London</w:t>
      </w:r>
      <w:r w:rsidRPr="008A6576">
        <w:rPr>
          <w:rFonts w:ascii="Times New Roman" w:hAnsi="Times New Roman" w:cs="Times New Roman"/>
          <w:sz w:val="24"/>
          <w:szCs w:val="24"/>
        </w:rPr>
        <w:t>.</w:t>
      </w:r>
    </w:p>
    <w:p w14:paraId="11B6F9CF" w14:textId="6ADDC8CF" w:rsidR="008A6576" w:rsidRPr="008A6576" w:rsidRDefault="008A6576" w:rsidP="0086535B">
      <w:pPr>
        <w:pStyle w:val="ListParagraph"/>
        <w:numPr>
          <w:ilvl w:val="0"/>
          <w:numId w:val="5"/>
        </w:numPr>
        <w:spacing w:line="360" w:lineRule="auto"/>
        <w:jc w:val="both"/>
        <w:rPr>
          <w:rFonts w:ascii="Times New Roman" w:hAnsi="Times New Roman" w:cs="Times New Roman"/>
          <w:sz w:val="24"/>
          <w:szCs w:val="24"/>
        </w:rPr>
      </w:pPr>
      <w:r w:rsidRPr="00A53C27">
        <w:rPr>
          <w:rFonts w:ascii="Times New Roman" w:hAnsi="Times New Roman" w:cs="Times New Roman"/>
          <w:sz w:val="24"/>
          <w:szCs w:val="24"/>
        </w:rPr>
        <w:t>Unit of Population Epidemiology, Division of Primary Care, Geneva University Hospitals, Geneva, Switzerland</w:t>
      </w:r>
    </w:p>
    <w:p w14:paraId="15590D3C" w14:textId="0F01054B" w:rsidR="005651A7" w:rsidRPr="006C44FD" w:rsidRDefault="005161AE" w:rsidP="0086535B">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Center for Primary Care and Public Health</w:t>
      </w:r>
      <w:r w:rsidR="00462C21" w:rsidRPr="00D40AE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Unisanté</w:t>
      </w:r>
      <w:r w:rsidR="00462C21" w:rsidRPr="00D40AE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University of Lausanne</w:t>
      </w:r>
      <w:r w:rsidR="00462C21" w:rsidRPr="00D40AE6">
        <w:rPr>
          <w:rFonts w:ascii="Times New Roman" w:hAnsi="Times New Roman" w:cs="Times New Roman"/>
          <w:color w:val="000000"/>
          <w:sz w:val="24"/>
          <w:szCs w:val="24"/>
          <w:shd w:val="clear" w:color="auto" w:fill="FFFFFF"/>
          <w:lang w:val="en-US"/>
        </w:rPr>
        <w:t>, Lausanne, Switzerland</w:t>
      </w:r>
      <w:r w:rsidR="00BA7108" w:rsidRPr="00D40AE6">
        <w:rPr>
          <w:rFonts w:ascii="Times New Roman" w:hAnsi="Times New Roman" w:cs="Times New Roman"/>
          <w:color w:val="000000"/>
          <w:sz w:val="24"/>
          <w:szCs w:val="24"/>
          <w:shd w:val="clear" w:color="auto" w:fill="FFFFFF"/>
          <w:lang w:val="en-US"/>
        </w:rPr>
        <w:t>.</w:t>
      </w:r>
    </w:p>
    <w:p w14:paraId="314E9482" w14:textId="77777777" w:rsidR="006C44FD" w:rsidRPr="006C44FD" w:rsidRDefault="006C44FD" w:rsidP="006C44FD">
      <w:pPr>
        <w:spacing w:line="360" w:lineRule="auto"/>
        <w:jc w:val="both"/>
        <w:rPr>
          <w:rFonts w:ascii="Times New Roman" w:hAnsi="Times New Roman" w:cs="Times New Roman"/>
          <w:sz w:val="24"/>
          <w:szCs w:val="24"/>
          <w:lang w:val="en-US"/>
        </w:rPr>
      </w:pPr>
      <w:r w:rsidRPr="006C44FD">
        <w:rPr>
          <w:rFonts w:ascii="Times New Roman" w:hAnsi="Times New Roman" w:cs="Times New Roman"/>
          <w:sz w:val="24"/>
          <w:szCs w:val="24"/>
        </w:rPr>
        <w:t>Correspondence and requests for materials should be addressed to Paolo Vineis, School of Public Health, Imperial College, Norfolk Place, W2 1PG London UK, e-mail p.vineis@imperial.ac.uk</w:t>
      </w:r>
    </w:p>
    <w:p w14:paraId="2EA412C6" w14:textId="77777777" w:rsidR="006C44FD" w:rsidRPr="006C44FD" w:rsidRDefault="006C44FD" w:rsidP="006C44FD">
      <w:pPr>
        <w:spacing w:line="360" w:lineRule="auto"/>
        <w:jc w:val="both"/>
        <w:rPr>
          <w:rFonts w:ascii="Times New Roman" w:hAnsi="Times New Roman" w:cs="Times New Roman"/>
          <w:sz w:val="24"/>
          <w:szCs w:val="24"/>
        </w:rPr>
      </w:pPr>
      <w:r w:rsidRPr="006C44FD">
        <w:rPr>
          <w:rFonts w:ascii="Times New Roman" w:hAnsi="Times New Roman" w:cs="Times New Roman"/>
          <w:b/>
          <w:sz w:val="24"/>
          <w:szCs w:val="24"/>
        </w:rPr>
        <w:t>Acknowledgments</w:t>
      </w:r>
      <w:r w:rsidRPr="006C44FD">
        <w:rPr>
          <w:rFonts w:ascii="Times New Roman" w:hAnsi="Times New Roman" w:cs="Times New Roman"/>
          <w:sz w:val="24"/>
          <w:szCs w:val="24"/>
        </w:rPr>
        <w:t xml:space="preserve"> - We are grateful to Nancy Krieger, Mauricio Avendano and Angelo D’Errico for careful reading and thoughtful comments.</w:t>
      </w:r>
    </w:p>
    <w:p w14:paraId="1B02048D" w14:textId="77777777" w:rsidR="006C44FD" w:rsidRPr="006C44FD" w:rsidRDefault="006C44FD" w:rsidP="006C44FD">
      <w:pPr>
        <w:pStyle w:val="ListParagraph"/>
        <w:spacing w:line="360" w:lineRule="auto"/>
        <w:jc w:val="both"/>
        <w:rPr>
          <w:rFonts w:ascii="Times New Roman" w:hAnsi="Times New Roman" w:cs="Times New Roman"/>
          <w:sz w:val="24"/>
          <w:szCs w:val="24"/>
        </w:rPr>
      </w:pPr>
    </w:p>
    <w:p w14:paraId="0CA7D78B" w14:textId="62C91478" w:rsidR="00957982" w:rsidRDefault="0095798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BB88AFD" w14:textId="77777777" w:rsidR="00957982" w:rsidRDefault="00957982" w:rsidP="0086535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14:paraId="0B5EAE73" w14:textId="57E4F3C8" w:rsidR="00C91607" w:rsidRPr="00C91607" w:rsidRDefault="0035599E" w:rsidP="0086535B">
      <w:pPr>
        <w:spacing w:line="360" w:lineRule="auto"/>
        <w:jc w:val="both"/>
        <w:rPr>
          <w:rFonts w:ascii="Times New Roman" w:hAnsi="Times New Roman" w:cs="Times New Roman"/>
          <w:sz w:val="24"/>
          <w:szCs w:val="24"/>
        </w:rPr>
      </w:pPr>
      <w:r>
        <w:rPr>
          <w:rFonts w:ascii="Times New Roman" w:hAnsi="Times New Roman" w:cs="Times New Roman"/>
          <w:b/>
          <w:sz w:val="24"/>
          <w:szCs w:val="24"/>
        </w:rPr>
        <w:t>Rationale</w:t>
      </w:r>
      <w:r w:rsidR="00C91607" w:rsidRPr="00C91607">
        <w:rPr>
          <w:rFonts w:ascii="Times New Roman" w:hAnsi="Times New Roman" w:cs="Times New Roman"/>
          <w:sz w:val="24"/>
          <w:szCs w:val="24"/>
        </w:rPr>
        <w:t xml:space="preserve"> - </w:t>
      </w:r>
      <w:r w:rsidR="000B7D61" w:rsidRPr="00C91607">
        <w:rPr>
          <w:rFonts w:ascii="Times New Roman" w:hAnsi="Times New Roman" w:cs="Times New Roman"/>
          <w:sz w:val="24"/>
          <w:szCs w:val="24"/>
        </w:rPr>
        <w:t xml:space="preserve">Socioeconomic disparities have been documented in major non-communicable diseases and </w:t>
      </w:r>
      <w:r w:rsidR="00FC22F9">
        <w:rPr>
          <w:rFonts w:ascii="Times New Roman" w:hAnsi="Times New Roman" w:cs="Times New Roman"/>
          <w:sz w:val="24"/>
          <w:szCs w:val="24"/>
        </w:rPr>
        <w:t xml:space="preserve">in </w:t>
      </w:r>
      <w:r w:rsidR="000B7D61" w:rsidRPr="00C91607">
        <w:rPr>
          <w:rFonts w:ascii="Times New Roman" w:hAnsi="Times New Roman" w:cs="Times New Roman"/>
          <w:sz w:val="24"/>
          <w:szCs w:val="24"/>
        </w:rPr>
        <w:t xml:space="preserve">their risk factors, such as obesity, hypertension, diabetes, smoking, physical inactivity, unhealthful diet and heavy drinking. </w:t>
      </w:r>
      <w:r w:rsidR="000B7D61" w:rsidRPr="006B784F">
        <w:rPr>
          <w:rFonts w:ascii="Times New Roman" w:hAnsi="Times New Roman" w:cs="Times New Roman"/>
          <w:sz w:val="24"/>
          <w:szCs w:val="24"/>
        </w:rPr>
        <w:t>However, a key research question has remai</w:t>
      </w:r>
      <w:r w:rsidR="000B7D61" w:rsidRPr="00F05647">
        <w:rPr>
          <w:rFonts w:ascii="Times New Roman" w:hAnsi="Times New Roman" w:cs="Times New Roman"/>
          <w:sz w:val="24"/>
          <w:szCs w:val="24"/>
        </w:rPr>
        <w:t>ned unanswered: is there a separate biological embodiment of socio-economic conditions underlying health disparities</w:t>
      </w:r>
      <w:r w:rsidR="008B1BC7" w:rsidRPr="006B784F">
        <w:rPr>
          <w:rFonts w:ascii="Times New Roman" w:hAnsi="Times New Roman" w:cs="Times New Roman"/>
          <w:sz w:val="24"/>
          <w:szCs w:val="24"/>
        </w:rPr>
        <w:t>,</w:t>
      </w:r>
      <w:r w:rsidR="000B7D61" w:rsidRPr="006B784F">
        <w:rPr>
          <w:rFonts w:ascii="Times New Roman" w:hAnsi="Times New Roman" w:cs="Times New Roman"/>
          <w:sz w:val="24"/>
          <w:szCs w:val="24"/>
        </w:rPr>
        <w:t xml:space="preserve"> </w:t>
      </w:r>
      <w:r w:rsidR="00FA2216" w:rsidRPr="006B784F">
        <w:rPr>
          <w:rFonts w:ascii="Times New Roman" w:hAnsi="Times New Roman" w:cs="Times New Roman"/>
          <w:sz w:val="24"/>
          <w:szCs w:val="24"/>
        </w:rPr>
        <w:t xml:space="preserve">additional and </w:t>
      </w:r>
      <w:r w:rsidR="000B7D61" w:rsidRPr="006B784F">
        <w:rPr>
          <w:rFonts w:ascii="Times New Roman" w:hAnsi="Times New Roman" w:cs="Times New Roman"/>
          <w:sz w:val="24"/>
          <w:szCs w:val="24"/>
        </w:rPr>
        <w:t>independent of those risk factors?</w:t>
      </w:r>
      <w:r w:rsidR="000B7D61" w:rsidRPr="00C91607">
        <w:rPr>
          <w:rFonts w:ascii="Times New Roman" w:hAnsi="Times New Roman" w:cs="Times New Roman"/>
          <w:sz w:val="24"/>
          <w:szCs w:val="24"/>
        </w:rPr>
        <w:t xml:space="preserve"> As lifelong socioeconomic circumstances cannot be randomised, one way forward is </w:t>
      </w:r>
      <w:r w:rsidR="00460BBF" w:rsidRPr="00C91607">
        <w:rPr>
          <w:rFonts w:ascii="Times New Roman" w:hAnsi="Times New Roman" w:cs="Times New Roman"/>
          <w:sz w:val="24"/>
          <w:szCs w:val="24"/>
        </w:rPr>
        <w:t xml:space="preserve">the examination </w:t>
      </w:r>
      <w:r w:rsidR="000B7D61" w:rsidRPr="00C91607">
        <w:rPr>
          <w:rFonts w:ascii="Times New Roman" w:hAnsi="Times New Roman" w:cs="Times New Roman"/>
          <w:sz w:val="24"/>
          <w:szCs w:val="24"/>
        </w:rPr>
        <w:t>of</w:t>
      </w:r>
      <w:r w:rsidR="008B1BC7" w:rsidRPr="00C91607">
        <w:rPr>
          <w:rFonts w:ascii="Times New Roman" w:hAnsi="Times New Roman" w:cs="Times New Roman"/>
          <w:sz w:val="24"/>
          <w:szCs w:val="24"/>
        </w:rPr>
        <w:t xml:space="preserve"> different </w:t>
      </w:r>
      <w:r w:rsidR="002E612E" w:rsidRPr="00C91607">
        <w:rPr>
          <w:rStyle w:val="CommentReference"/>
          <w:rFonts w:ascii="Times New Roman" w:hAnsi="Times New Roman" w:cs="Times New Roman"/>
          <w:sz w:val="24"/>
          <w:szCs w:val="24"/>
        </w:rPr>
        <w:t>biological layers of evidence</w:t>
      </w:r>
      <w:r w:rsidR="00961CDD">
        <w:rPr>
          <w:rStyle w:val="CommentReference"/>
          <w:rFonts w:ascii="Times New Roman" w:hAnsi="Times New Roman" w:cs="Times New Roman"/>
          <w:sz w:val="24"/>
          <w:szCs w:val="24"/>
        </w:rPr>
        <w:t>,</w:t>
      </w:r>
      <w:r w:rsidR="0059698E" w:rsidRPr="00C91607">
        <w:rPr>
          <w:rFonts w:ascii="Times New Roman" w:hAnsi="Times New Roman" w:cs="Times New Roman"/>
          <w:sz w:val="24"/>
          <w:szCs w:val="24"/>
        </w:rPr>
        <w:t xml:space="preserve"> </w:t>
      </w:r>
      <w:r w:rsidR="00460BBF" w:rsidRPr="00C91607">
        <w:rPr>
          <w:rFonts w:ascii="Times New Roman" w:hAnsi="Times New Roman" w:cs="Times New Roman"/>
          <w:sz w:val="24"/>
          <w:szCs w:val="24"/>
        </w:rPr>
        <w:t>including molecul</w:t>
      </w:r>
      <w:r w:rsidR="00961CDD">
        <w:rPr>
          <w:rFonts w:ascii="Times New Roman" w:hAnsi="Times New Roman" w:cs="Times New Roman"/>
          <w:sz w:val="24"/>
          <w:szCs w:val="24"/>
        </w:rPr>
        <w:t>ar changes</w:t>
      </w:r>
      <w:r w:rsidR="00460BBF" w:rsidRPr="00C91607">
        <w:rPr>
          <w:rFonts w:ascii="Times New Roman" w:hAnsi="Times New Roman" w:cs="Times New Roman"/>
          <w:sz w:val="24"/>
          <w:szCs w:val="24"/>
        </w:rPr>
        <w:t xml:space="preserve">. </w:t>
      </w:r>
    </w:p>
    <w:p w14:paraId="457945F5" w14:textId="75B0BC90" w:rsidR="00C91607" w:rsidRPr="00C91607" w:rsidRDefault="0035599E" w:rsidP="0086535B">
      <w:pPr>
        <w:spacing w:line="360" w:lineRule="auto"/>
        <w:jc w:val="both"/>
        <w:rPr>
          <w:rFonts w:ascii="Times New Roman" w:hAnsi="Times New Roman" w:cs="Times New Roman"/>
          <w:sz w:val="24"/>
          <w:szCs w:val="24"/>
        </w:rPr>
      </w:pPr>
      <w:r>
        <w:rPr>
          <w:rFonts w:ascii="Times New Roman" w:hAnsi="Times New Roman" w:cs="Times New Roman"/>
          <w:b/>
          <w:sz w:val="24"/>
          <w:szCs w:val="24"/>
        </w:rPr>
        <w:t>Method</w:t>
      </w:r>
      <w:r w:rsidR="00C91607" w:rsidRPr="001915E7">
        <w:rPr>
          <w:rFonts w:ascii="Times New Roman" w:hAnsi="Times New Roman" w:cs="Times New Roman"/>
          <w:b/>
          <w:sz w:val="24"/>
          <w:szCs w:val="24"/>
        </w:rPr>
        <w:t xml:space="preserve"> </w:t>
      </w:r>
      <w:r w:rsidR="00C91607" w:rsidRPr="00C91607">
        <w:rPr>
          <w:rFonts w:ascii="Times New Roman" w:hAnsi="Times New Roman" w:cs="Times New Roman"/>
          <w:sz w:val="24"/>
          <w:szCs w:val="24"/>
        </w:rPr>
        <w:t xml:space="preserve">- </w:t>
      </w:r>
      <w:r w:rsidR="00460BBF" w:rsidRPr="00C91607">
        <w:rPr>
          <w:rFonts w:ascii="Times New Roman" w:hAnsi="Times New Roman" w:cs="Times New Roman"/>
          <w:sz w:val="24"/>
          <w:szCs w:val="24"/>
        </w:rPr>
        <w:t>I</w:t>
      </w:r>
      <w:r w:rsidR="0059698E" w:rsidRPr="00C91607">
        <w:rPr>
          <w:rFonts w:ascii="Times New Roman" w:hAnsi="Times New Roman" w:cs="Times New Roman"/>
          <w:sz w:val="24"/>
          <w:szCs w:val="24"/>
        </w:rPr>
        <w:t xml:space="preserve">n this </w:t>
      </w:r>
      <w:r w:rsidR="00FA2216">
        <w:rPr>
          <w:rFonts w:ascii="Times New Roman" w:hAnsi="Times New Roman" w:cs="Times New Roman"/>
          <w:sz w:val="24"/>
          <w:szCs w:val="24"/>
        </w:rPr>
        <w:t xml:space="preserve">methodological </w:t>
      </w:r>
      <w:r w:rsidR="0059698E" w:rsidRPr="00C91607">
        <w:rPr>
          <w:rFonts w:ascii="Times New Roman" w:hAnsi="Times New Roman" w:cs="Times New Roman"/>
          <w:sz w:val="24"/>
          <w:szCs w:val="24"/>
        </w:rPr>
        <w:t>paper</w:t>
      </w:r>
      <w:r w:rsidR="00460BBF" w:rsidRPr="00C91607">
        <w:rPr>
          <w:rFonts w:ascii="Times New Roman" w:hAnsi="Times New Roman" w:cs="Times New Roman"/>
          <w:sz w:val="24"/>
          <w:szCs w:val="24"/>
        </w:rPr>
        <w:t xml:space="preserve"> we report</w:t>
      </w:r>
      <w:r w:rsidR="000B7D61" w:rsidRPr="00C91607">
        <w:rPr>
          <w:rFonts w:ascii="Times New Roman" w:hAnsi="Times New Roman" w:cs="Times New Roman"/>
          <w:sz w:val="24"/>
          <w:szCs w:val="24"/>
        </w:rPr>
        <w:t xml:space="preserve"> the association of socio-economic disadvantage with (a) long-term health outcomes, before and after taking risk factors into account; (b) biological intermediaries that increase susceptibility to disease, such as childhood obesity; (c) intermediate circulating biomarkers and omic </w:t>
      </w:r>
      <w:r w:rsidR="0080473E" w:rsidRPr="00C91607">
        <w:rPr>
          <w:rFonts w:ascii="Times New Roman" w:hAnsi="Times New Roman" w:cs="Times New Roman"/>
          <w:sz w:val="24"/>
          <w:szCs w:val="24"/>
        </w:rPr>
        <w:t xml:space="preserve">measurements </w:t>
      </w:r>
      <w:r w:rsidR="000B7D61" w:rsidRPr="00C91607">
        <w:rPr>
          <w:rFonts w:ascii="Times New Roman" w:hAnsi="Times New Roman" w:cs="Times New Roman"/>
          <w:sz w:val="24"/>
          <w:szCs w:val="24"/>
        </w:rPr>
        <w:t xml:space="preserve">(transcriptomics, DNA methylation, inflammatory proteins, allostatic load); and (d) immunity. </w:t>
      </w:r>
      <w:r w:rsidR="0059698E" w:rsidRPr="00C91607">
        <w:rPr>
          <w:rFonts w:ascii="Times New Roman" w:hAnsi="Times New Roman" w:cs="Times New Roman"/>
          <w:sz w:val="24"/>
          <w:szCs w:val="24"/>
        </w:rPr>
        <w:t xml:space="preserve">In our </w:t>
      </w:r>
      <w:r w:rsidR="0053104D" w:rsidRPr="00C91607">
        <w:rPr>
          <w:rFonts w:ascii="Times New Roman" w:hAnsi="Times New Roman" w:cs="Times New Roman"/>
          <w:sz w:val="24"/>
          <w:szCs w:val="24"/>
        </w:rPr>
        <w:t>Lifepath</w:t>
      </w:r>
      <w:r w:rsidR="000B7D61" w:rsidRPr="00C91607">
        <w:rPr>
          <w:rFonts w:ascii="Times New Roman" w:hAnsi="Times New Roman" w:cs="Times New Roman"/>
          <w:sz w:val="24"/>
          <w:szCs w:val="24"/>
        </w:rPr>
        <w:t xml:space="preserve"> consortium, these analyses have been performed in several cohort studies, countries and contexts, and at different stages of the life course in up to 1.7 million subjects. </w:t>
      </w:r>
      <w:r w:rsidR="00FA2216">
        <w:rPr>
          <w:rFonts w:ascii="Times New Roman" w:hAnsi="Times New Roman" w:cs="Times New Roman"/>
          <w:sz w:val="24"/>
          <w:szCs w:val="24"/>
        </w:rPr>
        <w:t xml:space="preserve">The main goal is to test </w:t>
      </w:r>
      <w:r w:rsidR="00FA2216" w:rsidRPr="00EE2751">
        <w:rPr>
          <w:rFonts w:ascii="Times New Roman" w:hAnsi="Times New Roman" w:cs="Times New Roman"/>
          <w:sz w:val="24"/>
          <w:szCs w:val="24"/>
        </w:rPr>
        <w:t xml:space="preserve">the assumption that each layer </w:t>
      </w:r>
      <w:r w:rsidR="00FA2216" w:rsidRPr="008926AB">
        <w:rPr>
          <w:rFonts w:ascii="Times New Roman" w:hAnsi="Times New Roman" w:cs="Times New Roman"/>
          <w:sz w:val="24"/>
          <w:szCs w:val="24"/>
        </w:rPr>
        <w:t>(death, functional outcomes, DNA, RNA, proteins, infections)</w:t>
      </w:r>
      <w:r w:rsidR="00FA2216" w:rsidRPr="002E612E">
        <w:rPr>
          <w:rFonts w:ascii="Times New Roman" w:hAnsi="Times New Roman" w:cs="Times New Roman"/>
          <w:sz w:val="24"/>
          <w:szCs w:val="24"/>
        </w:rPr>
        <w:t xml:space="preserve"> </w:t>
      </w:r>
      <w:r w:rsidR="00FA2216" w:rsidRPr="00EE2751">
        <w:rPr>
          <w:rFonts w:ascii="Times New Roman" w:hAnsi="Times New Roman" w:cs="Times New Roman"/>
          <w:sz w:val="24"/>
          <w:szCs w:val="24"/>
        </w:rPr>
        <w:t>is characterized by different types of bias and confounding</w:t>
      </w:r>
      <w:r w:rsidR="00F40F9B">
        <w:rPr>
          <w:rFonts w:ascii="Times New Roman" w:hAnsi="Times New Roman" w:cs="Times New Roman"/>
          <w:sz w:val="24"/>
          <w:szCs w:val="24"/>
        </w:rPr>
        <w:t>,</w:t>
      </w:r>
      <w:r w:rsidR="00FA2216">
        <w:rPr>
          <w:rFonts w:ascii="Times New Roman" w:hAnsi="Times New Roman" w:cs="Times New Roman"/>
          <w:sz w:val="24"/>
          <w:szCs w:val="24"/>
        </w:rPr>
        <w:t xml:space="preserve"> and </w:t>
      </w:r>
      <w:r w:rsidR="00F40F9B">
        <w:rPr>
          <w:rFonts w:ascii="Times New Roman" w:hAnsi="Times New Roman" w:cs="Times New Roman"/>
          <w:sz w:val="24"/>
          <w:szCs w:val="24"/>
        </w:rPr>
        <w:t xml:space="preserve">that </w:t>
      </w:r>
      <w:r w:rsidR="00FA2216">
        <w:rPr>
          <w:rFonts w:ascii="Times New Roman" w:hAnsi="Times New Roman" w:cs="Times New Roman"/>
          <w:sz w:val="24"/>
          <w:szCs w:val="24"/>
        </w:rPr>
        <w:t>consistency across layers reinforces causality</w:t>
      </w:r>
      <w:r w:rsidR="00451842">
        <w:rPr>
          <w:rFonts w:ascii="Times New Roman" w:hAnsi="Times New Roman" w:cs="Times New Roman"/>
          <w:sz w:val="24"/>
          <w:szCs w:val="24"/>
        </w:rPr>
        <w:t xml:space="preserve"> assessment</w:t>
      </w:r>
      <w:r w:rsidR="00FA2216" w:rsidRPr="00EE2751">
        <w:rPr>
          <w:rFonts w:ascii="Times New Roman" w:hAnsi="Times New Roman" w:cs="Times New Roman"/>
          <w:sz w:val="24"/>
          <w:szCs w:val="24"/>
        </w:rPr>
        <w:t>.</w:t>
      </w:r>
    </w:p>
    <w:p w14:paraId="5392FDD1" w14:textId="49A2CF89" w:rsidR="00C91607" w:rsidRPr="00C91607" w:rsidRDefault="0035599E" w:rsidP="0086535B">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w:t>
      </w:r>
      <w:r w:rsidR="00C91607" w:rsidRPr="00C91607">
        <w:rPr>
          <w:rFonts w:ascii="Times New Roman" w:hAnsi="Times New Roman" w:cs="Times New Roman"/>
          <w:sz w:val="24"/>
          <w:szCs w:val="24"/>
        </w:rPr>
        <w:t xml:space="preserve"> - </w:t>
      </w:r>
      <w:r w:rsidR="000B7D61" w:rsidRPr="00C91607">
        <w:rPr>
          <w:rFonts w:ascii="Times New Roman" w:hAnsi="Times New Roman" w:cs="Times New Roman"/>
          <w:sz w:val="24"/>
          <w:szCs w:val="24"/>
        </w:rPr>
        <w:t xml:space="preserve">The findings </w:t>
      </w:r>
      <w:r w:rsidR="001915E7">
        <w:rPr>
          <w:rFonts w:ascii="Times New Roman" w:hAnsi="Times New Roman" w:cs="Times New Roman"/>
          <w:sz w:val="24"/>
          <w:szCs w:val="24"/>
        </w:rPr>
        <w:t xml:space="preserve">show </w:t>
      </w:r>
      <w:r w:rsidR="000B7D61" w:rsidRPr="00C91607">
        <w:rPr>
          <w:rFonts w:ascii="Times New Roman" w:hAnsi="Times New Roman" w:cs="Times New Roman"/>
          <w:sz w:val="24"/>
          <w:szCs w:val="24"/>
        </w:rPr>
        <w:t>consistent associations of social disparities with unfavourable health outcomes spanning inflammatory biomarkers, DNA or RNA-based markers, infection, indicators of physical functioning and mortality</w:t>
      </w:r>
      <w:r w:rsidR="000B7D61" w:rsidRPr="00C91607">
        <w:rPr>
          <w:rStyle w:val="CommentReference"/>
          <w:rFonts w:ascii="Times New Roman" w:hAnsi="Times New Roman" w:cs="Times New Roman"/>
          <w:sz w:val="24"/>
          <w:szCs w:val="24"/>
        </w:rPr>
        <w:t>.</w:t>
      </w:r>
      <w:r w:rsidR="000B7D61" w:rsidRPr="00C91607">
        <w:rPr>
          <w:rFonts w:ascii="Times New Roman" w:hAnsi="Times New Roman" w:cs="Times New Roman"/>
          <w:sz w:val="24"/>
          <w:szCs w:val="24"/>
        </w:rPr>
        <w:t xml:space="preserve"> Although each of these associations has a different set of confounders, a dose-response relationship is nevertheless consistently observed, thus showing the power of </w:t>
      </w:r>
      <w:r w:rsidR="0059698E" w:rsidRPr="00C91607">
        <w:rPr>
          <w:rFonts w:ascii="Times New Roman" w:hAnsi="Times New Roman" w:cs="Times New Roman"/>
          <w:sz w:val="24"/>
          <w:szCs w:val="24"/>
        </w:rPr>
        <w:t xml:space="preserve">our </w:t>
      </w:r>
      <w:r w:rsidR="00460BBF" w:rsidRPr="00C91607">
        <w:rPr>
          <w:rFonts w:ascii="Times New Roman" w:hAnsi="Times New Roman" w:cs="Times New Roman"/>
          <w:sz w:val="24"/>
          <w:szCs w:val="24"/>
        </w:rPr>
        <w:t xml:space="preserve">multi-layered </w:t>
      </w:r>
      <w:r w:rsidR="0059698E" w:rsidRPr="00C91607">
        <w:rPr>
          <w:rFonts w:ascii="Times New Roman" w:hAnsi="Times New Roman" w:cs="Times New Roman"/>
          <w:sz w:val="24"/>
          <w:szCs w:val="24"/>
        </w:rPr>
        <w:t>approach</w:t>
      </w:r>
      <w:r w:rsidR="000B7D61" w:rsidRPr="00C91607">
        <w:rPr>
          <w:rFonts w:ascii="Times New Roman" w:hAnsi="Times New Roman" w:cs="Times New Roman"/>
          <w:sz w:val="24"/>
          <w:szCs w:val="24"/>
        </w:rPr>
        <w:t xml:space="preserve">. </w:t>
      </w:r>
    </w:p>
    <w:p w14:paraId="6E3A3EA4" w14:textId="31EA135E" w:rsidR="000B7D61" w:rsidRDefault="0035599E" w:rsidP="0086535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Conclusions </w:t>
      </w:r>
      <w:r w:rsidR="00C91607" w:rsidRPr="00C91607">
        <w:rPr>
          <w:rFonts w:ascii="Times New Roman" w:hAnsi="Times New Roman" w:cs="Times New Roman"/>
          <w:sz w:val="24"/>
          <w:szCs w:val="24"/>
        </w:rPr>
        <w:t xml:space="preserve">- </w:t>
      </w:r>
      <w:r w:rsidR="000B7D61" w:rsidRPr="00C91607">
        <w:rPr>
          <w:rFonts w:ascii="Times New Roman" w:hAnsi="Times New Roman" w:cs="Times New Roman"/>
          <w:sz w:val="24"/>
          <w:szCs w:val="24"/>
        </w:rPr>
        <w:t>This new evidence supports biological embodiment of social disadvantage, in addition to the impact of known (mainly behavioural) risk factors for disease.</w:t>
      </w:r>
    </w:p>
    <w:p w14:paraId="77F4A63B" w14:textId="77777777" w:rsidR="005710C0" w:rsidRDefault="00ED2FA0" w:rsidP="005710C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sidRPr="00ED2FA0">
        <w:rPr>
          <w:rFonts w:ascii="Times New Roman" w:hAnsi="Times New Roman" w:cs="Times New Roman"/>
          <w:sz w:val="24"/>
          <w:szCs w:val="24"/>
        </w:rPr>
        <w:t>socio-economic disparities</w:t>
      </w:r>
      <w:r>
        <w:rPr>
          <w:rFonts w:ascii="Times New Roman" w:hAnsi="Times New Roman" w:cs="Times New Roman"/>
          <w:sz w:val="24"/>
          <w:szCs w:val="24"/>
        </w:rPr>
        <w:t>, h</w:t>
      </w:r>
      <w:r w:rsidRPr="00ED2FA0">
        <w:rPr>
          <w:rFonts w:ascii="Times New Roman" w:hAnsi="Times New Roman" w:cs="Times New Roman"/>
          <w:sz w:val="24"/>
          <w:szCs w:val="24"/>
        </w:rPr>
        <w:t>ealth,</w:t>
      </w:r>
      <w:r>
        <w:rPr>
          <w:rFonts w:ascii="Times New Roman" w:hAnsi="Times New Roman" w:cs="Times New Roman"/>
          <w:sz w:val="24"/>
          <w:szCs w:val="24"/>
        </w:rPr>
        <w:t xml:space="preserve"> aging,</w:t>
      </w:r>
      <w:r w:rsidRPr="00ED2FA0">
        <w:rPr>
          <w:rFonts w:ascii="Times New Roman" w:hAnsi="Times New Roman" w:cs="Times New Roman"/>
          <w:sz w:val="24"/>
          <w:szCs w:val="24"/>
        </w:rPr>
        <w:t xml:space="preserve"> embodiment, biomarkers, omics, triangulation</w:t>
      </w:r>
    </w:p>
    <w:p w14:paraId="4AB68BB1" w14:textId="2C55A2AF" w:rsidR="008070BD" w:rsidRDefault="00ED1306" w:rsidP="005710C0">
      <w:pPr>
        <w:spacing w:line="360" w:lineRule="auto"/>
        <w:jc w:val="both"/>
        <w:rPr>
          <w:rFonts w:ascii="Times New Roman" w:hAnsi="Times New Roman" w:cs="Times New Roman"/>
          <w:sz w:val="24"/>
          <w:szCs w:val="24"/>
          <w:lang w:val="en"/>
        </w:rPr>
      </w:pPr>
      <w:r w:rsidRPr="008070BD">
        <w:rPr>
          <w:rFonts w:ascii="Times New Roman" w:hAnsi="Times New Roman" w:cs="Times New Roman"/>
          <w:b/>
          <w:sz w:val="24"/>
          <w:szCs w:val="24"/>
        </w:rPr>
        <w:t>Abbreviations</w:t>
      </w:r>
      <w:r w:rsidRPr="008070BD">
        <w:rPr>
          <w:rFonts w:ascii="Times New Roman" w:hAnsi="Times New Roman" w:cs="Times New Roman"/>
          <w:sz w:val="24"/>
          <w:szCs w:val="24"/>
        </w:rPr>
        <w:t xml:space="preserve">: </w:t>
      </w:r>
      <w:r w:rsidR="00F53EDC">
        <w:rPr>
          <w:rFonts w:ascii="Times New Roman" w:hAnsi="Times New Roman" w:cs="Times New Roman"/>
          <w:sz w:val="24"/>
          <w:szCs w:val="24"/>
        </w:rPr>
        <w:t xml:space="preserve">RF=risk factor, </w:t>
      </w:r>
      <w:r w:rsidRPr="008070BD">
        <w:rPr>
          <w:rFonts w:ascii="Times New Roman" w:hAnsi="Times New Roman" w:cs="Times New Roman"/>
          <w:sz w:val="24"/>
          <w:szCs w:val="24"/>
        </w:rPr>
        <w:t>WHIP</w:t>
      </w:r>
      <w:r w:rsidR="008070BD" w:rsidRPr="00A53C27">
        <w:rPr>
          <w:rFonts w:ascii="Times New Roman" w:hAnsi="Times New Roman" w:cs="Times New Roman"/>
          <w:sz w:val="24"/>
          <w:szCs w:val="24"/>
        </w:rPr>
        <w:t>=</w:t>
      </w:r>
      <w:r w:rsidR="008070BD" w:rsidRPr="00A53C27">
        <w:rPr>
          <w:rFonts w:ascii="Times New Roman" w:hAnsi="Times New Roman" w:cs="Times New Roman"/>
          <w:sz w:val="24"/>
          <w:szCs w:val="24"/>
          <w:lang w:val="en"/>
        </w:rPr>
        <w:t>Work and Health Histories Italian Panel</w:t>
      </w:r>
      <w:r w:rsidRPr="008070BD">
        <w:rPr>
          <w:rFonts w:ascii="Times New Roman" w:hAnsi="Times New Roman" w:cs="Times New Roman"/>
          <w:sz w:val="24"/>
          <w:szCs w:val="24"/>
        </w:rPr>
        <w:t>, NCD</w:t>
      </w:r>
      <w:r w:rsidR="008070BD" w:rsidRPr="00A53C27">
        <w:rPr>
          <w:rFonts w:ascii="Times New Roman" w:hAnsi="Times New Roman" w:cs="Times New Roman"/>
          <w:sz w:val="24"/>
          <w:szCs w:val="24"/>
        </w:rPr>
        <w:t>=non-communicable diseases</w:t>
      </w:r>
      <w:r w:rsidRPr="008070BD">
        <w:rPr>
          <w:rFonts w:ascii="Times New Roman" w:hAnsi="Times New Roman" w:cs="Times New Roman"/>
          <w:sz w:val="24"/>
          <w:szCs w:val="24"/>
        </w:rPr>
        <w:t>, RNA</w:t>
      </w:r>
      <w:r w:rsidR="008070BD" w:rsidRPr="00A53C27">
        <w:rPr>
          <w:rFonts w:ascii="Times New Roman" w:hAnsi="Times New Roman" w:cs="Times New Roman"/>
          <w:sz w:val="24"/>
          <w:szCs w:val="24"/>
        </w:rPr>
        <w:t>=ribonucleic acid</w:t>
      </w:r>
      <w:r w:rsidRPr="008070BD">
        <w:rPr>
          <w:rFonts w:ascii="Times New Roman" w:hAnsi="Times New Roman" w:cs="Times New Roman"/>
          <w:sz w:val="24"/>
          <w:szCs w:val="24"/>
        </w:rPr>
        <w:t>,</w:t>
      </w:r>
      <w:r w:rsidR="008070BD" w:rsidRPr="00A53C27">
        <w:rPr>
          <w:rFonts w:ascii="Times New Roman" w:hAnsi="Times New Roman" w:cs="Times New Roman"/>
          <w:sz w:val="24"/>
          <w:szCs w:val="24"/>
        </w:rPr>
        <w:t xml:space="preserve"> DNA=deoxyribonucleic acid,</w:t>
      </w:r>
      <w:r w:rsidRPr="008070BD">
        <w:rPr>
          <w:rFonts w:ascii="Times New Roman" w:hAnsi="Times New Roman" w:cs="Times New Roman"/>
          <w:sz w:val="24"/>
          <w:szCs w:val="24"/>
        </w:rPr>
        <w:t xml:space="preserve"> COLAUS</w:t>
      </w:r>
      <w:r w:rsidR="008070BD" w:rsidRPr="008070BD">
        <w:rPr>
          <w:rFonts w:ascii="Times New Roman" w:hAnsi="Times New Roman" w:cs="Times New Roman"/>
          <w:sz w:val="24"/>
          <w:szCs w:val="24"/>
        </w:rPr>
        <w:t xml:space="preserve">= </w:t>
      </w:r>
      <w:r w:rsidR="008070BD" w:rsidRPr="00A53C27">
        <w:rPr>
          <w:rFonts w:ascii="Times New Roman" w:hAnsi="Times New Roman" w:cs="Times New Roman"/>
          <w:sz w:val="24"/>
          <w:szCs w:val="24"/>
          <w:lang w:val="en"/>
        </w:rPr>
        <w:t>Cohorte Lausannoise</w:t>
      </w:r>
      <w:r w:rsidR="00F53EDC">
        <w:rPr>
          <w:rFonts w:ascii="Times New Roman" w:hAnsi="Times New Roman" w:cs="Times New Roman"/>
          <w:sz w:val="24"/>
          <w:szCs w:val="24"/>
          <w:lang w:val="en"/>
        </w:rPr>
        <w:t xml:space="preserve">, AA=age acceleration; </w:t>
      </w:r>
    </w:p>
    <w:p w14:paraId="3588CC7A" w14:textId="77777777" w:rsidR="008070BD" w:rsidRDefault="008070BD">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0D696B4C" w14:textId="77777777" w:rsidR="007C54BC" w:rsidRPr="008070BD" w:rsidRDefault="007C54BC" w:rsidP="005710C0">
      <w:pPr>
        <w:spacing w:line="360" w:lineRule="auto"/>
        <w:jc w:val="both"/>
        <w:rPr>
          <w:rFonts w:ascii="Times New Roman" w:hAnsi="Times New Roman" w:cs="Times New Roman"/>
          <w:sz w:val="24"/>
          <w:szCs w:val="24"/>
        </w:rPr>
      </w:pPr>
    </w:p>
    <w:p w14:paraId="46A3DE47" w14:textId="5819F0F9" w:rsidR="00A874BB" w:rsidRPr="00957982" w:rsidRDefault="00A874BB" w:rsidP="00957982">
      <w:pPr>
        <w:pStyle w:val="ListParagraph"/>
        <w:numPr>
          <w:ilvl w:val="0"/>
          <w:numId w:val="14"/>
        </w:numPr>
        <w:spacing w:line="360" w:lineRule="auto"/>
        <w:jc w:val="both"/>
        <w:rPr>
          <w:rFonts w:ascii="Times New Roman" w:hAnsi="Times New Roman" w:cs="Times New Roman"/>
          <w:b/>
          <w:sz w:val="24"/>
          <w:szCs w:val="24"/>
        </w:rPr>
      </w:pPr>
      <w:r w:rsidRPr="00957982">
        <w:rPr>
          <w:rFonts w:ascii="Times New Roman" w:hAnsi="Times New Roman" w:cs="Times New Roman"/>
          <w:b/>
          <w:sz w:val="24"/>
          <w:szCs w:val="24"/>
        </w:rPr>
        <w:t>Introduction</w:t>
      </w:r>
    </w:p>
    <w:p w14:paraId="116349D0" w14:textId="49E02B56" w:rsidR="00A40581" w:rsidRPr="00EE1EA3" w:rsidRDefault="00A40581" w:rsidP="0086535B">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The multi-layered social environment within which humans exist and live ultimately affect</w:t>
      </w:r>
      <w:r w:rsidR="00CE797C" w:rsidRPr="00EE1EA3">
        <w:rPr>
          <w:rFonts w:ascii="Times New Roman" w:hAnsi="Times New Roman" w:cs="Times New Roman"/>
          <w:sz w:val="24"/>
          <w:szCs w:val="24"/>
        </w:rPr>
        <w:t>s</w:t>
      </w:r>
      <w:r w:rsidRPr="00EE1EA3">
        <w:rPr>
          <w:rFonts w:ascii="Times New Roman" w:hAnsi="Times New Roman" w:cs="Times New Roman"/>
          <w:sz w:val="24"/>
          <w:szCs w:val="24"/>
        </w:rPr>
        <w:t xml:space="preserve"> cells, organs, and biological systems</w:t>
      </w:r>
      <w:r w:rsidR="009D470A">
        <w:rPr>
          <w:rFonts w:ascii="Times New Roman" w:hAnsi="Times New Roman" w:cs="Times New Roman"/>
          <w:sz w:val="24"/>
          <w:szCs w:val="24"/>
          <w:vertAlign w:val="superscript"/>
        </w:rPr>
        <w:t xml:space="preserve"> </w:t>
      </w:r>
      <w:r w:rsidR="009D470A" w:rsidRPr="00101FA0">
        <w:rPr>
          <w:rFonts w:ascii="Times New Roman" w:hAnsi="Times New Roman" w:cs="Times New Roman"/>
          <w:sz w:val="24"/>
          <w:szCs w:val="24"/>
        </w:rPr>
        <w:t>(Blane et al, 2013)</w:t>
      </w:r>
      <w:r w:rsidRPr="00101FA0">
        <w:rPr>
          <w:rFonts w:ascii="Times New Roman" w:hAnsi="Times New Roman" w:cs="Times New Roman"/>
          <w:sz w:val="24"/>
          <w:szCs w:val="24"/>
        </w:rPr>
        <w:t>.</w:t>
      </w:r>
      <w:r w:rsidRPr="00EE1EA3">
        <w:rPr>
          <w:rFonts w:ascii="Times New Roman" w:hAnsi="Times New Roman" w:cs="Times New Roman"/>
          <w:sz w:val="24"/>
          <w:szCs w:val="24"/>
        </w:rPr>
        <w:t xml:space="preserve"> This concept, known as </w:t>
      </w:r>
      <w:r w:rsidRPr="00EE1EA3">
        <w:rPr>
          <w:rFonts w:ascii="Times New Roman" w:hAnsi="Times New Roman" w:cs="Times New Roman"/>
          <w:i/>
          <w:sz w:val="24"/>
          <w:szCs w:val="24"/>
        </w:rPr>
        <w:t>embodiment</w:t>
      </w:r>
      <w:r w:rsidR="003F19FA" w:rsidRPr="00EE1EA3">
        <w:rPr>
          <w:rFonts w:ascii="Times New Roman" w:hAnsi="Times New Roman" w:cs="Times New Roman"/>
          <w:i/>
          <w:sz w:val="24"/>
          <w:szCs w:val="24"/>
        </w:rPr>
        <w:t>,</w:t>
      </w:r>
      <w:r w:rsidRPr="00EE1EA3">
        <w:rPr>
          <w:rFonts w:ascii="Times New Roman" w:hAnsi="Times New Roman" w:cs="Times New Roman"/>
          <w:i/>
          <w:sz w:val="24"/>
          <w:szCs w:val="24"/>
        </w:rPr>
        <w:t xml:space="preserve"> </w:t>
      </w:r>
      <w:r w:rsidRPr="00EE1EA3">
        <w:rPr>
          <w:rFonts w:ascii="Times New Roman" w:hAnsi="Times New Roman" w:cs="Times New Roman"/>
          <w:sz w:val="24"/>
          <w:szCs w:val="24"/>
        </w:rPr>
        <w:t xml:space="preserve">was initially developed by </w:t>
      </w:r>
      <w:r w:rsidR="003F19FA" w:rsidRPr="00EE1EA3">
        <w:rPr>
          <w:rFonts w:ascii="Times New Roman" w:hAnsi="Times New Roman" w:cs="Times New Roman"/>
          <w:sz w:val="24"/>
          <w:szCs w:val="24"/>
        </w:rPr>
        <w:t xml:space="preserve">Nancy </w:t>
      </w:r>
      <w:r w:rsidRPr="00EE1EA3">
        <w:rPr>
          <w:rFonts w:ascii="Times New Roman" w:hAnsi="Times New Roman" w:cs="Times New Roman"/>
          <w:sz w:val="24"/>
          <w:szCs w:val="24"/>
        </w:rPr>
        <w:t>Krieger</w:t>
      </w:r>
      <w:r w:rsidR="003F19FA" w:rsidRPr="00EE1EA3">
        <w:rPr>
          <w:rFonts w:ascii="Times New Roman" w:hAnsi="Times New Roman" w:cs="Times New Roman"/>
          <w:sz w:val="24"/>
          <w:szCs w:val="24"/>
        </w:rPr>
        <w:t xml:space="preserve"> at the beginning of the century</w:t>
      </w:r>
      <w:r w:rsidR="00101FA0">
        <w:rPr>
          <w:rFonts w:ascii="Times New Roman" w:hAnsi="Times New Roman" w:cs="Times New Roman"/>
          <w:sz w:val="24"/>
          <w:szCs w:val="24"/>
        </w:rPr>
        <w:t xml:space="preserve"> (Krieger, 2005)</w:t>
      </w:r>
      <w:r w:rsidR="00985CF2" w:rsidRPr="00EE1EA3">
        <w:rPr>
          <w:rFonts w:ascii="Times New Roman" w:hAnsi="Times New Roman" w:cs="Times New Roman"/>
          <w:sz w:val="24"/>
          <w:szCs w:val="24"/>
        </w:rPr>
        <w:t>. Establishing a</w:t>
      </w:r>
      <w:r w:rsidRPr="00EE1EA3">
        <w:rPr>
          <w:rFonts w:ascii="Times New Roman" w:hAnsi="Times New Roman" w:cs="Times New Roman"/>
          <w:sz w:val="24"/>
          <w:szCs w:val="24"/>
        </w:rPr>
        <w:t xml:space="preserve"> causal connection between social and biological environment</w:t>
      </w:r>
      <w:r w:rsidR="0022543E" w:rsidRPr="00EE1EA3">
        <w:rPr>
          <w:rFonts w:ascii="Times New Roman" w:hAnsi="Times New Roman" w:cs="Times New Roman"/>
          <w:sz w:val="24"/>
          <w:szCs w:val="24"/>
        </w:rPr>
        <w:t>s</w:t>
      </w:r>
      <w:r w:rsidRPr="00EE1EA3">
        <w:rPr>
          <w:rFonts w:ascii="Times New Roman" w:hAnsi="Times New Roman" w:cs="Times New Roman"/>
          <w:sz w:val="24"/>
          <w:szCs w:val="24"/>
        </w:rPr>
        <w:t xml:space="preserve"> is difficult and adds </w:t>
      </w:r>
      <w:r w:rsidR="0022543E" w:rsidRPr="00EE1EA3">
        <w:rPr>
          <w:rFonts w:ascii="Times New Roman" w:hAnsi="Times New Roman" w:cs="Times New Roman"/>
          <w:sz w:val="24"/>
          <w:szCs w:val="24"/>
        </w:rPr>
        <w:t xml:space="preserve">to </w:t>
      </w:r>
      <w:r w:rsidRPr="00EE1EA3">
        <w:rPr>
          <w:rFonts w:ascii="Times New Roman" w:hAnsi="Times New Roman" w:cs="Times New Roman"/>
          <w:sz w:val="24"/>
          <w:szCs w:val="24"/>
        </w:rPr>
        <w:t xml:space="preserve">the </w:t>
      </w:r>
      <w:r w:rsidR="0027541F" w:rsidRPr="00EE1EA3">
        <w:rPr>
          <w:rFonts w:ascii="Times New Roman" w:hAnsi="Times New Roman" w:cs="Times New Roman"/>
          <w:sz w:val="24"/>
          <w:szCs w:val="24"/>
        </w:rPr>
        <w:t xml:space="preserve">existing </w:t>
      </w:r>
      <w:r w:rsidRPr="00EE1EA3">
        <w:rPr>
          <w:rFonts w:ascii="Times New Roman" w:hAnsi="Times New Roman" w:cs="Times New Roman"/>
          <w:sz w:val="24"/>
          <w:szCs w:val="24"/>
        </w:rPr>
        <w:t>complexities of causal reasoning</w:t>
      </w:r>
      <w:r w:rsidR="00101FA0">
        <w:rPr>
          <w:rFonts w:ascii="Times New Roman" w:hAnsi="Times New Roman" w:cs="Times New Roman"/>
          <w:sz w:val="24"/>
          <w:szCs w:val="24"/>
        </w:rPr>
        <w:t xml:space="preserve"> in the biological domain alone (Lawlor et al, 2016; Vineis et al, 2017; </w:t>
      </w:r>
      <w:r w:rsidR="00DA0CDB">
        <w:rPr>
          <w:rFonts w:ascii="Times New Roman" w:hAnsi="Times New Roman" w:cs="Times New Roman"/>
          <w:sz w:val="24"/>
          <w:szCs w:val="24"/>
        </w:rPr>
        <w:t xml:space="preserve">Munafo </w:t>
      </w:r>
      <w:r w:rsidR="00101FA0" w:rsidRPr="00841DFA">
        <w:rPr>
          <w:rFonts w:ascii="Times New Roman" w:hAnsi="Times New Roman" w:cs="Times New Roman"/>
          <w:sz w:val="24"/>
          <w:szCs w:val="24"/>
        </w:rPr>
        <w:t>&amp; Davey Smith</w:t>
      </w:r>
      <w:r w:rsidR="00101FA0">
        <w:rPr>
          <w:rFonts w:ascii="Times New Roman" w:hAnsi="Times New Roman" w:cs="Times New Roman"/>
          <w:sz w:val="24"/>
          <w:szCs w:val="24"/>
        </w:rPr>
        <w:t>, 2018)</w:t>
      </w:r>
      <w:r w:rsidR="00DA0CDB">
        <w:rPr>
          <w:rFonts w:ascii="Times New Roman" w:hAnsi="Times New Roman" w:cs="Times New Roman"/>
          <w:sz w:val="24"/>
          <w:szCs w:val="24"/>
        </w:rPr>
        <w:t>.</w:t>
      </w:r>
    </w:p>
    <w:p w14:paraId="29A51E65" w14:textId="18BEA634" w:rsidR="00460BBF" w:rsidRDefault="0027541F" w:rsidP="00CA01E2">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Here, w</w:t>
      </w:r>
      <w:r w:rsidR="00A40581" w:rsidRPr="00EE1EA3">
        <w:rPr>
          <w:rFonts w:ascii="Times New Roman" w:hAnsi="Times New Roman" w:cs="Times New Roman"/>
          <w:sz w:val="24"/>
          <w:szCs w:val="24"/>
        </w:rPr>
        <w:t xml:space="preserve">e apply a </w:t>
      </w:r>
      <w:r w:rsidR="002E612E">
        <w:rPr>
          <w:rFonts w:ascii="Times New Roman" w:hAnsi="Times New Roman" w:cs="Times New Roman"/>
          <w:sz w:val="24"/>
          <w:szCs w:val="24"/>
        </w:rPr>
        <w:t xml:space="preserve">biologically </w:t>
      </w:r>
      <w:r w:rsidR="00ED2FA0">
        <w:rPr>
          <w:rFonts w:ascii="Times New Roman" w:hAnsi="Times New Roman" w:cs="Times New Roman"/>
          <w:sz w:val="24"/>
          <w:szCs w:val="24"/>
        </w:rPr>
        <w:t xml:space="preserve">multi-layered </w:t>
      </w:r>
      <w:r w:rsidR="00A40581" w:rsidRPr="00EE1EA3">
        <w:rPr>
          <w:rFonts w:ascii="Times New Roman" w:hAnsi="Times New Roman" w:cs="Times New Roman"/>
          <w:sz w:val="24"/>
          <w:szCs w:val="24"/>
        </w:rPr>
        <w:t xml:space="preserve">approach to a specific research question, that has been </w:t>
      </w:r>
      <w:r w:rsidR="004B1E78">
        <w:rPr>
          <w:rFonts w:ascii="Times New Roman" w:hAnsi="Times New Roman" w:cs="Times New Roman"/>
          <w:sz w:val="24"/>
          <w:szCs w:val="24"/>
        </w:rPr>
        <w:t xml:space="preserve">extensively </w:t>
      </w:r>
      <w:r w:rsidR="00A40581" w:rsidRPr="00EE1EA3">
        <w:rPr>
          <w:rFonts w:ascii="Times New Roman" w:hAnsi="Times New Roman" w:cs="Times New Roman"/>
          <w:sz w:val="24"/>
          <w:szCs w:val="24"/>
        </w:rPr>
        <w:t xml:space="preserve">debated: “is there a separate effect of socio-economic </w:t>
      </w:r>
      <w:r w:rsidR="00AF1C2A" w:rsidRPr="00EE1EA3">
        <w:rPr>
          <w:rFonts w:ascii="Times New Roman" w:hAnsi="Times New Roman" w:cs="Times New Roman"/>
          <w:sz w:val="24"/>
          <w:szCs w:val="24"/>
        </w:rPr>
        <w:t xml:space="preserve">conditions </w:t>
      </w:r>
      <w:r w:rsidR="00A40581" w:rsidRPr="00EE1EA3">
        <w:rPr>
          <w:rFonts w:ascii="Times New Roman" w:hAnsi="Times New Roman" w:cs="Times New Roman"/>
          <w:sz w:val="24"/>
          <w:szCs w:val="24"/>
        </w:rPr>
        <w:t>on health that is independent of</w:t>
      </w:r>
      <w:r w:rsidRPr="00EE1EA3">
        <w:rPr>
          <w:rFonts w:ascii="Times New Roman" w:hAnsi="Times New Roman" w:cs="Times New Roman"/>
          <w:sz w:val="24"/>
          <w:szCs w:val="24"/>
        </w:rPr>
        <w:t xml:space="preserve"> </w:t>
      </w:r>
      <w:r w:rsidR="00A05603">
        <w:rPr>
          <w:rFonts w:ascii="Times New Roman" w:hAnsi="Times New Roman" w:cs="Times New Roman"/>
          <w:sz w:val="24"/>
          <w:szCs w:val="24"/>
        </w:rPr>
        <w:t xml:space="preserve">known </w:t>
      </w:r>
      <w:r w:rsidR="00846A83" w:rsidRPr="00EE1EA3">
        <w:rPr>
          <w:rFonts w:ascii="Times New Roman" w:hAnsi="Times New Roman" w:cs="Times New Roman"/>
          <w:sz w:val="24"/>
          <w:szCs w:val="24"/>
        </w:rPr>
        <w:t xml:space="preserve">behavioural </w:t>
      </w:r>
      <w:r w:rsidR="00A40581" w:rsidRPr="00EE1EA3">
        <w:rPr>
          <w:rFonts w:ascii="Times New Roman" w:hAnsi="Times New Roman" w:cs="Times New Roman"/>
          <w:sz w:val="24"/>
          <w:szCs w:val="24"/>
        </w:rPr>
        <w:t>risk factors</w:t>
      </w:r>
      <w:r w:rsidR="00985CF2" w:rsidRPr="00EE1EA3">
        <w:rPr>
          <w:rFonts w:ascii="Times New Roman" w:hAnsi="Times New Roman" w:cs="Times New Roman"/>
          <w:sz w:val="24"/>
          <w:szCs w:val="24"/>
        </w:rPr>
        <w:t xml:space="preserve"> for disease</w:t>
      </w:r>
      <w:r w:rsidR="00A40581" w:rsidRPr="00EE1EA3">
        <w:rPr>
          <w:rFonts w:ascii="Times New Roman" w:hAnsi="Times New Roman" w:cs="Times New Roman"/>
          <w:sz w:val="24"/>
          <w:szCs w:val="24"/>
        </w:rPr>
        <w:t>?”.</w:t>
      </w:r>
      <w:r w:rsidR="00A874BB" w:rsidRPr="00A874BB">
        <w:rPr>
          <w:rFonts w:ascii="Times New Roman" w:hAnsi="Times New Roman" w:cs="Times New Roman"/>
          <w:sz w:val="24"/>
          <w:szCs w:val="24"/>
        </w:rPr>
        <w:t xml:space="preserve"> </w:t>
      </w:r>
      <w:r w:rsidR="004B1E78">
        <w:rPr>
          <w:rFonts w:ascii="Times New Roman" w:hAnsi="Times New Roman" w:cs="Times New Roman"/>
          <w:sz w:val="24"/>
          <w:szCs w:val="24"/>
        </w:rPr>
        <w:t xml:space="preserve">Do </w:t>
      </w:r>
      <w:r w:rsidR="00460BBF" w:rsidRPr="003C141F">
        <w:rPr>
          <w:rFonts w:ascii="Times New Roman" w:hAnsi="Times New Roman" w:cs="Times New Roman"/>
          <w:sz w:val="24"/>
          <w:szCs w:val="24"/>
        </w:rPr>
        <w:t xml:space="preserve">disadvantaged </w:t>
      </w:r>
      <w:r w:rsidR="00460BBF" w:rsidRPr="00EE1EA3">
        <w:rPr>
          <w:rFonts w:ascii="Times New Roman" w:hAnsi="Times New Roman" w:cs="Times New Roman"/>
          <w:sz w:val="24"/>
          <w:szCs w:val="24"/>
        </w:rPr>
        <w:t>socio-economic conditions have a direct effect on health and disease not entirely explained by exposure to known risk factors</w:t>
      </w:r>
      <w:r w:rsidR="00B16072">
        <w:rPr>
          <w:rFonts w:ascii="Times New Roman" w:hAnsi="Times New Roman" w:cs="Times New Roman"/>
          <w:sz w:val="24"/>
          <w:szCs w:val="24"/>
        </w:rPr>
        <w:t xml:space="preserve"> (Marmot, 2004)</w:t>
      </w:r>
      <w:r w:rsidR="008779A6">
        <w:rPr>
          <w:rFonts w:ascii="Times New Roman" w:hAnsi="Times New Roman" w:cs="Times New Roman"/>
          <w:sz w:val="24"/>
          <w:szCs w:val="24"/>
        </w:rPr>
        <w:t>?</w:t>
      </w:r>
      <w:r w:rsidR="00460BBF" w:rsidRPr="00EE1EA3">
        <w:rPr>
          <w:rFonts w:ascii="Times New Roman" w:hAnsi="Times New Roman" w:cs="Times New Roman"/>
          <w:sz w:val="24"/>
          <w:szCs w:val="24"/>
        </w:rPr>
        <w:t xml:space="preserve"> For simplicity</w:t>
      </w:r>
      <w:r w:rsidR="00D20166">
        <w:rPr>
          <w:rFonts w:ascii="Times New Roman" w:hAnsi="Times New Roman" w:cs="Times New Roman"/>
          <w:sz w:val="24"/>
          <w:szCs w:val="24"/>
        </w:rPr>
        <w:t>,</w:t>
      </w:r>
      <w:r w:rsidR="00460BBF" w:rsidRPr="00EE1EA3">
        <w:rPr>
          <w:rFonts w:ascii="Times New Roman" w:hAnsi="Times New Roman" w:cs="Times New Roman"/>
          <w:sz w:val="24"/>
          <w:szCs w:val="24"/>
        </w:rPr>
        <w:t xml:space="preserve"> here we refer to the main risk factors for non-communicable diseases</w:t>
      </w:r>
      <w:r w:rsidR="00451842">
        <w:rPr>
          <w:rFonts w:ascii="Times New Roman" w:hAnsi="Times New Roman" w:cs="Times New Roman"/>
          <w:sz w:val="24"/>
          <w:szCs w:val="24"/>
        </w:rPr>
        <w:t xml:space="preserve"> (NCD)</w:t>
      </w:r>
      <w:r w:rsidR="00460BBF" w:rsidRPr="00EE1EA3">
        <w:rPr>
          <w:rFonts w:ascii="Times New Roman" w:hAnsi="Times New Roman" w:cs="Times New Roman"/>
          <w:sz w:val="24"/>
          <w:szCs w:val="24"/>
        </w:rPr>
        <w:t>, also known as 25x25 risk factors according to the WHO and United Nations strategy (obesity, hypertension, smoking, diabetes, physical inactivity, alcohol intake)</w:t>
      </w:r>
      <w:r w:rsidR="00D20166">
        <w:rPr>
          <w:rFonts w:ascii="Times New Roman" w:hAnsi="Times New Roman" w:cs="Times New Roman"/>
          <w:sz w:val="24"/>
          <w:szCs w:val="24"/>
        </w:rPr>
        <w:t xml:space="preserve"> </w:t>
      </w:r>
      <w:r w:rsidR="00B16072">
        <w:rPr>
          <w:rFonts w:ascii="Times New Roman" w:hAnsi="Times New Roman" w:cs="Times New Roman"/>
          <w:sz w:val="24"/>
          <w:szCs w:val="24"/>
        </w:rPr>
        <w:t>(United Nations, 2011)</w:t>
      </w:r>
      <w:r w:rsidR="00460BBF" w:rsidRPr="00EE1EA3">
        <w:rPr>
          <w:rFonts w:ascii="Times New Roman" w:hAnsi="Times New Roman" w:cs="Times New Roman"/>
          <w:sz w:val="24"/>
          <w:szCs w:val="24"/>
        </w:rPr>
        <w:t xml:space="preserve">. </w:t>
      </w:r>
      <w:r w:rsidR="008779A6">
        <w:rPr>
          <w:rFonts w:ascii="Times New Roman" w:hAnsi="Times New Roman" w:cs="Times New Roman"/>
          <w:sz w:val="24"/>
          <w:szCs w:val="24"/>
        </w:rPr>
        <w:t>In our previous research we have already suggested that</w:t>
      </w:r>
      <w:r w:rsidR="0058421A">
        <w:rPr>
          <w:rFonts w:ascii="Times New Roman" w:hAnsi="Times New Roman" w:cs="Times New Roman"/>
          <w:sz w:val="24"/>
          <w:szCs w:val="24"/>
        </w:rPr>
        <w:t xml:space="preserve"> these</w:t>
      </w:r>
      <w:r w:rsidR="008779A6">
        <w:rPr>
          <w:rFonts w:ascii="Times New Roman" w:hAnsi="Times New Roman" w:cs="Times New Roman"/>
          <w:sz w:val="24"/>
          <w:szCs w:val="24"/>
        </w:rPr>
        <w:t xml:space="preserve"> </w:t>
      </w:r>
      <w:r w:rsidR="0058421A">
        <w:rPr>
          <w:rFonts w:ascii="Times New Roman" w:hAnsi="Times New Roman" w:cs="Times New Roman"/>
          <w:sz w:val="24"/>
          <w:szCs w:val="24"/>
        </w:rPr>
        <w:t>risk factors</w:t>
      </w:r>
      <w:r w:rsidR="008779A6">
        <w:rPr>
          <w:rFonts w:ascii="Times New Roman" w:hAnsi="Times New Roman" w:cs="Times New Roman"/>
          <w:sz w:val="24"/>
          <w:szCs w:val="24"/>
        </w:rPr>
        <w:t xml:space="preserve"> explain only a fraction of mortality gradients by socio-economic position (Stringhini et al, 2017). A first aim of this paper is to strengthen our previous observations by referring to several underlying biological layers, beyond a hard outcome like mortality.</w:t>
      </w:r>
    </w:p>
    <w:p w14:paraId="382AF006" w14:textId="64FAE8B0" w:rsidR="007A49A0" w:rsidRDefault="008779A6" w:rsidP="00DA0C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second aim is to reinforce </w:t>
      </w:r>
      <w:r w:rsidR="00357C7D">
        <w:rPr>
          <w:rFonts w:ascii="Times New Roman" w:hAnsi="Times New Roman" w:cs="Times New Roman"/>
          <w:sz w:val="24"/>
          <w:szCs w:val="24"/>
        </w:rPr>
        <w:t>our understanding of causal relationships between social exposures and health through intermediate biological mechanisms</w:t>
      </w:r>
      <w:r>
        <w:rPr>
          <w:rFonts w:ascii="Times New Roman" w:hAnsi="Times New Roman" w:cs="Times New Roman"/>
          <w:sz w:val="24"/>
          <w:szCs w:val="24"/>
        </w:rPr>
        <w:t xml:space="preserve">. </w:t>
      </w:r>
    </w:p>
    <w:p w14:paraId="6D5AB059" w14:textId="6BBAC359" w:rsidR="00460BBF" w:rsidRDefault="00A874BB" w:rsidP="00DA0CDB">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 xml:space="preserve">Observational biomedical research struggles to </w:t>
      </w:r>
      <w:r w:rsidR="00357C7D">
        <w:rPr>
          <w:rFonts w:ascii="Times New Roman" w:hAnsi="Times New Roman" w:cs="Times New Roman"/>
          <w:sz w:val="24"/>
          <w:szCs w:val="24"/>
        </w:rPr>
        <w:t xml:space="preserve">identify the </w:t>
      </w:r>
      <w:r w:rsidR="00B8373E">
        <w:rPr>
          <w:rFonts w:ascii="Times New Roman" w:hAnsi="Times New Roman" w:cs="Times New Roman"/>
          <w:sz w:val="24"/>
          <w:szCs w:val="24"/>
        </w:rPr>
        <w:t xml:space="preserve">genuine </w:t>
      </w:r>
      <w:r w:rsidR="00357C7D">
        <w:rPr>
          <w:rFonts w:ascii="Times New Roman" w:hAnsi="Times New Roman" w:cs="Times New Roman"/>
          <w:sz w:val="24"/>
          <w:szCs w:val="24"/>
        </w:rPr>
        <w:t>causal relationships among correlations</w:t>
      </w:r>
      <w:r w:rsidRPr="00EE1EA3">
        <w:rPr>
          <w:rFonts w:ascii="Times New Roman" w:hAnsi="Times New Roman" w:cs="Times New Roman"/>
          <w:sz w:val="24"/>
          <w:szCs w:val="24"/>
        </w:rPr>
        <w:t>. This distinction is even more critical for research conducted at the interface between social and biological determinants of health and disease. One</w:t>
      </w:r>
      <w:r>
        <w:rPr>
          <w:rFonts w:ascii="Times New Roman" w:hAnsi="Times New Roman" w:cs="Times New Roman"/>
          <w:sz w:val="24"/>
          <w:szCs w:val="24"/>
        </w:rPr>
        <w:t xml:space="preserve"> proposal</w:t>
      </w:r>
      <w:r w:rsidRPr="00EE1EA3">
        <w:rPr>
          <w:rFonts w:ascii="Times New Roman" w:hAnsi="Times New Roman" w:cs="Times New Roman"/>
          <w:sz w:val="24"/>
          <w:szCs w:val="24"/>
        </w:rPr>
        <w:t xml:space="preserve"> to strengthen causal inference in biomedicine is</w:t>
      </w:r>
      <w:r>
        <w:rPr>
          <w:rFonts w:ascii="Times New Roman" w:hAnsi="Times New Roman" w:cs="Times New Roman"/>
          <w:sz w:val="24"/>
          <w:szCs w:val="24"/>
        </w:rPr>
        <w:t xml:space="preserve"> through</w:t>
      </w:r>
      <w:r w:rsidRPr="00EE1EA3">
        <w:rPr>
          <w:rFonts w:ascii="Times New Roman" w:hAnsi="Times New Roman" w:cs="Times New Roman"/>
          <w:sz w:val="24"/>
          <w:szCs w:val="24"/>
        </w:rPr>
        <w:t xml:space="preserve"> “triangulation”</w:t>
      </w:r>
      <w:r w:rsidR="00DA0CDB">
        <w:rPr>
          <w:rFonts w:ascii="Times New Roman" w:hAnsi="Times New Roman" w:cs="Times New Roman"/>
          <w:sz w:val="24"/>
          <w:szCs w:val="24"/>
        </w:rPr>
        <w:t xml:space="preserve"> (Lawlor et al, 2016; Munafo </w:t>
      </w:r>
      <w:r w:rsidR="00DA0CDB" w:rsidRPr="00841DFA">
        <w:rPr>
          <w:rFonts w:ascii="Times New Roman" w:hAnsi="Times New Roman" w:cs="Times New Roman"/>
          <w:sz w:val="24"/>
          <w:szCs w:val="24"/>
        </w:rPr>
        <w:t>&amp; Davey Smith</w:t>
      </w:r>
      <w:r w:rsidR="00DA0CDB">
        <w:rPr>
          <w:rFonts w:ascii="Times New Roman" w:hAnsi="Times New Roman" w:cs="Times New Roman"/>
          <w:sz w:val="24"/>
          <w:szCs w:val="24"/>
        </w:rPr>
        <w:t>, 2018)</w:t>
      </w:r>
      <w:r w:rsidRPr="00EE1EA3">
        <w:rPr>
          <w:rFonts w:ascii="Times New Roman" w:hAnsi="Times New Roman" w:cs="Times New Roman"/>
          <w:sz w:val="24"/>
          <w:szCs w:val="24"/>
        </w:rPr>
        <w:t>.</w:t>
      </w:r>
      <w:r w:rsidR="002E612E" w:rsidRPr="00062070" w:rsidDel="002E612E">
        <w:rPr>
          <w:rFonts w:ascii="Times New Roman" w:hAnsi="Times New Roman" w:cs="Times New Roman"/>
          <w:sz w:val="24"/>
          <w:szCs w:val="24"/>
          <w:vertAlign w:val="superscript"/>
        </w:rPr>
        <w:t xml:space="preserve"> </w:t>
      </w:r>
      <w:r w:rsidRPr="00EE1EA3">
        <w:rPr>
          <w:rFonts w:ascii="Times New Roman" w:hAnsi="Times New Roman" w:cs="Times New Roman"/>
          <w:sz w:val="24"/>
          <w:szCs w:val="24"/>
        </w:rPr>
        <w:t>This is “the strategic use of multiple approaches to address one question. Each approach has its own unrelated assumptions, strengths and weaknesses. Results that agree across different methodologies are less likely to be artefacts”</w:t>
      </w:r>
      <w:r w:rsidR="00DA0CDB">
        <w:rPr>
          <w:rFonts w:ascii="Times New Roman" w:hAnsi="Times New Roman" w:cs="Times New Roman"/>
          <w:sz w:val="24"/>
          <w:szCs w:val="24"/>
        </w:rPr>
        <w:t xml:space="preserve"> (Lawlor et al, 2016)</w:t>
      </w:r>
      <w:r w:rsidRPr="00EE1EA3">
        <w:rPr>
          <w:rFonts w:ascii="Times New Roman" w:hAnsi="Times New Roman" w:cs="Times New Roman"/>
          <w:sz w:val="24"/>
          <w:szCs w:val="24"/>
        </w:rPr>
        <w:t xml:space="preserve">. </w:t>
      </w:r>
      <w:r w:rsidRPr="00EE1EA3">
        <w:rPr>
          <w:rFonts w:ascii="Times New Roman" w:eastAsia="Times New Roman" w:hAnsi="Times New Roman" w:cs="Times New Roman"/>
          <w:sz w:val="24"/>
          <w:szCs w:val="24"/>
          <w:lang w:eastAsia="en-GB"/>
        </w:rPr>
        <w:t>Ideally, results from more than two approaches</w:t>
      </w:r>
      <w:r w:rsidR="006125C1">
        <w:rPr>
          <w:rFonts w:ascii="Times New Roman" w:eastAsia="Times New Roman" w:hAnsi="Times New Roman" w:cs="Times New Roman"/>
          <w:sz w:val="24"/>
          <w:szCs w:val="24"/>
          <w:lang w:eastAsia="en-GB"/>
        </w:rPr>
        <w:t xml:space="preserve"> -</w:t>
      </w:r>
      <w:r w:rsidRPr="00EE1EA3">
        <w:rPr>
          <w:rFonts w:ascii="Times New Roman" w:eastAsia="Times New Roman" w:hAnsi="Times New Roman" w:cs="Times New Roman"/>
          <w:sz w:val="24"/>
          <w:szCs w:val="24"/>
          <w:lang w:eastAsia="en-GB"/>
        </w:rPr>
        <w:t xml:space="preserve"> which have different and unrelated key sources of potential biases — are compared</w:t>
      </w:r>
      <w:r w:rsidR="00DA0CDB">
        <w:rPr>
          <w:rFonts w:ascii="Times New Roman" w:eastAsia="Times New Roman" w:hAnsi="Times New Roman" w:cs="Times New Roman"/>
          <w:sz w:val="24"/>
          <w:szCs w:val="24"/>
          <w:lang w:eastAsia="en-GB"/>
        </w:rPr>
        <w:t xml:space="preserve"> (</w:t>
      </w:r>
      <w:r w:rsidR="00DA0CDB">
        <w:rPr>
          <w:rFonts w:ascii="Times New Roman" w:hAnsi="Times New Roman" w:cs="Times New Roman"/>
          <w:sz w:val="24"/>
          <w:szCs w:val="24"/>
        </w:rPr>
        <w:t xml:space="preserve">Munafo </w:t>
      </w:r>
      <w:r w:rsidR="00DA0CDB" w:rsidRPr="00841DFA">
        <w:rPr>
          <w:rFonts w:ascii="Times New Roman" w:hAnsi="Times New Roman" w:cs="Times New Roman"/>
          <w:sz w:val="24"/>
          <w:szCs w:val="24"/>
        </w:rPr>
        <w:t>&amp; Davey Smith</w:t>
      </w:r>
      <w:r w:rsidR="00DA0CDB">
        <w:rPr>
          <w:rFonts w:ascii="Times New Roman" w:hAnsi="Times New Roman" w:cs="Times New Roman"/>
          <w:sz w:val="24"/>
          <w:szCs w:val="24"/>
        </w:rPr>
        <w:t>, 2018)</w:t>
      </w:r>
      <w:r w:rsidRPr="00EE1EA3">
        <w:rPr>
          <w:rFonts w:ascii="Times New Roman" w:hAnsi="Times New Roman" w:cs="Times New Roman"/>
          <w:sz w:val="24"/>
          <w:szCs w:val="24"/>
        </w:rPr>
        <w:t xml:space="preserve">. An additional feature is </w:t>
      </w:r>
      <w:r>
        <w:rPr>
          <w:rFonts w:ascii="Times New Roman" w:hAnsi="Times New Roman" w:cs="Times New Roman"/>
          <w:sz w:val="24"/>
          <w:szCs w:val="24"/>
        </w:rPr>
        <w:t xml:space="preserve">the </w:t>
      </w:r>
      <w:r w:rsidRPr="00EE1EA3">
        <w:rPr>
          <w:rFonts w:ascii="Times New Roman" w:hAnsi="Times New Roman" w:cs="Times New Roman"/>
          <w:sz w:val="24"/>
          <w:szCs w:val="24"/>
        </w:rPr>
        <w:t xml:space="preserve">mixing </w:t>
      </w:r>
      <w:r>
        <w:rPr>
          <w:rFonts w:ascii="Times New Roman" w:hAnsi="Times New Roman" w:cs="Times New Roman"/>
          <w:sz w:val="24"/>
          <w:szCs w:val="24"/>
        </w:rPr>
        <w:t xml:space="preserve">of </w:t>
      </w:r>
      <w:r w:rsidRPr="00EE1EA3">
        <w:rPr>
          <w:rFonts w:ascii="Times New Roman" w:hAnsi="Times New Roman" w:cs="Times New Roman"/>
          <w:sz w:val="24"/>
          <w:szCs w:val="24"/>
        </w:rPr>
        <w:t xml:space="preserve">qualitative and quantitative types of evidence that bring breadth and depth to the </w:t>
      </w:r>
      <w:r w:rsidRPr="00EE1EA3">
        <w:rPr>
          <w:rFonts w:ascii="Times New Roman" w:hAnsi="Times New Roman" w:cs="Times New Roman"/>
          <w:sz w:val="24"/>
          <w:szCs w:val="24"/>
        </w:rPr>
        <w:lastRenderedPageBreak/>
        <w:t>same research question.</w:t>
      </w:r>
      <w:r w:rsidR="00460BBF">
        <w:rPr>
          <w:rFonts w:ascii="Times New Roman" w:hAnsi="Times New Roman" w:cs="Times New Roman"/>
          <w:sz w:val="24"/>
          <w:szCs w:val="24"/>
        </w:rPr>
        <w:t xml:space="preserve"> </w:t>
      </w:r>
      <w:r w:rsidR="00AC6591">
        <w:rPr>
          <w:rFonts w:ascii="Times New Roman" w:hAnsi="Times New Roman" w:cs="Times New Roman"/>
          <w:sz w:val="24"/>
          <w:szCs w:val="24"/>
        </w:rPr>
        <w:t xml:space="preserve">Triangulation in research is by no means a new concept, being a staple approach in qualitative research to </w:t>
      </w:r>
      <w:r w:rsidR="00E3553A">
        <w:rPr>
          <w:rFonts w:ascii="Times New Roman" w:hAnsi="Times New Roman" w:cs="Times New Roman"/>
          <w:sz w:val="24"/>
          <w:szCs w:val="24"/>
        </w:rPr>
        <w:t>ascertain the convergence of results and examine rival explanations</w:t>
      </w:r>
      <w:r w:rsidR="00B16072">
        <w:rPr>
          <w:rFonts w:ascii="Times New Roman" w:hAnsi="Times New Roman" w:cs="Times New Roman"/>
          <w:sz w:val="24"/>
          <w:szCs w:val="24"/>
        </w:rPr>
        <w:t xml:space="preserve"> (Patton, 1999).</w:t>
      </w:r>
    </w:p>
    <w:p w14:paraId="4BEB2053" w14:textId="71684F94" w:rsidR="00770826" w:rsidRDefault="00460BBF" w:rsidP="007708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apply a </w:t>
      </w:r>
      <w:r w:rsidR="002E612E" w:rsidRPr="002E612E">
        <w:rPr>
          <w:rFonts w:ascii="Times New Roman" w:hAnsi="Times New Roman" w:cs="Times New Roman"/>
          <w:sz w:val="24"/>
          <w:szCs w:val="24"/>
        </w:rPr>
        <w:t xml:space="preserve">biologically </w:t>
      </w:r>
      <w:r w:rsidRPr="00EE2751">
        <w:rPr>
          <w:rFonts w:ascii="Times New Roman" w:hAnsi="Times New Roman" w:cs="Times New Roman"/>
          <w:sz w:val="24"/>
          <w:szCs w:val="24"/>
        </w:rPr>
        <w:t xml:space="preserve">multi-layered approach to address the consistency of findings </w:t>
      </w:r>
      <w:r w:rsidR="0058421A">
        <w:rPr>
          <w:rFonts w:ascii="Times New Roman" w:hAnsi="Times New Roman" w:cs="Times New Roman"/>
          <w:sz w:val="24"/>
          <w:szCs w:val="24"/>
        </w:rPr>
        <w:t>across measures of</w:t>
      </w:r>
      <w:r w:rsidRPr="00EE2751">
        <w:rPr>
          <w:rFonts w:ascii="Times New Roman" w:hAnsi="Times New Roman" w:cs="Times New Roman"/>
          <w:sz w:val="24"/>
          <w:szCs w:val="24"/>
        </w:rPr>
        <w:t xml:space="preserve"> socio-economic conditions and health from populations to molecules, under the assumption that each layer </w:t>
      </w:r>
      <w:r w:rsidR="002E612E" w:rsidRPr="008926AB">
        <w:rPr>
          <w:rFonts w:ascii="Times New Roman" w:hAnsi="Times New Roman" w:cs="Times New Roman"/>
          <w:sz w:val="24"/>
          <w:szCs w:val="24"/>
        </w:rPr>
        <w:t>(death, functional outcomes, DNA, RNA, proteins, infections)</w:t>
      </w:r>
      <w:r w:rsidR="002E612E" w:rsidRPr="002E612E">
        <w:rPr>
          <w:rFonts w:ascii="Times New Roman" w:hAnsi="Times New Roman" w:cs="Times New Roman"/>
          <w:sz w:val="24"/>
          <w:szCs w:val="24"/>
        </w:rPr>
        <w:t xml:space="preserve"> </w:t>
      </w:r>
      <w:r w:rsidRPr="00EE2751">
        <w:rPr>
          <w:rFonts w:ascii="Times New Roman" w:hAnsi="Times New Roman" w:cs="Times New Roman"/>
          <w:sz w:val="24"/>
          <w:szCs w:val="24"/>
        </w:rPr>
        <w:t>is characterized by different types of bias and confounding.</w:t>
      </w:r>
      <w:r w:rsidR="008779A6">
        <w:rPr>
          <w:rFonts w:ascii="Times New Roman" w:hAnsi="Times New Roman" w:cs="Times New Roman"/>
          <w:sz w:val="24"/>
          <w:szCs w:val="24"/>
        </w:rPr>
        <w:t xml:space="preserve"> The paper is based o</w:t>
      </w:r>
      <w:r w:rsidR="00451842">
        <w:rPr>
          <w:rFonts w:ascii="Times New Roman" w:hAnsi="Times New Roman" w:cs="Times New Roman"/>
          <w:sz w:val="24"/>
          <w:szCs w:val="24"/>
        </w:rPr>
        <w:t>n a large consortium of cohorts,</w:t>
      </w:r>
      <w:r w:rsidR="008779A6">
        <w:rPr>
          <w:rFonts w:ascii="Times New Roman" w:hAnsi="Times New Roman" w:cs="Times New Roman"/>
          <w:sz w:val="24"/>
          <w:szCs w:val="24"/>
        </w:rPr>
        <w:t xml:space="preserve"> Lifepath, that has brought together data on socio-economic position and health from up to 1.7 </w:t>
      </w:r>
      <w:r w:rsidR="008779A6" w:rsidRPr="00B8373E">
        <w:rPr>
          <w:rFonts w:ascii="Times New Roman" w:hAnsi="Times New Roman" w:cs="Times New Roman"/>
          <w:sz w:val="24"/>
          <w:szCs w:val="24"/>
        </w:rPr>
        <w:t xml:space="preserve">million individuals, including extensive data on biomarkers. To show that socio-economic position has an impact at different layers of biology </w:t>
      </w:r>
      <w:r w:rsidR="00B8373E" w:rsidRPr="00B8373E">
        <w:rPr>
          <w:rFonts w:ascii="Times New Roman" w:hAnsi="Times New Roman" w:cs="Times New Roman"/>
          <w:sz w:val="24"/>
          <w:szCs w:val="24"/>
        </w:rPr>
        <w:t>(</w:t>
      </w:r>
      <w:r w:rsidR="00B8373E" w:rsidRPr="00A53C27">
        <w:rPr>
          <w:rFonts w:ascii="Times New Roman" w:hAnsi="Times New Roman" w:cs="Times New Roman"/>
          <w:sz w:val="24"/>
          <w:szCs w:val="24"/>
        </w:rPr>
        <w:t>before reaching the mortality end-point</w:t>
      </w:r>
      <w:r w:rsidR="00B8373E" w:rsidRPr="00B8373E">
        <w:rPr>
          <w:rFonts w:ascii="Times New Roman" w:hAnsi="Times New Roman" w:cs="Times New Roman"/>
          <w:sz w:val="24"/>
          <w:szCs w:val="24"/>
        </w:rPr>
        <w:t>)</w:t>
      </w:r>
      <w:r w:rsidR="007322C7" w:rsidRPr="00B8373E">
        <w:rPr>
          <w:rFonts w:ascii="Times New Roman" w:hAnsi="Times New Roman" w:cs="Times New Roman"/>
          <w:sz w:val="24"/>
          <w:szCs w:val="24"/>
        </w:rPr>
        <w:t xml:space="preserve"> we use here </w:t>
      </w:r>
      <w:r w:rsidR="007322C7">
        <w:rPr>
          <w:rFonts w:ascii="Times New Roman" w:hAnsi="Times New Roman" w:cs="Times New Roman"/>
          <w:sz w:val="24"/>
          <w:szCs w:val="24"/>
        </w:rPr>
        <w:t>published results</w:t>
      </w:r>
      <w:r w:rsidR="00B8373E">
        <w:rPr>
          <w:rFonts w:ascii="Times New Roman" w:hAnsi="Times New Roman" w:cs="Times New Roman"/>
          <w:sz w:val="24"/>
          <w:szCs w:val="24"/>
        </w:rPr>
        <w:t xml:space="preserve"> from Lifpeath</w:t>
      </w:r>
      <w:r w:rsidR="007322C7">
        <w:rPr>
          <w:rFonts w:ascii="Times New Roman" w:hAnsi="Times New Roman" w:cs="Times New Roman"/>
          <w:sz w:val="24"/>
          <w:szCs w:val="24"/>
        </w:rPr>
        <w:t>, that have not been considered as a whole before</w:t>
      </w:r>
      <w:r w:rsidR="001D7F4A">
        <w:rPr>
          <w:rFonts w:ascii="Times New Roman" w:hAnsi="Times New Roman" w:cs="Times New Roman"/>
          <w:sz w:val="24"/>
          <w:szCs w:val="24"/>
        </w:rPr>
        <w:t xml:space="preserve"> (</w:t>
      </w:r>
      <w:r w:rsidR="007A49A0">
        <w:rPr>
          <w:rFonts w:ascii="Times New Roman" w:hAnsi="Times New Roman" w:cs="Times New Roman"/>
          <w:sz w:val="24"/>
          <w:szCs w:val="24"/>
        </w:rPr>
        <w:t>under</w:t>
      </w:r>
      <w:r w:rsidR="00DB21D8">
        <w:rPr>
          <w:rFonts w:ascii="Times New Roman" w:hAnsi="Times New Roman" w:cs="Times New Roman"/>
          <w:sz w:val="24"/>
          <w:szCs w:val="24"/>
        </w:rPr>
        <w:t xml:space="preserve"> the assumption that the whole is greater than the sum of the parts</w:t>
      </w:r>
      <w:r w:rsidR="001D7F4A">
        <w:rPr>
          <w:rFonts w:ascii="Times New Roman" w:hAnsi="Times New Roman" w:cs="Times New Roman"/>
          <w:sz w:val="24"/>
          <w:szCs w:val="24"/>
        </w:rPr>
        <w:t>)</w:t>
      </w:r>
      <w:r w:rsidR="00DB21D8">
        <w:rPr>
          <w:rFonts w:ascii="Times New Roman" w:hAnsi="Times New Roman" w:cs="Times New Roman"/>
          <w:sz w:val="24"/>
          <w:szCs w:val="24"/>
        </w:rPr>
        <w:t>.</w:t>
      </w:r>
      <w:r w:rsidR="0058421A">
        <w:rPr>
          <w:rFonts w:ascii="Times New Roman" w:hAnsi="Times New Roman" w:cs="Times New Roman"/>
          <w:sz w:val="24"/>
          <w:szCs w:val="24"/>
        </w:rPr>
        <w:t xml:space="preserve"> To achieve this </w:t>
      </w:r>
      <w:r w:rsidR="001D7F4A">
        <w:rPr>
          <w:rFonts w:ascii="Times New Roman" w:hAnsi="Times New Roman" w:cs="Times New Roman"/>
          <w:sz w:val="24"/>
          <w:szCs w:val="24"/>
        </w:rPr>
        <w:t xml:space="preserve">we </w:t>
      </w:r>
      <w:r w:rsidR="00770826">
        <w:rPr>
          <w:rFonts w:ascii="Times New Roman" w:hAnsi="Times New Roman" w:cs="Times New Roman"/>
          <w:sz w:val="24"/>
          <w:szCs w:val="24"/>
        </w:rPr>
        <w:t xml:space="preserve">have analysed </w:t>
      </w:r>
      <w:r w:rsidR="00770826" w:rsidRPr="00EE1EA3">
        <w:rPr>
          <w:rFonts w:ascii="Times New Roman" w:hAnsi="Times New Roman" w:cs="Times New Roman"/>
          <w:sz w:val="24"/>
          <w:szCs w:val="24"/>
        </w:rPr>
        <w:t xml:space="preserve">four sets of evidence: (a) the effect of </w:t>
      </w:r>
      <w:r w:rsidR="0058421A">
        <w:rPr>
          <w:rFonts w:ascii="Times New Roman" w:hAnsi="Times New Roman" w:cs="Times New Roman"/>
          <w:sz w:val="24"/>
          <w:szCs w:val="24"/>
        </w:rPr>
        <w:t xml:space="preserve">socioeconomic </w:t>
      </w:r>
      <w:r w:rsidR="00770826" w:rsidRPr="00AA0556">
        <w:rPr>
          <w:rFonts w:ascii="Times New Roman" w:hAnsi="Times New Roman" w:cs="Times New Roman"/>
          <w:sz w:val="24"/>
          <w:szCs w:val="24"/>
        </w:rPr>
        <w:t>disadvantage</w:t>
      </w:r>
      <w:r w:rsidR="007A49A0">
        <w:rPr>
          <w:rFonts w:ascii="Times New Roman" w:hAnsi="Times New Roman" w:cs="Times New Roman"/>
          <w:sz w:val="24"/>
          <w:szCs w:val="24"/>
        </w:rPr>
        <w:t xml:space="preserve"> </w:t>
      </w:r>
      <w:r w:rsidR="00770826" w:rsidRPr="00AA0556">
        <w:rPr>
          <w:rFonts w:ascii="Times New Roman" w:hAnsi="Times New Roman" w:cs="Times New Roman"/>
          <w:sz w:val="24"/>
          <w:szCs w:val="24"/>
        </w:rPr>
        <w:t xml:space="preserve"> </w:t>
      </w:r>
      <w:r w:rsidR="0058421A" w:rsidRPr="001D7F4A">
        <w:rPr>
          <w:rFonts w:ascii="Times New Roman" w:hAnsi="Times New Roman" w:cs="Times New Roman"/>
          <w:sz w:val="24"/>
          <w:szCs w:val="24"/>
        </w:rPr>
        <w:t>measured using different indicators</w:t>
      </w:r>
      <w:r w:rsidR="00770826" w:rsidRPr="001D7F4A">
        <w:rPr>
          <w:rFonts w:ascii="Times New Roman" w:hAnsi="Times New Roman" w:cs="Times New Roman"/>
          <w:sz w:val="24"/>
          <w:szCs w:val="24"/>
        </w:rPr>
        <w:t xml:space="preserve"> on long-term outcomes, before and after adjustment for </w:t>
      </w:r>
      <w:r w:rsidR="001D7F4A" w:rsidRPr="00A53C27">
        <w:rPr>
          <w:rFonts w:ascii="Times New Roman" w:hAnsi="Times New Roman" w:cs="Times New Roman"/>
          <w:sz w:val="24"/>
          <w:szCs w:val="24"/>
        </w:rPr>
        <w:t xml:space="preserve"> behaviourally-related risk factors</w:t>
      </w:r>
      <w:r w:rsidR="00770826" w:rsidRPr="001D7F4A">
        <w:rPr>
          <w:rFonts w:ascii="Times New Roman" w:hAnsi="Times New Roman" w:cs="Times New Roman"/>
          <w:sz w:val="24"/>
          <w:szCs w:val="24"/>
        </w:rPr>
        <w:t xml:space="preserve"> (b) the effect of </w:t>
      </w:r>
      <w:r w:rsidR="00451842" w:rsidRPr="000950B5">
        <w:rPr>
          <w:rFonts w:ascii="Times New Roman" w:hAnsi="Times New Roman" w:cs="Times New Roman"/>
          <w:sz w:val="24"/>
          <w:szCs w:val="24"/>
        </w:rPr>
        <w:t xml:space="preserve">socio-economic </w:t>
      </w:r>
      <w:r w:rsidR="00451842">
        <w:rPr>
          <w:rFonts w:ascii="Times New Roman" w:hAnsi="Times New Roman" w:cs="Times New Roman"/>
          <w:sz w:val="24"/>
          <w:szCs w:val="24"/>
        </w:rPr>
        <w:t>disadvantage</w:t>
      </w:r>
      <w:r w:rsidR="00770826" w:rsidRPr="00451842">
        <w:rPr>
          <w:rFonts w:ascii="Times New Roman" w:hAnsi="Times New Roman" w:cs="Times New Roman"/>
          <w:sz w:val="24"/>
          <w:szCs w:val="24"/>
        </w:rPr>
        <w:t xml:space="preserve"> on intermediate biological</w:t>
      </w:r>
      <w:r w:rsidR="00770826" w:rsidRPr="00EE1EA3">
        <w:rPr>
          <w:rFonts w:ascii="Times New Roman" w:hAnsi="Times New Roman" w:cs="Times New Roman"/>
          <w:sz w:val="24"/>
          <w:szCs w:val="24"/>
        </w:rPr>
        <w:t xml:space="preserve"> markers that increase susceptibility to disease, such as childhood obesity</w:t>
      </w:r>
      <w:r w:rsidR="00770826">
        <w:rPr>
          <w:rFonts w:ascii="Times New Roman" w:hAnsi="Times New Roman" w:cs="Times New Roman"/>
          <w:sz w:val="24"/>
          <w:szCs w:val="24"/>
        </w:rPr>
        <w:t>;</w:t>
      </w:r>
      <w:r w:rsidR="00770826" w:rsidRPr="00EE1EA3">
        <w:rPr>
          <w:rFonts w:ascii="Times New Roman" w:hAnsi="Times New Roman" w:cs="Times New Roman"/>
          <w:sz w:val="24"/>
          <w:szCs w:val="24"/>
        </w:rPr>
        <w:t xml:space="preserve"> (c) the effect of </w:t>
      </w:r>
      <w:r w:rsidR="0058421A">
        <w:rPr>
          <w:rFonts w:ascii="Times New Roman" w:hAnsi="Times New Roman" w:cs="Times New Roman"/>
          <w:sz w:val="24"/>
          <w:szCs w:val="24"/>
        </w:rPr>
        <w:t xml:space="preserve">socioeconomic </w:t>
      </w:r>
      <w:r w:rsidR="0058421A" w:rsidRPr="00AA0556">
        <w:rPr>
          <w:rFonts w:ascii="Times New Roman" w:hAnsi="Times New Roman" w:cs="Times New Roman"/>
          <w:sz w:val="24"/>
          <w:szCs w:val="24"/>
        </w:rPr>
        <w:t xml:space="preserve">disadvantage </w:t>
      </w:r>
      <w:r w:rsidR="00770826" w:rsidRPr="00EE1EA3">
        <w:rPr>
          <w:rFonts w:ascii="Times New Roman" w:hAnsi="Times New Roman" w:cs="Times New Roman"/>
          <w:sz w:val="24"/>
          <w:szCs w:val="24"/>
        </w:rPr>
        <w:t xml:space="preserve">on intermediate blood biomarkers known to be associated with health or ageing and at different omic scales (transcriptomics, DNA methylation, inflammatory proteins, allostatic load); </w:t>
      </w:r>
      <w:r w:rsidR="00770826">
        <w:rPr>
          <w:rFonts w:ascii="Times New Roman" w:hAnsi="Times New Roman" w:cs="Times New Roman"/>
          <w:sz w:val="24"/>
          <w:szCs w:val="24"/>
        </w:rPr>
        <w:t xml:space="preserve">and </w:t>
      </w:r>
      <w:r w:rsidR="00770826" w:rsidRPr="00EE1EA3">
        <w:rPr>
          <w:rFonts w:ascii="Times New Roman" w:hAnsi="Times New Roman" w:cs="Times New Roman"/>
          <w:sz w:val="24"/>
          <w:szCs w:val="24"/>
        </w:rPr>
        <w:t xml:space="preserve">(d) the impact of </w:t>
      </w:r>
      <w:r w:rsidR="0058421A">
        <w:rPr>
          <w:rFonts w:ascii="Times New Roman" w:hAnsi="Times New Roman" w:cs="Times New Roman"/>
          <w:sz w:val="24"/>
          <w:szCs w:val="24"/>
        </w:rPr>
        <w:t xml:space="preserve">socioeconomic </w:t>
      </w:r>
      <w:r w:rsidR="0058421A" w:rsidRPr="00AA0556">
        <w:rPr>
          <w:rFonts w:ascii="Times New Roman" w:hAnsi="Times New Roman" w:cs="Times New Roman"/>
          <w:sz w:val="24"/>
          <w:szCs w:val="24"/>
        </w:rPr>
        <w:t xml:space="preserve">disadvantage </w:t>
      </w:r>
      <w:r w:rsidR="00770826" w:rsidRPr="00EE1EA3">
        <w:rPr>
          <w:rFonts w:ascii="Times New Roman" w:hAnsi="Times New Roman" w:cs="Times New Roman"/>
          <w:sz w:val="24"/>
          <w:szCs w:val="24"/>
        </w:rPr>
        <w:t xml:space="preserve">on risk of infection. </w:t>
      </w:r>
    </w:p>
    <w:p w14:paraId="5371CEC2" w14:textId="6B8FB2DE" w:rsidR="00A874BB" w:rsidRPr="0030661D" w:rsidRDefault="00A874BB" w:rsidP="0086535B">
      <w:pPr>
        <w:pStyle w:val="CommentText"/>
        <w:spacing w:line="360" w:lineRule="auto"/>
        <w:jc w:val="both"/>
        <w:rPr>
          <w:rFonts w:ascii="Times New Roman" w:hAnsi="Times New Roman" w:cs="Times New Roman"/>
          <w:sz w:val="24"/>
          <w:szCs w:val="24"/>
        </w:rPr>
      </w:pPr>
    </w:p>
    <w:p w14:paraId="6CC77B6A" w14:textId="5DEEA6B1" w:rsidR="00C91607" w:rsidRPr="00957982" w:rsidRDefault="00136AFF" w:rsidP="00957982">
      <w:pPr>
        <w:pStyle w:val="ListParagraph"/>
        <w:numPr>
          <w:ilvl w:val="0"/>
          <w:numId w:val="1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w:t>
      </w:r>
    </w:p>
    <w:p w14:paraId="70DAEA3B" w14:textId="7A61ED6E" w:rsidR="00C91607" w:rsidRPr="00C91607" w:rsidRDefault="00957982" w:rsidP="00C91607">
      <w:pPr>
        <w:pStyle w:val="Default"/>
        <w:spacing w:line="360" w:lineRule="auto"/>
        <w:jc w:val="both"/>
        <w:rPr>
          <w:rFonts w:ascii="Times New Roman" w:hAnsi="Times New Roman" w:cs="Times New Roman"/>
          <w:b/>
          <w:bCs/>
        </w:rPr>
      </w:pPr>
      <w:r>
        <w:rPr>
          <w:rFonts w:ascii="Times New Roman" w:hAnsi="Times New Roman" w:cs="Times New Roman"/>
          <w:b/>
          <w:bCs/>
        </w:rPr>
        <w:t xml:space="preserve">2.1. </w:t>
      </w:r>
      <w:r w:rsidR="00C91607" w:rsidRPr="00C91607">
        <w:rPr>
          <w:rFonts w:ascii="Times New Roman" w:hAnsi="Times New Roman" w:cs="Times New Roman"/>
          <w:b/>
          <w:bCs/>
        </w:rPr>
        <w:t>Populations</w:t>
      </w:r>
    </w:p>
    <w:p w14:paraId="3BD671CB" w14:textId="49C1E10B" w:rsidR="00C91607" w:rsidRDefault="00C91607" w:rsidP="00C91607">
      <w:pPr>
        <w:pStyle w:val="Default"/>
        <w:spacing w:line="360" w:lineRule="auto"/>
        <w:jc w:val="both"/>
        <w:rPr>
          <w:rFonts w:ascii="Times New Roman" w:hAnsi="Times New Roman" w:cs="Times New Roman"/>
          <w:bCs/>
        </w:rPr>
      </w:pPr>
      <w:r>
        <w:rPr>
          <w:rFonts w:ascii="Times New Roman" w:hAnsi="Times New Roman" w:cs="Times New Roman"/>
          <w:bCs/>
        </w:rPr>
        <w:t>The Lifepath</w:t>
      </w:r>
      <w:r w:rsidRPr="007C12F8">
        <w:rPr>
          <w:rFonts w:ascii="Times New Roman" w:hAnsi="Times New Roman" w:cs="Times New Roman"/>
          <w:bCs/>
        </w:rPr>
        <w:t xml:space="preserve"> </w:t>
      </w:r>
      <w:r>
        <w:rPr>
          <w:rFonts w:ascii="Times New Roman" w:hAnsi="Times New Roman" w:cs="Times New Roman"/>
          <w:bCs/>
        </w:rPr>
        <w:t xml:space="preserve">consortium </w:t>
      </w:r>
      <w:r w:rsidRPr="007C12F8">
        <w:rPr>
          <w:rFonts w:ascii="Times New Roman" w:hAnsi="Times New Roman" w:cs="Times New Roman"/>
          <w:bCs/>
        </w:rPr>
        <w:t xml:space="preserve">includes information and biological samples from </w:t>
      </w:r>
      <w:r w:rsidRPr="007C12F8">
        <w:rPr>
          <w:rFonts w:ascii="Times New Roman" w:eastAsiaTheme="minorEastAsia" w:hAnsi="Times New Roman" w:cs="Times New Roman"/>
          <w:bCs/>
          <w:lang w:eastAsia="zh-CN"/>
        </w:rPr>
        <w:t>8</w:t>
      </w:r>
      <w:r w:rsidRPr="007C12F8">
        <w:rPr>
          <w:rFonts w:ascii="Times New Roman" w:hAnsi="Times New Roman" w:cs="Times New Roman"/>
          <w:bCs/>
        </w:rPr>
        <w:t xml:space="preserve"> longitudinal population-based cohorts with extensive phenotyping and repeat biological samples, 9 large longitudinal population-based cohorts with biological samples, and a very large cohort without biological samples </w:t>
      </w:r>
      <w:r>
        <w:rPr>
          <w:rFonts w:ascii="Times New Roman" w:hAnsi="Times New Roman" w:cs="Times New Roman"/>
          <w:bCs/>
        </w:rPr>
        <w:t>(WHIP</w:t>
      </w:r>
      <w:r w:rsidRPr="007C12F8">
        <w:rPr>
          <w:rFonts w:ascii="Times New Roman" w:hAnsi="Times New Roman" w:cs="Times New Roman"/>
          <w:bCs/>
        </w:rPr>
        <w:t xml:space="preserve">). </w:t>
      </w:r>
      <w:r w:rsidR="00E3553A">
        <w:rPr>
          <w:rFonts w:ascii="Times New Roman" w:hAnsi="Times New Roman" w:cs="Times New Roman"/>
          <w:bCs/>
        </w:rPr>
        <w:t>Cohorts from t</w:t>
      </w:r>
      <w:r w:rsidRPr="007C12F8">
        <w:rPr>
          <w:rFonts w:ascii="Times New Roman" w:hAnsi="Times New Roman" w:cs="Times New Roman"/>
          <w:bCs/>
        </w:rPr>
        <w:t xml:space="preserve">he </w:t>
      </w:r>
      <w:r w:rsidR="00E3553A">
        <w:rPr>
          <w:rFonts w:ascii="Times New Roman" w:hAnsi="Times New Roman" w:cs="Times New Roman"/>
          <w:bCs/>
        </w:rPr>
        <w:t xml:space="preserve">following </w:t>
      </w:r>
      <w:r w:rsidRPr="007C12F8">
        <w:rPr>
          <w:rFonts w:ascii="Times New Roman" w:hAnsi="Times New Roman" w:cs="Times New Roman"/>
          <w:bCs/>
        </w:rPr>
        <w:t xml:space="preserve">countries are </w:t>
      </w:r>
      <w:r w:rsidR="00E3553A">
        <w:rPr>
          <w:rFonts w:ascii="Times New Roman" w:hAnsi="Times New Roman" w:cs="Times New Roman"/>
          <w:bCs/>
        </w:rPr>
        <w:t>represented:</w:t>
      </w:r>
      <w:r w:rsidRPr="007C12F8">
        <w:rPr>
          <w:rFonts w:ascii="Times New Roman" w:hAnsi="Times New Roman" w:cs="Times New Roman"/>
          <w:bCs/>
        </w:rPr>
        <w:t xml:space="preserve"> France, Italy, Portugal, Ireland, UK, Finland, Switzerland and Australia. These cohorts are only a small proportion of all cohorts available in Europe, but we have chosen them for t</w:t>
      </w:r>
      <w:r>
        <w:rPr>
          <w:rFonts w:ascii="Times New Roman" w:hAnsi="Times New Roman" w:cs="Times New Roman"/>
          <w:bCs/>
        </w:rPr>
        <w:t xml:space="preserve">he combination of good measures </w:t>
      </w:r>
      <w:r w:rsidRPr="007C12F8">
        <w:rPr>
          <w:rFonts w:ascii="Times New Roman" w:hAnsi="Times New Roman" w:cs="Times New Roman"/>
          <w:bCs/>
        </w:rPr>
        <w:t xml:space="preserve">of socio-economic </w:t>
      </w:r>
      <w:r w:rsidR="00E3553A">
        <w:rPr>
          <w:rFonts w:ascii="Times New Roman" w:hAnsi="Times New Roman" w:cs="Times New Roman"/>
          <w:bCs/>
        </w:rPr>
        <w:t>position</w:t>
      </w:r>
      <w:r w:rsidRPr="007C12F8">
        <w:rPr>
          <w:rFonts w:ascii="Times New Roman" w:hAnsi="Times New Roman" w:cs="Times New Roman"/>
          <w:bCs/>
        </w:rPr>
        <w:t xml:space="preserve">, risk factors for NCD and </w:t>
      </w:r>
      <w:r w:rsidR="00E3553A">
        <w:rPr>
          <w:rFonts w:ascii="Times New Roman" w:hAnsi="Times New Roman" w:cs="Times New Roman"/>
          <w:bCs/>
        </w:rPr>
        <w:t xml:space="preserve">existing </w:t>
      </w:r>
      <w:r w:rsidRPr="007C12F8">
        <w:rPr>
          <w:rFonts w:ascii="Times New Roman" w:hAnsi="Times New Roman" w:cs="Times New Roman"/>
          <w:bCs/>
        </w:rPr>
        <w:t xml:space="preserve">biomarkers. The majority of cohorts include “hard” outcomes (diabetes, cancer, cardiovascular disease - CVD, total mortality), and the extensively phenotyped cohorts also include several measurements of </w:t>
      </w:r>
      <w:r w:rsidRPr="007C12F8">
        <w:rPr>
          <w:rFonts w:ascii="Times New Roman" w:hAnsi="Times New Roman" w:cs="Times New Roman"/>
          <w:bCs/>
        </w:rPr>
        <w:lastRenderedPageBreak/>
        <w:t xml:space="preserve">the functional components of healthy ageing, including frailty, impaired vision, cognitive function, renal and brain function, osteoporosis, sleep disturbances and mental health. All age groups are represented with two birth cohorts, one cohort of adolescents and several cohorts encompassing young adults (age 18 and above). Furthermore, there is a strong representation of elderly subjects in </w:t>
      </w:r>
      <w:r w:rsidRPr="007C12F8">
        <w:rPr>
          <w:rFonts w:ascii="Times New Roman" w:eastAsiaTheme="minorEastAsia" w:hAnsi="Times New Roman" w:cs="Times New Roman"/>
          <w:bCs/>
          <w:lang w:eastAsia="zh-CN"/>
        </w:rPr>
        <w:t>7</w:t>
      </w:r>
      <w:r>
        <w:rPr>
          <w:rFonts w:ascii="Times New Roman" w:hAnsi="Times New Roman" w:cs="Times New Roman"/>
          <w:bCs/>
        </w:rPr>
        <w:t xml:space="preserve"> cohorts</w:t>
      </w:r>
      <w:r w:rsidRPr="007C12F8">
        <w:rPr>
          <w:rFonts w:ascii="Times New Roman" w:hAnsi="Times New Roman" w:cs="Times New Roman"/>
          <w:bCs/>
        </w:rPr>
        <w:t>.</w:t>
      </w:r>
    </w:p>
    <w:p w14:paraId="7F51C32A" w14:textId="04922977" w:rsidR="00C91607" w:rsidRDefault="00C91607" w:rsidP="00C91607">
      <w:pPr>
        <w:pStyle w:val="CommentText"/>
        <w:spacing w:line="360" w:lineRule="auto"/>
        <w:jc w:val="both"/>
        <w:rPr>
          <w:rFonts w:ascii="Times New Roman" w:eastAsia="ScalaLancetPro" w:hAnsi="Times New Roman" w:cs="Times New Roman"/>
          <w:sz w:val="24"/>
          <w:szCs w:val="24"/>
        </w:rPr>
      </w:pPr>
      <w:r w:rsidRPr="004A7C4E">
        <w:rPr>
          <w:rFonts w:ascii="Times New Roman" w:eastAsia="ScalaLancetPro" w:hAnsi="Times New Roman" w:cs="Times New Roman"/>
          <w:sz w:val="24"/>
          <w:szCs w:val="24"/>
        </w:rPr>
        <w:t>For the analyses on mor</w:t>
      </w:r>
      <w:r>
        <w:rPr>
          <w:rFonts w:ascii="Times New Roman" w:eastAsia="ScalaLancetPro" w:hAnsi="Times New Roman" w:cs="Times New Roman"/>
          <w:sz w:val="24"/>
          <w:szCs w:val="24"/>
        </w:rPr>
        <w:t>tality we have complemented the Lifepath cohorts</w:t>
      </w:r>
      <w:r w:rsidRPr="004A7C4E">
        <w:rPr>
          <w:rFonts w:ascii="Times New Roman" w:eastAsia="ScalaLancetPro" w:hAnsi="Times New Roman" w:cs="Times New Roman"/>
          <w:sz w:val="24"/>
          <w:szCs w:val="24"/>
        </w:rPr>
        <w:t xml:space="preserve"> with publicly available data from 38 additional cohort studies from the Inter-University Consortium for Political and Social Research and the UK Data Service</w:t>
      </w:r>
      <w:r w:rsidR="00136AFF">
        <w:rPr>
          <w:rFonts w:ascii="Times New Roman" w:eastAsia="ScalaLancetPro" w:hAnsi="Times New Roman" w:cs="Times New Roman"/>
          <w:sz w:val="24"/>
          <w:szCs w:val="24"/>
          <w:vertAlign w:val="superscript"/>
        </w:rPr>
        <w:t xml:space="preserve"> </w:t>
      </w:r>
      <w:r w:rsidR="00136AFF">
        <w:rPr>
          <w:rFonts w:ascii="Times New Roman" w:eastAsia="ScalaLancetPro" w:hAnsi="Times New Roman" w:cs="Times New Roman"/>
          <w:sz w:val="24"/>
          <w:szCs w:val="24"/>
        </w:rPr>
        <w:t>(Stringhini et al, 2017)</w:t>
      </w:r>
      <w:r w:rsidRPr="004A7C4E">
        <w:rPr>
          <w:rFonts w:ascii="Times New Roman" w:eastAsia="ScalaLancetPro" w:hAnsi="Times New Roman" w:cs="Times New Roman"/>
          <w:sz w:val="24"/>
          <w:szCs w:val="24"/>
        </w:rPr>
        <w:t xml:space="preserve">. </w:t>
      </w:r>
    </w:p>
    <w:p w14:paraId="1EF5FFFE" w14:textId="2DE33BA3" w:rsidR="00C91607" w:rsidRPr="00C91607" w:rsidRDefault="00C91607" w:rsidP="00957982">
      <w:pPr>
        <w:pStyle w:val="CommentText"/>
        <w:numPr>
          <w:ilvl w:val="1"/>
          <w:numId w:val="14"/>
        </w:numPr>
        <w:spacing w:line="360" w:lineRule="auto"/>
        <w:jc w:val="both"/>
        <w:rPr>
          <w:rFonts w:ascii="Times New Roman" w:eastAsia="ScalaLancetPro" w:hAnsi="Times New Roman" w:cs="Times New Roman"/>
          <w:b/>
          <w:sz w:val="24"/>
          <w:szCs w:val="24"/>
        </w:rPr>
      </w:pPr>
      <w:r w:rsidRPr="00C91607">
        <w:rPr>
          <w:rFonts w:ascii="Times New Roman" w:eastAsia="ScalaLancetPro" w:hAnsi="Times New Roman" w:cs="Times New Roman"/>
          <w:b/>
          <w:sz w:val="24"/>
          <w:szCs w:val="24"/>
        </w:rPr>
        <w:t xml:space="preserve">Socio-economic </w:t>
      </w:r>
      <w:r w:rsidR="00584954">
        <w:rPr>
          <w:rFonts w:ascii="Times New Roman" w:eastAsia="ScalaLancetPro" w:hAnsi="Times New Roman" w:cs="Times New Roman"/>
          <w:b/>
          <w:sz w:val="24"/>
          <w:szCs w:val="24"/>
        </w:rPr>
        <w:t>variables</w:t>
      </w:r>
    </w:p>
    <w:p w14:paraId="7E7FFCEE" w14:textId="322BF7EF" w:rsidR="00C91607" w:rsidRDefault="00C91607" w:rsidP="00C91607">
      <w:pPr>
        <w:pStyle w:val="CommentText"/>
        <w:spacing w:line="360" w:lineRule="auto"/>
        <w:jc w:val="both"/>
        <w:rPr>
          <w:rFonts w:ascii="Times New Roman" w:hAnsi="Times New Roman" w:cs="Times New Roman"/>
          <w:sz w:val="24"/>
          <w:szCs w:val="24"/>
        </w:rPr>
      </w:pPr>
      <w:r w:rsidRPr="004A7C4E">
        <w:rPr>
          <w:rFonts w:ascii="Times New Roman" w:eastAsia="ScalaLancetPro" w:hAnsi="Times New Roman" w:cs="Times New Roman"/>
          <w:sz w:val="24"/>
          <w:szCs w:val="24"/>
        </w:rPr>
        <w:t xml:space="preserve">Our </w:t>
      </w:r>
      <w:r w:rsidR="00B04E72">
        <w:rPr>
          <w:rFonts w:ascii="Times New Roman" w:eastAsia="ScalaLancetPro" w:hAnsi="Times New Roman" w:cs="Times New Roman"/>
          <w:sz w:val="24"/>
          <w:szCs w:val="24"/>
        </w:rPr>
        <w:t xml:space="preserve">mortality </w:t>
      </w:r>
      <w:r w:rsidRPr="004A7C4E">
        <w:rPr>
          <w:rFonts w:ascii="Times New Roman" w:eastAsia="ScalaLancetPro" w:hAnsi="Times New Roman" w:cs="Times New Roman"/>
          <w:sz w:val="24"/>
          <w:szCs w:val="24"/>
        </w:rPr>
        <w:t>analyses were based on participants whose occupational position was assessed at baseline between 1965 and 2009, depend</w:t>
      </w:r>
      <w:r w:rsidR="00E3553A">
        <w:rPr>
          <w:rFonts w:ascii="Times New Roman" w:eastAsia="ScalaLancetPro" w:hAnsi="Times New Roman" w:cs="Times New Roman"/>
          <w:sz w:val="24"/>
          <w:szCs w:val="24"/>
        </w:rPr>
        <w:t>ing</w:t>
      </w:r>
      <w:r w:rsidRPr="004A7C4E">
        <w:rPr>
          <w:rFonts w:ascii="Times New Roman" w:eastAsia="ScalaLancetPro" w:hAnsi="Times New Roman" w:cs="Times New Roman"/>
          <w:sz w:val="24"/>
          <w:szCs w:val="24"/>
        </w:rPr>
        <w:t xml:space="preserve"> on the study. All studies included baseline data for socioeconomic </w:t>
      </w:r>
      <w:r w:rsidR="00F40F9B">
        <w:rPr>
          <w:rFonts w:ascii="Times New Roman" w:eastAsia="ScalaLancetPro" w:hAnsi="Times New Roman" w:cs="Times New Roman"/>
          <w:sz w:val="24"/>
          <w:szCs w:val="24"/>
        </w:rPr>
        <w:t>position</w:t>
      </w:r>
      <w:r w:rsidRPr="004A7C4E">
        <w:rPr>
          <w:rFonts w:ascii="Times New Roman" w:eastAsia="ScalaLancetPro" w:hAnsi="Times New Roman" w:cs="Times New Roman"/>
          <w:sz w:val="24"/>
          <w:szCs w:val="24"/>
        </w:rPr>
        <w:t xml:space="preserve"> and a mortality follow-up of a minimum of 3 years. We assessed the quality of included studies using the Cochrane Risk of Bias Tool for cohort studies</w:t>
      </w:r>
      <w:r w:rsidR="0049249C">
        <w:rPr>
          <w:rFonts w:ascii="Times New Roman" w:eastAsia="ScalaLancetPro" w:hAnsi="Times New Roman" w:cs="Times New Roman"/>
          <w:sz w:val="24"/>
          <w:szCs w:val="24"/>
          <w:vertAlign w:val="superscript"/>
        </w:rPr>
        <w:t xml:space="preserve"> </w:t>
      </w:r>
      <w:r w:rsidR="0049249C">
        <w:rPr>
          <w:rFonts w:ascii="Times New Roman" w:eastAsia="ScalaLancetPro" w:hAnsi="Times New Roman" w:cs="Times New Roman"/>
          <w:sz w:val="24"/>
          <w:szCs w:val="24"/>
        </w:rPr>
        <w:t>(Stringhini et al, 2017).</w:t>
      </w:r>
      <w:r w:rsidRPr="004A7C4E">
        <w:rPr>
          <w:rFonts w:ascii="Times New Roman" w:eastAsia="ScalaLancetPro" w:hAnsi="Times New Roman" w:cs="Times New Roman"/>
          <w:sz w:val="24"/>
          <w:szCs w:val="24"/>
        </w:rPr>
        <w:t xml:space="preserve"> Our measure of </w:t>
      </w:r>
      <w:r w:rsidR="00685C51" w:rsidRPr="004A7C4E">
        <w:rPr>
          <w:rFonts w:ascii="Times New Roman" w:eastAsia="ScalaLancetPro" w:hAnsi="Times New Roman" w:cs="Times New Roman"/>
          <w:sz w:val="24"/>
          <w:szCs w:val="24"/>
        </w:rPr>
        <w:t>socioeconomic condition is a social class</w:t>
      </w:r>
      <w:r w:rsidR="00685C51" w:rsidRPr="004A7C4E">
        <w:rPr>
          <w:rFonts w:ascii="Times New Roman" w:eastAsia="ScalaLancetPro" w:hAnsi="Times New Roman" w:cs="Times New Roman"/>
          <w:b/>
          <w:bCs/>
          <w:sz w:val="24"/>
          <w:szCs w:val="24"/>
        </w:rPr>
        <w:t xml:space="preserve"> </w:t>
      </w:r>
      <w:r w:rsidR="00685C51" w:rsidRPr="004A7C4E">
        <w:rPr>
          <w:rFonts w:ascii="Times New Roman" w:eastAsia="ScalaLancetPro" w:hAnsi="Times New Roman" w:cs="Times New Roman"/>
          <w:sz w:val="24"/>
          <w:szCs w:val="24"/>
        </w:rPr>
        <w:t xml:space="preserve">measure </w:t>
      </w:r>
      <w:r w:rsidRPr="004A7C4E">
        <w:rPr>
          <w:rFonts w:ascii="Times New Roman" w:eastAsia="ScalaLancetPro" w:hAnsi="Times New Roman" w:cs="Times New Roman"/>
          <w:sz w:val="24"/>
          <w:szCs w:val="24"/>
        </w:rPr>
        <w:t>based on an individual’s last known</w:t>
      </w:r>
      <w:r w:rsidRPr="004A7C4E">
        <w:rPr>
          <w:rFonts w:ascii="Times New Roman" w:eastAsia="ScalaLancetPro" w:hAnsi="Times New Roman" w:cs="Times New Roman"/>
          <w:b/>
          <w:bCs/>
          <w:sz w:val="24"/>
          <w:szCs w:val="24"/>
        </w:rPr>
        <w:t xml:space="preserve"> </w:t>
      </w:r>
      <w:r w:rsidRPr="004A7C4E">
        <w:rPr>
          <w:rFonts w:ascii="Times New Roman" w:eastAsia="ScalaLancetPro" w:hAnsi="Times New Roman" w:cs="Times New Roman"/>
          <w:sz w:val="24"/>
          <w:szCs w:val="24"/>
        </w:rPr>
        <w:t>occupational title at study enrolment, coded into the</w:t>
      </w:r>
      <w:r w:rsidRPr="004A7C4E">
        <w:rPr>
          <w:rFonts w:ascii="Times New Roman" w:eastAsia="ScalaLancetPro" w:hAnsi="Times New Roman" w:cs="Times New Roman"/>
          <w:b/>
          <w:bCs/>
          <w:sz w:val="24"/>
          <w:szCs w:val="24"/>
        </w:rPr>
        <w:t xml:space="preserve"> </w:t>
      </w:r>
      <w:r w:rsidRPr="004A7C4E">
        <w:rPr>
          <w:rFonts w:ascii="Times New Roman" w:eastAsia="ScalaLancetPro" w:hAnsi="Times New Roman" w:cs="Times New Roman"/>
          <w:sz w:val="24"/>
          <w:szCs w:val="24"/>
        </w:rPr>
        <w:t>European Socio-economic Classification (ESEC). This</w:t>
      </w:r>
      <w:r>
        <w:rPr>
          <w:rFonts w:ascii="Times New Roman" w:eastAsia="ScalaLancetPro" w:hAnsi="Times New Roman" w:cs="Times New Roman"/>
          <w:b/>
          <w:bCs/>
          <w:sz w:val="24"/>
          <w:szCs w:val="24"/>
        </w:rPr>
        <w:t xml:space="preserve"> </w:t>
      </w:r>
      <w:r w:rsidRPr="004A7C4E">
        <w:rPr>
          <w:rFonts w:ascii="Times New Roman" w:eastAsia="ScalaLancetPro" w:hAnsi="Times New Roman" w:cs="Times New Roman"/>
          <w:sz w:val="24"/>
          <w:szCs w:val="24"/>
        </w:rPr>
        <w:t xml:space="preserve">variable was predefined and harmonised across the study cohorts before statistical analyses were </w:t>
      </w:r>
      <w:r w:rsidR="00D20166">
        <w:rPr>
          <w:rFonts w:ascii="Times New Roman" w:eastAsia="ScalaLancetPro" w:hAnsi="Times New Roman" w:cs="Times New Roman"/>
          <w:sz w:val="24"/>
          <w:szCs w:val="24"/>
        </w:rPr>
        <w:t>performed</w:t>
      </w:r>
      <w:r w:rsidRPr="004A7C4E">
        <w:rPr>
          <w:rFonts w:ascii="Times New Roman" w:eastAsia="ScalaLancetPro" w:hAnsi="Times New Roman" w:cs="Times New Roman"/>
          <w:sz w:val="24"/>
          <w:szCs w:val="24"/>
        </w:rPr>
        <w:t xml:space="preserve">. Occupational position was </w:t>
      </w:r>
      <w:r w:rsidR="00D20166">
        <w:rPr>
          <w:rFonts w:ascii="Times New Roman" w:eastAsia="ScalaLancetPro" w:hAnsi="Times New Roman" w:cs="Times New Roman"/>
          <w:sz w:val="24"/>
          <w:szCs w:val="24"/>
        </w:rPr>
        <w:t>aggregated</w:t>
      </w:r>
      <w:r w:rsidR="00DB21D8">
        <w:rPr>
          <w:rFonts w:ascii="Times New Roman" w:eastAsia="ScalaLancetPro" w:hAnsi="Times New Roman" w:cs="Times New Roman"/>
          <w:sz w:val="24"/>
          <w:szCs w:val="24"/>
        </w:rPr>
        <w:t xml:space="preserve"> into three categories: </w:t>
      </w:r>
      <w:r w:rsidRPr="004A7C4E">
        <w:rPr>
          <w:rFonts w:ascii="Times New Roman" w:eastAsia="ScalaLancetPro" w:hAnsi="Times New Roman" w:cs="Times New Roman"/>
          <w:sz w:val="24"/>
          <w:szCs w:val="24"/>
        </w:rPr>
        <w:t>higher professionals and managers, higher clerical, services, and sales workers [ESEC class 1, 2, and 3]</w:t>
      </w:r>
      <w:r w:rsidR="00DB21D8">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 xml:space="preserve"> small employers and self-employed, farmers, lower supervisors, and technicians [ESEC class 4, 5, and 6]</w:t>
      </w:r>
      <w:r w:rsidR="00DB21D8">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 xml:space="preserve"> </w:t>
      </w:r>
      <w:r w:rsidR="00DB21D8">
        <w:rPr>
          <w:rFonts w:ascii="Times New Roman" w:eastAsia="ScalaLancetPro" w:hAnsi="Times New Roman" w:cs="Times New Roman"/>
          <w:sz w:val="24"/>
          <w:szCs w:val="24"/>
        </w:rPr>
        <w:t xml:space="preserve">and </w:t>
      </w:r>
      <w:r w:rsidRPr="004A7C4E">
        <w:rPr>
          <w:rFonts w:ascii="Times New Roman" w:eastAsia="ScalaLancetPro" w:hAnsi="Times New Roman" w:cs="Times New Roman"/>
          <w:sz w:val="24"/>
          <w:szCs w:val="24"/>
        </w:rPr>
        <w:t xml:space="preserve">lower clerical, services and sales workers, skilled workers, and semi-skilled and unskilled workers [ESEC class 7, 8, and 9]. </w:t>
      </w:r>
      <w:r>
        <w:rPr>
          <w:rFonts w:ascii="Times New Roman" w:eastAsia="ScalaLancetPro" w:hAnsi="Times New Roman" w:cs="Times New Roman"/>
          <w:sz w:val="24"/>
          <w:szCs w:val="24"/>
        </w:rPr>
        <w:t>The use of the last job may e</w:t>
      </w:r>
      <w:r w:rsidRPr="007B0E38">
        <w:rPr>
          <w:rFonts w:ascii="Times New Roman" w:eastAsia="ScalaLancetPro" w:hAnsi="Times New Roman" w:cs="Times New Roman"/>
          <w:sz w:val="24"/>
          <w:szCs w:val="24"/>
        </w:rPr>
        <w:t xml:space="preserve">ntail </w:t>
      </w:r>
      <w:r>
        <w:rPr>
          <w:rFonts w:ascii="Times New Roman" w:eastAsia="ScalaLancetPro" w:hAnsi="Times New Roman" w:cs="Times New Roman"/>
          <w:sz w:val="24"/>
          <w:szCs w:val="24"/>
        </w:rPr>
        <w:t xml:space="preserve">some degree of misclassification, particularly </w:t>
      </w:r>
      <w:r w:rsidRPr="008926AB">
        <w:rPr>
          <w:rFonts w:ascii="Times New Roman" w:hAnsi="Times New Roman" w:cs="Times New Roman"/>
          <w:sz w:val="24"/>
          <w:szCs w:val="24"/>
        </w:rPr>
        <w:t xml:space="preserve">for people who were not employed in the formal economy at baseline, </w:t>
      </w:r>
      <w:r>
        <w:rPr>
          <w:rFonts w:ascii="Times New Roman" w:hAnsi="Times New Roman" w:cs="Times New Roman"/>
          <w:sz w:val="24"/>
          <w:szCs w:val="24"/>
        </w:rPr>
        <w:t xml:space="preserve">but then held a </w:t>
      </w:r>
      <w:r w:rsidRPr="007B0E38">
        <w:rPr>
          <w:rFonts w:ascii="Times New Roman" w:hAnsi="Times New Roman" w:cs="Times New Roman"/>
          <w:sz w:val="24"/>
          <w:szCs w:val="24"/>
        </w:rPr>
        <w:t>position at</w:t>
      </w:r>
      <w:r>
        <w:rPr>
          <w:rFonts w:ascii="Times New Roman" w:hAnsi="Times New Roman" w:cs="Times New Roman"/>
          <w:sz w:val="24"/>
          <w:szCs w:val="24"/>
        </w:rPr>
        <w:t xml:space="preserve"> some</w:t>
      </w:r>
      <w:r w:rsidRPr="008926AB">
        <w:rPr>
          <w:rFonts w:ascii="Times New Roman" w:hAnsi="Times New Roman" w:cs="Times New Roman"/>
          <w:sz w:val="24"/>
          <w:szCs w:val="24"/>
        </w:rPr>
        <w:t xml:space="preserve"> point in their lifecourse</w:t>
      </w:r>
      <w:r>
        <w:rPr>
          <w:rFonts w:ascii="Times New Roman" w:hAnsi="Times New Roman" w:cs="Times New Roman"/>
          <w:sz w:val="24"/>
          <w:szCs w:val="24"/>
        </w:rPr>
        <w:t>. Also, we did not make an effort to classify people on the basis of the</w:t>
      </w:r>
      <w:r w:rsidRPr="008926AB">
        <w:rPr>
          <w:rFonts w:ascii="Times New Roman" w:hAnsi="Times New Roman" w:cs="Times New Roman"/>
          <w:sz w:val="24"/>
          <w:szCs w:val="24"/>
        </w:rPr>
        <w:t xml:space="preserve"> occ</w:t>
      </w:r>
      <w:r w:rsidRPr="007B0E38">
        <w:rPr>
          <w:rFonts w:ascii="Times New Roman" w:hAnsi="Times New Roman" w:cs="Times New Roman"/>
          <w:sz w:val="24"/>
          <w:szCs w:val="24"/>
        </w:rPr>
        <w:t>upational title of their spouse</w:t>
      </w:r>
      <w:r>
        <w:rPr>
          <w:rFonts w:ascii="Times New Roman" w:hAnsi="Times New Roman" w:cs="Times New Roman"/>
          <w:sz w:val="24"/>
          <w:szCs w:val="24"/>
        </w:rPr>
        <w:t>.</w:t>
      </w:r>
    </w:p>
    <w:p w14:paraId="15EEFACA" w14:textId="633656A9" w:rsidR="00BE0A56" w:rsidRDefault="00B04E72" w:rsidP="00A53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Occupation was used to categorize individuals by social class also for walking speed and </w:t>
      </w:r>
      <w:r w:rsidR="002A1D3B">
        <w:rPr>
          <w:rFonts w:ascii="Times New Roman" w:hAnsi="Times New Roman" w:cs="Times New Roman"/>
          <w:sz w:val="24"/>
          <w:szCs w:val="24"/>
        </w:rPr>
        <w:t xml:space="preserve">all </w:t>
      </w:r>
      <w:r w:rsidRPr="00D218A3">
        <w:rPr>
          <w:rFonts w:ascii="Times New Roman" w:hAnsi="Times New Roman" w:cs="Times New Roman"/>
          <w:sz w:val="24"/>
          <w:szCs w:val="24"/>
        </w:rPr>
        <w:t>blood-based biomarkers, while i</w:t>
      </w:r>
      <w:r w:rsidR="00BE0A56" w:rsidRPr="00D218A3">
        <w:rPr>
          <w:rFonts w:ascii="Times New Roman" w:hAnsi="Times New Roman" w:cs="Times New Roman"/>
          <w:sz w:val="24"/>
          <w:szCs w:val="24"/>
        </w:rPr>
        <w:t>n other analyses we used indicators of socio-economic po</w:t>
      </w:r>
      <w:r w:rsidR="007A49A0">
        <w:rPr>
          <w:rFonts w:ascii="Times New Roman" w:hAnsi="Times New Roman" w:cs="Times New Roman"/>
          <w:sz w:val="24"/>
          <w:szCs w:val="24"/>
        </w:rPr>
        <w:t>sition based on education (</w:t>
      </w:r>
      <w:r w:rsidR="00D218A3" w:rsidRPr="00D218A3">
        <w:rPr>
          <w:rFonts w:ascii="Times New Roman" w:hAnsi="Times New Roman" w:cs="Times New Roman"/>
          <w:sz w:val="24"/>
          <w:szCs w:val="24"/>
        </w:rPr>
        <w:t xml:space="preserve">education for PRC, </w:t>
      </w:r>
      <w:r w:rsidR="00D218A3" w:rsidRPr="00A53C27">
        <w:rPr>
          <w:rFonts w:ascii="Times New Roman" w:eastAsia="Times New Roman" w:hAnsi="Times New Roman" w:cs="Times New Roman"/>
          <w:iCs/>
          <w:color w:val="000000"/>
          <w:sz w:val="24"/>
          <w:szCs w:val="24"/>
          <w:lang w:eastAsia="en-GB"/>
        </w:rPr>
        <w:t xml:space="preserve">Berger et al, 2019; and </w:t>
      </w:r>
      <w:r w:rsidR="00BE0A56" w:rsidRPr="00D218A3">
        <w:rPr>
          <w:rFonts w:ascii="Times New Roman" w:hAnsi="Times New Roman" w:cs="Times New Roman"/>
          <w:sz w:val="24"/>
          <w:szCs w:val="24"/>
        </w:rPr>
        <w:t>maternal education for children obesity and height</w:t>
      </w:r>
      <w:r w:rsidR="00D218A3" w:rsidRPr="00D218A3">
        <w:rPr>
          <w:rFonts w:ascii="Times New Roman" w:hAnsi="Times New Roman" w:cs="Times New Roman"/>
          <w:sz w:val="24"/>
          <w:szCs w:val="24"/>
        </w:rPr>
        <w:t>, Table 1</w:t>
      </w:r>
      <w:r w:rsidR="00BE0A56" w:rsidRPr="00D218A3">
        <w:rPr>
          <w:rFonts w:ascii="Times New Roman" w:hAnsi="Times New Roman" w:cs="Times New Roman"/>
          <w:sz w:val="24"/>
          <w:szCs w:val="24"/>
        </w:rPr>
        <w:t>).</w:t>
      </w:r>
    </w:p>
    <w:p w14:paraId="46510D85" w14:textId="77777777" w:rsidR="00D218A3" w:rsidRPr="00A53C27" w:rsidRDefault="00D218A3" w:rsidP="00A53C27">
      <w:pPr>
        <w:spacing w:after="0" w:line="360" w:lineRule="auto"/>
        <w:jc w:val="both"/>
        <w:rPr>
          <w:rFonts w:ascii="Times New Roman" w:eastAsia="Times New Roman" w:hAnsi="Times New Roman" w:cs="Times New Roman"/>
          <w:iCs/>
          <w:color w:val="000000"/>
          <w:sz w:val="24"/>
          <w:szCs w:val="24"/>
          <w:vertAlign w:val="superscript"/>
          <w:lang w:eastAsia="en-GB"/>
        </w:rPr>
      </w:pPr>
    </w:p>
    <w:p w14:paraId="7E80FD38" w14:textId="4A11057E" w:rsidR="00C91607" w:rsidRPr="00C91607" w:rsidRDefault="00957982" w:rsidP="00957982">
      <w:pPr>
        <w:pStyle w:val="CommentText"/>
        <w:numPr>
          <w:ilvl w:val="1"/>
          <w:numId w:val="14"/>
        </w:numPr>
        <w:spacing w:line="360" w:lineRule="auto"/>
        <w:jc w:val="both"/>
        <w:rPr>
          <w:rFonts w:ascii="Times New Roman" w:hAnsi="Times New Roman" w:cs="Times New Roman"/>
          <w:sz w:val="24"/>
          <w:szCs w:val="24"/>
        </w:rPr>
      </w:pPr>
      <w:r>
        <w:rPr>
          <w:rFonts w:ascii="Times New Roman" w:eastAsia="ScalaLancetPro" w:hAnsi="Times New Roman" w:cs="Times New Roman"/>
          <w:b/>
          <w:bCs/>
          <w:sz w:val="24"/>
          <w:szCs w:val="24"/>
        </w:rPr>
        <w:t xml:space="preserve"> </w:t>
      </w:r>
      <w:r w:rsidR="00C91607">
        <w:rPr>
          <w:rFonts w:ascii="Times New Roman" w:eastAsia="ScalaLancetPro" w:hAnsi="Times New Roman" w:cs="Times New Roman"/>
          <w:b/>
          <w:bCs/>
          <w:sz w:val="24"/>
          <w:szCs w:val="24"/>
        </w:rPr>
        <w:t>Confounding</w:t>
      </w:r>
      <w:r w:rsidR="00685C51">
        <w:rPr>
          <w:rFonts w:ascii="Times New Roman" w:eastAsia="ScalaLancetPro" w:hAnsi="Times New Roman" w:cs="Times New Roman"/>
          <w:b/>
          <w:bCs/>
          <w:sz w:val="24"/>
          <w:szCs w:val="24"/>
        </w:rPr>
        <w:t xml:space="preserve"> </w:t>
      </w:r>
    </w:p>
    <w:p w14:paraId="357F37AB" w14:textId="6D339F4E" w:rsidR="00C91607" w:rsidRDefault="00503AA3" w:rsidP="00C91607">
      <w:pPr>
        <w:autoSpaceDE w:val="0"/>
        <w:autoSpaceDN w:val="0"/>
        <w:adjustRightInd w:val="0"/>
        <w:spacing w:after="0" w:line="360" w:lineRule="auto"/>
        <w:jc w:val="both"/>
        <w:rPr>
          <w:rFonts w:ascii="Times New Roman" w:eastAsia="ScalaLancetPro" w:hAnsi="Times New Roman" w:cs="Times New Roman"/>
          <w:sz w:val="24"/>
          <w:szCs w:val="24"/>
        </w:rPr>
      </w:pPr>
      <w:r>
        <w:rPr>
          <w:rFonts w:ascii="Times New Roman" w:eastAsia="ScalaLancetPro" w:hAnsi="Times New Roman" w:cs="Times New Roman"/>
          <w:sz w:val="24"/>
          <w:szCs w:val="24"/>
        </w:rPr>
        <w:lastRenderedPageBreak/>
        <w:t>As we discuss late</w:t>
      </w:r>
      <w:r w:rsidR="00FF4E93">
        <w:rPr>
          <w:rFonts w:ascii="Times New Roman" w:eastAsia="ScalaLancetPro" w:hAnsi="Times New Roman" w:cs="Times New Roman"/>
          <w:sz w:val="24"/>
          <w:szCs w:val="24"/>
        </w:rPr>
        <w:t>r, adjustment for co</w:t>
      </w:r>
      <w:r>
        <w:rPr>
          <w:rFonts w:ascii="Times New Roman" w:eastAsia="ScalaLancetPro" w:hAnsi="Times New Roman" w:cs="Times New Roman"/>
          <w:sz w:val="24"/>
          <w:szCs w:val="24"/>
        </w:rPr>
        <w:t xml:space="preserve">nfounders is not necessarily the best analytical strategy, since SEP is an overarching determinant whose effect on health is likely </w:t>
      </w:r>
      <w:r w:rsidR="00FF4E93">
        <w:rPr>
          <w:rFonts w:ascii="Times New Roman" w:eastAsia="ScalaLancetPro" w:hAnsi="Times New Roman" w:cs="Times New Roman"/>
          <w:sz w:val="24"/>
          <w:szCs w:val="24"/>
        </w:rPr>
        <w:t>to me mediated at least in part by ri</w:t>
      </w:r>
      <w:r>
        <w:rPr>
          <w:rFonts w:ascii="Times New Roman" w:eastAsia="ScalaLancetPro" w:hAnsi="Times New Roman" w:cs="Times New Roman"/>
          <w:sz w:val="24"/>
          <w:szCs w:val="24"/>
        </w:rPr>
        <w:t xml:space="preserve">sk factors such as smoking or BMI. </w:t>
      </w:r>
      <w:r w:rsidR="00FF4E93">
        <w:rPr>
          <w:rFonts w:ascii="Times New Roman" w:eastAsia="ScalaLancetPro" w:hAnsi="Times New Roman" w:cs="Times New Roman"/>
          <w:sz w:val="24"/>
          <w:szCs w:val="24"/>
        </w:rPr>
        <w:t>Proper mediation analysis has been performed elsewhere (L</w:t>
      </w:r>
      <w:r w:rsidR="0023744B">
        <w:rPr>
          <w:rFonts w:ascii="Times New Roman" w:eastAsia="ScalaLancetPro" w:hAnsi="Times New Roman" w:cs="Times New Roman"/>
          <w:sz w:val="24"/>
          <w:szCs w:val="24"/>
        </w:rPr>
        <w:t>aine et a</w:t>
      </w:r>
      <w:r w:rsidR="00FF4E93">
        <w:rPr>
          <w:rFonts w:ascii="Times New Roman" w:eastAsia="ScalaLancetPro" w:hAnsi="Times New Roman" w:cs="Times New Roman"/>
          <w:sz w:val="24"/>
          <w:szCs w:val="24"/>
        </w:rPr>
        <w:t>l,</w:t>
      </w:r>
      <w:r w:rsidR="00B24D32">
        <w:rPr>
          <w:rFonts w:ascii="Times New Roman" w:eastAsia="ScalaLancetPro" w:hAnsi="Times New Roman" w:cs="Times New Roman"/>
          <w:sz w:val="24"/>
          <w:szCs w:val="24"/>
        </w:rPr>
        <w:t>2020</w:t>
      </w:r>
      <w:r w:rsidR="00FF4E93">
        <w:rPr>
          <w:rFonts w:ascii="Times New Roman" w:eastAsia="ScalaLancetPro" w:hAnsi="Times New Roman" w:cs="Times New Roman"/>
          <w:sz w:val="24"/>
          <w:szCs w:val="24"/>
        </w:rPr>
        <w:t xml:space="preserve">). Here we aimed to apply an extreme assumption, i.e. to observe the degree of attenuation of the association between SEP and different outcomes after adjustment for </w:t>
      </w:r>
      <w:r w:rsidR="007A49A0">
        <w:rPr>
          <w:rFonts w:ascii="Times New Roman" w:eastAsia="ScalaLancetPro" w:hAnsi="Times New Roman" w:cs="Times New Roman"/>
          <w:sz w:val="24"/>
          <w:szCs w:val="24"/>
        </w:rPr>
        <w:t xml:space="preserve">several </w:t>
      </w:r>
      <w:r w:rsidR="00FF4E93">
        <w:rPr>
          <w:rFonts w:ascii="Times New Roman" w:eastAsia="ScalaLancetPro" w:hAnsi="Times New Roman" w:cs="Times New Roman"/>
          <w:sz w:val="24"/>
          <w:szCs w:val="24"/>
        </w:rPr>
        <w:t xml:space="preserve">risk factors assumed to be confounders. </w:t>
      </w:r>
      <w:r w:rsidR="00C91607" w:rsidRPr="004A7C4E">
        <w:rPr>
          <w:rFonts w:ascii="Times New Roman" w:eastAsia="ScalaLancetPro" w:hAnsi="Times New Roman" w:cs="Times New Roman"/>
          <w:sz w:val="24"/>
          <w:szCs w:val="24"/>
        </w:rPr>
        <w:t xml:space="preserve">We used </w:t>
      </w:r>
      <w:r w:rsidR="00685C51">
        <w:rPr>
          <w:rFonts w:ascii="Times New Roman" w:eastAsia="ScalaLancetPro" w:hAnsi="Times New Roman" w:cs="Times New Roman"/>
          <w:sz w:val="24"/>
          <w:szCs w:val="24"/>
        </w:rPr>
        <w:t xml:space="preserve">behavioural </w:t>
      </w:r>
      <w:r w:rsidR="00C91607" w:rsidRPr="004A7C4E">
        <w:rPr>
          <w:rFonts w:ascii="Times New Roman" w:eastAsia="ScalaLancetPro" w:hAnsi="Times New Roman" w:cs="Times New Roman"/>
          <w:sz w:val="24"/>
          <w:szCs w:val="24"/>
        </w:rPr>
        <w:t>risk factors for non-communicab</w:t>
      </w:r>
      <w:r w:rsidR="00C91607">
        <w:rPr>
          <w:rFonts w:ascii="Times New Roman" w:eastAsia="ScalaLancetPro" w:hAnsi="Times New Roman" w:cs="Times New Roman"/>
          <w:sz w:val="24"/>
          <w:szCs w:val="24"/>
        </w:rPr>
        <w:t>le diseases to address confound</w:t>
      </w:r>
      <w:r w:rsidR="00C91607" w:rsidRPr="004A7C4E">
        <w:rPr>
          <w:rFonts w:ascii="Times New Roman" w:eastAsia="ScalaLancetPro" w:hAnsi="Times New Roman" w:cs="Times New Roman"/>
          <w:sz w:val="24"/>
          <w:szCs w:val="24"/>
        </w:rPr>
        <w:t>ing. Briefly, the 2013–20 World Health Organization (WHO) Global Action Plan for the Prevention and Control of Non-Communicable Diseases (NCDs) targets seven major risk factors, comprising the harmful use of alcohol,</w:t>
      </w:r>
      <w:r w:rsidR="00C91607">
        <w:rPr>
          <w:rFonts w:ascii="Times New Roman" w:eastAsia="ScalaLancetPro" w:hAnsi="Times New Roman" w:cs="Times New Roman"/>
          <w:sz w:val="24"/>
          <w:szCs w:val="24"/>
        </w:rPr>
        <w:t xml:space="preserve"> </w:t>
      </w:r>
      <w:r w:rsidR="00C91607" w:rsidRPr="004A7C4E">
        <w:rPr>
          <w:rFonts w:ascii="Times New Roman" w:eastAsia="ScalaLancetPro" w:hAnsi="Times New Roman" w:cs="Times New Roman"/>
          <w:sz w:val="24"/>
          <w:szCs w:val="24"/>
        </w:rPr>
        <w:t xml:space="preserve">insufficient physical activity, current tobacco use, raised blood pressure, intake of salt or sodium, diabetes, and obesity (referred to as the </w:t>
      </w:r>
      <w:r w:rsidR="00C91607">
        <w:rPr>
          <w:rFonts w:ascii="Times New Roman" w:eastAsia="ScalaLancetPro" w:hAnsi="Times New Roman" w:cs="Times New Roman"/>
          <w:sz w:val="24"/>
          <w:szCs w:val="24"/>
        </w:rPr>
        <w:t xml:space="preserve">25 × 25 risk factors), with the </w:t>
      </w:r>
      <w:r w:rsidR="00C91607" w:rsidRPr="004A7C4E">
        <w:rPr>
          <w:rFonts w:ascii="Times New Roman" w:eastAsia="ScalaLancetPro" w:hAnsi="Times New Roman" w:cs="Times New Roman"/>
          <w:sz w:val="24"/>
          <w:szCs w:val="24"/>
        </w:rPr>
        <w:t>overall aim of reducing premature mortality from noncommunicable diseases by 25% by 2025</w:t>
      </w:r>
      <w:r w:rsidR="00996BEC">
        <w:rPr>
          <w:rFonts w:ascii="Times New Roman" w:eastAsia="ScalaLancetPro" w:hAnsi="Times New Roman" w:cs="Times New Roman"/>
          <w:sz w:val="24"/>
          <w:szCs w:val="24"/>
        </w:rPr>
        <w:t xml:space="preserve"> (United Nations, 2011; Pearce et al, 2014)</w:t>
      </w:r>
      <w:r w:rsidR="00C91607" w:rsidRPr="004A7C4E">
        <w:rPr>
          <w:rFonts w:ascii="Times New Roman" w:eastAsia="ScalaLancetPro" w:hAnsi="Times New Roman" w:cs="Times New Roman"/>
          <w:sz w:val="24"/>
          <w:szCs w:val="24"/>
        </w:rPr>
        <w:t>.</w:t>
      </w:r>
      <w:r w:rsidR="00C91607">
        <w:rPr>
          <w:rFonts w:ascii="Times New Roman" w:eastAsia="ScalaLancetPro" w:hAnsi="Times New Roman" w:cs="Times New Roman"/>
          <w:sz w:val="24"/>
          <w:szCs w:val="24"/>
        </w:rPr>
        <w:t xml:space="preserve"> </w:t>
      </w:r>
      <w:r w:rsidR="00C91607" w:rsidRPr="004A7C4E">
        <w:rPr>
          <w:rFonts w:ascii="Times New Roman" w:eastAsia="ScalaLancetPro" w:hAnsi="Times New Roman" w:cs="Times New Roman"/>
          <w:sz w:val="24"/>
          <w:szCs w:val="24"/>
        </w:rPr>
        <w:t>For details about categories used for th</w:t>
      </w:r>
      <w:r w:rsidR="00685C51">
        <w:rPr>
          <w:rFonts w:ascii="Times New Roman" w:eastAsia="ScalaLancetPro" w:hAnsi="Times New Roman" w:cs="Times New Roman"/>
          <w:sz w:val="24"/>
          <w:szCs w:val="24"/>
        </w:rPr>
        <w:t xml:space="preserve">ese </w:t>
      </w:r>
      <w:r w:rsidR="00C91607" w:rsidRPr="004A7C4E">
        <w:rPr>
          <w:rFonts w:ascii="Times New Roman" w:eastAsia="ScalaLancetPro" w:hAnsi="Times New Roman" w:cs="Times New Roman"/>
          <w:sz w:val="24"/>
          <w:szCs w:val="24"/>
        </w:rPr>
        <w:t>risk factors we refer to previous papers</w:t>
      </w:r>
      <w:r w:rsidR="00CC1852">
        <w:rPr>
          <w:rFonts w:ascii="Times New Roman" w:eastAsia="ScalaLancetPro" w:hAnsi="Times New Roman" w:cs="Times New Roman"/>
          <w:sz w:val="24"/>
          <w:szCs w:val="24"/>
          <w:vertAlign w:val="superscript"/>
        </w:rPr>
        <w:t xml:space="preserve"> </w:t>
      </w:r>
      <w:r w:rsidR="00CC1852">
        <w:rPr>
          <w:rFonts w:ascii="Times New Roman" w:eastAsia="ScalaLancetPro" w:hAnsi="Times New Roman" w:cs="Times New Roman"/>
          <w:sz w:val="24"/>
          <w:szCs w:val="24"/>
        </w:rPr>
        <w:t>(Stringhini et al, 2017; Stringhini et al, 2018)</w:t>
      </w:r>
      <w:r w:rsidR="00C91607" w:rsidRPr="004A7C4E">
        <w:rPr>
          <w:rFonts w:ascii="Times New Roman" w:eastAsia="ScalaLancetPro" w:hAnsi="Times New Roman" w:cs="Times New Roman"/>
          <w:sz w:val="24"/>
          <w:szCs w:val="24"/>
        </w:rPr>
        <w:t xml:space="preserve">. </w:t>
      </w:r>
      <w:r w:rsidR="005710C0">
        <w:rPr>
          <w:rFonts w:ascii="Times New Roman" w:eastAsia="ScalaLancetPro" w:hAnsi="Times New Roman" w:cs="Times New Roman"/>
          <w:sz w:val="24"/>
          <w:szCs w:val="24"/>
        </w:rPr>
        <w:t>Whenever available, we used the same set of potential confounders in all the analyses shown in Table 1.</w:t>
      </w:r>
    </w:p>
    <w:p w14:paraId="3ACF7C87" w14:textId="66F38C24" w:rsidR="00C91607" w:rsidRPr="00957982" w:rsidRDefault="00957982" w:rsidP="00957982">
      <w:pPr>
        <w:pStyle w:val="ListParagraph"/>
        <w:numPr>
          <w:ilvl w:val="1"/>
          <w:numId w:val="14"/>
        </w:numPr>
        <w:autoSpaceDE w:val="0"/>
        <w:autoSpaceDN w:val="0"/>
        <w:adjustRightInd w:val="0"/>
        <w:spacing w:after="0" w:line="360" w:lineRule="auto"/>
        <w:jc w:val="both"/>
        <w:rPr>
          <w:rFonts w:ascii="Times New Roman" w:eastAsia="ScalaLancetPro" w:hAnsi="Times New Roman" w:cs="Times New Roman"/>
          <w:b/>
          <w:sz w:val="24"/>
          <w:szCs w:val="24"/>
        </w:rPr>
      </w:pPr>
      <w:r>
        <w:rPr>
          <w:rFonts w:ascii="Times New Roman" w:eastAsia="ScalaLancetPro" w:hAnsi="Times New Roman" w:cs="Times New Roman"/>
          <w:b/>
          <w:sz w:val="24"/>
          <w:szCs w:val="24"/>
        </w:rPr>
        <w:t xml:space="preserve"> </w:t>
      </w:r>
      <w:r w:rsidR="00C91607" w:rsidRPr="00957982">
        <w:rPr>
          <w:rFonts w:ascii="Times New Roman" w:eastAsia="ScalaLancetPro" w:hAnsi="Times New Roman" w:cs="Times New Roman"/>
          <w:b/>
          <w:sz w:val="24"/>
          <w:szCs w:val="24"/>
        </w:rPr>
        <w:t>Outcomes</w:t>
      </w:r>
    </w:p>
    <w:p w14:paraId="0A08D8F4" w14:textId="70D6CF49" w:rsidR="00C91607" w:rsidRPr="00EB47BB" w:rsidRDefault="00C91607" w:rsidP="00C91607">
      <w:pPr>
        <w:autoSpaceDE w:val="0"/>
        <w:autoSpaceDN w:val="0"/>
        <w:adjustRightInd w:val="0"/>
        <w:spacing w:after="0" w:line="360" w:lineRule="auto"/>
        <w:jc w:val="both"/>
        <w:rPr>
          <w:rFonts w:ascii="Times New Roman" w:hAnsi="Times New Roman" w:cs="Times New Roman"/>
          <w:sz w:val="24"/>
          <w:szCs w:val="24"/>
        </w:rPr>
      </w:pPr>
      <w:r w:rsidRPr="004A7C4E">
        <w:rPr>
          <w:rFonts w:ascii="Times New Roman" w:eastAsia="ScalaLancetPro" w:hAnsi="Times New Roman" w:cs="Times New Roman"/>
          <w:sz w:val="24"/>
          <w:szCs w:val="24"/>
        </w:rPr>
        <w:t>Participants</w:t>
      </w:r>
      <w:r w:rsidR="005B50DE">
        <w:rPr>
          <w:rFonts w:ascii="Times New Roman" w:eastAsia="ScalaLancetPro" w:hAnsi="Times New Roman" w:cs="Times New Roman"/>
          <w:sz w:val="24"/>
          <w:szCs w:val="24"/>
        </w:rPr>
        <w:t>’ data</w:t>
      </w:r>
      <w:r w:rsidRPr="004A7C4E">
        <w:rPr>
          <w:rFonts w:ascii="Times New Roman" w:eastAsia="ScalaLancetPro" w:hAnsi="Times New Roman" w:cs="Times New Roman"/>
          <w:sz w:val="24"/>
          <w:szCs w:val="24"/>
        </w:rPr>
        <w:t xml:space="preserve"> were linked to national mortality registries that provided information about vital status with the exception of the COLAUS study in which vital status was </w:t>
      </w:r>
      <w:r>
        <w:rPr>
          <w:rFonts w:ascii="Times New Roman" w:eastAsia="ScalaLancetPro" w:hAnsi="Times New Roman" w:cs="Times New Roman"/>
          <w:sz w:val="24"/>
          <w:szCs w:val="24"/>
        </w:rPr>
        <w:t xml:space="preserve">ascertained through </w:t>
      </w:r>
      <w:r w:rsidRPr="004A7C4E">
        <w:rPr>
          <w:rFonts w:ascii="Times New Roman" w:eastAsia="ScalaLancetPro" w:hAnsi="Times New Roman" w:cs="Times New Roman"/>
          <w:sz w:val="24"/>
          <w:szCs w:val="24"/>
        </w:rPr>
        <w:t>active follow-up. Mean follow-up for mortality ranged between 3</w:t>
      </w:r>
      <w:r>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 xml:space="preserve">2 years </w:t>
      </w:r>
      <w:r>
        <w:rPr>
          <w:rFonts w:ascii="Times New Roman" w:eastAsia="ScalaLancetPro" w:hAnsi="Times New Roman" w:cs="Times New Roman"/>
          <w:sz w:val="24"/>
          <w:szCs w:val="24"/>
        </w:rPr>
        <w:t xml:space="preserve">in the National </w:t>
      </w:r>
      <w:r w:rsidRPr="004A7C4E">
        <w:rPr>
          <w:rFonts w:ascii="Times New Roman" w:eastAsia="ScalaLancetPro" w:hAnsi="Times New Roman" w:cs="Times New Roman"/>
          <w:sz w:val="24"/>
          <w:szCs w:val="24"/>
        </w:rPr>
        <w:t>Health Interview Survey 2009, and 27</w:t>
      </w:r>
      <w:r>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0 years in men and 29</w:t>
      </w:r>
      <w:r>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5 years in women of the Alameda County Study 1965, with a mean across cohorts of 13</w:t>
      </w:r>
      <w:r>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3 years [SD 6</w:t>
      </w:r>
      <w:r>
        <w:rPr>
          <w:rFonts w:ascii="Times New Roman" w:eastAsia="ScalaLancetPro" w:hAnsi="Times New Roman" w:cs="Times New Roman"/>
          <w:sz w:val="24"/>
          <w:szCs w:val="24"/>
        </w:rPr>
        <w:t>.</w:t>
      </w:r>
      <w:r w:rsidRPr="004A7C4E">
        <w:rPr>
          <w:rFonts w:ascii="Times New Roman" w:eastAsia="ScalaLancetPro" w:hAnsi="Times New Roman" w:cs="Times New Roman"/>
          <w:sz w:val="24"/>
          <w:szCs w:val="24"/>
        </w:rPr>
        <w:t>4 years].</w:t>
      </w:r>
      <w:r>
        <w:rPr>
          <w:rFonts w:ascii="Times New Roman" w:eastAsia="ScalaLancetPro" w:hAnsi="Times New Roman" w:cs="Times New Roman"/>
          <w:sz w:val="24"/>
          <w:szCs w:val="24"/>
        </w:rPr>
        <w:t xml:space="preserve"> </w:t>
      </w:r>
      <w:r w:rsidRPr="004A7C4E">
        <w:rPr>
          <w:rFonts w:ascii="Times New Roman" w:hAnsi="Times New Roman" w:cs="Times New Roman"/>
          <w:sz w:val="24"/>
          <w:szCs w:val="24"/>
        </w:rPr>
        <w:t>We refer to previous papers for the measurement of walking speed</w:t>
      </w:r>
      <w:r w:rsidR="00CC1852">
        <w:rPr>
          <w:rFonts w:ascii="Times New Roman" w:hAnsi="Times New Roman" w:cs="Times New Roman"/>
          <w:sz w:val="24"/>
          <w:szCs w:val="24"/>
          <w:vertAlign w:val="superscript"/>
        </w:rPr>
        <w:t xml:space="preserve"> </w:t>
      </w:r>
      <w:r w:rsidR="00CC1852">
        <w:rPr>
          <w:rFonts w:ascii="Times New Roman" w:hAnsi="Times New Roman" w:cs="Times New Roman"/>
          <w:sz w:val="24"/>
          <w:szCs w:val="24"/>
        </w:rPr>
        <w:t>(Stringhini et al, 2018)</w:t>
      </w:r>
      <w:r w:rsidRPr="004A7C4E">
        <w:rPr>
          <w:rFonts w:ascii="Times New Roman" w:hAnsi="Times New Roman" w:cs="Times New Roman"/>
          <w:sz w:val="24"/>
          <w:szCs w:val="24"/>
        </w:rPr>
        <w:t>, obesity in children</w:t>
      </w:r>
      <w:r w:rsidR="00CC1852">
        <w:rPr>
          <w:rFonts w:ascii="Times New Roman" w:hAnsi="Times New Roman" w:cs="Times New Roman"/>
          <w:sz w:val="24"/>
          <w:szCs w:val="24"/>
          <w:vertAlign w:val="superscript"/>
        </w:rPr>
        <w:t xml:space="preserve"> </w:t>
      </w:r>
      <w:r w:rsidR="00CC1852">
        <w:rPr>
          <w:rFonts w:ascii="Times New Roman" w:hAnsi="Times New Roman" w:cs="Times New Roman"/>
          <w:sz w:val="24"/>
          <w:szCs w:val="24"/>
        </w:rPr>
        <w:t>(McCrory et al, 2017)</w:t>
      </w:r>
      <w:r w:rsidRPr="004A7C4E">
        <w:rPr>
          <w:rFonts w:ascii="Times New Roman" w:hAnsi="Times New Roman" w:cs="Times New Roman"/>
          <w:sz w:val="24"/>
          <w:szCs w:val="24"/>
        </w:rPr>
        <w:t>, transcriptomics</w:t>
      </w:r>
      <w:r w:rsidR="00EB47BB">
        <w:rPr>
          <w:rFonts w:ascii="Times New Roman" w:hAnsi="Times New Roman" w:cs="Times New Roman"/>
          <w:sz w:val="24"/>
          <w:szCs w:val="24"/>
          <w:vertAlign w:val="superscript"/>
        </w:rPr>
        <w:t xml:space="preserve"> </w:t>
      </w:r>
      <w:r w:rsidR="00EB47BB">
        <w:rPr>
          <w:rFonts w:ascii="Times New Roman" w:hAnsi="Times New Roman" w:cs="Times New Roman"/>
          <w:sz w:val="24"/>
          <w:szCs w:val="24"/>
        </w:rPr>
        <w:t>(Castagne et al, 2016)</w:t>
      </w:r>
      <w:r w:rsidRPr="004A7C4E">
        <w:rPr>
          <w:rFonts w:ascii="Times New Roman" w:hAnsi="Times New Roman" w:cs="Times New Roman"/>
          <w:sz w:val="24"/>
          <w:szCs w:val="24"/>
        </w:rPr>
        <w:t>, allostatic load</w:t>
      </w:r>
      <w:r w:rsidR="00EB47BB">
        <w:rPr>
          <w:rFonts w:ascii="Times New Roman" w:hAnsi="Times New Roman" w:cs="Times New Roman"/>
          <w:sz w:val="24"/>
          <w:szCs w:val="24"/>
          <w:vertAlign w:val="superscript"/>
        </w:rPr>
        <w:t xml:space="preserve"> </w:t>
      </w:r>
      <w:r w:rsidR="00EB47BB">
        <w:rPr>
          <w:rFonts w:ascii="Times New Roman" w:hAnsi="Times New Roman" w:cs="Times New Roman"/>
          <w:sz w:val="24"/>
          <w:szCs w:val="24"/>
        </w:rPr>
        <w:t>(</w:t>
      </w:r>
      <w:r w:rsidR="00EB47BB" w:rsidRPr="00EB47BB">
        <w:rPr>
          <w:rFonts w:ascii="Times New Roman" w:hAnsi="Times New Roman" w:cs="Times New Roman"/>
          <w:sz w:val="24"/>
          <w:szCs w:val="24"/>
        </w:rPr>
        <w:t>Bar</w:t>
      </w:r>
      <w:r w:rsidR="00136AFF">
        <w:rPr>
          <w:rFonts w:ascii="Times New Roman" w:hAnsi="Times New Roman" w:cs="Times New Roman"/>
          <w:sz w:val="24"/>
          <w:szCs w:val="24"/>
        </w:rPr>
        <w:t>boza Solis</w:t>
      </w:r>
      <w:r w:rsidR="00EB47BB" w:rsidRPr="00EB47BB">
        <w:rPr>
          <w:rFonts w:ascii="Times New Roman" w:hAnsi="Times New Roman" w:cs="Times New Roman"/>
          <w:sz w:val="24"/>
          <w:szCs w:val="24"/>
        </w:rPr>
        <w:t xml:space="preserve"> et al</w:t>
      </w:r>
      <w:r w:rsidR="00EB47BB">
        <w:rPr>
          <w:rFonts w:ascii="Times New Roman" w:hAnsi="Times New Roman" w:cs="Times New Roman"/>
          <w:sz w:val="24"/>
          <w:szCs w:val="24"/>
        </w:rPr>
        <w:t>, 2016)</w:t>
      </w:r>
      <w:r w:rsidRPr="004A7C4E">
        <w:rPr>
          <w:rFonts w:ascii="Times New Roman" w:hAnsi="Times New Roman" w:cs="Times New Roman"/>
          <w:sz w:val="24"/>
          <w:szCs w:val="24"/>
        </w:rPr>
        <w:t>, methylation</w:t>
      </w:r>
      <w:r w:rsidR="00EB47BB">
        <w:rPr>
          <w:rFonts w:ascii="Times New Roman" w:hAnsi="Times New Roman" w:cs="Times New Roman"/>
          <w:sz w:val="24"/>
          <w:szCs w:val="24"/>
          <w:vertAlign w:val="superscript"/>
        </w:rPr>
        <w:t xml:space="preserve"> </w:t>
      </w:r>
      <w:r w:rsidR="00EB47BB">
        <w:rPr>
          <w:rFonts w:ascii="Times New Roman" w:hAnsi="Times New Roman" w:cs="Times New Roman"/>
          <w:sz w:val="24"/>
          <w:szCs w:val="24"/>
        </w:rPr>
        <w:t>(</w:t>
      </w:r>
      <w:r w:rsidR="00136AFF">
        <w:rPr>
          <w:rFonts w:ascii="Times New Roman" w:hAnsi="Times New Roman" w:cs="Times New Roman"/>
          <w:sz w:val="24"/>
          <w:szCs w:val="24"/>
        </w:rPr>
        <w:t>Fiorito</w:t>
      </w:r>
      <w:r w:rsidR="00EB47BB" w:rsidRPr="00841DFA">
        <w:rPr>
          <w:rFonts w:ascii="Times New Roman" w:hAnsi="Times New Roman" w:cs="Times New Roman"/>
          <w:sz w:val="24"/>
          <w:szCs w:val="24"/>
        </w:rPr>
        <w:t xml:space="preserve"> et al</w:t>
      </w:r>
      <w:r w:rsidRPr="004A7C4E">
        <w:rPr>
          <w:rFonts w:ascii="Times New Roman" w:hAnsi="Times New Roman" w:cs="Times New Roman"/>
          <w:sz w:val="24"/>
          <w:szCs w:val="24"/>
        </w:rPr>
        <w:t>,</w:t>
      </w:r>
      <w:r w:rsidR="00EB47BB">
        <w:rPr>
          <w:rFonts w:ascii="Times New Roman" w:hAnsi="Times New Roman" w:cs="Times New Roman"/>
          <w:sz w:val="24"/>
          <w:szCs w:val="24"/>
        </w:rPr>
        <w:t xml:space="preserve"> 2017)</w:t>
      </w:r>
      <w:r w:rsidRPr="004A7C4E">
        <w:rPr>
          <w:rFonts w:ascii="Times New Roman" w:hAnsi="Times New Roman" w:cs="Times New Roman"/>
          <w:sz w:val="24"/>
          <w:szCs w:val="24"/>
        </w:rPr>
        <w:t xml:space="preserve"> and EBV </w:t>
      </w:r>
      <w:r w:rsidRPr="00EB47BB">
        <w:rPr>
          <w:rFonts w:ascii="Times New Roman" w:hAnsi="Times New Roman" w:cs="Times New Roman"/>
          <w:sz w:val="24"/>
          <w:szCs w:val="24"/>
        </w:rPr>
        <w:t>infection</w:t>
      </w:r>
      <w:r w:rsidR="00EB47BB" w:rsidRPr="00EB47BB">
        <w:rPr>
          <w:rFonts w:ascii="Times New Roman" w:hAnsi="Times New Roman" w:cs="Times New Roman"/>
          <w:sz w:val="24"/>
          <w:szCs w:val="24"/>
        </w:rPr>
        <w:t xml:space="preserve"> (Gares et</w:t>
      </w:r>
      <w:r w:rsidR="00EB47BB">
        <w:rPr>
          <w:rFonts w:ascii="Times New Roman" w:hAnsi="Times New Roman" w:cs="Times New Roman"/>
          <w:sz w:val="24"/>
          <w:szCs w:val="24"/>
        </w:rPr>
        <w:t xml:space="preserve"> </w:t>
      </w:r>
      <w:r w:rsidR="00EB47BB" w:rsidRPr="00EB47BB">
        <w:rPr>
          <w:rFonts w:ascii="Times New Roman" w:hAnsi="Times New Roman" w:cs="Times New Roman"/>
          <w:sz w:val="24"/>
          <w:szCs w:val="24"/>
        </w:rPr>
        <w:t>al, 2017)</w:t>
      </w:r>
      <w:r w:rsidRPr="00EB47BB">
        <w:rPr>
          <w:rFonts w:ascii="Times New Roman" w:hAnsi="Times New Roman" w:cs="Times New Roman"/>
          <w:sz w:val="24"/>
          <w:szCs w:val="24"/>
        </w:rPr>
        <w:t xml:space="preserve">. </w:t>
      </w:r>
    </w:p>
    <w:p w14:paraId="373E54EC" w14:textId="0C6321B8" w:rsidR="00C91607" w:rsidRPr="00957982" w:rsidRDefault="00957982" w:rsidP="00957982">
      <w:pPr>
        <w:pStyle w:val="ListParagraph"/>
        <w:numPr>
          <w:ilvl w:val="1"/>
          <w:numId w:val="14"/>
        </w:numPr>
        <w:autoSpaceDE w:val="0"/>
        <w:autoSpaceDN w:val="0"/>
        <w:adjustRightInd w:val="0"/>
        <w:spacing w:after="0" w:line="360" w:lineRule="auto"/>
        <w:jc w:val="both"/>
        <w:rPr>
          <w:rFonts w:ascii="Times New Roman" w:eastAsia="ScalaLancetPro" w:hAnsi="Times New Roman" w:cs="Times New Roman"/>
          <w:b/>
          <w:sz w:val="24"/>
          <w:szCs w:val="24"/>
        </w:rPr>
      </w:pPr>
      <w:r>
        <w:rPr>
          <w:rFonts w:ascii="Times New Roman" w:eastAsia="ScalaLancetPro" w:hAnsi="Times New Roman" w:cs="Times New Roman"/>
          <w:b/>
          <w:sz w:val="24"/>
          <w:szCs w:val="24"/>
        </w:rPr>
        <w:t xml:space="preserve"> </w:t>
      </w:r>
      <w:r w:rsidR="00C91607" w:rsidRPr="00957982">
        <w:rPr>
          <w:rFonts w:ascii="Times New Roman" w:eastAsia="ScalaLancetPro" w:hAnsi="Times New Roman" w:cs="Times New Roman"/>
          <w:b/>
          <w:sz w:val="24"/>
          <w:szCs w:val="24"/>
        </w:rPr>
        <w:t xml:space="preserve">Statistical analyses </w:t>
      </w:r>
    </w:p>
    <w:p w14:paraId="145FD927" w14:textId="77777777" w:rsidR="009647BE" w:rsidRDefault="009647BE" w:rsidP="00A53C27">
      <w:pPr>
        <w:spacing w:line="360" w:lineRule="auto"/>
        <w:jc w:val="both"/>
        <w:rPr>
          <w:rFonts w:ascii="Times New Roman" w:hAnsi="Times New Roman" w:cs="Times New Roman"/>
          <w:sz w:val="24"/>
          <w:szCs w:val="24"/>
        </w:rPr>
      </w:pPr>
      <w:r w:rsidRPr="00A53C27">
        <w:rPr>
          <w:rFonts w:ascii="Times New Roman" w:hAnsi="Times New Roman" w:cs="Times New Roman"/>
          <w:sz w:val="24"/>
          <w:szCs w:val="24"/>
        </w:rPr>
        <w:t xml:space="preserve">To address the question of the independent role of socio-economic conditions on health outcomes after adjustment for behavioural risk factors for NCDs, we have analysed four sets of evidence from the Lifepath consortium: (a) the effect of disadvantaged socio-economic conditions on long-term outcomes, before and after adjustment for risk factors; (b) the effect of disadvantaged socio-economic conditions on intermediate biological markers that increase susceptibility to disease, such as childhood obesity; (c) the effect of disadvantaged socio-economic conditions on intermediate blood biomarkers known to be associated with health or ageing and at different omic scales (transcriptomics, DNA methylation, inflammatory proteins, allostatic load); and (d) the impact of disadvantaged socio-economic conditions on risk of infection. </w:t>
      </w:r>
    </w:p>
    <w:p w14:paraId="52B34BED" w14:textId="4A0B425D" w:rsidR="009647BE" w:rsidRPr="00276DA5" w:rsidRDefault="009647BE" w:rsidP="009647BE">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276DA5">
        <w:rPr>
          <w:rFonts w:ascii="Times New Roman" w:hAnsi="Times New Roman" w:cs="Times New Roman"/>
          <w:sz w:val="24"/>
          <w:szCs w:val="24"/>
        </w:rPr>
        <w:t xml:space="preserve">e </w:t>
      </w:r>
      <w:r>
        <w:rPr>
          <w:rFonts w:ascii="Times New Roman" w:hAnsi="Times New Roman" w:cs="Times New Roman"/>
          <w:sz w:val="24"/>
          <w:szCs w:val="24"/>
        </w:rPr>
        <w:t xml:space="preserve">present a composite set of results together, which have each been previously published separately. </w:t>
      </w:r>
    </w:p>
    <w:p w14:paraId="6C876B5E" w14:textId="146E92AE" w:rsidR="00C91607" w:rsidRPr="00E91560" w:rsidRDefault="00C91607" w:rsidP="00C91607">
      <w:pPr>
        <w:autoSpaceDE w:val="0"/>
        <w:autoSpaceDN w:val="0"/>
        <w:adjustRightInd w:val="0"/>
        <w:spacing w:after="0" w:line="360" w:lineRule="auto"/>
        <w:jc w:val="both"/>
        <w:rPr>
          <w:rFonts w:ascii="Times New Roman" w:eastAsia="ScalaLancetPro" w:hAnsi="Times New Roman" w:cs="Times New Roman"/>
          <w:sz w:val="24"/>
          <w:szCs w:val="24"/>
        </w:rPr>
      </w:pPr>
      <w:r w:rsidRPr="00E91560">
        <w:rPr>
          <w:rFonts w:ascii="Times New Roman" w:eastAsia="ScalaLancetPro" w:hAnsi="Times New Roman" w:cs="Times New Roman"/>
          <w:sz w:val="24"/>
          <w:szCs w:val="24"/>
        </w:rPr>
        <w:t>For papers based on mul</w:t>
      </w:r>
      <w:r>
        <w:rPr>
          <w:rFonts w:ascii="Times New Roman" w:eastAsia="ScalaLancetPro" w:hAnsi="Times New Roman" w:cs="Times New Roman"/>
          <w:sz w:val="24"/>
          <w:szCs w:val="24"/>
        </w:rPr>
        <w:t>tiple cohorts</w:t>
      </w:r>
      <w:r w:rsidR="00136AFF">
        <w:rPr>
          <w:rFonts w:ascii="Times New Roman" w:eastAsia="ScalaLancetPro" w:hAnsi="Times New Roman" w:cs="Times New Roman"/>
          <w:sz w:val="24"/>
          <w:szCs w:val="24"/>
        </w:rPr>
        <w:t xml:space="preserve"> </w:t>
      </w:r>
      <w:r w:rsidR="00E1709F">
        <w:rPr>
          <w:rFonts w:ascii="Times New Roman" w:eastAsia="ScalaLancetPro" w:hAnsi="Times New Roman" w:cs="Times New Roman"/>
          <w:sz w:val="24"/>
          <w:szCs w:val="24"/>
        </w:rPr>
        <w:t>(</w:t>
      </w:r>
      <w:r w:rsidR="00E1709F">
        <w:rPr>
          <w:rFonts w:ascii="Times New Roman" w:hAnsi="Times New Roman" w:cs="Times New Roman"/>
          <w:sz w:val="24"/>
          <w:szCs w:val="24"/>
        </w:rPr>
        <w:t>Stringhini et al, 2018; Stringhini et al, 2017)</w:t>
      </w:r>
      <w:r w:rsidRPr="00E91560">
        <w:rPr>
          <w:rFonts w:ascii="Times New Roman" w:eastAsia="ScalaLancetPro" w:hAnsi="Times New Roman" w:cs="Times New Roman"/>
          <w:sz w:val="24"/>
          <w:szCs w:val="24"/>
        </w:rPr>
        <w:t>, analyses were first per</w:t>
      </w:r>
      <w:r>
        <w:rPr>
          <w:rFonts w:ascii="Times New Roman" w:eastAsia="ScalaLancetPro" w:hAnsi="Times New Roman" w:cs="Times New Roman"/>
          <w:sz w:val="24"/>
          <w:szCs w:val="24"/>
        </w:rPr>
        <w:t xml:space="preserve">formed separately in each study, and </w:t>
      </w:r>
      <w:r w:rsidRPr="00E91560">
        <w:rPr>
          <w:rFonts w:ascii="Times New Roman" w:eastAsia="ScalaLancetPro" w:hAnsi="Times New Roman" w:cs="Times New Roman"/>
          <w:sz w:val="24"/>
          <w:szCs w:val="24"/>
        </w:rPr>
        <w:t>estimates were subsequently combined in a meta</w:t>
      </w:r>
      <w:r>
        <w:rPr>
          <w:rFonts w:ascii="Times New Roman" w:eastAsia="ScalaLancetPro" w:hAnsi="Times New Roman" w:cs="Times New Roman"/>
          <w:sz w:val="24"/>
          <w:szCs w:val="24"/>
        </w:rPr>
        <w:t>-</w:t>
      </w:r>
      <w:r w:rsidRPr="00E91560">
        <w:rPr>
          <w:rFonts w:ascii="Times New Roman" w:eastAsia="ScalaLancetPro" w:hAnsi="Times New Roman" w:cs="Times New Roman"/>
          <w:sz w:val="24"/>
          <w:szCs w:val="24"/>
        </w:rPr>
        <w:t>analy</w:t>
      </w:r>
      <w:r w:rsidR="005B50DE">
        <w:rPr>
          <w:rFonts w:ascii="Times New Roman" w:eastAsia="ScalaLancetPro" w:hAnsi="Times New Roman" w:cs="Times New Roman"/>
          <w:sz w:val="24"/>
          <w:szCs w:val="24"/>
        </w:rPr>
        <w:t>sis</w:t>
      </w:r>
      <w:r w:rsidRPr="00E91560">
        <w:rPr>
          <w:rFonts w:ascii="Times New Roman" w:eastAsia="ScalaLancetPro" w:hAnsi="Times New Roman" w:cs="Times New Roman"/>
          <w:sz w:val="24"/>
          <w:szCs w:val="24"/>
        </w:rPr>
        <w:t>. In study-specific analyses, we considered the maximum number of participants without missing values for each exposure. To estimate the association between risk factors and mortality, hazard ratios (HR)</w:t>
      </w:r>
      <w:r w:rsidR="004A6628">
        <w:rPr>
          <w:rFonts w:ascii="Times New Roman" w:eastAsia="ScalaLancetPro" w:hAnsi="Times New Roman" w:cs="Times New Roman"/>
          <w:sz w:val="24"/>
          <w:szCs w:val="24"/>
        </w:rPr>
        <w:t xml:space="preserve"> and</w:t>
      </w:r>
      <w:r w:rsidR="00B252E3">
        <w:rPr>
          <w:rFonts w:ascii="Times New Roman" w:eastAsia="ScalaLancetPro" w:hAnsi="Times New Roman" w:cs="Times New Roman"/>
          <w:sz w:val="24"/>
          <w:szCs w:val="24"/>
        </w:rPr>
        <w:t xml:space="preserve"> years of life lost (YLL</w:t>
      </w:r>
      <w:r w:rsidR="004A6628">
        <w:rPr>
          <w:rFonts w:ascii="Times New Roman" w:eastAsia="ScalaLancetPro" w:hAnsi="Times New Roman" w:cs="Times New Roman"/>
          <w:sz w:val="24"/>
          <w:szCs w:val="24"/>
        </w:rPr>
        <w:t>)</w:t>
      </w:r>
      <w:r w:rsidRPr="00E91560">
        <w:rPr>
          <w:rFonts w:ascii="Times New Roman" w:eastAsia="ScalaLancetPro" w:hAnsi="Times New Roman" w:cs="Times New Roman"/>
          <w:sz w:val="24"/>
          <w:szCs w:val="24"/>
        </w:rPr>
        <w:t xml:space="preserve"> were generated using flexible parametric survival models on the cumulative hazards</w:t>
      </w:r>
      <w:r>
        <w:rPr>
          <w:rFonts w:ascii="Times New Roman" w:eastAsia="ScalaLancetPro" w:hAnsi="Times New Roman" w:cs="Times New Roman"/>
          <w:sz w:val="24"/>
          <w:szCs w:val="24"/>
        </w:rPr>
        <w:t xml:space="preserve"> </w:t>
      </w:r>
      <w:r w:rsidRPr="00E91560">
        <w:rPr>
          <w:rFonts w:ascii="Times New Roman" w:eastAsia="ScalaLancetPro" w:hAnsi="Times New Roman" w:cs="Times New Roman"/>
          <w:sz w:val="24"/>
          <w:szCs w:val="24"/>
        </w:rPr>
        <w:t xml:space="preserve">scale </w:t>
      </w:r>
      <w:r w:rsidR="00E1709F">
        <w:rPr>
          <w:rFonts w:ascii="Times New Roman" w:eastAsia="ScalaLancetPro" w:hAnsi="Times New Roman" w:cs="Times New Roman"/>
          <w:sz w:val="24"/>
          <w:szCs w:val="24"/>
        </w:rPr>
        <w:t xml:space="preserve">(details in </w:t>
      </w:r>
      <w:r w:rsidR="00E1709F">
        <w:rPr>
          <w:rFonts w:ascii="Times New Roman" w:hAnsi="Times New Roman" w:cs="Times New Roman"/>
          <w:sz w:val="24"/>
          <w:szCs w:val="24"/>
        </w:rPr>
        <w:t>Stringhini et al, 2017</w:t>
      </w:r>
      <w:r w:rsidRPr="00E91560">
        <w:rPr>
          <w:rFonts w:ascii="Times New Roman" w:eastAsia="ScalaLancetPro" w:hAnsi="Times New Roman" w:cs="Times New Roman"/>
          <w:sz w:val="24"/>
          <w:szCs w:val="24"/>
        </w:rPr>
        <w:t>). The mutually adjusted models included age, sex, race or ethnicity, marital status, socioeconomic status, and all risk factors as independent variables with total mortality and deaths from cardiovascular disease, cancer, and other causes as outcomes. To enable balanced comparisons between socioeconomic status and risk factors as predictors of cause-spec</w:t>
      </w:r>
      <w:r>
        <w:rPr>
          <w:rFonts w:ascii="Times New Roman" w:eastAsia="ScalaLancetPro" w:hAnsi="Times New Roman" w:cs="Times New Roman"/>
          <w:sz w:val="24"/>
          <w:szCs w:val="24"/>
        </w:rPr>
        <w:t>ifi</w:t>
      </w:r>
      <w:r w:rsidRPr="00E91560">
        <w:rPr>
          <w:rFonts w:ascii="Times New Roman" w:eastAsia="ScalaLancetPro" w:hAnsi="Times New Roman" w:cs="Times New Roman"/>
          <w:sz w:val="24"/>
          <w:szCs w:val="24"/>
        </w:rPr>
        <w:t xml:space="preserve">c mortality, these analyses were restricted to </w:t>
      </w:r>
      <w:r>
        <w:rPr>
          <w:rFonts w:ascii="Times New Roman" w:eastAsia="ScalaLancetPro" w:hAnsi="Times New Roman" w:cs="Times New Roman"/>
          <w:sz w:val="24"/>
          <w:szCs w:val="24"/>
        </w:rPr>
        <w:t xml:space="preserve">a subgroup of participants with </w:t>
      </w:r>
      <w:r w:rsidRPr="00E91560">
        <w:rPr>
          <w:rFonts w:ascii="Times New Roman" w:eastAsia="ScalaLancetPro" w:hAnsi="Times New Roman" w:cs="Times New Roman"/>
          <w:sz w:val="24"/>
          <w:szCs w:val="24"/>
        </w:rPr>
        <w:t xml:space="preserve">complete data for socioeconomic status and the  </w:t>
      </w:r>
      <w:r w:rsidR="007A49A0">
        <w:rPr>
          <w:rFonts w:ascii="Times New Roman" w:eastAsia="ScalaLancetPro" w:hAnsi="Times New Roman" w:cs="Times New Roman"/>
          <w:sz w:val="24"/>
          <w:szCs w:val="24"/>
        </w:rPr>
        <w:t xml:space="preserve">NCD </w:t>
      </w:r>
      <w:r w:rsidRPr="00E91560">
        <w:rPr>
          <w:rFonts w:ascii="Times New Roman" w:eastAsia="ScalaLancetPro" w:hAnsi="Times New Roman" w:cs="Times New Roman"/>
          <w:sz w:val="24"/>
          <w:szCs w:val="24"/>
        </w:rPr>
        <w:t>risk factors.</w:t>
      </w:r>
    </w:p>
    <w:p w14:paraId="222EE398" w14:textId="46AE616F" w:rsidR="00C91607" w:rsidRPr="00E91560" w:rsidRDefault="00C91607" w:rsidP="00C91607">
      <w:pPr>
        <w:autoSpaceDE w:val="0"/>
        <w:autoSpaceDN w:val="0"/>
        <w:adjustRightInd w:val="0"/>
        <w:spacing w:after="0" w:line="360" w:lineRule="auto"/>
        <w:jc w:val="both"/>
        <w:rPr>
          <w:rFonts w:ascii="Times New Roman" w:eastAsia="ScalaLancetPro" w:hAnsi="Times New Roman" w:cs="Times New Roman"/>
          <w:sz w:val="24"/>
          <w:szCs w:val="24"/>
        </w:rPr>
      </w:pPr>
      <w:r w:rsidRPr="00E91560">
        <w:rPr>
          <w:rFonts w:ascii="Times New Roman" w:eastAsia="ScalaLancetPro" w:hAnsi="Times New Roman" w:cs="Times New Roman"/>
          <w:sz w:val="24"/>
          <w:szCs w:val="24"/>
        </w:rPr>
        <w:t>To examine whether the association between socioeconomic status and m</w:t>
      </w:r>
      <w:r>
        <w:rPr>
          <w:rFonts w:ascii="Times New Roman" w:eastAsia="ScalaLancetPro" w:hAnsi="Times New Roman" w:cs="Times New Roman"/>
          <w:sz w:val="24"/>
          <w:szCs w:val="24"/>
        </w:rPr>
        <w:t xml:space="preserve">ortality is attributable to the </w:t>
      </w:r>
      <w:r w:rsidRPr="00E91560">
        <w:rPr>
          <w:rFonts w:ascii="Times New Roman" w:eastAsia="ScalaLancetPro" w:hAnsi="Times New Roman" w:cs="Times New Roman"/>
          <w:sz w:val="24"/>
          <w:szCs w:val="24"/>
        </w:rPr>
        <w:t xml:space="preserve">higher prevalence of the risk factors among </w:t>
      </w:r>
      <w:r w:rsidR="00B85A18">
        <w:rPr>
          <w:rFonts w:ascii="Times New Roman" w:eastAsia="ScalaLancetPro" w:hAnsi="Times New Roman" w:cs="Times New Roman"/>
          <w:sz w:val="24"/>
          <w:szCs w:val="24"/>
        </w:rPr>
        <w:t>disadvantaged</w:t>
      </w:r>
      <w:r w:rsidRPr="00E91560">
        <w:rPr>
          <w:rFonts w:ascii="Times New Roman" w:eastAsia="ScalaLancetPro" w:hAnsi="Times New Roman" w:cs="Times New Roman"/>
          <w:sz w:val="24"/>
          <w:szCs w:val="24"/>
        </w:rPr>
        <w:t xml:space="preserve"> socioeconomic </w:t>
      </w:r>
      <w:r w:rsidR="00544A46">
        <w:rPr>
          <w:rFonts w:ascii="Times New Roman" w:eastAsia="ScalaLancetPro" w:hAnsi="Times New Roman" w:cs="Times New Roman"/>
          <w:sz w:val="24"/>
          <w:szCs w:val="24"/>
        </w:rPr>
        <w:t>position</w:t>
      </w:r>
      <w:r w:rsidRPr="00E91560">
        <w:rPr>
          <w:rFonts w:ascii="Times New Roman" w:eastAsia="ScalaLancetPro" w:hAnsi="Times New Roman" w:cs="Times New Roman"/>
          <w:sz w:val="24"/>
          <w:szCs w:val="24"/>
        </w:rPr>
        <w:t xml:space="preserve"> individuals, we repeated the analyses in a subgroup of participants without any risk factors. Analyses were also repeated specifically focusing on premature mortality (&lt;70 years) and by restricting the population to cohorts in which height and weight as well as blood pressure were measured objectively using standard procedures.</w:t>
      </w:r>
    </w:p>
    <w:p w14:paraId="7BDE0E2A" w14:textId="3A7E78B1" w:rsidR="00C91607" w:rsidRPr="00E91560" w:rsidRDefault="00C91607" w:rsidP="00C91607">
      <w:pPr>
        <w:autoSpaceDE w:val="0"/>
        <w:autoSpaceDN w:val="0"/>
        <w:adjustRightInd w:val="0"/>
        <w:spacing w:after="0" w:line="360" w:lineRule="auto"/>
        <w:jc w:val="both"/>
        <w:rPr>
          <w:rFonts w:ascii="Times New Roman" w:eastAsia="ScalaLancetPro" w:hAnsi="Times New Roman" w:cs="Times New Roman"/>
          <w:sz w:val="24"/>
          <w:szCs w:val="24"/>
        </w:rPr>
      </w:pPr>
      <w:r w:rsidRPr="004A6628">
        <w:rPr>
          <w:rFonts w:ascii="Times New Roman" w:eastAsia="ScalaLancetPro" w:hAnsi="Times New Roman" w:cs="Times New Roman"/>
          <w:sz w:val="24"/>
          <w:szCs w:val="24"/>
        </w:rPr>
        <w:t xml:space="preserve">The same procedures were used for other </w:t>
      </w:r>
      <w:r w:rsidR="00AE20E6" w:rsidRPr="004A6628">
        <w:rPr>
          <w:rFonts w:ascii="Times New Roman" w:eastAsia="ScalaLancetPro" w:hAnsi="Times New Roman" w:cs="Times New Roman"/>
          <w:sz w:val="24"/>
          <w:szCs w:val="24"/>
        </w:rPr>
        <w:t xml:space="preserve">outcomes </w:t>
      </w:r>
      <w:r w:rsidRPr="004A6628">
        <w:rPr>
          <w:rFonts w:ascii="Times New Roman" w:eastAsia="ScalaLancetPro" w:hAnsi="Times New Roman" w:cs="Times New Roman"/>
          <w:sz w:val="24"/>
          <w:szCs w:val="24"/>
        </w:rPr>
        <w:t>and particularly for walking speed</w:t>
      </w:r>
      <w:r w:rsidR="00136AFF" w:rsidRPr="004A6628">
        <w:rPr>
          <w:rFonts w:ascii="Times New Roman" w:eastAsia="ScalaLancetPro" w:hAnsi="Times New Roman" w:cs="Times New Roman"/>
          <w:sz w:val="24"/>
          <w:szCs w:val="24"/>
          <w:vertAlign w:val="superscript"/>
        </w:rPr>
        <w:t xml:space="preserve"> </w:t>
      </w:r>
      <w:r w:rsidR="00136AFF" w:rsidRPr="004A6628">
        <w:rPr>
          <w:rFonts w:ascii="Times New Roman" w:eastAsia="ScalaLancetPro" w:hAnsi="Times New Roman" w:cs="Times New Roman"/>
          <w:sz w:val="24"/>
          <w:szCs w:val="24"/>
        </w:rPr>
        <w:t>(Stringhini et al, 2018)</w:t>
      </w:r>
      <w:r w:rsidRPr="004A6628">
        <w:rPr>
          <w:rFonts w:ascii="Times New Roman" w:eastAsia="ScalaLancetPro" w:hAnsi="Times New Roman" w:cs="Times New Roman"/>
          <w:sz w:val="24"/>
          <w:szCs w:val="24"/>
        </w:rPr>
        <w:t>. In the latter</w:t>
      </w:r>
      <w:r w:rsidR="00D20166" w:rsidRPr="004A6628">
        <w:rPr>
          <w:rFonts w:ascii="Times New Roman" w:eastAsia="ScalaLancetPro" w:hAnsi="Times New Roman" w:cs="Times New Roman"/>
          <w:sz w:val="24"/>
          <w:szCs w:val="24"/>
        </w:rPr>
        <w:t>,</w:t>
      </w:r>
      <w:r w:rsidRPr="004A6628">
        <w:rPr>
          <w:rFonts w:ascii="Times New Roman" w:eastAsia="ScalaLancetPro" w:hAnsi="Times New Roman" w:cs="Times New Roman"/>
          <w:sz w:val="24"/>
          <w:szCs w:val="24"/>
        </w:rPr>
        <w:t xml:space="preserve"> we computed Years of </w:t>
      </w:r>
      <w:r w:rsidR="00ED1306" w:rsidRPr="004A6628">
        <w:rPr>
          <w:rFonts w:ascii="Times New Roman" w:eastAsia="ScalaLancetPro" w:hAnsi="Times New Roman" w:cs="Times New Roman"/>
          <w:sz w:val="24"/>
          <w:szCs w:val="24"/>
        </w:rPr>
        <w:t>Function</w:t>
      </w:r>
      <w:r w:rsidR="004A6628" w:rsidRPr="004A6628">
        <w:rPr>
          <w:rFonts w:ascii="Times New Roman" w:eastAsia="ScalaLancetPro" w:hAnsi="Times New Roman" w:cs="Times New Roman"/>
          <w:sz w:val="24"/>
          <w:szCs w:val="24"/>
        </w:rPr>
        <w:t>ing</w:t>
      </w:r>
      <w:r w:rsidRPr="004A6628">
        <w:rPr>
          <w:rFonts w:ascii="Times New Roman" w:eastAsia="ScalaLancetPro" w:hAnsi="Times New Roman" w:cs="Times New Roman"/>
          <w:sz w:val="24"/>
          <w:szCs w:val="24"/>
        </w:rPr>
        <w:t xml:space="preserve"> Lost (Y</w:t>
      </w:r>
      <w:r w:rsidR="00ED1306" w:rsidRPr="004A6628">
        <w:rPr>
          <w:rFonts w:ascii="Times New Roman" w:eastAsia="ScalaLancetPro" w:hAnsi="Times New Roman" w:cs="Times New Roman"/>
          <w:sz w:val="24"/>
          <w:szCs w:val="24"/>
        </w:rPr>
        <w:t>F</w:t>
      </w:r>
      <w:r w:rsidRPr="004A6628">
        <w:rPr>
          <w:rFonts w:ascii="Times New Roman" w:eastAsia="ScalaLancetPro" w:hAnsi="Times New Roman" w:cs="Times New Roman"/>
          <w:sz w:val="24"/>
          <w:szCs w:val="24"/>
        </w:rPr>
        <w:t>L</w:t>
      </w:r>
      <w:r w:rsidR="004A6628" w:rsidRPr="004A6628">
        <w:rPr>
          <w:rFonts w:ascii="Times New Roman" w:eastAsia="ScalaLancetPro" w:hAnsi="Times New Roman" w:cs="Times New Roman"/>
          <w:sz w:val="24"/>
          <w:szCs w:val="24"/>
        </w:rPr>
        <w:t xml:space="preserve">) </w:t>
      </w:r>
      <w:r w:rsidRPr="004A6628">
        <w:rPr>
          <w:rFonts w:ascii="Times New Roman" w:eastAsia="ScalaLancetPro" w:hAnsi="Times New Roman" w:cs="Times New Roman"/>
          <w:sz w:val="24"/>
          <w:szCs w:val="24"/>
        </w:rPr>
        <w:t xml:space="preserve"> as the</w:t>
      </w:r>
      <w:r w:rsidR="004A6628" w:rsidRPr="004A6628">
        <w:rPr>
          <w:rFonts w:ascii="Times New Roman" w:eastAsia="ScalaLancetPro" w:hAnsi="Times New Roman" w:cs="Times New Roman"/>
          <w:sz w:val="24"/>
          <w:szCs w:val="24"/>
        </w:rPr>
        <w:t xml:space="preserve"> difference between</w:t>
      </w:r>
      <w:r w:rsidRPr="004A6628">
        <w:rPr>
          <w:rFonts w:ascii="Times New Roman" w:eastAsia="ScalaLancetPro" w:hAnsi="Times New Roman" w:cs="Times New Roman"/>
          <w:sz w:val="24"/>
          <w:szCs w:val="24"/>
        </w:rPr>
        <w:t xml:space="preserve"> </w:t>
      </w:r>
      <w:r w:rsidR="004A6628" w:rsidRPr="00A53C27">
        <w:rPr>
          <w:rFonts w:ascii="Times New Roman" w:hAnsi="Times New Roman" w:cs="Times New Roman"/>
          <w:color w:val="333333"/>
          <w:shd w:val="clear" w:color="auto" w:fill="FFFFFF"/>
        </w:rPr>
        <w:t xml:space="preserve">the chronological age of the unexposed group equivalent to the walking speed at age 60 (or 85) of the exposed group and age 60 (or 85). </w:t>
      </w:r>
    </w:p>
    <w:p w14:paraId="10D25A32" w14:textId="4DF759AD" w:rsidR="00C91607" w:rsidRDefault="00C91607" w:rsidP="00E1709F">
      <w:pPr>
        <w:autoSpaceDE w:val="0"/>
        <w:autoSpaceDN w:val="0"/>
        <w:adjustRightInd w:val="0"/>
        <w:spacing w:after="0" w:line="360" w:lineRule="auto"/>
        <w:jc w:val="both"/>
        <w:rPr>
          <w:rFonts w:ascii="Times New Roman" w:hAnsi="Times New Roman" w:cs="Times New Roman"/>
          <w:sz w:val="24"/>
          <w:szCs w:val="24"/>
        </w:rPr>
      </w:pPr>
      <w:r w:rsidRPr="00E91560">
        <w:rPr>
          <w:rFonts w:ascii="Times New Roman" w:eastAsia="ScalaLancetPro" w:hAnsi="Times New Roman" w:cs="Times New Roman"/>
          <w:sz w:val="24"/>
          <w:szCs w:val="24"/>
        </w:rPr>
        <w:t>S</w:t>
      </w:r>
      <w:r>
        <w:rPr>
          <w:rFonts w:ascii="Times New Roman" w:eastAsia="ScalaLancetPro" w:hAnsi="Times New Roman" w:cs="Times New Roman"/>
          <w:sz w:val="24"/>
          <w:szCs w:val="24"/>
        </w:rPr>
        <w:t>pecific methods used to analyse</w:t>
      </w:r>
      <w:r w:rsidRPr="00E91560">
        <w:rPr>
          <w:rFonts w:ascii="Times New Roman" w:eastAsia="ScalaLancetPro" w:hAnsi="Times New Roman" w:cs="Times New Roman"/>
          <w:sz w:val="24"/>
          <w:szCs w:val="24"/>
        </w:rPr>
        <w:t xml:space="preserve"> data on </w:t>
      </w:r>
      <w:r w:rsidRPr="00E91560">
        <w:rPr>
          <w:rFonts w:ascii="Times New Roman" w:hAnsi="Times New Roman" w:cs="Times New Roman"/>
          <w:sz w:val="24"/>
          <w:szCs w:val="24"/>
        </w:rPr>
        <w:t xml:space="preserve">obesity </w:t>
      </w:r>
      <w:r w:rsidR="00E1709F">
        <w:rPr>
          <w:rFonts w:ascii="Times New Roman" w:hAnsi="Times New Roman" w:cs="Times New Roman"/>
          <w:sz w:val="24"/>
          <w:szCs w:val="24"/>
        </w:rPr>
        <w:t xml:space="preserve">in </w:t>
      </w:r>
      <w:r w:rsidR="00E1709F" w:rsidRPr="004A7C4E">
        <w:rPr>
          <w:rFonts w:ascii="Times New Roman" w:hAnsi="Times New Roman" w:cs="Times New Roman"/>
          <w:sz w:val="24"/>
          <w:szCs w:val="24"/>
        </w:rPr>
        <w:t>children</w:t>
      </w:r>
      <w:r w:rsidR="00E1709F">
        <w:rPr>
          <w:rFonts w:ascii="Times New Roman" w:hAnsi="Times New Roman" w:cs="Times New Roman"/>
          <w:sz w:val="24"/>
          <w:szCs w:val="24"/>
          <w:vertAlign w:val="superscript"/>
        </w:rPr>
        <w:t xml:space="preserve"> </w:t>
      </w:r>
      <w:r w:rsidR="00E1709F">
        <w:rPr>
          <w:rFonts w:ascii="Times New Roman" w:hAnsi="Times New Roman" w:cs="Times New Roman"/>
          <w:sz w:val="24"/>
          <w:szCs w:val="24"/>
        </w:rPr>
        <w:t>(McCrory et al, 2017)</w:t>
      </w:r>
      <w:r w:rsidR="00E1709F" w:rsidRPr="004A7C4E">
        <w:rPr>
          <w:rFonts w:ascii="Times New Roman" w:hAnsi="Times New Roman" w:cs="Times New Roman"/>
          <w:sz w:val="24"/>
          <w:szCs w:val="24"/>
        </w:rPr>
        <w:t>, transcriptomics</w:t>
      </w:r>
      <w:r w:rsidR="00E1709F">
        <w:rPr>
          <w:rFonts w:ascii="Times New Roman" w:hAnsi="Times New Roman" w:cs="Times New Roman"/>
          <w:sz w:val="24"/>
          <w:szCs w:val="24"/>
          <w:vertAlign w:val="superscript"/>
        </w:rPr>
        <w:t xml:space="preserve"> </w:t>
      </w:r>
      <w:r w:rsidR="00E1709F">
        <w:rPr>
          <w:rFonts w:ascii="Times New Roman" w:hAnsi="Times New Roman" w:cs="Times New Roman"/>
          <w:sz w:val="24"/>
          <w:szCs w:val="24"/>
        </w:rPr>
        <w:t>(Castagne et al, 2016)</w:t>
      </w:r>
      <w:r w:rsidR="00E1709F" w:rsidRPr="004A7C4E">
        <w:rPr>
          <w:rFonts w:ascii="Times New Roman" w:hAnsi="Times New Roman" w:cs="Times New Roman"/>
          <w:sz w:val="24"/>
          <w:szCs w:val="24"/>
        </w:rPr>
        <w:t>, allostatic load</w:t>
      </w:r>
      <w:r w:rsidR="00E1709F">
        <w:rPr>
          <w:rFonts w:ascii="Times New Roman" w:hAnsi="Times New Roman" w:cs="Times New Roman"/>
          <w:sz w:val="24"/>
          <w:szCs w:val="24"/>
          <w:vertAlign w:val="superscript"/>
        </w:rPr>
        <w:t xml:space="preserve"> </w:t>
      </w:r>
      <w:r w:rsidR="00E1709F">
        <w:rPr>
          <w:rFonts w:ascii="Times New Roman" w:hAnsi="Times New Roman" w:cs="Times New Roman"/>
          <w:sz w:val="24"/>
          <w:szCs w:val="24"/>
        </w:rPr>
        <w:t>(</w:t>
      </w:r>
      <w:r w:rsidR="00E1709F" w:rsidRPr="00EB47BB">
        <w:rPr>
          <w:rFonts w:ascii="Times New Roman" w:hAnsi="Times New Roman" w:cs="Times New Roman"/>
          <w:sz w:val="24"/>
          <w:szCs w:val="24"/>
        </w:rPr>
        <w:t>Bar</w:t>
      </w:r>
      <w:r w:rsidR="00136AFF">
        <w:rPr>
          <w:rFonts w:ascii="Times New Roman" w:hAnsi="Times New Roman" w:cs="Times New Roman"/>
          <w:sz w:val="24"/>
          <w:szCs w:val="24"/>
        </w:rPr>
        <w:t>boza Solis</w:t>
      </w:r>
      <w:r w:rsidR="00E1709F" w:rsidRPr="00EB47BB">
        <w:rPr>
          <w:rFonts w:ascii="Times New Roman" w:hAnsi="Times New Roman" w:cs="Times New Roman"/>
          <w:sz w:val="24"/>
          <w:szCs w:val="24"/>
        </w:rPr>
        <w:t xml:space="preserve"> et al</w:t>
      </w:r>
      <w:r w:rsidR="00E1709F">
        <w:rPr>
          <w:rFonts w:ascii="Times New Roman" w:hAnsi="Times New Roman" w:cs="Times New Roman"/>
          <w:sz w:val="24"/>
          <w:szCs w:val="24"/>
        </w:rPr>
        <w:t>, 2016)</w:t>
      </w:r>
      <w:r w:rsidR="00E1709F" w:rsidRPr="004A7C4E">
        <w:rPr>
          <w:rFonts w:ascii="Times New Roman" w:hAnsi="Times New Roman" w:cs="Times New Roman"/>
          <w:sz w:val="24"/>
          <w:szCs w:val="24"/>
        </w:rPr>
        <w:t>, methylation</w:t>
      </w:r>
      <w:r w:rsidR="00136AFF">
        <w:rPr>
          <w:rFonts w:ascii="Times New Roman" w:hAnsi="Times New Roman" w:cs="Times New Roman"/>
          <w:sz w:val="24"/>
          <w:szCs w:val="24"/>
        </w:rPr>
        <w:t xml:space="preserve"> </w:t>
      </w:r>
      <w:r w:rsidR="00E1709F">
        <w:rPr>
          <w:rFonts w:ascii="Times New Roman" w:hAnsi="Times New Roman" w:cs="Times New Roman"/>
          <w:sz w:val="24"/>
          <w:szCs w:val="24"/>
          <w:vertAlign w:val="superscript"/>
        </w:rPr>
        <w:t xml:space="preserve"> </w:t>
      </w:r>
      <w:r w:rsidR="00E1709F">
        <w:rPr>
          <w:rFonts w:ascii="Times New Roman" w:hAnsi="Times New Roman" w:cs="Times New Roman"/>
          <w:sz w:val="24"/>
          <w:szCs w:val="24"/>
        </w:rPr>
        <w:t>(</w:t>
      </w:r>
      <w:r w:rsidR="00136AFF">
        <w:rPr>
          <w:rFonts w:ascii="Times New Roman" w:hAnsi="Times New Roman" w:cs="Times New Roman"/>
          <w:sz w:val="24"/>
          <w:szCs w:val="24"/>
        </w:rPr>
        <w:t>Fiorito</w:t>
      </w:r>
      <w:r w:rsidR="00E1709F" w:rsidRPr="00841DFA">
        <w:rPr>
          <w:rFonts w:ascii="Times New Roman" w:hAnsi="Times New Roman" w:cs="Times New Roman"/>
          <w:sz w:val="24"/>
          <w:szCs w:val="24"/>
        </w:rPr>
        <w:t xml:space="preserve"> et al</w:t>
      </w:r>
      <w:r w:rsidR="00E1709F" w:rsidRPr="004A7C4E">
        <w:rPr>
          <w:rFonts w:ascii="Times New Roman" w:hAnsi="Times New Roman" w:cs="Times New Roman"/>
          <w:sz w:val="24"/>
          <w:szCs w:val="24"/>
        </w:rPr>
        <w:t>,</w:t>
      </w:r>
      <w:r w:rsidR="00E1709F">
        <w:rPr>
          <w:rFonts w:ascii="Times New Roman" w:hAnsi="Times New Roman" w:cs="Times New Roman"/>
          <w:sz w:val="24"/>
          <w:szCs w:val="24"/>
        </w:rPr>
        <w:t xml:space="preserve"> 2017)</w:t>
      </w:r>
      <w:r w:rsidR="00E1709F" w:rsidRPr="004A7C4E">
        <w:rPr>
          <w:rFonts w:ascii="Times New Roman" w:hAnsi="Times New Roman" w:cs="Times New Roman"/>
          <w:sz w:val="24"/>
          <w:szCs w:val="24"/>
        </w:rPr>
        <w:t xml:space="preserve"> and EBV </w:t>
      </w:r>
      <w:r w:rsidR="00E1709F" w:rsidRPr="00EB47BB">
        <w:rPr>
          <w:rFonts w:ascii="Times New Roman" w:hAnsi="Times New Roman" w:cs="Times New Roman"/>
          <w:sz w:val="24"/>
          <w:szCs w:val="24"/>
        </w:rPr>
        <w:t>infection  (Gares et</w:t>
      </w:r>
      <w:r w:rsidR="00E1709F">
        <w:rPr>
          <w:rFonts w:ascii="Times New Roman" w:hAnsi="Times New Roman" w:cs="Times New Roman"/>
          <w:sz w:val="24"/>
          <w:szCs w:val="24"/>
        </w:rPr>
        <w:t xml:space="preserve"> </w:t>
      </w:r>
      <w:r w:rsidR="00E1709F" w:rsidRPr="00EB47BB">
        <w:rPr>
          <w:rFonts w:ascii="Times New Roman" w:hAnsi="Times New Roman" w:cs="Times New Roman"/>
          <w:sz w:val="24"/>
          <w:szCs w:val="24"/>
        </w:rPr>
        <w:t>al, 2017)</w:t>
      </w:r>
      <w:r w:rsidR="00E1709F">
        <w:rPr>
          <w:rFonts w:ascii="Times New Roman" w:hAnsi="Times New Roman" w:cs="Times New Roman"/>
          <w:sz w:val="24"/>
          <w:szCs w:val="24"/>
        </w:rPr>
        <w:t xml:space="preserve"> </w:t>
      </w:r>
      <w:r w:rsidRPr="00E91560">
        <w:rPr>
          <w:rFonts w:ascii="Times New Roman" w:hAnsi="Times New Roman" w:cs="Times New Roman"/>
          <w:sz w:val="24"/>
          <w:szCs w:val="24"/>
        </w:rPr>
        <w:t xml:space="preserve">are reported in the original papers. </w:t>
      </w:r>
    </w:p>
    <w:p w14:paraId="5EF09132" w14:textId="4AAB3C3F" w:rsidR="005710C0" w:rsidRDefault="005710C0" w:rsidP="00E170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paper is methodological and addresses the specific issue of consistency of findings across biological layers (characterized by different confounders and bias), with the general aim of testing whether SEP is associated to health </w:t>
      </w:r>
      <w:r w:rsidR="007A49A0">
        <w:rPr>
          <w:rFonts w:ascii="Times New Roman" w:hAnsi="Times New Roman" w:cs="Times New Roman"/>
          <w:sz w:val="24"/>
          <w:szCs w:val="24"/>
        </w:rPr>
        <w:t xml:space="preserve">indicators </w:t>
      </w:r>
      <w:r>
        <w:rPr>
          <w:rFonts w:ascii="Times New Roman" w:hAnsi="Times New Roman" w:cs="Times New Roman"/>
          <w:sz w:val="24"/>
          <w:szCs w:val="24"/>
        </w:rPr>
        <w:t xml:space="preserve">and biological markers after adjustment by confounders. More details </w:t>
      </w:r>
      <w:r w:rsidR="00AE20E6">
        <w:rPr>
          <w:rFonts w:ascii="Times New Roman" w:hAnsi="Times New Roman" w:cs="Times New Roman"/>
          <w:sz w:val="24"/>
          <w:szCs w:val="24"/>
        </w:rPr>
        <w:t xml:space="preserve">on methods and specific results </w:t>
      </w:r>
      <w:r>
        <w:rPr>
          <w:rFonts w:ascii="Times New Roman" w:hAnsi="Times New Roman" w:cs="Times New Roman"/>
          <w:sz w:val="24"/>
          <w:szCs w:val="24"/>
        </w:rPr>
        <w:t>are given in the original papers.</w:t>
      </w:r>
    </w:p>
    <w:p w14:paraId="08D7A046" w14:textId="77777777" w:rsidR="0023744B" w:rsidRPr="00E91560" w:rsidRDefault="0023744B" w:rsidP="00E1709F">
      <w:pPr>
        <w:autoSpaceDE w:val="0"/>
        <w:autoSpaceDN w:val="0"/>
        <w:adjustRightInd w:val="0"/>
        <w:spacing w:after="0" w:line="360" w:lineRule="auto"/>
        <w:jc w:val="both"/>
        <w:rPr>
          <w:rFonts w:ascii="Times New Roman" w:hAnsi="Times New Roman" w:cs="Times New Roman"/>
          <w:sz w:val="24"/>
          <w:szCs w:val="24"/>
        </w:rPr>
      </w:pPr>
    </w:p>
    <w:p w14:paraId="15708DEC" w14:textId="644CBCBE" w:rsidR="00A874BB" w:rsidRPr="00957982" w:rsidRDefault="00A874BB" w:rsidP="00957982">
      <w:pPr>
        <w:pStyle w:val="ListParagraph"/>
        <w:numPr>
          <w:ilvl w:val="0"/>
          <w:numId w:val="14"/>
        </w:numPr>
        <w:spacing w:line="360" w:lineRule="auto"/>
        <w:jc w:val="both"/>
        <w:rPr>
          <w:rFonts w:ascii="Times New Roman" w:eastAsia="Times New Roman" w:hAnsi="Times New Roman" w:cs="Times New Roman"/>
          <w:b/>
          <w:sz w:val="24"/>
          <w:szCs w:val="24"/>
          <w:lang w:eastAsia="en-GB"/>
        </w:rPr>
      </w:pPr>
      <w:r w:rsidRPr="00957982">
        <w:rPr>
          <w:rFonts w:ascii="Times New Roman" w:hAnsi="Times New Roman" w:cs="Times New Roman"/>
          <w:b/>
          <w:sz w:val="24"/>
          <w:szCs w:val="24"/>
        </w:rPr>
        <w:t>Results</w:t>
      </w:r>
    </w:p>
    <w:p w14:paraId="0ACFF7C6" w14:textId="77777777" w:rsidR="00AE20E6" w:rsidRPr="00A53C27" w:rsidRDefault="00AE20E6" w:rsidP="0086535B">
      <w:pPr>
        <w:spacing w:line="360" w:lineRule="auto"/>
        <w:jc w:val="both"/>
        <w:rPr>
          <w:rFonts w:ascii="Times New Roman" w:hAnsi="Times New Roman" w:cs="Times New Roman"/>
          <w:b/>
          <w:sz w:val="24"/>
          <w:szCs w:val="24"/>
        </w:rPr>
      </w:pPr>
      <w:r w:rsidRPr="00A53C27">
        <w:rPr>
          <w:rFonts w:ascii="Times New Roman" w:hAnsi="Times New Roman" w:cs="Times New Roman"/>
          <w:b/>
          <w:sz w:val="24"/>
          <w:szCs w:val="24"/>
        </w:rPr>
        <w:t>3.1. Main findings</w:t>
      </w:r>
    </w:p>
    <w:p w14:paraId="797A0585" w14:textId="07BD5C32" w:rsidR="00A874BB" w:rsidRDefault="00A40581" w:rsidP="0086535B">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 xml:space="preserve">Results reported in Table 1 show considerable consistency across all findings in </w:t>
      </w:r>
      <w:r w:rsidR="008A6009">
        <w:rPr>
          <w:rFonts w:ascii="Times New Roman" w:hAnsi="Times New Roman" w:cs="Times New Roman"/>
          <w:sz w:val="24"/>
          <w:szCs w:val="24"/>
        </w:rPr>
        <w:t xml:space="preserve">our </w:t>
      </w:r>
      <w:r w:rsidRPr="00EE1EA3">
        <w:rPr>
          <w:rFonts w:ascii="Times New Roman" w:hAnsi="Times New Roman" w:cs="Times New Roman"/>
          <w:sz w:val="24"/>
          <w:szCs w:val="24"/>
        </w:rPr>
        <w:t>consortium</w:t>
      </w:r>
      <w:r w:rsidR="00D80B27">
        <w:rPr>
          <w:rFonts w:ascii="Times New Roman" w:hAnsi="Times New Roman" w:cs="Times New Roman"/>
          <w:sz w:val="24"/>
          <w:szCs w:val="24"/>
        </w:rPr>
        <w:t xml:space="preserve"> o</w:t>
      </w:r>
      <w:r w:rsidR="008A6009">
        <w:rPr>
          <w:rFonts w:ascii="Times New Roman" w:hAnsi="Times New Roman" w:cs="Times New Roman"/>
          <w:sz w:val="24"/>
          <w:szCs w:val="24"/>
        </w:rPr>
        <w:t>f up to 1.7 million people</w:t>
      </w:r>
      <w:r w:rsidRPr="00EE1EA3">
        <w:rPr>
          <w:rFonts w:ascii="Times New Roman" w:hAnsi="Times New Roman" w:cs="Times New Roman"/>
          <w:sz w:val="24"/>
          <w:szCs w:val="24"/>
        </w:rPr>
        <w:t xml:space="preserve">. </w:t>
      </w:r>
      <w:r w:rsidR="00CD6BFD">
        <w:rPr>
          <w:rFonts w:ascii="Times New Roman" w:hAnsi="Times New Roman" w:cs="Times New Roman"/>
          <w:sz w:val="24"/>
          <w:szCs w:val="24"/>
        </w:rPr>
        <w:t>Disadvantaged socio-economic</w:t>
      </w:r>
      <w:r w:rsidR="00AF1C2A" w:rsidRPr="00EE1EA3">
        <w:rPr>
          <w:rFonts w:ascii="Times New Roman" w:hAnsi="Times New Roman" w:cs="Times New Roman"/>
          <w:sz w:val="24"/>
          <w:szCs w:val="24"/>
        </w:rPr>
        <w:t xml:space="preserve"> conditions </w:t>
      </w:r>
      <w:r w:rsidRPr="00EE1EA3">
        <w:rPr>
          <w:rFonts w:ascii="Times New Roman" w:hAnsi="Times New Roman" w:cs="Times New Roman"/>
          <w:sz w:val="24"/>
          <w:szCs w:val="24"/>
        </w:rPr>
        <w:t>w</w:t>
      </w:r>
      <w:r w:rsidR="00AF1C2A" w:rsidRPr="00EE1EA3">
        <w:rPr>
          <w:rFonts w:ascii="Times New Roman" w:hAnsi="Times New Roman" w:cs="Times New Roman"/>
          <w:sz w:val="24"/>
          <w:szCs w:val="24"/>
        </w:rPr>
        <w:t>ere</w:t>
      </w:r>
      <w:r w:rsidRPr="00EE1EA3">
        <w:rPr>
          <w:rFonts w:ascii="Times New Roman" w:hAnsi="Times New Roman" w:cs="Times New Roman"/>
          <w:sz w:val="24"/>
          <w:szCs w:val="24"/>
        </w:rPr>
        <w:t xml:space="preserve"> associated with</w:t>
      </w:r>
      <w:r w:rsidR="00F46699">
        <w:rPr>
          <w:rFonts w:ascii="Times New Roman" w:hAnsi="Times New Roman" w:cs="Times New Roman"/>
          <w:sz w:val="24"/>
          <w:szCs w:val="24"/>
        </w:rPr>
        <w:t>:</w:t>
      </w:r>
      <w:r w:rsidRPr="00EE1EA3">
        <w:rPr>
          <w:rFonts w:ascii="Times New Roman" w:hAnsi="Times New Roman" w:cs="Times New Roman"/>
          <w:sz w:val="24"/>
          <w:szCs w:val="24"/>
        </w:rPr>
        <w:t xml:space="preserve"> increased mortality (in 48 cohorts in 3 continents)</w:t>
      </w:r>
      <w:r w:rsidR="002E4586">
        <w:rPr>
          <w:rFonts w:ascii="Times New Roman" w:hAnsi="Times New Roman" w:cs="Times New Roman"/>
          <w:sz w:val="24"/>
          <w:szCs w:val="24"/>
        </w:rPr>
        <w:t xml:space="preserve"> </w:t>
      </w:r>
      <w:r w:rsidR="00E1709F">
        <w:rPr>
          <w:rFonts w:ascii="Times New Roman" w:hAnsi="Times New Roman" w:cs="Times New Roman"/>
          <w:sz w:val="24"/>
          <w:szCs w:val="24"/>
        </w:rPr>
        <w:t>(Stringhini et al, 2017)</w:t>
      </w:r>
      <w:r w:rsidRPr="00EE1EA3">
        <w:rPr>
          <w:rFonts w:ascii="Times New Roman" w:hAnsi="Times New Roman" w:cs="Times New Roman"/>
          <w:sz w:val="24"/>
          <w:szCs w:val="24"/>
        </w:rPr>
        <w:t>,</w:t>
      </w:r>
      <w:r w:rsidR="00963AE7" w:rsidRPr="00EE1EA3">
        <w:rPr>
          <w:rFonts w:ascii="Times New Roman" w:hAnsi="Times New Roman" w:cs="Times New Roman"/>
          <w:sz w:val="24"/>
          <w:szCs w:val="24"/>
        </w:rPr>
        <w:t xml:space="preserve"> </w:t>
      </w:r>
      <w:r w:rsidRPr="00EE1EA3">
        <w:rPr>
          <w:rFonts w:ascii="Times New Roman" w:hAnsi="Times New Roman" w:cs="Times New Roman"/>
          <w:sz w:val="24"/>
          <w:szCs w:val="24"/>
        </w:rPr>
        <w:t>increased functional impairment (</w:t>
      </w:r>
      <w:r w:rsidR="0038089B" w:rsidRPr="00EE1EA3">
        <w:rPr>
          <w:rFonts w:ascii="Times New Roman" w:hAnsi="Times New Roman" w:cs="Times New Roman"/>
          <w:sz w:val="24"/>
          <w:szCs w:val="24"/>
        </w:rPr>
        <w:t xml:space="preserve">decrease of </w:t>
      </w:r>
      <w:r w:rsidRPr="00EE1EA3">
        <w:rPr>
          <w:rFonts w:ascii="Times New Roman" w:hAnsi="Times New Roman" w:cs="Times New Roman"/>
          <w:sz w:val="24"/>
          <w:szCs w:val="24"/>
        </w:rPr>
        <w:t>walking speed, in 37 cohorts)</w:t>
      </w:r>
      <w:r w:rsidR="002E4586">
        <w:rPr>
          <w:rFonts w:ascii="Times New Roman" w:hAnsi="Times New Roman" w:cs="Times New Roman"/>
          <w:sz w:val="24"/>
          <w:szCs w:val="24"/>
        </w:rPr>
        <w:t xml:space="preserve"> </w:t>
      </w:r>
      <w:r w:rsidR="00E1709F">
        <w:rPr>
          <w:rFonts w:ascii="Times New Roman" w:hAnsi="Times New Roman" w:cs="Times New Roman"/>
          <w:sz w:val="24"/>
          <w:szCs w:val="24"/>
        </w:rPr>
        <w:t>(Stringhini et al, 2018)</w:t>
      </w:r>
      <w:r w:rsidRPr="00EE1EA3">
        <w:rPr>
          <w:rFonts w:ascii="Times New Roman" w:hAnsi="Times New Roman" w:cs="Times New Roman"/>
          <w:sz w:val="24"/>
          <w:szCs w:val="24"/>
        </w:rPr>
        <w:t>,</w:t>
      </w:r>
      <w:r w:rsidR="00E1709F" w:rsidRPr="00EE1EA3">
        <w:rPr>
          <w:rFonts w:ascii="Times New Roman" w:hAnsi="Times New Roman" w:cs="Times New Roman"/>
          <w:sz w:val="24"/>
          <w:szCs w:val="24"/>
        </w:rPr>
        <w:t xml:space="preserve"> </w:t>
      </w:r>
      <w:r w:rsidRPr="00EE1EA3">
        <w:rPr>
          <w:rFonts w:ascii="Times New Roman" w:hAnsi="Times New Roman" w:cs="Times New Roman"/>
          <w:sz w:val="24"/>
          <w:szCs w:val="24"/>
        </w:rPr>
        <w:t xml:space="preserve">increased obesity in children in three cohorts, </w:t>
      </w:r>
      <w:r w:rsidR="00434B3D" w:rsidRPr="00EE1EA3">
        <w:rPr>
          <w:rFonts w:ascii="Times New Roman" w:hAnsi="Times New Roman" w:cs="Times New Roman"/>
          <w:sz w:val="24"/>
          <w:szCs w:val="24"/>
        </w:rPr>
        <w:t xml:space="preserve">lower height in five cohorts, </w:t>
      </w:r>
      <w:r w:rsidRPr="00EE1EA3">
        <w:rPr>
          <w:rFonts w:ascii="Times New Roman" w:hAnsi="Times New Roman" w:cs="Times New Roman"/>
          <w:sz w:val="24"/>
          <w:szCs w:val="24"/>
        </w:rPr>
        <w:t>increased risk of E</w:t>
      </w:r>
      <w:r w:rsidR="00F46699">
        <w:rPr>
          <w:rFonts w:ascii="Times New Roman" w:hAnsi="Times New Roman" w:cs="Times New Roman"/>
          <w:sz w:val="24"/>
          <w:szCs w:val="24"/>
        </w:rPr>
        <w:t xml:space="preserve">pstein </w:t>
      </w:r>
      <w:r w:rsidRPr="00EE1EA3">
        <w:rPr>
          <w:rFonts w:ascii="Times New Roman" w:hAnsi="Times New Roman" w:cs="Times New Roman"/>
          <w:sz w:val="24"/>
          <w:szCs w:val="24"/>
        </w:rPr>
        <w:t>B</w:t>
      </w:r>
      <w:r w:rsidR="00F46699">
        <w:rPr>
          <w:rFonts w:ascii="Times New Roman" w:hAnsi="Times New Roman" w:cs="Times New Roman"/>
          <w:sz w:val="24"/>
          <w:szCs w:val="24"/>
        </w:rPr>
        <w:t xml:space="preserve">arr </w:t>
      </w:r>
      <w:r w:rsidRPr="00EE1EA3">
        <w:rPr>
          <w:rFonts w:ascii="Times New Roman" w:hAnsi="Times New Roman" w:cs="Times New Roman"/>
          <w:sz w:val="24"/>
          <w:szCs w:val="24"/>
        </w:rPr>
        <w:t>V</w:t>
      </w:r>
      <w:r w:rsidR="00F46699">
        <w:rPr>
          <w:rFonts w:ascii="Times New Roman" w:hAnsi="Times New Roman" w:cs="Times New Roman"/>
          <w:sz w:val="24"/>
          <w:szCs w:val="24"/>
        </w:rPr>
        <w:t>irus (EBV)</w:t>
      </w:r>
      <w:r w:rsidRPr="00EE1EA3">
        <w:rPr>
          <w:rFonts w:ascii="Times New Roman" w:hAnsi="Times New Roman" w:cs="Times New Roman"/>
          <w:sz w:val="24"/>
          <w:szCs w:val="24"/>
        </w:rPr>
        <w:t xml:space="preserve"> infection</w:t>
      </w:r>
      <w:r w:rsidR="002E4586">
        <w:rPr>
          <w:rFonts w:ascii="Times New Roman" w:hAnsi="Times New Roman" w:cs="Times New Roman"/>
          <w:sz w:val="24"/>
          <w:szCs w:val="24"/>
        </w:rPr>
        <w:t>,</w:t>
      </w:r>
      <w:r w:rsidRPr="00EE1EA3">
        <w:rPr>
          <w:rFonts w:ascii="Times New Roman" w:hAnsi="Times New Roman" w:cs="Times New Roman"/>
          <w:sz w:val="24"/>
          <w:szCs w:val="24"/>
        </w:rPr>
        <w:t xml:space="preserve"> and </w:t>
      </w:r>
      <w:r w:rsidR="00770826">
        <w:rPr>
          <w:rFonts w:ascii="Times New Roman" w:hAnsi="Times New Roman" w:cs="Times New Roman"/>
          <w:sz w:val="24"/>
          <w:szCs w:val="24"/>
        </w:rPr>
        <w:t xml:space="preserve">consistent </w:t>
      </w:r>
      <w:r w:rsidRPr="00EE1EA3">
        <w:rPr>
          <w:rFonts w:ascii="Times New Roman" w:hAnsi="Times New Roman" w:cs="Times New Roman"/>
          <w:sz w:val="24"/>
          <w:szCs w:val="24"/>
        </w:rPr>
        <w:t>changes in a number of intermediate markers (transcriptomics, inflammatory markers, allostatic load and DNA methylation-based age ac</w:t>
      </w:r>
      <w:r w:rsidR="00E1709F">
        <w:rPr>
          <w:rFonts w:ascii="Times New Roman" w:hAnsi="Times New Roman" w:cs="Times New Roman"/>
          <w:sz w:val="24"/>
          <w:szCs w:val="24"/>
        </w:rPr>
        <w:t>celeration).</w:t>
      </w:r>
    </w:p>
    <w:p w14:paraId="629DB86B" w14:textId="27F522C1" w:rsidR="00437936" w:rsidRPr="00A53C27" w:rsidRDefault="00AE20E6" w:rsidP="0086535B">
      <w:pPr>
        <w:spacing w:line="360" w:lineRule="auto"/>
        <w:jc w:val="both"/>
        <w:rPr>
          <w:rFonts w:ascii="Times New Roman" w:hAnsi="Times New Roman" w:cs="Times New Roman"/>
          <w:b/>
        </w:rPr>
      </w:pPr>
      <w:r w:rsidRPr="00A53C27">
        <w:rPr>
          <w:rFonts w:ascii="Times New Roman" w:hAnsi="Times New Roman" w:cs="Times New Roman"/>
          <w:b/>
        </w:rPr>
        <w:t xml:space="preserve">3.2. </w:t>
      </w:r>
      <w:r w:rsidR="00F34645">
        <w:rPr>
          <w:rFonts w:ascii="Times New Roman" w:hAnsi="Times New Roman" w:cs="Times New Roman"/>
          <w:b/>
        </w:rPr>
        <w:t>Robustness of findings</w:t>
      </w:r>
    </w:p>
    <w:p w14:paraId="7CB2F733" w14:textId="30DFA628" w:rsidR="008F4385" w:rsidRPr="00A53C27" w:rsidRDefault="00437936" w:rsidP="00437936">
      <w:pPr>
        <w:spacing w:line="360" w:lineRule="auto"/>
        <w:jc w:val="both"/>
        <w:rPr>
          <w:rFonts w:ascii="Times New Roman" w:hAnsi="Times New Roman" w:cs="Times New Roman"/>
        </w:rPr>
      </w:pPr>
      <w:r w:rsidRPr="00A53C27">
        <w:rPr>
          <w:rFonts w:ascii="Times New Roman" w:hAnsi="Times New Roman" w:cs="Times New Roman"/>
        </w:rPr>
        <w:t>In each of the analyses we addressed the role of potential confounders.</w:t>
      </w:r>
      <w:r w:rsidRPr="00A53C27">
        <w:rPr>
          <w:rFonts w:ascii="Times New Roman" w:hAnsi="Times New Roman" w:cs="Times New Roman"/>
          <w:b/>
        </w:rPr>
        <w:t xml:space="preserve"> </w:t>
      </w:r>
      <w:r w:rsidR="007057D1">
        <w:rPr>
          <w:rFonts w:ascii="Times New Roman" w:hAnsi="Times New Roman" w:cs="Times New Roman"/>
        </w:rPr>
        <w:t>W</w:t>
      </w:r>
      <w:r w:rsidR="00427C88" w:rsidRPr="00A53C27">
        <w:rPr>
          <w:rFonts w:ascii="Times New Roman" w:hAnsi="Times New Roman" w:cs="Times New Roman"/>
        </w:rPr>
        <w:t xml:space="preserve">e looked for associations between </w:t>
      </w:r>
      <w:r w:rsidR="00E07090">
        <w:rPr>
          <w:rFonts w:ascii="Times New Roman" w:hAnsi="Times New Roman" w:cs="Times New Roman"/>
        </w:rPr>
        <w:t xml:space="preserve">risk factors </w:t>
      </w:r>
      <w:r w:rsidR="00427C88" w:rsidRPr="00A53C27">
        <w:rPr>
          <w:rFonts w:ascii="Times New Roman" w:hAnsi="Times New Roman" w:cs="Times New Roman"/>
        </w:rPr>
        <w:t>and outcomes</w:t>
      </w:r>
      <w:r w:rsidR="006125C1" w:rsidRPr="006125C1">
        <w:rPr>
          <w:rFonts w:ascii="Times New Roman" w:hAnsi="Times New Roman" w:cs="Times New Roman"/>
        </w:rPr>
        <w:t>, which vary b</w:t>
      </w:r>
      <w:r w:rsidR="006125C1">
        <w:rPr>
          <w:rFonts w:ascii="Times New Roman" w:hAnsi="Times New Roman" w:cs="Times New Roman"/>
        </w:rPr>
        <w:t>y</w:t>
      </w:r>
      <w:r w:rsidR="00427C88" w:rsidRPr="00A53C27">
        <w:rPr>
          <w:rFonts w:ascii="Times New Roman" w:hAnsi="Times New Roman" w:cs="Times New Roman"/>
        </w:rPr>
        <w:t xml:space="preserve"> out</w:t>
      </w:r>
      <w:r w:rsidR="006125C1">
        <w:rPr>
          <w:rFonts w:ascii="Times New Roman" w:hAnsi="Times New Roman" w:cs="Times New Roman"/>
        </w:rPr>
        <w:t>c</w:t>
      </w:r>
      <w:r w:rsidR="00427C88" w:rsidRPr="00A53C27">
        <w:rPr>
          <w:rFonts w:ascii="Times New Roman" w:hAnsi="Times New Roman" w:cs="Times New Roman"/>
        </w:rPr>
        <w:t xml:space="preserve">ome. </w:t>
      </w:r>
      <w:r w:rsidR="006125C1">
        <w:rPr>
          <w:rFonts w:ascii="Times New Roman" w:hAnsi="Times New Roman" w:cs="Times New Roman"/>
        </w:rPr>
        <w:t xml:space="preserve">By definition all </w:t>
      </w:r>
      <w:r w:rsidR="007057D1">
        <w:rPr>
          <w:rFonts w:ascii="Times New Roman" w:hAnsi="Times New Roman" w:cs="Times New Roman"/>
        </w:rPr>
        <w:t xml:space="preserve">“25x25” </w:t>
      </w:r>
      <w:r w:rsidR="00E07090">
        <w:rPr>
          <w:rFonts w:ascii="Times New Roman" w:hAnsi="Times New Roman" w:cs="Times New Roman"/>
        </w:rPr>
        <w:t xml:space="preserve">risk factors </w:t>
      </w:r>
      <w:r w:rsidR="00427C88" w:rsidRPr="00A53C27">
        <w:rPr>
          <w:rFonts w:ascii="Times New Roman" w:hAnsi="Times New Roman" w:cs="Times New Roman"/>
        </w:rPr>
        <w:t xml:space="preserve">are associated with mortality, while determinants of impaired walking speed are partially different, involving musculoskeletal impairment that is not strongly associated with the </w:t>
      </w:r>
      <w:r w:rsidR="00E07090">
        <w:rPr>
          <w:rFonts w:ascii="Times New Roman" w:hAnsi="Times New Roman" w:cs="Times New Roman"/>
        </w:rPr>
        <w:t xml:space="preserve">NCD risk factors </w:t>
      </w:r>
      <w:r w:rsidR="00427C88" w:rsidRPr="00A53C27">
        <w:rPr>
          <w:rFonts w:ascii="Times New Roman" w:hAnsi="Times New Roman" w:cs="Times New Roman"/>
        </w:rPr>
        <w:t xml:space="preserve">(Stringhini et al, 2018). </w:t>
      </w:r>
      <w:r w:rsidR="008F4385" w:rsidRPr="00A53C27">
        <w:rPr>
          <w:rFonts w:ascii="Times New Roman" w:hAnsi="Times New Roman" w:cs="Times New Roman"/>
        </w:rPr>
        <w:t>A</w:t>
      </w:r>
      <w:r w:rsidR="00427C88" w:rsidRPr="00A53C27">
        <w:rPr>
          <w:rFonts w:ascii="Times New Roman" w:hAnsi="Times New Roman" w:cs="Times New Roman"/>
        </w:rPr>
        <w:t xml:space="preserve">lcohol was associated with mortality but not with walking speed. </w:t>
      </w:r>
      <w:r w:rsidR="008F4385" w:rsidRPr="00A53C27">
        <w:rPr>
          <w:rFonts w:ascii="Times New Roman" w:hAnsi="Times New Roman" w:cs="Times New Roman"/>
        </w:rPr>
        <w:t>C</w:t>
      </w:r>
      <w:r w:rsidR="00427C88" w:rsidRPr="00A53C27">
        <w:rPr>
          <w:rFonts w:ascii="Times New Roman" w:hAnsi="Times New Roman" w:cs="Times New Roman"/>
        </w:rPr>
        <w:t xml:space="preserve">hild </w:t>
      </w:r>
      <w:r w:rsidR="008F4385" w:rsidRPr="00A53C27">
        <w:rPr>
          <w:rFonts w:ascii="Times New Roman" w:hAnsi="Times New Roman" w:cs="Times New Roman"/>
        </w:rPr>
        <w:t>height</w:t>
      </w:r>
      <w:r w:rsidR="00427C88" w:rsidRPr="00A53C27">
        <w:rPr>
          <w:rFonts w:ascii="Times New Roman" w:hAnsi="Times New Roman" w:cs="Times New Roman"/>
        </w:rPr>
        <w:t xml:space="preserve"> is associated with parental height, nutritional status and infectious diseases in infancy</w:t>
      </w:r>
      <w:r w:rsidR="008F4385" w:rsidRPr="00A53C27">
        <w:rPr>
          <w:rFonts w:ascii="Times New Roman" w:hAnsi="Times New Roman" w:cs="Times New Roman"/>
        </w:rPr>
        <w:t xml:space="preserve"> (McCrory et al, 2017)</w:t>
      </w:r>
      <w:r w:rsidR="00427C88" w:rsidRPr="00A53C27">
        <w:rPr>
          <w:rFonts w:ascii="Times New Roman" w:hAnsi="Times New Roman" w:cs="Times New Roman"/>
        </w:rPr>
        <w:t xml:space="preserve">. </w:t>
      </w:r>
      <w:r w:rsidR="008F4385" w:rsidRPr="00A53C27">
        <w:rPr>
          <w:rFonts w:ascii="Times New Roman" w:hAnsi="Times New Roman" w:cs="Times New Roman"/>
        </w:rPr>
        <w:t>N</w:t>
      </w:r>
      <w:r w:rsidR="00E07090">
        <w:rPr>
          <w:rFonts w:ascii="Times New Roman" w:hAnsi="Times New Roman" w:cs="Times New Roman"/>
        </w:rPr>
        <w:t>one of the NCD risk factors</w:t>
      </w:r>
      <w:r w:rsidR="008F4385" w:rsidRPr="00A53C27">
        <w:rPr>
          <w:rFonts w:ascii="Times New Roman" w:hAnsi="Times New Roman" w:cs="Times New Roman"/>
        </w:rPr>
        <w:t xml:space="preserve"> were associated with</w:t>
      </w:r>
      <w:r w:rsidR="00427C88" w:rsidRPr="00A53C27">
        <w:rPr>
          <w:rFonts w:ascii="Times New Roman" w:hAnsi="Times New Roman" w:cs="Times New Roman"/>
        </w:rPr>
        <w:t xml:space="preserve"> transcriptomics, inflammation markers or allostatic load</w:t>
      </w:r>
      <w:r w:rsidR="008F4385" w:rsidRPr="00A53C27">
        <w:rPr>
          <w:rFonts w:ascii="Times New Roman" w:hAnsi="Times New Roman" w:cs="Times New Roman"/>
        </w:rPr>
        <w:t xml:space="preserve"> in our data</w:t>
      </w:r>
      <w:r w:rsidR="00427C88" w:rsidRPr="00A53C27">
        <w:rPr>
          <w:rFonts w:ascii="Times New Roman" w:hAnsi="Times New Roman" w:cs="Times New Roman"/>
        </w:rPr>
        <w:t xml:space="preserve">. </w:t>
      </w:r>
    </w:p>
    <w:p w14:paraId="6D4F8713" w14:textId="18717A1A" w:rsidR="00437936" w:rsidRPr="00A53C27" w:rsidRDefault="007057D1" w:rsidP="008F4385">
      <w:pPr>
        <w:spacing w:line="360" w:lineRule="auto"/>
        <w:jc w:val="both"/>
        <w:rPr>
          <w:rFonts w:ascii="Times New Roman" w:hAnsi="Times New Roman" w:cs="Times New Roman"/>
          <w:color w:val="222222"/>
          <w:spacing w:val="2"/>
          <w:lang w:val="en"/>
        </w:rPr>
      </w:pPr>
      <w:r>
        <w:rPr>
          <w:rFonts w:ascii="Times New Roman" w:hAnsi="Times New Roman" w:cs="Times New Roman"/>
        </w:rPr>
        <w:t>W</w:t>
      </w:r>
      <w:r w:rsidR="008F4385" w:rsidRPr="00A53C27">
        <w:rPr>
          <w:rFonts w:ascii="Times New Roman" w:hAnsi="Times New Roman" w:cs="Times New Roman"/>
        </w:rPr>
        <w:t xml:space="preserve">e </w:t>
      </w:r>
      <w:r>
        <w:rPr>
          <w:rFonts w:ascii="Times New Roman" w:hAnsi="Times New Roman" w:cs="Times New Roman"/>
        </w:rPr>
        <w:t xml:space="preserve">also </w:t>
      </w:r>
      <w:r w:rsidR="008F4385" w:rsidRPr="00A53C27">
        <w:rPr>
          <w:rFonts w:ascii="Times New Roman" w:hAnsi="Times New Roman" w:cs="Times New Roman"/>
        </w:rPr>
        <w:t xml:space="preserve">performed a </w:t>
      </w:r>
      <w:r>
        <w:rPr>
          <w:rFonts w:ascii="Times New Roman" w:hAnsi="Times New Roman" w:cs="Times New Roman"/>
        </w:rPr>
        <w:t xml:space="preserve">specific </w:t>
      </w:r>
      <w:r w:rsidR="008F4385" w:rsidRPr="00A53C27">
        <w:rPr>
          <w:rFonts w:ascii="Times New Roman" w:hAnsi="Times New Roman" w:cs="Times New Roman"/>
        </w:rPr>
        <w:t xml:space="preserve">search for potential </w:t>
      </w:r>
      <w:r w:rsidR="00FA44B2" w:rsidRPr="00A53C27">
        <w:rPr>
          <w:rFonts w:ascii="Times New Roman" w:hAnsi="Times New Roman" w:cs="Times New Roman"/>
        </w:rPr>
        <w:t>c</w:t>
      </w:r>
      <w:r w:rsidR="00437936" w:rsidRPr="00A53C27">
        <w:rPr>
          <w:rFonts w:ascii="Times New Roman" w:hAnsi="Times New Roman" w:cs="Times New Roman"/>
        </w:rPr>
        <w:t>onfounders</w:t>
      </w:r>
      <w:r w:rsidR="008F4385" w:rsidRPr="00A53C27">
        <w:rPr>
          <w:rFonts w:ascii="Times New Roman" w:hAnsi="Times New Roman" w:cs="Times New Roman"/>
        </w:rPr>
        <w:t xml:space="preserve"> in the case of DNA-based age acceleratio</w:t>
      </w:r>
      <w:r w:rsidR="006125C1" w:rsidRPr="006125C1">
        <w:rPr>
          <w:rFonts w:ascii="Times New Roman" w:hAnsi="Times New Roman" w:cs="Times New Roman"/>
        </w:rPr>
        <w:t>n, since th</w:t>
      </w:r>
      <w:r w:rsidR="006125C1">
        <w:rPr>
          <w:rFonts w:ascii="Times New Roman" w:hAnsi="Times New Roman" w:cs="Times New Roman"/>
        </w:rPr>
        <w:t>e latter</w:t>
      </w:r>
      <w:r w:rsidR="008F4385" w:rsidRPr="00A53C27">
        <w:rPr>
          <w:rFonts w:ascii="Times New Roman" w:hAnsi="Times New Roman" w:cs="Times New Roman"/>
        </w:rPr>
        <w:t xml:space="preserve"> was </w:t>
      </w:r>
      <w:r w:rsidR="00437936" w:rsidRPr="00A53C27">
        <w:rPr>
          <w:rFonts w:ascii="Times New Roman" w:hAnsi="Times New Roman" w:cs="Times New Roman"/>
        </w:rPr>
        <w:t>associat</w:t>
      </w:r>
      <w:r w:rsidR="008F4385" w:rsidRPr="00A53C27">
        <w:rPr>
          <w:rFonts w:ascii="Times New Roman" w:hAnsi="Times New Roman" w:cs="Times New Roman"/>
        </w:rPr>
        <w:t xml:space="preserve">ed with SEP and with </w:t>
      </w:r>
      <w:r w:rsidR="00E07090">
        <w:rPr>
          <w:rFonts w:ascii="Times New Roman" w:hAnsi="Times New Roman" w:cs="Times New Roman"/>
        </w:rPr>
        <w:t>some</w:t>
      </w:r>
      <w:r w:rsidR="00E07090" w:rsidRPr="00E07090">
        <w:rPr>
          <w:rFonts w:ascii="Times New Roman" w:hAnsi="Times New Roman" w:cs="Times New Roman"/>
        </w:rPr>
        <w:t xml:space="preserve"> </w:t>
      </w:r>
      <w:r w:rsidR="00E07090">
        <w:rPr>
          <w:rFonts w:ascii="Times New Roman" w:hAnsi="Times New Roman" w:cs="Times New Roman"/>
        </w:rPr>
        <w:t xml:space="preserve">NCD </w:t>
      </w:r>
      <w:r w:rsidR="00E07090" w:rsidRPr="00E07090">
        <w:rPr>
          <w:rFonts w:ascii="Times New Roman" w:hAnsi="Times New Roman" w:cs="Times New Roman"/>
        </w:rPr>
        <w:t xml:space="preserve">risk factors </w:t>
      </w:r>
      <w:r w:rsidR="00E07090">
        <w:rPr>
          <w:rFonts w:ascii="Times New Roman" w:hAnsi="Times New Roman" w:cs="Times New Roman"/>
        </w:rPr>
        <w:t>(Fiorito et al, 2018)</w:t>
      </w:r>
      <w:r w:rsidR="008F4385" w:rsidRPr="00A53C27">
        <w:rPr>
          <w:rFonts w:ascii="Times New Roman" w:hAnsi="Times New Roman" w:cs="Times New Roman"/>
        </w:rPr>
        <w:t>.</w:t>
      </w:r>
      <w:r w:rsidR="00437936" w:rsidRPr="00A53C27">
        <w:rPr>
          <w:rFonts w:ascii="Times New Roman" w:hAnsi="Times New Roman" w:cs="Times New Roman"/>
        </w:rPr>
        <w:t xml:space="preserve"> </w:t>
      </w:r>
      <w:r w:rsidR="00437936" w:rsidRPr="00A53C27">
        <w:rPr>
          <w:rFonts w:ascii="Times New Roman" w:hAnsi="Times New Roman" w:cs="Times New Roman"/>
          <w:color w:val="222222"/>
          <w:spacing w:val="2"/>
          <w:lang w:val="en"/>
        </w:rPr>
        <w:t>We evaluated the change in the magnitude of the SEP-age acceleration (AA) association due to the inclusion of NCD risk factors in the model</w:t>
      </w:r>
      <w:r w:rsidR="006125C1">
        <w:rPr>
          <w:rFonts w:ascii="Times New Roman" w:hAnsi="Times New Roman" w:cs="Times New Roman"/>
          <w:color w:val="222222"/>
          <w:spacing w:val="2"/>
          <w:lang w:val="en"/>
        </w:rPr>
        <w:t>s</w:t>
      </w:r>
      <w:r w:rsidR="00437936" w:rsidRPr="00A53C27">
        <w:rPr>
          <w:rFonts w:ascii="Times New Roman" w:hAnsi="Times New Roman" w:cs="Times New Roman"/>
          <w:color w:val="222222"/>
          <w:spacing w:val="2"/>
          <w:lang w:val="en"/>
        </w:rPr>
        <w:t>, by comparing the estimated effects (</w:t>
      </w:r>
      <w:r w:rsidR="00437936" w:rsidRPr="00A53C27">
        <w:rPr>
          <w:rFonts w:ascii="Times New Roman" w:hAnsi="Times New Roman" w:cs="Times New Roman" w:hint="eastAsia"/>
          <w:color w:val="222222"/>
          <w:spacing w:val="2"/>
          <w:lang w:val="en"/>
        </w:rPr>
        <w:t>β</w:t>
      </w:r>
      <w:r w:rsidR="00437936" w:rsidRPr="00A53C27">
        <w:rPr>
          <w:rFonts w:ascii="Times New Roman" w:hAnsi="Times New Roman" w:cs="Times New Roman"/>
          <w:color w:val="222222"/>
          <w:spacing w:val="2"/>
          <w:lang w:val="en"/>
        </w:rPr>
        <w:t xml:space="preserve">s) of the basic regression model (adjusted for age and sex) with those of the models including different NCD risk factors (smoking status, BMI, alcohol intake, Mediterranean Diet Score, and physical activity). In the fully adjusted model, </w:t>
      </w:r>
      <w:r w:rsidR="00AE20E6" w:rsidRPr="00A53C27">
        <w:rPr>
          <w:rFonts w:ascii="Times New Roman" w:hAnsi="Times New Roman" w:cs="Times New Roman"/>
          <w:color w:val="222222"/>
          <w:spacing w:val="2"/>
          <w:lang w:val="en"/>
        </w:rPr>
        <w:t>t</w:t>
      </w:r>
      <w:r w:rsidR="00437936" w:rsidRPr="00A53C27">
        <w:rPr>
          <w:rFonts w:ascii="Times New Roman" w:hAnsi="Times New Roman" w:cs="Times New Roman"/>
          <w:color w:val="222222"/>
          <w:spacing w:val="2"/>
          <w:lang w:val="en"/>
        </w:rPr>
        <w:t>he effect size attenuation for the linear trend was 12% (95% CI: −0.02, 0.26; p = 0.0</w:t>
      </w:r>
      <w:r w:rsidR="00FA44B2" w:rsidRPr="00A53C27">
        <w:rPr>
          <w:rFonts w:ascii="Times New Roman" w:hAnsi="Times New Roman" w:cs="Times New Roman"/>
          <w:color w:val="222222"/>
          <w:spacing w:val="2"/>
          <w:lang w:val="en"/>
        </w:rPr>
        <w:t>9)</w:t>
      </w:r>
      <w:r w:rsidR="00437936" w:rsidRPr="00A53C27">
        <w:rPr>
          <w:rFonts w:ascii="Times New Roman" w:hAnsi="Times New Roman" w:cs="Times New Roman"/>
          <w:color w:val="222222"/>
          <w:spacing w:val="2"/>
          <w:lang w:val="en"/>
        </w:rPr>
        <w:t>. The most substantial contribution to the reductio</w:t>
      </w:r>
      <w:r w:rsidR="009A05D1" w:rsidRPr="009A05D1">
        <w:rPr>
          <w:rFonts w:ascii="Times New Roman" w:hAnsi="Times New Roman" w:cs="Times New Roman"/>
          <w:color w:val="222222"/>
          <w:spacing w:val="2"/>
          <w:lang w:val="en"/>
        </w:rPr>
        <w:t>n of the effect size for the SE</w:t>
      </w:r>
      <w:r w:rsidR="009A05D1">
        <w:rPr>
          <w:rFonts w:ascii="Times New Roman" w:hAnsi="Times New Roman" w:cs="Times New Roman"/>
          <w:color w:val="222222"/>
          <w:spacing w:val="2"/>
          <w:lang w:val="en"/>
        </w:rPr>
        <w:t>P</w:t>
      </w:r>
      <w:r w:rsidR="00437936" w:rsidRPr="00A53C27">
        <w:rPr>
          <w:rFonts w:ascii="Times New Roman" w:hAnsi="Times New Roman" w:cs="Times New Roman"/>
          <w:color w:val="222222"/>
          <w:spacing w:val="2"/>
          <w:lang w:val="en"/>
        </w:rPr>
        <w:t xml:space="preserve">-AA association was </w:t>
      </w:r>
      <w:r w:rsidR="00FA44B2" w:rsidRPr="00A53C27">
        <w:rPr>
          <w:rFonts w:ascii="Times New Roman" w:hAnsi="Times New Roman" w:cs="Times New Roman"/>
          <w:color w:val="222222"/>
          <w:spacing w:val="2"/>
          <w:lang w:val="en"/>
        </w:rPr>
        <w:t xml:space="preserve">due to </w:t>
      </w:r>
      <w:r w:rsidR="00437936" w:rsidRPr="00A53C27">
        <w:rPr>
          <w:rFonts w:ascii="Times New Roman" w:hAnsi="Times New Roman" w:cs="Times New Roman"/>
          <w:color w:val="222222"/>
          <w:spacing w:val="2"/>
          <w:lang w:val="en"/>
        </w:rPr>
        <w:t>smoking, which attenuated the estimate for linear trend by 6% (95% CI: −11, 22). Effect size reductions due to the inclusion of other NCD risk factors were small and non-significant.</w:t>
      </w:r>
    </w:p>
    <w:p w14:paraId="6AC816D4" w14:textId="5AA5E68F" w:rsidR="00437936" w:rsidRPr="00A53C27" w:rsidRDefault="009A05D1" w:rsidP="0086535B">
      <w:pPr>
        <w:spacing w:line="360" w:lineRule="auto"/>
        <w:jc w:val="both"/>
        <w:rPr>
          <w:rFonts w:ascii="Times New Roman" w:hAnsi="Times New Roman" w:cs="Times New Roman"/>
          <w:color w:val="222222"/>
          <w:spacing w:val="2"/>
          <w:lang w:val="en"/>
        </w:rPr>
      </w:pPr>
      <w:r w:rsidRPr="009A05D1">
        <w:rPr>
          <w:rFonts w:ascii="Times New Roman" w:hAnsi="Times New Roman" w:cs="Times New Roman"/>
          <w:color w:val="222222"/>
          <w:spacing w:val="2"/>
          <w:lang w:val="en"/>
        </w:rPr>
        <w:t>Finally, we examined the SE</w:t>
      </w:r>
      <w:r>
        <w:rPr>
          <w:rFonts w:ascii="Times New Roman" w:hAnsi="Times New Roman" w:cs="Times New Roman"/>
          <w:color w:val="222222"/>
          <w:spacing w:val="2"/>
          <w:lang w:val="en"/>
        </w:rPr>
        <w:t>P</w:t>
      </w:r>
      <w:r w:rsidR="00437936" w:rsidRPr="00A53C27">
        <w:rPr>
          <w:rFonts w:ascii="Times New Roman" w:hAnsi="Times New Roman" w:cs="Times New Roman"/>
          <w:color w:val="222222"/>
          <w:spacing w:val="2"/>
          <w:lang w:val="en"/>
        </w:rPr>
        <w:t>-AA associations after exclusion of individuals exposed to at least one NCD risk factor (</w:t>
      </w:r>
      <w:r w:rsidR="00FA44B2" w:rsidRPr="00A53C27">
        <w:rPr>
          <w:rFonts w:ascii="Times New Roman" w:hAnsi="Times New Roman" w:cs="Times New Roman"/>
          <w:color w:val="222222"/>
          <w:spacing w:val="2"/>
          <w:lang w:val="en"/>
        </w:rPr>
        <w:t xml:space="preserve">i.e. </w:t>
      </w:r>
      <w:r w:rsidR="00437936" w:rsidRPr="00A53C27">
        <w:rPr>
          <w:rFonts w:ascii="Times New Roman" w:hAnsi="Times New Roman" w:cs="Times New Roman"/>
          <w:color w:val="222222"/>
          <w:spacing w:val="2"/>
          <w:lang w:val="en"/>
        </w:rPr>
        <w:t>non-obese, non-smokers, physically active, non-drinkers and with a healthy diet).</w:t>
      </w:r>
      <w:r w:rsidRPr="009A05D1">
        <w:rPr>
          <w:rFonts w:ascii="Times New Roman" w:hAnsi="Times New Roman" w:cs="Times New Roman"/>
          <w:color w:val="222222"/>
          <w:spacing w:val="2"/>
          <w:lang w:val="en"/>
        </w:rPr>
        <w:t xml:space="preserve"> Notably, the association of SE</w:t>
      </w:r>
      <w:r>
        <w:rPr>
          <w:rFonts w:ascii="Times New Roman" w:hAnsi="Times New Roman" w:cs="Times New Roman"/>
          <w:color w:val="222222"/>
          <w:spacing w:val="2"/>
          <w:lang w:val="en"/>
        </w:rPr>
        <w:t>P</w:t>
      </w:r>
      <w:r w:rsidR="00437936" w:rsidRPr="00A53C27">
        <w:rPr>
          <w:rFonts w:ascii="Times New Roman" w:hAnsi="Times New Roman" w:cs="Times New Roman"/>
          <w:color w:val="222222"/>
          <w:spacing w:val="2"/>
          <w:lang w:val="en"/>
        </w:rPr>
        <w:t xml:space="preserve"> with AA was still significant in this NCD risk factor free subsample (test for linear trend </w:t>
      </w:r>
      <w:r w:rsidR="00437936" w:rsidRPr="00A53C27">
        <w:rPr>
          <w:rFonts w:ascii="Times New Roman" w:hAnsi="Times New Roman" w:cs="Times New Roman" w:hint="eastAsia"/>
          <w:color w:val="222222"/>
          <w:spacing w:val="2"/>
          <w:lang w:val="en"/>
        </w:rPr>
        <w:t>β</w:t>
      </w:r>
      <w:r w:rsidR="00437936" w:rsidRPr="00A53C27">
        <w:rPr>
          <w:rFonts w:ascii="Times New Roman" w:hAnsi="Times New Roman" w:cs="Times New Roman"/>
          <w:color w:val="222222"/>
          <w:spacing w:val="2"/>
          <w:lang w:val="en"/>
        </w:rPr>
        <w:t> = 0.62; 95% CI: 0.06, 1.18; p = 0.03; N = 1,549).</w:t>
      </w:r>
    </w:p>
    <w:p w14:paraId="62D8CF06" w14:textId="6B6E0C34" w:rsidR="00FA44B2" w:rsidRDefault="00FA44B2" w:rsidP="00865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also </w:t>
      </w:r>
      <w:r w:rsidRPr="00AF6A5D">
        <w:rPr>
          <w:rFonts w:ascii="Times New Roman" w:hAnsi="Times New Roman" w:cs="Times New Roman"/>
          <w:sz w:val="24"/>
          <w:szCs w:val="24"/>
        </w:rPr>
        <w:t>pe</w:t>
      </w:r>
      <w:r>
        <w:rPr>
          <w:rFonts w:ascii="Times New Roman" w:hAnsi="Times New Roman" w:cs="Times New Roman"/>
          <w:sz w:val="24"/>
          <w:szCs w:val="24"/>
        </w:rPr>
        <w:t>r</w:t>
      </w:r>
      <w:r w:rsidRPr="00AF6A5D">
        <w:rPr>
          <w:rFonts w:ascii="Times New Roman" w:hAnsi="Times New Roman" w:cs="Times New Roman"/>
          <w:sz w:val="24"/>
          <w:szCs w:val="24"/>
        </w:rPr>
        <w:t xml:space="preserve">formed extensive sensitivity analyses </w:t>
      </w:r>
      <w:r>
        <w:rPr>
          <w:rFonts w:ascii="Times New Roman" w:hAnsi="Times New Roman" w:cs="Times New Roman"/>
          <w:sz w:val="24"/>
          <w:szCs w:val="24"/>
        </w:rPr>
        <w:t>– in addition to those de</w:t>
      </w:r>
      <w:r w:rsidR="00CA4F73">
        <w:rPr>
          <w:rFonts w:ascii="Times New Roman" w:hAnsi="Times New Roman" w:cs="Times New Roman"/>
          <w:sz w:val="24"/>
          <w:szCs w:val="24"/>
        </w:rPr>
        <w:t>s</w:t>
      </w:r>
      <w:r>
        <w:rPr>
          <w:rFonts w:ascii="Times New Roman" w:hAnsi="Times New Roman" w:cs="Times New Roman"/>
          <w:sz w:val="24"/>
          <w:szCs w:val="24"/>
        </w:rPr>
        <w:t xml:space="preserve">cribed above </w:t>
      </w:r>
      <w:r w:rsidR="00AE20E6">
        <w:rPr>
          <w:rFonts w:ascii="Times New Roman" w:hAnsi="Times New Roman" w:cs="Times New Roman"/>
          <w:sz w:val="24"/>
          <w:szCs w:val="24"/>
        </w:rPr>
        <w:t xml:space="preserve">for DNA methylation </w:t>
      </w:r>
      <w:r>
        <w:rPr>
          <w:rFonts w:ascii="Times New Roman" w:hAnsi="Times New Roman" w:cs="Times New Roman"/>
          <w:sz w:val="24"/>
          <w:szCs w:val="24"/>
        </w:rPr>
        <w:t xml:space="preserve">-, </w:t>
      </w:r>
      <w:r w:rsidRPr="00AF6A5D">
        <w:rPr>
          <w:rFonts w:ascii="Times New Roman" w:hAnsi="Times New Roman" w:cs="Times New Roman"/>
          <w:sz w:val="24"/>
          <w:szCs w:val="24"/>
        </w:rPr>
        <w:t>confirming the association of socio-economic conditions with health outcomes in different subsets of the overall sample and using different socio-economic indicators</w:t>
      </w:r>
      <w:r>
        <w:rPr>
          <w:rFonts w:ascii="Times New Roman" w:hAnsi="Times New Roman" w:cs="Times New Roman"/>
          <w:sz w:val="24"/>
          <w:szCs w:val="24"/>
        </w:rPr>
        <w:t>. These are reported in the original papers</w:t>
      </w:r>
      <w:r>
        <w:rPr>
          <w:rFonts w:ascii="Times New Roman" w:hAnsi="Times New Roman" w:cs="Times New Roman"/>
          <w:sz w:val="24"/>
          <w:szCs w:val="24"/>
          <w:vertAlign w:val="superscript"/>
        </w:rPr>
        <w:t xml:space="preserve"> </w:t>
      </w:r>
      <w:r w:rsidRPr="00E1709F">
        <w:rPr>
          <w:rFonts w:ascii="Times New Roman" w:hAnsi="Times New Roman" w:cs="Times New Roman"/>
          <w:sz w:val="24"/>
          <w:szCs w:val="24"/>
        </w:rPr>
        <w:t>(</w:t>
      </w:r>
      <w:r>
        <w:rPr>
          <w:rFonts w:ascii="Times New Roman" w:hAnsi="Times New Roman" w:cs="Times New Roman"/>
          <w:sz w:val="24"/>
          <w:szCs w:val="24"/>
        </w:rPr>
        <w:t xml:space="preserve">Stringhini et al, 2017; Stringhini et al, 2018; McCrory et al, 2017; Castagne et al, 2016; </w:t>
      </w:r>
      <w:r w:rsidRPr="00EB47BB">
        <w:rPr>
          <w:rFonts w:ascii="Times New Roman" w:hAnsi="Times New Roman" w:cs="Times New Roman"/>
          <w:sz w:val="24"/>
          <w:szCs w:val="24"/>
        </w:rPr>
        <w:t>Bar</w:t>
      </w:r>
      <w:r>
        <w:rPr>
          <w:rFonts w:ascii="Times New Roman" w:hAnsi="Times New Roman" w:cs="Times New Roman"/>
          <w:sz w:val="24"/>
          <w:szCs w:val="24"/>
        </w:rPr>
        <w:t>boza Solis</w:t>
      </w:r>
      <w:r w:rsidRPr="00EB47BB">
        <w:rPr>
          <w:rFonts w:ascii="Times New Roman" w:hAnsi="Times New Roman" w:cs="Times New Roman"/>
          <w:sz w:val="24"/>
          <w:szCs w:val="24"/>
        </w:rPr>
        <w:t xml:space="preserve"> et al</w:t>
      </w:r>
      <w:r>
        <w:rPr>
          <w:rFonts w:ascii="Times New Roman" w:hAnsi="Times New Roman" w:cs="Times New Roman"/>
          <w:sz w:val="24"/>
          <w:szCs w:val="24"/>
        </w:rPr>
        <w:t>, 2016;</w:t>
      </w:r>
      <w:r>
        <w:rPr>
          <w:rFonts w:ascii="Times New Roman" w:hAnsi="Times New Roman" w:cs="Times New Roman"/>
          <w:sz w:val="24"/>
          <w:szCs w:val="24"/>
          <w:vertAlign w:val="superscript"/>
        </w:rPr>
        <w:t xml:space="preserve"> </w:t>
      </w:r>
      <w:r>
        <w:rPr>
          <w:rFonts w:ascii="Times New Roman" w:hAnsi="Times New Roman" w:cs="Times New Roman"/>
          <w:sz w:val="24"/>
          <w:szCs w:val="24"/>
        </w:rPr>
        <w:t>Fiorito</w:t>
      </w:r>
      <w:r w:rsidRPr="00841DFA">
        <w:rPr>
          <w:rFonts w:ascii="Times New Roman" w:hAnsi="Times New Roman" w:cs="Times New Roman"/>
          <w:sz w:val="24"/>
          <w:szCs w:val="24"/>
        </w:rPr>
        <w:t xml:space="preserve"> et al</w:t>
      </w:r>
      <w:r w:rsidRPr="004A7C4E">
        <w:rPr>
          <w:rFonts w:ascii="Times New Roman" w:hAnsi="Times New Roman" w:cs="Times New Roman"/>
          <w:sz w:val="24"/>
          <w:szCs w:val="24"/>
        </w:rPr>
        <w:t>,</w:t>
      </w:r>
      <w:r>
        <w:rPr>
          <w:rFonts w:ascii="Times New Roman" w:hAnsi="Times New Roman" w:cs="Times New Roman"/>
          <w:sz w:val="24"/>
          <w:szCs w:val="24"/>
        </w:rPr>
        <w:t xml:space="preserve"> 2017; </w:t>
      </w:r>
      <w:r w:rsidRPr="00EB47BB">
        <w:rPr>
          <w:rFonts w:ascii="Times New Roman" w:hAnsi="Times New Roman" w:cs="Times New Roman"/>
          <w:sz w:val="24"/>
          <w:szCs w:val="24"/>
        </w:rPr>
        <w:t>Gares et</w:t>
      </w:r>
      <w:r>
        <w:rPr>
          <w:rFonts w:ascii="Times New Roman" w:hAnsi="Times New Roman" w:cs="Times New Roman"/>
          <w:sz w:val="24"/>
          <w:szCs w:val="24"/>
        </w:rPr>
        <w:t xml:space="preserve"> </w:t>
      </w:r>
      <w:r w:rsidRPr="00EB47BB">
        <w:rPr>
          <w:rFonts w:ascii="Times New Roman" w:hAnsi="Times New Roman" w:cs="Times New Roman"/>
          <w:sz w:val="24"/>
          <w:szCs w:val="24"/>
        </w:rPr>
        <w:t>al, 2017)</w:t>
      </w:r>
      <w:r w:rsidRPr="00AF6A5D">
        <w:rPr>
          <w:rFonts w:ascii="Times New Roman" w:hAnsi="Times New Roman" w:cs="Times New Roman"/>
          <w:sz w:val="24"/>
          <w:szCs w:val="24"/>
        </w:rPr>
        <w:t>.</w:t>
      </w:r>
    </w:p>
    <w:p w14:paraId="1D383D77" w14:textId="262ECF3A" w:rsidR="00FA44B2" w:rsidRPr="00A53C27" w:rsidRDefault="00AE20E6" w:rsidP="0086535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FA44B2" w:rsidRPr="00A53C27">
        <w:rPr>
          <w:rFonts w:ascii="Times New Roman" w:hAnsi="Times New Roman" w:cs="Times New Roman"/>
          <w:b/>
          <w:sz w:val="24"/>
          <w:szCs w:val="24"/>
        </w:rPr>
        <w:t>Dose-response</w:t>
      </w:r>
    </w:p>
    <w:p w14:paraId="02747E64" w14:textId="35AA537F" w:rsidR="00A874BB" w:rsidRDefault="00A874BB" w:rsidP="0086535B">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AF6A5D">
        <w:rPr>
          <w:rFonts w:ascii="Times New Roman" w:hAnsi="Times New Roman" w:cs="Times New Roman"/>
          <w:sz w:val="24"/>
          <w:szCs w:val="24"/>
        </w:rPr>
        <w:t xml:space="preserve"> observation</w:t>
      </w:r>
      <w:r>
        <w:rPr>
          <w:rFonts w:ascii="Times New Roman" w:hAnsi="Times New Roman" w:cs="Times New Roman"/>
          <w:sz w:val="24"/>
          <w:szCs w:val="24"/>
        </w:rPr>
        <w:t xml:space="preserve">s </w:t>
      </w:r>
      <w:r w:rsidR="00FA44B2">
        <w:rPr>
          <w:rFonts w:ascii="Times New Roman" w:hAnsi="Times New Roman" w:cs="Times New Roman"/>
          <w:sz w:val="24"/>
          <w:szCs w:val="24"/>
        </w:rPr>
        <w:t xml:space="preserve">above </w:t>
      </w:r>
      <w:r>
        <w:rPr>
          <w:rFonts w:ascii="Times New Roman" w:hAnsi="Times New Roman" w:cs="Times New Roman"/>
          <w:sz w:val="24"/>
          <w:szCs w:val="24"/>
        </w:rPr>
        <w:t>are</w:t>
      </w:r>
      <w:r w:rsidRPr="00AF6A5D">
        <w:rPr>
          <w:rFonts w:ascii="Times New Roman" w:hAnsi="Times New Roman" w:cs="Times New Roman"/>
          <w:sz w:val="24"/>
          <w:szCs w:val="24"/>
        </w:rPr>
        <w:t xml:space="preserve"> reinforced by </w:t>
      </w:r>
      <w:r>
        <w:rPr>
          <w:rFonts w:ascii="Times New Roman" w:hAnsi="Times New Roman" w:cs="Times New Roman"/>
          <w:sz w:val="24"/>
          <w:szCs w:val="24"/>
        </w:rPr>
        <w:t xml:space="preserve">the findings presented in </w:t>
      </w:r>
      <w:r w:rsidRPr="00AF6A5D">
        <w:rPr>
          <w:rFonts w:ascii="Times New Roman" w:hAnsi="Times New Roman" w:cs="Times New Roman"/>
          <w:sz w:val="24"/>
          <w:szCs w:val="24"/>
        </w:rPr>
        <w:t>Figure 1, where we considered</w:t>
      </w:r>
      <w:r w:rsidRPr="00EE1EA3">
        <w:rPr>
          <w:rFonts w:ascii="Times New Roman" w:hAnsi="Times New Roman" w:cs="Times New Roman"/>
          <w:sz w:val="24"/>
          <w:szCs w:val="24"/>
        </w:rPr>
        <w:t xml:space="preserve"> three levels of socio-economic conditions </w:t>
      </w:r>
      <w:r w:rsidR="00963AE7">
        <w:rPr>
          <w:rFonts w:ascii="Times New Roman" w:hAnsi="Times New Roman" w:cs="Times New Roman"/>
          <w:sz w:val="24"/>
          <w:szCs w:val="24"/>
        </w:rPr>
        <w:t>as defined in Methods</w:t>
      </w:r>
      <w:r w:rsidRPr="00EE1EA3">
        <w:rPr>
          <w:rFonts w:ascii="Times New Roman" w:hAnsi="Times New Roman" w:cs="Times New Roman"/>
          <w:sz w:val="24"/>
          <w:szCs w:val="24"/>
        </w:rPr>
        <w:t>.</w:t>
      </w:r>
      <w:r>
        <w:rPr>
          <w:rFonts w:ascii="Times New Roman" w:hAnsi="Times New Roman" w:cs="Times New Roman"/>
          <w:sz w:val="24"/>
          <w:szCs w:val="24"/>
        </w:rPr>
        <w:t xml:space="preserve"> </w:t>
      </w:r>
      <w:r w:rsidRPr="00EE1EA3">
        <w:rPr>
          <w:rFonts w:ascii="Times New Roman" w:hAnsi="Times New Roman" w:cs="Times New Roman"/>
          <w:sz w:val="24"/>
          <w:szCs w:val="24"/>
        </w:rPr>
        <w:t xml:space="preserve">The Figure shows that for all indicators there was a </w:t>
      </w:r>
      <w:r w:rsidRPr="00EE2751">
        <w:rPr>
          <w:rFonts w:ascii="Times New Roman" w:hAnsi="Times New Roman" w:cs="Times New Roman"/>
          <w:sz w:val="24"/>
          <w:szCs w:val="24"/>
        </w:rPr>
        <w:t>dose-response relationship, hardly compatible with an explanation based on confounding</w:t>
      </w:r>
      <w:r w:rsidR="00EE2751" w:rsidRPr="00EE2751">
        <w:rPr>
          <w:rFonts w:ascii="Times New Roman" w:hAnsi="Times New Roman" w:cs="Times New Roman"/>
          <w:sz w:val="24"/>
          <w:szCs w:val="24"/>
        </w:rPr>
        <w:t xml:space="preserve"> from individual level variables</w:t>
      </w:r>
      <w:r w:rsidR="006125C1">
        <w:rPr>
          <w:rFonts w:ascii="Times New Roman" w:hAnsi="Times New Roman" w:cs="Times New Roman"/>
          <w:sz w:val="24"/>
          <w:szCs w:val="24"/>
        </w:rPr>
        <w:t>.</w:t>
      </w:r>
      <w:r w:rsidRPr="00EE1EA3">
        <w:rPr>
          <w:rFonts w:ascii="Times New Roman" w:hAnsi="Times New Roman" w:cs="Times New Roman"/>
          <w:sz w:val="24"/>
          <w:szCs w:val="24"/>
        </w:rPr>
        <w:t xml:space="preserve"> </w:t>
      </w:r>
    </w:p>
    <w:p w14:paraId="5965A00D" w14:textId="68CB621B" w:rsidR="00203BAB" w:rsidRPr="008926AB" w:rsidRDefault="00203BAB" w:rsidP="00203BAB">
      <w:pPr>
        <w:spacing w:line="360" w:lineRule="auto"/>
        <w:jc w:val="both"/>
        <w:rPr>
          <w:rFonts w:ascii="Times New Roman" w:hAnsi="Times New Roman" w:cs="Times New Roman"/>
          <w:sz w:val="24"/>
          <w:szCs w:val="24"/>
        </w:rPr>
      </w:pPr>
      <w:r w:rsidRPr="008926AB">
        <w:rPr>
          <w:rFonts w:ascii="Times New Roman" w:hAnsi="Times New Roman" w:cs="Times New Roman"/>
          <w:sz w:val="24"/>
          <w:szCs w:val="24"/>
        </w:rPr>
        <w:t xml:space="preserve"> </w:t>
      </w:r>
    </w:p>
    <w:p w14:paraId="1D36A7D6" w14:textId="3610B5B9" w:rsidR="00A874BB" w:rsidRPr="00957982" w:rsidRDefault="00A874BB" w:rsidP="00957982">
      <w:pPr>
        <w:pStyle w:val="ListParagraph"/>
        <w:numPr>
          <w:ilvl w:val="0"/>
          <w:numId w:val="14"/>
        </w:numPr>
        <w:spacing w:line="360" w:lineRule="auto"/>
        <w:jc w:val="both"/>
        <w:rPr>
          <w:rFonts w:ascii="Times New Roman" w:hAnsi="Times New Roman" w:cs="Times New Roman"/>
          <w:b/>
          <w:sz w:val="24"/>
          <w:szCs w:val="24"/>
        </w:rPr>
      </w:pPr>
      <w:r w:rsidRPr="00957982">
        <w:rPr>
          <w:rFonts w:ascii="Times New Roman" w:hAnsi="Times New Roman" w:cs="Times New Roman"/>
          <w:b/>
          <w:sz w:val="24"/>
          <w:szCs w:val="24"/>
        </w:rPr>
        <w:t>Discussion</w:t>
      </w:r>
    </w:p>
    <w:p w14:paraId="1E12769D" w14:textId="0E552DFB" w:rsidR="007A5D83" w:rsidRPr="00A53C27" w:rsidRDefault="007A5D83" w:rsidP="00C85F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finding </w:t>
      </w:r>
      <w:r w:rsidR="002A1D3B">
        <w:rPr>
          <w:rFonts w:ascii="Times New Roman" w:hAnsi="Times New Roman" w:cs="Times New Roman"/>
          <w:sz w:val="24"/>
          <w:szCs w:val="24"/>
        </w:rPr>
        <w:t xml:space="preserve">of this methodological paper </w:t>
      </w:r>
      <w:r>
        <w:rPr>
          <w:rFonts w:ascii="Times New Roman" w:hAnsi="Times New Roman" w:cs="Times New Roman"/>
          <w:sz w:val="24"/>
          <w:szCs w:val="24"/>
        </w:rPr>
        <w:t xml:space="preserve">is that </w:t>
      </w:r>
      <w:r w:rsidR="0058421A">
        <w:rPr>
          <w:rFonts w:ascii="Times New Roman" w:hAnsi="Times New Roman" w:cs="Times New Roman"/>
          <w:sz w:val="24"/>
          <w:szCs w:val="24"/>
        </w:rPr>
        <w:t>socioeconomic disadvantage</w:t>
      </w:r>
      <w:r w:rsidR="00584954">
        <w:rPr>
          <w:rFonts w:ascii="Times New Roman" w:hAnsi="Times New Roman" w:cs="Times New Roman"/>
          <w:sz w:val="24"/>
          <w:szCs w:val="24"/>
        </w:rPr>
        <w:t xml:space="preserve"> measured using different indicators,</w:t>
      </w:r>
      <w:r w:rsidRPr="00EE1EA3">
        <w:rPr>
          <w:rFonts w:ascii="Times New Roman" w:hAnsi="Times New Roman" w:cs="Times New Roman"/>
          <w:sz w:val="24"/>
          <w:szCs w:val="24"/>
        </w:rPr>
        <w:t xml:space="preserve"> </w:t>
      </w:r>
      <w:r w:rsidR="0058421A">
        <w:rPr>
          <w:rFonts w:ascii="Times New Roman" w:hAnsi="Times New Roman" w:cs="Times New Roman"/>
          <w:sz w:val="24"/>
          <w:szCs w:val="24"/>
        </w:rPr>
        <w:t>is</w:t>
      </w:r>
      <w:r w:rsidRPr="00EE1EA3">
        <w:rPr>
          <w:rFonts w:ascii="Times New Roman" w:hAnsi="Times New Roman" w:cs="Times New Roman"/>
          <w:sz w:val="24"/>
          <w:szCs w:val="24"/>
        </w:rPr>
        <w:t xml:space="preserve"> a determinant </w:t>
      </w:r>
      <w:r>
        <w:rPr>
          <w:rFonts w:ascii="Times New Roman" w:hAnsi="Times New Roman" w:cs="Times New Roman"/>
          <w:sz w:val="24"/>
          <w:szCs w:val="24"/>
        </w:rPr>
        <w:t>of</w:t>
      </w:r>
      <w:r w:rsidRPr="00EE1EA3">
        <w:rPr>
          <w:rFonts w:ascii="Times New Roman" w:hAnsi="Times New Roman" w:cs="Times New Roman"/>
          <w:sz w:val="24"/>
          <w:szCs w:val="24"/>
        </w:rPr>
        <w:t xml:space="preserve"> poor </w:t>
      </w:r>
      <w:r w:rsidRPr="007C12F8">
        <w:rPr>
          <w:rFonts w:ascii="Times New Roman" w:hAnsi="Times New Roman" w:cs="Times New Roman"/>
          <w:sz w:val="24"/>
          <w:szCs w:val="24"/>
        </w:rPr>
        <w:t>health</w:t>
      </w:r>
      <w:r w:rsidR="0058421A">
        <w:rPr>
          <w:rFonts w:ascii="Times New Roman" w:hAnsi="Times New Roman" w:cs="Times New Roman"/>
          <w:sz w:val="24"/>
          <w:szCs w:val="24"/>
        </w:rPr>
        <w:t xml:space="preserve"> through </w:t>
      </w:r>
      <w:r w:rsidRPr="007C12F8">
        <w:rPr>
          <w:rFonts w:ascii="Times New Roman" w:hAnsi="Times New Roman" w:cs="Times New Roman"/>
          <w:sz w:val="24"/>
          <w:szCs w:val="24"/>
        </w:rPr>
        <w:t>biological embodiment</w:t>
      </w:r>
      <w:r w:rsidR="0058421A">
        <w:rPr>
          <w:rFonts w:ascii="Times New Roman" w:hAnsi="Times New Roman" w:cs="Times New Roman"/>
          <w:sz w:val="24"/>
          <w:szCs w:val="24"/>
        </w:rPr>
        <w:t xml:space="preserve"> </w:t>
      </w:r>
      <w:r w:rsidRPr="007C12F8">
        <w:rPr>
          <w:rFonts w:ascii="Times New Roman" w:hAnsi="Times New Roman" w:cs="Times New Roman"/>
          <w:sz w:val="24"/>
          <w:szCs w:val="24"/>
        </w:rPr>
        <w:t xml:space="preserve">beyond </w:t>
      </w:r>
      <w:r w:rsidR="0058421A">
        <w:rPr>
          <w:rFonts w:ascii="Times New Roman" w:hAnsi="Times New Roman" w:cs="Times New Roman"/>
          <w:sz w:val="24"/>
          <w:szCs w:val="24"/>
        </w:rPr>
        <w:t xml:space="preserve">classic </w:t>
      </w:r>
      <w:r w:rsidRPr="007C12F8">
        <w:rPr>
          <w:rFonts w:ascii="Times New Roman" w:hAnsi="Times New Roman" w:cs="Times New Roman"/>
          <w:sz w:val="24"/>
          <w:szCs w:val="24"/>
        </w:rPr>
        <w:t>behavioural risk factors for non-communicable diseases.</w:t>
      </w:r>
      <w:r>
        <w:rPr>
          <w:rFonts w:ascii="Times New Roman" w:hAnsi="Times New Roman" w:cs="Times New Roman"/>
          <w:sz w:val="24"/>
          <w:szCs w:val="24"/>
        </w:rPr>
        <w:t xml:space="preserve"> </w:t>
      </w:r>
      <w:r w:rsidR="007C12F8">
        <w:rPr>
          <w:rFonts w:ascii="Times New Roman" w:hAnsi="Times New Roman" w:cs="Times New Roman"/>
          <w:sz w:val="24"/>
          <w:szCs w:val="24"/>
        </w:rPr>
        <w:t xml:space="preserve">We have </w:t>
      </w:r>
      <w:r>
        <w:rPr>
          <w:rFonts w:ascii="Times New Roman" w:hAnsi="Times New Roman" w:cs="Times New Roman"/>
          <w:sz w:val="24"/>
          <w:szCs w:val="24"/>
        </w:rPr>
        <w:t>found</w:t>
      </w:r>
      <w:r w:rsidR="007C12F8">
        <w:rPr>
          <w:rFonts w:ascii="Times New Roman" w:hAnsi="Times New Roman" w:cs="Times New Roman"/>
          <w:sz w:val="24"/>
          <w:szCs w:val="24"/>
        </w:rPr>
        <w:t xml:space="preserve"> consistent </w:t>
      </w:r>
      <w:r>
        <w:rPr>
          <w:rFonts w:ascii="Times New Roman" w:hAnsi="Times New Roman" w:cs="Times New Roman"/>
          <w:sz w:val="24"/>
          <w:szCs w:val="24"/>
        </w:rPr>
        <w:t xml:space="preserve">results </w:t>
      </w:r>
      <w:r w:rsidR="007C12F8">
        <w:rPr>
          <w:rFonts w:ascii="Times New Roman" w:hAnsi="Times New Roman" w:cs="Times New Roman"/>
          <w:sz w:val="24"/>
          <w:szCs w:val="24"/>
        </w:rPr>
        <w:t>across several biological layers of evidence (deaths, functional outcomes, DNA, RNA, proteins, infection)</w:t>
      </w:r>
      <w:r w:rsidR="007A49A0">
        <w:rPr>
          <w:rFonts w:ascii="Times New Roman" w:hAnsi="Times New Roman" w:cs="Times New Roman"/>
          <w:sz w:val="24"/>
          <w:szCs w:val="24"/>
        </w:rPr>
        <w:t xml:space="preserve"> </w:t>
      </w:r>
      <w:r w:rsidR="00C85FA2">
        <w:rPr>
          <w:rFonts w:ascii="Times New Roman" w:hAnsi="Times New Roman" w:cs="Times New Roman"/>
          <w:sz w:val="24"/>
          <w:szCs w:val="24"/>
        </w:rPr>
        <w:t xml:space="preserve">, </w:t>
      </w:r>
      <w:r w:rsidR="002A1D3B">
        <w:rPr>
          <w:rFonts w:ascii="Times New Roman" w:hAnsi="Times New Roman" w:cs="Times New Roman"/>
          <w:sz w:val="24"/>
          <w:szCs w:val="24"/>
        </w:rPr>
        <w:t xml:space="preserve">in </w:t>
      </w:r>
      <w:r w:rsidR="0058421A">
        <w:rPr>
          <w:rFonts w:ascii="Times New Roman" w:hAnsi="Times New Roman" w:cs="Times New Roman"/>
          <w:sz w:val="24"/>
          <w:szCs w:val="24"/>
        </w:rPr>
        <w:t xml:space="preserve">a variety of </w:t>
      </w:r>
      <w:r w:rsidR="0058421A" w:rsidRPr="007A49A0">
        <w:rPr>
          <w:rFonts w:ascii="Times New Roman" w:hAnsi="Times New Roman" w:cs="Times New Roman"/>
          <w:sz w:val="24"/>
          <w:szCs w:val="24"/>
        </w:rPr>
        <w:t>population contexts, varying cohorts/periods, and using different socioeconomic and health measures.</w:t>
      </w:r>
      <w:r w:rsidR="00EE2751" w:rsidRPr="00A53C27">
        <w:rPr>
          <w:rFonts w:ascii="Times New Roman" w:hAnsi="Times New Roman" w:cs="Times New Roman"/>
          <w:sz w:val="24"/>
          <w:szCs w:val="24"/>
        </w:rPr>
        <w:t xml:space="preserve"> </w:t>
      </w:r>
      <w:r w:rsidR="00C85FA2" w:rsidRPr="00A53C27">
        <w:rPr>
          <w:rFonts w:ascii="Times New Roman" w:hAnsi="Times New Roman" w:cs="Times New Roman"/>
          <w:sz w:val="24"/>
          <w:szCs w:val="24"/>
        </w:rPr>
        <w:t xml:space="preserve">This is </w:t>
      </w:r>
      <w:r w:rsidR="00C85FA2" w:rsidRPr="007A49A0">
        <w:rPr>
          <w:rFonts w:ascii="Times New Roman" w:hAnsi="Times New Roman" w:cs="Times New Roman"/>
          <w:sz w:val="24"/>
          <w:szCs w:val="24"/>
        </w:rPr>
        <w:t>what Whewell has named “consilience of induction” (Munafo and Davey-Smith, 2018),</w:t>
      </w:r>
    </w:p>
    <w:p w14:paraId="7E9C86D4" w14:textId="69E9156C" w:rsidR="008A6009" w:rsidRDefault="00D80B27" w:rsidP="0086535B">
      <w:pPr>
        <w:spacing w:line="360" w:lineRule="auto"/>
        <w:jc w:val="both"/>
        <w:rPr>
          <w:rFonts w:ascii="Times New Roman" w:hAnsi="Times New Roman" w:cs="Times New Roman"/>
          <w:sz w:val="24"/>
          <w:szCs w:val="24"/>
        </w:rPr>
      </w:pPr>
      <w:r w:rsidRPr="007A49A0">
        <w:rPr>
          <w:rFonts w:ascii="Times New Roman" w:hAnsi="Times New Roman" w:cs="Times New Roman"/>
          <w:sz w:val="24"/>
          <w:szCs w:val="24"/>
        </w:rPr>
        <w:t>T</w:t>
      </w:r>
      <w:r w:rsidR="00A40581" w:rsidRPr="007A49A0">
        <w:rPr>
          <w:rFonts w:ascii="Times New Roman" w:hAnsi="Times New Roman" w:cs="Times New Roman"/>
          <w:sz w:val="24"/>
          <w:szCs w:val="24"/>
        </w:rPr>
        <w:t xml:space="preserve">he </w:t>
      </w:r>
      <w:r w:rsidR="00EE2751" w:rsidRPr="007A49A0">
        <w:rPr>
          <w:rFonts w:ascii="Times New Roman" w:hAnsi="Times New Roman" w:cs="Times New Roman"/>
          <w:sz w:val="24"/>
          <w:szCs w:val="24"/>
        </w:rPr>
        <w:t xml:space="preserve">biologically </w:t>
      </w:r>
      <w:r w:rsidR="00460BBF" w:rsidRPr="007A49A0">
        <w:rPr>
          <w:rFonts w:ascii="Times New Roman" w:hAnsi="Times New Roman" w:cs="Times New Roman"/>
          <w:sz w:val="24"/>
          <w:szCs w:val="24"/>
        </w:rPr>
        <w:t xml:space="preserve">multi-layered approach </w:t>
      </w:r>
      <w:r w:rsidR="007C12F8" w:rsidRPr="007A49A0">
        <w:rPr>
          <w:rFonts w:ascii="Times New Roman" w:hAnsi="Times New Roman" w:cs="Times New Roman"/>
          <w:sz w:val="24"/>
          <w:szCs w:val="24"/>
        </w:rPr>
        <w:t>we use</w:t>
      </w:r>
      <w:r w:rsidR="007A5D83" w:rsidRPr="007A49A0">
        <w:rPr>
          <w:rFonts w:ascii="Times New Roman" w:hAnsi="Times New Roman" w:cs="Times New Roman"/>
          <w:sz w:val="24"/>
          <w:szCs w:val="24"/>
        </w:rPr>
        <w:t>d</w:t>
      </w:r>
      <w:r w:rsidR="007C12F8" w:rsidRPr="007A49A0">
        <w:rPr>
          <w:rFonts w:ascii="Times New Roman" w:hAnsi="Times New Roman" w:cs="Times New Roman"/>
          <w:sz w:val="24"/>
          <w:szCs w:val="24"/>
        </w:rPr>
        <w:t xml:space="preserve"> here </w:t>
      </w:r>
      <w:r w:rsidR="00A40581" w:rsidRPr="007A49A0">
        <w:rPr>
          <w:rFonts w:ascii="Times New Roman" w:hAnsi="Times New Roman" w:cs="Times New Roman"/>
          <w:sz w:val="24"/>
          <w:szCs w:val="24"/>
        </w:rPr>
        <w:t>involves</w:t>
      </w:r>
      <w:r w:rsidR="00A40581" w:rsidRPr="00EE1EA3">
        <w:rPr>
          <w:rFonts w:ascii="Times New Roman" w:hAnsi="Times New Roman" w:cs="Times New Roman"/>
          <w:sz w:val="24"/>
          <w:szCs w:val="24"/>
        </w:rPr>
        <w:t xml:space="preserve"> the ability of the different types of evidence to address </w:t>
      </w:r>
      <w:r w:rsidR="00EE2751">
        <w:rPr>
          <w:rFonts w:ascii="Times New Roman" w:hAnsi="Times New Roman" w:cs="Times New Roman"/>
          <w:sz w:val="24"/>
          <w:szCs w:val="24"/>
        </w:rPr>
        <w:t xml:space="preserve">different types of </w:t>
      </w:r>
      <w:r w:rsidR="00A40581" w:rsidRPr="00EE1EA3">
        <w:rPr>
          <w:rFonts w:ascii="Times New Roman" w:hAnsi="Times New Roman" w:cs="Times New Roman"/>
          <w:sz w:val="24"/>
          <w:szCs w:val="24"/>
        </w:rPr>
        <w:t>bias</w:t>
      </w:r>
      <w:r w:rsidR="00CA3401" w:rsidRPr="00EE1EA3">
        <w:rPr>
          <w:rFonts w:ascii="Times New Roman" w:hAnsi="Times New Roman" w:cs="Times New Roman"/>
          <w:sz w:val="24"/>
          <w:szCs w:val="24"/>
        </w:rPr>
        <w:t xml:space="preserve"> </w:t>
      </w:r>
      <w:r w:rsidR="00460BBF">
        <w:rPr>
          <w:rFonts w:ascii="Times New Roman" w:hAnsi="Times New Roman" w:cs="Times New Roman"/>
          <w:sz w:val="24"/>
          <w:szCs w:val="24"/>
        </w:rPr>
        <w:t>associated with each layer</w:t>
      </w:r>
      <w:r w:rsidR="00CA3401" w:rsidRPr="00EE1EA3">
        <w:rPr>
          <w:rFonts w:ascii="Times New Roman" w:hAnsi="Times New Roman" w:cs="Times New Roman"/>
          <w:sz w:val="24"/>
          <w:szCs w:val="24"/>
        </w:rPr>
        <w:t xml:space="preserve"> taken separately</w:t>
      </w:r>
      <w:r w:rsidR="00A40581" w:rsidRPr="00EE1EA3">
        <w:rPr>
          <w:rFonts w:ascii="Times New Roman" w:hAnsi="Times New Roman" w:cs="Times New Roman"/>
          <w:sz w:val="24"/>
          <w:szCs w:val="24"/>
        </w:rPr>
        <w:t xml:space="preserve">. The main </w:t>
      </w:r>
      <w:r w:rsidR="00022F98" w:rsidRPr="00EE1EA3">
        <w:rPr>
          <w:rFonts w:ascii="Times New Roman" w:hAnsi="Times New Roman" w:cs="Times New Roman"/>
          <w:sz w:val="24"/>
          <w:szCs w:val="24"/>
        </w:rPr>
        <w:t xml:space="preserve">criticism to the theory of </w:t>
      </w:r>
      <w:r w:rsidR="00AF1C2A" w:rsidRPr="00EE1EA3">
        <w:rPr>
          <w:rFonts w:ascii="Times New Roman" w:hAnsi="Times New Roman" w:cs="Times New Roman"/>
          <w:sz w:val="24"/>
          <w:szCs w:val="24"/>
        </w:rPr>
        <w:t xml:space="preserve">socio-economic </w:t>
      </w:r>
      <w:r w:rsidR="00A40581" w:rsidRPr="00EE1EA3">
        <w:rPr>
          <w:rFonts w:ascii="Times New Roman" w:hAnsi="Times New Roman" w:cs="Times New Roman"/>
          <w:sz w:val="24"/>
          <w:szCs w:val="24"/>
        </w:rPr>
        <w:t xml:space="preserve">related </w:t>
      </w:r>
      <w:r w:rsidR="00022F98" w:rsidRPr="00EE1EA3">
        <w:rPr>
          <w:rFonts w:ascii="Times New Roman" w:hAnsi="Times New Roman" w:cs="Times New Roman"/>
          <w:sz w:val="24"/>
          <w:szCs w:val="24"/>
        </w:rPr>
        <w:t>poor ageing</w:t>
      </w:r>
      <w:r w:rsidR="00ED6B08" w:rsidRPr="00EE1EA3">
        <w:rPr>
          <w:rFonts w:ascii="Times New Roman" w:hAnsi="Times New Roman" w:cs="Times New Roman"/>
          <w:sz w:val="24"/>
          <w:szCs w:val="24"/>
        </w:rPr>
        <w:t xml:space="preserve"> </w:t>
      </w:r>
      <w:r w:rsidR="00A40581" w:rsidRPr="00EE1EA3">
        <w:rPr>
          <w:rFonts w:ascii="Times New Roman" w:hAnsi="Times New Roman" w:cs="Times New Roman"/>
          <w:sz w:val="24"/>
          <w:szCs w:val="24"/>
        </w:rPr>
        <w:t xml:space="preserve">is confounding and residual confounding, </w:t>
      </w:r>
      <w:r w:rsidR="00D5147D">
        <w:rPr>
          <w:rFonts w:ascii="Times New Roman" w:hAnsi="Times New Roman" w:cs="Times New Roman"/>
          <w:sz w:val="24"/>
          <w:szCs w:val="24"/>
        </w:rPr>
        <w:t>the argument being</w:t>
      </w:r>
      <w:r w:rsidR="00460BBF">
        <w:rPr>
          <w:rFonts w:ascii="Times New Roman" w:hAnsi="Times New Roman" w:cs="Times New Roman"/>
          <w:sz w:val="24"/>
          <w:szCs w:val="24"/>
        </w:rPr>
        <w:t xml:space="preserve"> that adjustment for confounders</w:t>
      </w:r>
      <w:r w:rsidR="00643308">
        <w:rPr>
          <w:rFonts w:ascii="Times New Roman" w:hAnsi="Times New Roman" w:cs="Times New Roman"/>
          <w:sz w:val="24"/>
          <w:szCs w:val="24"/>
        </w:rPr>
        <w:t xml:space="preserve"> (including</w:t>
      </w:r>
      <w:r w:rsidR="00A40581" w:rsidRPr="00EE1EA3">
        <w:rPr>
          <w:rFonts w:ascii="Times New Roman" w:hAnsi="Times New Roman" w:cs="Times New Roman"/>
          <w:sz w:val="24"/>
          <w:szCs w:val="24"/>
        </w:rPr>
        <w:t xml:space="preserve"> the factors we have included</w:t>
      </w:r>
      <w:r w:rsidR="00ED6B08" w:rsidRPr="00EE1EA3">
        <w:rPr>
          <w:rFonts w:ascii="Times New Roman" w:hAnsi="Times New Roman" w:cs="Times New Roman"/>
          <w:sz w:val="24"/>
          <w:szCs w:val="24"/>
        </w:rPr>
        <w:t xml:space="preserve"> here</w:t>
      </w:r>
      <w:r w:rsidR="008A6009">
        <w:rPr>
          <w:rFonts w:ascii="Times New Roman" w:hAnsi="Times New Roman" w:cs="Times New Roman"/>
          <w:sz w:val="24"/>
          <w:szCs w:val="24"/>
        </w:rPr>
        <w:t>, 25x25</w:t>
      </w:r>
      <w:r w:rsidR="002A1D3B">
        <w:rPr>
          <w:rFonts w:ascii="Times New Roman" w:hAnsi="Times New Roman" w:cs="Times New Roman"/>
          <w:sz w:val="24"/>
          <w:szCs w:val="24"/>
        </w:rPr>
        <w:t xml:space="preserve"> </w:t>
      </w:r>
      <w:r w:rsidR="00C85FA2">
        <w:rPr>
          <w:rFonts w:ascii="Times New Roman" w:hAnsi="Times New Roman" w:cs="Times New Roman"/>
          <w:sz w:val="24"/>
          <w:szCs w:val="24"/>
        </w:rPr>
        <w:t>NCD risk factors</w:t>
      </w:r>
      <w:r w:rsidR="00A40581" w:rsidRPr="00EE1EA3">
        <w:rPr>
          <w:rFonts w:ascii="Times New Roman" w:hAnsi="Times New Roman" w:cs="Times New Roman"/>
          <w:sz w:val="24"/>
          <w:szCs w:val="24"/>
        </w:rPr>
        <w:t xml:space="preserve"> is imperfect because of measurement error</w:t>
      </w:r>
      <w:r w:rsidR="00460BBF">
        <w:rPr>
          <w:rFonts w:ascii="Times New Roman" w:hAnsi="Times New Roman" w:cs="Times New Roman"/>
          <w:sz w:val="24"/>
          <w:szCs w:val="24"/>
        </w:rPr>
        <w:t>. We believe our approach</w:t>
      </w:r>
      <w:r w:rsidR="00A40581" w:rsidRPr="00EE1EA3">
        <w:rPr>
          <w:rFonts w:ascii="Times New Roman" w:hAnsi="Times New Roman" w:cs="Times New Roman"/>
          <w:sz w:val="24"/>
          <w:szCs w:val="24"/>
        </w:rPr>
        <w:t xml:space="preserve"> addresses</w:t>
      </w:r>
      <w:r w:rsidR="00EE2751">
        <w:rPr>
          <w:rFonts w:ascii="Times New Roman" w:hAnsi="Times New Roman" w:cs="Times New Roman"/>
          <w:sz w:val="24"/>
          <w:szCs w:val="24"/>
        </w:rPr>
        <w:t xml:space="preserve"> at least in part</w:t>
      </w:r>
      <w:r w:rsidR="00A40581" w:rsidRPr="00EE1EA3">
        <w:rPr>
          <w:rFonts w:ascii="Times New Roman" w:hAnsi="Times New Roman" w:cs="Times New Roman"/>
          <w:sz w:val="24"/>
          <w:szCs w:val="24"/>
        </w:rPr>
        <w:t xml:space="preserve"> these criticisms, since </w:t>
      </w:r>
      <w:r w:rsidR="00AF1C2A" w:rsidRPr="00EE1EA3">
        <w:rPr>
          <w:rFonts w:ascii="Times New Roman" w:hAnsi="Times New Roman" w:cs="Times New Roman"/>
          <w:sz w:val="24"/>
          <w:szCs w:val="24"/>
        </w:rPr>
        <w:t>the</w:t>
      </w:r>
      <w:r w:rsidR="00A40581" w:rsidRPr="00EE1EA3">
        <w:rPr>
          <w:rFonts w:ascii="Times New Roman" w:hAnsi="Times New Roman" w:cs="Times New Roman"/>
          <w:sz w:val="24"/>
          <w:szCs w:val="24"/>
        </w:rPr>
        <w:t xml:space="preserve"> outcome</w:t>
      </w:r>
      <w:r w:rsidR="00AF1C2A" w:rsidRPr="00EE1EA3">
        <w:rPr>
          <w:rFonts w:ascii="Times New Roman" w:hAnsi="Times New Roman" w:cs="Times New Roman"/>
          <w:sz w:val="24"/>
          <w:szCs w:val="24"/>
        </w:rPr>
        <w:t>s</w:t>
      </w:r>
      <w:r w:rsidR="00A40581" w:rsidRPr="00EE1EA3">
        <w:rPr>
          <w:rFonts w:ascii="Times New Roman" w:hAnsi="Times New Roman" w:cs="Times New Roman"/>
          <w:sz w:val="24"/>
          <w:szCs w:val="24"/>
        </w:rPr>
        <w:t xml:space="preserve"> we have considered ha</w:t>
      </w:r>
      <w:r w:rsidR="00AF1C2A" w:rsidRPr="00EE1EA3">
        <w:rPr>
          <w:rFonts w:ascii="Times New Roman" w:hAnsi="Times New Roman" w:cs="Times New Roman"/>
          <w:sz w:val="24"/>
          <w:szCs w:val="24"/>
        </w:rPr>
        <w:t>ve</w:t>
      </w:r>
      <w:r w:rsidR="00A40581" w:rsidRPr="00EE1EA3">
        <w:rPr>
          <w:rFonts w:ascii="Times New Roman" w:hAnsi="Times New Roman" w:cs="Times New Roman"/>
          <w:sz w:val="24"/>
          <w:szCs w:val="24"/>
        </w:rPr>
        <w:t xml:space="preserve"> different set</w:t>
      </w:r>
      <w:r w:rsidR="00AF1C2A" w:rsidRPr="00EE1EA3">
        <w:rPr>
          <w:rFonts w:ascii="Times New Roman" w:hAnsi="Times New Roman" w:cs="Times New Roman"/>
          <w:sz w:val="24"/>
          <w:szCs w:val="24"/>
        </w:rPr>
        <w:t>s</w:t>
      </w:r>
      <w:r w:rsidR="00A40581" w:rsidRPr="00EE1EA3">
        <w:rPr>
          <w:rFonts w:ascii="Times New Roman" w:hAnsi="Times New Roman" w:cs="Times New Roman"/>
          <w:sz w:val="24"/>
          <w:szCs w:val="24"/>
        </w:rPr>
        <w:t xml:space="preserve"> of confounders</w:t>
      </w:r>
      <w:r w:rsidR="001C4B9D" w:rsidRPr="00EE1EA3">
        <w:rPr>
          <w:rFonts w:ascii="Times New Roman" w:hAnsi="Times New Roman" w:cs="Times New Roman"/>
          <w:sz w:val="24"/>
          <w:szCs w:val="24"/>
        </w:rPr>
        <w:t xml:space="preserve"> and ha</w:t>
      </w:r>
      <w:r w:rsidR="00AF1C2A" w:rsidRPr="00EE1EA3">
        <w:rPr>
          <w:rFonts w:ascii="Times New Roman" w:hAnsi="Times New Roman" w:cs="Times New Roman"/>
          <w:sz w:val="24"/>
          <w:szCs w:val="24"/>
        </w:rPr>
        <w:t>ve</w:t>
      </w:r>
      <w:r w:rsidR="001C4B9D" w:rsidRPr="00EE1EA3">
        <w:rPr>
          <w:rFonts w:ascii="Times New Roman" w:hAnsi="Times New Roman" w:cs="Times New Roman"/>
          <w:sz w:val="24"/>
          <w:szCs w:val="24"/>
        </w:rPr>
        <w:t xml:space="preserve"> been studied</w:t>
      </w:r>
      <w:r w:rsidR="0038089B" w:rsidRPr="00EE1EA3">
        <w:rPr>
          <w:rFonts w:ascii="Times New Roman" w:hAnsi="Times New Roman" w:cs="Times New Roman"/>
          <w:sz w:val="24"/>
          <w:szCs w:val="24"/>
        </w:rPr>
        <w:t xml:space="preserve"> in different cohorts and contexts</w:t>
      </w:r>
      <w:r w:rsidR="00A40581" w:rsidRPr="00EE1EA3">
        <w:rPr>
          <w:rFonts w:ascii="Times New Roman" w:hAnsi="Times New Roman" w:cs="Times New Roman"/>
          <w:sz w:val="24"/>
          <w:szCs w:val="24"/>
        </w:rPr>
        <w:t xml:space="preserve">. The main determinants of mortality are the </w:t>
      </w:r>
      <w:r w:rsidR="00C85FA2">
        <w:rPr>
          <w:rFonts w:ascii="Times New Roman" w:hAnsi="Times New Roman" w:cs="Times New Roman"/>
          <w:sz w:val="24"/>
          <w:szCs w:val="24"/>
        </w:rPr>
        <w:t>25x25 risk factors</w:t>
      </w:r>
      <w:r w:rsidR="00A40581" w:rsidRPr="00EE1EA3">
        <w:rPr>
          <w:rFonts w:ascii="Times New Roman" w:hAnsi="Times New Roman" w:cs="Times New Roman"/>
          <w:sz w:val="24"/>
          <w:szCs w:val="24"/>
        </w:rPr>
        <w:t>, though some are missing</w:t>
      </w:r>
      <w:r w:rsidR="00F14A10" w:rsidRPr="00EE1EA3">
        <w:rPr>
          <w:rFonts w:ascii="Times New Roman" w:hAnsi="Times New Roman" w:cs="Times New Roman"/>
          <w:sz w:val="24"/>
          <w:szCs w:val="24"/>
        </w:rPr>
        <w:t xml:space="preserve"> in the UN-WHO definition</w:t>
      </w:r>
      <w:r w:rsidR="00D74324">
        <w:rPr>
          <w:rFonts w:ascii="Times New Roman" w:hAnsi="Times New Roman" w:cs="Times New Roman"/>
          <w:sz w:val="24"/>
          <w:szCs w:val="24"/>
        </w:rPr>
        <w:t xml:space="preserve"> (United Nations, 2011</w:t>
      </w:r>
      <w:r w:rsidR="008313E5">
        <w:rPr>
          <w:rFonts w:ascii="Times New Roman" w:hAnsi="Times New Roman" w:cs="Times New Roman"/>
          <w:sz w:val="24"/>
          <w:szCs w:val="24"/>
        </w:rPr>
        <w:t>; Pearce et al, 2014</w:t>
      </w:r>
      <w:r w:rsidR="00D74324">
        <w:rPr>
          <w:rFonts w:ascii="Times New Roman" w:hAnsi="Times New Roman" w:cs="Times New Roman"/>
          <w:sz w:val="24"/>
          <w:szCs w:val="24"/>
        </w:rPr>
        <w:t>)</w:t>
      </w:r>
      <w:r w:rsidR="00A40581" w:rsidRPr="00EE1EA3">
        <w:rPr>
          <w:rFonts w:ascii="Times New Roman" w:hAnsi="Times New Roman" w:cs="Times New Roman"/>
          <w:sz w:val="24"/>
          <w:szCs w:val="24"/>
        </w:rPr>
        <w:t>.</w:t>
      </w:r>
      <w:r w:rsidR="00963AE7" w:rsidRPr="00EE1EA3">
        <w:rPr>
          <w:rFonts w:ascii="Times New Roman" w:hAnsi="Times New Roman" w:cs="Times New Roman"/>
          <w:sz w:val="24"/>
          <w:szCs w:val="24"/>
        </w:rPr>
        <w:t xml:space="preserve"> </w:t>
      </w:r>
      <w:r w:rsidR="00A40581" w:rsidRPr="00EE1EA3">
        <w:rPr>
          <w:rFonts w:ascii="Times New Roman" w:hAnsi="Times New Roman" w:cs="Times New Roman"/>
          <w:sz w:val="24"/>
          <w:szCs w:val="24"/>
        </w:rPr>
        <w:t xml:space="preserve">Determinants of impaired walking speed are </w:t>
      </w:r>
      <w:r w:rsidR="00ED6B08" w:rsidRPr="00EE1EA3">
        <w:rPr>
          <w:rFonts w:ascii="Times New Roman" w:hAnsi="Times New Roman" w:cs="Times New Roman"/>
          <w:sz w:val="24"/>
          <w:szCs w:val="24"/>
        </w:rPr>
        <w:t xml:space="preserve">partially </w:t>
      </w:r>
      <w:r w:rsidR="008165A1">
        <w:rPr>
          <w:rFonts w:ascii="Times New Roman" w:hAnsi="Times New Roman" w:cs="Times New Roman"/>
          <w:sz w:val="24"/>
          <w:szCs w:val="24"/>
        </w:rPr>
        <w:t>different, involving musculo</w:t>
      </w:r>
      <w:r w:rsidR="00A40581" w:rsidRPr="00EE1EA3">
        <w:rPr>
          <w:rFonts w:ascii="Times New Roman" w:hAnsi="Times New Roman" w:cs="Times New Roman"/>
          <w:sz w:val="24"/>
          <w:szCs w:val="24"/>
        </w:rPr>
        <w:t xml:space="preserve">skeletal impairment that is not strongly associated </w:t>
      </w:r>
      <w:r w:rsidR="008A6009">
        <w:rPr>
          <w:rFonts w:ascii="Times New Roman" w:hAnsi="Times New Roman" w:cs="Times New Roman"/>
          <w:sz w:val="24"/>
          <w:szCs w:val="24"/>
        </w:rPr>
        <w:t xml:space="preserve">with the </w:t>
      </w:r>
      <w:r w:rsidR="00C85FA2">
        <w:rPr>
          <w:rFonts w:ascii="Times New Roman" w:hAnsi="Times New Roman" w:cs="Times New Roman"/>
          <w:sz w:val="24"/>
          <w:szCs w:val="24"/>
        </w:rPr>
        <w:t xml:space="preserve">behavioural </w:t>
      </w:r>
      <w:r w:rsidR="008A6009">
        <w:rPr>
          <w:rFonts w:ascii="Times New Roman" w:hAnsi="Times New Roman" w:cs="Times New Roman"/>
          <w:sz w:val="24"/>
          <w:szCs w:val="24"/>
        </w:rPr>
        <w:t xml:space="preserve"> </w:t>
      </w:r>
      <w:r w:rsidR="00C85FA2">
        <w:rPr>
          <w:rFonts w:ascii="Times New Roman" w:hAnsi="Times New Roman" w:cs="Times New Roman"/>
          <w:sz w:val="24"/>
          <w:szCs w:val="24"/>
        </w:rPr>
        <w:t>risk factors</w:t>
      </w:r>
      <w:r w:rsidR="008A6009">
        <w:rPr>
          <w:rFonts w:ascii="Times New Roman" w:hAnsi="Times New Roman" w:cs="Times New Roman"/>
          <w:sz w:val="24"/>
          <w:szCs w:val="24"/>
        </w:rPr>
        <w:t xml:space="preserve"> and with</w:t>
      </w:r>
      <w:r w:rsidR="00A40581" w:rsidRPr="00EE1EA3">
        <w:rPr>
          <w:rFonts w:ascii="Times New Roman" w:hAnsi="Times New Roman" w:cs="Times New Roman"/>
          <w:sz w:val="24"/>
          <w:szCs w:val="24"/>
        </w:rPr>
        <w:t xml:space="preserve"> mortality</w:t>
      </w:r>
      <w:r w:rsidR="00985CF2" w:rsidRPr="00EE1EA3">
        <w:rPr>
          <w:rFonts w:ascii="Times New Roman" w:hAnsi="Times New Roman" w:cs="Times New Roman"/>
          <w:sz w:val="24"/>
          <w:szCs w:val="24"/>
        </w:rPr>
        <w:t xml:space="preserve"> itself</w:t>
      </w:r>
      <w:r w:rsidR="008313E5">
        <w:rPr>
          <w:rFonts w:ascii="Times New Roman" w:hAnsi="Times New Roman" w:cs="Times New Roman"/>
          <w:sz w:val="24"/>
          <w:szCs w:val="24"/>
        </w:rPr>
        <w:t xml:space="preserve"> (Stringhini et al, 2018)</w:t>
      </w:r>
      <w:r w:rsidR="00F14A10" w:rsidRPr="00EE1EA3">
        <w:rPr>
          <w:rFonts w:ascii="Times New Roman" w:hAnsi="Times New Roman" w:cs="Times New Roman"/>
          <w:sz w:val="24"/>
          <w:szCs w:val="24"/>
        </w:rPr>
        <w:t>.</w:t>
      </w:r>
      <w:r w:rsidR="00963AE7" w:rsidRPr="00EE1EA3">
        <w:rPr>
          <w:rFonts w:ascii="Times New Roman" w:hAnsi="Times New Roman" w:cs="Times New Roman"/>
          <w:sz w:val="24"/>
          <w:szCs w:val="24"/>
        </w:rPr>
        <w:t xml:space="preserve"> </w:t>
      </w:r>
      <w:r w:rsidR="00F14A10" w:rsidRPr="00EE1EA3">
        <w:rPr>
          <w:rFonts w:ascii="Times New Roman" w:hAnsi="Times New Roman" w:cs="Times New Roman"/>
          <w:sz w:val="24"/>
          <w:szCs w:val="24"/>
        </w:rPr>
        <w:t>In our analysis, alcohol was associated with mortality but not with walking speed</w:t>
      </w:r>
      <w:r w:rsidR="00A40581" w:rsidRPr="00EE1EA3">
        <w:rPr>
          <w:rFonts w:ascii="Times New Roman" w:hAnsi="Times New Roman" w:cs="Times New Roman"/>
          <w:sz w:val="24"/>
          <w:szCs w:val="24"/>
        </w:rPr>
        <w:t xml:space="preserve">. Obesity is an important cause of premature death and disease, </w:t>
      </w:r>
      <w:r w:rsidR="00F46699">
        <w:rPr>
          <w:rFonts w:ascii="Times New Roman" w:hAnsi="Times New Roman" w:cs="Times New Roman"/>
          <w:sz w:val="24"/>
          <w:szCs w:val="24"/>
        </w:rPr>
        <w:t>starting</w:t>
      </w:r>
      <w:r w:rsidR="00A40581" w:rsidRPr="00EE1EA3">
        <w:rPr>
          <w:rFonts w:ascii="Times New Roman" w:hAnsi="Times New Roman" w:cs="Times New Roman"/>
          <w:sz w:val="24"/>
          <w:szCs w:val="24"/>
        </w:rPr>
        <w:t xml:space="preserve"> in childhood</w:t>
      </w:r>
      <w:r w:rsidR="00814538" w:rsidRPr="00EE1EA3">
        <w:rPr>
          <w:rFonts w:ascii="Times New Roman" w:hAnsi="Times New Roman" w:cs="Times New Roman"/>
          <w:sz w:val="24"/>
          <w:szCs w:val="24"/>
        </w:rPr>
        <w:t xml:space="preserve">, with recent research suggesting it represents a type of </w:t>
      </w:r>
      <w:r w:rsidR="00F46699" w:rsidRPr="00EE1EA3">
        <w:rPr>
          <w:rFonts w:ascii="Times New Roman" w:hAnsi="Times New Roman" w:cs="Times New Roman"/>
          <w:sz w:val="24"/>
          <w:szCs w:val="24"/>
        </w:rPr>
        <w:t>low-grade</w:t>
      </w:r>
      <w:r w:rsidR="00814538" w:rsidRPr="00EE1EA3">
        <w:rPr>
          <w:rFonts w:ascii="Times New Roman" w:hAnsi="Times New Roman" w:cs="Times New Roman"/>
          <w:sz w:val="24"/>
          <w:szCs w:val="24"/>
        </w:rPr>
        <w:t xml:space="preserve"> chronic inflammation</w:t>
      </w:r>
      <w:r w:rsidR="008313E5">
        <w:rPr>
          <w:rFonts w:ascii="Times New Roman" w:hAnsi="Times New Roman" w:cs="Times New Roman"/>
          <w:sz w:val="24"/>
          <w:szCs w:val="24"/>
        </w:rPr>
        <w:t xml:space="preserve"> </w:t>
      </w:r>
      <w:r w:rsidR="00D74324">
        <w:rPr>
          <w:rFonts w:ascii="Times New Roman" w:hAnsi="Times New Roman" w:cs="Times New Roman"/>
          <w:sz w:val="24"/>
          <w:szCs w:val="24"/>
        </w:rPr>
        <w:t>(McCrory et al, 2017)</w:t>
      </w:r>
      <w:r w:rsidR="00A40581" w:rsidRPr="00EE1EA3">
        <w:rPr>
          <w:rFonts w:ascii="Times New Roman" w:hAnsi="Times New Roman" w:cs="Times New Roman"/>
          <w:sz w:val="24"/>
          <w:szCs w:val="24"/>
        </w:rPr>
        <w:t xml:space="preserve">. </w:t>
      </w:r>
      <w:r w:rsidR="00F46699" w:rsidRPr="00EE1EA3">
        <w:rPr>
          <w:rFonts w:ascii="Times New Roman" w:hAnsi="Times New Roman" w:cs="Times New Roman"/>
          <w:sz w:val="24"/>
          <w:szCs w:val="24"/>
        </w:rPr>
        <w:t>Again,</w:t>
      </w:r>
      <w:r w:rsidR="00A40581" w:rsidRPr="00EE1EA3">
        <w:rPr>
          <w:rFonts w:ascii="Times New Roman" w:hAnsi="Times New Roman" w:cs="Times New Roman"/>
          <w:sz w:val="24"/>
          <w:szCs w:val="24"/>
        </w:rPr>
        <w:t xml:space="preserve"> its determinants are different f</w:t>
      </w:r>
      <w:r w:rsidR="00434B3D" w:rsidRPr="00EE1EA3">
        <w:rPr>
          <w:rFonts w:ascii="Times New Roman" w:hAnsi="Times New Roman" w:cs="Times New Roman"/>
          <w:sz w:val="24"/>
          <w:szCs w:val="24"/>
        </w:rPr>
        <w:t>rom those that lead to other outcomes</w:t>
      </w:r>
      <w:r w:rsidR="00A40581" w:rsidRPr="00EE1EA3">
        <w:rPr>
          <w:rFonts w:ascii="Times New Roman" w:hAnsi="Times New Roman" w:cs="Times New Roman"/>
          <w:sz w:val="24"/>
          <w:szCs w:val="24"/>
        </w:rPr>
        <w:t xml:space="preserve">, and obesity is in fact a strong mediator between childhood </w:t>
      </w:r>
      <w:r w:rsidR="00AF1C2A" w:rsidRPr="00EE1EA3">
        <w:rPr>
          <w:rFonts w:ascii="Times New Roman" w:hAnsi="Times New Roman" w:cs="Times New Roman"/>
          <w:sz w:val="24"/>
          <w:szCs w:val="24"/>
        </w:rPr>
        <w:t>socio-economic conditions</w:t>
      </w:r>
      <w:r w:rsidR="00A40581" w:rsidRPr="00EE1EA3">
        <w:rPr>
          <w:rFonts w:ascii="Times New Roman" w:hAnsi="Times New Roman" w:cs="Times New Roman"/>
          <w:sz w:val="24"/>
          <w:szCs w:val="24"/>
        </w:rPr>
        <w:t xml:space="preserve"> and poor health</w:t>
      </w:r>
      <w:r w:rsidR="00D5147D">
        <w:rPr>
          <w:rFonts w:ascii="Times New Roman" w:hAnsi="Times New Roman" w:cs="Times New Roman"/>
          <w:sz w:val="24"/>
          <w:szCs w:val="24"/>
        </w:rPr>
        <w:t xml:space="preserve"> in adulthood</w:t>
      </w:r>
      <w:r w:rsidR="00A40581" w:rsidRPr="00EE1EA3">
        <w:rPr>
          <w:rFonts w:ascii="Times New Roman" w:hAnsi="Times New Roman" w:cs="Times New Roman"/>
          <w:sz w:val="24"/>
          <w:szCs w:val="24"/>
        </w:rPr>
        <w:t>.</w:t>
      </w:r>
      <w:r w:rsidR="00F0699E">
        <w:t xml:space="preserve"> </w:t>
      </w:r>
      <w:r w:rsidR="00963AE7" w:rsidRPr="00917349">
        <w:rPr>
          <w:rFonts w:ascii="Times New Roman" w:hAnsi="Times New Roman" w:cs="Times New Roman"/>
          <w:sz w:val="24"/>
          <w:szCs w:val="24"/>
          <w:vertAlign w:val="superscript"/>
        </w:rPr>
        <w:t xml:space="preserve"> </w:t>
      </w:r>
      <w:r w:rsidR="00A40581" w:rsidRPr="00EE1EA3">
        <w:rPr>
          <w:rFonts w:ascii="Times New Roman" w:hAnsi="Times New Roman" w:cs="Times New Roman"/>
          <w:sz w:val="24"/>
          <w:szCs w:val="24"/>
        </w:rPr>
        <w:t xml:space="preserve">Finally, we investigated a set of biological markers that </w:t>
      </w:r>
      <w:r w:rsidR="007A5D83">
        <w:rPr>
          <w:rFonts w:ascii="Times New Roman" w:hAnsi="Times New Roman" w:cs="Times New Roman"/>
          <w:sz w:val="24"/>
          <w:szCs w:val="24"/>
        </w:rPr>
        <w:t xml:space="preserve">may </w:t>
      </w:r>
      <w:r w:rsidR="00A40581" w:rsidRPr="00EE1EA3">
        <w:rPr>
          <w:rFonts w:ascii="Times New Roman" w:hAnsi="Times New Roman" w:cs="Times New Roman"/>
          <w:sz w:val="24"/>
          <w:szCs w:val="24"/>
        </w:rPr>
        <w:t xml:space="preserve">lie </w:t>
      </w:r>
      <w:r w:rsidR="00F46699">
        <w:rPr>
          <w:rFonts w:ascii="Times New Roman" w:hAnsi="Times New Roman" w:cs="Times New Roman"/>
          <w:sz w:val="24"/>
          <w:szCs w:val="24"/>
        </w:rPr>
        <w:t>o</w:t>
      </w:r>
      <w:r w:rsidR="00A40581" w:rsidRPr="00EE1EA3">
        <w:rPr>
          <w:rFonts w:ascii="Times New Roman" w:hAnsi="Times New Roman" w:cs="Times New Roman"/>
          <w:sz w:val="24"/>
          <w:szCs w:val="24"/>
        </w:rPr>
        <w:t>n the causal chain from</w:t>
      </w:r>
      <w:r w:rsidR="00FB120F">
        <w:rPr>
          <w:rFonts w:ascii="Times New Roman" w:hAnsi="Times New Roman" w:cs="Times New Roman"/>
          <w:sz w:val="24"/>
          <w:szCs w:val="24"/>
        </w:rPr>
        <w:t xml:space="preserve"> socio-economic disadvantage </w:t>
      </w:r>
      <w:r w:rsidR="00A40581" w:rsidRPr="00EE1EA3">
        <w:rPr>
          <w:rFonts w:ascii="Times New Roman" w:hAnsi="Times New Roman" w:cs="Times New Roman"/>
          <w:sz w:val="24"/>
          <w:szCs w:val="24"/>
        </w:rPr>
        <w:t xml:space="preserve">to poor health. </w:t>
      </w:r>
      <w:r w:rsidR="00F14A10" w:rsidRPr="00EE1EA3">
        <w:rPr>
          <w:rFonts w:ascii="Times New Roman" w:hAnsi="Times New Roman" w:cs="Times New Roman"/>
          <w:sz w:val="24"/>
          <w:szCs w:val="24"/>
        </w:rPr>
        <w:t xml:space="preserve">Confounders that we identified were BMI and </w:t>
      </w:r>
      <w:r w:rsidR="00AE20E6">
        <w:rPr>
          <w:rFonts w:ascii="Times New Roman" w:hAnsi="Times New Roman" w:cs="Times New Roman"/>
          <w:sz w:val="24"/>
          <w:szCs w:val="24"/>
        </w:rPr>
        <w:t xml:space="preserve">smoking </w:t>
      </w:r>
      <w:r w:rsidR="00F14A10" w:rsidRPr="00EE1EA3">
        <w:rPr>
          <w:rFonts w:ascii="Times New Roman" w:hAnsi="Times New Roman" w:cs="Times New Roman"/>
          <w:sz w:val="24"/>
          <w:szCs w:val="24"/>
        </w:rPr>
        <w:t xml:space="preserve">for </w:t>
      </w:r>
      <w:r w:rsidR="00F14A10" w:rsidRPr="00AF6A5D">
        <w:rPr>
          <w:rFonts w:ascii="Times New Roman" w:hAnsi="Times New Roman" w:cs="Times New Roman"/>
          <w:sz w:val="24"/>
          <w:szCs w:val="24"/>
        </w:rPr>
        <w:t xml:space="preserve">methylation markers, but none of the </w:t>
      </w:r>
      <w:r w:rsidR="00C85FA2">
        <w:rPr>
          <w:rFonts w:ascii="Times New Roman" w:hAnsi="Times New Roman" w:cs="Times New Roman"/>
          <w:sz w:val="24"/>
          <w:szCs w:val="24"/>
        </w:rPr>
        <w:t>behavioural risk factors</w:t>
      </w:r>
      <w:r w:rsidR="00F14A10" w:rsidRPr="00AF6A5D">
        <w:rPr>
          <w:rFonts w:ascii="Times New Roman" w:hAnsi="Times New Roman" w:cs="Times New Roman"/>
          <w:sz w:val="24"/>
          <w:szCs w:val="24"/>
        </w:rPr>
        <w:t xml:space="preserve"> for trans</w:t>
      </w:r>
      <w:r w:rsidR="001B08B4">
        <w:rPr>
          <w:rFonts w:ascii="Times New Roman" w:hAnsi="Times New Roman" w:cs="Times New Roman"/>
          <w:sz w:val="24"/>
          <w:szCs w:val="24"/>
        </w:rPr>
        <w:t>c</w:t>
      </w:r>
      <w:r w:rsidR="00F14A10" w:rsidRPr="00AF6A5D">
        <w:rPr>
          <w:rFonts w:ascii="Times New Roman" w:hAnsi="Times New Roman" w:cs="Times New Roman"/>
          <w:sz w:val="24"/>
          <w:szCs w:val="24"/>
        </w:rPr>
        <w:t xml:space="preserve">riptomics, inflammation markers or allostatic load. </w:t>
      </w:r>
      <w:r w:rsidR="00460BBF">
        <w:rPr>
          <w:rFonts w:ascii="Times New Roman" w:hAnsi="Times New Roman" w:cs="Times New Roman"/>
          <w:sz w:val="24"/>
          <w:szCs w:val="24"/>
        </w:rPr>
        <w:t>The latter</w:t>
      </w:r>
      <w:r w:rsidR="00A40581" w:rsidRPr="00AF6A5D">
        <w:rPr>
          <w:rFonts w:ascii="Times New Roman" w:hAnsi="Times New Roman" w:cs="Times New Roman"/>
          <w:sz w:val="24"/>
          <w:szCs w:val="24"/>
        </w:rPr>
        <w:t xml:space="preserve"> markers suggest a central role for inflammation</w:t>
      </w:r>
      <w:r w:rsidR="0008221D" w:rsidRPr="00AF6A5D">
        <w:rPr>
          <w:rFonts w:ascii="Times New Roman" w:hAnsi="Times New Roman" w:cs="Times New Roman"/>
          <w:sz w:val="24"/>
          <w:szCs w:val="24"/>
        </w:rPr>
        <w:t xml:space="preserve"> in </w:t>
      </w:r>
      <w:r w:rsidR="00C30A58" w:rsidRPr="00AF6A5D">
        <w:rPr>
          <w:rFonts w:ascii="Times New Roman" w:hAnsi="Times New Roman" w:cs="Times New Roman"/>
          <w:sz w:val="24"/>
          <w:szCs w:val="24"/>
        </w:rPr>
        <w:t xml:space="preserve">the pathways leading from </w:t>
      </w:r>
      <w:r w:rsidR="00CD6BFD">
        <w:rPr>
          <w:rFonts w:ascii="Times New Roman" w:hAnsi="Times New Roman" w:cs="Times New Roman"/>
          <w:sz w:val="24"/>
          <w:szCs w:val="24"/>
        </w:rPr>
        <w:t>disadvantaged socio-economic</w:t>
      </w:r>
      <w:r w:rsidR="00AF1C2A" w:rsidRPr="00AF6A5D">
        <w:rPr>
          <w:rFonts w:ascii="Times New Roman" w:hAnsi="Times New Roman" w:cs="Times New Roman"/>
          <w:sz w:val="24"/>
          <w:szCs w:val="24"/>
        </w:rPr>
        <w:t xml:space="preserve"> conditions</w:t>
      </w:r>
      <w:r w:rsidR="00C30A58" w:rsidRPr="00AF6A5D">
        <w:rPr>
          <w:rFonts w:ascii="Times New Roman" w:hAnsi="Times New Roman" w:cs="Times New Roman"/>
          <w:sz w:val="24"/>
          <w:szCs w:val="24"/>
        </w:rPr>
        <w:t xml:space="preserve"> </w:t>
      </w:r>
      <w:r w:rsidR="00105166" w:rsidRPr="00AF6A5D">
        <w:rPr>
          <w:rFonts w:ascii="Times New Roman" w:hAnsi="Times New Roman" w:cs="Times New Roman"/>
          <w:sz w:val="24"/>
          <w:szCs w:val="24"/>
        </w:rPr>
        <w:t>t</w:t>
      </w:r>
      <w:r w:rsidR="00C30A58" w:rsidRPr="00AF6A5D">
        <w:rPr>
          <w:rFonts w:ascii="Times New Roman" w:hAnsi="Times New Roman" w:cs="Times New Roman"/>
          <w:sz w:val="24"/>
          <w:szCs w:val="24"/>
        </w:rPr>
        <w:t>o poor health</w:t>
      </w:r>
      <w:r w:rsidR="00A40581" w:rsidRPr="00AF6A5D">
        <w:rPr>
          <w:rFonts w:ascii="Times New Roman" w:hAnsi="Times New Roman" w:cs="Times New Roman"/>
          <w:sz w:val="24"/>
          <w:szCs w:val="24"/>
        </w:rPr>
        <w:t xml:space="preserve">. </w:t>
      </w:r>
      <w:r w:rsidR="00AF6A5D" w:rsidRPr="00AF6A5D">
        <w:rPr>
          <w:rFonts w:ascii="Times New Roman" w:hAnsi="Times New Roman" w:cs="Times New Roman"/>
          <w:sz w:val="24"/>
          <w:szCs w:val="24"/>
        </w:rPr>
        <w:t>In addition, we pe</w:t>
      </w:r>
      <w:r w:rsidR="001B08B4">
        <w:rPr>
          <w:rFonts w:ascii="Times New Roman" w:hAnsi="Times New Roman" w:cs="Times New Roman"/>
          <w:sz w:val="24"/>
          <w:szCs w:val="24"/>
        </w:rPr>
        <w:t>r</w:t>
      </w:r>
      <w:r w:rsidR="00AF6A5D" w:rsidRPr="00AF6A5D">
        <w:rPr>
          <w:rFonts w:ascii="Times New Roman" w:hAnsi="Times New Roman" w:cs="Times New Roman"/>
          <w:sz w:val="24"/>
          <w:szCs w:val="24"/>
        </w:rPr>
        <w:t>formed extensive sensitivity analyses confirming the association of socio-economic conditions with health outcomes in different subsets of the overall sample and using different socio-economic indicators</w:t>
      </w:r>
      <w:r w:rsidR="00203BAB">
        <w:rPr>
          <w:rFonts w:ascii="Times New Roman" w:hAnsi="Times New Roman" w:cs="Times New Roman"/>
          <w:sz w:val="24"/>
          <w:szCs w:val="24"/>
        </w:rPr>
        <w:t xml:space="preserve">. </w:t>
      </w:r>
    </w:p>
    <w:p w14:paraId="32AC3D79" w14:textId="2DE7AD12" w:rsidR="007C12F8" w:rsidRDefault="00105166" w:rsidP="0086535B">
      <w:pPr>
        <w:spacing w:line="360" w:lineRule="auto"/>
        <w:jc w:val="both"/>
        <w:rPr>
          <w:rFonts w:ascii="Times New Roman" w:hAnsi="Times New Roman" w:cs="Times New Roman"/>
          <w:sz w:val="24"/>
          <w:szCs w:val="24"/>
        </w:rPr>
      </w:pPr>
      <w:r w:rsidRPr="00AF6A5D">
        <w:rPr>
          <w:rFonts w:ascii="Times New Roman" w:hAnsi="Times New Roman" w:cs="Times New Roman"/>
          <w:sz w:val="24"/>
          <w:szCs w:val="24"/>
        </w:rPr>
        <w:t xml:space="preserve">In brief, </w:t>
      </w:r>
      <w:r w:rsidR="00F46699">
        <w:rPr>
          <w:rFonts w:ascii="Times New Roman" w:hAnsi="Times New Roman" w:cs="Times New Roman"/>
          <w:sz w:val="24"/>
          <w:szCs w:val="24"/>
        </w:rPr>
        <w:t xml:space="preserve">the </w:t>
      </w:r>
      <w:r w:rsidR="00A40581" w:rsidRPr="00AF6A5D">
        <w:rPr>
          <w:rFonts w:ascii="Times New Roman" w:hAnsi="Times New Roman" w:cs="Times New Roman"/>
          <w:sz w:val="24"/>
          <w:szCs w:val="24"/>
        </w:rPr>
        <w:t>indicator</w:t>
      </w:r>
      <w:r w:rsidRPr="00AF6A5D">
        <w:rPr>
          <w:rFonts w:ascii="Times New Roman" w:hAnsi="Times New Roman" w:cs="Times New Roman"/>
          <w:sz w:val="24"/>
          <w:szCs w:val="24"/>
        </w:rPr>
        <w:t>s</w:t>
      </w:r>
      <w:r w:rsidR="00A40581" w:rsidRPr="00AF6A5D">
        <w:rPr>
          <w:rFonts w:ascii="Times New Roman" w:hAnsi="Times New Roman" w:cs="Times New Roman"/>
          <w:sz w:val="24"/>
          <w:szCs w:val="24"/>
        </w:rPr>
        <w:t xml:space="preserve"> we </w:t>
      </w:r>
      <w:r w:rsidR="00F46699">
        <w:rPr>
          <w:rFonts w:ascii="Times New Roman" w:hAnsi="Times New Roman" w:cs="Times New Roman"/>
          <w:sz w:val="24"/>
          <w:szCs w:val="24"/>
        </w:rPr>
        <w:t>studied</w:t>
      </w:r>
      <w:r w:rsidR="00A40581" w:rsidRPr="00AF6A5D">
        <w:rPr>
          <w:rFonts w:ascii="Times New Roman" w:hAnsi="Times New Roman" w:cs="Times New Roman"/>
          <w:sz w:val="24"/>
          <w:szCs w:val="24"/>
        </w:rPr>
        <w:t xml:space="preserve"> in association with </w:t>
      </w:r>
      <w:r w:rsidR="00CD6BFD">
        <w:rPr>
          <w:rFonts w:ascii="Times New Roman" w:hAnsi="Times New Roman" w:cs="Times New Roman"/>
          <w:sz w:val="24"/>
          <w:szCs w:val="24"/>
        </w:rPr>
        <w:t>disadvantaged socio-economic</w:t>
      </w:r>
      <w:r w:rsidR="00C30A58" w:rsidRPr="00AF6A5D">
        <w:rPr>
          <w:rFonts w:ascii="Times New Roman" w:hAnsi="Times New Roman" w:cs="Times New Roman"/>
          <w:sz w:val="24"/>
          <w:szCs w:val="24"/>
        </w:rPr>
        <w:t xml:space="preserve"> conditions </w:t>
      </w:r>
      <w:r w:rsidRPr="00AF6A5D">
        <w:rPr>
          <w:rFonts w:ascii="Times New Roman" w:hAnsi="Times New Roman" w:cs="Times New Roman"/>
          <w:sz w:val="24"/>
          <w:szCs w:val="24"/>
        </w:rPr>
        <w:t xml:space="preserve">had </w:t>
      </w:r>
      <w:r w:rsidR="00A40581" w:rsidRPr="00AF6A5D">
        <w:rPr>
          <w:rFonts w:ascii="Times New Roman" w:hAnsi="Times New Roman" w:cs="Times New Roman"/>
          <w:sz w:val="24"/>
          <w:szCs w:val="24"/>
        </w:rPr>
        <w:t>different set</w:t>
      </w:r>
      <w:r w:rsidRPr="00AF6A5D">
        <w:rPr>
          <w:rFonts w:ascii="Times New Roman" w:hAnsi="Times New Roman" w:cs="Times New Roman"/>
          <w:sz w:val="24"/>
          <w:szCs w:val="24"/>
        </w:rPr>
        <w:t>s</w:t>
      </w:r>
      <w:r w:rsidR="00A40581" w:rsidRPr="00AF6A5D">
        <w:rPr>
          <w:rFonts w:ascii="Times New Roman" w:hAnsi="Times New Roman" w:cs="Times New Roman"/>
          <w:sz w:val="24"/>
          <w:szCs w:val="24"/>
        </w:rPr>
        <w:t xml:space="preserve"> of confounders. </w:t>
      </w:r>
      <w:r w:rsidR="007C12F8" w:rsidRPr="008313E5">
        <w:rPr>
          <w:rFonts w:ascii="Times New Roman" w:hAnsi="Times New Roman" w:cs="Times New Roman"/>
          <w:b/>
          <w:sz w:val="24"/>
          <w:szCs w:val="24"/>
        </w:rPr>
        <w:t>Figure</w:t>
      </w:r>
      <w:r w:rsidR="0089308B">
        <w:rPr>
          <w:rFonts w:ascii="Times New Roman" w:hAnsi="Times New Roman" w:cs="Times New Roman"/>
          <w:b/>
          <w:sz w:val="24"/>
          <w:szCs w:val="24"/>
        </w:rPr>
        <w:t xml:space="preserve"> 1</w:t>
      </w:r>
      <w:r w:rsidR="007C12F8" w:rsidRPr="00EE1EA3">
        <w:rPr>
          <w:rFonts w:ascii="Times New Roman" w:hAnsi="Times New Roman" w:cs="Times New Roman"/>
          <w:sz w:val="24"/>
          <w:szCs w:val="24"/>
        </w:rPr>
        <w:t xml:space="preserve"> shows that for all indicators </w:t>
      </w:r>
      <w:r w:rsidR="001017F1">
        <w:rPr>
          <w:rFonts w:ascii="Times New Roman" w:hAnsi="Times New Roman" w:cs="Times New Roman"/>
          <w:sz w:val="24"/>
          <w:szCs w:val="24"/>
        </w:rPr>
        <w:t xml:space="preserve">for which information was available </w:t>
      </w:r>
      <w:r w:rsidR="007C12F8" w:rsidRPr="00EE1EA3">
        <w:rPr>
          <w:rFonts w:ascii="Times New Roman" w:hAnsi="Times New Roman" w:cs="Times New Roman"/>
          <w:sz w:val="24"/>
          <w:szCs w:val="24"/>
        </w:rPr>
        <w:t>there was a dose-response relationship, hardly compatible with an explanation based on confounding. Also</w:t>
      </w:r>
      <w:r w:rsidR="0089308B">
        <w:rPr>
          <w:rFonts w:ascii="Times New Roman" w:hAnsi="Times New Roman" w:cs="Times New Roman"/>
          <w:sz w:val="24"/>
          <w:szCs w:val="24"/>
        </w:rPr>
        <w:t>,</w:t>
      </w:r>
      <w:r w:rsidR="007C12F8" w:rsidRPr="00EE1EA3">
        <w:rPr>
          <w:rFonts w:ascii="Times New Roman" w:hAnsi="Times New Roman" w:cs="Times New Roman"/>
          <w:sz w:val="24"/>
          <w:szCs w:val="24"/>
        </w:rPr>
        <w:t xml:space="preserve"> other types of bias might have affe</w:t>
      </w:r>
      <w:r w:rsidR="007C12F8">
        <w:rPr>
          <w:rFonts w:ascii="Times New Roman" w:hAnsi="Times New Roman" w:cs="Times New Roman"/>
          <w:sz w:val="24"/>
          <w:szCs w:val="24"/>
        </w:rPr>
        <w:t xml:space="preserve">cted the results of the studies </w:t>
      </w:r>
      <w:r w:rsidR="007C12F8" w:rsidRPr="00EE1EA3">
        <w:rPr>
          <w:rFonts w:ascii="Times New Roman" w:hAnsi="Times New Roman" w:cs="Times New Roman"/>
          <w:sz w:val="24"/>
          <w:szCs w:val="24"/>
        </w:rPr>
        <w:t xml:space="preserve">(such as selection or reporting bias), but they could not </w:t>
      </w:r>
      <w:r w:rsidR="007C12F8">
        <w:rPr>
          <w:rFonts w:ascii="Times New Roman" w:hAnsi="Times New Roman" w:cs="Times New Roman"/>
          <w:sz w:val="24"/>
          <w:szCs w:val="24"/>
        </w:rPr>
        <w:t xml:space="preserve">equally </w:t>
      </w:r>
      <w:r w:rsidR="007C12F8" w:rsidRPr="00EE1EA3">
        <w:rPr>
          <w:rFonts w:ascii="Times New Roman" w:hAnsi="Times New Roman" w:cs="Times New Roman"/>
          <w:sz w:val="24"/>
          <w:szCs w:val="24"/>
        </w:rPr>
        <w:t>affect this heterogeneous set of investigations, conducted with different designs and methods in different populations.</w:t>
      </w:r>
    </w:p>
    <w:p w14:paraId="6D87D046" w14:textId="2BE76767" w:rsidR="001915E7" w:rsidRPr="00444F76" w:rsidRDefault="00AE20E6" w:rsidP="001915E7">
      <w:pPr>
        <w:spacing w:line="360" w:lineRule="auto"/>
        <w:jc w:val="both"/>
        <w:rPr>
          <w:rFonts w:ascii="Times New Roman" w:hAnsi="Times New Roman" w:cs="Times New Roman"/>
          <w:sz w:val="24"/>
          <w:szCs w:val="24"/>
        </w:rPr>
      </w:pPr>
      <w:r>
        <w:rPr>
          <w:rFonts w:ascii="Times New Roman" w:hAnsi="Times New Roman" w:cs="Times New Roman"/>
          <w:sz w:val="24"/>
          <w:szCs w:val="24"/>
        </w:rPr>
        <w:t>One limitation of some analyses is that they were cross-sectional (except those on mortality and child height and weight). However, i</w:t>
      </w:r>
      <w:r w:rsidR="001915E7">
        <w:rPr>
          <w:rFonts w:ascii="Times New Roman" w:hAnsi="Times New Roman" w:cs="Times New Roman"/>
          <w:sz w:val="24"/>
          <w:szCs w:val="24"/>
        </w:rPr>
        <w:t>n the consortium w</w:t>
      </w:r>
      <w:r w:rsidR="001915E7" w:rsidRPr="008926AB">
        <w:rPr>
          <w:rFonts w:ascii="Times New Roman" w:hAnsi="Times New Roman" w:cs="Times New Roman"/>
          <w:sz w:val="24"/>
          <w:szCs w:val="24"/>
        </w:rPr>
        <w:t>e</w:t>
      </w:r>
      <w:r w:rsidR="001915E7">
        <w:rPr>
          <w:rFonts w:ascii="Times New Roman" w:hAnsi="Times New Roman" w:cs="Times New Roman"/>
          <w:sz w:val="24"/>
          <w:szCs w:val="24"/>
        </w:rPr>
        <w:t xml:space="preserve"> also provided</w:t>
      </w:r>
      <w:r w:rsidR="001915E7" w:rsidRPr="00444F76">
        <w:rPr>
          <w:rFonts w:ascii="Times New Roman" w:hAnsi="Times New Roman" w:cs="Times New Roman"/>
          <w:sz w:val="24"/>
          <w:szCs w:val="24"/>
        </w:rPr>
        <w:t xml:space="preserve"> longitudinal evidence on the impact of s</w:t>
      </w:r>
      <w:r w:rsidR="001915E7">
        <w:rPr>
          <w:rFonts w:ascii="Times New Roman" w:hAnsi="Times New Roman" w:cs="Times New Roman"/>
          <w:sz w:val="24"/>
          <w:szCs w:val="24"/>
        </w:rPr>
        <w:t>oc</w:t>
      </w:r>
      <w:r w:rsidR="001915E7" w:rsidRPr="00444F76">
        <w:rPr>
          <w:rFonts w:ascii="Times New Roman" w:hAnsi="Times New Roman" w:cs="Times New Roman"/>
          <w:sz w:val="24"/>
          <w:szCs w:val="24"/>
        </w:rPr>
        <w:t>io-economic position in early life on diabetes in later l</w:t>
      </w:r>
      <w:r w:rsidR="001915E7">
        <w:rPr>
          <w:rFonts w:ascii="Times New Roman" w:hAnsi="Times New Roman" w:cs="Times New Roman"/>
          <w:sz w:val="24"/>
          <w:szCs w:val="24"/>
        </w:rPr>
        <w:t>i</w:t>
      </w:r>
      <w:r w:rsidR="001915E7" w:rsidRPr="00444F76">
        <w:rPr>
          <w:rFonts w:ascii="Times New Roman" w:hAnsi="Times New Roman" w:cs="Times New Roman"/>
          <w:sz w:val="24"/>
          <w:szCs w:val="24"/>
        </w:rPr>
        <w:t>fe</w:t>
      </w:r>
      <w:r w:rsidR="001915E7" w:rsidRPr="001915E7">
        <w:rPr>
          <w:rFonts w:ascii="Times New Roman" w:hAnsi="Times New Roman" w:cs="Times New Roman"/>
          <w:sz w:val="24"/>
          <w:szCs w:val="24"/>
          <w:vertAlign w:val="superscript"/>
        </w:rPr>
        <w:t xml:space="preserve"> </w:t>
      </w:r>
      <w:r w:rsidR="00D74324">
        <w:rPr>
          <w:rFonts w:ascii="Times New Roman" w:hAnsi="Times New Roman" w:cs="Times New Roman"/>
          <w:sz w:val="24"/>
          <w:szCs w:val="24"/>
        </w:rPr>
        <w:t>(Kivimaki et al, 2018)</w:t>
      </w:r>
      <w:r w:rsidR="001915E7" w:rsidRPr="00444F76">
        <w:rPr>
          <w:rFonts w:ascii="Times New Roman" w:hAnsi="Times New Roman" w:cs="Times New Roman"/>
          <w:sz w:val="24"/>
          <w:szCs w:val="24"/>
        </w:rPr>
        <w:t>. We examined 2048 individuals whose ri</w:t>
      </w:r>
      <w:r w:rsidR="001915E7">
        <w:rPr>
          <w:rFonts w:ascii="Times New Roman" w:hAnsi="Times New Roman" w:cs="Times New Roman"/>
          <w:sz w:val="24"/>
          <w:szCs w:val="24"/>
        </w:rPr>
        <w:t xml:space="preserve">sk factor profile was assessed </w:t>
      </w:r>
      <w:r w:rsidR="001915E7" w:rsidRPr="00444F76">
        <w:rPr>
          <w:rFonts w:ascii="Times New Roman" w:hAnsi="Times New Roman" w:cs="Times New Roman"/>
          <w:sz w:val="24"/>
          <w:szCs w:val="24"/>
        </w:rPr>
        <w:t xml:space="preserve">in childhood and in adulthood, and had a clinical examination at follow-up at age 33-48 years. </w:t>
      </w:r>
      <w:r w:rsidR="001915E7" w:rsidRPr="008926AB">
        <w:rPr>
          <w:rFonts w:ascii="Times New Roman" w:hAnsi="Times New Roman" w:cs="Times New Roman"/>
          <w:sz w:val="24"/>
          <w:szCs w:val="24"/>
        </w:rPr>
        <w:t>High neighbourhood socioeconomic disadvantage was characterised by decreased homoeostasis model assessment insulin sensitivity</w:t>
      </w:r>
      <w:r w:rsidR="008C73CF">
        <w:rPr>
          <w:rFonts w:ascii="Times New Roman" w:hAnsi="Times New Roman" w:cs="Times New Roman"/>
          <w:sz w:val="24"/>
          <w:szCs w:val="24"/>
        </w:rPr>
        <w:t>,</w:t>
      </w:r>
      <w:r w:rsidR="001915E7" w:rsidRPr="008926AB">
        <w:rPr>
          <w:rFonts w:ascii="Times New Roman" w:hAnsi="Times New Roman" w:cs="Times New Roman"/>
          <w:sz w:val="24"/>
          <w:szCs w:val="24"/>
        </w:rPr>
        <w:t xml:space="preserve"> and increased fasting glucose and insulin concentration from early adulthood (27 years; all p&lt;0·03). Individuals consistently exposed to high neighbourhood socioeconomic disadvantage were more likely to be obese (odds ratio [OR] 1·44, 95% CI 1·01-2·06), hypertensive (1·83, 1·14-2·93), have a fatty liver (1·73, 1·11-2·71), and diabetes (3·71, 1·77-7·75), compared with those who were consistently exposed to low neighbourhood socioeconomic disadvantage</w:t>
      </w:r>
      <w:r w:rsidR="00D74324">
        <w:rPr>
          <w:rFonts w:ascii="Times New Roman" w:hAnsi="Times New Roman" w:cs="Times New Roman"/>
          <w:sz w:val="24"/>
          <w:szCs w:val="24"/>
        </w:rPr>
        <w:t xml:space="preserve"> (Kivimaki et al, 2018)</w:t>
      </w:r>
      <w:r w:rsidR="001915E7">
        <w:rPr>
          <w:rFonts w:ascii="Times New Roman" w:hAnsi="Times New Roman" w:cs="Times New Roman"/>
          <w:sz w:val="24"/>
          <w:szCs w:val="24"/>
        </w:rPr>
        <w:t>.</w:t>
      </w:r>
    </w:p>
    <w:p w14:paraId="69CCB6A5" w14:textId="399ED0DA" w:rsidR="001915E7" w:rsidRPr="00D5069F" w:rsidRDefault="00BC5E50" w:rsidP="00865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longitudinal evidence </w:t>
      </w:r>
      <w:r w:rsidR="00D5069F">
        <w:rPr>
          <w:rFonts w:ascii="Times New Roman" w:hAnsi="Times New Roman" w:cs="Times New Roman"/>
          <w:sz w:val="24"/>
          <w:szCs w:val="24"/>
        </w:rPr>
        <w:t xml:space="preserve">was </w:t>
      </w:r>
      <w:r>
        <w:rPr>
          <w:rFonts w:ascii="Times New Roman" w:hAnsi="Times New Roman" w:cs="Times New Roman"/>
          <w:sz w:val="24"/>
          <w:szCs w:val="24"/>
        </w:rPr>
        <w:t xml:space="preserve">also provided in the Consortium for the relationship between socio-economic disadvantage, </w:t>
      </w:r>
      <w:r w:rsidR="00D5069F">
        <w:rPr>
          <w:rFonts w:ascii="Times New Roman" w:hAnsi="Times New Roman" w:cs="Times New Roman"/>
          <w:sz w:val="24"/>
          <w:szCs w:val="24"/>
        </w:rPr>
        <w:t xml:space="preserve">allostatic load </w:t>
      </w:r>
      <w:r>
        <w:rPr>
          <w:rFonts w:ascii="Times New Roman" w:hAnsi="Times New Roman" w:cs="Times New Roman"/>
          <w:sz w:val="24"/>
          <w:szCs w:val="24"/>
        </w:rPr>
        <w:t>and mortality</w:t>
      </w:r>
      <w:r w:rsidR="00D74324">
        <w:rPr>
          <w:rFonts w:ascii="Times New Roman" w:hAnsi="Times New Roman" w:cs="Times New Roman"/>
          <w:sz w:val="24"/>
          <w:szCs w:val="24"/>
        </w:rPr>
        <w:t xml:space="preserve"> (Castagne et al, 2018)</w:t>
      </w:r>
      <w:r>
        <w:rPr>
          <w:rFonts w:ascii="Times New Roman" w:hAnsi="Times New Roman" w:cs="Times New Roman"/>
          <w:sz w:val="24"/>
          <w:szCs w:val="24"/>
        </w:rPr>
        <w:t>.</w:t>
      </w:r>
      <w:r w:rsidR="00D5069F">
        <w:rPr>
          <w:rFonts w:ascii="Times New Roman" w:hAnsi="Times New Roman" w:cs="Times New Roman"/>
          <w:sz w:val="24"/>
          <w:szCs w:val="24"/>
          <w:vertAlign w:val="superscript"/>
        </w:rPr>
        <w:t xml:space="preserve"> </w:t>
      </w:r>
      <w:r w:rsidR="00D5069F">
        <w:rPr>
          <w:rFonts w:ascii="Times New Roman" w:hAnsi="Times New Roman" w:cs="Times New Roman"/>
          <w:sz w:val="24"/>
          <w:szCs w:val="24"/>
        </w:rPr>
        <w:t xml:space="preserve">We </w:t>
      </w:r>
      <w:r w:rsidR="00D5069F" w:rsidRPr="00D5069F">
        <w:rPr>
          <w:rFonts w:ascii="Times New Roman" w:hAnsi="Times New Roman" w:cs="Times New Roman"/>
          <w:sz w:val="24"/>
          <w:szCs w:val="24"/>
        </w:rPr>
        <w:t>use</w:t>
      </w:r>
      <w:r w:rsidR="00D5069F">
        <w:rPr>
          <w:rFonts w:ascii="Times New Roman" w:hAnsi="Times New Roman" w:cs="Times New Roman"/>
          <w:sz w:val="24"/>
          <w:szCs w:val="24"/>
        </w:rPr>
        <w:t>d</w:t>
      </w:r>
      <w:r w:rsidR="00D5069F" w:rsidRPr="00D5069F">
        <w:rPr>
          <w:rFonts w:ascii="Times New Roman" w:hAnsi="Times New Roman" w:cs="Times New Roman"/>
          <w:sz w:val="24"/>
          <w:szCs w:val="24"/>
        </w:rPr>
        <w:t xml:space="preserve"> data from the 1958 British birth cohort including mortality in 8,113 adults</w:t>
      </w:r>
      <w:r w:rsidR="0024676C">
        <w:rPr>
          <w:rFonts w:ascii="Times New Roman" w:hAnsi="Times New Roman" w:cs="Times New Roman"/>
          <w:sz w:val="24"/>
          <w:szCs w:val="24"/>
        </w:rPr>
        <w:t xml:space="preserve"> after 11 years of follow-up</w:t>
      </w:r>
      <w:r w:rsidR="00D5069F" w:rsidRPr="00D5069F">
        <w:rPr>
          <w:rFonts w:ascii="Times New Roman" w:hAnsi="Times New Roman" w:cs="Times New Roman"/>
          <w:sz w:val="24"/>
          <w:szCs w:val="24"/>
        </w:rPr>
        <w:t xml:space="preserve">. </w:t>
      </w:r>
      <w:r w:rsidR="00D5069F">
        <w:rPr>
          <w:rFonts w:ascii="Times New Roman" w:hAnsi="Times New Roman" w:cs="Times New Roman"/>
          <w:sz w:val="24"/>
          <w:szCs w:val="24"/>
        </w:rPr>
        <w:t xml:space="preserve">We analysed </w:t>
      </w:r>
      <w:r w:rsidR="00D5069F" w:rsidRPr="00D5069F">
        <w:rPr>
          <w:rFonts w:ascii="Times New Roman" w:hAnsi="Times New Roman" w:cs="Times New Roman"/>
          <w:sz w:val="24"/>
          <w:szCs w:val="24"/>
        </w:rPr>
        <w:t>14 biomarkers assayed in blood from a biosample collected at 44 years of age</w:t>
      </w:r>
      <w:r w:rsidR="00D5069F">
        <w:rPr>
          <w:rFonts w:ascii="Times New Roman" w:hAnsi="Times New Roman" w:cs="Times New Roman"/>
          <w:sz w:val="24"/>
          <w:szCs w:val="24"/>
        </w:rPr>
        <w:t>, that overall cons</w:t>
      </w:r>
      <w:r w:rsidR="00CA4F73">
        <w:rPr>
          <w:rFonts w:ascii="Times New Roman" w:hAnsi="Times New Roman" w:cs="Times New Roman"/>
          <w:sz w:val="24"/>
          <w:szCs w:val="24"/>
        </w:rPr>
        <w:t>t</w:t>
      </w:r>
      <w:r w:rsidR="00D5069F">
        <w:rPr>
          <w:rFonts w:ascii="Times New Roman" w:hAnsi="Times New Roman" w:cs="Times New Roman"/>
          <w:sz w:val="24"/>
          <w:szCs w:val="24"/>
        </w:rPr>
        <w:t>i</w:t>
      </w:r>
      <w:r w:rsidR="00CA4F73">
        <w:rPr>
          <w:rFonts w:ascii="Times New Roman" w:hAnsi="Times New Roman" w:cs="Times New Roman"/>
          <w:sz w:val="24"/>
          <w:szCs w:val="24"/>
        </w:rPr>
        <w:t>t</w:t>
      </w:r>
      <w:r w:rsidR="00D5069F">
        <w:rPr>
          <w:rFonts w:ascii="Times New Roman" w:hAnsi="Times New Roman" w:cs="Times New Roman"/>
          <w:sz w:val="24"/>
          <w:szCs w:val="24"/>
        </w:rPr>
        <w:t>uted a measure of allostatic load</w:t>
      </w:r>
      <w:r w:rsidR="00D5069F" w:rsidRPr="00D5069F">
        <w:rPr>
          <w:rFonts w:ascii="Times New Roman" w:hAnsi="Times New Roman" w:cs="Times New Roman"/>
          <w:sz w:val="24"/>
          <w:szCs w:val="24"/>
        </w:rPr>
        <w:t xml:space="preserve">. </w:t>
      </w:r>
      <w:r w:rsidR="00D5069F">
        <w:rPr>
          <w:rFonts w:ascii="Times New Roman" w:hAnsi="Times New Roman" w:cs="Times New Roman"/>
          <w:sz w:val="24"/>
          <w:szCs w:val="24"/>
        </w:rPr>
        <w:t>H</w:t>
      </w:r>
      <w:r w:rsidR="00D5069F" w:rsidRPr="00D5069F">
        <w:rPr>
          <w:rFonts w:ascii="Times New Roman" w:hAnsi="Times New Roman" w:cs="Times New Roman"/>
          <w:sz w:val="24"/>
          <w:szCs w:val="24"/>
        </w:rPr>
        <w:t xml:space="preserve">igher allostatic load at 44 years old was a signiﬁcant predictor of mortality 11 years later [HR = 3.56 (2.3 to 5.53)]. We found that this relationship was </w:t>
      </w:r>
      <w:r w:rsidR="00D5069F">
        <w:rPr>
          <w:rFonts w:ascii="Times New Roman" w:hAnsi="Times New Roman" w:cs="Times New Roman"/>
          <w:sz w:val="24"/>
          <w:szCs w:val="24"/>
        </w:rPr>
        <w:t>related to early-life socio-economic position</w:t>
      </w:r>
      <w:r w:rsidR="00D5069F" w:rsidRPr="00D5069F">
        <w:rPr>
          <w:rFonts w:ascii="Times New Roman" w:hAnsi="Times New Roman" w:cs="Times New Roman"/>
          <w:sz w:val="24"/>
          <w:szCs w:val="24"/>
        </w:rPr>
        <w:t>, adverse childhood experiences an</w:t>
      </w:r>
      <w:r w:rsidR="008313E5">
        <w:rPr>
          <w:rFonts w:ascii="Times New Roman" w:hAnsi="Times New Roman" w:cs="Times New Roman"/>
          <w:sz w:val="24"/>
          <w:szCs w:val="24"/>
        </w:rPr>
        <w:t>d young adulthood health status</w:t>
      </w:r>
      <w:r w:rsidR="00D5069F" w:rsidRPr="00D5069F">
        <w:rPr>
          <w:rFonts w:ascii="Times New Roman" w:hAnsi="Times New Roman" w:cs="Times New Roman"/>
          <w:sz w:val="24"/>
          <w:szCs w:val="24"/>
        </w:rPr>
        <w:t xml:space="preserve"> [HR = 2.57 (1.59 to 4.15)]. </w:t>
      </w:r>
    </w:p>
    <w:p w14:paraId="50C1AFB7" w14:textId="4869FABD" w:rsidR="00957982" w:rsidRPr="00957982" w:rsidRDefault="00957982" w:rsidP="0086535B">
      <w:pPr>
        <w:pStyle w:val="CommentText"/>
        <w:spacing w:line="360" w:lineRule="auto"/>
        <w:jc w:val="both"/>
        <w:rPr>
          <w:rFonts w:ascii="Times New Roman" w:hAnsi="Times New Roman" w:cs="Times New Roman"/>
          <w:b/>
          <w:sz w:val="24"/>
          <w:szCs w:val="24"/>
        </w:rPr>
      </w:pPr>
      <w:r w:rsidRPr="00957982">
        <w:rPr>
          <w:rFonts w:ascii="Times New Roman" w:hAnsi="Times New Roman" w:cs="Times New Roman"/>
          <w:b/>
          <w:sz w:val="24"/>
          <w:szCs w:val="24"/>
        </w:rPr>
        <w:t xml:space="preserve">4.1. Study limitations </w:t>
      </w:r>
    </w:p>
    <w:p w14:paraId="0B598DE3" w14:textId="77777777" w:rsidR="006E420F" w:rsidRDefault="00511D47" w:rsidP="0086535B">
      <w:pPr>
        <w:pStyle w:val="CommentText"/>
        <w:spacing w:line="360" w:lineRule="auto"/>
        <w:jc w:val="both"/>
        <w:rPr>
          <w:rFonts w:ascii="Times New Roman" w:hAnsi="Times New Roman" w:cs="Times New Roman"/>
          <w:sz w:val="24"/>
          <w:szCs w:val="24"/>
        </w:rPr>
      </w:pPr>
      <w:r>
        <w:rPr>
          <w:rFonts w:ascii="Times New Roman" w:hAnsi="Times New Roman" w:cs="Times New Roman"/>
          <w:sz w:val="24"/>
          <w:szCs w:val="24"/>
        </w:rPr>
        <w:t>There are limitations in the current analysis. Fi</w:t>
      </w:r>
      <w:r w:rsidR="00E6281C">
        <w:rPr>
          <w:rFonts w:ascii="Times New Roman" w:hAnsi="Times New Roman" w:cs="Times New Roman"/>
          <w:sz w:val="24"/>
          <w:szCs w:val="24"/>
        </w:rPr>
        <w:t>rst</w:t>
      </w:r>
      <w:r>
        <w:rPr>
          <w:rFonts w:ascii="Times New Roman" w:hAnsi="Times New Roman" w:cs="Times New Roman"/>
          <w:sz w:val="24"/>
          <w:szCs w:val="24"/>
        </w:rPr>
        <w:t xml:space="preserve">, we did not consider here contextual (area-based) variables that are associated with socio-economic condition, </w:t>
      </w:r>
      <w:r w:rsidR="006125C1" w:rsidRPr="008926AB">
        <w:rPr>
          <w:rFonts w:ascii="Times New Roman" w:hAnsi="Times New Roman" w:cs="Times New Roman"/>
          <w:sz w:val="24"/>
          <w:szCs w:val="24"/>
        </w:rPr>
        <w:t xml:space="preserve"> whether pertaining to air pollution, residential segregation, income inequality, urban vs rur</w:t>
      </w:r>
      <w:r w:rsidR="006125C1">
        <w:rPr>
          <w:rFonts w:ascii="Times New Roman" w:hAnsi="Times New Roman" w:cs="Times New Roman"/>
          <w:sz w:val="24"/>
          <w:szCs w:val="24"/>
        </w:rPr>
        <w:t>al, etc</w:t>
      </w:r>
      <w:r w:rsidR="006125C1" w:rsidRPr="00EE1EA3">
        <w:rPr>
          <w:rFonts w:ascii="Times New Roman" w:hAnsi="Times New Roman" w:cs="Times New Roman"/>
          <w:sz w:val="24"/>
          <w:szCs w:val="24"/>
        </w:rPr>
        <w:t xml:space="preserve"> </w:t>
      </w:r>
      <w:r w:rsidR="00CB2AD5">
        <w:rPr>
          <w:rFonts w:ascii="Times New Roman" w:hAnsi="Times New Roman" w:cs="Times New Roman"/>
          <w:sz w:val="24"/>
          <w:szCs w:val="24"/>
        </w:rPr>
        <w:t>(</w:t>
      </w:r>
      <w:r w:rsidR="00CB2AD5" w:rsidRPr="00841DFA">
        <w:rPr>
          <w:rFonts w:ascii="Times New Roman" w:hAnsi="Times New Roman" w:cs="Times New Roman"/>
          <w:sz w:val="24"/>
          <w:szCs w:val="24"/>
        </w:rPr>
        <w:t>Beckfield</w:t>
      </w:r>
      <w:r w:rsidR="00CB2AD5">
        <w:rPr>
          <w:rFonts w:ascii="Times New Roman" w:hAnsi="Times New Roman" w:cs="Times New Roman"/>
          <w:sz w:val="24"/>
          <w:szCs w:val="24"/>
        </w:rPr>
        <w:t>, 2018)</w:t>
      </w:r>
      <w:r>
        <w:rPr>
          <w:rFonts w:ascii="Times New Roman" w:hAnsi="Times New Roman" w:cs="Times New Roman"/>
          <w:sz w:val="24"/>
          <w:szCs w:val="24"/>
        </w:rPr>
        <w:t xml:space="preserve">. </w:t>
      </w:r>
      <w:r w:rsidR="00AE20E6">
        <w:rPr>
          <w:rFonts w:ascii="Times New Roman" w:hAnsi="Times New Roman" w:cs="Times New Roman"/>
          <w:sz w:val="24"/>
          <w:szCs w:val="24"/>
        </w:rPr>
        <w:t xml:space="preserve"> Second, </w:t>
      </w:r>
      <w:r w:rsidR="00A40581" w:rsidRPr="00EE1EA3">
        <w:rPr>
          <w:rFonts w:ascii="Times New Roman" w:hAnsi="Times New Roman" w:cs="Times New Roman"/>
          <w:sz w:val="24"/>
          <w:szCs w:val="24"/>
        </w:rPr>
        <w:t xml:space="preserve">, </w:t>
      </w:r>
      <w:r w:rsidR="00C30A58" w:rsidRPr="00EE1EA3">
        <w:rPr>
          <w:rFonts w:ascii="Times New Roman" w:hAnsi="Times New Roman" w:cs="Times New Roman"/>
          <w:sz w:val="24"/>
          <w:szCs w:val="24"/>
        </w:rPr>
        <w:t xml:space="preserve">socio-economic </w:t>
      </w:r>
      <w:r w:rsidR="00AE20E6">
        <w:rPr>
          <w:rFonts w:ascii="Times New Roman" w:hAnsi="Times New Roman" w:cs="Times New Roman"/>
          <w:sz w:val="24"/>
          <w:szCs w:val="24"/>
        </w:rPr>
        <w:t xml:space="preserve">position is overarching, i.e. it is </w:t>
      </w:r>
      <w:r w:rsidR="00315BB7">
        <w:rPr>
          <w:rFonts w:ascii="Times New Roman" w:hAnsi="Times New Roman" w:cs="Times New Roman"/>
          <w:sz w:val="24"/>
          <w:szCs w:val="24"/>
        </w:rPr>
        <w:t xml:space="preserve">not on the same level as </w:t>
      </w:r>
      <w:r w:rsidR="00A40581" w:rsidRPr="00EE1EA3">
        <w:rPr>
          <w:rFonts w:ascii="Times New Roman" w:hAnsi="Times New Roman" w:cs="Times New Roman"/>
          <w:sz w:val="24"/>
          <w:szCs w:val="24"/>
        </w:rPr>
        <w:t>other determinants, including environmental and behavioural risk factors</w:t>
      </w:r>
      <w:r w:rsidR="00AE20E6">
        <w:rPr>
          <w:rFonts w:ascii="Times New Roman" w:hAnsi="Times New Roman" w:cs="Times New Roman"/>
          <w:sz w:val="24"/>
          <w:szCs w:val="24"/>
        </w:rPr>
        <w:t>.</w:t>
      </w:r>
      <w:r w:rsidR="00AE20E6" w:rsidRPr="00EE1EA3" w:rsidDel="00AE20E6">
        <w:rPr>
          <w:rFonts w:ascii="Times New Roman" w:hAnsi="Times New Roman" w:cs="Times New Roman"/>
          <w:sz w:val="24"/>
          <w:szCs w:val="24"/>
        </w:rPr>
        <w:t xml:space="preserve"> </w:t>
      </w:r>
      <w:r w:rsidR="007A5D83">
        <w:rPr>
          <w:rFonts w:ascii="Times New Roman" w:hAnsi="Times New Roman" w:cs="Times New Roman"/>
          <w:sz w:val="24"/>
          <w:szCs w:val="24"/>
        </w:rPr>
        <w:t>T</w:t>
      </w:r>
      <w:r w:rsidR="00A40581" w:rsidRPr="00EE1EA3">
        <w:rPr>
          <w:rFonts w:ascii="Times New Roman" w:hAnsi="Times New Roman" w:cs="Times New Roman"/>
          <w:sz w:val="24"/>
          <w:szCs w:val="24"/>
        </w:rPr>
        <w:t>he latter are</w:t>
      </w:r>
      <w:r w:rsidR="007A5D83">
        <w:rPr>
          <w:rFonts w:ascii="Times New Roman" w:hAnsi="Times New Roman" w:cs="Times New Roman"/>
          <w:sz w:val="24"/>
          <w:szCs w:val="24"/>
        </w:rPr>
        <w:t xml:space="preserve"> supposed to be</w:t>
      </w:r>
      <w:r w:rsidR="00A40581" w:rsidRPr="00EE1EA3">
        <w:rPr>
          <w:rFonts w:ascii="Times New Roman" w:hAnsi="Times New Roman" w:cs="Times New Roman"/>
          <w:sz w:val="24"/>
          <w:szCs w:val="24"/>
        </w:rPr>
        <w:t xml:space="preserve"> intermediate between </w:t>
      </w:r>
      <w:r w:rsidR="00C30A58" w:rsidRPr="00EE1EA3">
        <w:rPr>
          <w:rFonts w:ascii="Times New Roman" w:hAnsi="Times New Roman" w:cs="Times New Roman"/>
          <w:sz w:val="24"/>
          <w:szCs w:val="24"/>
        </w:rPr>
        <w:t>socio-economic conditions</w:t>
      </w:r>
      <w:r w:rsidR="0053104D">
        <w:rPr>
          <w:rFonts w:ascii="Times New Roman" w:hAnsi="Times New Roman" w:cs="Times New Roman"/>
          <w:sz w:val="24"/>
          <w:szCs w:val="24"/>
        </w:rPr>
        <w:t xml:space="preserve"> and outcomes</w:t>
      </w:r>
      <w:r w:rsidR="00A40581" w:rsidRPr="00EE1EA3">
        <w:rPr>
          <w:rFonts w:ascii="Times New Roman" w:hAnsi="Times New Roman" w:cs="Times New Roman"/>
          <w:sz w:val="24"/>
          <w:szCs w:val="24"/>
        </w:rPr>
        <w:t xml:space="preserve">. This causal problem is at the heart of the social-to-biological interface, and cannot </w:t>
      </w:r>
      <w:r w:rsidR="00F46699" w:rsidRPr="00EE1EA3">
        <w:rPr>
          <w:rFonts w:ascii="Times New Roman" w:hAnsi="Times New Roman" w:cs="Times New Roman"/>
          <w:sz w:val="24"/>
          <w:szCs w:val="24"/>
        </w:rPr>
        <w:t xml:space="preserve">be </w:t>
      </w:r>
      <w:r w:rsidR="00A40581" w:rsidRPr="00EE1EA3">
        <w:rPr>
          <w:rFonts w:ascii="Times New Roman" w:hAnsi="Times New Roman" w:cs="Times New Roman"/>
          <w:sz w:val="24"/>
          <w:szCs w:val="24"/>
        </w:rPr>
        <w:t xml:space="preserve">reduced to </w:t>
      </w:r>
      <w:r w:rsidR="0053104D">
        <w:rPr>
          <w:rFonts w:ascii="Times New Roman" w:hAnsi="Times New Roman" w:cs="Times New Roman"/>
          <w:sz w:val="24"/>
          <w:szCs w:val="24"/>
        </w:rPr>
        <w:t>statistical adjustment (often implying over-adjustment)</w:t>
      </w:r>
      <w:r w:rsidR="00CB2AD5">
        <w:rPr>
          <w:rFonts w:ascii="Times New Roman" w:hAnsi="Times New Roman" w:cs="Times New Roman"/>
          <w:sz w:val="24"/>
          <w:szCs w:val="24"/>
        </w:rPr>
        <w:t>(Krieger, 2008)</w:t>
      </w:r>
      <w:r w:rsidR="00A40581" w:rsidRPr="00EE1EA3">
        <w:rPr>
          <w:rFonts w:ascii="Times New Roman" w:hAnsi="Times New Roman" w:cs="Times New Roman"/>
          <w:sz w:val="24"/>
          <w:szCs w:val="24"/>
        </w:rPr>
        <w:t xml:space="preserve">. </w:t>
      </w:r>
      <w:r w:rsidR="00CD6BFD">
        <w:rPr>
          <w:rFonts w:ascii="Times New Roman" w:hAnsi="Times New Roman" w:cs="Times New Roman"/>
          <w:sz w:val="24"/>
          <w:szCs w:val="24"/>
        </w:rPr>
        <w:t>Disadvantaged socio-economic</w:t>
      </w:r>
      <w:r w:rsidR="005C1321" w:rsidRPr="00EE1EA3">
        <w:rPr>
          <w:rFonts w:ascii="Times New Roman" w:hAnsi="Times New Roman" w:cs="Times New Roman"/>
          <w:sz w:val="24"/>
          <w:szCs w:val="24"/>
        </w:rPr>
        <w:t xml:space="preserve"> conditions </w:t>
      </w:r>
      <w:r w:rsidR="00F46699" w:rsidRPr="006E420F">
        <w:rPr>
          <w:rFonts w:ascii="Times New Roman" w:hAnsi="Times New Roman" w:cs="Times New Roman"/>
          <w:sz w:val="24"/>
          <w:szCs w:val="24"/>
        </w:rPr>
        <w:t xml:space="preserve">simultaneously </w:t>
      </w:r>
      <w:r w:rsidR="005C1321" w:rsidRPr="006E420F">
        <w:rPr>
          <w:rFonts w:ascii="Times New Roman" w:hAnsi="Times New Roman" w:cs="Times New Roman"/>
          <w:sz w:val="24"/>
          <w:szCs w:val="24"/>
        </w:rPr>
        <w:t>affect biological systems</w:t>
      </w:r>
      <w:r w:rsidR="00F46699" w:rsidRPr="006E420F">
        <w:rPr>
          <w:rFonts w:ascii="Times New Roman" w:hAnsi="Times New Roman" w:cs="Times New Roman"/>
          <w:sz w:val="24"/>
          <w:szCs w:val="24"/>
        </w:rPr>
        <w:t>,</w:t>
      </w:r>
      <w:r w:rsidR="005C1321" w:rsidRPr="006E420F">
        <w:rPr>
          <w:rFonts w:ascii="Times New Roman" w:hAnsi="Times New Roman" w:cs="Times New Roman"/>
          <w:sz w:val="24"/>
          <w:szCs w:val="24"/>
        </w:rPr>
        <w:t xml:space="preserve"> exposure to risk factors from conception, and influence social mobility</w:t>
      </w:r>
      <w:r w:rsidR="00F46699" w:rsidRPr="006E420F">
        <w:rPr>
          <w:rFonts w:ascii="Times New Roman" w:hAnsi="Times New Roman" w:cs="Times New Roman"/>
          <w:sz w:val="24"/>
          <w:szCs w:val="24"/>
        </w:rPr>
        <w:t xml:space="preserve">. </w:t>
      </w:r>
      <w:r w:rsidR="007A5D83" w:rsidRPr="006E420F">
        <w:rPr>
          <w:rFonts w:ascii="Times New Roman" w:hAnsi="Times New Roman" w:cs="Times New Roman"/>
          <w:sz w:val="24"/>
          <w:szCs w:val="24"/>
        </w:rPr>
        <w:t>H</w:t>
      </w:r>
      <w:r w:rsidR="005C1321" w:rsidRPr="006E420F">
        <w:rPr>
          <w:rFonts w:ascii="Times New Roman" w:hAnsi="Times New Roman" w:cs="Times New Roman"/>
          <w:sz w:val="24"/>
          <w:szCs w:val="24"/>
        </w:rPr>
        <w:t xml:space="preserve">ealth outcomes in adulthood are influenced </w:t>
      </w:r>
      <w:r w:rsidR="00F46699" w:rsidRPr="006E420F">
        <w:rPr>
          <w:rFonts w:ascii="Times New Roman" w:hAnsi="Times New Roman" w:cs="Times New Roman"/>
          <w:sz w:val="24"/>
          <w:szCs w:val="24"/>
        </w:rPr>
        <w:t>by</w:t>
      </w:r>
      <w:r w:rsidR="005C1321" w:rsidRPr="006E420F">
        <w:rPr>
          <w:rFonts w:ascii="Times New Roman" w:hAnsi="Times New Roman" w:cs="Times New Roman"/>
          <w:sz w:val="24"/>
          <w:szCs w:val="24"/>
        </w:rPr>
        <w:t xml:space="preserve"> exposure</w:t>
      </w:r>
      <w:r w:rsidR="00F46699" w:rsidRPr="006E420F">
        <w:rPr>
          <w:rFonts w:ascii="Times New Roman" w:hAnsi="Times New Roman" w:cs="Times New Roman"/>
          <w:sz w:val="24"/>
          <w:szCs w:val="24"/>
        </w:rPr>
        <w:t xml:space="preserve">s </w:t>
      </w:r>
      <w:r w:rsidR="005C1321" w:rsidRPr="006E420F">
        <w:rPr>
          <w:rFonts w:ascii="Times New Roman" w:hAnsi="Times New Roman" w:cs="Times New Roman"/>
          <w:sz w:val="24"/>
          <w:szCs w:val="24"/>
        </w:rPr>
        <w:t>to risk factors across the lifecourse.</w:t>
      </w:r>
      <w:r w:rsidR="006F457F" w:rsidRPr="006E420F">
        <w:rPr>
          <w:rFonts w:ascii="Times New Roman" w:hAnsi="Times New Roman" w:cs="Times New Roman"/>
          <w:sz w:val="24"/>
          <w:szCs w:val="24"/>
        </w:rPr>
        <w:t xml:space="preserve"> </w:t>
      </w:r>
      <w:r w:rsidR="00301494" w:rsidRPr="006E420F">
        <w:rPr>
          <w:rFonts w:ascii="Times New Roman" w:hAnsi="Times New Roman" w:cs="Times New Roman"/>
          <w:sz w:val="24"/>
          <w:szCs w:val="24"/>
        </w:rPr>
        <w:t xml:space="preserve">The resources conferred by advantaged </w:t>
      </w:r>
      <w:r w:rsidR="00C30A58" w:rsidRPr="006E420F">
        <w:rPr>
          <w:rFonts w:ascii="Times New Roman" w:hAnsi="Times New Roman" w:cs="Times New Roman"/>
          <w:sz w:val="24"/>
          <w:szCs w:val="24"/>
        </w:rPr>
        <w:t xml:space="preserve">socio-economic </w:t>
      </w:r>
      <w:r w:rsidR="00301494" w:rsidRPr="006E420F">
        <w:rPr>
          <w:rFonts w:ascii="Times New Roman" w:hAnsi="Times New Roman" w:cs="Times New Roman"/>
          <w:sz w:val="24"/>
          <w:szCs w:val="24"/>
        </w:rPr>
        <w:t>environments may lead to the development of social and psychosocial strategies to buffer the physiological and psychological challenges over everyday life.</w:t>
      </w:r>
    </w:p>
    <w:p w14:paraId="20F58D8A" w14:textId="2F6F5349" w:rsidR="006E420F" w:rsidRPr="006E420F" w:rsidRDefault="006E420F" w:rsidP="00AD72EE">
      <w:pPr>
        <w:spacing w:line="360" w:lineRule="auto"/>
        <w:jc w:val="both"/>
        <w:rPr>
          <w:rFonts w:ascii="Times New Roman" w:hAnsi="Times New Roman" w:cs="Times New Roman"/>
          <w:sz w:val="24"/>
          <w:szCs w:val="24"/>
        </w:rPr>
      </w:pPr>
      <w:r w:rsidRPr="00AD72EE">
        <w:rPr>
          <w:rFonts w:ascii="Times New Roman" w:hAnsi="Times New Roman" w:cs="Times New Roman"/>
          <w:sz w:val="24"/>
          <w:szCs w:val="24"/>
        </w:rPr>
        <w:t>W</w:t>
      </w:r>
      <w:r w:rsidRPr="006E420F">
        <w:rPr>
          <w:rFonts w:ascii="Times New Roman" w:hAnsi="Times New Roman" w:cs="Times New Roman"/>
          <w:sz w:val="24"/>
          <w:szCs w:val="24"/>
        </w:rPr>
        <w:t>e did not include genetic data in our study. In fact, m</w:t>
      </w:r>
      <w:r w:rsidRPr="00AD72EE">
        <w:rPr>
          <w:rFonts w:ascii="Times New Roman" w:hAnsi="Times New Roman" w:cs="Times New Roman"/>
          <w:color w:val="000000"/>
          <w:sz w:val="24"/>
          <w:szCs w:val="24"/>
          <w:shd w:val="clear" w:color="auto" w:fill="FFFFFF"/>
        </w:rPr>
        <w:t>ost epidemiological observational studies lack genetic data, which means that any confounding or bias from genetics is part of the unmeasured confounding problem. By triangulating, and therefore using a variety of social measures (including parental education, social class, own education, area deprivation), combined with different health outcomes in different populations (cohorts, context, time), and observing the consistency of the findings across studies, we can tease out the common effect observed. This helps us to understand the extent of unmeasured confounding, which includes any genetic component. Selection bias and confounding are less likely if studies are replicated from different countries or continents like in our case (e.g. Europe and Australia): in these countries the genetic background is not too dissimilar, but social and educational contexts are completely different, and educational attainment has considerably improved in the last decades, which goes against the idea that it is genetically driven. </w:t>
      </w:r>
    </w:p>
    <w:p w14:paraId="3C3FAA2B" w14:textId="68F0C767" w:rsidR="00957982" w:rsidRPr="006E420F" w:rsidRDefault="00957982" w:rsidP="00957982">
      <w:pPr>
        <w:pStyle w:val="ListParagraph"/>
        <w:numPr>
          <w:ilvl w:val="0"/>
          <w:numId w:val="14"/>
        </w:numPr>
        <w:spacing w:line="360" w:lineRule="auto"/>
        <w:jc w:val="both"/>
        <w:rPr>
          <w:rFonts w:ascii="Times New Roman" w:hAnsi="Times New Roman" w:cs="Times New Roman"/>
          <w:b/>
          <w:sz w:val="24"/>
          <w:szCs w:val="24"/>
        </w:rPr>
      </w:pPr>
      <w:r w:rsidRPr="006E420F">
        <w:rPr>
          <w:rFonts w:ascii="Times New Roman" w:hAnsi="Times New Roman" w:cs="Times New Roman"/>
          <w:b/>
          <w:sz w:val="24"/>
          <w:szCs w:val="24"/>
        </w:rPr>
        <w:t>Conclusions</w:t>
      </w:r>
    </w:p>
    <w:p w14:paraId="72F01DFD" w14:textId="06D21153" w:rsidR="00FA612F" w:rsidRDefault="00A40581" w:rsidP="00CB2AD5">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In conclusion</w:t>
      </w:r>
      <w:r w:rsidR="00F46699">
        <w:rPr>
          <w:rFonts w:ascii="Times New Roman" w:hAnsi="Times New Roman" w:cs="Times New Roman"/>
          <w:sz w:val="24"/>
          <w:szCs w:val="24"/>
        </w:rPr>
        <w:t>,</w:t>
      </w:r>
      <w:r w:rsidRPr="00EE1EA3">
        <w:rPr>
          <w:rFonts w:ascii="Times New Roman" w:hAnsi="Times New Roman" w:cs="Times New Roman"/>
          <w:sz w:val="24"/>
          <w:szCs w:val="24"/>
        </w:rPr>
        <w:t xml:space="preserve"> evidence from </w:t>
      </w:r>
      <w:r w:rsidR="00F46699">
        <w:rPr>
          <w:rFonts w:ascii="Times New Roman" w:hAnsi="Times New Roman" w:cs="Times New Roman"/>
          <w:sz w:val="24"/>
          <w:szCs w:val="24"/>
        </w:rPr>
        <w:t>the</w:t>
      </w:r>
      <w:r w:rsidRPr="00EE1EA3">
        <w:rPr>
          <w:rFonts w:ascii="Times New Roman" w:hAnsi="Times New Roman" w:cs="Times New Roman"/>
          <w:sz w:val="24"/>
          <w:szCs w:val="24"/>
        </w:rPr>
        <w:t xml:space="preserve"> Lifepath consortium represents an example of triangulation, where different</w:t>
      </w:r>
      <w:r w:rsidR="00315BB7">
        <w:rPr>
          <w:rFonts w:ascii="Times New Roman" w:hAnsi="Times New Roman" w:cs="Times New Roman"/>
          <w:sz w:val="24"/>
          <w:szCs w:val="24"/>
        </w:rPr>
        <w:t xml:space="preserve"> biological</w:t>
      </w:r>
      <w:r w:rsidRPr="00EE1EA3">
        <w:rPr>
          <w:rFonts w:ascii="Times New Roman" w:hAnsi="Times New Roman" w:cs="Times New Roman"/>
          <w:sz w:val="24"/>
          <w:szCs w:val="24"/>
        </w:rPr>
        <w:t xml:space="preserve"> layers of evidence (from mortality to molecular markers) converge </w:t>
      </w:r>
      <w:r w:rsidR="00FA3FF4">
        <w:rPr>
          <w:rFonts w:ascii="Times New Roman" w:hAnsi="Times New Roman" w:cs="Times New Roman"/>
          <w:sz w:val="24"/>
          <w:szCs w:val="24"/>
        </w:rPr>
        <w:t>to suggest</w:t>
      </w:r>
      <w:r w:rsidRPr="00EE1EA3">
        <w:rPr>
          <w:rFonts w:ascii="Times New Roman" w:hAnsi="Times New Roman" w:cs="Times New Roman"/>
          <w:sz w:val="24"/>
          <w:szCs w:val="24"/>
        </w:rPr>
        <w:t xml:space="preserve"> that </w:t>
      </w:r>
      <w:r w:rsidR="00CD6BFD">
        <w:rPr>
          <w:rFonts w:ascii="Times New Roman" w:hAnsi="Times New Roman" w:cs="Times New Roman"/>
          <w:sz w:val="24"/>
          <w:szCs w:val="24"/>
        </w:rPr>
        <w:t>disadvantaged socio-economic</w:t>
      </w:r>
      <w:r w:rsidR="0026296A" w:rsidRPr="00EE1EA3">
        <w:rPr>
          <w:rFonts w:ascii="Times New Roman" w:hAnsi="Times New Roman" w:cs="Times New Roman"/>
          <w:sz w:val="24"/>
          <w:szCs w:val="24"/>
        </w:rPr>
        <w:t xml:space="preserve"> conditions are </w:t>
      </w:r>
      <w:r w:rsidRPr="00EE1EA3">
        <w:rPr>
          <w:rFonts w:ascii="Times New Roman" w:hAnsi="Times New Roman" w:cs="Times New Roman"/>
          <w:sz w:val="24"/>
          <w:szCs w:val="24"/>
        </w:rPr>
        <w:t xml:space="preserve">a </w:t>
      </w:r>
      <w:r w:rsidR="00F14A10" w:rsidRPr="00EE1EA3">
        <w:rPr>
          <w:rFonts w:ascii="Times New Roman" w:hAnsi="Times New Roman" w:cs="Times New Roman"/>
          <w:sz w:val="24"/>
          <w:szCs w:val="24"/>
        </w:rPr>
        <w:t xml:space="preserve">determinant </w:t>
      </w:r>
      <w:r w:rsidR="00FA3FF4">
        <w:rPr>
          <w:rFonts w:ascii="Times New Roman" w:hAnsi="Times New Roman" w:cs="Times New Roman"/>
          <w:sz w:val="24"/>
          <w:szCs w:val="24"/>
        </w:rPr>
        <w:t>of</w:t>
      </w:r>
      <w:r w:rsidRPr="00EE1EA3">
        <w:rPr>
          <w:rFonts w:ascii="Times New Roman" w:hAnsi="Times New Roman" w:cs="Times New Roman"/>
          <w:sz w:val="24"/>
          <w:szCs w:val="24"/>
        </w:rPr>
        <w:t xml:space="preserve"> poor </w:t>
      </w:r>
      <w:r w:rsidRPr="007C12F8">
        <w:rPr>
          <w:rFonts w:ascii="Times New Roman" w:hAnsi="Times New Roman" w:cs="Times New Roman"/>
          <w:sz w:val="24"/>
          <w:szCs w:val="24"/>
        </w:rPr>
        <w:t xml:space="preserve">health </w:t>
      </w:r>
      <w:r w:rsidR="0053104D" w:rsidRPr="007C12F8">
        <w:rPr>
          <w:rFonts w:ascii="Times New Roman" w:hAnsi="Times New Roman" w:cs="Times New Roman"/>
          <w:sz w:val="24"/>
          <w:szCs w:val="24"/>
        </w:rPr>
        <w:t xml:space="preserve">originating from biological embodiment </w:t>
      </w:r>
      <w:r w:rsidRPr="007C12F8">
        <w:rPr>
          <w:rFonts w:ascii="Times New Roman" w:hAnsi="Times New Roman" w:cs="Times New Roman"/>
          <w:sz w:val="24"/>
          <w:szCs w:val="24"/>
        </w:rPr>
        <w:t xml:space="preserve">beyond </w:t>
      </w:r>
      <w:r w:rsidR="006B136B" w:rsidRPr="007C12F8">
        <w:rPr>
          <w:rFonts w:ascii="Times New Roman" w:hAnsi="Times New Roman" w:cs="Times New Roman"/>
          <w:sz w:val="24"/>
          <w:szCs w:val="24"/>
        </w:rPr>
        <w:t xml:space="preserve">behavioural </w:t>
      </w:r>
      <w:r w:rsidRPr="007C12F8">
        <w:rPr>
          <w:rFonts w:ascii="Times New Roman" w:hAnsi="Times New Roman" w:cs="Times New Roman"/>
          <w:sz w:val="24"/>
          <w:szCs w:val="24"/>
        </w:rPr>
        <w:t xml:space="preserve">risk factors for </w:t>
      </w:r>
      <w:r w:rsidR="00FB120F" w:rsidRPr="007C12F8">
        <w:rPr>
          <w:rFonts w:ascii="Times New Roman" w:hAnsi="Times New Roman" w:cs="Times New Roman"/>
          <w:sz w:val="24"/>
          <w:szCs w:val="24"/>
        </w:rPr>
        <w:t>non-communicable diseases.</w:t>
      </w:r>
    </w:p>
    <w:p w14:paraId="1FF7772B" w14:textId="6C055BE3" w:rsidR="007A49A0" w:rsidRDefault="007A49A0" w:rsidP="00CB2AD5">
      <w:pPr>
        <w:spacing w:line="360" w:lineRule="auto"/>
        <w:jc w:val="both"/>
        <w:rPr>
          <w:rFonts w:ascii="Times New Roman" w:hAnsi="Times New Roman" w:cs="Times New Roman"/>
          <w:sz w:val="24"/>
          <w:szCs w:val="24"/>
        </w:rPr>
      </w:pPr>
      <w:r>
        <w:rPr>
          <w:rFonts w:ascii="Times New Roman" w:hAnsi="Times New Roman" w:cs="Times New Roman"/>
          <w:sz w:val="24"/>
          <w:szCs w:val="24"/>
        </w:rPr>
        <w:t>What could be the effect of SEP beyond classic NCD risk factors (mainly behavioural) is a matter of speculation. A certain, probably small, proportion is likely to be related to occupational exposures, another proportion can be attributable to “wear-and-tear” and psychosocial stress (Marmot, 2004), as suggested by our findings on the allostatic load.</w:t>
      </w:r>
    </w:p>
    <w:p w14:paraId="58EF97AE" w14:textId="77777777" w:rsidR="007A49A0" w:rsidRDefault="007A49A0" w:rsidP="00CB2AD5">
      <w:pPr>
        <w:spacing w:line="360" w:lineRule="auto"/>
        <w:jc w:val="both"/>
        <w:rPr>
          <w:rFonts w:ascii="Times New Roman" w:hAnsi="Times New Roman" w:cs="Times New Roman"/>
          <w:sz w:val="24"/>
          <w:szCs w:val="24"/>
        </w:rPr>
      </w:pPr>
    </w:p>
    <w:p w14:paraId="43EF4012" w14:textId="4A68BFC3" w:rsidR="00D52664" w:rsidRPr="00D52664" w:rsidRDefault="00D52664" w:rsidP="00CB2AD5">
      <w:pPr>
        <w:spacing w:line="360" w:lineRule="auto"/>
        <w:jc w:val="both"/>
        <w:rPr>
          <w:rFonts w:ascii="Times New Roman" w:hAnsi="Times New Roman" w:cs="Times New Roman"/>
          <w:b/>
          <w:sz w:val="24"/>
          <w:szCs w:val="24"/>
        </w:rPr>
      </w:pPr>
      <w:r w:rsidRPr="00D52664">
        <w:rPr>
          <w:rFonts w:ascii="Times New Roman" w:hAnsi="Times New Roman" w:cs="Times New Roman"/>
          <w:b/>
          <w:sz w:val="24"/>
          <w:szCs w:val="24"/>
        </w:rPr>
        <w:t>Conflicts of interest</w:t>
      </w:r>
    </w:p>
    <w:p w14:paraId="4332790A" w14:textId="067288A0" w:rsidR="004307A2" w:rsidRPr="004307A2" w:rsidRDefault="004307A2" w:rsidP="0086535B">
      <w:pPr>
        <w:spacing w:line="360" w:lineRule="auto"/>
        <w:jc w:val="both"/>
        <w:rPr>
          <w:rFonts w:ascii="Times New Roman" w:hAnsi="Times New Roman" w:cs="Times New Roman"/>
          <w:sz w:val="24"/>
          <w:szCs w:val="24"/>
        </w:rPr>
      </w:pPr>
      <w:r w:rsidRPr="004307A2">
        <w:rPr>
          <w:rFonts w:ascii="Times New Roman" w:hAnsi="Times New Roman" w:cs="Times New Roman"/>
          <w:sz w:val="24"/>
          <w:szCs w:val="24"/>
        </w:rPr>
        <w:t>The authors declare they have no confl</w:t>
      </w:r>
      <w:r>
        <w:rPr>
          <w:rFonts w:ascii="Times New Roman" w:hAnsi="Times New Roman" w:cs="Times New Roman"/>
          <w:sz w:val="24"/>
          <w:szCs w:val="24"/>
        </w:rPr>
        <w:t>i</w:t>
      </w:r>
      <w:r w:rsidRPr="004307A2">
        <w:rPr>
          <w:rFonts w:ascii="Times New Roman" w:hAnsi="Times New Roman" w:cs="Times New Roman"/>
          <w:sz w:val="24"/>
          <w:szCs w:val="24"/>
        </w:rPr>
        <w:t>cting interests.</w:t>
      </w:r>
    </w:p>
    <w:p w14:paraId="49E9C843" w14:textId="22DAF4EE" w:rsidR="00144E8A" w:rsidRPr="00EE1EA3" w:rsidRDefault="00144E8A" w:rsidP="0086535B">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br w:type="page"/>
      </w:r>
    </w:p>
    <w:p w14:paraId="26CC70BB" w14:textId="1D55B96C" w:rsidR="00E140BC" w:rsidRDefault="00E140BC" w:rsidP="0086535B">
      <w:pPr>
        <w:spacing w:after="0" w:line="360" w:lineRule="auto"/>
        <w:jc w:val="both"/>
        <w:rPr>
          <w:rFonts w:ascii="Times New Roman" w:hAnsi="Times New Roman" w:cs="Times New Roman"/>
          <w:b/>
          <w:sz w:val="24"/>
          <w:szCs w:val="24"/>
        </w:rPr>
      </w:pPr>
      <w:r w:rsidRPr="00E140BC">
        <w:rPr>
          <w:rFonts w:ascii="Times New Roman" w:hAnsi="Times New Roman" w:cs="Times New Roman"/>
          <w:b/>
          <w:sz w:val="24"/>
          <w:szCs w:val="24"/>
        </w:rPr>
        <w:t>References</w:t>
      </w:r>
      <w:r w:rsidR="009D470A">
        <w:rPr>
          <w:rFonts w:ascii="Times New Roman" w:hAnsi="Times New Roman" w:cs="Times New Roman"/>
          <w:b/>
          <w:sz w:val="24"/>
          <w:szCs w:val="24"/>
        </w:rPr>
        <w:t xml:space="preserve"> </w:t>
      </w:r>
    </w:p>
    <w:p w14:paraId="7CB7281E" w14:textId="77777777" w:rsidR="00AC2391" w:rsidRPr="003A066D" w:rsidRDefault="00AC2391" w:rsidP="003A066D">
      <w:pPr>
        <w:spacing w:after="0" w:line="360" w:lineRule="auto"/>
        <w:jc w:val="both"/>
        <w:rPr>
          <w:rFonts w:ascii="Times New Roman" w:hAnsi="Times New Roman" w:cs="Times New Roman"/>
          <w:sz w:val="24"/>
          <w:szCs w:val="24"/>
        </w:rPr>
      </w:pPr>
    </w:p>
    <w:p w14:paraId="431DFD8F" w14:textId="2F88E6AA" w:rsidR="00CB2AD5" w:rsidRPr="003A066D" w:rsidRDefault="003A066D" w:rsidP="003A066D">
      <w:pPr>
        <w:spacing w:line="360" w:lineRule="auto"/>
        <w:rPr>
          <w:rFonts w:ascii="Times New Roman" w:hAnsi="Times New Roman" w:cs="Times New Roman"/>
          <w:sz w:val="24"/>
          <w:szCs w:val="24"/>
        </w:rPr>
      </w:pPr>
      <w:r w:rsidRPr="003A066D">
        <w:rPr>
          <w:rFonts w:ascii="Times New Roman" w:hAnsi="Times New Roman" w:cs="Times New Roman"/>
          <w:sz w:val="24"/>
          <w:szCs w:val="24"/>
        </w:rPr>
        <w:t>Barboza Solís C, Fantin R, Castagné R, Lang T, Delpierre C, Kelly-Irving M</w:t>
      </w:r>
      <w:r w:rsidR="00CB2AD5" w:rsidRPr="004B1E78">
        <w:rPr>
          <w:rFonts w:ascii="Times New Roman" w:hAnsi="Times New Roman" w:cs="Times New Roman"/>
          <w:sz w:val="24"/>
          <w:szCs w:val="24"/>
        </w:rPr>
        <w:t>.</w:t>
      </w:r>
      <w:r w:rsidR="00A47A34" w:rsidRPr="004B1E78">
        <w:rPr>
          <w:rFonts w:ascii="Times New Roman" w:hAnsi="Times New Roman" w:cs="Times New Roman"/>
          <w:sz w:val="24"/>
          <w:szCs w:val="24"/>
        </w:rPr>
        <w:t>, 2016.</w:t>
      </w:r>
      <w:r w:rsidR="00CB2AD5" w:rsidRPr="004B1E78">
        <w:rPr>
          <w:rFonts w:ascii="Times New Roman" w:hAnsi="Times New Roman" w:cs="Times New Roman"/>
          <w:sz w:val="24"/>
          <w:szCs w:val="24"/>
        </w:rPr>
        <w:t xml:space="preserve"> </w:t>
      </w:r>
      <w:r w:rsidR="00CB2AD5" w:rsidRPr="003A066D">
        <w:rPr>
          <w:rFonts w:ascii="Times New Roman" w:hAnsi="Times New Roman" w:cs="Times New Roman"/>
          <w:sz w:val="24"/>
          <w:szCs w:val="24"/>
        </w:rPr>
        <w:t>Mediating pathways between parental socio-economic position and allostatic load in mid-life: Findings from the 1958 British birth cohort. Soc Sci Med 165, 19-27, doi:10.101</w:t>
      </w:r>
      <w:r w:rsidR="00A47A34" w:rsidRPr="003A066D">
        <w:rPr>
          <w:rFonts w:ascii="Times New Roman" w:hAnsi="Times New Roman" w:cs="Times New Roman"/>
          <w:sz w:val="24"/>
          <w:szCs w:val="24"/>
        </w:rPr>
        <w:t>6/j.socscimed.2016.07.031</w:t>
      </w:r>
      <w:r w:rsidR="00CB2AD5" w:rsidRPr="003A066D">
        <w:rPr>
          <w:rFonts w:ascii="Times New Roman" w:hAnsi="Times New Roman" w:cs="Times New Roman"/>
          <w:sz w:val="24"/>
          <w:szCs w:val="24"/>
        </w:rPr>
        <w:t>.</w:t>
      </w:r>
    </w:p>
    <w:p w14:paraId="70953A74" w14:textId="181CAEAF"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Beckfield J</w:t>
      </w:r>
      <w:r w:rsidR="00A47A34" w:rsidRPr="003A066D">
        <w:rPr>
          <w:rFonts w:ascii="Times New Roman" w:hAnsi="Times New Roman" w:cs="Times New Roman"/>
          <w:sz w:val="24"/>
          <w:szCs w:val="24"/>
        </w:rPr>
        <w:t>, 2018</w:t>
      </w:r>
      <w:r w:rsidRPr="003A066D">
        <w:rPr>
          <w:rFonts w:ascii="Times New Roman" w:hAnsi="Times New Roman" w:cs="Times New Roman"/>
          <w:sz w:val="24"/>
          <w:szCs w:val="24"/>
        </w:rPr>
        <w:t xml:space="preserve">. </w:t>
      </w:r>
      <w:r w:rsidRPr="003A066D">
        <w:rPr>
          <w:rFonts w:ascii="Times New Roman" w:hAnsi="Times New Roman" w:cs="Times New Roman"/>
          <w:i/>
          <w:sz w:val="24"/>
          <w:szCs w:val="24"/>
        </w:rPr>
        <w:t>Political sociology &amp; the people’s health</w:t>
      </w:r>
      <w:r w:rsidRPr="003A066D">
        <w:rPr>
          <w:rFonts w:ascii="Times New Roman" w:hAnsi="Times New Roman" w:cs="Times New Roman"/>
          <w:sz w:val="24"/>
          <w:szCs w:val="24"/>
        </w:rPr>
        <w:t>. New Yor</w:t>
      </w:r>
      <w:r w:rsidR="00A47A34" w:rsidRPr="003A066D">
        <w:rPr>
          <w:rFonts w:ascii="Times New Roman" w:hAnsi="Times New Roman" w:cs="Times New Roman"/>
          <w:sz w:val="24"/>
          <w:szCs w:val="24"/>
        </w:rPr>
        <w:t>k: Oxford University Press.</w:t>
      </w:r>
    </w:p>
    <w:p w14:paraId="5B1CAC3F" w14:textId="448AEEA6" w:rsidR="00472C7A" w:rsidRPr="00DA14DA" w:rsidRDefault="00472C7A" w:rsidP="003A066D">
      <w:pPr>
        <w:spacing w:before="137" w:after="137" w:line="360" w:lineRule="auto"/>
        <w:outlineLvl w:val="0"/>
        <w:rPr>
          <w:rFonts w:ascii="Times New Roman" w:eastAsia="Times New Roman" w:hAnsi="Times New Roman" w:cs="Times New Roman"/>
          <w:bCs/>
          <w:kern w:val="36"/>
          <w:sz w:val="24"/>
          <w:szCs w:val="24"/>
          <w:lang w:eastAsia="en-GB"/>
        </w:rPr>
      </w:pPr>
      <w:r w:rsidRPr="003A066D">
        <w:rPr>
          <w:rFonts w:ascii="Times New Roman" w:hAnsi="Times New Roman" w:cs="Times New Roman"/>
          <w:sz w:val="24"/>
          <w:szCs w:val="24"/>
        </w:rPr>
        <w:t xml:space="preserve">Berger E, Castagné R, Chadeau-Hyam M, Bochud M, d'Errico A, Gandini M, Karimi M, Kivimäki M, Krogh V, Marmot M, Panico S, Preisig M, Ricceri F, Sacerdote C, Steptoe A, Stringhini S, Tumino R, </w:t>
      </w:r>
      <w:r w:rsidRPr="003A066D">
        <w:rPr>
          <w:rFonts w:ascii="Times New Roman" w:hAnsi="Times New Roman" w:cs="Times New Roman"/>
          <w:bCs/>
          <w:sz w:val="24"/>
          <w:szCs w:val="24"/>
        </w:rPr>
        <w:t>Vineis P</w:t>
      </w:r>
      <w:r w:rsidRPr="003A066D">
        <w:rPr>
          <w:rFonts w:ascii="Times New Roman" w:hAnsi="Times New Roman" w:cs="Times New Roman"/>
          <w:sz w:val="24"/>
          <w:szCs w:val="24"/>
        </w:rPr>
        <w:t xml:space="preserve">, Delpierre C, Kelly-Irving M, 2019. </w:t>
      </w:r>
      <w:r w:rsidRPr="004C6ECD">
        <w:rPr>
          <w:rFonts w:ascii="Times New Roman" w:eastAsia="Times New Roman" w:hAnsi="Times New Roman" w:cs="Times New Roman"/>
          <w:bCs/>
          <w:kern w:val="36"/>
          <w:sz w:val="24"/>
          <w:szCs w:val="24"/>
          <w:lang w:eastAsia="en-GB"/>
        </w:rPr>
        <w:t>Multi-cohort study identifies social determinants of systemic inflammation over the life course.</w:t>
      </w:r>
      <w:r w:rsidRPr="003A066D">
        <w:rPr>
          <w:rFonts w:ascii="Times New Roman" w:eastAsia="Times New Roman" w:hAnsi="Times New Roman" w:cs="Times New Roman"/>
          <w:bCs/>
          <w:kern w:val="36"/>
          <w:sz w:val="24"/>
          <w:szCs w:val="24"/>
          <w:lang w:eastAsia="en-GB"/>
        </w:rPr>
        <w:t xml:space="preserve"> </w:t>
      </w:r>
      <w:hyperlink r:id="rId8" w:tooltip="Nature communications." w:history="1">
        <w:r w:rsidRPr="003A066D">
          <w:rPr>
            <w:rFonts w:ascii="Times New Roman" w:eastAsia="Times New Roman" w:hAnsi="Times New Roman" w:cs="Times New Roman"/>
            <w:sz w:val="24"/>
            <w:szCs w:val="24"/>
            <w:lang w:eastAsia="en-GB"/>
          </w:rPr>
          <w:t>Nat Commun.</w:t>
        </w:r>
      </w:hyperlink>
      <w:r w:rsidRPr="003A066D">
        <w:rPr>
          <w:rFonts w:ascii="Times New Roman" w:eastAsia="Times New Roman" w:hAnsi="Times New Roman" w:cs="Times New Roman"/>
          <w:sz w:val="24"/>
          <w:szCs w:val="24"/>
          <w:lang w:eastAsia="en-GB"/>
        </w:rPr>
        <w:t xml:space="preserve"> </w:t>
      </w:r>
      <w:r w:rsidRPr="00DA14DA">
        <w:rPr>
          <w:rFonts w:ascii="Times New Roman" w:eastAsia="Times New Roman" w:hAnsi="Times New Roman" w:cs="Times New Roman"/>
          <w:sz w:val="24"/>
          <w:szCs w:val="24"/>
          <w:lang w:eastAsia="en-GB"/>
        </w:rPr>
        <w:t>Feb 15;10(1):773. doi: 10.1038/s41467-019-08732-x.</w:t>
      </w:r>
    </w:p>
    <w:p w14:paraId="27F05660" w14:textId="7DB961B5" w:rsidR="00CB2AD5" w:rsidRPr="003A066D" w:rsidRDefault="00DA14DA" w:rsidP="003A066D">
      <w:pPr>
        <w:spacing w:line="360" w:lineRule="auto"/>
        <w:jc w:val="both"/>
        <w:outlineLvl w:val="0"/>
        <w:rPr>
          <w:rFonts w:ascii="Times New Roman" w:hAnsi="Times New Roman" w:cs="Times New Roman"/>
          <w:sz w:val="24"/>
          <w:szCs w:val="24"/>
        </w:rPr>
      </w:pPr>
      <w:r w:rsidRPr="00DA14DA">
        <w:rPr>
          <w:rFonts w:ascii="Times New Roman" w:hAnsi="Times New Roman" w:cs="Times New Roman"/>
          <w:sz w:val="24"/>
          <w:szCs w:val="24"/>
        </w:rPr>
        <w:t>Blane D, Kelly-Irving M, d’Errico A, Bartley M, Montgomery S</w:t>
      </w:r>
      <w:r w:rsidR="00A47A34" w:rsidRPr="00DA14DA">
        <w:rPr>
          <w:rFonts w:ascii="Times New Roman" w:hAnsi="Times New Roman" w:cs="Times New Roman"/>
          <w:sz w:val="24"/>
          <w:szCs w:val="24"/>
        </w:rPr>
        <w:t>, 2013</w:t>
      </w:r>
      <w:r w:rsidR="00CB2AD5" w:rsidRPr="00DA14DA">
        <w:rPr>
          <w:rFonts w:ascii="Times New Roman" w:hAnsi="Times New Roman" w:cs="Times New Roman"/>
          <w:sz w:val="24"/>
          <w:szCs w:val="24"/>
        </w:rPr>
        <w:t xml:space="preserve">. </w:t>
      </w:r>
      <w:r w:rsidR="00CB2AD5" w:rsidRPr="00DA14DA">
        <w:rPr>
          <w:rFonts w:ascii="Times New Roman" w:hAnsi="Times New Roman" w:cs="Times New Roman"/>
          <w:i/>
          <w:sz w:val="24"/>
          <w:szCs w:val="24"/>
        </w:rPr>
        <w:t>Social-biological transitions: how does the social become biological?</w:t>
      </w:r>
      <w:r w:rsidR="00CB2AD5" w:rsidRPr="00DA14DA">
        <w:rPr>
          <w:rFonts w:ascii="Times New Roman" w:hAnsi="Times New Roman" w:cs="Times New Roman"/>
          <w:sz w:val="24"/>
          <w:szCs w:val="24"/>
        </w:rPr>
        <w:t xml:space="preserve"> Longitudi</w:t>
      </w:r>
      <w:r w:rsidR="00A47A34" w:rsidRPr="00DA14DA">
        <w:rPr>
          <w:rFonts w:ascii="Times New Roman" w:hAnsi="Times New Roman" w:cs="Times New Roman"/>
          <w:sz w:val="24"/>
          <w:szCs w:val="24"/>
        </w:rPr>
        <w:t>nal and Life Course Studies.</w:t>
      </w:r>
      <w:r w:rsidR="00CB2AD5" w:rsidRPr="00DA14DA">
        <w:rPr>
          <w:rFonts w:ascii="Times New Roman" w:hAnsi="Times New Roman" w:cs="Times New Roman"/>
          <w:sz w:val="24"/>
          <w:szCs w:val="24"/>
        </w:rPr>
        <w:t xml:space="preserve"> Volume 4 Issue 2 Pp </w:t>
      </w:r>
      <w:r w:rsidR="00CB2AD5" w:rsidRPr="003A066D">
        <w:rPr>
          <w:rFonts w:ascii="Times New Roman" w:hAnsi="Times New Roman" w:cs="Times New Roman"/>
          <w:sz w:val="24"/>
          <w:szCs w:val="24"/>
        </w:rPr>
        <w:t xml:space="preserve">136 – 146. doi: </w:t>
      </w:r>
      <w:hyperlink r:id="rId9" w:history="1">
        <w:r w:rsidR="00CB2AD5" w:rsidRPr="003A066D">
          <w:rPr>
            <w:rStyle w:val="Hyperlink"/>
            <w:rFonts w:ascii="Times New Roman" w:hAnsi="Times New Roman" w:cs="Times New Roman"/>
            <w:color w:val="auto"/>
            <w:sz w:val="24"/>
            <w:szCs w:val="24"/>
            <w:u w:val="none"/>
            <w:shd w:val="clear" w:color="auto" w:fill="FFFFFF"/>
          </w:rPr>
          <w:t>http://dx.doi.org/10.14301/llcs.v4i2.236</w:t>
        </w:r>
      </w:hyperlink>
      <w:r w:rsidR="00CB2AD5" w:rsidRPr="003A066D">
        <w:rPr>
          <w:rFonts w:ascii="Times New Roman" w:hAnsi="Times New Roman" w:cs="Times New Roman"/>
          <w:sz w:val="24"/>
          <w:szCs w:val="24"/>
        </w:rPr>
        <w:t xml:space="preserve">; </w:t>
      </w:r>
    </w:p>
    <w:p w14:paraId="4A2E5972" w14:textId="4C8472DA" w:rsidR="00CB2AD5" w:rsidRPr="003A066D" w:rsidRDefault="00855BA2" w:rsidP="003A066D">
      <w:pPr>
        <w:spacing w:line="360" w:lineRule="auto"/>
        <w:rPr>
          <w:rFonts w:ascii="Times New Roman" w:hAnsi="Times New Roman" w:cs="Times New Roman"/>
          <w:sz w:val="24"/>
          <w:szCs w:val="24"/>
        </w:rPr>
      </w:pPr>
      <w:r w:rsidRPr="003A066D">
        <w:rPr>
          <w:rFonts w:ascii="Times New Roman" w:hAnsi="Times New Roman" w:cs="Times New Roman"/>
          <w:sz w:val="24"/>
          <w:szCs w:val="24"/>
        </w:rPr>
        <w:t>Castagné R, Kelly-Irving M, Campanella G, Guida F, Krogh V, Palli D, Panico S, Sacerdote C, Tumino R, Kleinjans J, de Kok T, Kyrtopoulos SA, Lang T, Stringhini S, Vermeulen R, Vineis P, Delpierre C, Chadeau-Hyam M.</w:t>
      </w:r>
      <w:r w:rsidR="00A47A34" w:rsidRPr="003A066D">
        <w:rPr>
          <w:rFonts w:ascii="Times New Roman" w:hAnsi="Times New Roman" w:cs="Times New Roman"/>
          <w:sz w:val="24"/>
          <w:szCs w:val="24"/>
        </w:rPr>
        <w:t>, 2016</w:t>
      </w:r>
      <w:r w:rsidR="00CB2AD5" w:rsidRPr="003A066D">
        <w:rPr>
          <w:rFonts w:ascii="Times New Roman" w:hAnsi="Times New Roman" w:cs="Times New Roman"/>
          <w:sz w:val="24"/>
          <w:szCs w:val="24"/>
        </w:rPr>
        <w:t>. Biological marks of early-life socioeconomic experience is detected in the adult inflammatory transcriptome. Sci Rep 6, 387</w:t>
      </w:r>
      <w:r w:rsidR="00A47A34" w:rsidRPr="003A066D">
        <w:rPr>
          <w:rFonts w:ascii="Times New Roman" w:hAnsi="Times New Roman" w:cs="Times New Roman"/>
          <w:sz w:val="24"/>
          <w:szCs w:val="24"/>
        </w:rPr>
        <w:t>05, doi:10.1038/srep38705</w:t>
      </w:r>
      <w:r w:rsidR="00CB2AD5" w:rsidRPr="003A066D">
        <w:rPr>
          <w:rFonts w:ascii="Times New Roman" w:hAnsi="Times New Roman" w:cs="Times New Roman"/>
          <w:sz w:val="24"/>
          <w:szCs w:val="24"/>
        </w:rPr>
        <w:t>.</w:t>
      </w:r>
    </w:p>
    <w:p w14:paraId="6F2A4992" w14:textId="622A6076" w:rsidR="00CB2AD5" w:rsidRPr="003A066D" w:rsidRDefault="00CB2AD5" w:rsidP="003A066D">
      <w:pPr>
        <w:pStyle w:val="desc"/>
        <w:shd w:val="clear" w:color="auto" w:fill="FFFFFF"/>
        <w:spacing w:before="0" w:beforeAutospacing="0" w:after="0" w:afterAutospacing="0" w:line="360" w:lineRule="auto"/>
        <w:jc w:val="both"/>
      </w:pPr>
      <w:r w:rsidRPr="003A066D">
        <w:t>Castagné R, Garès V, Karimi M, Chadeau-Hyam M, </w:t>
      </w:r>
      <w:r w:rsidRPr="003A066D">
        <w:rPr>
          <w:bCs/>
        </w:rPr>
        <w:t>Vineis P</w:t>
      </w:r>
      <w:r w:rsidRPr="003A066D">
        <w:t>,</w:t>
      </w:r>
      <w:r w:rsidR="00A47A34" w:rsidRPr="003A066D">
        <w:t xml:space="preserve"> Delpierre C, Kelly-Irving M,</w:t>
      </w:r>
      <w:r w:rsidRPr="003A066D">
        <w:t xml:space="preserve"> Lifepath Consortium</w:t>
      </w:r>
      <w:r w:rsidR="00A47A34" w:rsidRPr="003A066D">
        <w:t>, 2018</w:t>
      </w:r>
      <w:r w:rsidRPr="003A066D">
        <w:t xml:space="preserve">. </w:t>
      </w:r>
      <w:hyperlink r:id="rId10" w:history="1">
        <w:r w:rsidRPr="003A066D">
          <w:rPr>
            <w:rStyle w:val="Hyperlink"/>
            <w:color w:val="auto"/>
            <w:u w:val="none"/>
          </w:rPr>
          <w:t>Allostatic load and subsequent all-cause mortality: which biological markers drive the relationship? Findings from a UK birth cohort.</w:t>
        </w:r>
      </w:hyperlink>
      <w:r w:rsidRPr="003A066D">
        <w:rPr>
          <w:rStyle w:val="Hyperlink"/>
          <w:color w:val="auto"/>
          <w:u w:val="none"/>
        </w:rPr>
        <w:t xml:space="preserve"> </w:t>
      </w:r>
      <w:r w:rsidRPr="003A066D">
        <w:rPr>
          <w:rStyle w:val="jrnl"/>
        </w:rPr>
        <w:t>Eur J Epidemiol</w:t>
      </w:r>
      <w:r w:rsidR="00A47A34" w:rsidRPr="003A066D">
        <w:t xml:space="preserve">. </w:t>
      </w:r>
      <w:r w:rsidRPr="003A066D">
        <w:t>May;33(5):441-458. </w:t>
      </w:r>
    </w:p>
    <w:p w14:paraId="44555A1A" w14:textId="44211D4A" w:rsidR="00CB2AD5" w:rsidRPr="003A066D" w:rsidRDefault="00855BA2" w:rsidP="003A066D">
      <w:pPr>
        <w:spacing w:line="360" w:lineRule="auto"/>
        <w:rPr>
          <w:rFonts w:ascii="Times New Roman" w:hAnsi="Times New Roman" w:cs="Times New Roman"/>
          <w:sz w:val="24"/>
          <w:szCs w:val="24"/>
        </w:rPr>
      </w:pPr>
      <w:r w:rsidRPr="003A066D">
        <w:rPr>
          <w:rFonts w:ascii="Times New Roman" w:hAnsi="Times New Roman" w:cs="Times New Roman"/>
          <w:bCs/>
          <w:sz w:val="24"/>
          <w:szCs w:val="24"/>
        </w:rPr>
        <w:t>Fiorito</w:t>
      </w:r>
      <w:r w:rsidRPr="003A066D">
        <w:rPr>
          <w:rFonts w:ascii="Times New Roman" w:hAnsi="Times New Roman" w:cs="Times New Roman"/>
          <w:sz w:val="24"/>
          <w:szCs w:val="24"/>
        </w:rPr>
        <w:t xml:space="preserve"> G, Polidoro S, Dugué PA, Kivimaki M, Ponzi E, Matullo G, Guarrera S, Assumma MB, Georgiadis P, Kyrtopoulos SA, Krogh V, Palli D, Panico S, Sacerdote C, Tumino R, Chadeau-Hyam M, Stringhini S, Severi G, Hodge AM, Giles GG, Marioni R, Karlsson Linnér R, O'Halloran AM, Kenny RA, Layte R, Baglietto L, Robinson O, McCrory C, Milne RL, </w:t>
      </w:r>
      <w:r w:rsidRPr="003A066D">
        <w:rPr>
          <w:rFonts w:ascii="Times New Roman" w:hAnsi="Times New Roman" w:cs="Times New Roman"/>
          <w:bCs/>
          <w:sz w:val="24"/>
          <w:szCs w:val="24"/>
        </w:rPr>
        <w:t>Vineis</w:t>
      </w:r>
      <w:r w:rsidRPr="003A066D">
        <w:rPr>
          <w:rFonts w:ascii="Times New Roman" w:hAnsi="Times New Roman" w:cs="Times New Roman"/>
          <w:sz w:val="24"/>
          <w:szCs w:val="24"/>
        </w:rPr>
        <w:t xml:space="preserve"> P.</w:t>
      </w:r>
      <w:r w:rsidR="00A47A34" w:rsidRPr="003A066D">
        <w:rPr>
          <w:rFonts w:ascii="Times New Roman" w:hAnsi="Times New Roman" w:cs="Times New Roman"/>
          <w:sz w:val="24"/>
          <w:szCs w:val="24"/>
        </w:rPr>
        <w:t>, 2017</w:t>
      </w:r>
      <w:r w:rsidR="00CB2AD5" w:rsidRPr="003A066D">
        <w:rPr>
          <w:rFonts w:ascii="Times New Roman" w:hAnsi="Times New Roman" w:cs="Times New Roman"/>
          <w:sz w:val="24"/>
          <w:szCs w:val="24"/>
        </w:rPr>
        <w:t>. Social adversity and epigenetic aging: a multi-cohort study on socioeconomic differences in peripheral blood DNA methylation. Sci Rep 7, 16266, doi:1</w:t>
      </w:r>
      <w:r w:rsidR="00A47A34" w:rsidRPr="003A066D">
        <w:rPr>
          <w:rFonts w:ascii="Times New Roman" w:hAnsi="Times New Roman" w:cs="Times New Roman"/>
          <w:sz w:val="24"/>
          <w:szCs w:val="24"/>
        </w:rPr>
        <w:t>0.1038/s41598-017-16391-5</w:t>
      </w:r>
      <w:r w:rsidR="00CB2AD5" w:rsidRPr="003A066D">
        <w:rPr>
          <w:rFonts w:ascii="Times New Roman" w:hAnsi="Times New Roman" w:cs="Times New Roman"/>
          <w:sz w:val="24"/>
          <w:szCs w:val="24"/>
        </w:rPr>
        <w:t>.</w:t>
      </w:r>
    </w:p>
    <w:p w14:paraId="196E7F39" w14:textId="07826E36"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Gares, V., Panico, L., Castagne, R., Delpierre, C. &amp; Kelly-Irving, M</w:t>
      </w:r>
      <w:r w:rsidR="00A47A34" w:rsidRPr="003A066D">
        <w:rPr>
          <w:rFonts w:ascii="Times New Roman" w:hAnsi="Times New Roman" w:cs="Times New Roman"/>
          <w:sz w:val="24"/>
          <w:szCs w:val="24"/>
        </w:rPr>
        <w:t>, 2017</w:t>
      </w:r>
      <w:r w:rsidRPr="003A066D">
        <w:rPr>
          <w:rFonts w:ascii="Times New Roman" w:hAnsi="Times New Roman" w:cs="Times New Roman"/>
          <w:sz w:val="24"/>
          <w:szCs w:val="24"/>
        </w:rPr>
        <w:t>. The role of the early social environment on Epstein Barr virus infection: a prospective observational design using the Millennium Cohort Study. Epidemiol Infect 145, 3405-3412, doi:</w:t>
      </w:r>
      <w:r w:rsidR="00A47A34" w:rsidRPr="003A066D">
        <w:rPr>
          <w:rFonts w:ascii="Times New Roman" w:hAnsi="Times New Roman" w:cs="Times New Roman"/>
          <w:sz w:val="24"/>
          <w:szCs w:val="24"/>
        </w:rPr>
        <w:t>10.1017/S0950268817002515</w:t>
      </w:r>
      <w:r w:rsidRPr="003A066D">
        <w:rPr>
          <w:rFonts w:ascii="Times New Roman" w:hAnsi="Times New Roman" w:cs="Times New Roman"/>
          <w:sz w:val="24"/>
          <w:szCs w:val="24"/>
        </w:rPr>
        <w:t>.</w:t>
      </w:r>
    </w:p>
    <w:p w14:paraId="3F137723" w14:textId="761DE28A" w:rsidR="00CB2AD5" w:rsidRPr="003A066D" w:rsidRDefault="00CB2AD5" w:rsidP="003A066D">
      <w:pPr>
        <w:pStyle w:val="desc"/>
        <w:spacing w:line="360" w:lineRule="auto"/>
        <w:jc w:val="both"/>
      </w:pPr>
      <w:r w:rsidRPr="003A066D">
        <w:t xml:space="preserve">Kivimäki M, Vahtera J, Tabák AG, Halonen JI, </w:t>
      </w:r>
      <w:r w:rsidRPr="003A066D">
        <w:rPr>
          <w:bCs/>
        </w:rPr>
        <w:t>Vineis</w:t>
      </w:r>
      <w:r w:rsidRPr="003A066D">
        <w:t xml:space="preserve"> P, Pentti J, Pahkala K, Rovio S, Viikari J, Kähönen M, Juonala M, Ferrie JE, Stringhini S, Raitakari OT</w:t>
      </w:r>
      <w:r w:rsidR="00A47A34" w:rsidRPr="003A066D">
        <w:t>, 2018</w:t>
      </w:r>
      <w:r w:rsidRPr="003A066D">
        <w:t xml:space="preserve">. </w:t>
      </w:r>
      <w:hyperlink r:id="rId11" w:history="1">
        <w:r w:rsidRPr="003A066D">
          <w:rPr>
            <w:rStyle w:val="Hyperlink"/>
            <w:color w:val="auto"/>
            <w:u w:val="none"/>
          </w:rPr>
          <w:t>Neighbourhood socioeconomic disadvantage, risk factors, and diabetes from childhood to middle age in the Young Finns Study: a cohort study.</w:t>
        </w:r>
      </w:hyperlink>
      <w:r w:rsidRPr="003A066D">
        <w:t xml:space="preserve"> </w:t>
      </w:r>
      <w:r w:rsidRPr="003A066D">
        <w:rPr>
          <w:rStyle w:val="jrnl"/>
        </w:rPr>
        <w:t>Lancet Public Health</w:t>
      </w:r>
      <w:r w:rsidR="00A47A34" w:rsidRPr="003A066D">
        <w:t>.</w:t>
      </w:r>
      <w:r w:rsidRPr="003A066D">
        <w:t xml:space="preserve"> Aug;3(8):e365-e373</w:t>
      </w:r>
    </w:p>
    <w:p w14:paraId="68CE53DA" w14:textId="24D41677" w:rsidR="00CB2AD5" w:rsidRPr="003A066D" w:rsidRDefault="00CB2AD5" w:rsidP="003A066D">
      <w:pPr>
        <w:pStyle w:val="desc"/>
        <w:spacing w:line="360" w:lineRule="auto"/>
        <w:jc w:val="both"/>
      </w:pPr>
      <w:r w:rsidRPr="003A066D">
        <w:t>Krieger, N</w:t>
      </w:r>
      <w:r w:rsidR="00A47A34" w:rsidRPr="003A066D">
        <w:t>, 2005</w:t>
      </w:r>
      <w:r w:rsidRPr="003A066D">
        <w:t>. Embodiment: a conceptual glossary for epidemiology. J Epidemiol Community Health 59, 350-355, doi:10.1136/jech.2004.0245</w:t>
      </w:r>
      <w:r w:rsidR="00A47A34" w:rsidRPr="003A066D">
        <w:t>62</w:t>
      </w:r>
      <w:r w:rsidRPr="003A066D">
        <w:t>.</w:t>
      </w:r>
    </w:p>
    <w:p w14:paraId="3488D7A9" w14:textId="05562EBA" w:rsidR="00B24D32" w:rsidRPr="00B24D32" w:rsidRDefault="00CB2AD5" w:rsidP="00B24D32">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Krieger, N</w:t>
      </w:r>
      <w:r w:rsidR="00A47A34" w:rsidRPr="003A066D">
        <w:rPr>
          <w:rFonts w:ascii="Times New Roman" w:hAnsi="Times New Roman" w:cs="Times New Roman"/>
          <w:sz w:val="24"/>
          <w:szCs w:val="24"/>
        </w:rPr>
        <w:t>, 2008</w:t>
      </w:r>
      <w:r w:rsidRPr="003A066D">
        <w:rPr>
          <w:rFonts w:ascii="Times New Roman" w:hAnsi="Times New Roman" w:cs="Times New Roman"/>
          <w:sz w:val="24"/>
          <w:szCs w:val="24"/>
        </w:rPr>
        <w:t xml:space="preserve">. Proximal, distal, and the politics of causation: what's level got to do with it? </w:t>
      </w:r>
      <w:r w:rsidRPr="00B24D32">
        <w:rPr>
          <w:rFonts w:ascii="Times New Roman" w:hAnsi="Times New Roman" w:cs="Times New Roman"/>
          <w:sz w:val="24"/>
          <w:szCs w:val="24"/>
        </w:rPr>
        <w:t>Am J Public Health 98, 221-230, doi</w:t>
      </w:r>
      <w:r w:rsidR="00A47A34" w:rsidRPr="00B24D32">
        <w:rPr>
          <w:rFonts w:ascii="Times New Roman" w:hAnsi="Times New Roman" w:cs="Times New Roman"/>
          <w:sz w:val="24"/>
          <w:szCs w:val="24"/>
        </w:rPr>
        <w:t>:10.2105/AJPH.2007.111278</w:t>
      </w:r>
      <w:r w:rsidRPr="00B24D32">
        <w:rPr>
          <w:rFonts w:ascii="Times New Roman" w:hAnsi="Times New Roman" w:cs="Times New Roman"/>
          <w:sz w:val="24"/>
          <w:szCs w:val="24"/>
        </w:rPr>
        <w:t>.</w:t>
      </w:r>
    </w:p>
    <w:p w14:paraId="12C5E79E" w14:textId="718DA6C0" w:rsidR="00B24D32" w:rsidRPr="00AD72EE" w:rsidRDefault="00B24D32" w:rsidP="00AD72EE">
      <w:pPr>
        <w:spacing w:line="360" w:lineRule="auto"/>
        <w:outlineLvl w:val="0"/>
        <w:rPr>
          <w:rFonts w:ascii="Times New Roman" w:hAnsi="Times New Roman" w:cs="Times New Roman"/>
          <w:sz w:val="24"/>
          <w:szCs w:val="24"/>
        </w:rPr>
      </w:pPr>
      <w:r w:rsidRPr="00AD72EE">
        <w:rPr>
          <w:rFonts w:ascii="Times New Roman" w:hAnsi="Times New Roman" w:cs="Times New Roman"/>
          <w:sz w:val="24"/>
          <w:szCs w:val="24"/>
        </w:rPr>
        <w:t>Laine, JE, Baltar VT, Chadeau-Hyam M, Stringini</w:t>
      </w:r>
      <w:r w:rsidRPr="00AD72EE">
        <w:rPr>
          <w:rFonts w:ascii="Times New Roman" w:hAnsi="Times New Roman" w:cs="Times New Roman"/>
          <w:sz w:val="24"/>
          <w:szCs w:val="24"/>
          <w:vertAlign w:val="superscript"/>
        </w:rPr>
        <w:t xml:space="preserve"> </w:t>
      </w:r>
      <w:r w:rsidRPr="00AD72EE">
        <w:rPr>
          <w:rFonts w:ascii="Times New Roman" w:hAnsi="Times New Roman" w:cs="Times New Roman"/>
          <w:sz w:val="24"/>
          <w:szCs w:val="24"/>
        </w:rPr>
        <w:t>S, Lifepath Consortium, Vineis</w:t>
      </w:r>
      <w:r w:rsidRPr="00AD72EE">
        <w:rPr>
          <w:rFonts w:ascii="Times New Roman" w:hAnsi="Times New Roman" w:cs="Times New Roman"/>
          <w:sz w:val="24"/>
          <w:szCs w:val="24"/>
          <w:vertAlign w:val="superscript"/>
        </w:rPr>
        <w:t xml:space="preserve"> </w:t>
      </w:r>
      <w:r w:rsidRPr="00AD72EE">
        <w:rPr>
          <w:rFonts w:ascii="Times New Roman" w:hAnsi="Times New Roman" w:cs="Times New Roman"/>
          <w:sz w:val="24"/>
          <w:szCs w:val="24"/>
        </w:rPr>
        <w:t>P, 2020. Reducing Mortality from Socioeconomic Inequalities. Int. J. Epidemiol.</w:t>
      </w:r>
      <w:r w:rsidR="006874A6" w:rsidRPr="00AD72EE">
        <w:rPr>
          <w:rFonts w:ascii="Times New Roman" w:hAnsi="Times New Roman" w:cs="Times New Roman"/>
          <w:sz w:val="24"/>
          <w:szCs w:val="24"/>
        </w:rPr>
        <w:t>, in press</w:t>
      </w:r>
    </w:p>
    <w:p w14:paraId="498FA4EE" w14:textId="52AAEB09"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Lawlor, D. A., Tilling, K. &amp; Davey Smith, G</w:t>
      </w:r>
      <w:r w:rsidR="00A47A34" w:rsidRPr="003A066D">
        <w:rPr>
          <w:rFonts w:ascii="Times New Roman" w:hAnsi="Times New Roman" w:cs="Times New Roman"/>
          <w:sz w:val="24"/>
          <w:szCs w:val="24"/>
        </w:rPr>
        <w:t>, 2016</w:t>
      </w:r>
      <w:r w:rsidRPr="003A066D">
        <w:rPr>
          <w:rFonts w:ascii="Times New Roman" w:hAnsi="Times New Roman" w:cs="Times New Roman"/>
          <w:sz w:val="24"/>
          <w:szCs w:val="24"/>
        </w:rPr>
        <w:t>. Triangulation in aetiological epidemiology. Int J Epidemiol 45, 1866-188</w:t>
      </w:r>
      <w:r w:rsidR="00A47A34" w:rsidRPr="003A066D">
        <w:rPr>
          <w:rFonts w:ascii="Times New Roman" w:hAnsi="Times New Roman" w:cs="Times New Roman"/>
          <w:sz w:val="24"/>
          <w:szCs w:val="24"/>
        </w:rPr>
        <w:t>6, doi:10.1093/ije/dyw314</w:t>
      </w:r>
      <w:r w:rsidRPr="003A066D">
        <w:rPr>
          <w:rFonts w:ascii="Times New Roman" w:hAnsi="Times New Roman" w:cs="Times New Roman"/>
          <w:sz w:val="24"/>
          <w:szCs w:val="24"/>
        </w:rPr>
        <w:t>.</w:t>
      </w:r>
    </w:p>
    <w:p w14:paraId="2CC17237" w14:textId="2285A4B0" w:rsidR="00DD3895" w:rsidRDefault="00CB2AD5" w:rsidP="00A53C27">
      <w:pPr>
        <w:spacing w:after="0" w:line="360" w:lineRule="auto"/>
        <w:jc w:val="both"/>
      </w:pPr>
      <w:r w:rsidRPr="003A066D">
        <w:rPr>
          <w:rFonts w:ascii="Times New Roman" w:hAnsi="Times New Roman" w:cs="Times New Roman"/>
          <w:sz w:val="24"/>
          <w:szCs w:val="24"/>
        </w:rPr>
        <w:t>Marmot, M. G</w:t>
      </w:r>
      <w:r w:rsidR="00A47A34" w:rsidRPr="003A066D">
        <w:rPr>
          <w:rFonts w:ascii="Times New Roman" w:hAnsi="Times New Roman" w:cs="Times New Roman"/>
          <w:sz w:val="24"/>
          <w:szCs w:val="24"/>
        </w:rPr>
        <w:t>, 2004</w:t>
      </w:r>
      <w:r w:rsidRPr="003A066D">
        <w:rPr>
          <w:rFonts w:ascii="Times New Roman" w:hAnsi="Times New Roman" w:cs="Times New Roman"/>
          <w:sz w:val="24"/>
          <w:szCs w:val="24"/>
        </w:rPr>
        <w:t>. The status syndrome: how social standing affects our health and</w:t>
      </w:r>
      <w:r w:rsidR="00A47A34" w:rsidRPr="003A066D">
        <w:rPr>
          <w:rFonts w:ascii="Times New Roman" w:hAnsi="Times New Roman" w:cs="Times New Roman"/>
          <w:sz w:val="24"/>
          <w:szCs w:val="24"/>
        </w:rPr>
        <w:t xml:space="preserve"> longevity. 1st American edn, Times Books</w:t>
      </w:r>
      <w:r w:rsidRPr="003A066D">
        <w:rPr>
          <w:rFonts w:ascii="Times New Roman" w:hAnsi="Times New Roman" w:cs="Times New Roman"/>
          <w:sz w:val="24"/>
          <w:szCs w:val="24"/>
        </w:rPr>
        <w:t>.</w:t>
      </w:r>
    </w:p>
    <w:p w14:paraId="136F27F1" w14:textId="41E5026C" w:rsidR="00DD3895" w:rsidRPr="00A53C27" w:rsidRDefault="00DD3895" w:rsidP="00A53C27">
      <w:pPr>
        <w:rPr>
          <w:rFonts w:ascii="Times New Roman" w:hAnsi="Times New Roman" w:cs="Times New Roman"/>
          <w:sz w:val="24"/>
          <w:szCs w:val="24"/>
        </w:rPr>
      </w:pPr>
      <w:r w:rsidRPr="00A53C27">
        <w:rPr>
          <w:rStyle w:val="Strong"/>
          <w:rFonts w:ascii="Times New Roman" w:hAnsi="Times New Roman" w:cs="Times New Roman"/>
          <w:b w:val="0"/>
          <w:bCs w:val="0"/>
          <w:color w:val="494949"/>
          <w:sz w:val="24"/>
          <w:szCs w:val="24"/>
        </w:rPr>
        <w:t>McCrory, C</w:t>
      </w:r>
      <w:r w:rsidRPr="00A53C27">
        <w:rPr>
          <w:rFonts w:ascii="Times New Roman" w:hAnsi="Times New Roman" w:cs="Times New Roman"/>
          <w:color w:val="494949"/>
          <w:sz w:val="24"/>
          <w:szCs w:val="24"/>
        </w:rPr>
        <w:t>., Leahy, S., Ribeiro, A., Fraga, S., Barros, H., Vineis, P. &amp; Layte, R. for the LIFEPATH consortium (2019). Maternal educational inequalities in measured body mass index trajectories in children in three European countries.</w:t>
      </w:r>
      <w:r w:rsidRPr="00A53C27">
        <w:rPr>
          <w:rStyle w:val="apple-converted-space"/>
          <w:rFonts w:ascii="Times New Roman" w:hAnsi="Times New Roman" w:cs="Times New Roman"/>
          <w:color w:val="494949"/>
          <w:sz w:val="24"/>
          <w:szCs w:val="24"/>
        </w:rPr>
        <w:t> </w:t>
      </w:r>
      <w:r w:rsidRPr="00A53C27">
        <w:rPr>
          <w:rFonts w:ascii="Times New Roman" w:eastAsia="Times New Roman" w:hAnsi="Times New Roman" w:cs="Times New Roman"/>
          <w:sz w:val="24"/>
          <w:szCs w:val="24"/>
          <w:lang w:val="en-IE" w:eastAsia="en-GB"/>
        </w:rPr>
        <w:t>Paediatr Perinat Epidemiol. 2019;33:226–237.</w:t>
      </w:r>
      <w:r w:rsidRPr="00DD3895">
        <w:rPr>
          <w:rFonts w:ascii="Times New Roman" w:eastAsia="Times New Roman" w:hAnsi="Times New Roman" w:cs="Times New Roman"/>
          <w:sz w:val="24"/>
          <w:szCs w:val="24"/>
          <w:lang w:val="en-IE" w:eastAsia="en-GB"/>
        </w:rPr>
        <w:t xml:space="preserve"> </w:t>
      </w:r>
      <w:hyperlink r:id="rId12" w:history="1">
        <w:r w:rsidRPr="00A53C27">
          <w:rPr>
            <w:rStyle w:val="Hyperlink"/>
            <w:rFonts w:ascii="Times New Roman" w:hAnsi="Times New Roman" w:cs="Times New Roman"/>
            <w:color w:val="005274"/>
            <w:sz w:val="24"/>
            <w:szCs w:val="24"/>
          </w:rPr>
          <w:t>https://doi.org/10.1111/ppe.12552</w:t>
        </w:r>
      </w:hyperlink>
    </w:p>
    <w:p w14:paraId="57A8051A" w14:textId="14476EB7" w:rsidR="00CB2AD5" w:rsidRPr="003A066D" w:rsidRDefault="00EB4A59" w:rsidP="003A066D">
      <w:pPr>
        <w:spacing w:line="360" w:lineRule="auto"/>
        <w:rPr>
          <w:rFonts w:ascii="Times New Roman" w:hAnsi="Times New Roman" w:cs="Times New Roman"/>
          <w:sz w:val="24"/>
          <w:szCs w:val="24"/>
        </w:rPr>
      </w:pPr>
      <w:hyperlink r:id="rId13" w:history="1">
        <w:r w:rsidR="00855BA2" w:rsidRPr="003A066D">
          <w:rPr>
            <w:rStyle w:val="highlight"/>
            <w:rFonts w:ascii="Times New Roman" w:hAnsi="Times New Roman" w:cs="Times New Roman"/>
            <w:sz w:val="24"/>
            <w:szCs w:val="24"/>
          </w:rPr>
          <w:t>McCrory</w:t>
        </w:r>
        <w:r w:rsidR="00855BA2" w:rsidRPr="003A066D">
          <w:rPr>
            <w:rStyle w:val="Hyperlink"/>
            <w:rFonts w:ascii="Times New Roman" w:hAnsi="Times New Roman" w:cs="Times New Roman"/>
            <w:color w:val="auto"/>
            <w:sz w:val="24"/>
            <w:szCs w:val="24"/>
            <w:u w:val="none"/>
          </w:rPr>
          <w:t xml:space="preserve"> C</w:t>
        </w:r>
      </w:hyperlink>
      <w:r w:rsidR="00855BA2" w:rsidRPr="003A066D">
        <w:rPr>
          <w:rFonts w:ascii="Times New Roman" w:hAnsi="Times New Roman" w:cs="Times New Roman"/>
          <w:sz w:val="24"/>
          <w:szCs w:val="24"/>
        </w:rPr>
        <w:t xml:space="preserve">, </w:t>
      </w:r>
      <w:hyperlink r:id="rId14" w:history="1">
        <w:r w:rsidR="00855BA2" w:rsidRPr="003A066D">
          <w:rPr>
            <w:rStyle w:val="highlight"/>
            <w:rFonts w:ascii="Times New Roman" w:hAnsi="Times New Roman" w:cs="Times New Roman"/>
            <w:sz w:val="24"/>
            <w:szCs w:val="24"/>
          </w:rPr>
          <w:t>O'Leary</w:t>
        </w:r>
        <w:r w:rsidR="00855BA2" w:rsidRPr="003A066D">
          <w:rPr>
            <w:rStyle w:val="Hyperlink"/>
            <w:rFonts w:ascii="Times New Roman" w:hAnsi="Times New Roman" w:cs="Times New Roman"/>
            <w:color w:val="auto"/>
            <w:sz w:val="24"/>
            <w:szCs w:val="24"/>
            <w:u w:val="none"/>
          </w:rPr>
          <w:t xml:space="preserve"> N</w:t>
        </w:r>
      </w:hyperlink>
      <w:r w:rsidR="00855BA2" w:rsidRPr="003A066D">
        <w:rPr>
          <w:rFonts w:ascii="Times New Roman" w:hAnsi="Times New Roman" w:cs="Times New Roman"/>
          <w:sz w:val="24"/>
          <w:szCs w:val="24"/>
        </w:rPr>
        <w:t xml:space="preserve">, </w:t>
      </w:r>
      <w:hyperlink r:id="rId15" w:history="1">
        <w:r w:rsidR="00855BA2" w:rsidRPr="003A066D">
          <w:rPr>
            <w:rStyle w:val="highlight"/>
            <w:rFonts w:ascii="Times New Roman" w:hAnsi="Times New Roman" w:cs="Times New Roman"/>
            <w:sz w:val="24"/>
            <w:szCs w:val="24"/>
          </w:rPr>
          <w:t>Fraga</w:t>
        </w:r>
        <w:r w:rsidR="00855BA2" w:rsidRPr="003A066D">
          <w:rPr>
            <w:rStyle w:val="Hyperlink"/>
            <w:rFonts w:ascii="Times New Roman" w:hAnsi="Times New Roman" w:cs="Times New Roman"/>
            <w:color w:val="auto"/>
            <w:sz w:val="24"/>
            <w:szCs w:val="24"/>
            <w:u w:val="none"/>
          </w:rPr>
          <w:t xml:space="preserve"> S</w:t>
        </w:r>
      </w:hyperlink>
      <w:r w:rsidR="00855BA2" w:rsidRPr="003A066D">
        <w:rPr>
          <w:rFonts w:ascii="Times New Roman" w:hAnsi="Times New Roman" w:cs="Times New Roman"/>
          <w:sz w:val="24"/>
          <w:szCs w:val="24"/>
        </w:rPr>
        <w:t xml:space="preserve">, </w:t>
      </w:r>
      <w:hyperlink r:id="rId16" w:history="1">
        <w:r w:rsidR="00855BA2" w:rsidRPr="003A066D">
          <w:rPr>
            <w:rStyle w:val="highlight"/>
            <w:rFonts w:ascii="Times New Roman" w:hAnsi="Times New Roman" w:cs="Times New Roman"/>
            <w:sz w:val="24"/>
            <w:szCs w:val="24"/>
          </w:rPr>
          <w:t>Ribeiro</w:t>
        </w:r>
        <w:r w:rsidR="00855BA2" w:rsidRPr="003A066D">
          <w:rPr>
            <w:rStyle w:val="Hyperlink"/>
            <w:rFonts w:ascii="Times New Roman" w:hAnsi="Times New Roman" w:cs="Times New Roman"/>
            <w:color w:val="auto"/>
            <w:sz w:val="24"/>
            <w:szCs w:val="24"/>
            <w:u w:val="none"/>
          </w:rPr>
          <w:t xml:space="preserve"> AI</w:t>
        </w:r>
      </w:hyperlink>
      <w:r w:rsidR="00855BA2" w:rsidRPr="003A066D">
        <w:rPr>
          <w:rFonts w:ascii="Times New Roman" w:hAnsi="Times New Roman" w:cs="Times New Roman"/>
          <w:sz w:val="24"/>
          <w:szCs w:val="24"/>
        </w:rPr>
        <w:t xml:space="preserve">, </w:t>
      </w:r>
      <w:hyperlink r:id="rId17" w:history="1">
        <w:r w:rsidR="00855BA2" w:rsidRPr="003A066D">
          <w:rPr>
            <w:rStyle w:val="highlight"/>
            <w:rFonts w:ascii="Times New Roman" w:hAnsi="Times New Roman" w:cs="Times New Roman"/>
            <w:sz w:val="24"/>
            <w:szCs w:val="24"/>
          </w:rPr>
          <w:t>Barros</w:t>
        </w:r>
        <w:r w:rsidR="00855BA2" w:rsidRPr="003A066D">
          <w:rPr>
            <w:rStyle w:val="Hyperlink"/>
            <w:rFonts w:ascii="Times New Roman" w:hAnsi="Times New Roman" w:cs="Times New Roman"/>
            <w:color w:val="auto"/>
            <w:sz w:val="24"/>
            <w:szCs w:val="24"/>
            <w:u w:val="none"/>
          </w:rPr>
          <w:t xml:space="preserve"> H</w:t>
        </w:r>
      </w:hyperlink>
      <w:r w:rsidR="00855BA2" w:rsidRPr="003A066D">
        <w:rPr>
          <w:rFonts w:ascii="Times New Roman" w:hAnsi="Times New Roman" w:cs="Times New Roman"/>
          <w:sz w:val="24"/>
          <w:szCs w:val="24"/>
        </w:rPr>
        <w:t xml:space="preserve">, </w:t>
      </w:r>
      <w:hyperlink r:id="rId18" w:history="1">
        <w:r w:rsidR="00855BA2" w:rsidRPr="003A066D">
          <w:rPr>
            <w:rStyle w:val="highlight"/>
            <w:rFonts w:ascii="Times New Roman" w:hAnsi="Times New Roman" w:cs="Times New Roman"/>
            <w:sz w:val="24"/>
            <w:szCs w:val="24"/>
          </w:rPr>
          <w:t>Kartiosuo</w:t>
        </w:r>
        <w:r w:rsidR="00855BA2" w:rsidRPr="003A066D">
          <w:rPr>
            <w:rStyle w:val="Hyperlink"/>
            <w:rFonts w:ascii="Times New Roman" w:hAnsi="Times New Roman" w:cs="Times New Roman"/>
            <w:color w:val="auto"/>
            <w:sz w:val="24"/>
            <w:szCs w:val="24"/>
            <w:u w:val="none"/>
          </w:rPr>
          <w:t xml:space="preserve"> N</w:t>
        </w:r>
      </w:hyperlink>
      <w:r w:rsidR="00855BA2" w:rsidRPr="003A066D">
        <w:rPr>
          <w:rFonts w:ascii="Times New Roman" w:hAnsi="Times New Roman" w:cs="Times New Roman"/>
          <w:sz w:val="24"/>
          <w:szCs w:val="24"/>
        </w:rPr>
        <w:t xml:space="preserve">, </w:t>
      </w:r>
      <w:hyperlink r:id="rId19" w:history="1">
        <w:r w:rsidR="00855BA2" w:rsidRPr="003A066D">
          <w:rPr>
            <w:rStyle w:val="highlight"/>
            <w:rFonts w:ascii="Times New Roman" w:hAnsi="Times New Roman" w:cs="Times New Roman"/>
            <w:sz w:val="24"/>
            <w:szCs w:val="24"/>
          </w:rPr>
          <w:t>Raitakari</w:t>
        </w:r>
        <w:r w:rsidR="00855BA2" w:rsidRPr="003A066D">
          <w:rPr>
            <w:rStyle w:val="Hyperlink"/>
            <w:rFonts w:ascii="Times New Roman" w:hAnsi="Times New Roman" w:cs="Times New Roman"/>
            <w:color w:val="auto"/>
            <w:sz w:val="24"/>
            <w:szCs w:val="24"/>
            <w:u w:val="none"/>
          </w:rPr>
          <w:t xml:space="preserve"> O</w:t>
        </w:r>
      </w:hyperlink>
      <w:r w:rsidR="00855BA2" w:rsidRPr="003A066D">
        <w:rPr>
          <w:rFonts w:ascii="Times New Roman" w:hAnsi="Times New Roman" w:cs="Times New Roman"/>
          <w:sz w:val="24"/>
          <w:szCs w:val="24"/>
        </w:rPr>
        <w:t xml:space="preserve">, </w:t>
      </w:r>
      <w:hyperlink r:id="rId20" w:history="1">
        <w:r w:rsidR="00855BA2" w:rsidRPr="003A066D">
          <w:rPr>
            <w:rStyle w:val="Hyperlink"/>
            <w:rFonts w:ascii="Times New Roman" w:hAnsi="Times New Roman" w:cs="Times New Roman"/>
            <w:color w:val="auto"/>
            <w:sz w:val="24"/>
            <w:szCs w:val="24"/>
            <w:u w:val="none"/>
          </w:rPr>
          <w:t>Kivimäki M</w:t>
        </w:r>
      </w:hyperlink>
      <w:r w:rsidR="00855BA2" w:rsidRPr="003A066D">
        <w:rPr>
          <w:rFonts w:ascii="Times New Roman" w:hAnsi="Times New Roman" w:cs="Times New Roman"/>
          <w:sz w:val="24"/>
          <w:szCs w:val="24"/>
        </w:rPr>
        <w:t xml:space="preserve">, </w:t>
      </w:r>
      <w:hyperlink r:id="rId21" w:history="1">
        <w:r w:rsidR="00855BA2" w:rsidRPr="003A066D">
          <w:rPr>
            <w:rStyle w:val="highlight"/>
            <w:rFonts w:ascii="Times New Roman" w:hAnsi="Times New Roman" w:cs="Times New Roman"/>
            <w:sz w:val="24"/>
            <w:szCs w:val="24"/>
          </w:rPr>
          <w:t>Vineis</w:t>
        </w:r>
        <w:r w:rsidR="00855BA2" w:rsidRPr="003A066D">
          <w:rPr>
            <w:rStyle w:val="Hyperlink"/>
            <w:rFonts w:ascii="Times New Roman" w:hAnsi="Times New Roman" w:cs="Times New Roman"/>
            <w:color w:val="auto"/>
            <w:sz w:val="24"/>
            <w:szCs w:val="24"/>
            <w:u w:val="none"/>
          </w:rPr>
          <w:t xml:space="preserve"> P</w:t>
        </w:r>
      </w:hyperlink>
      <w:r w:rsidR="00855BA2" w:rsidRPr="003A066D">
        <w:rPr>
          <w:rFonts w:ascii="Times New Roman" w:hAnsi="Times New Roman" w:cs="Times New Roman"/>
          <w:sz w:val="24"/>
          <w:szCs w:val="24"/>
        </w:rPr>
        <w:t xml:space="preserve">, </w:t>
      </w:r>
      <w:hyperlink r:id="rId22" w:history="1">
        <w:r w:rsidR="00855BA2" w:rsidRPr="003A066D">
          <w:rPr>
            <w:rStyle w:val="highlight"/>
            <w:rFonts w:ascii="Times New Roman" w:hAnsi="Times New Roman" w:cs="Times New Roman"/>
            <w:sz w:val="24"/>
            <w:szCs w:val="24"/>
          </w:rPr>
          <w:t>Layte</w:t>
        </w:r>
        <w:r w:rsidR="00855BA2" w:rsidRPr="003A066D">
          <w:rPr>
            <w:rStyle w:val="Hyperlink"/>
            <w:rFonts w:ascii="Times New Roman" w:hAnsi="Times New Roman" w:cs="Times New Roman"/>
            <w:color w:val="auto"/>
            <w:sz w:val="24"/>
            <w:szCs w:val="24"/>
            <w:u w:val="none"/>
          </w:rPr>
          <w:t xml:space="preserve"> R</w:t>
        </w:r>
      </w:hyperlink>
      <w:r w:rsidR="00855BA2" w:rsidRPr="003A066D">
        <w:rPr>
          <w:rFonts w:ascii="Times New Roman" w:hAnsi="Times New Roman" w:cs="Times New Roman"/>
          <w:sz w:val="24"/>
          <w:szCs w:val="24"/>
        </w:rPr>
        <w:t xml:space="preserve">; </w:t>
      </w:r>
      <w:hyperlink r:id="rId23" w:history="1">
        <w:r w:rsidR="00855BA2" w:rsidRPr="003A066D">
          <w:rPr>
            <w:rStyle w:val="highlight"/>
            <w:rFonts w:ascii="Times New Roman" w:hAnsi="Times New Roman" w:cs="Times New Roman"/>
            <w:sz w:val="24"/>
            <w:szCs w:val="24"/>
          </w:rPr>
          <w:t>Lifepath</w:t>
        </w:r>
        <w:r w:rsidR="00855BA2" w:rsidRPr="003A066D">
          <w:rPr>
            <w:rStyle w:val="Hyperlink"/>
            <w:rFonts w:ascii="Times New Roman" w:hAnsi="Times New Roman" w:cs="Times New Roman"/>
            <w:color w:val="auto"/>
            <w:sz w:val="24"/>
            <w:szCs w:val="24"/>
            <w:u w:val="none"/>
          </w:rPr>
          <w:t xml:space="preserve"> Consortium</w:t>
        </w:r>
      </w:hyperlink>
      <w:r w:rsidR="00855BA2" w:rsidRPr="003A066D">
        <w:rPr>
          <w:rFonts w:ascii="Times New Roman" w:hAnsi="Times New Roman" w:cs="Times New Roman"/>
          <w:sz w:val="24"/>
          <w:szCs w:val="24"/>
        </w:rPr>
        <w:t>.</w:t>
      </w:r>
      <w:r w:rsidR="00A47A34" w:rsidRPr="003A066D">
        <w:rPr>
          <w:rFonts w:ascii="Times New Roman" w:hAnsi="Times New Roman" w:cs="Times New Roman"/>
          <w:sz w:val="24"/>
          <w:szCs w:val="24"/>
        </w:rPr>
        <w:t>, 2017</w:t>
      </w:r>
      <w:r w:rsidR="00CB2AD5" w:rsidRPr="003A066D">
        <w:rPr>
          <w:rFonts w:ascii="Times New Roman" w:hAnsi="Times New Roman" w:cs="Times New Roman"/>
          <w:sz w:val="24"/>
          <w:szCs w:val="24"/>
        </w:rPr>
        <w:t>. Socioeconomic differences in children's growth trajectories from infancy to early adulthood: evidence from four European countries. J Epidemiol Community Health 71, 981-989, doi</w:t>
      </w:r>
      <w:r w:rsidR="00A47A34" w:rsidRPr="003A066D">
        <w:rPr>
          <w:rFonts w:ascii="Times New Roman" w:hAnsi="Times New Roman" w:cs="Times New Roman"/>
          <w:sz w:val="24"/>
          <w:szCs w:val="24"/>
        </w:rPr>
        <w:t>:10.1136/jech-2016-208556</w:t>
      </w:r>
      <w:r w:rsidR="00CB2AD5" w:rsidRPr="003A066D">
        <w:rPr>
          <w:rFonts w:ascii="Times New Roman" w:hAnsi="Times New Roman" w:cs="Times New Roman"/>
          <w:sz w:val="24"/>
          <w:szCs w:val="24"/>
        </w:rPr>
        <w:t>.</w:t>
      </w:r>
    </w:p>
    <w:p w14:paraId="63D8A317" w14:textId="3C5BFB0B"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Munafo, M. R. &amp; Davey Smith, G</w:t>
      </w:r>
      <w:r w:rsidR="00A47A34" w:rsidRPr="003A066D">
        <w:rPr>
          <w:rFonts w:ascii="Times New Roman" w:hAnsi="Times New Roman" w:cs="Times New Roman"/>
          <w:sz w:val="24"/>
          <w:szCs w:val="24"/>
        </w:rPr>
        <w:t>, 2018</w:t>
      </w:r>
      <w:r w:rsidRPr="003A066D">
        <w:rPr>
          <w:rFonts w:ascii="Times New Roman" w:hAnsi="Times New Roman" w:cs="Times New Roman"/>
          <w:sz w:val="24"/>
          <w:szCs w:val="24"/>
        </w:rPr>
        <w:t>. Robust research needs many lines of evidence. Nature 553, 399-401, doi:1</w:t>
      </w:r>
      <w:r w:rsidR="00A47A34" w:rsidRPr="003A066D">
        <w:rPr>
          <w:rFonts w:ascii="Times New Roman" w:hAnsi="Times New Roman" w:cs="Times New Roman"/>
          <w:sz w:val="24"/>
          <w:szCs w:val="24"/>
        </w:rPr>
        <w:t>0.1038/d41586-018-01023-3</w:t>
      </w:r>
      <w:r w:rsidRPr="003A066D">
        <w:rPr>
          <w:rFonts w:ascii="Times New Roman" w:hAnsi="Times New Roman" w:cs="Times New Roman"/>
          <w:sz w:val="24"/>
          <w:szCs w:val="24"/>
        </w:rPr>
        <w:t>.</w:t>
      </w:r>
    </w:p>
    <w:p w14:paraId="08F591BC" w14:textId="1EFEE3CE"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fldChar w:fldCharType="begin"/>
      </w:r>
      <w:r w:rsidRPr="003A066D">
        <w:rPr>
          <w:rFonts w:ascii="Times New Roman" w:hAnsi="Times New Roman" w:cs="Times New Roman"/>
          <w:sz w:val="24"/>
          <w:szCs w:val="24"/>
        </w:rPr>
        <w:instrText xml:space="preserve"> ADDIN EN.REFLIST </w:instrText>
      </w:r>
      <w:r w:rsidRPr="003A066D">
        <w:rPr>
          <w:rFonts w:ascii="Times New Roman" w:hAnsi="Times New Roman" w:cs="Times New Roman"/>
          <w:sz w:val="24"/>
          <w:szCs w:val="24"/>
        </w:rPr>
        <w:fldChar w:fldCharType="separate"/>
      </w:r>
      <w:r w:rsidRPr="003A066D">
        <w:rPr>
          <w:rFonts w:ascii="Times New Roman" w:hAnsi="Times New Roman" w:cs="Times New Roman"/>
          <w:sz w:val="24"/>
          <w:szCs w:val="24"/>
        </w:rPr>
        <w:t>Patton, M.Q.</w:t>
      </w:r>
      <w:r w:rsidR="00A47A34" w:rsidRPr="003A066D">
        <w:rPr>
          <w:rFonts w:ascii="Times New Roman" w:hAnsi="Times New Roman" w:cs="Times New Roman"/>
          <w:sz w:val="24"/>
          <w:szCs w:val="24"/>
        </w:rPr>
        <w:t>, 1999.</w:t>
      </w:r>
      <w:r w:rsidRPr="003A066D">
        <w:rPr>
          <w:rFonts w:ascii="Times New Roman" w:hAnsi="Times New Roman" w:cs="Times New Roman"/>
          <w:sz w:val="24"/>
          <w:szCs w:val="24"/>
        </w:rPr>
        <w:t xml:space="preserve"> Enhancing the quality and credibility of qualitative analysis. Health services resea</w:t>
      </w:r>
      <w:r w:rsidR="00503FC1" w:rsidRPr="003A066D">
        <w:rPr>
          <w:rFonts w:ascii="Times New Roman" w:hAnsi="Times New Roman" w:cs="Times New Roman"/>
          <w:sz w:val="24"/>
          <w:szCs w:val="24"/>
        </w:rPr>
        <w:t>rch 34 (5 Pt 2):1189-1208</w:t>
      </w:r>
      <w:r w:rsidRPr="003A066D">
        <w:rPr>
          <w:rFonts w:ascii="Times New Roman" w:hAnsi="Times New Roman" w:cs="Times New Roman"/>
          <w:sz w:val="24"/>
          <w:szCs w:val="24"/>
        </w:rPr>
        <w:t>.</w:t>
      </w:r>
      <w:r w:rsidRPr="003A066D">
        <w:rPr>
          <w:rFonts w:ascii="Times New Roman" w:hAnsi="Times New Roman" w:cs="Times New Roman"/>
          <w:sz w:val="24"/>
          <w:szCs w:val="24"/>
        </w:rPr>
        <w:fldChar w:fldCharType="end"/>
      </w:r>
    </w:p>
    <w:p w14:paraId="4FE48DBF" w14:textId="0702B455" w:rsidR="00CB2AD5" w:rsidRPr="003A066D" w:rsidRDefault="00855BA2" w:rsidP="003A066D">
      <w:pPr>
        <w:spacing w:line="360" w:lineRule="auto"/>
        <w:rPr>
          <w:rFonts w:ascii="Times New Roman" w:hAnsi="Times New Roman" w:cs="Times New Roman"/>
          <w:sz w:val="24"/>
          <w:szCs w:val="24"/>
        </w:rPr>
      </w:pPr>
      <w:r w:rsidRPr="003A066D">
        <w:rPr>
          <w:rFonts w:ascii="Times New Roman" w:hAnsi="Times New Roman" w:cs="Times New Roman"/>
          <w:bCs/>
          <w:sz w:val="24"/>
          <w:szCs w:val="24"/>
        </w:rPr>
        <w:t>Pearce</w:t>
      </w:r>
      <w:r w:rsidRPr="003A066D">
        <w:rPr>
          <w:rFonts w:ascii="Times New Roman" w:hAnsi="Times New Roman" w:cs="Times New Roman"/>
          <w:sz w:val="24"/>
          <w:szCs w:val="24"/>
        </w:rPr>
        <w:t xml:space="preserve"> N, Ebrahim S, McKee M, Lamptey P, Barreto ML, Matheson D, Walls H, Foliaki S, Miranda J, Chimeddamba O, Marcos LG, Haines A, </w:t>
      </w:r>
      <w:r w:rsidRPr="003A066D">
        <w:rPr>
          <w:rFonts w:ascii="Times New Roman" w:hAnsi="Times New Roman" w:cs="Times New Roman"/>
          <w:bCs/>
          <w:sz w:val="24"/>
          <w:szCs w:val="24"/>
        </w:rPr>
        <w:t>Vineis</w:t>
      </w:r>
      <w:r w:rsidRPr="003A066D">
        <w:rPr>
          <w:rFonts w:ascii="Times New Roman" w:hAnsi="Times New Roman" w:cs="Times New Roman"/>
          <w:sz w:val="24"/>
          <w:szCs w:val="24"/>
        </w:rPr>
        <w:t xml:space="preserve"> P.</w:t>
      </w:r>
      <w:r w:rsidR="00503FC1" w:rsidRPr="003A066D">
        <w:rPr>
          <w:rFonts w:ascii="Times New Roman" w:hAnsi="Times New Roman" w:cs="Times New Roman"/>
          <w:sz w:val="24"/>
          <w:szCs w:val="24"/>
        </w:rPr>
        <w:t>, 2014</w:t>
      </w:r>
      <w:r w:rsidR="00CB2AD5" w:rsidRPr="003A066D">
        <w:rPr>
          <w:rFonts w:ascii="Times New Roman" w:hAnsi="Times New Roman" w:cs="Times New Roman"/>
          <w:sz w:val="24"/>
          <w:szCs w:val="24"/>
        </w:rPr>
        <w:t>. The road to 25x25: how can the five-target strategy reach its goal? Lancet Glob Health 2, e126-128, doi</w:t>
      </w:r>
      <w:r w:rsidR="00503FC1" w:rsidRPr="003A066D">
        <w:rPr>
          <w:rFonts w:ascii="Times New Roman" w:hAnsi="Times New Roman" w:cs="Times New Roman"/>
          <w:sz w:val="24"/>
          <w:szCs w:val="24"/>
        </w:rPr>
        <w:t xml:space="preserve">:10.1016/S2214-109X(14)70015-4 </w:t>
      </w:r>
    </w:p>
    <w:p w14:paraId="0E1EB7EC" w14:textId="4DC2009D"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rPr>
        <w:t>Stringhini,</w:t>
      </w:r>
      <w:r w:rsidR="00C80EDC" w:rsidRPr="003A066D">
        <w:rPr>
          <w:rFonts w:ascii="Times New Roman" w:hAnsi="Times New Roman" w:cs="Times New Roman"/>
          <w:sz w:val="24"/>
          <w:szCs w:val="24"/>
        </w:rPr>
        <w:t xml:space="preserve"> S., Carmeli, Jokela M, Avendaño M, Muennig P, Guida F, Ricceri F, d’Errico A, Barros H, Bochud M, Chadeau-Hyam M, Clavel-Chapelon F, Costa G, Delpierre C, Fraga S, Goldberg M, Giles GG, Krogh V, Kelly-Irving M, Layte R, Lasserre AM, Marmot MG, Preisig M, Shipley MJ, Vollenweider P, Zins M, Kawachi I, Steptoe A, Mackenbach JP, Vineis P, Kivimäki M, for the LIFEPATH consortium‡</w:t>
      </w:r>
      <w:r w:rsidR="00503FC1" w:rsidRPr="003A066D">
        <w:rPr>
          <w:rFonts w:ascii="Times New Roman" w:hAnsi="Times New Roman" w:cs="Times New Roman"/>
          <w:sz w:val="24"/>
          <w:szCs w:val="24"/>
        </w:rPr>
        <w:t>, 2017</w:t>
      </w:r>
      <w:r w:rsidRPr="003A066D">
        <w:rPr>
          <w:rFonts w:ascii="Times New Roman" w:hAnsi="Times New Roman" w:cs="Times New Roman"/>
          <w:sz w:val="24"/>
          <w:szCs w:val="24"/>
        </w:rPr>
        <w:t>. Socioeconomic status and the 25 x 25 risk factors as determinants of premature mortality: a multicohort study and meta-analysis of 1.7 million men and women. Lancet, doi:10.1</w:t>
      </w:r>
      <w:r w:rsidR="00503FC1" w:rsidRPr="003A066D">
        <w:rPr>
          <w:rFonts w:ascii="Times New Roman" w:hAnsi="Times New Roman" w:cs="Times New Roman"/>
          <w:sz w:val="24"/>
          <w:szCs w:val="24"/>
        </w:rPr>
        <w:t>016/S0140-6736(16)32380-7</w:t>
      </w:r>
      <w:r w:rsidRPr="003A066D">
        <w:rPr>
          <w:rFonts w:ascii="Times New Roman" w:hAnsi="Times New Roman" w:cs="Times New Roman"/>
          <w:sz w:val="24"/>
          <w:szCs w:val="24"/>
        </w:rPr>
        <w:t>.</w:t>
      </w:r>
    </w:p>
    <w:p w14:paraId="4B82A2EA" w14:textId="4F58AA33" w:rsidR="00CB2AD5" w:rsidRPr="003A066D" w:rsidRDefault="00EB2B49" w:rsidP="003A066D">
      <w:pPr>
        <w:spacing w:line="360" w:lineRule="auto"/>
        <w:rPr>
          <w:rFonts w:ascii="Times New Roman" w:hAnsi="Times New Roman" w:cs="Times New Roman"/>
          <w:sz w:val="24"/>
          <w:szCs w:val="24"/>
        </w:rPr>
      </w:pPr>
      <w:r w:rsidRPr="003A066D">
        <w:rPr>
          <w:rFonts w:ascii="Times New Roman" w:hAnsi="Times New Roman" w:cs="Times New Roman"/>
          <w:bCs/>
          <w:sz w:val="24"/>
          <w:szCs w:val="24"/>
        </w:rPr>
        <w:t>Stringhini</w:t>
      </w:r>
      <w:r w:rsidRPr="003A066D">
        <w:rPr>
          <w:rFonts w:ascii="Times New Roman" w:hAnsi="Times New Roman" w:cs="Times New Roman"/>
          <w:sz w:val="24"/>
          <w:szCs w:val="24"/>
        </w:rPr>
        <w:t xml:space="preserve"> S, Carmeli C, Jokela M, Avendaño M, McCrory C, d'Errico A, Bochud M, Barros H, Costa G, Chadeau-Hyam M, Delpierre C, Gandini M, Fraga S, Goldberg M, Giles GG, Lassale C, Kenny RA, Kelly-Irving M, Paccaud F, Layte R, Muennig P, Marmot MG, Ribeiro AI, Severi G, Steptoe A, Shipley MJ, Zins M, Mackenbach JP, Vineis P, Kivimäki M; LIFEPATH Consortium</w:t>
      </w:r>
      <w:r w:rsidR="00503FC1" w:rsidRPr="003A066D">
        <w:rPr>
          <w:rFonts w:ascii="Times New Roman" w:hAnsi="Times New Roman" w:cs="Times New Roman"/>
          <w:sz w:val="24"/>
          <w:szCs w:val="24"/>
        </w:rPr>
        <w:t>, 2018</w:t>
      </w:r>
      <w:r w:rsidR="00CB2AD5" w:rsidRPr="003A066D">
        <w:rPr>
          <w:rFonts w:ascii="Times New Roman" w:hAnsi="Times New Roman" w:cs="Times New Roman"/>
          <w:sz w:val="24"/>
          <w:szCs w:val="24"/>
        </w:rPr>
        <w:t>. Socioeconomic status, non-communicable disease risk factors, and walking speed in older adults: multi-co</w:t>
      </w:r>
      <w:r w:rsidR="00503FC1" w:rsidRPr="003A066D">
        <w:rPr>
          <w:rFonts w:ascii="Times New Roman" w:hAnsi="Times New Roman" w:cs="Times New Roman"/>
          <w:sz w:val="24"/>
          <w:szCs w:val="24"/>
        </w:rPr>
        <w:t>hort population based study. BMJ</w:t>
      </w:r>
      <w:r w:rsidR="00CB2AD5" w:rsidRPr="003A066D">
        <w:rPr>
          <w:rFonts w:ascii="Times New Roman" w:hAnsi="Times New Roman" w:cs="Times New Roman"/>
          <w:sz w:val="24"/>
          <w:szCs w:val="24"/>
        </w:rPr>
        <w:t xml:space="preserve"> 360, k1046, do</w:t>
      </w:r>
      <w:r w:rsidR="00503FC1" w:rsidRPr="003A066D">
        <w:rPr>
          <w:rFonts w:ascii="Times New Roman" w:hAnsi="Times New Roman" w:cs="Times New Roman"/>
          <w:sz w:val="24"/>
          <w:szCs w:val="24"/>
        </w:rPr>
        <w:t>i:10.1136/bmj.k1046</w:t>
      </w:r>
      <w:r w:rsidR="00CB2AD5" w:rsidRPr="003A066D">
        <w:rPr>
          <w:rFonts w:ascii="Times New Roman" w:hAnsi="Times New Roman" w:cs="Times New Roman"/>
          <w:sz w:val="24"/>
          <w:szCs w:val="24"/>
        </w:rPr>
        <w:t>.</w:t>
      </w:r>
    </w:p>
    <w:p w14:paraId="6DB0BE1A" w14:textId="1BEE492B" w:rsidR="00CB2AD5" w:rsidRPr="003A066D" w:rsidRDefault="00CB2AD5" w:rsidP="003A066D">
      <w:pPr>
        <w:shd w:val="clear" w:color="auto" w:fill="FFFFFF"/>
        <w:spacing w:line="360" w:lineRule="auto"/>
        <w:rPr>
          <w:rFonts w:ascii="Times New Roman" w:hAnsi="Times New Roman" w:cs="Times New Roman"/>
          <w:bCs/>
          <w:sz w:val="24"/>
          <w:szCs w:val="24"/>
        </w:rPr>
      </w:pPr>
      <w:r w:rsidRPr="003A066D">
        <w:rPr>
          <w:rFonts w:ascii="Times New Roman" w:hAnsi="Times New Roman" w:cs="Times New Roman"/>
          <w:sz w:val="24"/>
          <w:szCs w:val="24"/>
        </w:rPr>
        <w:t>United Nations</w:t>
      </w:r>
      <w:r w:rsidR="00503FC1" w:rsidRPr="003A066D">
        <w:rPr>
          <w:rFonts w:ascii="Times New Roman" w:hAnsi="Times New Roman" w:cs="Times New Roman"/>
          <w:sz w:val="24"/>
          <w:szCs w:val="24"/>
        </w:rPr>
        <w:t>, 2011</w:t>
      </w:r>
      <w:r w:rsidRPr="003A066D">
        <w:rPr>
          <w:rFonts w:ascii="Times New Roman" w:hAnsi="Times New Roman" w:cs="Times New Roman"/>
          <w:sz w:val="24"/>
          <w:szCs w:val="24"/>
        </w:rPr>
        <w:t xml:space="preserve">. </w:t>
      </w:r>
      <w:r w:rsidRPr="003A066D">
        <w:rPr>
          <w:rFonts w:ascii="Times New Roman" w:hAnsi="Times New Roman" w:cs="Times New Roman"/>
          <w:bCs/>
          <w:sz w:val="24"/>
          <w:szCs w:val="24"/>
        </w:rPr>
        <w:t xml:space="preserve">High level meeting of the General Assembly on the Prevention and Control of Non-communicable Diseases. New York. </w:t>
      </w:r>
      <w:hyperlink r:id="rId24" w:tgtFrame="_blank" w:history="1">
        <w:r w:rsidRPr="003A066D">
          <w:rPr>
            <w:rStyle w:val="Hyperlink"/>
            <w:rFonts w:ascii="Times New Roman" w:hAnsi="Times New Roman" w:cs="Times New Roman"/>
            <w:color w:val="auto"/>
            <w:sz w:val="24"/>
            <w:szCs w:val="24"/>
            <w:u w:val="none"/>
          </w:rPr>
          <w:t>http://www.who.int/nmh/events/un_ncd_summit2011/speeches/en/index.html</w:t>
        </w:r>
      </w:hyperlink>
    </w:p>
    <w:p w14:paraId="3079D625" w14:textId="08575F18" w:rsidR="00CB2AD5" w:rsidRPr="003A066D" w:rsidRDefault="00CB2AD5" w:rsidP="003A066D">
      <w:pPr>
        <w:spacing w:after="0" w:line="360" w:lineRule="auto"/>
        <w:jc w:val="both"/>
        <w:rPr>
          <w:rFonts w:ascii="Times New Roman" w:hAnsi="Times New Roman" w:cs="Times New Roman"/>
          <w:sz w:val="24"/>
          <w:szCs w:val="24"/>
        </w:rPr>
      </w:pPr>
      <w:r w:rsidRPr="003A066D">
        <w:rPr>
          <w:rFonts w:ascii="Times New Roman" w:hAnsi="Times New Roman" w:cs="Times New Roman"/>
          <w:sz w:val="24"/>
          <w:szCs w:val="24"/>
          <w:lang w:val="it-IT"/>
        </w:rPr>
        <w:t>Vineis, P., Illari, P. &amp; Russo, F</w:t>
      </w:r>
      <w:r w:rsidR="00503FC1" w:rsidRPr="003A066D">
        <w:rPr>
          <w:rFonts w:ascii="Times New Roman" w:hAnsi="Times New Roman" w:cs="Times New Roman"/>
          <w:sz w:val="24"/>
          <w:szCs w:val="24"/>
          <w:lang w:val="it-IT"/>
        </w:rPr>
        <w:t>, 2017</w:t>
      </w:r>
      <w:r w:rsidRPr="003A066D">
        <w:rPr>
          <w:rFonts w:ascii="Times New Roman" w:hAnsi="Times New Roman" w:cs="Times New Roman"/>
          <w:sz w:val="24"/>
          <w:szCs w:val="24"/>
          <w:lang w:val="it-IT"/>
        </w:rPr>
        <w:t xml:space="preserve">. </w:t>
      </w:r>
      <w:r w:rsidRPr="003A066D">
        <w:rPr>
          <w:rFonts w:ascii="Times New Roman" w:hAnsi="Times New Roman" w:cs="Times New Roman"/>
          <w:sz w:val="24"/>
          <w:szCs w:val="24"/>
        </w:rPr>
        <w:t>Causality in cancer research: a journey through models in molecular epidemiology and their philosophical interpretation. Emerg Themes Epidemiol 14, 7, doi:</w:t>
      </w:r>
      <w:r w:rsidR="00503FC1" w:rsidRPr="003A066D">
        <w:rPr>
          <w:rFonts w:ascii="Times New Roman" w:hAnsi="Times New Roman" w:cs="Times New Roman"/>
          <w:sz w:val="24"/>
          <w:szCs w:val="24"/>
        </w:rPr>
        <w:t>10.1186/s12982-017-0061-7</w:t>
      </w:r>
      <w:r w:rsidRPr="003A066D">
        <w:rPr>
          <w:rFonts w:ascii="Times New Roman" w:hAnsi="Times New Roman" w:cs="Times New Roman"/>
          <w:sz w:val="24"/>
          <w:szCs w:val="24"/>
        </w:rPr>
        <w:t>.</w:t>
      </w:r>
    </w:p>
    <w:p w14:paraId="4D191618" w14:textId="77777777" w:rsidR="00CB2AD5" w:rsidRPr="003A066D" w:rsidRDefault="00CB2AD5" w:rsidP="003A066D">
      <w:pPr>
        <w:spacing w:line="360" w:lineRule="auto"/>
        <w:rPr>
          <w:rFonts w:ascii="Times New Roman" w:hAnsi="Times New Roman" w:cs="Times New Roman"/>
          <w:sz w:val="24"/>
          <w:szCs w:val="24"/>
        </w:rPr>
      </w:pPr>
    </w:p>
    <w:p w14:paraId="0BAF0F97" w14:textId="77777777" w:rsidR="00282666" w:rsidRPr="00315BB7" w:rsidRDefault="00282666" w:rsidP="0086535B">
      <w:pPr>
        <w:spacing w:after="0" w:line="360" w:lineRule="auto"/>
        <w:jc w:val="both"/>
        <w:rPr>
          <w:rFonts w:ascii="Times New Roman" w:hAnsi="Times New Roman" w:cs="Times New Roman"/>
          <w:sz w:val="24"/>
          <w:szCs w:val="24"/>
        </w:rPr>
      </w:pPr>
    </w:p>
    <w:p w14:paraId="7C8657FB" w14:textId="77777777" w:rsidR="00282666" w:rsidRPr="008926AB" w:rsidRDefault="00282666" w:rsidP="0086535B">
      <w:pPr>
        <w:spacing w:line="360" w:lineRule="auto"/>
        <w:jc w:val="both"/>
        <w:rPr>
          <w:rFonts w:ascii="Times New Roman" w:hAnsi="Times New Roman" w:cs="Times New Roman"/>
          <w:sz w:val="24"/>
          <w:szCs w:val="24"/>
        </w:rPr>
      </w:pPr>
      <w:r w:rsidRPr="008926AB">
        <w:rPr>
          <w:rFonts w:ascii="Times New Roman" w:hAnsi="Times New Roman" w:cs="Times New Roman"/>
          <w:sz w:val="24"/>
          <w:szCs w:val="24"/>
        </w:rPr>
        <w:br w:type="page"/>
      </w:r>
    </w:p>
    <w:p w14:paraId="655F5999" w14:textId="7C0BCAA0" w:rsidR="00B02E3E" w:rsidRPr="00B02E3E" w:rsidRDefault="00282666" w:rsidP="00B02E3E">
      <w:pPr>
        <w:spacing w:line="360" w:lineRule="auto"/>
        <w:jc w:val="both"/>
        <w:rPr>
          <w:rFonts w:ascii="Times New Roman" w:hAnsi="Times New Roman" w:cs="Times New Roman"/>
          <w:sz w:val="24"/>
          <w:szCs w:val="24"/>
        </w:rPr>
      </w:pPr>
      <w:r w:rsidRPr="005C1256">
        <w:rPr>
          <w:rFonts w:ascii="Times New Roman" w:hAnsi="Times New Roman" w:cs="Times New Roman"/>
        </w:rPr>
        <w:t xml:space="preserve">Table 1. Associations between </w:t>
      </w:r>
      <w:r w:rsidR="00892978" w:rsidRPr="005C1256">
        <w:rPr>
          <w:rFonts w:ascii="Times New Roman" w:hAnsi="Times New Roman" w:cs="Times New Roman"/>
        </w:rPr>
        <w:t>socio-economic condition</w:t>
      </w:r>
      <w:r w:rsidRPr="005C1256">
        <w:rPr>
          <w:rFonts w:ascii="Times New Roman" w:hAnsi="Times New Roman" w:cs="Times New Roman"/>
        </w:rPr>
        <w:t xml:space="preserve"> and different health and biological outcomes. </w:t>
      </w:r>
      <w:r w:rsidR="007C3A75">
        <w:rPr>
          <w:rFonts w:ascii="Times New Roman" w:hAnsi="Times New Roman" w:cs="Times New Roman"/>
        </w:rPr>
        <w:t xml:space="preserve">The reference category is always the less disadvantaged </w:t>
      </w:r>
      <w:r w:rsidR="007C3A75" w:rsidRPr="005C1256">
        <w:rPr>
          <w:rFonts w:ascii="Times New Roman" w:hAnsi="Times New Roman" w:cs="Times New Roman"/>
        </w:rPr>
        <w:t>(for definition see text)</w:t>
      </w:r>
      <w:r w:rsidR="007C3A75">
        <w:rPr>
          <w:rFonts w:ascii="Times New Roman" w:hAnsi="Times New Roman" w:cs="Times New Roman"/>
        </w:rPr>
        <w:t xml:space="preserve">. </w:t>
      </w:r>
      <w:r w:rsidR="00BD534A" w:rsidRPr="006D7BE4">
        <w:rPr>
          <w:rFonts w:ascii="Times New Roman" w:hAnsi="Times New Roman" w:cs="Times New Roman"/>
        </w:rPr>
        <w:t>Minimally adjusted estimates are adjusted by age</w:t>
      </w:r>
      <w:r w:rsidR="00AD13DE" w:rsidRPr="006D7BE4">
        <w:rPr>
          <w:rFonts w:ascii="Times New Roman" w:hAnsi="Times New Roman" w:cs="Times New Roman"/>
        </w:rPr>
        <w:t xml:space="preserve"> and sex in most comparisons</w:t>
      </w:r>
      <w:r w:rsidR="0030661D" w:rsidRPr="006D7BE4">
        <w:rPr>
          <w:rFonts w:ascii="Times New Roman" w:hAnsi="Times New Roman" w:cs="Times New Roman"/>
        </w:rPr>
        <w:t xml:space="preserve"> (race when relevant)</w:t>
      </w:r>
      <w:r w:rsidR="00AD13DE" w:rsidRPr="006D7BE4">
        <w:rPr>
          <w:rFonts w:ascii="Times New Roman" w:hAnsi="Times New Roman" w:cs="Times New Roman"/>
        </w:rPr>
        <w:t xml:space="preserve">, and by </w:t>
      </w:r>
      <w:r w:rsidR="0030661D" w:rsidRPr="006D7BE4">
        <w:rPr>
          <w:rFonts w:ascii="Times New Roman" w:hAnsi="Times New Roman" w:cs="Times New Roman"/>
        </w:rPr>
        <w:t>age</w:t>
      </w:r>
      <w:r w:rsidR="00BD534A" w:rsidRPr="006D7BE4">
        <w:rPr>
          <w:rFonts w:ascii="Times New Roman" w:hAnsi="Times New Roman" w:cs="Times New Roman"/>
        </w:rPr>
        <w:t xml:space="preserve">, </w:t>
      </w:r>
      <w:r w:rsidR="00BD534A" w:rsidRPr="005C1256">
        <w:rPr>
          <w:rFonts w:ascii="Times New Roman" w:hAnsi="Times New Roman" w:cs="Times New Roman"/>
        </w:rPr>
        <w:t>age</w:t>
      </w:r>
      <w:r w:rsidR="00BD534A" w:rsidRPr="008926AB">
        <w:rPr>
          <w:rFonts w:ascii="Times New Roman" w:hAnsi="Times New Roman" w:cs="Times New Roman"/>
          <w:vertAlign w:val="superscript"/>
        </w:rPr>
        <w:t>2</w:t>
      </w:r>
      <w:r w:rsidR="00BD534A" w:rsidRPr="005C1256">
        <w:rPr>
          <w:rFonts w:ascii="Times New Roman" w:hAnsi="Times New Roman" w:cs="Times New Roman"/>
        </w:rPr>
        <w:t>, heig</w:t>
      </w:r>
      <w:r w:rsidR="00BD534A" w:rsidRPr="006D7BE4">
        <w:rPr>
          <w:rFonts w:ascii="Times New Roman" w:hAnsi="Times New Roman" w:cs="Times New Roman"/>
        </w:rPr>
        <w:t>ht and year of birth</w:t>
      </w:r>
      <w:r w:rsidR="00AD13DE" w:rsidRPr="006D7BE4">
        <w:rPr>
          <w:rFonts w:ascii="Times New Roman" w:hAnsi="Times New Roman" w:cs="Times New Roman"/>
        </w:rPr>
        <w:t xml:space="preserve"> in papers </w:t>
      </w:r>
      <w:r w:rsidR="00B6364C">
        <w:rPr>
          <w:rFonts w:ascii="Times New Roman" w:hAnsi="Times New Roman" w:cs="Times New Roman"/>
          <w:vertAlign w:val="superscript"/>
        </w:rPr>
        <w:t>9</w:t>
      </w:r>
      <w:r w:rsidR="00AD13DE" w:rsidRPr="008926AB">
        <w:rPr>
          <w:rFonts w:ascii="Times New Roman" w:hAnsi="Times New Roman" w:cs="Times New Roman"/>
          <w:vertAlign w:val="superscript"/>
        </w:rPr>
        <w:t xml:space="preserve"> </w:t>
      </w:r>
      <w:r w:rsidR="00AD13DE" w:rsidRPr="005C1256">
        <w:rPr>
          <w:rFonts w:ascii="Times New Roman" w:hAnsi="Times New Roman" w:cs="Times New Roman"/>
        </w:rPr>
        <w:t xml:space="preserve">and </w:t>
      </w:r>
      <w:r w:rsidR="00B6364C">
        <w:rPr>
          <w:rFonts w:ascii="Times New Roman" w:hAnsi="Times New Roman" w:cs="Times New Roman"/>
          <w:vertAlign w:val="superscript"/>
        </w:rPr>
        <w:t>10</w:t>
      </w:r>
      <w:r w:rsidR="00AD13DE" w:rsidRPr="005C1256">
        <w:rPr>
          <w:rFonts w:ascii="Times New Roman" w:hAnsi="Times New Roman" w:cs="Times New Roman"/>
        </w:rPr>
        <w:t>.</w:t>
      </w:r>
      <w:r w:rsidR="00BD534A" w:rsidRPr="005C1256">
        <w:rPr>
          <w:rFonts w:ascii="Times New Roman" w:hAnsi="Times New Roman" w:cs="Times New Roman"/>
        </w:rPr>
        <w:t xml:space="preserve"> Fully</w:t>
      </w:r>
      <w:r w:rsidR="00AD13DE" w:rsidRPr="005C1256">
        <w:rPr>
          <w:rFonts w:ascii="Times New Roman" w:hAnsi="Times New Roman" w:cs="Times New Roman"/>
        </w:rPr>
        <w:t>-adjusted</w:t>
      </w:r>
      <w:r w:rsidRPr="006D7BE4">
        <w:rPr>
          <w:rFonts w:ascii="Times New Roman" w:hAnsi="Times New Roman" w:cs="Times New Roman"/>
        </w:rPr>
        <w:t xml:space="preserve"> estimates are adjusted by 25x25 risk factors for non-communicable diseases (obesity, hypertension, smoking, diabetes, physical inactivity, alcohol intake), where appropriate</w:t>
      </w:r>
      <w:r w:rsidR="005C1256" w:rsidRPr="006D7BE4">
        <w:rPr>
          <w:rFonts w:ascii="Times New Roman" w:hAnsi="Times New Roman" w:cs="Times New Roman"/>
        </w:rPr>
        <w:t xml:space="preserve">. For studies in children models were adjusted for </w:t>
      </w:r>
      <w:r w:rsidR="005C1256" w:rsidRPr="008926AB">
        <w:rPr>
          <w:rFonts w:ascii="Times New Roman" w:hAnsi="Times New Roman" w:cs="Times New Roman"/>
        </w:rPr>
        <w:t>mother’s age, parity, smoked during pregnancy, alcohol during pregnancy and marital status</w:t>
      </w:r>
      <w:r w:rsidR="002E2039">
        <w:rPr>
          <w:rFonts w:ascii="Times New Roman" w:hAnsi="Times New Roman" w:cs="Times New Roman"/>
        </w:rPr>
        <w:t>. All estimates are</w:t>
      </w:r>
      <w:r w:rsidRPr="006D7BE4">
        <w:rPr>
          <w:rFonts w:ascii="Times New Roman" w:hAnsi="Times New Roman" w:cs="Times New Roman"/>
        </w:rPr>
        <w:t xml:space="preserve"> reported with their 95% confidence intervals.</w:t>
      </w:r>
    </w:p>
    <w:tbl>
      <w:tblPr>
        <w:tblW w:w="9469" w:type="dxa"/>
        <w:jc w:val="center"/>
        <w:tblLook w:val="04A0" w:firstRow="1" w:lastRow="0" w:firstColumn="1" w:lastColumn="0" w:noHBand="0" w:noVBand="1"/>
      </w:tblPr>
      <w:tblGrid>
        <w:gridCol w:w="2294"/>
        <w:gridCol w:w="521"/>
        <w:gridCol w:w="3442"/>
        <w:gridCol w:w="1284"/>
        <w:gridCol w:w="216"/>
        <w:gridCol w:w="599"/>
        <w:gridCol w:w="1113"/>
      </w:tblGrid>
      <w:tr w:rsidR="00B02E3E" w:rsidRPr="00084B38" w14:paraId="76B28EFB" w14:textId="77777777" w:rsidTr="005161AE">
        <w:trPr>
          <w:trHeight w:val="290"/>
          <w:jc w:val="center"/>
        </w:trPr>
        <w:tc>
          <w:tcPr>
            <w:tcW w:w="2815" w:type="dxa"/>
            <w:gridSpan w:val="2"/>
            <w:tcBorders>
              <w:top w:val="single" w:sz="8" w:space="0" w:color="auto"/>
              <w:left w:val="single" w:sz="8" w:space="0" w:color="auto"/>
              <w:bottom w:val="nil"/>
              <w:right w:val="nil"/>
            </w:tcBorders>
            <w:shd w:val="clear" w:color="000000" w:fill="BFBFBF"/>
            <w:noWrap/>
            <w:vAlign w:val="bottom"/>
            <w:hideMark/>
          </w:tcPr>
          <w:p w14:paraId="15FD3CB8"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Outcome</w:t>
            </w:r>
          </w:p>
        </w:tc>
        <w:tc>
          <w:tcPr>
            <w:tcW w:w="3442" w:type="dxa"/>
            <w:tcBorders>
              <w:top w:val="single" w:sz="8" w:space="0" w:color="auto"/>
              <w:left w:val="nil"/>
              <w:bottom w:val="nil"/>
              <w:right w:val="nil"/>
            </w:tcBorders>
            <w:shd w:val="clear" w:color="000000" w:fill="BFBFBF"/>
            <w:noWrap/>
            <w:vAlign w:val="bottom"/>
            <w:hideMark/>
          </w:tcPr>
          <w:p w14:paraId="2F0F152B" w14:textId="6B696265"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 xml:space="preserve">Cohorts </w:t>
            </w:r>
            <w:r>
              <w:rPr>
                <w:rFonts w:ascii="Times New Roman" w:eastAsia="Times New Roman" w:hAnsi="Times New Roman" w:cs="Times New Roman"/>
                <w:b/>
                <w:bCs/>
                <w:color w:val="000000"/>
                <w:lang w:eastAsia="en-GB"/>
              </w:rPr>
              <w:t>–</w:t>
            </w:r>
            <w:r w:rsidRPr="00084B38">
              <w:rPr>
                <w:rFonts w:ascii="Times New Roman" w:eastAsia="Times New Roman" w:hAnsi="Times New Roman" w:cs="Times New Roman"/>
                <w:b/>
                <w:bCs/>
                <w:color w:val="000000"/>
                <w:lang w:eastAsia="en-GB"/>
              </w:rPr>
              <w:t xml:space="preserve"> exposure</w:t>
            </w:r>
            <w:r>
              <w:rPr>
                <w:rFonts w:ascii="Times New Roman" w:eastAsia="Times New Roman" w:hAnsi="Times New Roman" w:cs="Times New Roman"/>
                <w:b/>
                <w:bCs/>
                <w:color w:val="000000"/>
                <w:lang w:eastAsia="en-GB"/>
              </w:rPr>
              <w:t xml:space="preserve"> </w:t>
            </w:r>
            <w:r w:rsidR="0024676C">
              <w:rPr>
                <w:rFonts w:ascii="Times New Roman" w:eastAsia="Times New Roman" w:hAnsi="Times New Roman" w:cs="Times New Roman"/>
                <w:b/>
                <w:bCs/>
                <w:color w:val="000000"/>
                <w:lang w:eastAsia="en-GB"/>
              </w:rPr>
              <w:t>–</w:t>
            </w:r>
            <w:r w:rsidRPr="00084B38">
              <w:rPr>
                <w:rFonts w:ascii="Times New Roman" w:eastAsia="Times New Roman" w:hAnsi="Times New Roman" w:cs="Times New Roman"/>
                <w:b/>
                <w:bCs/>
                <w:color w:val="000000"/>
                <w:lang w:eastAsia="en-GB"/>
              </w:rPr>
              <w:t xml:space="preserve"> units</w:t>
            </w:r>
          </w:p>
        </w:tc>
        <w:tc>
          <w:tcPr>
            <w:tcW w:w="1284" w:type="dxa"/>
            <w:tcBorders>
              <w:top w:val="single" w:sz="8" w:space="0" w:color="auto"/>
              <w:left w:val="nil"/>
              <w:bottom w:val="nil"/>
              <w:right w:val="nil"/>
            </w:tcBorders>
            <w:shd w:val="clear" w:color="000000" w:fill="BFBFBF"/>
            <w:noWrap/>
            <w:vAlign w:val="bottom"/>
            <w:hideMark/>
          </w:tcPr>
          <w:p w14:paraId="70ABE08B"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Male</w:t>
            </w:r>
          </w:p>
        </w:tc>
        <w:tc>
          <w:tcPr>
            <w:tcW w:w="1928" w:type="dxa"/>
            <w:gridSpan w:val="3"/>
            <w:tcBorders>
              <w:top w:val="single" w:sz="8" w:space="0" w:color="auto"/>
              <w:left w:val="nil"/>
              <w:bottom w:val="nil"/>
              <w:right w:val="single" w:sz="8" w:space="0" w:color="auto"/>
            </w:tcBorders>
            <w:shd w:val="clear" w:color="000000" w:fill="BFBFBF"/>
            <w:noWrap/>
            <w:vAlign w:val="bottom"/>
            <w:hideMark/>
          </w:tcPr>
          <w:p w14:paraId="0CD2311B"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Female</w:t>
            </w:r>
          </w:p>
        </w:tc>
      </w:tr>
      <w:tr w:rsidR="00B02E3E" w:rsidRPr="00084B38" w14:paraId="774B395D" w14:textId="77777777" w:rsidTr="005161AE">
        <w:trPr>
          <w:trHeight w:val="300"/>
          <w:jc w:val="center"/>
        </w:trPr>
        <w:tc>
          <w:tcPr>
            <w:tcW w:w="2815" w:type="dxa"/>
            <w:gridSpan w:val="2"/>
            <w:tcBorders>
              <w:top w:val="nil"/>
              <w:left w:val="single" w:sz="8" w:space="0" w:color="auto"/>
              <w:bottom w:val="nil"/>
              <w:right w:val="nil"/>
            </w:tcBorders>
            <w:shd w:val="clear" w:color="000000" w:fill="FFFFFF"/>
            <w:noWrap/>
            <w:vAlign w:val="bottom"/>
            <w:hideMark/>
          </w:tcPr>
          <w:p w14:paraId="3B241989"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 </w:t>
            </w:r>
          </w:p>
        </w:tc>
        <w:tc>
          <w:tcPr>
            <w:tcW w:w="3442" w:type="dxa"/>
            <w:tcBorders>
              <w:top w:val="nil"/>
              <w:left w:val="nil"/>
              <w:bottom w:val="nil"/>
              <w:right w:val="nil"/>
            </w:tcBorders>
            <w:shd w:val="clear" w:color="000000" w:fill="FFFFFF"/>
            <w:noWrap/>
            <w:vAlign w:val="bottom"/>
            <w:hideMark/>
          </w:tcPr>
          <w:p w14:paraId="72F47B67"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 </w:t>
            </w:r>
          </w:p>
        </w:tc>
        <w:tc>
          <w:tcPr>
            <w:tcW w:w="1284" w:type="dxa"/>
            <w:tcBorders>
              <w:top w:val="nil"/>
              <w:left w:val="nil"/>
              <w:bottom w:val="nil"/>
              <w:right w:val="nil"/>
            </w:tcBorders>
            <w:shd w:val="clear" w:color="000000" w:fill="FFFFFF"/>
            <w:noWrap/>
            <w:vAlign w:val="bottom"/>
            <w:hideMark/>
          </w:tcPr>
          <w:p w14:paraId="282F0812"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 </w:t>
            </w:r>
          </w:p>
        </w:tc>
        <w:tc>
          <w:tcPr>
            <w:tcW w:w="1928" w:type="dxa"/>
            <w:gridSpan w:val="3"/>
            <w:tcBorders>
              <w:top w:val="nil"/>
              <w:left w:val="nil"/>
              <w:bottom w:val="nil"/>
              <w:right w:val="single" w:sz="8" w:space="0" w:color="auto"/>
            </w:tcBorders>
            <w:shd w:val="clear" w:color="000000" w:fill="FFFFFF"/>
            <w:noWrap/>
            <w:vAlign w:val="bottom"/>
            <w:hideMark/>
          </w:tcPr>
          <w:p w14:paraId="2F555283"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 </w:t>
            </w:r>
          </w:p>
        </w:tc>
      </w:tr>
      <w:tr w:rsidR="00B02E3E" w:rsidRPr="00084B38" w14:paraId="459636FC" w14:textId="77777777" w:rsidTr="005161AE">
        <w:trPr>
          <w:trHeight w:val="460"/>
          <w:jc w:val="center"/>
        </w:trPr>
        <w:tc>
          <w:tcPr>
            <w:tcW w:w="6257" w:type="dxa"/>
            <w:gridSpan w:val="3"/>
            <w:tcBorders>
              <w:top w:val="single" w:sz="8" w:space="0" w:color="auto"/>
              <w:left w:val="single" w:sz="8" w:space="0" w:color="auto"/>
              <w:bottom w:val="nil"/>
              <w:right w:val="nil"/>
            </w:tcBorders>
            <w:shd w:val="clear" w:color="000000" w:fill="D0CECE"/>
            <w:noWrap/>
            <w:vAlign w:val="bottom"/>
            <w:hideMark/>
          </w:tcPr>
          <w:p w14:paraId="1BE49375" w14:textId="77777777" w:rsidR="00B02E3E" w:rsidRPr="00084B38" w:rsidRDefault="00B02E3E" w:rsidP="005161AE">
            <w:pPr>
              <w:spacing w:after="0" w:line="360" w:lineRule="auto"/>
              <w:jc w:val="both"/>
              <w:rPr>
                <w:rFonts w:ascii="Times New Roman" w:eastAsia="Times New Roman" w:hAnsi="Times New Roman" w:cs="Times New Roman"/>
                <w:b/>
                <w:bCs/>
                <w:i/>
                <w:iCs/>
                <w:color w:val="000000"/>
                <w:lang w:eastAsia="en-GB"/>
              </w:rPr>
            </w:pPr>
            <w:r w:rsidRPr="00084B38">
              <w:rPr>
                <w:rFonts w:ascii="Times New Roman" w:eastAsia="Times New Roman" w:hAnsi="Times New Roman" w:cs="Times New Roman"/>
                <w:b/>
                <w:bCs/>
                <w:i/>
                <w:iCs/>
                <w:color w:val="000000"/>
                <w:lang w:eastAsia="en-GB"/>
              </w:rPr>
              <w:t>Relationship between disadvantag</w:t>
            </w:r>
            <w:r>
              <w:rPr>
                <w:rFonts w:ascii="Times New Roman" w:eastAsia="Times New Roman" w:hAnsi="Times New Roman" w:cs="Times New Roman"/>
                <w:b/>
                <w:bCs/>
                <w:i/>
                <w:iCs/>
                <w:color w:val="000000"/>
                <w:lang w:eastAsia="en-GB"/>
              </w:rPr>
              <w:t xml:space="preserve">ed  socio-economic conditions &amp; </w:t>
            </w:r>
            <w:r w:rsidRPr="00084B38">
              <w:rPr>
                <w:rFonts w:ascii="Times New Roman" w:eastAsia="Times New Roman" w:hAnsi="Times New Roman" w:cs="Times New Roman"/>
                <w:b/>
                <w:bCs/>
                <w:i/>
                <w:iCs/>
                <w:color w:val="000000"/>
                <w:lang w:eastAsia="en-GB"/>
              </w:rPr>
              <w:t>long-term outcomes</w:t>
            </w:r>
          </w:p>
        </w:tc>
        <w:tc>
          <w:tcPr>
            <w:tcW w:w="1284" w:type="dxa"/>
            <w:tcBorders>
              <w:top w:val="single" w:sz="8" w:space="0" w:color="auto"/>
              <w:left w:val="nil"/>
              <w:bottom w:val="nil"/>
              <w:right w:val="nil"/>
            </w:tcBorders>
            <w:shd w:val="clear" w:color="000000" w:fill="D0CECE"/>
            <w:noWrap/>
            <w:vAlign w:val="bottom"/>
            <w:hideMark/>
          </w:tcPr>
          <w:p w14:paraId="2AF9ADEC"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1928" w:type="dxa"/>
            <w:gridSpan w:val="3"/>
            <w:tcBorders>
              <w:top w:val="single" w:sz="8" w:space="0" w:color="auto"/>
              <w:left w:val="nil"/>
              <w:bottom w:val="nil"/>
              <w:right w:val="single" w:sz="8" w:space="0" w:color="auto"/>
            </w:tcBorders>
            <w:shd w:val="clear" w:color="000000" w:fill="D0CECE"/>
            <w:noWrap/>
            <w:vAlign w:val="bottom"/>
            <w:hideMark/>
          </w:tcPr>
          <w:p w14:paraId="4791F5F9"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r>
      <w:tr w:rsidR="00B02E3E" w:rsidRPr="00084B38" w14:paraId="000C27B0" w14:textId="77777777" w:rsidTr="005161AE">
        <w:trPr>
          <w:trHeight w:val="350"/>
          <w:jc w:val="center"/>
        </w:trPr>
        <w:tc>
          <w:tcPr>
            <w:tcW w:w="22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C8401C" w14:textId="44F0A9B6" w:rsidR="00B02E3E" w:rsidRDefault="007C3A75" w:rsidP="005161AE">
            <w:pPr>
              <w:spacing w:after="0" w:line="360" w:lineRule="auto"/>
              <w:jc w:val="both"/>
              <w:rPr>
                <w:rFonts w:ascii="Times New Roman" w:eastAsia="Times New Roman" w:hAnsi="Times New Roman" w:cs="Times New Roman"/>
                <w:i/>
                <w:iCs/>
                <w:color w:val="000000"/>
                <w:lang w:eastAsia="en-GB"/>
              </w:rPr>
            </w:pPr>
            <w:r>
              <w:rPr>
                <w:rFonts w:ascii="Times New Roman" w:eastAsia="Times New Roman" w:hAnsi="Times New Roman" w:cs="Times New Roman"/>
                <w:i/>
                <w:iCs/>
                <w:color w:val="000000"/>
                <w:lang w:eastAsia="en-GB"/>
              </w:rPr>
              <w:t>Total m</w:t>
            </w:r>
            <w:r w:rsidR="00B02E3E" w:rsidRPr="00084B38">
              <w:rPr>
                <w:rFonts w:ascii="Times New Roman" w:eastAsia="Times New Roman" w:hAnsi="Times New Roman" w:cs="Times New Roman"/>
                <w:i/>
                <w:iCs/>
                <w:color w:val="000000"/>
                <w:lang w:eastAsia="en-GB"/>
              </w:rPr>
              <w:t>ortality</w:t>
            </w:r>
            <w:r w:rsidR="008313E5">
              <w:rPr>
                <w:rFonts w:ascii="Times New Roman" w:eastAsia="Times New Roman" w:hAnsi="Times New Roman" w:cs="Times New Roman"/>
                <w:color w:val="000000"/>
                <w:vertAlign w:val="superscript"/>
                <w:lang w:eastAsia="en-GB"/>
              </w:rPr>
              <w:t xml:space="preserve"> </w:t>
            </w:r>
            <w:r w:rsidR="008313E5">
              <w:rPr>
                <w:rFonts w:ascii="Times New Roman" w:eastAsia="Times New Roman" w:hAnsi="Times New Roman" w:cs="Times New Roman"/>
                <w:i/>
                <w:iCs/>
                <w:color w:val="000000"/>
                <w:lang w:eastAsia="en-GB"/>
              </w:rPr>
              <w:t>(Stringhini et al, 2017)</w:t>
            </w:r>
          </w:p>
          <w:p w14:paraId="53502E7D" w14:textId="77777777" w:rsidR="00B02E3E" w:rsidRPr="0030661D" w:rsidRDefault="00B02E3E" w:rsidP="005161AE">
            <w:pPr>
              <w:spacing w:after="0" w:line="240" w:lineRule="auto"/>
              <w:rPr>
                <w:rFonts w:ascii="Times New Roman" w:eastAsia="Times New Roman" w:hAnsi="Times New Roman" w:cs="Times New Roman"/>
                <w:i/>
                <w:iCs/>
                <w:color w:val="000000"/>
                <w:lang w:eastAsia="en-GB"/>
              </w:rPr>
            </w:pPr>
            <w:r w:rsidRPr="0030661D">
              <w:rPr>
                <w:rFonts w:ascii="Times New Roman" w:eastAsia="Times New Roman" w:hAnsi="Times New Roman" w:cs="Times New Roman"/>
                <w:i/>
                <w:iCs/>
                <w:color w:val="000000"/>
                <w:lang w:eastAsia="en-GB"/>
              </w:rPr>
              <w:t xml:space="preserve">(countries: </w:t>
            </w:r>
            <w:r w:rsidRPr="008926AB">
              <w:rPr>
                <w:rFonts w:ascii="Times New Roman" w:hAnsi="Times New Roman" w:cs="Times New Roman"/>
              </w:rPr>
              <w:t>UK, France, Switzerland, Portugal, Italy, USA, Australia</w:t>
            </w:r>
            <w:r>
              <w:rPr>
                <w:rFonts w:ascii="Times New Roman" w:hAnsi="Times New Roman" w:cs="Times New Roman"/>
              </w:rPr>
              <w:t>)</w:t>
            </w:r>
          </w:p>
        </w:tc>
        <w:tc>
          <w:tcPr>
            <w:tcW w:w="3963" w:type="dxa"/>
            <w:gridSpan w:val="2"/>
            <w:tcBorders>
              <w:top w:val="single" w:sz="8" w:space="0" w:color="auto"/>
              <w:left w:val="nil"/>
              <w:bottom w:val="single" w:sz="4" w:space="0" w:color="auto"/>
              <w:right w:val="single" w:sz="4" w:space="0" w:color="auto"/>
            </w:tcBorders>
            <w:shd w:val="clear" w:color="auto" w:fill="auto"/>
            <w:noWrap/>
            <w:vAlign w:val="bottom"/>
            <w:hideMark/>
          </w:tcPr>
          <w:p w14:paraId="461453B7" w14:textId="5FAB900B"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48 cohorts - most disadvantaged vs most advantaged social position</w:t>
            </w:r>
            <w:r w:rsidR="002A1D3B">
              <w:rPr>
                <w:rFonts w:ascii="Times New Roman" w:eastAsia="Times New Roman" w:hAnsi="Times New Roman" w:cs="Times New Roman"/>
                <w:color w:val="000000"/>
                <w:lang w:eastAsia="en-GB"/>
              </w:rPr>
              <w:t xml:space="preserve"> (occupation)</w:t>
            </w:r>
            <w:r w:rsidRPr="00084B38">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w:t>
            </w:r>
            <w:r w:rsidRPr="00084B38">
              <w:rPr>
                <w:rFonts w:ascii="Times New Roman" w:eastAsia="Times New Roman" w:hAnsi="Times New Roman" w:cs="Times New Roman"/>
                <w:color w:val="000000"/>
                <w:lang w:eastAsia="en-GB"/>
              </w:rPr>
              <w:t xml:space="preserve"> H</w:t>
            </w:r>
            <w:r>
              <w:rPr>
                <w:rFonts w:ascii="Times New Roman" w:eastAsia="Times New Roman" w:hAnsi="Times New Roman" w:cs="Times New Roman"/>
                <w:color w:val="000000"/>
                <w:lang w:eastAsia="en-GB"/>
              </w:rPr>
              <w:t xml:space="preserve">azard </w:t>
            </w:r>
            <w:r w:rsidRPr="00084B38">
              <w:rPr>
                <w:rFonts w:ascii="Times New Roman" w:eastAsia="Times New Roman" w:hAnsi="Times New Roman" w:cs="Times New Roman"/>
                <w:color w:val="000000"/>
                <w:lang w:eastAsia="en-GB"/>
              </w:rPr>
              <w:t>R</w:t>
            </w:r>
            <w:r>
              <w:rPr>
                <w:rFonts w:ascii="Times New Roman" w:eastAsia="Times New Roman" w:hAnsi="Times New Roman" w:cs="Times New Roman"/>
                <w:color w:val="000000"/>
                <w:lang w:eastAsia="en-GB"/>
              </w:rPr>
              <w:t>atio</w:t>
            </w:r>
            <w:r w:rsidRPr="00084B38">
              <w:rPr>
                <w:rFonts w:ascii="Times New Roman" w:eastAsia="Times New Roman" w:hAnsi="Times New Roman" w:cs="Times New Roman"/>
                <w:color w:val="000000"/>
                <w:lang w:eastAsia="en-GB"/>
              </w:rPr>
              <w:t xml:space="preserve"> (</w:t>
            </w:r>
            <w:r w:rsidR="007C3A75">
              <w:rPr>
                <w:rFonts w:ascii="Times New Roman" w:eastAsia="Times New Roman" w:hAnsi="Times New Roman" w:cs="Times New Roman"/>
                <w:color w:val="000000"/>
                <w:lang w:eastAsia="en-GB"/>
              </w:rPr>
              <w:t xml:space="preserve">HR) and </w:t>
            </w:r>
            <w:r w:rsidRPr="00084B38">
              <w:rPr>
                <w:rFonts w:ascii="Times New Roman" w:eastAsia="Times New Roman" w:hAnsi="Times New Roman" w:cs="Times New Roman"/>
                <w:color w:val="000000"/>
                <w:lang w:eastAsia="en-GB"/>
              </w:rPr>
              <w:t>95%CI</w:t>
            </w:r>
            <w:r w:rsidR="007C3A75">
              <w:rPr>
                <w:rFonts w:ascii="Times New Roman" w:eastAsia="Times New Roman" w:hAnsi="Times New Roman" w:cs="Times New Roman"/>
                <w:color w:val="000000"/>
                <w:lang w:eastAsia="en-GB"/>
              </w:rPr>
              <w:t xml:space="preserve"> in brackets</w:t>
            </w:r>
            <w:r w:rsidRPr="00084B38">
              <w:rPr>
                <w:rFonts w:ascii="Times New Roman" w:eastAsia="Times New Roman" w:hAnsi="Times New Roman" w:cs="Times New Roman"/>
                <w:color w:val="000000"/>
                <w:lang w:eastAsia="en-GB"/>
              </w:rPr>
              <w:t xml:space="preserve"> </w:t>
            </w:r>
          </w:p>
        </w:tc>
        <w:tc>
          <w:tcPr>
            <w:tcW w:w="150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4DC7950" w14:textId="27C26DB3"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7C3A75">
              <w:rPr>
                <w:rFonts w:ascii="Times New Roman" w:eastAsia="Times New Roman" w:hAnsi="Times New Roman" w:cs="Times New Roman"/>
                <w:color w:val="000000"/>
                <w:lang w:eastAsia="en-GB"/>
              </w:rPr>
              <w:t>HR=</w:t>
            </w:r>
            <w:r>
              <w:rPr>
                <w:rFonts w:ascii="Times New Roman" w:eastAsia="Times New Roman" w:hAnsi="Times New Roman" w:cs="Times New Roman"/>
                <w:color w:val="000000"/>
                <w:lang w:eastAsia="en-GB"/>
              </w:rPr>
              <w:t xml:space="preserve">1.42 (1.38 ; 1.45) Fully-adjusted </w:t>
            </w:r>
            <w:r w:rsidR="007C3A75">
              <w:rPr>
                <w:rFonts w:ascii="Times New Roman" w:eastAsia="Times New Roman" w:hAnsi="Times New Roman" w:cs="Times New Roman"/>
                <w:color w:val="000000"/>
                <w:lang w:eastAsia="en-GB"/>
              </w:rPr>
              <w:t>HR=</w:t>
            </w:r>
            <w:r>
              <w:rPr>
                <w:rFonts w:ascii="Times New Roman" w:eastAsia="Times New Roman" w:hAnsi="Times New Roman" w:cs="Times New Roman"/>
                <w:color w:val="000000"/>
                <w:lang w:eastAsia="en-GB"/>
              </w:rPr>
              <w:t xml:space="preserve">1.29 (1.23 ; </w:t>
            </w:r>
            <w:r w:rsidRPr="00084B38">
              <w:rPr>
                <w:rFonts w:ascii="Times New Roman" w:eastAsia="Times New Roman" w:hAnsi="Times New Roman" w:cs="Times New Roman"/>
                <w:color w:val="000000"/>
                <w:lang w:eastAsia="en-GB"/>
              </w:rPr>
              <w:t>1.36)</w:t>
            </w:r>
          </w:p>
        </w:tc>
        <w:tc>
          <w:tcPr>
            <w:tcW w:w="1712" w:type="dxa"/>
            <w:gridSpan w:val="2"/>
            <w:tcBorders>
              <w:top w:val="single" w:sz="8" w:space="0" w:color="auto"/>
              <w:left w:val="nil"/>
              <w:bottom w:val="single" w:sz="4" w:space="0" w:color="auto"/>
              <w:right w:val="single" w:sz="8" w:space="0" w:color="auto"/>
            </w:tcBorders>
            <w:shd w:val="clear" w:color="auto" w:fill="auto"/>
            <w:noWrap/>
            <w:vAlign w:val="bottom"/>
            <w:hideMark/>
          </w:tcPr>
          <w:p w14:paraId="69269FC4" w14:textId="7D82B43E"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7C3A75">
              <w:rPr>
                <w:rFonts w:ascii="Times New Roman" w:eastAsia="Times New Roman" w:hAnsi="Times New Roman" w:cs="Times New Roman"/>
                <w:color w:val="000000"/>
                <w:lang w:eastAsia="en-GB"/>
              </w:rPr>
              <w:t>HR=</w:t>
            </w:r>
            <w:r>
              <w:rPr>
                <w:rFonts w:ascii="Times New Roman" w:eastAsia="Times New Roman" w:hAnsi="Times New Roman" w:cs="Times New Roman"/>
                <w:color w:val="000000"/>
                <w:lang w:eastAsia="en-GB"/>
              </w:rPr>
              <w:t>1.34 (1.28 ; 1.39)</w:t>
            </w:r>
          </w:p>
          <w:p w14:paraId="09CC1AC4" w14:textId="3F2F016E"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Fully adjusted </w:t>
            </w:r>
            <w:r w:rsidR="007C3A75">
              <w:rPr>
                <w:rFonts w:ascii="Times New Roman" w:eastAsia="Times New Roman" w:hAnsi="Times New Roman" w:cs="Times New Roman"/>
                <w:color w:val="000000"/>
                <w:lang w:eastAsia="en-GB"/>
              </w:rPr>
              <w:t>HR=</w:t>
            </w:r>
            <w:r>
              <w:rPr>
                <w:rFonts w:ascii="Times New Roman" w:eastAsia="Times New Roman" w:hAnsi="Times New Roman" w:cs="Times New Roman"/>
                <w:color w:val="000000"/>
                <w:lang w:eastAsia="en-GB"/>
              </w:rPr>
              <w:t>1.20 (1.13 ;</w:t>
            </w:r>
          </w:p>
          <w:p w14:paraId="762B8EA4"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1.28) </w:t>
            </w:r>
          </w:p>
        </w:tc>
      </w:tr>
      <w:tr w:rsidR="00B02E3E" w:rsidRPr="00084B38" w14:paraId="21E06C94" w14:textId="77777777" w:rsidTr="005161AE">
        <w:trPr>
          <w:trHeight w:val="36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6D5B3306" w14:textId="79F3FF3D" w:rsidR="00B02E3E" w:rsidRPr="008313E5" w:rsidRDefault="00B02E3E" w:rsidP="005161AE">
            <w:pPr>
              <w:spacing w:after="0" w:line="360" w:lineRule="auto"/>
              <w:jc w:val="both"/>
              <w:rPr>
                <w:rFonts w:ascii="Times New Roman" w:eastAsia="Times New Roman" w:hAnsi="Times New Roman" w:cs="Times New Roman"/>
                <w:i/>
                <w:color w:val="000000"/>
                <w:lang w:eastAsia="en-GB"/>
              </w:rPr>
            </w:pPr>
            <w:r w:rsidRPr="00A21E5C">
              <w:rPr>
                <w:rFonts w:ascii="Times New Roman" w:eastAsia="Times New Roman" w:hAnsi="Times New Roman" w:cs="Times New Roman"/>
                <w:i/>
                <w:iCs/>
                <w:color w:val="000000"/>
                <w:lang w:eastAsia="en-GB"/>
              </w:rPr>
              <w:t>Walking speed</w:t>
            </w:r>
            <w:r w:rsidR="00A66BD7">
              <w:rPr>
                <w:rFonts w:ascii="Times New Roman" w:eastAsia="Times New Roman" w:hAnsi="Times New Roman" w:cs="Times New Roman"/>
                <w:i/>
                <w:iCs/>
                <w:color w:val="000000"/>
                <w:lang w:eastAsia="en-GB"/>
              </w:rPr>
              <w:t xml:space="preserve"> (meters/second)</w:t>
            </w:r>
            <w:r w:rsidR="008313E5">
              <w:rPr>
                <w:rFonts w:ascii="Times New Roman" w:eastAsia="Times New Roman" w:hAnsi="Times New Roman" w:cs="Times New Roman"/>
                <w:color w:val="000000"/>
                <w:vertAlign w:val="superscript"/>
                <w:lang w:eastAsia="en-GB"/>
              </w:rPr>
              <w:t xml:space="preserve"> </w:t>
            </w:r>
            <w:r w:rsidR="008313E5" w:rsidRPr="008313E5">
              <w:rPr>
                <w:rFonts w:ascii="Times New Roman" w:eastAsia="Times New Roman" w:hAnsi="Times New Roman" w:cs="Times New Roman"/>
                <w:i/>
                <w:color w:val="000000"/>
                <w:lang w:eastAsia="en-GB"/>
              </w:rPr>
              <w:t>(Stringhini et al, 2018)</w:t>
            </w:r>
          </w:p>
          <w:p w14:paraId="5EC14DD6" w14:textId="77777777" w:rsidR="00B02E3E" w:rsidRPr="001F7F44" w:rsidRDefault="00B02E3E" w:rsidP="005161AE">
            <w:pPr>
              <w:spacing w:after="0" w:line="240" w:lineRule="auto"/>
              <w:rPr>
                <w:rFonts w:ascii="Times New Roman" w:eastAsia="Times New Roman" w:hAnsi="Times New Roman" w:cs="Times New Roman"/>
                <w:i/>
                <w:iCs/>
                <w:color w:val="000000"/>
                <w:lang w:eastAsia="en-GB"/>
              </w:rPr>
            </w:pPr>
            <w:r w:rsidRPr="001F7F44">
              <w:rPr>
                <w:rFonts w:ascii="Times New Roman" w:eastAsia="Times New Roman" w:hAnsi="Times New Roman" w:cs="Times New Roman"/>
                <w:i/>
                <w:color w:val="000000"/>
                <w:lang w:eastAsia="en-GB"/>
              </w:rPr>
              <w:t>(countri</w:t>
            </w:r>
            <w:r>
              <w:rPr>
                <w:rFonts w:ascii="Times New Roman" w:eastAsia="Times New Roman" w:hAnsi="Times New Roman" w:cs="Times New Roman"/>
                <w:i/>
                <w:color w:val="000000"/>
                <w:lang w:eastAsia="en-GB"/>
              </w:rPr>
              <w:t>es</w:t>
            </w:r>
            <w:r w:rsidRPr="008926AB">
              <w:rPr>
                <w:rFonts w:ascii="Times New Roman" w:eastAsia="Times New Roman" w:hAnsi="Times New Roman" w:cs="Times New Roman"/>
                <w:i/>
                <w:color w:val="000000"/>
                <w:vertAlign w:val="superscript"/>
                <w:lang w:eastAsia="en-GB"/>
              </w:rPr>
              <w:t xml:space="preserve"> </w:t>
            </w:r>
            <w:r w:rsidRPr="008926AB">
              <w:rPr>
                <w:rFonts w:ascii="Times New Roman" w:hAnsi="Times New Roman" w:cs="Times New Roman"/>
              </w:rPr>
              <w:t>UK, France, USA, Mexico, China, Ghana, India, Russia, South Africa, Costa Rica, Taiwan, Ireland, Austria, Belgium, Denmark, Germany, Greece, Israel, Italy, the Netherlands, Portugal, Spain, Sweden, and Switzerland</w:t>
            </w:r>
            <w:r>
              <w:rPr>
                <w:rFonts w:ascii="Times New Roman" w:hAnsi="Times New Roman" w:cs="Times New Roman"/>
              </w:rPr>
              <w:t>)</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38D3FE82" w14:textId="2E739A65" w:rsidR="00B02E3E" w:rsidRPr="00084B38" w:rsidRDefault="00B02E3E" w:rsidP="00CA4F73">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37 cohorts - most disadvantaged vs most advantaged </w:t>
            </w:r>
            <w:r w:rsidR="002A1D3B">
              <w:rPr>
                <w:rFonts w:ascii="Times New Roman" w:eastAsia="Times New Roman" w:hAnsi="Times New Roman" w:cs="Times New Roman"/>
                <w:color w:val="000000"/>
                <w:lang w:eastAsia="en-GB"/>
              </w:rPr>
              <w:t xml:space="preserve">SEP (occupation) </w:t>
            </w:r>
            <w:r w:rsidRPr="00084B38">
              <w:rPr>
                <w:rFonts w:ascii="Times New Roman" w:eastAsia="Times New Roman" w:hAnsi="Times New Roman" w:cs="Times New Roman"/>
                <w:color w:val="000000"/>
                <w:lang w:eastAsia="en-GB"/>
              </w:rPr>
              <w:t xml:space="preserve">- Years </w:t>
            </w:r>
            <w:r>
              <w:rPr>
                <w:rFonts w:ascii="Times New Roman" w:eastAsia="Times New Roman" w:hAnsi="Times New Roman" w:cs="Times New Roman"/>
                <w:color w:val="000000"/>
                <w:lang w:eastAsia="en-GB"/>
              </w:rPr>
              <w:t xml:space="preserve">of </w:t>
            </w:r>
            <w:r w:rsidR="007C3A75">
              <w:rPr>
                <w:rFonts w:ascii="Times New Roman" w:eastAsia="Times New Roman" w:hAnsi="Times New Roman" w:cs="Times New Roman"/>
                <w:color w:val="000000"/>
                <w:lang w:eastAsia="en-GB"/>
              </w:rPr>
              <w:t>Function</w:t>
            </w:r>
            <w:r>
              <w:rPr>
                <w:rFonts w:ascii="Times New Roman" w:eastAsia="Times New Roman" w:hAnsi="Times New Roman" w:cs="Times New Roman"/>
                <w:color w:val="000000"/>
                <w:lang w:eastAsia="en-GB"/>
              </w:rPr>
              <w:t xml:space="preserve"> Lost </w:t>
            </w:r>
            <w:r w:rsidR="007C3A75">
              <w:rPr>
                <w:rFonts w:ascii="Times New Roman" w:eastAsia="Times New Roman" w:hAnsi="Times New Roman" w:cs="Times New Roman"/>
                <w:color w:val="000000"/>
                <w:lang w:eastAsia="en-GB"/>
              </w:rPr>
              <w:t xml:space="preserve">(YFL) </w:t>
            </w:r>
            <w:r>
              <w:rPr>
                <w:rFonts w:ascii="Times New Roman" w:eastAsia="Times New Roman" w:hAnsi="Times New Roman" w:cs="Times New Roman"/>
                <w:color w:val="000000"/>
                <w:lang w:eastAsia="en-GB"/>
              </w:rPr>
              <w:t>by age 60  (95%CI)</w:t>
            </w:r>
            <w:r w:rsidR="00A66BD7">
              <w:rPr>
                <w:rFonts w:ascii="Times New Roman" w:eastAsia="Times New Roman" w:hAnsi="Times New Roman" w:cs="Times New Roman"/>
                <w:color w:val="000000"/>
                <w:lang w:eastAsia="en-GB"/>
              </w:rPr>
              <w:t xml:space="preserve"> estimated from a mixed model with walk</w:t>
            </w:r>
            <w:r w:rsidR="00CA4F73">
              <w:rPr>
                <w:rFonts w:ascii="Times New Roman" w:eastAsia="Times New Roman" w:hAnsi="Times New Roman" w:cs="Times New Roman"/>
                <w:color w:val="000000"/>
                <w:lang w:eastAsia="en-GB"/>
              </w:rPr>
              <w:t>ing speed</w:t>
            </w:r>
            <w:r w:rsidR="00A66BD7">
              <w:rPr>
                <w:rFonts w:ascii="Times New Roman" w:eastAsia="Times New Roman" w:hAnsi="Times New Roman" w:cs="Times New Roman"/>
                <w:color w:val="000000"/>
                <w:lang w:eastAsia="en-GB"/>
              </w:rPr>
              <w:t xml:space="preserve"> as a continuous variable</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37D78D0E" w14:textId="2A0D709A"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7C3A75">
              <w:rPr>
                <w:rFonts w:ascii="Times New Roman" w:eastAsia="Times New Roman" w:hAnsi="Times New Roman" w:cs="Times New Roman"/>
                <w:color w:val="000000"/>
                <w:lang w:eastAsia="en-GB"/>
              </w:rPr>
              <w:t xml:space="preserve">YFL </w:t>
            </w:r>
            <w:r>
              <w:rPr>
                <w:rFonts w:ascii="Times New Roman" w:eastAsia="Times New Roman" w:hAnsi="Times New Roman" w:cs="Times New Roman"/>
                <w:color w:val="000000"/>
                <w:lang w:eastAsia="en-GB"/>
              </w:rPr>
              <w:t xml:space="preserve">6.6 (5.0-9.4). </w:t>
            </w:r>
          </w:p>
          <w:p w14:paraId="634B2508" w14:textId="42EFB1C9"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Fully adjusted </w:t>
            </w:r>
            <w:r w:rsidR="007C3A75">
              <w:rPr>
                <w:rFonts w:ascii="Times New Roman" w:eastAsia="Times New Roman" w:hAnsi="Times New Roman" w:cs="Times New Roman"/>
                <w:color w:val="000000"/>
                <w:lang w:eastAsia="en-GB"/>
              </w:rPr>
              <w:t xml:space="preserve">YFL </w:t>
            </w:r>
            <w:r w:rsidRPr="00084B38">
              <w:rPr>
                <w:rFonts w:ascii="Times New Roman" w:eastAsia="Times New Roman" w:hAnsi="Times New Roman" w:cs="Times New Roman"/>
                <w:color w:val="000000"/>
                <w:lang w:eastAsia="en-GB"/>
              </w:rPr>
              <w:t>4.8 (3.7 ; 6.5)</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54D880AB" w14:textId="148F80B5"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7C3A75">
              <w:rPr>
                <w:rFonts w:ascii="Times New Roman" w:eastAsia="Times New Roman" w:hAnsi="Times New Roman" w:cs="Times New Roman"/>
                <w:color w:val="000000"/>
                <w:lang w:eastAsia="en-GB"/>
              </w:rPr>
              <w:t xml:space="preserve">YFL </w:t>
            </w:r>
            <w:r>
              <w:rPr>
                <w:rFonts w:ascii="Times New Roman" w:eastAsia="Times New Roman" w:hAnsi="Times New Roman" w:cs="Times New Roman"/>
                <w:color w:val="000000"/>
                <w:lang w:eastAsia="en-GB"/>
              </w:rPr>
              <w:t xml:space="preserve">4.6 (3.6 ; 6.2) </w:t>
            </w:r>
          </w:p>
          <w:p w14:paraId="10CCF505" w14:textId="24E9BC9A"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Fully adjusted </w:t>
            </w:r>
            <w:r w:rsidR="007C3A75">
              <w:rPr>
                <w:rFonts w:ascii="Times New Roman" w:eastAsia="Times New Roman" w:hAnsi="Times New Roman" w:cs="Times New Roman"/>
                <w:color w:val="000000"/>
                <w:lang w:eastAsia="en-GB"/>
              </w:rPr>
              <w:t xml:space="preserve">YFL </w:t>
            </w:r>
            <w:r w:rsidRPr="00084B38">
              <w:rPr>
                <w:rFonts w:ascii="Times New Roman" w:eastAsia="Times New Roman" w:hAnsi="Times New Roman" w:cs="Times New Roman"/>
                <w:color w:val="000000"/>
                <w:lang w:eastAsia="en-GB"/>
              </w:rPr>
              <w:t>3.3 (2.5 ; 4.4</w:t>
            </w:r>
            <w:r>
              <w:rPr>
                <w:rFonts w:ascii="Times New Roman" w:eastAsia="Times New Roman" w:hAnsi="Times New Roman" w:cs="Times New Roman"/>
                <w:color w:val="000000"/>
                <w:lang w:eastAsia="en-GB"/>
              </w:rPr>
              <w:t xml:space="preserve">) </w:t>
            </w:r>
          </w:p>
        </w:tc>
      </w:tr>
      <w:tr w:rsidR="00B02E3E" w:rsidRPr="00084B38" w14:paraId="6486D42E" w14:textId="77777777" w:rsidTr="005161AE">
        <w:trPr>
          <w:trHeight w:val="683"/>
          <w:jc w:val="center"/>
        </w:trPr>
        <w:tc>
          <w:tcPr>
            <w:tcW w:w="9469" w:type="dxa"/>
            <w:gridSpan w:val="7"/>
            <w:tcBorders>
              <w:top w:val="nil"/>
              <w:left w:val="single" w:sz="8" w:space="0" w:color="auto"/>
              <w:bottom w:val="single" w:sz="4" w:space="0" w:color="auto"/>
              <w:right w:val="single" w:sz="8" w:space="0" w:color="auto"/>
            </w:tcBorders>
            <w:shd w:val="clear" w:color="000000" w:fill="D0CECE"/>
            <w:noWrap/>
            <w:vAlign w:val="bottom"/>
            <w:hideMark/>
          </w:tcPr>
          <w:p w14:paraId="39B2203D" w14:textId="77777777" w:rsidR="00B02E3E" w:rsidRPr="00084B38" w:rsidRDefault="00B02E3E" w:rsidP="005161AE">
            <w:pPr>
              <w:spacing w:after="0" w:line="360" w:lineRule="auto"/>
              <w:jc w:val="both"/>
              <w:rPr>
                <w:rFonts w:ascii="Times New Roman" w:eastAsia="Times New Roman" w:hAnsi="Times New Roman" w:cs="Times New Roman"/>
                <w:b/>
                <w:bCs/>
                <w:i/>
                <w:iCs/>
                <w:color w:val="000000"/>
                <w:lang w:eastAsia="en-GB"/>
              </w:rPr>
            </w:pPr>
            <w:r w:rsidRPr="00084B38">
              <w:rPr>
                <w:rFonts w:ascii="Times New Roman" w:eastAsia="Times New Roman" w:hAnsi="Times New Roman" w:cs="Times New Roman"/>
                <w:b/>
                <w:bCs/>
                <w:i/>
                <w:iCs/>
                <w:color w:val="000000"/>
                <w:lang w:eastAsia="en-GB"/>
              </w:rPr>
              <w:t>Relationship between disadvantaged socio-economic conditions &amp; intermediate risk factors for later health outcomes</w:t>
            </w:r>
          </w:p>
          <w:p w14:paraId="018BA007"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r>
      <w:tr w:rsidR="00B02E3E" w:rsidRPr="00084B38" w14:paraId="4CA1A970"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2386C5ED" w14:textId="23F6F055"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Pr>
                <w:rFonts w:ascii="Times New Roman" w:eastAsia="Times New Roman" w:hAnsi="Times New Roman" w:cs="Times New Roman"/>
                <w:i/>
                <w:iCs/>
                <w:color w:val="000000"/>
                <w:lang w:eastAsia="en-GB"/>
              </w:rPr>
              <w:t>Increase in Body M</w:t>
            </w:r>
            <w:r w:rsidRPr="00084B38">
              <w:rPr>
                <w:rFonts w:ascii="Times New Roman" w:eastAsia="Times New Roman" w:hAnsi="Times New Roman" w:cs="Times New Roman"/>
                <w:i/>
                <w:iCs/>
                <w:color w:val="000000"/>
                <w:lang w:eastAsia="en-GB"/>
              </w:rPr>
              <w:t>ass Index</w:t>
            </w:r>
            <w:r>
              <w:rPr>
                <w:rFonts w:ascii="Times New Roman" w:eastAsia="Times New Roman" w:hAnsi="Times New Roman" w:cs="Times New Roman"/>
                <w:i/>
                <w:iCs/>
                <w:color w:val="000000"/>
                <w:lang w:eastAsia="en-GB"/>
              </w:rPr>
              <w:t xml:space="preserve"> (</w:t>
            </w:r>
            <w:r w:rsidR="00BB1AFD">
              <w:rPr>
                <w:rFonts w:ascii="Times New Roman" w:eastAsia="Times New Roman" w:hAnsi="Times New Roman" w:cs="Times New Roman"/>
                <w:i/>
                <w:iCs/>
                <w:color w:val="000000"/>
                <w:lang w:eastAsia="en-GB"/>
              </w:rPr>
              <w:t>2019</w:t>
            </w:r>
            <w:r>
              <w:rPr>
                <w:rFonts w:ascii="Times New Roman" w:eastAsia="Times New Roman" w:hAnsi="Times New Roman" w:cs="Times New Roman"/>
                <w:i/>
                <w:iCs/>
                <w:color w:val="000000"/>
                <w:lang w:eastAsia="en-GB"/>
              </w:rPr>
              <w:t>)</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0463D28B"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G21 (Portugal) cohort aged 7 - most disadvantaged vs most advantaged - Increase in Kg/m</w:t>
            </w:r>
            <w:r w:rsidRPr="00282666">
              <w:rPr>
                <w:rFonts w:ascii="Times New Roman" w:eastAsia="Times New Roman" w:hAnsi="Times New Roman" w:cs="Times New Roman"/>
                <w:color w:val="000000"/>
                <w:vertAlign w:val="superscript"/>
                <w:lang w:eastAsia="en-GB"/>
              </w:rPr>
              <w:t>2</w:t>
            </w:r>
            <w:r w:rsidRPr="00084B38">
              <w:rPr>
                <w:rFonts w:ascii="Times New Roman" w:eastAsia="Times New Roman" w:hAnsi="Times New Roman" w:cs="Times New Roman"/>
                <w:color w:val="000000"/>
                <w:lang w:eastAsia="en-GB"/>
              </w:rPr>
              <w:t xml:space="preserve"> (95%CI)</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490CFE1" w14:textId="4CA5C3DF"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Pr>
                <w:rFonts w:ascii="Times New Roman" w:eastAsia="Times New Roman" w:hAnsi="Times New Roman" w:cs="Times New Roman"/>
                <w:color w:val="000000"/>
                <w:lang w:eastAsia="en-GB"/>
              </w:rPr>
              <w:t xml:space="preserve">0.42 </w:t>
            </w:r>
            <w:r w:rsidR="00B02E3E" w:rsidRPr="00084B38">
              <w:rPr>
                <w:rFonts w:ascii="Times New Roman" w:eastAsia="Times New Roman" w:hAnsi="Times New Roman" w:cs="Times New Roman"/>
                <w:color w:val="000000"/>
                <w:lang w:eastAsia="en-GB"/>
              </w:rPr>
              <w:t>(0.24; 0.60)</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428392C0" w14:textId="7CAF8BF2"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sidRPr="00084B38">
              <w:rPr>
                <w:rFonts w:ascii="Times New Roman" w:eastAsia="Times New Roman" w:hAnsi="Times New Roman" w:cs="Times New Roman"/>
                <w:color w:val="000000"/>
                <w:lang w:eastAsia="en-GB"/>
              </w:rPr>
              <w:t>0.71 (0.50 ; 0.91)</w:t>
            </w:r>
          </w:p>
        </w:tc>
      </w:tr>
      <w:tr w:rsidR="00B02E3E" w:rsidRPr="00084B38" w14:paraId="00AF9DD3" w14:textId="77777777" w:rsidTr="005161AE">
        <w:trPr>
          <w:trHeight w:val="38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70EE17C9" w14:textId="77777777"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9135BA6"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GUI (Ireland) cohort aged 13 - most disadvantaged vs most advantaged - Increase in Kg/m</w:t>
            </w:r>
            <w:r w:rsidRPr="00282666">
              <w:rPr>
                <w:rFonts w:ascii="Times New Roman" w:eastAsia="Times New Roman" w:hAnsi="Times New Roman" w:cs="Times New Roman"/>
                <w:color w:val="000000"/>
                <w:vertAlign w:val="superscript"/>
                <w:lang w:eastAsia="en-GB"/>
              </w:rPr>
              <w:t>2</w:t>
            </w:r>
            <w:r w:rsidRPr="00084B38">
              <w:rPr>
                <w:rFonts w:ascii="Times New Roman" w:eastAsia="Times New Roman" w:hAnsi="Times New Roman" w:cs="Times New Roman"/>
                <w:color w:val="000000"/>
                <w:lang w:eastAsia="en-GB"/>
              </w:rPr>
              <w:t xml:space="preserve">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76AFE337" w14:textId="6E0F59DB"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sidRPr="00084B38">
              <w:rPr>
                <w:rFonts w:ascii="Times New Roman" w:eastAsia="Times New Roman" w:hAnsi="Times New Roman" w:cs="Times New Roman"/>
                <w:color w:val="000000"/>
                <w:lang w:eastAsia="en-GB"/>
              </w:rPr>
              <w:t>0.90 (0.60 ; 1.19)</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54ACB52F" w14:textId="1B921D99"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sidRPr="00084B38">
              <w:rPr>
                <w:rFonts w:ascii="Times New Roman" w:eastAsia="Times New Roman" w:hAnsi="Times New Roman" w:cs="Times New Roman"/>
                <w:color w:val="000000"/>
                <w:lang w:eastAsia="en-GB"/>
              </w:rPr>
              <w:t>1.31 (1.00 ; 1.62)</w:t>
            </w:r>
          </w:p>
        </w:tc>
      </w:tr>
      <w:tr w:rsidR="00B02E3E" w:rsidRPr="00084B38" w14:paraId="665A49CB"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6C4661A5" w14:textId="77777777"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631CE768"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MCS (UK) aged 14 - most disadvantaged vs most advantaged- Increase in Kg/m</w:t>
            </w:r>
            <w:r w:rsidRPr="00282666">
              <w:rPr>
                <w:rFonts w:ascii="Times New Roman" w:eastAsia="Times New Roman" w:hAnsi="Times New Roman" w:cs="Times New Roman"/>
                <w:color w:val="000000"/>
                <w:vertAlign w:val="superscript"/>
                <w:lang w:eastAsia="en-GB"/>
              </w:rPr>
              <w:t>2</w:t>
            </w:r>
            <w:r w:rsidRPr="00084B38">
              <w:rPr>
                <w:rFonts w:ascii="Times New Roman" w:eastAsia="Times New Roman" w:hAnsi="Times New Roman" w:cs="Times New Roman"/>
                <w:color w:val="000000"/>
                <w:lang w:eastAsia="en-GB"/>
              </w:rPr>
              <w:t xml:space="preserve">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66E67EE2" w14:textId="40AA3EEC"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sidRPr="00084B38">
              <w:rPr>
                <w:rFonts w:ascii="Times New Roman" w:eastAsia="Times New Roman" w:hAnsi="Times New Roman" w:cs="Times New Roman"/>
                <w:color w:val="000000"/>
                <w:lang w:eastAsia="en-GB"/>
              </w:rPr>
              <w:t>0.75 (0.52 ; 0.97)</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339E98D7" w14:textId="6FD4EC1D"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BMI increase=</w:t>
            </w:r>
            <w:r w:rsidR="00B02E3E" w:rsidRPr="00084B38">
              <w:rPr>
                <w:rFonts w:ascii="Times New Roman" w:eastAsia="Times New Roman" w:hAnsi="Times New Roman" w:cs="Times New Roman"/>
                <w:color w:val="000000"/>
                <w:lang w:eastAsia="en-GB"/>
              </w:rPr>
              <w:t>0.76 (0.53 ; 1.00)</w:t>
            </w:r>
          </w:p>
        </w:tc>
      </w:tr>
      <w:tr w:rsidR="00B02E3E" w:rsidRPr="00084B38" w14:paraId="10EF9C3C"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30CDDAD9" w14:textId="5B360244"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Decrease in height</w:t>
            </w:r>
            <w:r w:rsidR="008313E5">
              <w:rPr>
                <w:rFonts w:ascii="Times New Roman" w:eastAsia="Times New Roman" w:hAnsi="Times New Roman" w:cs="Times New Roman"/>
                <w:i/>
                <w:iCs/>
                <w:color w:val="000000"/>
                <w:vertAlign w:val="superscript"/>
                <w:lang w:eastAsia="en-GB"/>
              </w:rPr>
              <w:t xml:space="preserve"> </w:t>
            </w:r>
            <w:r w:rsidR="008313E5">
              <w:rPr>
                <w:rFonts w:ascii="Times New Roman" w:eastAsia="Times New Roman" w:hAnsi="Times New Roman" w:cs="Times New Roman"/>
                <w:i/>
                <w:iCs/>
                <w:color w:val="000000"/>
                <w:lang w:eastAsia="en-GB"/>
              </w:rPr>
              <w:t>(McCrory et al, 2017)</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64517219"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G21 (Portugal) cohort aged 7 - most disadvantaged vs most advantaged - decrease in cm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23931CEC" w14:textId="5C156A55"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0.49 (0.04 ; 0.94)</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5DC95C87" w14:textId="511CE333"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 xml:space="preserve"> 0.05 (-0.50 ; 0.39)</w:t>
            </w:r>
          </w:p>
        </w:tc>
      </w:tr>
      <w:tr w:rsidR="00B02E3E" w:rsidRPr="00084B38" w14:paraId="2325A316"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53496092" w14:textId="77777777"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410A9269"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GUI (Ireland) cohort aged 13 - most disadvantaged vs most advantaged - decrease in cm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4D9FAA06" w14:textId="4D46F8CA"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 xml:space="preserve">1.64 (0.83 ; 2.46) </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014A86E5" w14:textId="1210DA9C"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1.58 (1.01 ; 2.14)</w:t>
            </w:r>
          </w:p>
        </w:tc>
      </w:tr>
      <w:tr w:rsidR="00B02E3E" w:rsidRPr="00084B38" w14:paraId="7E474ABB"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75EE36B1"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4EB51661"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MCS (UK) aged 11 - most disadvantaged vs most advantaged- decrease in cm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14286307" w14:textId="1C21C333"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1.38 (1.04 ; 1.72)</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6C6BCA93" w14:textId="2B9B2414"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 </w:t>
            </w:r>
            <w:r w:rsidR="00A66BD7">
              <w:rPr>
                <w:rFonts w:ascii="Times New Roman" w:eastAsia="Times New Roman" w:hAnsi="Times New Roman" w:cs="Times New Roman"/>
                <w:color w:val="000000"/>
                <w:lang w:eastAsia="en-GB"/>
              </w:rPr>
              <w:t>Decrease in cm=</w:t>
            </w:r>
            <w:r w:rsidRPr="00084B38">
              <w:rPr>
                <w:rFonts w:ascii="Times New Roman" w:eastAsia="Times New Roman" w:hAnsi="Times New Roman" w:cs="Times New Roman"/>
                <w:color w:val="000000"/>
                <w:lang w:eastAsia="en-GB"/>
              </w:rPr>
              <w:t>0.94 (0.57 ; 1.31)</w:t>
            </w:r>
          </w:p>
        </w:tc>
      </w:tr>
      <w:tr w:rsidR="00B02E3E" w:rsidRPr="00084B38" w14:paraId="5EBA079E"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100AE657"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0D335B92"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Epiteen (Portugal) aged 13 - most disadvantaged vs most advantaged - decrease in cm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064C99DA" w14:textId="66F70490"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 xml:space="preserve">1.95 (0.48 ; 3.42) </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43B7014F" w14:textId="17DE646E"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2.46 (1.47 ; 3.44)</w:t>
            </w:r>
          </w:p>
        </w:tc>
      </w:tr>
      <w:tr w:rsidR="00B02E3E" w:rsidRPr="00084B38" w14:paraId="17C93028" w14:textId="77777777" w:rsidTr="005161AE">
        <w:trPr>
          <w:trHeight w:val="32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21C32306"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562362DD"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Young Finns (Finland) aged 12 - most disadvantaged vs most advantaged - decrease in cm (95%CI)</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26948F47" w14:textId="6D495103"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0.63 (0.27 ; 1.53)*</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2C496C36" w14:textId="3A7F795F" w:rsidR="00B02E3E" w:rsidRPr="00084B38" w:rsidRDefault="00A66BD7"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Decrease in cm=</w:t>
            </w:r>
            <w:r w:rsidR="00B02E3E" w:rsidRPr="00084B38">
              <w:rPr>
                <w:rFonts w:ascii="Times New Roman" w:eastAsia="Times New Roman" w:hAnsi="Times New Roman" w:cs="Times New Roman"/>
                <w:color w:val="000000"/>
                <w:lang w:eastAsia="en-GB"/>
              </w:rPr>
              <w:t>1.62 (0.86 ; 2.38)</w:t>
            </w:r>
          </w:p>
        </w:tc>
      </w:tr>
      <w:tr w:rsidR="00B02E3E" w:rsidRPr="00084B38" w14:paraId="3E8A82CD" w14:textId="77777777" w:rsidTr="005161AE">
        <w:trPr>
          <w:trHeight w:val="480"/>
          <w:jc w:val="center"/>
        </w:trPr>
        <w:tc>
          <w:tcPr>
            <w:tcW w:w="9469" w:type="dxa"/>
            <w:gridSpan w:val="7"/>
            <w:tcBorders>
              <w:top w:val="single" w:sz="4" w:space="0" w:color="auto"/>
              <w:left w:val="single" w:sz="8" w:space="0" w:color="auto"/>
              <w:bottom w:val="single" w:sz="4" w:space="0" w:color="auto"/>
              <w:right w:val="single" w:sz="8" w:space="0" w:color="000000"/>
            </w:tcBorders>
            <w:shd w:val="clear" w:color="000000" w:fill="D0CECE"/>
            <w:noWrap/>
            <w:vAlign w:val="center"/>
            <w:hideMark/>
          </w:tcPr>
          <w:p w14:paraId="1C492E86" w14:textId="77777777" w:rsidR="00B02E3E" w:rsidRPr="00084B38" w:rsidRDefault="00B02E3E" w:rsidP="005161AE">
            <w:pPr>
              <w:spacing w:after="0" w:line="360" w:lineRule="auto"/>
              <w:jc w:val="both"/>
              <w:rPr>
                <w:rFonts w:ascii="Times New Roman" w:eastAsia="Times New Roman" w:hAnsi="Times New Roman" w:cs="Times New Roman"/>
                <w:b/>
                <w:bCs/>
                <w:i/>
                <w:iCs/>
                <w:color w:val="000000"/>
                <w:lang w:eastAsia="en-GB"/>
              </w:rPr>
            </w:pPr>
            <w:r w:rsidRPr="00084B38">
              <w:rPr>
                <w:rFonts w:ascii="Times New Roman" w:eastAsia="Times New Roman" w:hAnsi="Times New Roman" w:cs="Times New Roman"/>
                <w:b/>
                <w:bCs/>
                <w:i/>
                <w:iCs/>
                <w:color w:val="000000"/>
                <w:lang w:eastAsia="en-GB"/>
              </w:rPr>
              <w:t>Relationship between socio-economic conditions &amp; blood biomarkers</w:t>
            </w:r>
          </w:p>
        </w:tc>
      </w:tr>
      <w:tr w:rsidR="00B02E3E" w:rsidRPr="00084B38" w14:paraId="682C543C" w14:textId="77777777" w:rsidTr="005161AE">
        <w:trPr>
          <w:trHeight w:val="35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62C8CE2F" w14:textId="1936AA2C" w:rsidR="00B02E3E" w:rsidRPr="00084B38" w:rsidRDefault="00B02E3E" w:rsidP="00AC2391">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 xml:space="preserve">Increase in allostatic load score </w:t>
            </w:r>
            <w:r w:rsidR="008313E5">
              <w:rPr>
                <w:rFonts w:ascii="Times New Roman" w:eastAsia="Times New Roman" w:hAnsi="Times New Roman" w:cs="Times New Roman"/>
                <w:i/>
                <w:iCs/>
                <w:color w:val="000000"/>
                <w:lang w:eastAsia="en-GB"/>
              </w:rPr>
              <w:t xml:space="preserve">(Barboza Solis et al, </w:t>
            </w:r>
            <w:r w:rsidR="00AC2391">
              <w:rPr>
                <w:rFonts w:ascii="Times New Roman" w:eastAsia="Times New Roman" w:hAnsi="Times New Roman" w:cs="Times New Roman"/>
                <w:i/>
                <w:iCs/>
                <w:color w:val="000000"/>
                <w:lang w:eastAsia="en-GB"/>
              </w:rPr>
              <w:t>2016</w:t>
            </w:r>
            <w:r w:rsidR="008313E5">
              <w:rPr>
                <w:rFonts w:ascii="Times New Roman" w:eastAsia="Times New Roman" w:hAnsi="Times New Roman" w:cs="Times New Roman"/>
                <w:i/>
                <w:iCs/>
                <w:color w:val="000000"/>
                <w:lang w:eastAsia="en-GB"/>
              </w:rPr>
              <w:t>)</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4C9AC780" w14:textId="536EA5F9"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NCDS (UK) social class IV &amp; V semi-unskilled vs I &amp; II professional/managerial </w:t>
            </w:r>
            <w:r w:rsidR="00BD1ABB">
              <w:rPr>
                <w:rFonts w:ascii="Times New Roman" w:eastAsia="Times New Roman" w:hAnsi="Times New Roman" w:cs="Times New Roman"/>
                <w:color w:val="000000"/>
                <w:lang w:eastAsia="en-GB"/>
              </w:rPr>
              <w:t>–</w:t>
            </w:r>
            <w:r w:rsidRPr="00084B38">
              <w:rPr>
                <w:rFonts w:ascii="Times New Roman" w:eastAsia="Times New Roman" w:hAnsi="Times New Roman" w:cs="Times New Roman"/>
                <w:color w:val="000000"/>
                <w:lang w:eastAsia="en-GB"/>
              </w:rPr>
              <w:t xml:space="preserve"> </w:t>
            </w:r>
            <w:r w:rsidR="00BD1ABB">
              <w:rPr>
                <w:rFonts w:ascii="Times New Roman" w:eastAsia="Times New Roman" w:hAnsi="Times New Roman" w:cs="Times New Roman"/>
                <w:color w:val="000000"/>
                <w:lang w:eastAsia="en-GB"/>
              </w:rPr>
              <w:t>regression co</w:t>
            </w:r>
            <w:r w:rsidR="00B105DA">
              <w:rPr>
                <w:rFonts w:ascii="Times New Roman" w:eastAsia="Times New Roman" w:hAnsi="Times New Roman" w:cs="Times New Roman"/>
                <w:color w:val="000000"/>
                <w:lang w:eastAsia="en-GB"/>
              </w:rPr>
              <w:t>efficient from multivariable</w:t>
            </w:r>
            <w:r w:rsidR="00BD1ABB">
              <w:rPr>
                <w:rFonts w:ascii="Times New Roman" w:eastAsia="Times New Roman" w:hAnsi="Times New Roman" w:cs="Times New Roman"/>
                <w:color w:val="000000"/>
                <w:lang w:eastAsia="en-GB"/>
              </w:rPr>
              <w:t xml:space="preserve"> regression </w:t>
            </w:r>
            <w:r w:rsidRPr="00084B38">
              <w:rPr>
                <w:rFonts w:ascii="Times New Roman" w:eastAsia="Times New Roman" w:hAnsi="Times New Roman" w:cs="Times New Roman"/>
                <w:color w:val="000000"/>
                <w:lang w:eastAsia="en-GB"/>
              </w:rPr>
              <w:t xml:space="preserve">β (95%CI)  </w:t>
            </w:r>
            <w:r w:rsidR="00BD1ABB">
              <w:rPr>
                <w:rFonts w:ascii="Times New Roman" w:eastAsia="Times New Roman" w:hAnsi="Times New Roman" w:cs="Times New Roman"/>
                <w:color w:val="000000"/>
                <w:lang w:eastAsia="en-GB"/>
              </w:rPr>
              <w:t>per unit increase in allostatic load score</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68E45EF3" w14:textId="636495D6"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0.32 (0.09 ; 0.54)</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1C1B8E3C" w14:textId="4C92F949"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0.30 (0.06 ; 0.53)</w:t>
            </w:r>
          </w:p>
        </w:tc>
      </w:tr>
      <w:tr w:rsidR="00B02E3E" w:rsidRPr="00084B38" w14:paraId="77608F9F"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07A863BB"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6206BFEB" w14:textId="4B1DE59E"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NCDS (UK) social class III skilled manual vs I &amp; II professional/managerial - </w:t>
            </w:r>
            <w:r w:rsidR="00BD1ABB">
              <w:rPr>
                <w:rFonts w:ascii="Times New Roman" w:eastAsia="Times New Roman" w:hAnsi="Times New Roman" w:cs="Times New Roman"/>
                <w:color w:val="000000"/>
                <w:lang w:eastAsia="en-GB"/>
              </w:rPr>
              <w:t>regression co</w:t>
            </w:r>
            <w:r w:rsidR="00B105DA">
              <w:rPr>
                <w:rFonts w:ascii="Times New Roman" w:eastAsia="Times New Roman" w:hAnsi="Times New Roman" w:cs="Times New Roman"/>
                <w:color w:val="000000"/>
                <w:lang w:eastAsia="en-GB"/>
              </w:rPr>
              <w:t>efficient from multivariable</w:t>
            </w:r>
            <w:r w:rsidR="00BD1ABB">
              <w:rPr>
                <w:rFonts w:ascii="Times New Roman" w:eastAsia="Times New Roman" w:hAnsi="Times New Roman" w:cs="Times New Roman"/>
                <w:color w:val="000000"/>
                <w:lang w:eastAsia="en-GB"/>
              </w:rPr>
              <w:t xml:space="preserve"> regression </w:t>
            </w:r>
            <w:r w:rsidRPr="00084B38">
              <w:rPr>
                <w:rFonts w:ascii="Times New Roman" w:eastAsia="Times New Roman" w:hAnsi="Times New Roman" w:cs="Times New Roman"/>
                <w:color w:val="000000"/>
                <w:lang w:eastAsia="en-GB"/>
              </w:rPr>
              <w:t xml:space="preserve">β (95%CI)  </w:t>
            </w:r>
            <w:r w:rsidR="00BD1ABB">
              <w:rPr>
                <w:rFonts w:ascii="Times New Roman" w:eastAsia="Times New Roman" w:hAnsi="Times New Roman" w:cs="Times New Roman"/>
                <w:color w:val="000000"/>
                <w:lang w:eastAsia="en-GB"/>
              </w:rPr>
              <w:t>per unit increase in allostatic load score</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37FD830C" w14:textId="56C68416"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0.27 (0.09 ; 0.45)</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139933AF" w14:textId="64D972AF"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0.29 (0.09 ; 0.49)</w:t>
            </w:r>
          </w:p>
        </w:tc>
      </w:tr>
      <w:tr w:rsidR="00B02E3E" w:rsidRPr="00084B38" w14:paraId="7E4FBF03"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4E72B8CD"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22287BFF" w14:textId="1F1D6BB6"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NCDS (UK) social class III skilled non-manual vs I &amp; II professional/managerial - </w:t>
            </w:r>
            <w:r w:rsidR="00BD1ABB">
              <w:rPr>
                <w:rFonts w:ascii="Times New Roman" w:eastAsia="Times New Roman" w:hAnsi="Times New Roman" w:cs="Times New Roman"/>
                <w:color w:val="000000"/>
                <w:lang w:eastAsia="en-GB"/>
              </w:rPr>
              <w:t>regression co</w:t>
            </w:r>
            <w:r w:rsidR="00B105DA">
              <w:rPr>
                <w:rFonts w:ascii="Times New Roman" w:eastAsia="Times New Roman" w:hAnsi="Times New Roman" w:cs="Times New Roman"/>
                <w:color w:val="000000"/>
                <w:lang w:eastAsia="en-GB"/>
              </w:rPr>
              <w:t>efficient from multivariable</w:t>
            </w:r>
            <w:r w:rsidR="00BD1ABB">
              <w:rPr>
                <w:rFonts w:ascii="Times New Roman" w:eastAsia="Times New Roman" w:hAnsi="Times New Roman" w:cs="Times New Roman"/>
                <w:color w:val="000000"/>
                <w:lang w:eastAsia="en-GB"/>
              </w:rPr>
              <w:t xml:space="preserve"> regression </w:t>
            </w:r>
            <w:r w:rsidRPr="00084B38">
              <w:rPr>
                <w:rFonts w:ascii="Times New Roman" w:eastAsia="Times New Roman" w:hAnsi="Times New Roman" w:cs="Times New Roman"/>
                <w:color w:val="000000"/>
                <w:lang w:eastAsia="en-GB"/>
              </w:rPr>
              <w:t xml:space="preserve">β (95%CI) </w:t>
            </w:r>
            <w:r w:rsidR="00BD1ABB">
              <w:rPr>
                <w:rFonts w:ascii="Times New Roman" w:eastAsia="Times New Roman" w:hAnsi="Times New Roman" w:cs="Times New Roman"/>
                <w:color w:val="000000"/>
                <w:lang w:eastAsia="en-GB"/>
              </w:rPr>
              <w:t>per unit increase in allostatic load score</w:t>
            </w:r>
            <w:r w:rsidRPr="00084B38">
              <w:rPr>
                <w:rFonts w:ascii="Times New Roman" w:eastAsia="Times New Roman" w:hAnsi="Times New Roman" w:cs="Times New Roman"/>
                <w:color w:val="000000"/>
                <w:lang w:eastAsia="en-GB"/>
              </w:rPr>
              <w:t xml:space="preserve"> </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0629B238" w14:textId="461EBDB1"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0.05 (-0.19 ; 0.29)</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08A6B3E3" w14:textId="2AE8A549"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084B38">
              <w:rPr>
                <w:rFonts w:ascii="Times New Roman" w:eastAsia="Times New Roman" w:hAnsi="Times New Roman" w:cs="Times New Roman"/>
                <w:color w:val="000000"/>
                <w:lang w:eastAsia="en-GB"/>
              </w:rPr>
              <w:t xml:space="preserve">0.12 (-0.14 ; 0.39) </w:t>
            </w:r>
          </w:p>
        </w:tc>
      </w:tr>
      <w:tr w:rsidR="00B02E3E" w:rsidRPr="00084B38" w14:paraId="21EF08F8" w14:textId="77777777" w:rsidTr="005161AE">
        <w:trPr>
          <w:trHeight w:val="35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338B9C08" w14:textId="6D6D5497" w:rsidR="00B02E3E" w:rsidRDefault="00B02E3E" w:rsidP="005161AE">
            <w:pPr>
              <w:spacing w:after="0" w:line="360" w:lineRule="auto"/>
              <w:jc w:val="both"/>
              <w:rPr>
                <w:rFonts w:ascii="Times New Roman" w:eastAsia="Times New Roman" w:hAnsi="Times New Roman" w:cs="Times New Roman"/>
                <w:i/>
                <w:iCs/>
                <w:color w:val="000000"/>
                <w:vertAlign w:val="superscript"/>
                <w:lang w:eastAsia="en-GB"/>
              </w:rPr>
            </w:pPr>
            <w:r w:rsidRPr="00084B38">
              <w:rPr>
                <w:rFonts w:ascii="Times New Roman" w:eastAsia="Times New Roman" w:hAnsi="Times New Roman" w:cs="Times New Roman"/>
                <w:i/>
                <w:iCs/>
                <w:color w:val="000000"/>
                <w:lang w:eastAsia="en-GB"/>
              </w:rPr>
              <w:t>In</w:t>
            </w:r>
            <w:r w:rsidR="00D60DBB">
              <w:rPr>
                <w:rFonts w:ascii="Times New Roman" w:eastAsia="Times New Roman" w:hAnsi="Times New Roman" w:cs="Times New Roman"/>
                <w:i/>
                <w:iCs/>
                <w:color w:val="000000"/>
                <w:lang w:eastAsia="en-GB"/>
              </w:rPr>
              <w:t>c</w:t>
            </w:r>
            <w:r w:rsidRPr="00084B38">
              <w:rPr>
                <w:rFonts w:ascii="Times New Roman" w:eastAsia="Times New Roman" w:hAnsi="Times New Roman" w:cs="Times New Roman"/>
                <w:i/>
                <w:iCs/>
                <w:color w:val="000000"/>
                <w:lang w:eastAsia="en-GB"/>
              </w:rPr>
              <w:t xml:space="preserve">rease in C reactive protein </w:t>
            </w:r>
            <w:r w:rsidR="00AC2391">
              <w:rPr>
                <w:rFonts w:ascii="Times New Roman" w:eastAsia="Times New Roman" w:hAnsi="Times New Roman" w:cs="Times New Roman"/>
                <w:i/>
                <w:iCs/>
                <w:color w:val="000000"/>
                <w:lang w:eastAsia="en-GB"/>
              </w:rPr>
              <w:t>(</w:t>
            </w:r>
            <w:r w:rsidR="00AC2391" w:rsidRPr="00AC2391">
              <w:rPr>
                <w:rFonts w:ascii="Times New Roman" w:eastAsia="Times New Roman" w:hAnsi="Times New Roman" w:cs="Times New Roman"/>
                <w:i/>
                <w:iCs/>
                <w:color w:val="000000"/>
                <w:lang w:eastAsia="en-GB"/>
              </w:rPr>
              <w:t>Berger et al, 2019)</w:t>
            </w:r>
          </w:p>
          <w:p w14:paraId="545FD518" w14:textId="3260FD64" w:rsidR="00EC35D7" w:rsidRPr="00084B38" w:rsidRDefault="00EC35D7"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(countries: Italy, Switzerland, UK)</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B7ECF0F" w14:textId="51B7FE5A" w:rsidR="00B02E3E" w:rsidRPr="00084B38" w:rsidRDefault="00B02E3E" w:rsidP="00BD1ABB">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Across 6 cohorts - Low vs high education level - </w:t>
            </w:r>
            <w:r w:rsidR="00BD1ABB">
              <w:rPr>
                <w:rFonts w:ascii="Times New Roman" w:eastAsia="Times New Roman" w:hAnsi="Times New Roman" w:cs="Times New Roman"/>
                <w:color w:val="000000"/>
                <w:lang w:eastAsia="en-GB"/>
              </w:rPr>
              <w:t>regression co</w:t>
            </w:r>
            <w:r w:rsidR="00B105DA">
              <w:rPr>
                <w:rFonts w:ascii="Times New Roman" w:eastAsia="Times New Roman" w:hAnsi="Times New Roman" w:cs="Times New Roman"/>
                <w:color w:val="000000"/>
                <w:lang w:eastAsia="en-GB"/>
              </w:rPr>
              <w:t>efficient from multivariable</w:t>
            </w:r>
            <w:r w:rsidR="00BD1ABB">
              <w:rPr>
                <w:rFonts w:ascii="Times New Roman" w:eastAsia="Times New Roman" w:hAnsi="Times New Roman" w:cs="Times New Roman"/>
                <w:color w:val="000000"/>
                <w:lang w:eastAsia="en-GB"/>
              </w:rPr>
              <w:t xml:space="preserve"> regression </w:t>
            </w:r>
            <w:r w:rsidRPr="00084B38">
              <w:rPr>
                <w:rFonts w:ascii="Times New Roman" w:eastAsia="Times New Roman" w:hAnsi="Times New Roman" w:cs="Times New Roman"/>
                <w:color w:val="000000"/>
                <w:lang w:eastAsia="en-GB"/>
              </w:rPr>
              <w:t>β (95%CI)</w:t>
            </w:r>
            <w:r w:rsidR="00BD1ABB">
              <w:rPr>
                <w:rFonts w:ascii="Times New Roman" w:eastAsia="Times New Roman" w:hAnsi="Times New Roman" w:cs="Times New Roman"/>
                <w:color w:val="000000"/>
                <w:lang w:eastAsia="en-GB"/>
              </w:rPr>
              <w:t xml:space="preserve"> per unit increase in CRP </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4ADA6E61" w14:textId="3B5C3849"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084B38">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28</w:t>
            </w:r>
            <w:r w:rsidRPr="00084B38">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(0.18; 0.37)</w:t>
            </w:r>
            <w:r>
              <w:rPr>
                <w:rFonts w:ascii="Times New Roman" w:eastAsia="Times New Roman" w:hAnsi="Times New Roman" w:cs="Times New Roman"/>
                <w:color w:val="000000"/>
                <w:lang w:eastAsia="en-GB"/>
              </w:rPr>
              <w:t xml:space="preserve">. Fully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0.13 (0.05; 0.21)</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38C969DD" w14:textId="5605C0B1"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0.33 (0.21; 0.45)</w:t>
            </w:r>
            <w:r>
              <w:rPr>
                <w:rFonts w:ascii="Times New Roman" w:eastAsia="Times New Roman" w:hAnsi="Times New Roman" w:cs="Times New Roman"/>
                <w:color w:val="000000"/>
                <w:lang w:eastAsia="en-GB"/>
              </w:rPr>
              <w:t xml:space="preserve"> Fully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0.14 (0.04; 0.25)</w:t>
            </w:r>
          </w:p>
        </w:tc>
      </w:tr>
      <w:tr w:rsidR="00B02E3E" w:rsidRPr="00084B38" w14:paraId="7EEF60B5"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6A37E915" w14:textId="61BFFFC6" w:rsidR="00B02E3E" w:rsidRPr="00084B38" w:rsidRDefault="00B02E3E" w:rsidP="005161AE">
            <w:pPr>
              <w:spacing w:after="0" w:line="360" w:lineRule="auto"/>
              <w:jc w:val="both"/>
              <w:rPr>
                <w:rFonts w:ascii="Times New Roman" w:eastAsia="Times New Roman" w:hAnsi="Times New Roman" w:cs="Times New Roman"/>
                <w:color w:val="000000"/>
                <w:lang w:eastAsia="en-GB"/>
              </w:rPr>
            </w:pP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DF5C668" w14:textId="14B05D91"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Across 6 cohorts - Medium vs high education level - </w:t>
            </w:r>
            <w:r w:rsidR="00BD1ABB">
              <w:rPr>
                <w:rFonts w:ascii="Times New Roman" w:eastAsia="Times New Roman" w:hAnsi="Times New Roman" w:cs="Times New Roman"/>
                <w:color w:val="000000"/>
                <w:lang w:eastAsia="en-GB"/>
              </w:rPr>
              <w:t>regression co</w:t>
            </w:r>
            <w:r w:rsidR="00B105DA">
              <w:rPr>
                <w:rFonts w:ascii="Times New Roman" w:eastAsia="Times New Roman" w:hAnsi="Times New Roman" w:cs="Times New Roman"/>
                <w:color w:val="000000"/>
                <w:lang w:eastAsia="en-GB"/>
              </w:rPr>
              <w:t>efficient from multivariable</w:t>
            </w:r>
            <w:r w:rsidR="00BD1ABB">
              <w:rPr>
                <w:rFonts w:ascii="Times New Roman" w:eastAsia="Times New Roman" w:hAnsi="Times New Roman" w:cs="Times New Roman"/>
                <w:color w:val="000000"/>
                <w:lang w:eastAsia="en-GB"/>
              </w:rPr>
              <w:t xml:space="preserve"> regression </w:t>
            </w:r>
            <w:r w:rsidRPr="00084B38">
              <w:rPr>
                <w:rFonts w:ascii="Times New Roman" w:eastAsia="Times New Roman" w:hAnsi="Times New Roman" w:cs="Times New Roman"/>
                <w:color w:val="000000"/>
                <w:lang w:eastAsia="en-GB"/>
              </w:rPr>
              <w:t>β (95%CI)</w:t>
            </w:r>
            <w:r w:rsidR="00BD1ABB">
              <w:rPr>
                <w:rFonts w:ascii="Times New Roman" w:eastAsia="Times New Roman" w:hAnsi="Times New Roman" w:cs="Times New Roman"/>
                <w:color w:val="000000"/>
                <w:lang w:eastAsia="en-GB"/>
              </w:rPr>
              <w:t xml:space="preserve"> per unit increase in CRP</w:t>
            </w:r>
          </w:p>
        </w:tc>
        <w:tc>
          <w:tcPr>
            <w:tcW w:w="1500" w:type="dxa"/>
            <w:gridSpan w:val="2"/>
            <w:tcBorders>
              <w:top w:val="nil"/>
              <w:left w:val="nil"/>
              <w:bottom w:val="single" w:sz="4" w:space="0" w:color="auto"/>
              <w:right w:val="single" w:sz="4" w:space="0" w:color="auto"/>
            </w:tcBorders>
            <w:shd w:val="clear" w:color="auto" w:fill="auto"/>
            <w:noWrap/>
            <w:vAlign w:val="bottom"/>
            <w:hideMark/>
          </w:tcPr>
          <w:p w14:paraId="58C986AE" w14:textId="6EEABE2C"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0.15 (0.08; 0.21)</w:t>
            </w:r>
            <w:r>
              <w:rPr>
                <w:rFonts w:ascii="Times New Roman" w:eastAsia="Times New Roman" w:hAnsi="Times New Roman" w:cs="Times New Roman"/>
                <w:color w:val="000000"/>
                <w:lang w:eastAsia="en-GB"/>
              </w:rPr>
              <w:t xml:space="preserve"> Fully adjusted:</w:t>
            </w:r>
          </w:p>
          <w:p w14:paraId="4640A7A3" w14:textId="4DD131A7" w:rsidR="00B02E3E" w:rsidRPr="00084B38" w:rsidRDefault="00BD1ABB"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 xml:space="preserve">= </w:t>
            </w:r>
            <w:r w:rsidR="00B02E3E" w:rsidRPr="00DF6B71">
              <w:rPr>
                <w:rFonts w:ascii="Times New Roman" w:eastAsia="Times New Roman" w:hAnsi="Times New Roman" w:cs="Times New Roman"/>
                <w:color w:val="000000"/>
                <w:lang w:eastAsia="en-GB"/>
              </w:rPr>
              <w:t>0.08 (0.03; 0.14)</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396BFDAB" w14:textId="609E6405"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0.15 (0.02; 0.27)</w:t>
            </w:r>
            <w:r>
              <w:rPr>
                <w:rFonts w:ascii="Times New Roman" w:eastAsia="Times New Roman" w:hAnsi="Times New Roman" w:cs="Times New Roman"/>
                <w:color w:val="000000"/>
                <w:lang w:eastAsia="en-GB"/>
              </w:rPr>
              <w:t xml:space="preserve"> Fully adjusted: </w:t>
            </w:r>
            <w:r w:rsidR="00BD1ABB" w:rsidRPr="00084B38">
              <w:rPr>
                <w:rFonts w:ascii="Times New Roman" w:eastAsia="Times New Roman" w:hAnsi="Times New Roman" w:cs="Times New Roman"/>
                <w:color w:val="000000"/>
                <w:lang w:eastAsia="en-GB"/>
              </w:rPr>
              <w:t xml:space="preserve">β </w:t>
            </w:r>
            <w:r w:rsidR="00BD1ABB">
              <w:rPr>
                <w:rFonts w:ascii="Times New Roman" w:eastAsia="Times New Roman" w:hAnsi="Times New Roman" w:cs="Times New Roman"/>
                <w:color w:val="000000"/>
                <w:lang w:eastAsia="en-GB"/>
              </w:rPr>
              <w:t xml:space="preserve">= </w:t>
            </w:r>
            <w:r w:rsidRPr="00DF6B71">
              <w:rPr>
                <w:rFonts w:ascii="Times New Roman" w:eastAsia="Times New Roman" w:hAnsi="Times New Roman" w:cs="Times New Roman"/>
                <w:color w:val="000000"/>
                <w:lang w:eastAsia="en-GB"/>
              </w:rPr>
              <w:t>0.07 (-0.04; 0.18)</w:t>
            </w:r>
            <w:r>
              <w:rPr>
                <w:rFonts w:ascii="Times New Roman" w:eastAsia="Times New Roman" w:hAnsi="Times New Roman" w:cs="Times New Roman"/>
                <w:color w:val="000000"/>
                <w:lang w:eastAsia="en-GB"/>
              </w:rPr>
              <w:t xml:space="preserve"> </w:t>
            </w:r>
          </w:p>
        </w:tc>
      </w:tr>
      <w:tr w:rsidR="00B02E3E" w:rsidRPr="00084B38" w14:paraId="357BD69D" w14:textId="77777777" w:rsidTr="005161AE">
        <w:trPr>
          <w:trHeight w:val="29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405E0CEB"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322754D"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2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BFAF453" w14:textId="77777777" w:rsidR="00B02E3E" w:rsidRPr="00084B38" w:rsidRDefault="00B02E3E" w:rsidP="005161AE">
            <w:pPr>
              <w:spacing w:after="0" w:line="360" w:lineRule="auto"/>
              <w:jc w:val="both"/>
              <w:rPr>
                <w:rFonts w:ascii="Times New Roman" w:eastAsia="Times New Roman" w:hAnsi="Times New Roman" w:cs="Times New Roman"/>
                <w:b/>
                <w:bCs/>
                <w:color w:val="000000"/>
                <w:lang w:eastAsia="en-GB"/>
              </w:rPr>
            </w:pPr>
            <w:r w:rsidRPr="00084B38">
              <w:rPr>
                <w:rFonts w:ascii="Times New Roman" w:eastAsia="Times New Roman" w:hAnsi="Times New Roman" w:cs="Times New Roman"/>
                <w:b/>
                <w:bCs/>
                <w:color w:val="000000"/>
                <w:lang w:eastAsia="en-GB"/>
              </w:rPr>
              <w:t>Males &amp; Females combined</w:t>
            </w:r>
          </w:p>
        </w:tc>
      </w:tr>
      <w:tr w:rsidR="00B02E3E" w:rsidRPr="00084B38" w14:paraId="36F4286F" w14:textId="77777777" w:rsidTr="005161AE">
        <w:trPr>
          <w:trHeight w:val="33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6AE5234B" w14:textId="6FAC8258"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Risk of Infection with Epstein Barr Virus</w:t>
            </w:r>
            <w:r w:rsidR="00AC2391">
              <w:rPr>
                <w:rFonts w:ascii="Times New Roman" w:eastAsia="Times New Roman" w:hAnsi="Times New Roman" w:cs="Times New Roman"/>
                <w:i/>
                <w:iCs/>
                <w:color w:val="000000"/>
                <w:lang w:eastAsia="en-GB"/>
              </w:rPr>
              <w:t xml:space="preserve"> </w:t>
            </w:r>
            <w:r w:rsidR="00AC2391" w:rsidRPr="00AC2391">
              <w:rPr>
                <w:rFonts w:ascii="Times New Roman" w:eastAsia="Times New Roman" w:hAnsi="Times New Roman" w:cs="Times New Roman"/>
                <w:i/>
                <w:iCs/>
                <w:color w:val="000000"/>
                <w:lang w:eastAsia="en-GB"/>
              </w:rPr>
              <w:t>(Gares</w:t>
            </w:r>
            <w:r w:rsidR="00AC2391">
              <w:rPr>
                <w:rFonts w:ascii="Times New Roman" w:eastAsia="Times New Roman" w:hAnsi="Times New Roman" w:cs="Times New Roman"/>
                <w:i/>
                <w:iCs/>
                <w:color w:val="000000"/>
                <w:vertAlign w:val="superscript"/>
                <w:lang w:eastAsia="en-GB"/>
              </w:rPr>
              <w:t xml:space="preserve"> </w:t>
            </w:r>
            <w:r w:rsidR="00AC2391">
              <w:rPr>
                <w:rFonts w:ascii="Times New Roman" w:eastAsia="Times New Roman" w:hAnsi="Times New Roman" w:cs="Times New Roman"/>
                <w:i/>
                <w:iCs/>
                <w:color w:val="000000"/>
                <w:lang w:eastAsia="en-GB"/>
              </w:rPr>
              <w:t>et al, 2017)</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387E16A" w14:textId="6CD49AE0" w:rsidR="00B02E3E"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MCS (UK) aged 3 -most disadvantaged social class vs most advantaged </w:t>
            </w:r>
            <w:r w:rsidR="002A1D3B">
              <w:rPr>
                <w:rFonts w:ascii="Times New Roman" w:eastAsia="Times New Roman" w:hAnsi="Times New Roman" w:cs="Times New Roman"/>
                <w:color w:val="000000"/>
                <w:lang w:eastAsia="en-GB"/>
              </w:rPr>
              <w:t xml:space="preserve">(occupation) </w:t>
            </w:r>
            <w:r>
              <w:rPr>
                <w:rFonts w:ascii="Times New Roman" w:eastAsia="Times New Roman" w:hAnsi="Times New Roman" w:cs="Times New Roman"/>
                <w:color w:val="000000"/>
                <w:lang w:eastAsia="en-GB"/>
              </w:rPr>
              <w:t>–</w:t>
            </w:r>
            <w:r w:rsidRPr="00084B38">
              <w:rPr>
                <w:rFonts w:ascii="Times New Roman" w:eastAsia="Times New Roman" w:hAnsi="Times New Roman" w:cs="Times New Roman"/>
                <w:color w:val="000000"/>
                <w:lang w:eastAsia="en-GB"/>
              </w:rPr>
              <w:t xml:space="preserve"> </w:t>
            </w:r>
          </w:p>
          <w:p w14:paraId="3EDF9260" w14:textId="3D99A920" w:rsidR="00B02E3E" w:rsidRDefault="00B105DA"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Odds Ratio (</w:t>
            </w:r>
            <w:r w:rsidR="00B02E3E" w:rsidRPr="00084B38">
              <w:rPr>
                <w:rFonts w:ascii="Times New Roman" w:eastAsia="Times New Roman" w:hAnsi="Times New Roman" w:cs="Times New Roman"/>
                <w:color w:val="000000"/>
                <w:lang w:eastAsia="en-GB"/>
              </w:rPr>
              <w:t>OR</w:t>
            </w:r>
            <w:r>
              <w:rPr>
                <w:rFonts w:ascii="Times New Roman" w:eastAsia="Times New Roman" w:hAnsi="Times New Roman" w:cs="Times New Roman"/>
                <w:color w:val="000000"/>
                <w:lang w:eastAsia="en-GB"/>
              </w:rPr>
              <w:t xml:space="preserve">) and </w:t>
            </w:r>
            <w:r w:rsidR="00B02E3E" w:rsidRPr="00084B38">
              <w:rPr>
                <w:rFonts w:ascii="Times New Roman" w:eastAsia="Times New Roman" w:hAnsi="Times New Roman" w:cs="Times New Roman"/>
                <w:color w:val="000000"/>
                <w:lang w:eastAsia="en-GB"/>
              </w:rPr>
              <w:t>95%CI</w:t>
            </w:r>
            <w:r>
              <w:rPr>
                <w:rFonts w:ascii="Times New Roman" w:eastAsia="Times New Roman" w:hAnsi="Times New Roman" w:cs="Times New Roman"/>
                <w:color w:val="000000"/>
                <w:lang w:eastAsia="en-GB"/>
              </w:rPr>
              <w:t xml:space="preserve"> in brackets</w:t>
            </w:r>
          </w:p>
          <w:p w14:paraId="21FF31E3" w14:textId="77777777" w:rsidR="00B02E3E" w:rsidRPr="00A145EC" w:rsidRDefault="00B02E3E" w:rsidP="005161AE">
            <w:pPr>
              <w:spacing w:after="0" w:line="240" w:lineRule="auto"/>
              <w:rPr>
                <w:rFonts w:ascii="Times New Roman" w:eastAsia="Times New Roman" w:hAnsi="Times New Roman" w:cs="Times New Roman"/>
                <w:color w:val="000000"/>
                <w:lang w:eastAsia="en-GB"/>
              </w:rPr>
            </w:pPr>
            <w:r w:rsidRPr="00A145EC">
              <w:rPr>
                <w:rFonts w:ascii="Times New Roman" w:eastAsia="Times New Roman" w:hAnsi="Times New Roman" w:cs="Times New Roman"/>
                <w:color w:val="000000"/>
                <w:lang w:eastAsia="en-GB"/>
              </w:rPr>
              <w:t xml:space="preserve">Fully adjusted model includes </w:t>
            </w:r>
            <w:r w:rsidRPr="008926AB">
              <w:rPr>
                <w:rFonts w:ascii="Times New Roman" w:hAnsi="Times New Roman" w:cs="Times New Roman"/>
              </w:rPr>
              <w:t>household socio-economic position</w:t>
            </w:r>
            <w:r>
              <w:rPr>
                <w:rFonts w:ascii="Times New Roman" w:hAnsi="Times New Roman" w:cs="Times New Roman"/>
              </w:rPr>
              <w:t>,</w:t>
            </w:r>
            <w:r w:rsidRPr="008926AB">
              <w:rPr>
                <w:rFonts w:ascii="Times New Roman" w:hAnsi="Times New Roman" w:cs="Times New Roman"/>
              </w:rPr>
              <w:t xml:space="preserve"> area environmen</w:t>
            </w:r>
            <w:r>
              <w:rPr>
                <w:rFonts w:ascii="Times New Roman" w:hAnsi="Times New Roman" w:cs="Times New Roman"/>
              </w:rPr>
              <w:t>t</w:t>
            </w:r>
            <w:r w:rsidRPr="008926AB">
              <w:rPr>
                <w:rFonts w:ascii="Times New Roman" w:hAnsi="Times New Roman" w:cs="Times New Roman"/>
              </w:rPr>
              <w:t xml:space="preserve"> home environment (overcrowding, temperature in the baby room), housing tenure</w:t>
            </w:r>
          </w:p>
        </w:tc>
        <w:tc>
          <w:tcPr>
            <w:tcW w:w="3212"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629901B" w14:textId="77777777" w:rsidR="00B02E3E" w:rsidRDefault="00B02E3E" w:rsidP="005161AE">
            <w:pPr>
              <w:spacing w:after="0" w:line="360" w:lineRule="auto"/>
              <w:jc w:val="both"/>
              <w:rPr>
                <w:rFonts w:ascii="Times New Roman" w:eastAsia="Times New Roman" w:hAnsi="Times New Roman" w:cs="Times New Roman"/>
                <w:color w:val="000000"/>
                <w:lang w:eastAsia="en-GB"/>
              </w:rPr>
            </w:pPr>
          </w:p>
          <w:p w14:paraId="138A2FF5" w14:textId="77777777" w:rsidR="00B02E3E" w:rsidRDefault="00B02E3E" w:rsidP="005161AE">
            <w:pPr>
              <w:spacing w:after="0" w:line="360" w:lineRule="auto"/>
              <w:jc w:val="both"/>
              <w:rPr>
                <w:rFonts w:ascii="Times New Roman" w:eastAsia="Times New Roman" w:hAnsi="Times New Roman" w:cs="Times New Roman"/>
                <w:color w:val="000000"/>
                <w:lang w:eastAsia="en-GB"/>
              </w:rPr>
            </w:pPr>
          </w:p>
          <w:p w14:paraId="375E7CCE" w14:textId="76224C7D"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B105DA">
              <w:rPr>
                <w:rFonts w:ascii="Times New Roman" w:eastAsia="Times New Roman" w:hAnsi="Times New Roman" w:cs="Times New Roman"/>
                <w:color w:val="000000"/>
                <w:lang w:eastAsia="en-GB"/>
              </w:rPr>
              <w:t>OR=</w:t>
            </w:r>
            <w:r w:rsidRPr="00084B38">
              <w:rPr>
                <w:rFonts w:ascii="Times New Roman" w:eastAsia="Times New Roman" w:hAnsi="Times New Roman" w:cs="Times New Roman"/>
                <w:color w:val="000000"/>
                <w:lang w:eastAsia="en-GB"/>
              </w:rPr>
              <w:t>1.24 (1.02 ; 1.50)</w:t>
            </w:r>
          </w:p>
          <w:p w14:paraId="3EE6CA85" w14:textId="70712483"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Fully adjusted </w:t>
            </w:r>
            <w:r w:rsidR="00B105DA">
              <w:rPr>
                <w:rFonts w:ascii="Times New Roman" w:eastAsia="Times New Roman" w:hAnsi="Times New Roman" w:cs="Times New Roman"/>
                <w:color w:val="000000"/>
                <w:lang w:eastAsia="en-GB"/>
              </w:rPr>
              <w:t>OR=</w:t>
            </w:r>
            <w:r>
              <w:rPr>
                <w:rFonts w:ascii="Times New Roman" w:eastAsia="Times New Roman" w:hAnsi="Times New Roman" w:cs="Times New Roman"/>
                <w:color w:val="000000"/>
                <w:lang w:eastAsia="en-GB"/>
              </w:rPr>
              <w:t>1.15. (0.94 ; 1.41)</w:t>
            </w:r>
          </w:p>
        </w:tc>
      </w:tr>
      <w:tr w:rsidR="00B02E3E" w:rsidRPr="00084B38" w14:paraId="5A5C5930" w14:textId="77777777" w:rsidTr="005161AE">
        <w:trPr>
          <w:trHeight w:val="33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7298C3A5" w14:textId="56064FF7" w:rsidR="00B02E3E" w:rsidRPr="00AC2391" w:rsidRDefault="00B02E3E" w:rsidP="00B02E3E">
            <w:pPr>
              <w:spacing w:after="0" w:line="360" w:lineRule="auto"/>
              <w:jc w:val="both"/>
              <w:rPr>
                <w:rFonts w:ascii="Times New Roman" w:eastAsia="Times New Roman" w:hAnsi="Times New Roman" w:cs="Times New Roman"/>
                <w:i/>
                <w:iCs/>
                <w:color w:val="000000"/>
                <w:lang w:eastAsia="en-GB"/>
              </w:rPr>
            </w:pPr>
            <w:r w:rsidRPr="00084B38">
              <w:rPr>
                <w:rFonts w:ascii="Times New Roman" w:eastAsia="Times New Roman" w:hAnsi="Times New Roman" w:cs="Times New Roman"/>
                <w:i/>
                <w:iCs/>
                <w:color w:val="000000"/>
                <w:lang w:eastAsia="en-GB"/>
              </w:rPr>
              <w:t>Epigenetic</w:t>
            </w:r>
            <w:r>
              <w:rPr>
                <w:rFonts w:ascii="Times New Roman" w:eastAsia="Times New Roman" w:hAnsi="Times New Roman" w:cs="Times New Roman"/>
                <w:i/>
                <w:iCs/>
                <w:color w:val="000000"/>
                <w:lang w:eastAsia="en-GB"/>
              </w:rPr>
              <w:t xml:space="preserve"> </w:t>
            </w:r>
            <w:r w:rsidRPr="00084B38">
              <w:rPr>
                <w:rFonts w:ascii="Times New Roman" w:eastAsia="Times New Roman" w:hAnsi="Times New Roman" w:cs="Times New Roman"/>
                <w:i/>
                <w:iCs/>
                <w:color w:val="000000"/>
                <w:lang w:eastAsia="en-GB"/>
              </w:rPr>
              <w:t>age acceleration (</w:t>
            </w:r>
            <w:r w:rsidR="00FA2216">
              <w:rPr>
                <w:rFonts w:ascii="Times New Roman" w:eastAsia="Times New Roman" w:hAnsi="Times New Roman" w:cs="Times New Roman"/>
                <w:i/>
                <w:iCs/>
                <w:color w:val="000000"/>
                <w:lang w:eastAsia="en-GB"/>
              </w:rPr>
              <w:t xml:space="preserve">DNA </w:t>
            </w:r>
            <w:r w:rsidRPr="00084B38">
              <w:rPr>
                <w:rFonts w:ascii="Times New Roman" w:eastAsia="Times New Roman" w:hAnsi="Times New Roman" w:cs="Times New Roman"/>
                <w:i/>
                <w:iCs/>
                <w:color w:val="000000"/>
                <w:lang w:eastAsia="en-GB"/>
              </w:rPr>
              <w:t xml:space="preserve">methylation) </w:t>
            </w:r>
            <w:r w:rsidR="00AC2391" w:rsidRPr="00AC2391">
              <w:rPr>
                <w:rFonts w:ascii="Times New Roman" w:eastAsia="Times New Roman" w:hAnsi="Times New Roman" w:cs="Times New Roman"/>
                <w:i/>
                <w:iCs/>
                <w:color w:val="000000"/>
                <w:lang w:eastAsia="en-GB"/>
              </w:rPr>
              <w:t>(Fiorito et al, 2017)</w:t>
            </w:r>
          </w:p>
          <w:p w14:paraId="4FBFF52D" w14:textId="79F07D74" w:rsidR="00B02E3E" w:rsidRPr="00084B38" w:rsidRDefault="00B02E3E" w:rsidP="00B02E3E">
            <w:pPr>
              <w:spacing w:after="0" w:line="360" w:lineRule="auto"/>
              <w:jc w:val="both"/>
              <w:rPr>
                <w:rFonts w:ascii="Times New Roman" w:eastAsia="Times New Roman" w:hAnsi="Times New Roman" w:cs="Times New Roman"/>
                <w:i/>
                <w:iCs/>
                <w:color w:val="000000"/>
                <w:lang w:eastAsia="en-GB"/>
              </w:rPr>
            </w:pPr>
            <w:r>
              <w:rPr>
                <w:rFonts w:ascii="Times New Roman" w:eastAsia="Times New Roman" w:hAnsi="Times New Roman" w:cs="Times New Roman"/>
                <w:color w:val="000000"/>
                <w:lang w:eastAsia="en-GB"/>
              </w:rPr>
              <w:t>(countries: Italy, Ireland, Australia)</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122DAACC" w14:textId="52FCA473"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3 cohorts - intermediate social class vs advantaged</w:t>
            </w:r>
            <w:r w:rsidR="002A1D3B">
              <w:rPr>
                <w:rFonts w:ascii="Times New Roman" w:eastAsia="Times New Roman" w:hAnsi="Times New Roman" w:cs="Times New Roman"/>
                <w:color w:val="000000"/>
                <w:lang w:eastAsia="en-GB"/>
              </w:rPr>
              <w:t xml:space="preserve"> (occupation)</w:t>
            </w:r>
            <w:r w:rsidR="00EC281D">
              <w:rPr>
                <w:rFonts w:ascii="Times New Roman" w:eastAsia="Times New Roman" w:hAnsi="Times New Roman" w:cs="Times New Roman"/>
                <w:color w:val="000000"/>
                <w:lang w:eastAsia="en-GB"/>
              </w:rPr>
              <w:t>:</w:t>
            </w:r>
            <w:r w:rsidRPr="00084B38">
              <w:rPr>
                <w:rFonts w:ascii="Times New Roman" w:eastAsia="Times New Roman" w:hAnsi="Times New Roman" w:cs="Times New Roman"/>
                <w:color w:val="000000"/>
                <w:lang w:eastAsia="en-GB"/>
              </w:rPr>
              <w:t xml:space="preserve"> increase in number of years</w:t>
            </w:r>
            <w:r w:rsidR="00EC281D">
              <w:rPr>
                <w:rFonts w:ascii="Times New Roman" w:eastAsia="Times New Roman" w:hAnsi="Times New Roman" w:cs="Times New Roman"/>
                <w:color w:val="000000"/>
                <w:lang w:eastAsia="en-GB"/>
              </w:rPr>
              <w:t xml:space="preserve"> (biological age acceleration)</w:t>
            </w:r>
            <w:r w:rsidRPr="00084B38">
              <w:rPr>
                <w:rFonts w:ascii="Times New Roman" w:eastAsia="Times New Roman" w:hAnsi="Times New Roman" w:cs="Times New Roman"/>
                <w:color w:val="000000"/>
                <w:lang w:eastAsia="en-GB"/>
              </w:rPr>
              <w:t xml:space="preserve"> </w:t>
            </w:r>
          </w:p>
        </w:tc>
        <w:tc>
          <w:tcPr>
            <w:tcW w:w="32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CFE19B7" w14:textId="4BC15429"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EC281D">
              <w:rPr>
                <w:rFonts w:ascii="Times New Roman" w:eastAsia="Times New Roman" w:hAnsi="Times New Roman" w:cs="Times New Roman"/>
                <w:color w:val="000000"/>
                <w:lang w:eastAsia="en-GB"/>
              </w:rPr>
              <w:t>Years increase=</w:t>
            </w:r>
            <w:r w:rsidRPr="00084B38">
              <w:rPr>
                <w:rFonts w:ascii="Times New Roman" w:eastAsia="Times New Roman" w:hAnsi="Times New Roman" w:cs="Times New Roman"/>
                <w:color w:val="000000"/>
                <w:lang w:eastAsia="en-GB"/>
              </w:rPr>
              <w:t>0.75 (0.17 ; 1.39)</w:t>
            </w:r>
            <w:r>
              <w:rPr>
                <w:rFonts w:ascii="Times New Roman" w:eastAsia="Times New Roman" w:hAnsi="Times New Roman" w:cs="Times New Roman"/>
                <w:color w:val="000000"/>
                <w:lang w:eastAsia="en-GB"/>
              </w:rPr>
              <w:t xml:space="preserve"> </w:t>
            </w:r>
          </w:p>
          <w:p w14:paraId="3B2D77DE" w14:textId="54DEBFCB"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Fully adjusted</w:t>
            </w:r>
            <w:r w:rsidR="00EC281D">
              <w:rPr>
                <w:rFonts w:ascii="Times New Roman" w:eastAsia="Times New Roman" w:hAnsi="Times New Roman" w:cs="Times New Roman"/>
                <w:color w:val="000000"/>
                <w:lang w:eastAsia="en-GB"/>
              </w:rPr>
              <w:t xml:space="preserve"> Years increase=</w:t>
            </w:r>
            <w:r>
              <w:rPr>
                <w:rFonts w:ascii="Times New Roman" w:eastAsia="Times New Roman" w:hAnsi="Times New Roman" w:cs="Times New Roman"/>
                <w:color w:val="000000"/>
                <w:lang w:eastAsia="en-GB"/>
              </w:rPr>
              <w:t xml:space="preserve"> 0</w:t>
            </w:r>
            <w:r>
              <w:t>.78 (0.19–1.37)</w:t>
            </w:r>
          </w:p>
        </w:tc>
      </w:tr>
      <w:tr w:rsidR="00B02E3E" w:rsidRPr="00084B38" w14:paraId="44EF8E1A" w14:textId="77777777" w:rsidTr="005161AE">
        <w:trPr>
          <w:trHeight w:val="31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23D6629A" w14:textId="15C524F4" w:rsidR="00B02E3E" w:rsidRPr="00084B38" w:rsidRDefault="00B02E3E" w:rsidP="00B02E3E">
            <w:pPr>
              <w:spacing w:after="0" w:line="240" w:lineRule="auto"/>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72917174" w14:textId="5958E8B0"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3 cohorts - disadvantaged social class vs advantage</w:t>
            </w:r>
            <w:r>
              <w:rPr>
                <w:rFonts w:ascii="Times New Roman" w:eastAsia="Times New Roman" w:hAnsi="Times New Roman" w:cs="Times New Roman"/>
                <w:color w:val="000000"/>
                <w:lang w:eastAsia="en-GB"/>
              </w:rPr>
              <w:t>d</w:t>
            </w:r>
            <w:r w:rsidR="002A1D3B">
              <w:rPr>
                <w:rFonts w:ascii="Times New Roman" w:eastAsia="Times New Roman" w:hAnsi="Times New Roman" w:cs="Times New Roman"/>
                <w:color w:val="000000"/>
                <w:lang w:eastAsia="en-GB"/>
              </w:rPr>
              <w:t xml:space="preserve"> (occupation):</w:t>
            </w:r>
            <w:r>
              <w:rPr>
                <w:rFonts w:ascii="Times New Roman" w:eastAsia="Times New Roman" w:hAnsi="Times New Roman" w:cs="Times New Roman"/>
                <w:color w:val="000000"/>
                <w:lang w:eastAsia="en-GB"/>
              </w:rPr>
              <w:t xml:space="preserve"> increase in number of years </w:t>
            </w:r>
          </w:p>
        </w:tc>
        <w:tc>
          <w:tcPr>
            <w:tcW w:w="32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0BA623B" w14:textId="592341C2" w:rsidR="00B02E3E"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Minimally adjusted </w:t>
            </w:r>
            <w:r w:rsidR="00EC281D">
              <w:rPr>
                <w:rFonts w:ascii="Times New Roman" w:eastAsia="Times New Roman" w:hAnsi="Times New Roman" w:cs="Times New Roman"/>
                <w:color w:val="000000"/>
                <w:lang w:eastAsia="en-GB"/>
              </w:rPr>
              <w:t>Years increase=</w:t>
            </w:r>
            <w:r w:rsidRPr="00084B38">
              <w:rPr>
                <w:rFonts w:ascii="Times New Roman" w:eastAsia="Times New Roman" w:hAnsi="Times New Roman" w:cs="Times New Roman"/>
                <w:color w:val="000000"/>
                <w:lang w:eastAsia="en-GB"/>
              </w:rPr>
              <w:t>0.99 (0.39 ; 1.59)</w:t>
            </w:r>
          </w:p>
          <w:p w14:paraId="19574B46" w14:textId="68221A14"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Fully adjusted  </w:t>
            </w:r>
            <w:r w:rsidR="00EC281D">
              <w:rPr>
                <w:rFonts w:ascii="Times New Roman" w:eastAsia="Times New Roman" w:hAnsi="Times New Roman" w:cs="Times New Roman"/>
                <w:color w:val="000000"/>
                <w:lang w:eastAsia="en-GB"/>
              </w:rPr>
              <w:t>Years increase=</w:t>
            </w:r>
            <w:r>
              <w:rPr>
                <w:rFonts w:ascii="Times New Roman" w:eastAsia="Times New Roman" w:hAnsi="Times New Roman" w:cs="Times New Roman"/>
                <w:color w:val="000000"/>
                <w:lang w:eastAsia="en-GB"/>
              </w:rPr>
              <w:t>0.93 (0.32-1.54)</w:t>
            </w:r>
            <w:r w:rsidRPr="00084B38">
              <w:rPr>
                <w:rFonts w:ascii="Times New Roman" w:eastAsia="Times New Roman" w:hAnsi="Times New Roman" w:cs="Times New Roman"/>
                <w:color w:val="000000"/>
                <w:lang w:eastAsia="en-GB"/>
              </w:rPr>
              <w:t xml:space="preserve"> </w:t>
            </w:r>
          </w:p>
        </w:tc>
      </w:tr>
      <w:tr w:rsidR="00B02E3E" w:rsidRPr="00084B38" w14:paraId="5E080CCF" w14:textId="77777777" w:rsidTr="005161AE">
        <w:trPr>
          <w:trHeight w:val="330"/>
          <w:jc w:val="center"/>
        </w:trPr>
        <w:tc>
          <w:tcPr>
            <w:tcW w:w="2294" w:type="dxa"/>
            <w:tcBorders>
              <w:top w:val="nil"/>
              <w:left w:val="single" w:sz="8" w:space="0" w:color="auto"/>
              <w:bottom w:val="single" w:sz="4" w:space="0" w:color="auto"/>
              <w:right w:val="single" w:sz="4" w:space="0" w:color="auto"/>
            </w:tcBorders>
            <w:shd w:val="clear" w:color="auto" w:fill="auto"/>
            <w:noWrap/>
            <w:vAlign w:val="bottom"/>
            <w:hideMark/>
          </w:tcPr>
          <w:p w14:paraId="3ABF1E43" w14:textId="4B36AC41" w:rsidR="00B02E3E" w:rsidRPr="00A53C27" w:rsidRDefault="00B02E3E" w:rsidP="005161AE">
            <w:pPr>
              <w:spacing w:after="0" w:line="360" w:lineRule="auto"/>
              <w:jc w:val="both"/>
              <w:rPr>
                <w:rFonts w:ascii="Times New Roman" w:eastAsia="Times New Roman" w:hAnsi="Times New Roman" w:cs="Times New Roman"/>
                <w:i/>
                <w:iCs/>
                <w:color w:val="000000"/>
                <w:vertAlign w:val="superscript"/>
                <w:lang w:val="it-IT" w:eastAsia="en-GB"/>
              </w:rPr>
            </w:pPr>
            <w:r w:rsidRPr="00A53C27">
              <w:rPr>
                <w:rFonts w:ascii="Times New Roman" w:eastAsia="Times New Roman" w:hAnsi="Times New Roman" w:cs="Times New Roman"/>
                <w:i/>
                <w:iCs/>
                <w:color w:val="000000"/>
                <w:lang w:val="it-IT" w:eastAsia="en-GB"/>
              </w:rPr>
              <w:t>Inflammatory transcriptome</w:t>
            </w:r>
            <w:r w:rsidR="00FA2216" w:rsidRPr="00A53C27">
              <w:rPr>
                <w:rFonts w:ascii="Times New Roman" w:eastAsia="Times New Roman" w:hAnsi="Times New Roman" w:cs="Times New Roman"/>
                <w:i/>
                <w:iCs/>
                <w:color w:val="000000"/>
                <w:lang w:val="it-IT" w:eastAsia="en-GB"/>
              </w:rPr>
              <w:t xml:space="preserve"> (RNA)</w:t>
            </w:r>
            <w:r w:rsidRPr="00A53C27">
              <w:rPr>
                <w:rFonts w:ascii="Times New Roman" w:eastAsia="Times New Roman" w:hAnsi="Times New Roman" w:cs="Times New Roman"/>
                <w:i/>
                <w:iCs/>
                <w:color w:val="000000"/>
                <w:lang w:val="it-IT" w:eastAsia="en-GB"/>
              </w:rPr>
              <w:t xml:space="preserve"> score </w:t>
            </w:r>
            <w:r w:rsidR="00AC2391" w:rsidRPr="00A53C27">
              <w:rPr>
                <w:rFonts w:ascii="Times New Roman" w:eastAsia="Times New Roman" w:hAnsi="Times New Roman" w:cs="Times New Roman"/>
                <w:i/>
                <w:iCs/>
                <w:color w:val="000000"/>
                <w:lang w:val="it-IT" w:eastAsia="en-GB"/>
              </w:rPr>
              <w:t>(Castagne et al, 2016)</w:t>
            </w:r>
          </w:p>
          <w:p w14:paraId="352B54D6" w14:textId="0BF1D821" w:rsidR="00B02E3E" w:rsidRPr="00084B38" w:rsidRDefault="00B02E3E" w:rsidP="005161AE">
            <w:pPr>
              <w:spacing w:after="0" w:line="360" w:lineRule="auto"/>
              <w:jc w:val="both"/>
              <w:rPr>
                <w:rFonts w:ascii="Times New Roman" w:eastAsia="Times New Roman" w:hAnsi="Times New Roman" w:cs="Times New Roman"/>
                <w:i/>
                <w:iCs/>
                <w:color w:val="000000"/>
                <w:lang w:eastAsia="en-GB"/>
              </w:rPr>
            </w:pPr>
            <w:r>
              <w:rPr>
                <w:rFonts w:ascii="Times New Roman" w:eastAsia="Times New Roman" w:hAnsi="Times New Roman" w:cs="Times New Roman"/>
                <w:color w:val="000000"/>
                <w:lang w:eastAsia="en-GB"/>
              </w:rPr>
              <w:t>(countries Italy and Canada)</w:t>
            </w:r>
          </w:p>
        </w:tc>
        <w:tc>
          <w:tcPr>
            <w:tcW w:w="3963" w:type="dxa"/>
            <w:gridSpan w:val="2"/>
            <w:tcBorders>
              <w:top w:val="nil"/>
              <w:left w:val="nil"/>
              <w:bottom w:val="single" w:sz="4" w:space="0" w:color="auto"/>
              <w:right w:val="single" w:sz="4" w:space="0" w:color="auto"/>
            </w:tcBorders>
            <w:shd w:val="clear" w:color="auto" w:fill="auto"/>
            <w:noWrap/>
            <w:vAlign w:val="bottom"/>
            <w:hideMark/>
          </w:tcPr>
          <w:p w14:paraId="5A6263F7" w14:textId="4AF9F496" w:rsidR="00B02E3E" w:rsidRPr="00084B38" w:rsidRDefault="00B02E3E" w:rsidP="00EC281D">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EPIC-Italy - disadvantaged father's occupation vs advantaged - </w:t>
            </w:r>
            <w:r w:rsidR="00EC281D">
              <w:rPr>
                <w:rFonts w:ascii="Times New Roman" w:eastAsia="Times New Roman" w:hAnsi="Times New Roman" w:cs="Times New Roman"/>
                <w:color w:val="000000"/>
                <w:lang w:eastAsia="en-GB"/>
              </w:rPr>
              <w:t xml:space="preserve">regression coefficient from multivariable regression </w:t>
            </w:r>
            <w:r w:rsidR="00EC281D" w:rsidRPr="00084B38">
              <w:rPr>
                <w:rFonts w:ascii="Times New Roman" w:eastAsia="Times New Roman" w:hAnsi="Times New Roman" w:cs="Times New Roman"/>
                <w:color w:val="000000"/>
                <w:lang w:eastAsia="en-GB"/>
              </w:rPr>
              <w:t>β (95%CI)</w:t>
            </w:r>
            <w:r w:rsidR="00EC281D">
              <w:rPr>
                <w:rFonts w:ascii="Times New Roman" w:eastAsia="Times New Roman" w:hAnsi="Times New Roman" w:cs="Times New Roman"/>
                <w:color w:val="000000"/>
                <w:lang w:eastAsia="en-GB"/>
              </w:rPr>
              <w:t xml:space="preserve"> per unit increase in transcriptomic score</w:t>
            </w:r>
            <w:r w:rsidR="00EC281D" w:rsidRPr="00084B38" w:rsidDel="00EC281D">
              <w:rPr>
                <w:rFonts w:ascii="Times New Roman" w:eastAsia="Times New Roman" w:hAnsi="Times New Roman" w:cs="Times New Roman"/>
                <w:color w:val="000000"/>
                <w:lang w:eastAsia="en-GB"/>
              </w:rPr>
              <w:t xml:space="preserve"> </w:t>
            </w:r>
          </w:p>
        </w:tc>
        <w:tc>
          <w:tcPr>
            <w:tcW w:w="32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BA1ECDA" w14:textId="2D22C5B7" w:rsidR="00B02E3E" w:rsidRPr="00084B38" w:rsidRDefault="00EC281D"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w:t>
            </w:r>
            <w:r w:rsidR="00B02E3E" w:rsidRPr="00084B38">
              <w:rPr>
                <w:rFonts w:ascii="Times New Roman" w:eastAsia="Times New Roman" w:hAnsi="Times New Roman" w:cs="Times New Roman"/>
                <w:color w:val="000000"/>
                <w:lang w:eastAsia="en-GB"/>
              </w:rPr>
              <w:t>0.35 (0.04 ; 0.66)</w:t>
            </w:r>
          </w:p>
        </w:tc>
      </w:tr>
      <w:tr w:rsidR="00B02E3E" w:rsidRPr="00084B38" w14:paraId="28F1A5DB" w14:textId="77777777" w:rsidTr="005161AE">
        <w:trPr>
          <w:trHeight w:val="320"/>
          <w:jc w:val="center"/>
        </w:trPr>
        <w:tc>
          <w:tcPr>
            <w:tcW w:w="2294" w:type="dxa"/>
            <w:tcBorders>
              <w:top w:val="nil"/>
              <w:left w:val="single" w:sz="8" w:space="0" w:color="auto"/>
              <w:bottom w:val="single" w:sz="8" w:space="0" w:color="auto"/>
              <w:right w:val="single" w:sz="4" w:space="0" w:color="auto"/>
            </w:tcBorders>
            <w:shd w:val="clear" w:color="auto" w:fill="auto"/>
            <w:noWrap/>
            <w:vAlign w:val="bottom"/>
            <w:hideMark/>
          </w:tcPr>
          <w:p w14:paraId="75E04214" w14:textId="77DE3A7C" w:rsidR="00B02E3E" w:rsidRPr="00084B38" w:rsidRDefault="00B02E3E" w:rsidP="00B02E3E">
            <w:pPr>
              <w:spacing w:after="0" w:line="240" w:lineRule="auto"/>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single" w:sz="8" w:space="0" w:color="auto"/>
              <w:right w:val="single" w:sz="4" w:space="0" w:color="auto"/>
            </w:tcBorders>
            <w:shd w:val="clear" w:color="auto" w:fill="auto"/>
            <w:noWrap/>
            <w:vAlign w:val="bottom"/>
            <w:hideMark/>
          </w:tcPr>
          <w:p w14:paraId="3753F426" w14:textId="7228EEAA" w:rsidR="00B02E3E" w:rsidRPr="00084B38" w:rsidRDefault="00B02E3E" w:rsidP="00EC281D">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GSE15180 dataset - disadvantaged father's occupation vs advantaged - </w:t>
            </w:r>
            <w:r w:rsidR="00EC281D">
              <w:rPr>
                <w:rFonts w:ascii="Times New Roman" w:eastAsia="Times New Roman" w:hAnsi="Times New Roman" w:cs="Times New Roman"/>
                <w:color w:val="000000"/>
                <w:lang w:eastAsia="en-GB"/>
              </w:rPr>
              <w:t xml:space="preserve">regression coefficient from multivariable regression </w:t>
            </w:r>
            <w:r w:rsidR="00EC281D" w:rsidRPr="00084B38">
              <w:rPr>
                <w:rFonts w:ascii="Times New Roman" w:eastAsia="Times New Roman" w:hAnsi="Times New Roman" w:cs="Times New Roman"/>
                <w:color w:val="000000"/>
                <w:lang w:eastAsia="en-GB"/>
              </w:rPr>
              <w:t>β (95%CI)</w:t>
            </w:r>
            <w:r w:rsidR="00EC281D">
              <w:rPr>
                <w:rFonts w:ascii="Times New Roman" w:eastAsia="Times New Roman" w:hAnsi="Times New Roman" w:cs="Times New Roman"/>
                <w:color w:val="000000"/>
                <w:lang w:eastAsia="en-GB"/>
              </w:rPr>
              <w:t xml:space="preserve"> per unit increase in transcriptomic score</w:t>
            </w:r>
          </w:p>
        </w:tc>
        <w:tc>
          <w:tcPr>
            <w:tcW w:w="3212"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2ACA2B73" w14:textId="5A0F08CE" w:rsidR="00B02E3E" w:rsidRPr="00084B38" w:rsidRDefault="00EC281D"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xml:space="preserve">β </w:t>
            </w:r>
            <w:r>
              <w:rPr>
                <w:rFonts w:ascii="Times New Roman" w:eastAsia="Times New Roman" w:hAnsi="Times New Roman" w:cs="Times New Roman"/>
                <w:color w:val="000000"/>
                <w:lang w:eastAsia="en-GB"/>
              </w:rPr>
              <w:t>=</w:t>
            </w:r>
            <w:r w:rsidR="00B02E3E" w:rsidRPr="00084B38">
              <w:rPr>
                <w:rFonts w:ascii="Times New Roman" w:eastAsia="Times New Roman" w:hAnsi="Times New Roman" w:cs="Times New Roman"/>
                <w:color w:val="000000"/>
                <w:lang w:eastAsia="en-GB"/>
              </w:rPr>
              <w:t>0.60 (0.11 ; 1.09)</w:t>
            </w:r>
          </w:p>
        </w:tc>
      </w:tr>
      <w:tr w:rsidR="00B02E3E" w:rsidRPr="00084B38" w14:paraId="664E99FF" w14:textId="77777777" w:rsidTr="005161AE">
        <w:trPr>
          <w:trHeight w:val="290"/>
          <w:jc w:val="center"/>
        </w:trPr>
        <w:tc>
          <w:tcPr>
            <w:tcW w:w="2294" w:type="dxa"/>
            <w:tcBorders>
              <w:top w:val="nil"/>
              <w:left w:val="single" w:sz="8" w:space="0" w:color="auto"/>
              <w:bottom w:val="nil"/>
              <w:right w:val="nil"/>
            </w:tcBorders>
            <w:shd w:val="clear" w:color="auto" w:fill="auto"/>
            <w:noWrap/>
            <w:vAlign w:val="bottom"/>
            <w:hideMark/>
          </w:tcPr>
          <w:p w14:paraId="59749C8C"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3963" w:type="dxa"/>
            <w:gridSpan w:val="2"/>
            <w:tcBorders>
              <w:top w:val="nil"/>
              <w:left w:val="nil"/>
              <w:bottom w:val="nil"/>
              <w:right w:val="nil"/>
            </w:tcBorders>
            <w:shd w:val="clear" w:color="auto" w:fill="auto"/>
            <w:noWrap/>
            <w:vAlign w:val="bottom"/>
            <w:hideMark/>
          </w:tcPr>
          <w:p w14:paraId="69A68677"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p>
        </w:tc>
        <w:tc>
          <w:tcPr>
            <w:tcW w:w="3212" w:type="dxa"/>
            <w:gridSpan w:val="4"/>
            <w:tcBorders>
              <w:top w:val="nil"/>
              <w:left w:val="nil"/>
              <w:bottom w:val="nil"/>
              <w:right w:val="single" w:sz="8" w:space="0" w:color="000000"/>
            </w:tcBorders>
            <w:shd w:val="clear" w:color="auto" w:fill="auto"/>
            <w:noWrap/>
            <w:vAlign w:val="bottom"/>
            <w:hideMark/>
          </w:tcPr>
          <w:p w14:paraId="34817ABE" w14:textId="77777777" w:rsidR="00B02E3E" w:rsidRPr="00084B38" w:rsidRDefault="00B02E3E" w:rsidP="005161AE">
            <w:pPr>
              <w:spacing w:after="0" w:line="360" w:lineRule="auto"/>
              <w:jc w:val="both"/>
              <w:rPr>
                <w:rFonts w:ascii="Times New Roman" w:eastAsia="Times New Roman" w:hAnsi="Times New Roman" w:cs="Times New Roman"/>
                <w:lang w:eastAsia="en-GB"/>
              </w:rPr>
            </w:pPr>
          </w:p>
        </w:tc>
      </w:tr>
      <w:tr w:rsidR="00B02E3E" w:rsidRPr="00084B38" w14:paraId="7E86FC2A" w14:textId="77777777" w:rsidTr="005161AE">
        <w:trPr>
          <w:trHeight w:val="310"/>
          <w:jc w:val="center"/>
        </w:trPr>
        <w:tc>
          <w:tcPr>
            <w:tcW w:w="2294" w:type="dxa"/>
            <w:tcBorders>
              <w:top w:val="nil"/>
              <w:left w:val="single" w:sz="8" w:space="0" w:color="auto"/>
              <w:bottom w:val="nil"/>
              <w:right w:val="nil"/>
            </w:tcBorders>
            <w:shd w:val="clear" w:color="000000" w:fill="FFFFFF"/>
            <w:noWrap/>
            <w:vAlign w:val="bottom"/>
            <w:hideMark/>
          </w:tcPr>
          <w:p w14:paraId="7076B6B5"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up to 2.35 at 21 years</w:t>
            </w:r>
          </w:p>
        </w:tc>
        <w:tc>
          <w:tcPr>
            <w:tcW w:w="3963" w:type="dxa"/>
            <w:gridSpan w:val="2"/>
            <w:tcBorders>
              <w:top w:val="nil"/>
              <w:left w:val="nil"/>
              <w:bottom w:val="nil"/>
              <w:right w:val="nil"/>
            </w:tcBorders>
            <w:shd w:val="clear" w:color="000000" w:fill="FFFFFF"/>
            <w:noWrap/>
            <w:vAlign w:val="bottom"/>
            <w:hideMark/>
          </w:tcPr>
          <w:p w14:paraId="154C2D40"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2099" w:type="dxa"/>
            <w:gridSpan w:val="3"/>
            <w:tcBorders>
              <w:top w:val="nil"/>
              <w:left w:val="nil"/>
              <w:bottom w:val="nil"/>
              <w:right w:val="nil"/>
            </w:tcBorders>
            <w:shd w:val="clear" w:color="000000" w:fill="FFFFFF"/>
            <w:noWrap/>
            <w:vAlign w:val="center"/>
            <w:hideMark/>
          </w:tcPr>
          <w:p w14:paraId="2670AE84"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1113" w:type="dxa"/>
            <w:tcBorders>
              <w:top w:val="nil"/>
              <w:left w:val="nil"/>
              <w:bottom w:val="nil"/>
              <w:right w:val="single" w:sz="8" w:space="0" w:color="auto"/>
            </w:tcBorders>
            <w:shd w:val="clear" w:color="000000" w:fill="FFFFFF"/>
            <w:noWrap/>
            <w:vAlign w:val="bottom"/>
            <w:hideMark/>
          </w:tcPr>
          <w:p w14:paraId="4BE3D59E"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r>
      <w:tr w:rsidR="00B02E3E" w:rsidRPr="00084B38" w14:paraId="23854698" w14:textId="77777777" w:rsidTr="005161AE">
        <w:trPr>
          <w:trHeight w:val="320"/>
          <w:jc w:val="center"/>
        </w:trPr>
        <w:tc>
          <w:tcPr>
            <w:tcW w:w="2294" w:type="dxa"/>
            <w:tcBorders>
              <w:top w:val="nil"/>
              <w:left w:val="single" w:sz="8" w:space="0" w:color="auto"/>
              <w:bottom w:val="single" w:sz="8" w:space="0" w:color="auto"/>
              <w:right w:val="nil"/>
            </w:tcBorders>
            <w:shd w:val="clear" w:color="000000" w:fill="FFFFFF"/>
            <w:noWrap/>
            <w:vAlign w:val="bottom"/>
            <w:hideMark/>
          </w:tcPr>
          <w:p w14:paraId="1B84DB6F" w14:textId="3A7463BC" w:rsidR="00B02E3E" w:rsidRPr="00084B38" w:rsidRDefault="00B02E3E" w:rsidP="005161AE">
            <w:pPr>
              <w:spacing w:after="0" w:line="360" w:lineRule="auto"/>
              <w:jc w:val="both"/>
              <w:rPr>
                <w:rFonts w:ascii="Times New Roman" w:eastAsia="Times New Roman" w:hAnsi="Times New Roman" w:cs="Times New Roman"/>
                <w:color w:val="000000"/>
                <w:lang w:eastAsia="en-GB"/>
              </w:rPr>
            </w:pPr>
          </w:p>
        </w:tc>
        <w:tc>
          <w:tcPr>
            <w:tcW w:w="3963" w:type="dxa"/>
            <w:gridSpan w:val="2"/>
            <w:tcBorders>
              <w:top w:val="nil"/>
              <w:left w:val="nil"/>
              <w:bottom w:val="single" w:sz="8" w:space="0" w:color="auto"/>
              <w:right w:val="nil"/>
            </w:tcBorders>
            <w:shd w:val="clear" w:color="000000" w:fill="FFFFFF"/>
            <w:noWrap/>
            <w:vAlign w:val="bottom"/>
            <w:hideMark/>
          </w:tcPr>
          <w:p w14:paraId="52E2F4AF"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2099" w:type="dxa"/>
            <w:gridSpan w:val="3"/>
            <w:tcBorders>
              <w:top w:val="nil"/>
              <w:left w:val="nil"/>
              <w:bottom w:val="single" w:sz="8" w:space="0" w:color="auto"/>
              <w:right w:val="nil"/>
            </w:tcBorders>
            <w:shd w:val="clear" w:color="000000" w:fill="FFFFFF"/>
            <w:noWrap/>
            <w:vAlign w:val="center"/>
            <w:hideMark/>
          </w:tcPr>
          <w:p w14:paraId="67D1C2BA"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c>
          <w:tcPr>
            <w:tcW w:w="1113" w:type="dxa"/>
            <w:tcBorders>
              <w:top w:val="nil"/>
              <w:left w:val="nil"/>
              <w:bottom w:val="single" w:sz="8" w:space="0" w:color="auto"/>
              <w:right w:val="single" w:sz="8" w:space="0" w:color="auto"/>
            </w:tcBorders>
            <w:shd w:val="clear" w:color="000000" w:fill="FFFFFF"/>
            <w:noWrap/>
            <w:vAlign w:val="bottom"/>
            <w:hideMark/>
          </w:tcPr>
          <w:p w14:paraId="75283BA6" w14:textId="77777777" w:rsidR="00B02E3E" w:rsidRPr="00084B38" w:rsidRDefault="00B02E3E" w:rsidP="005161AE">
            <w:pPr>
              <w:spacing w:after="0" w:line="360" w:lineRule="auto"/>
              <w:jc w:val="both"/>
              <w:rPr>
                <w:rFonts w:ascii="Times New Roman" w:eastAsia="Times New Roman" w:hAnsi="Times New Roman" w:cs="Times New Roman"/>
                <w:color w:val="000000"/>
                <w:lang w:eastAsia="en-GB"/>
              </w:rPr>
            </w:pPr>
            <w:r w:rsidRPr="00084B38">
              <w:rPr>
                <w:rFonts w:ascii="Times New Roman" w:eastAsia="Times New Roman" w:hAnsi="Times New Roman" w:cs="Times New Roman"/>
                <w:color w:val="000000"/>
                <w:lang w:eastAsia="en-GB"/>
              </w:rPr>
              <w:t> </w:t>
            </w:r>
          </w:p>
        </w:tc>
      </w:tr>
    </w:tbl>
    <w:p w14:paraId="4AF1EF4A" w14:textId="77777777" w:rsidR="00B02E3E" w:rsidRPr="00084B38" w:rsidRDefault="00B02E3E" w:rsidP="00B02E3E">
      <w:pPr>
        <w:spacing w:line="360" w:lineRule="auto"/>
        <w:jc w:val="both"/>
        <w:rPr>
          <w:rFonts w:ascii="Times New Roman" w:hAnsi="Times New Roman" w:cs="Times New Roman"/>
          <w:lang w:val="fr-FR"/>
        </w:rPr>
      </w:pPr>
    </w:p>
    <w:p w14:paraId="3E75BAF5" w14:textId="77777777" w:rsidR="00B02E3E" w:rsidRDefault="00B02E3E" w:rsidP="00B02E3E">
      <w:pPr>
        <w:spacing w:after="0" w:line="360" w:lineRule="auto"/>
        <w:jc w:val="both"/>
        <w:rPr>
          <w:rFonts w:ascii="Times New Roman" w:hAnsi="Times New Roman" w:cs="Times New Roman"/>
          <w:sz w:val="24"/>
          <w:szCs w:val="24"/>
        </w:rPr>
      </w:pPr>
    </w:p>
    <w:p w14:paraId="45921103" w14:textId="77777777" w:rsidR="00B02E3E" w:rsidRDefault="00B02E3E" w:rsidP="00B02E3E"/>
    <w:p w14:paraId="37167B34" w14:textId="39D58FF0" w:rsidR="00B02E3E" w:rsidRDefault="00B02E3E">
      <w:pPr>
        <w:rPr>
          <w:rFonts w:ascii="Times New Roman" w:hAnsi="Times New Roman" w:cs="Times New Roman"/>
          <w:b/>
          <w:sz w:val="24"/>
          <w:szCs w:val="24"/>
        </w:rPr>
      </w:pPr>
      <w:r>
        <w:rPr>
          <w:rFonts w:ascii="Times New Roman" w:hAnsi="Times New Roman" w:cs="Times New Roman"/>
          <w:b/>
          <w:sz w:val="24"/>
          <w:szCs w:val="24"/>
        </w:rPr>
        <w:br w:type="page"/>
      </w:r>
    </w:p>
    <w:p w14:paraId="50FFAF32" w14:textId="77777777" w:rsidR="00E00D14" w:rsidRDefault="00E00D14" w:rsidP="0086535B">
      <w:pPr>
        <w:spacing w:after="0" w:line="360" w:lineRule="auto"/>
        <w:jc w:val="both"/>
        <w:rPr>
          <w:rFonts w:ascii="Times New Roman" w:hAnsi="Times New Roman" w:cs="Times New Roman"/>
          <w:b/>
          <w:sz w:val="24"/>
          <w:szCs w:val="24"/>
        </w:rPr>
      </w:pPr>
    </w:p>
    <w:p w14:paraId="75FC495D" w14:textId="4D725AE9" w:rsidR="00BA7108" w:rsidRPr="00EE1EA3" w:rsidRDefault="00BA7108" w:rsidP="0086535B">
      <w:pPr>
        <w:spacing w:line="360" w:lineRule="auto"/>
        <w:jc w:val="both"/>
        <w:rPr>
          <w:rFonts w:ascii="Times New Roman" w:hAnsi="Times New Roman" w:cs="Times New Roman"/>
          <w:b/>
          <w:sz w:val="24"/>
          <w:szCs w:val="24"/>
        </w:rPr>
      </w:pPr>
      <w:r w:rsidRPr="00EE1EA3">
        <w:rPr>
          <w:rFonts w:ascii="Times New Roman" w:hAnsi="Times New Roman" w:cs="Times New Roman"/>
          <w:b/>
          <w:sz w:val="24"/>
          <w:szCs w:val="24"/>
        </w:rPr>
        <w:t>Figure 1 - legend</w:t>
      </w:r>
    </w:p>
    <w:p w14:paraId="70907E6D" w14:textId="2758D73C" w:rsidR="00C46479" w:rsidRPr="00EE1EA3" w:rsidRDefault="00BA7108" w:rsidP="0086535B">
      <w:pPr>
        <w:spacing w:line="360" w:lineRule="auto"/>
        <w:jc w:val="both"/>
        <w:rPr>
          <w:rFonts w:ascii="Times New Roman" w:hAnsi="Times New Roman" w:cs="Times New Roman"/>
          <w:sz w:val="24"/>
          <w:szCs w:val="24"/>
        </w:rPr>
      </w:pPr>
      <w:r w:rsidRPr="00EE1EA3">
        <w:rPr>
          <w:rFonts w:ascii="Times New Roman" w:hAnsi="Times New Roman" w:cs="Times New Roman"/>
          <w:sz w:val="24"/>
          <w:szCs w:val="24"/>
        </w:rPr>
        <w:t>Dose-response relationship between three levels of socio-economic conditions (</w:t>
      </w:r>
      <w:r w:rsidR="00B85A18">
        <w:rPr>
          <w:rFonts w:ascii="Times New Roman" w:hAnsi="Times New Roman" w:cs="Times New Roman"/>
          <w:sz w:val="24"/>
          <w:szCs w:val="24"/>
        </w:rPr>
        <w:t xml:space="preserve">as </w:t>
      </w:r>
      <w:r w:rsidRPr="00EE1EA3">
        <w:rPr>
          <w:rFonts w:ascii="Times New Roman" w:hAnsi="Times New Roman" w:cs="Times New Roman"/>
          <w:sz w:val="24"/>
          <w:szCs w:val="24"/>
        </w:rPr>
        <w:t>defined in the text) and outcome variables: A. mortality; B. walking speed; C. height in children; D. blood levels of C-reactive protein. Outcome variables and cohorts of o</w:t>
      </w:r>
      <w:r w:rsidR="00006E58">
        <w:rPr>
          <w:rFonts w:ascii="Times New Roman" w:hAnsi="Times New Roman" w:cs="Times New Roman"/>
          <w:sz w:val="24"/>
          <w:szCs w:val="24"/>
        </w:rPr>
        <w:t>rigin are described in Table 1.</w:t>
      </w:r>
    </w:p>
    <w:sectPr w:rsidR="00C46479" w:rsidRPr="00EE1EA3">
      <w:footerReference w:type="default" r:id="rId2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97E38" w16cid:durableId="210EB2BF"/>
  <w16cid:commentId w16cid:paraId="27BAD91E" w16cid:durableId="210EBC5F"/>
  <w16cid:commentId w16cid:paraId="0686A9A2" w16cid:durableId="210EB51A"/>
  <w16cid:commentId w16cid:paraId="64806A5C" w16cid:durableId="210EA73F"/>
  <w16cid:commentId w16cid:paraId="0486A820" w16cid:durableId="210EB40F"/>
  <w16cid:commentId w16cid:paraId="75D7531F" w16cid:durableId="210EB46F"/>
  <w16cid:commentId w16cid:paraId="15157349" w16cid:durableId="210EB65E"/>
  <w16cid:commentId w16cid:paraId="5E9CB128" w16cid:durableId="210EBA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106A" w14:textId="77777777" w:rsidR="00EB4A59" w:rsidRDefault="00EB4A59" w:rsidP="0045683C">
      <w:pPr>
        <w:spacing w:after="0" w:line="240" w:lineRule="auto"/>
      </w:pPr>
      <w:r>
        <w:separator/>
      </w:r>
    </w:p>
  </w:endnote>
  <w:endnote w:type="continuationSeparator" w:id="0">
    <w:p w14:paraId="386C18CF" w14:textId="77777777" w:rsidR="00EB4A59" w:rsidRDefault="00EB4A59" w:rsidP="0045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calaLancetPro">
    <w:altName w:val="ScalaLancetPr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30409"/>
      <w:docPartObj>
        <w:docPartGallery w:val="Page Numbers (Bottom of Page)"/>
        <w:docPartUnique/>
      </w:docPartObj>
    </w:sdtPr>
    <w:sdtEndPr>
      <w:rPr>
        <w:noProof/>
      </w:rPr>
    </w:sdtEndPr>
    <w:sdtContent>
      <w:p w14:paraId="4CE73AFE" w14:textId="55517D68" w:rsidR="00FA1952" w:rsidRDefault="00FA1952">
        <w:pPr>
          <w:pStyle w:val="Footer"/>
          <w:jc w:val="center"/>
        </w:pPr>
        <w:r>
          <w:fldChar w:fldCharType="begin"/>
        </w:r>
        <w:r>
          <w:instrText xml:space="preserve"> PAGE   \* MERGEFORMAT </w:instrText>
        </w:r>
        <w:r>
          <w:fldChar w:fldCharType="separate"/>
        </w:r>
        <w:r w:rsidR="000558BC">
          <w:rPr>
            <w:noProof/>
          </w:rPr>
          <w:t>1</w:t>
        </w:r>
        <w:r>
          <w:rPr>
            <w:noProof/>
          </w:rPr>
          <w:fldChar w:fldCharType="end"/>
        </w:r>
      </w:p>
    </w:sdtContent>
  </w:sdt>
  <w:p w14:paraId="47FCB9F1" w14:textId="77777777" w:rsidR="00FA1952" w:rsidRDefault="00FA1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D7D5" w14:textId="77777777" w:rsidR="00EB4A59" w:rsidRDefault="00EB4A59" w:rsidP="0045683C">
      <w:pPr>
        <w:spacing w:after="0" w:line="240" w:lineRule="auto"/>
      </w:pPr>
      <w:r>
        <w:separator/>
      </w:r>
    </w:p>
  </w:footnote>
  <w:footnote w:type="continuationSeparator" w:id="0">
    <w:p w14:paraId="42CE9B13" w14:textId="77777777" w:rsidR="00EB4A59" w:rsidRDefault="00EB4A59" w:rsidP="00456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70C"/>
    <w:multiLevelType w:val="hybridMultilevel"/>
    <w:tmpl w:val="64687200"/>
    <w:lvl w:ilvl="0" w:tplc="6BB22AC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1D3CCB"/>
    <w:multiLevelType w:val="multilevel"/>
    <w:tmpl w:val="1AE8BA9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C602C"/>
    <w:multiLevelType w:val="hybridMultilevel"/>
    <w:tmpl w:val="50DEB19A"/>
    <w:lvl w:ilvl="0" w:tplc="79DEB0E8">
      <w:start w:val="1"/>
      <w:numFmt w:val="bullet"/>
      <w:lvlText w:val=""/>
      <w:lvlJc w:val="left"/>
      <w:pPr>
        <w:ind w:left="1440" w:hanging="360"/>
      </w:pPr>
      <w:rPr>
        <w:rFonts w:ascii="Symbol" w:eastAsiaTheme="minorHAns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276AB3"/>
    <w:multiLevelType w:val="hybridMultilevel"/>
    <w:tmpl w:val="3C7A6DBC"/>
    <w:lvl w:ilvl="0" w:tplc="E9D2CB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50CC9"/>
    <w:multiLevelType w:val="hybridMultilevel"/>
    <w:tmpl w:val="3A54F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B01D9"/>
    <w:multiLevelType w:val="hybridMultilevel"/>
    <w:tmpl w:val="73F64512"/>
    <w:lvl w:ilvl="0" w:tplc="0C4887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C2087"/>
    <w:multiLevelType w:val="hybridMultilevel"/>
    <w:tmpl w:val="9942F97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F7E6903"/>
    <w:multiLevelType w:val="hybridMultilevel"/>
    <w:tmpl w:val="41E8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45EEE"/>
    <w:multiLevelType w:val="hybridMultilevel"/>
    <w:tmpl w:val="9942F97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7983354"/>
    <w:multiLevelType w:val="hybridMultilevel"/>
    <w:tmpl w:val="3A54F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D2F36"/>
    <w:multiLevelType w:val="multilevel"/>
    <w:tmpl w:val="5DA62220"/>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790F9C"/>
    <w:multiLevelType w:val="hybridMultilevel"/>
    <w:tmpl w:val="D1706A2A"/>
    <w:lvl w:ilvl="0" w:tplc="D69A6C30">
      <w:start w:val="1"/>
      <w:numFmt w:val="bullet"/>
      <w:lvlText w:val=""/>
      <w:lvlJc w:val="left"/>
      <w:pPr>
        <w:ind w:left="1080" w:hanging="360"/>
      </w:pPr>
      <w:rPr>
        <w:rFonts w:ascii="Symbol" w:eastAsiaTheme="minorHAnsi"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CE77B1"/>
    <w:multiLevelType w:val="hybridMultilevel"/>
    <w:tmpl w:val="9942F97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9"/>
  </w:num>
  <w:num w:numId="7">
    <w:abstractNumId w:val="0"/>
  </w:num>
  <w:num w:numId="8">
    <w:abstractNumId w:val="8"/>
  </w:num>
  <w:num w:numId="9">
    <w:abstractNumId w:val="3"/>
  </w:num>
  <w:num w:numId="10">
    <w:abstractNumId w:val="4"/>
  </w:num>
  <w:num w:numId="11">
    <w:abstractNumId w:val="11"/>
  </w:num>
  <w:num w:numId="12">
    <w:abstractNumId w:val="2"/>
  </w:num>
  <w:num w:numId="13">
    <w:abstractNumId w:val="5"/>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it-IT" w:vendorID="64" w:dllVersion="6" w:nlCheck="1" w:checkStyle="0"/>
  <w:activeWritingStyle w:appName="MSWord" w:lang="en-IE"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IE" w:vendorID="64" w:dllVersion="131078" w:nlCheck="1" w:checkStyle="0"/>
  <w:activeWritingStyle w:appName="MSWord" w:lang="it-IT"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wfvwe9zrd055ie5fdtpwe2esswsd02d5s00&quot;&gt;My EndNote Library&lt;record-ids&gt;&lt;item&gt;86&lt;/item&gt;&lt;item&gt;488&lt;/item&gt;&lt;item&gt;1671&lt;/item&gt;&lt;item&gt;1675&lt;/item&gt;&lt;item&gt;1684&lt;/item&gt;&lt;item&gt;2173&lt;/item&gt;&lt;item&gt;2250&lt;/item&gt;&lt;item&gt;2251&lt;/item&gt;&lt;item&gt;2255&lt;/item&gt;&lt;item&gt;2256&lt;/item&gt;&lt;item&gt;2260&lt;/item&gt;&lt;item&gt;2265&lt;/item&gt;&lt;item&gt;2267&lt;/item&gt;&lt;item&gt;2292&lt;/item&gt;&lt;item&gt;2295&lt;/item&gt;&lt;item&gt;2296&lt;/item&gt;&lt;item&gt;2299&lt;/item&gt;&lt;item&gt;2309&lt;/item&gt;&lt;/record-ids&gt;&lt;/item&gt;&lt;/Libraries&gt;"/>
  </w:docVars>
  <w:rsids>
    <w:rsidRoot w:val="00500690"/>
    <w:rsid w:val="00006E58"/>
    <w:rsid w:val="00007E16"/>
    <w:rsid w:val="0001774E"/>
    <w:rsid w:val="00022F98"/>
    <w:rsid w:val="000324C5"/>
    <w:rsid w:val="00046B99"/>
    <w:rsid w:val="00050330"/>
    <w:rsid w:val="000558BC"/>
    <w:rsid w:val="00062070"/>
    <w:rsid w:val="000704AB"/>
    <w:rsid w:val="0008221D"/>
    <w:rsid w:val="000A382D"/>
    <w:rsid w:val="000A3DD3"/>
    <w:rsid w:val="000A7B28"/>
    <w:rsid w:val="000B2374"/>
    <w:rsid w:val="000B7D61"/>
    <w:rsid w:val="000C16E1"/>
    <w:rsid w:val="000C665D"/>
    <w:rsid w:val="000D52D7"/>
    <w:rsid w:val="000D616D"/>
    <w:rsid w:val="000D6CED"/>
    <w:rsid w:val="000E5770"/>
    <w:rsid w:val="000E6F54"/>
    <w:rsid w:val="000F6CAF"/>
    <w:rsid w:val="001017F1"/>
    <w:rsid w:val="00101FA0"/>
    <w:rsid w:val="00105166"/>
    <w:rsid w:val="001177DC"/>
    <w:rsid w:val="00121419"/>
    <w:rsid w:val="00125EBD"/>
    <w:rsid w:val="00126612"/>
    <w:rsid w:val="00132129"/>
    <w:rsid w:val="0013281F"/>
    <w:rsid w:val="001329A2"/>
    <w:rsid w:val="00136806"/>
    <w:rsid w:val="00136AFF"/>
    <w:rsid w:val="00137313"/>
    <w:rsid w:val="00144E8A"/>
    <w:rsid w:val="001505F7"/>
    <w:rsid w:val="001522AC"/>
    <w:rsid w:val="0016195A"/>
    <w:rsid w:val="00172845"/>
    <w:rsid w:val="001757E8"/>
    <w:rsid w:val="00176029"/>
    <w:rsid w:val="001841A2"/>
    <w:rsid w:val="001915E7"/>
    <w:rsid w:val="001921C2"/>
    <w:rsid w:val="00193F5D"/>
    <w:rsid w:val="0019742B"/>
    <w:rsid w:val="001A0840"/>
    <w:rsid w:val="001A0B86"/>
    <w:rsid w:val="001A2B3A"/>
    <w:rsid w:val="001B08B4"/>
    <w:rsid w:val="001B7D30"/>
    <w:rsid w:val="001C4B9D"/>
    <w:rsid w:val="001D0326"/>
    <w:rsid w:val="001D7F4A"/>
    <w:rsid w:val="001E5C4F"/>
    <w:rsid w:val="001F08FC"/>
    <w:rsid w:val="001F7F44"/>
    <w:rsid w:val="00202C75"/>
    <w:rsid w:val="00203BAB"/>
    <w:rsid w:val="00204879"/>
    <w:rsid w:val="002060B6"/>
    <w:rsid w:val="0021028D"/>
    <w:rsid w:val="00213762"/>
    <w:rsid w:val="00222985"/>
    <w:rsid w:val="0022543E"/>
    <w:rsid w:val="00230D6C"/>
    <w:rsid w:val="00230F54"/>
    <w:rsid w:val="002333C3"/>
    <w:rsid w:val="0023744B"/>
    <w:rsid w:val="00240883"/>
    <w:rsid w:val="0024676C"/>
    <w:rsid w:val="0025426D"/>
    <w:rsid w:val="00256E67"/>
    <w:rsid w:val="0026296A"/>
    <w:rsid w:val="00265DE1"/>
    <w:rsid w:val="00271D25"/>
    <w:rsid w:val="002734FE"/>
    <w:rsid w:val="0027541F"/>
    <w:rsid w:val="002770EE"/>
    <w:rsid w:val="00282666"/>
    <w:rsid w:val="002A1D3B"/>
    <w:rsid w:val="002A5E34"/>
    <w:rsid w:val="002C5228"/>
    <w:rsid w:val="002D1708"/>
    <w:rsid w:val="002D40A9"/>
    <w:rsid w:val="002D7085"/>
    <w:rsid w:val="002D74DC"/>
    <w:rsid w:val="002E2039"/>
    <w:rsid w:val="002E4586"/>
    <w:rsid w:val="002E612E"/>
    <w:rsid w:val="002E70E1"/>
    <w:rsid w:val="002F2754"/>
    <w:rsid w:val="003002E6"/>
    <w:rsid w:val="00301494"/>
    <w:rsid w:val="0030591F"/>
    <w:rsid w:val="0030661D"/>
    <w:rsid w:val="00307024"/>
    <w:rsid w:val="00315BB7"/>
    <w:rsid w:val="0031613B"/>
    <w:rsid w:val="00332333"/>
    <w:rsid w:val="00332FC0"/>
    <w:rsid w:val="003333D3"/>
    <w:rsid w:val="00343D96"/>
    <w:rsid w:val="0034458F"/>
    <w:rsid w:val="003506AA"/>
    <w:rsid w:val="00351C29"/>
    <w:rsid w:val="003537E1"/>
    <w:rsid w:val="0035599E"/>
    <w:rsid w:val="00357C7D"/>
    <w:rsid w:val="00361CE8"/>
    <w:rsid w:val="00376890"/>
    <w:rsid w:val="0038089B"/>
    <w:rsid w:val="003816DF"/>
    <w:rsid w:val="003A066D"/>
    <w:rsid w:val="003B3581"/>
    <w:rsid w:val="003B75C7"/>
    <w:rsid w:val="003C141F"/>
    <w:rsid w:val="003D0E56"/>
    <w:rsid w:val="003E471A"/>
    <w:rsid w:val="003F19FA"/>
    <w:rsid w:val="003F4E13"/>
    <w:rsid w:val="003F6EB1"/>
    <w:rsid w:val="003F7C99"/>
    <w:rsid w:val="004111E5"/>
    <w:rsid w:val="00412039"/>
    <w:rsid w:val="00412925"/>
    <w:rsid w:val="00427C88"/>
    <w:rsid w:val="004307A2"/>
    <w:rsid w:val="00434B3D"/>
    <w:rsid w:val="00437936"/>
    <w:rsid w:val="00444D68"/>
    <w:rsid w:val="00444F76"/>
    <w:rsid w:val="00451842"/>
    <w:rsid w:val="0045683C"/>
    <w:rsid w:val="00460BBF"/>
    <w:rsid w:val="00462C21"/>
    <w:rsid w:val="00467F16"/>
    <w:rsid w:val="00472C7A"/>
    <w:rsid w:val="004756B8"/>
    <w:rsid w:val="0049249C"/>
    <w:rsid w:val="004A1FE4"/>
    <w:rsid w:val="004A5DD4"/>
    <w:rsid w:val="004A6628"/>
    <w:rsid w:val="004A7474"/>
    <w:rsid w:val="004A7C4E"/>
    <w:rsid w:val="004B1E78"/>
    <w:rsid w:val="004B7347"/>
    <w:rsid w:val="004B7DA4"/>
    <w:rsid w:val="004C049F"/>
    <w:rsid w:val="004C2E65"/>
    <w:rsid w:val="004D520E"/>
    <w:rsid w:val="00500690"/>
    <w:rsid w:val="00501FAD"/>
    <w:rsid w:val="00503AA3"/>
    <w:rsid w:val="00503FC1"/>
    <w:rsid w:val="005056D5"/>
    <w:rsid w:val="00510D9E"/>
    <w:rsid w:val="00511D47"/>
    <w:rsid w:val="005161AE"/>
    <w:rsid w:val="0051789B"/>
    <w:rsid w:val="00524F59"/>
    <w:rsid w:val="00530131"/>
    <w:rsid w:val="0053104D"/>
    <w:rsid w:val="00532406"/>
    <w:rsid w:val="00537D7A"/>
    <w:rsid w:val="00544A46"/>
    <w:rsid w:val="00546629"/>
    <w:rsid w:val="00555972"/>
    <w:rsid w:val="005651A7"/>
    <w:rsid w:val="005710C0"/>
    <w:rsid w:val="005710E9"/>
    <w:rsid w:val="00574003"/>
    <w:rsid w:val="0058421A"/>
    <w:rsid w:val="00584954"/>
    <w:rsid w:val="0059698E"/>
    <w:rsid w:val="005A17DF"/>
    <w:rsid w:val="005B50DE"/>
    <w:rsid w:val="005C1256"/>
    <w:rsid w:val="005C1321"/>
    <w:rsid w:val="005C6F14"/>
    <w:rsid w:val="005D7E3B"/>
    <w:rsid w:val="005E384C"/>
    <w:rsid w:val="005F5126"/>
    <w:rsid w:val="00605330"/>
    <w:rsid w:val="006125C1"/>
    <w:rsid w:val="00613BF0"/>
    <w:rsid w:val="00622C8E"/>
    <w:rsid w:val="006249D2"/>
    <w:rsid w:val="00630110"/>
    <w:rsid w:val="006310C6"/>
    <w:rsid w:val="00642C1E"/>
    <w:rsid w:val="00643308"/>
    <w:rsid w:val="00653DB3"/>
    <w:rsid w:val="00681CD8"/>
    <w:rsid w:val="006855D4"/>
    <w:rsid w:val="00685C51"/>
    <w:rsid w:val="00686CF8"/>
    <w:rsid w:val="006874A6"/>
    <w:rsid w:val="0068799E"/>
    <w:rsid w:val="0069435F"/>
    <w:rsid w:val="006B136B"/>
    <w:rsid w:val="006B379C"/>
    <w:rsid w:val="006B784F"/>
    <w:rsid w:val="006C44FD"/>
    <w:rsid w:val="006C6E47"/>
    <w:rsid w:val="006D3CAB"/>
    <w:rsid w:val="006D7BE4"/>
    <w:rsid w:val="006E420F"/>
    <w:rsid w:val="006F457F"/>
    <w:rsid w:val="00700D4A"/>
    <w:rsid w:val="00703DB7"/>
    <w:rsid w:val="007057D1"/>
    <w:rsid w:val="00710291"/>
    <w:rsid w:val="00720320"/>
    <w:rsid w:val="007240EB"/>
    <w:rsid w:val="0073098F"/>
    <w:rsid w:val="00730D70"/>
    <w:rsid w:val="007322C7"/>
    <w:rsid w:val="007532EE"/>
    <w:rsid w:val="007535FB"/>
    <w:rsid w:val="00762BE7"/>
    <w:rsid w:val="00770826"/>
    <w:rsid w:val="007957A4"/>
    <w:rsid w:val="007A49A0"/>
    <w:rsid w:val="007A5D83"/>
    <w:rsid w:val="007B0E38"/>
    <w:rsid w:val="007C12F8"/>
    <w:rsid w:val="007C3A75"/>
    <w:rsid w:val="007C54BC"/>
    <w:rsid w:val="007F3821"/>
    <w:rsid w:val="0080473E"/>
    <w:rsid w:val="0080709D"/>
    <w:rsid w:val="008070BD"/>
    <w:rsid w:val="00814538"/>
    <w:rsid w:val="00815AED"/>
    <w:rsid w:val="008165A1"/>
    <w:rsid w:val="00820343"/>
    <w:rsid w:val="00821BEC"/>
    <w:rsid w:val="00823896"/>
    <w:rsid w:val="008313E5"/>
    <w:rsid w:val="00831976"/>
    <w:rsid w:val="00834461"/>
    <w:rsid w:val="008356C9"/>
    <w:rsid w:val="008379CF"/>
    <w:rsid w:val="00846A83"/>
    <w:rsid w:val="00855BA2"/>
    <w:rsid w:val="00856C59"/>
    <w:rsid w:val="0086535B"/>
    <w:rsid w:val="008667A5"/>
    <w:rsid w:val="00870379"/>
    <w:rsid w:val="008779A6"/>
    <w:rsid w:val="00886479"/>
    <w:rsid w:val="00887AA2"/>
    <w:rsid w:val="008926AB"/>
    <w:rsid w:val="00892978"/>
    <w:rsid w:val="0089308B"/>
    <w:rsid w:val="008A45A4"/>
    <w:rsid w:val="008A6009"/>
    <w:rsid w:val="008A6576"/>
    <w:rsid w:val="008B1BC7"/>
    <w:rsid w:val="008C2679"/>
    <w:rsid w:val="008C73CF"/>
    <w:rsid w:val="008D3E91"/>
    <w:rsid w:val="008E741D"/>
    <w:rsid w:val="008F3434"/>
    <w:rsid w:val="008F4385"/>
    <w:rsid w:val="008F5680"/>
    <w:rsid w:val="008F67D4"/>
    <w:rsid w:val="00901F76"/>
    <w:rsid w:val="009077D2"/>
    <w:rsid w:val="00912CCD"/>
    <w:rsid w:val="009152BD"/>
    <w:rsid w:val="00917349"/>
    <w:rsid w:val="0092438F"/>
    <w:rsid w:val="009305FC"/>
    <w:rsid w:val="009342D2"/>
    <w:rsid w:val="00934639"/>
    <w:rsid w:val="00937686"/>
    <w:rsid w:val="00937A29"/>
    <w:rsid w:val="009439FD"/>
    <w:rsid w:val="009559E3"/>
    <w:rsid w:val="00957982"/>
    <w:rsid w:val="00961B55"/>
    <w:rsid w:val="00961CDD"/>
    <w:rsid w:val="00962023"/>
    <w:rsid w:val="00963AE7"/>
    <w:rsid w:val="009647BE"/>
    <w:rsid w:val="00973A80"/>
    <w:rsid w:val="009769E6"/>
    <w:rsid w:val="00985CF2"/>
    <w:rsid w:val="0099163D"/>
    <w:rsid w:val="00996BEC"/>
    <w:rsid w:val="009A05D1"/>
    <w:rsid w:val="009A44D5"/>
    <w:rsid w:val="009A58C1"/>
    <w:rsid w:val="009C158E"/>
    <w:rsid w:val="009C20E4"/>
    <w:rsid w:val="009D29A1"/>
    <w:rsid w:val="009D31EA"/>
    <w:rsid w:val="009D470A"/>
    <w:rsid w:val="009F1D25"/>
    <w:rsid w:val="009F713B"/>
    <w:rsid w:val="00A03C6F"/>
    <w:rsid w:val="00A05603"/>
    <w:rsid w:val="00A145EC"/>
    <w:rsid w:val="00A146FC"/>
    <w:rsid w:val="00A15AF4"/>
    <w:rsid w:val="00A20003"/>
    <w:rsid w:val="00A21E5C"/>
    <w:rsid w:val="00A24DE3"/>
    <w:rsid w:val="00A251EE"/>
    <w:rsid w:val="00A35472"/>
    <w:rsid w:val="00A37C68"/>
    <w:rsid w:val="00A40581"/>
    <w:rsid w:val="00A4184E"/>
    <w:rsid w:val="00A47A34"/>
    <w:rsid w:val="00A51990"/>
    <w:rsid w:val="00A53C27"/>
    <w:rsid w:val="00A66BD7"/>
    <w:rsid w:val="00A71478"/>
    <w:rsid w:val="00A8353E"/>
    <w:rsid w:val="00A84792"/>
    <w:rsid w:val="00A874BB"/>
    <w:rsid w:val="00AA5557"/>
    <w:rsid w:val="00AB14E9"/>
    <w:rsid w:val="00AB5140"/>
    <w:rsid w:val="00AC2391"/>
    <w:rsid w:val="00AC6591"/>
    <w:rsid w:val="00AD13DE"/>
    <w:rsid w:val="00AD5373"/>
    <w:rsid w:val="00AD72EE"/>
    <w:rsid w:val="00AE20E6"/>
    <w:rsid w:val="00AF1C2A"/>
    <w:rsid w:val="00AF1F21"/>
    <w:rsid w:val="00AF5CB1"/>
    <w:rsid w:val="00AF6A5D"/>
    <w:rsid w:val="00B01322"/>
    <w:rsid w:val="00B029A2"/>
    <w:rsid w:val="00B02E3E"/>
    <w:rsid w:val="00B04E72"/>
    <w:rsid w:val="00B06FB1"/>
    <w:rsid w:val="00B105DA"/>
    <w:rsid w:val="00B16072"/>
    <w:rsid w:val="00B21327"/>
    <w:rsid w:val="00B2224B"/>
    <w:rsid w:val="00B22928"/>
    <w:rsid w:val="00B24D32"/>
    <w:rsid w:val="00B252E3"/>
    <w:rsid w:val="00B26462"/>
    <w:rsid w:val="00B6364C"/>
    <w:rsid w:val="00B74813"/>
    <w:rsid w:val="00B8373E"/>
    <w:rsid w:val="00B85832"/>
    <w:rsid w:val="00B85A18"/>
    <w:rsid w:val="00BA5F04"/>
    <w:rsid w:val="00BA7108"/>
    <w:rsid w:val="00BB1AFD"/>
    <w:rsid w:val="00BB5AF8"/>
    <w:rsid w:val="00BC5E50"/>
    <w:rsid w:val="00BD1ABB"/>
    <w:rsid w:val="00BD534A"/>
    <w:rsid w:val="00BE0A56"/>
    <w:rsid w:val="00BE7363"/>
    <w:rsid w:val="00BF5930"/>
    <w:rsid w:val="00C005CF"/>
    <w:rsid w:val="00C043A1"/>
    <w:rsid w:val="00C0446E"/>
    <w:rsid w:val="00C04520"/>
    <w:rsid w:val="00C16243"/>
    <w:rsid w:val="00C17BF8"/>
    <w:rsid w:val="00C2535A"/>
    <w:rsid w:val="00C30A58"/>
    <w:rsid w:val="00C407CC"/>
    <w:rsid w:val="00C4345E"/>
    <w:rsid w:val="00C46479"/>
    <w:rsid w:val="00C77825"/>
    <w:rsid w:val="00C80EDC"/>
    <w:rsid w:val="00C85FA2"/>
    <w:rsid w:val="00C91607"/>
    <w:rsid w:val="00C92322"/>
    <w:rsid w:val="00CA01E2"/>
    <w:rsid w:val="00CA3401"/>
    <w:rsid w:val="00CA4F73"/>
    <w:rsid w:val="00CB2AD5"/>
    <w:rsid w:val="00CB7B0C"/>
    <w:rsid w:val="00CC1852"/>
    <w:rsid w:val="00CC4132"/>
    <w:rsid w:val="00CC64B0"/>
    <w:rsid w:val="00CD6BFD"/>
    <w:rsid w:val="00CE0CE6"/>
    <w:rsid w:val="00CE797C"/>
    <w:rsid w:val="00CE7DE4"/>
    <w:rsid w:val="00CF2654"/>
    <w:rsid w:val="00D05B71"/>
    <w:rsid w:val="00D06A91"/>
    <w:rsid w:val="00D12F02"/>
    <w:rsid w:val="00D16DA8"/>
    <w:rsid w:val="00D20166"/>
    <w:rsid w:val="00D218A3"/>
    <w:rsid w:val="00D400E0"/>
    <w:rsid w:val="00D40AE6"/>
    <w:rsid w:val="00D502B6"/>
    <w:rsid w:val="00D5069F"/>
    <w:rsid w:val="00D5147D"/>
    <w:rsid w:val="00D51BD5"/>
    <w:rsid w:val="00D52664"/>
    <w:rsid w:val="00D60DBB"/>
    <w:rsid w:val="00D72CD0"/>
    <w:rsid w:val="00D74324"/>
    <w:rsid w:val="00D76551"/>
    <w:rsid w:val="00D80B27"/>
    <w:rsid w:val="00D908D7"/>
    <w:rsid w:val="00D94C9A"/>
    <w:rsid w:val="00D96448"/>
    <w:rsid w:val="00D97951"/>
    <w:rsid w:val="00DA0CDB"/>
    <w:rsid w:val="00DA14DA"/>
    <w:rsid w:val="00DA3B3C"/>
    <w:rsid w:val="00DB21D8"/>
    <w:rsid w:val="00DC1D06"/>
    <w:rsid w:val="00DC794A"/>
    <w:rsid w:val="00DD3895"/>
    <w:rsid w:val="00DD558B"/>
    <w:rsid w:val="00DD5876"/>
    <w:rsid w:val="00DF63CB"/>
    <w:rsid w:val="00E00D14"/>
    <w:rsid w:val="00E07090"/>
    <w:rsid w:val="00E140BC"/>
    <w:rsid w:val="00E15680"/>
    <w:rsid w:val="00E163CE"/>
    <w:rsid w:val="00E1709F"/>
    <w:rsid w:val="00E2315E"/>
    <w:rsid w:val="00E25F19"/>
    <w:rsid w:val="00E3476B"/>
    <w:rsid w:val="00E3553A"/>
    <w:rsid w:val="00E37014"/>
    <w:rsid w:val="00E428FF"/>
    <w:rsid w:val="00E437B8"/>
    <w:rsid w:val="00E6281C"/>
    <w:rsid w:val="00E91560"/>
    <w:rsid w:val="00E91A11"/>
    <w:rsid w:val="00E93B46"/>
    <w:rsid w:val="00E94BF0"/>
    <w:rsid w:val="00EA4BD8"/>
    <w:rsid w:val="00EB0F13"/>
    <w:rsid w:val="00EB2B49"/>
    <w:rsid w:val="00EB47BB"/>
    <w:rsid w:val="00EB4A59"/>
    <w:rsid w:val="00EB7FE4"/>
    <w:rsid w:val="00EC281D"/>
    <w:rsid w:val="00EC35D7"/>
    <w:rsid w:val="00EC3DB1"/>
    <w:rsid w:val="00EC5892"/>
    <w:rsid w:val="00ED1306"/>
    <w:rsid w:val="00ED2FA0"/>
    <w:rsid w:val="00ED6B08"/>
    <w:rsid w:val="00EE1EA3"/>
    <w:rsid w:val="00EE20EB"/>
    <w:rsid w:val="00EE23E0"/>
    <w:rsid w:val="00EE2751"/>
    <w:rsid w:val="00EE63CF"/>
    <w:rsid w:val="00EF3E63"/>
    <w:rsid w:val="00EF68A4"/>
    <w:rsid w:val="00F05647"/>
    <w:rsid w:val="00F0699E"/>
    <w:rsid w:val="00F079E1"/>
    <w:rsid w:val="00F104BB"/>
    <w:rsid w:val="00F14A10"/>
    <w:rsid w:val="00F15159"/>
    <w:rsid w:val="00F2428A"/>
    <w:rsid w:val="00F252DF"/>
    <w:rsid w:val="00F34645"/>
    <w:rsid w:val="00F40F9B"/>
    <w:rsid w:val="00F46699"/>
    <w:rsid w:val="00F46A88"/>
    <w:rsid w:val="00F476DD"/>
    <w:rsid w:val="00F53EDC"/>
    <w:rsid w:val="00F541B6"/>
    <w:rsid w:val="00F55383"/>
    <w:rsid w:val="00F61D63"/>
    <w:rsid w:val="00F63B24"/>
    <w:rsid w:val="00F718E0"/>
    <w:rsid w:val="00F73111"/>
    <w:rsid w:val="00F73974"/>
    <w:rsid w:val="00F80384"/>
    <w:rsid w:val="00F80FA7"/>
    <w:rsid w:val="00F965AA"/>
    <w:rsid w:val="00FA1952"/>
    <w:rsid w:val="00FA2216"/>
    <w:rsid w:val="00FA2F4C"/>
    <w:rsid w:val="00FA2F97"/>
    <w:rsid w:val="00FA3FF4"/>
    <w:rsid w:val="00FA44B2"/>
    <w:rsid w:val="00FA612F"/>
    <w:rsid w:val="00FB120F"/>
    <w:rsid w:val="00FB52F1"/>
    <w:rsid w:val="00FC01AE"/>
    <w:rsid w:val="00FC22F9"/>
    <w:rsid w:val="00FD0227"/>
    <w:rsid w:val="00FD0B54"/>
    <w:rsid w:val="00FD797D"/>
    <w:rsid w:val="00FE1D25"/>
    <w:rsid w:val="00FF1622"/>
    <w:rsid w:val="00FF4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17BFA"/>
  <w15:docId w15:val="{F02188D8-BC5F-4155-8AB9-5909AB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4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22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479"/>
    <w:rPr>
      <w:sz w:val="16"/>
      <w:szCs w:val="16"/>
    </w:rPr>
  </w:style>
  <w:style w:type="paragraph" w:styleId="CommentText">
    <w:name w:val="annotation text"/>
    <w:basedOn w:val="Normal"/>
    <w:link w:val="CommentTextChar"/>
    <w:uiPriority w:val="99"/>
    <w:unhideWhenUsed/>
    <w:rsid w:val="00C46479"/>
    <w:pPr>
      <w:spacing w:line="240" w:lineRule="auto"/>
    </w:pPr>
    <w:rPr>
      <w:sz w:val="20"/>
      <w:szCs w:val="20"/>
    </w:rPr>
  </w:style>
  <w:style w:type="character" w:customStyle="1" w:styleId="CommentTextChar">
    <w:name w:val="Comment Text Char"/>
    <w:basedOn w:val="DefaultParagraphFont"/>
    <w:link w:val="CommentText"/>
    <w:uiPriority w:val="99"/>
    <w:rsid w:val="00C46479"/>
    <w:rPr>
      <w:sz w:val="20"/>
      <w:szCs w:val="20"/>
    </w:rPr>
  </w:style>
  <w:style w:type="paragraph" w:styleId="CommentSubject">
    <w:name w:val="annotation subject"/>
    <w:basedOn w:val="CommentText"/>
    <w:next w:val="CommentText"/>
    <w:link w:val="CommentSubjectChar"/>
    <w:uiPriority w:val="99"/>
    <w:semiHidden/>
    <w:unhideWhenUsed/>
    <w:rsid w:val="00C46479"/>
    <w:rPr>
      <w:b/>
      <w:bCs/>
    </w:rPr>
  </w:style>
  <w:style w:type="character" w:customStyle="1" w:styleId="CommentSubjectChar">
    <w:name w:val="Comment Subject Char"/>
    <w:basedOn w:val="CommentTextChar"/>
    <w:link w:val="CommentSubject"/>
    <w:uiPriority w:val="99"/>
    <w:semiHidden/>
    <w:rsid w:val="00C46479"/>
    <w:rPr>
      <w:b/>
      <w:bCs/>
      <w:sz w:val="20"/>
      <w:szCs w:val="20"/>
    </w:rPr>
  </w:style>
  <w:style w:type="paragraph" w:styleId="BalloonText">
    <w:name w:val="Balloon Text"/>
    <w:basedOn w:val="Normal"/>
    <w:link w:val="BalloonTextChar"/>
    <w:uiPriority w:val="99"/>
    <w:semiHidden/>
    <w:unhideWhenUsed/>
    <w:rsid w:val="00C4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79"/>
    <w:rPr>
      <w:rFonts w:ascii="Segoe UI" w:hAnsi="Segoe UI" w:cs="Segoe UI"/>
      <w:sz w:val="18"/>
      <w:szCs w:val="18"/>
    </w:rPr>
  </w:style>
  <w:style w:type="character" w:styleId="Hyperlink">
    <w:name w:val="Hyperlink"/>
    <w:basedOn w:val="DefaultParagraphFont"/>
    <w:uiPriority w:val="99"/>
    <w:unhideWhenUsed/>
    <w:rsid w:val="00A40581"/>
    <w:rPr>
      <w:color w:val="0000FF"/>
      <w:u w:val="single"/>
    </w:rPr>
  </w:style>
  <w:style w:type="paragraph" w:styleId="ListParagraph">
    <w:name w:val="List Paragraph"/>
    <w:basedOn w:val="Normal"/>
    <w:uiPriority w:val="34"/>
    <w:qFormat/>
    <w:rsid w:val="00A40581"/>
    <w:pPr>
      <w:spacing w:line="256" w:lineRule="auto"/>
      <w:ind w:left="720"/>
      <w:contextualSpacing/>
    </w:pPr>
  </w:style>
  <w:style w:type="character" w:styleId="Strong">
    <w:name w:val="Strong"/>
    <w:basedOn w:val="DefaultParagraphFont"/>
    <w:uiPriority w:val="22"/>
    <w:qFormat/>
    <w:rsid w:val="00A40581"/>
    <w:rPr>
      <w:b/>
      <w:bCs/>
    </w:rPr>
  </w:style>
  <w:style w:type="paragraph" w:styleId="NormalWeb">
    <w:name w:val="Normal (Web)"/>
    <w:basedOn w:val="Normal"/>
    <w:uiPriority w:val="99"/>
    <w:unhideWhenUsed/>
    <w:rsid w:val="00462C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ar"/>
    <w:rsid w:val="00D96448"/>
    <w:pPr>
      <w:spacing w:after="200" w:line="240" w:lineRule="auto"/>
      <w:jc w:val="both"/>
    </w:pPr>
    <w:rPr>
      <w:rFonts w:ascii="Calibri" w:hAnsi="Calibri" w:cs="Calibri"/>
      <w:noProof/>
      <w:lang w:val="en-US" w:bidi="en-US"/>
    </w:rPr>
  </w:style>
  <w:style w:type="character" w:customStyle="1" w:styleId="EndNoteBibliographyCar">
    <w:name w:val="EndNote Bibliography Car"/>
    <w:basedOn w:val="DefaultParagraphFont"/>
    <w:link w:val="EndNoteBibliography"/>
    <w:rsid w:val="00D96448"/>
    <w:rPr>
      <w:rFonts w:ascii="Calibri" w:hAnsi="Calibri" w:cs="Calibri"/>
      <w:noProof/>
      <w:lang w:val="en-US" w:bidi="en-US"/>
    </w:rPr>
  </w:style>
  <w:style w:type="paragraph" w:customStyle="1" w:styleId="Titre1">
    <w:name w:val="Titre1"/>
    <w:basedOn w:val="Normal"/>
    <w:rsid w:val="00D96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D96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D96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D96448"/>
  </w:style>
  <w:style w:type="character" w:customStyle="1" w:styleId="reftitle">
    <w:name w:val="reftitle"/>
    <w:basedOn w:val="DefaultParagraphFont"/>
    <w:rsid w:val="00D96448"/>
  </w:style>
  <w:style w:type="character" w:customStyle="1" w:styleId="refcomment">
    <w:name w:val="refcomment"/>
    <w:basedOn w:val="DefaultParagraphFont"/>
    <w:rsid w:val="00D96448"/>
  </w:style>
  <w:style w:type="character" w:customStyle="1" w:styleId="Heading1Char">
    <w:name w:val="Heading 1 Char"/>
    <w:basedOn w:val="DefaultParagraphFont"/>
    <w:link w:val="Heading1"/>
    <w:uiPriority w:val="9"/>
    <w:rsid w:val="00144E8A"/>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144E8A"/>
  </w:style>
  <w:style w:type="character" w:styleId="FollowedHyperlink">
    <w:name w:val="FollowedHyperlink"/>
    <w:basedOn w:val="DefaultParagraphFont"/>
    <w:uiPriority w:val="99"/>
    <w:semiHidden/>
    <w:unhideWhenUsed/>
    <w:rsid w:val="00846A83"/>
    <w:rPr>
      <w:color w:val="954F72" w:themeColor="followedHyperlink"/>
      <w:u w:val="single"/>
    </w:rPr>
  </w:style>
  <w:style w:type="paragraph" w:customStyle="1" w:styleId="Default">
    <w:name w:val="Default"/>
    <w:link w:val="DefaultCar"/>
    <w:rsid w:val="000C665D"/>
    <w:pPr>
      <w:autoSpaceDE w:val="0"/>
      <w:autoSpaceDN w:val="0"/>
      <w:adjustRightInd w:val="0"/>
      <w:spacing w:after="0" w:line="240" w:lineRule="auto"/>
    </w:pPr>
    <w:rPr>
      <w:rFonts w:ascii="Calibri" w:hAnsi="Calibri" w:cs="Calibri"/>
      <w:color w:val="000000"/>
      <w:sz w:val="24"/>
      <w:szCs w:val="24"/>
      <w:lang w:val="en-IE"/>
    </w:rPr>
  </w:style>
  <w:style w:type="paragraph" w:customStyle="1" w:styleId="Titre2">
    <w:name w:val="Titre2"/>
    <w:basedOn w:val="Normal"/>
    <w:rsid w:val="005C13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large">
    <w:name w:val="a-size-large"/>
    <w:basedOn w:val="DefaultParagraphFont"/>
    <w:rsid w:val="005A17DF"/>
  </w:style>
  <w:style w:type="paragraph" w:customStyle="1" w:styleId="Title1">
    <w:name w:val="Title1"/>
    <w:basedOn w:val="Normal"/>
    <w:rsid w:val="00EE1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D40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faultCar">
    <w:name w:val="Default Car"/>
    <w:basedOn w:val="DefaultParagraphFont"/>
    <w:link w:val="Default"/>
    <w:rsid w:val="007C12F8"/>
    <w:rPr>
      <w:rFonts w:ascii="Calibri" w:hAnsi="Calibri" w:cs="Calibri"/>
      <w:color w:val="000000"/>
      <w:sz w:val="24"/>
      <w:szCs w:val="24"/>
      <w:lang w:val="en-IE"/>
    </w:rPr>
  </w:style>
  <w:style w:type="character" w:customStyle="1" w:styleId="Heading2Char">
    <w:name w:val="Heading 2 Char"/>
    <w:basedOn w:val="DefaultParagraphFont"/>
    <w:link w:val="Heading2"/>
    <w:rsid w:val="00622C8E"/>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6310C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6310C6"/>
    <w:rPr>
      <w:rFonts w:ascii="Calibri" w:hAnsi="Calibri"/>
      <w:szCs w:val="21"/>
      <w:lang w:val="en-US"/>
    </w:rPr>
  </w:style>
  <w:style w:type="paragraph" w:styleId="Header">
    <w:name w:val="header"/>
    <w:basedOn w:val="Normal"/>
    <w:link w:val="HeaderChar"/>
    <w:uiPriority w:val="99"/>
    <w:unhideWhenUsed/>
    <w:rsid w:val="0045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3C"/>
  </w:style>
  <w:style w:type="paragraph" w:styleId="Footer">
    <w:name w:val="footer"/>
    <w:basedOn w:val="Normal"/>
    <w:link w:val="FooterChar"/>
    <w:uiPriority w:val="99"/>
    <w:unhideWhenUsed/>
    <w:rsid w:val="0045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83C"/>
  </w:style>
  <w:style w:type="paragraph" w:customStyle="1" w:styleId="Title2">
    <w:name w:val="Title2"/>
    <w:basedOn w:val="Normal"/>
    <w:rsid w:val="000704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3">
    <w:name w:val="Title3"/>
    <w:basedOn w:val="Normal"/>
    <w:rsid w:val="00F739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ar"/>
    <w:rsid w:val="00E3553A"/>
    <w:pPr>
      <w:spacing w:after="0"/>
      <w:jc w:val="center"/>
    </w:pPr>
    <w:rPr>
      <w:rFonts w:ascii="Calibri" w:hAnsi="Calibri" w:cs="Calibri"/>
      <w:noProof/>
      <w:lang w:val="en-US"/>
    </w:rPr>
  </w:style>
  <w:style w:type="character" w:customStyle="1" w:styleId="EndNoteBibliographyTitleCar">
    <w:name w:val="EndNote Bibliography Title Car"/>
    <w:basedOn w:val="DefaultParagraphFont"/>
    <w:link w:val="EndNoteBibliographyTitle"/>
    <w:rsid w:val="00E3553A"/>
    <w:rPr>
      <w:rFonts w:ascii="Calibri" w:hAnsi="Calibri" w:cs="Calibri"/>
      <w:noProof/>
      <w:lang w:val="en-US"/>
    </w:rPr>
  </w:style>
  <w:style w:type="character" w:customStyle="1" w:styleId="apple-converted-space">
    <w:name w:val="apple-converted-space"/>
    <w:basedOn w:val="DefaultParagraphFont"/>
    <w:rsid w:val="00DD3895"/>
  </w:style>
  <w:style w:type="character" w:styleId="Emphasis">
    <w:name w:val="Emphasis"/>
    <w:basedOn w:val="DefaultParagraphFont"/>
    <w:uiPriority w:val="20"/>
    <w:qFormat/>
    <w:rsid w:val="00DD3895"/>
    <w:rPr>
      <w:i/>
      <w:iCs/>
    </w:rPr>
  </w:style>
  <w:style w:type="character" w:customStyle="1" w:styleId="current-selection">
    <w:name w:val="current-selection"/>
    <w:basedOn w:val="DefaultParagraphFont"/>
    <w:rsid w:val="00DD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0123">
      <w:bodyDiv w:val="1"/>
      <w:marLeft w:val="0"/>
      <w:marRight w:val="0"/>
      <w:marTop w:val="0"/>
      <w:marBottom w:val="0"/>
      <w:divBdr>
        <w:top w:val="none" w:sz="0" w:space="0" w:color="auto"/>
        <w:left w:val="none" w:sz="0" w:space="0" w:color="auto"/>
        <w:bottom w:val="none" w:sz="0" w:space="0" w:color="auto"/>
        <w:right w:val="none" w:sz="0" w:space="0" w:color="auto"/>
      </w:divBdr>
      <w:divsChild>
        <w:div w:id="484736713">
          <w:marLeft w:val="0"/>
          <w:marRight w:val="0"/>
          <w:marTop w:val="0"/>
          <w:marBottom w:val="0"/>
          <w:divBdr>
            <w:top w:val="none" w:sz="0" w:space="0" w:color="auto"/>
            <w:left w:val="none" w:sz="0" w:space="0" w:color="auto"/>
            <w:bottom w:val="none" w:sz="0" w:space="0" w:color="auto"/>
            <w:right w:val="none" w:sz="0" w:space="0" w:color="auto"/>
          </w:divBdr>
        </w:div>
      </w:divsChild>
    </w:div>
    <w:div w:id="314456594">
      <w:bodyDiv w:val="1"/>
      <w:marLeft w:val="0"/>
      <w:marRight w:val="0"/>
      <w:marTop w:val="0"/>
      <w:marBottom w:val="0"/>
      <w:divBdr>
        <w:top w:val="none" w:sz="0" w:space="0" w:color="auto"/>
        <w:left w:val="none" w:sz="0" w:space="0" w:color="auto"/>
        <w:bottom w:val="none" w:sz="0" w:space="0" w:color="auto"/>
        <w:right w:val="none" w:sz="0" w:space="0" w:color="auto"/>
      </w:divBdr>
    </w:div>
    <w:div w:id="351419770">
      <w:bodyDiv w:val="1"/>
      <w:marLeft w:val="0"/>
      <w:marRight w:val="0"/>
      <w:marTop w:val="0"/>
      <w:marBottom w:val="0"/>
      <w:divBdr>
        <w:top w:val="none" w:sz="0" w:space="0" w:color="auto"/>
        <w:left w:val="none" w:sz="0" w:space="0" w:color="auto"/>
        <w:bottom w:val="none" w:sz="0" w:space="0" w:color="auto"/>
        <w:right w:val="none" w:sz="0" w:space="0" w:color="auto"/>
      </w:divBdr>
      <w:divsChild>
        <w:div w:id="1906992579">
          <w:marLeft w:val="0"/>
          <w:marRight w:val="0"/>
          <w:marTop w:val="34"/>
          <w:marBottom w:val="34"/>
          <w:divBdr>
            <w:top w:val="none" w:sz="0" w:space="0" w:color="auto"/>
            <w:left w:val="none" w:sz="0" w:space="0" w:color="auto"/>
            <w:bottom w:val="none" w:sz="0" w:space="0" w:color="auto"/>
            <w:right w:val="none" w:sz="0" w:space="0" w:color="auto"/>
          </w:divBdr>
        </w:div>
      </w:divsChild>
    </w:div>
    <w:div w:id="479807953">
      <w:bodyDiv w:val="1"/>
      <w:marLeft w:val="0"/>
      <w:marRight w:val="0"/>
      <w:marTop w:val="0"/>
      <w:marBottom w:val="0"/>
      <w:divBdr>
        <w:top w:val="none" w:sz="0" w:space="0" w:color="auto"/>
        <w:left w:val="none" w:sz="0" w:space="0" w:color="auto"/>
        <w:bottom w:val="none" w:sz="0" w:space="0" w:color="auto"/>
        <w:right w:val="none" w:sz="0" w:space="0" w:color="auto"/>
      </w:divBdr>
      <w:divsChild>
        <w:div w:id="857817046">
          <w:marLeft w:val="0"/>
          <w:marRight w:val="0"/>
          <w:marTop w:val="0"/>
          <w:marBottom w:val="0"/>
          <w:divBdr>
            <w:top w:val="none" w:sz="0" w:space="0" w:color="auto"/>
            <w:left w:val="none" w:sz="0" w:space="0" w:color="auto"/>
            <w:bottom w:val="none" w:sz="0" w:space="0" w:color="auto"/>
            <w:right w:val="none" w:sz="0" w:space="0" w:color="auto"/>
          </w:divBdr>
        </w:div>
      </w:divsChild>
    </w:div>
    <w:div w:id="513106410">
      <w:bodyDiv w:val="1"/>
      <w:marLeft w:val="0"/>
      <w:marRight w:val="0"/>
      <w:marTop w:val="0"/>
      <w:marBottom w:val="0"/>
      <w:divBdr>
        <w:top w:val="none" w:sz="0" w:space="0" w:color="auto"/>
        <w:left w:val="none" w:sz="0" w:space="0" w:color="auto"/>
        <w:bottom w:val="none" w:sz="0" w:space="0" w:color="auto"/>
        <w:right w:val="none" w:sz="0" w:space="0" w:color="auto"/>
      </w:divBdr>
      <w:divsChild>
        <w:div w:id="986861377">
          <w:marLeft w:val="0"/>
          <w:marRight w:val="0"/>
          <w:marTop w:val="34"/>
          <w:marBottom w:val="34"/>
          <w:divBdr>
            <w:top w:val="none" w:sz="0" w:space="0" w:color="auto"/>
            <w:left w:val="none" w:sz="0" w:space="0" w:color="auto"/>
            <w:bottom w:val="none" w:sz="0" w:space="0" w:color="auto"/>
            <w:right w:val="none" w:sz="0" w:space="0" w:color="auto"/>
          </w:divBdr>
        </w:div>
      </w:divsChild>
    </w:div>
    <w:div w:id="527570289">
      <w:bodyDiv w:val="1"/>
      <w:marLeft w:val="0"/>
      <w:marRight w:val="0"/>
      <w:marTop w:val="0"/>
      <w:marBottom w:val="0"/>
      <w:divBdr>
        <w:top w:val="none" w:sz="0" w:space="0" w:color="auto"/>
        <w:left w:val="none" w:sz="0" w:space="0" w:color="auto"/>
        <w:bottom w:val="none" w:sz="0" w:space="0" w:color="auto"/>
        <w:right w:val="none" w:sz="0" w:space="0" w:color="auto"/>
      </w:divBdr>
      <w:divsChild>
        <w:div w:id="1623145167">
          <w:marLeft w:val="0"/>
          <w:marRight w:val="0"/>
          <w:marTop w:val="34"/>
          <w:marBottom w:val="34"/>
          <w:divBdr>
            <w:top w:val="none" w:sz="0" w:space="0" w:color="auto"/>
            <w:left w:val="none" w:sz="0" w:space="0" w:color="auto"/>
            <w:bottom w:val="none" w:sz="0" w:space="0" w:color="auto"/>
            <w:right w:val="none" w:sz="0" w:space="0" w:color="auto"/>
          </w:divBdr>
        </w:div>
      </w:divsChild>
    </w:div>
    <w:div w:id="645207617">
      <w:bodyDiv w:val="1"/>
      <w:marLeft w:val="0"/>
      <w:marRight w:val="0"/>
      <w:marTop w:val="0"/>
      <w:marBottom w:val="0"/>
      <w:divBdr>
        <w:top w:val="none" w:sz="0" w:space="0" w:color="auto"/>
        <w:left w:val="none" w:sz="0" w:space="0" w:color="auto"/>
        <w:bottom w:val="none" w:sz="0" w:space="0" w:color="auto"/>
        <w:right w:val="none" w:sz="0" w:space="0" w:color="auto"/>
      </w:divBdr>
    </w:div>
    <w:div w:id="793838023">
      <w:bodyDiv w:val="1"/>
      <w:marLeft w:val="0"/>
      <w:marRight w:val="0"/>
      <w:marTop w:val="0"/>
      <w:marBottom w:val="0"/>
      <w:divBdr>
        <w:top w:val="none" w:sz="0" w:space="0" w:color="auto"/>
        <w:left w:val="none" w:sz="0" w:space="0" w:color="auto"/>
        <w:bottom w:val="none" w:sz="0" w:space="0" w:color="auto"/>
        <w:right w:val="none" w:sz="0" w:space="0" w:color="auto"/>
      </w:divBdr>
    </w:div>
    <w:div w:id="798571925">
      <w:bodyDiv w:val="1"/>
      <w:marLeft w:val="0"/>
      <w:marRight w:val="0"/>
      <w:marTop w:val="0"/>
      <w:marBottom w:val="0"/>
      <w:divBdr>
        <w:top w:val="none" w:sz="0" w:space="0" w:color="auto"/>
        <w:left w:val="none" w:sz="0" w:space="0" w:color="auto"/>
        <w:bottom w:val="none" w:sz="0" w:space="0" w:color="auto"/>
        <w:right w:val="none" w:sz="0" w:space="0" w:color="auto"/>
      </w:divBdr>
      <w:divsChild>
        <w:div w:id="1898664316">
          <w:marLeft w:val="0"/>
          <w:marRight w:val="0"/>
          <w:marTop w:val="0"/>
          <w:marBottom w:val="0"/>
          <w:divBdr>
            <w:top w:val="none" w:sz="0" w:space="0" w:color="auto"/>
            <w:left w:val="none" w:sz="0" w:space="0" w:color="auto"/>
            <w:bottom w:val="none" w:sz="0" w:space="0" w:color="auto"/>
            <w:right w:val="none" w:sz="0" w:space="0" w:color="auto"/>
          </w:divBdr>
        </w:div>
      </w:divsChild>
    </w:div>
    <w:div w:id="838616587">
      <w:bodyDiv w:val="1"/>
      <w:marLeft w:val="0"/>
      <w:marRight w:val="0"/>
      <w:marTop w:val="0"/>
      <w:marBottom w:val="0"/>
      <w:divBdr>
        <w:top w:val="none" w:sz="0" w:space="0" w:color="auto"/>
        <w:left w:val="none" w:sz="0" w:space="0" w:color="auto"/>
        <w:bottom w:val="none" w:sz="0" w:space="0" w:color="auto"/>
        <w:right w:val="none" w:sz="0" w:space="0" w:color="auto"/>
      </w:divBdr>
      <w:divsChild>
        <w:div w:id="14114677">
          <w:marLeft w:val="0"/>
          <w:marRight w:val="0"/>
          <w:marTop w:val="0"/>
          <w:marBottom w:val="0"/>
          <w:divBdr>
            <w:top w:val="none" w:sz="0" w:space="0" w:color="auto"/>
            <w:left w:val="none" w:sz="0" w:space="0" w:color="auto"/>
            <w:bottom w:val="none" w:sz="0" w:space="0" w:color="auto"/>
            <w:right w:val="none" w:sz="0" w:space="0" w:color="auto"/>
          </w:divBdr>
        </w:div>
      </w:divsChild>
    </w:div>
    <w:div w:id="907035750">
      <w:bodyDiv w:val="1"/>
      <w:marLeft w:val="0"/>
      <w:marRight w:val="0"/>
      <w:marTop w:val="0"/>
      <w:marBottom w:val="0"/>
      <w:divBdr>
        <w:top w:val="none" w:sz="0" w:space="0" w:color="auto"/>
        <w:left w:val="none" w:sz="0" w:space="0" w:color="auto"/>
        <w:bottom w:val="none" w:sz="0" w:space="0" w:color="auto"/>
        <w:right w:val="none" w:sz="0" w:space="0" w:color="auto"/>
      </w:divBdr>
    </w:div>
    <w:div w:id="1072775775">
      <w:bodyDiv w:val="1"/>
      <w:marLeft w:val="0"/>
      <w:marRight w:val="0"/>
      <w:marTop w:val="0"/>
      <w:marBottom w:val="0"/>
      <w:divBdr>
        <w:top w:val="none" w:sz="0" w:space="0" w:color="auto"/>
        <w:left w:val="none" w:sz="0" w:space="0" w:color="auto"/>
        <w:bottom w:val="none" w:sz="0" w:space="0" w:color="auto"/>
        <w:right w:val="none" w:sz="0" w:space="0" w:color="auto"/>
      </w:divBdr>
    </w:div>
    <w:div w:id="1301615315">
      <w:bodyDiv w:val="1"/>
      <w:marLeft w:val="0"/>
      <w:marRight w:val="0"/>
      <w:marTop w:val="0"/>
      <w:marBottom w:val="0"/>
      <w:divBdr>
        <w:top w:val="none" w:sz="0" w:space="0" w:color="auto"/>
        <w:left w:val="none" w:sz="0" w:space="0" w:color="auto"/>
        <w:bottom w:val="none" w:sz="0" w:space="0" w:color="auto"/>
        <w:right w:val="none" w:sz="0" w:space="0" w:color="auto"/>
      </w:divBdr>
    </w:div>
    <w:div w:id="1302730863">
      <w:bodyDiv w:val="1"/>
      <w:marLeft w:val="0"/>
      <w:marRight w:val="0"/>
      <w:marTop w:val="0"/>
      <w:marBottom w:val="0"/>
      <w:divBdr>
        <w:top w:val="none" w:sz="0" w:space="0" w:color="auto"/>
        <w:left w:val="none" w:sz="0" w:space="0" w:color="auto"/>
        <w:bottom w:val="none" w:sz="0" w:space="0" w:color="auto"/>
        <w:right w:val="none" w:sz="0" w:space="0" w:color="auto"/>
      </w:divBdr>
    </w:div>
    <w:div w:id="1328024009">
      <w:bodyDiv w:val="1"/>
      <w:marLeft w:val="0"/>
      <w:marRight w:val="0"/>
      <w:marTop w:val="0"/>
      <w:marBottom w:val="0"/>
      <w:divBdr>
        <w:top w:val="none" w:sz="0" w:space="0" w:color="auto"/>
        <w:left w:val="none" w:sz="0" w:space="0" w:color="auto"/>
        <w:bottom w:val="none" w:sz="0" w:space="0" w:color="auto"/>
        <w:right w:val="none" w:sz="0" w:space="0" w:color="auto"/>
      </w:divBdr>
    </w:div>
    <w:div w:id="1349141803">
      <w:bodyDiv w:val="1"/>
      <w:marLeft w:val="0"/>
      <w:marRight w:val="0"/>
      <w:marTop w:val="0"/>
      <w:marBottom w:val="0"/>
      <w:divBdr>
        <w:top w:val="none" w:sz="0" w:space="0" w:color="auto"/>
        <w:left w:val="none" w:sz="0" w:space="0" w:color="auto"/>
        <w:bottom w:val="none" w:sz="0" w:space="0" w:color="auto"/>
        <w:right w:val="none" w:sz="0" w:space="0" w:color="auto"/>
      </w:divBdr>
      <w:divsChild>
        <w:div w:id="341512512">
          <w:marLeft w:val="0"/>
          <w:marRight w:val="0"/>
          <w:marTop w:val="0"/>
          <w:marBottom w:val="0"/>
          <w:divBdr>
            <w:top w:val="none" w:sz="0" w:space="0" w:color="auto"/>
            <w:left w:val="none" w:sz="0" w:space="0" w:color="auto"/>
            <w:bottom w:val="none" w:sz="0" w:space="0" w:color="auto"/>
            <w:right w:val="none" w:sz="0" w:space="0" w:color="auto"/>
          </w:divBdr>
        </w:div>
      </w:divsChild>
    </w:div>
    <w:div w:id="1395660348">
      <w:bodyDiv w:val="1"/>
      <w:marLeft w:val="0"/>
      <w:marRight w:val="0"/>
      <w:marTop w:val="0"/>
      <w:marBottom w:val="0"/>
      <w:divBdr>
        <w:top w:val="none" w:sz="0" w:space="0" w:color="auto"/>
        <w:left w:val="none" w:sz="0" w:space="0" w:color="auto"/>
        <w:bottom w:val="none" w:sz="0" w:space="0" w:color="auto"/>
        <w:right w:val="none" w:sz="0" w:space="0" w:color="auto"/>
      </w:divBdr>
      <w:divsChild>
        <w:div w:id="436485053">
          <w:marLeft w:val="0"/>
          <w:marRight w:val="0"/>
          <w:marTop w:val="0"/>
          <w:marBottom w:val="0"/>
          <w:divBdr>
            <w:top w:val="none" w:sz="0" w:space="0" w:color="auto"/>
            <w:left w:val="none" w:sz="0" w:space="0" w:color="auto"/>
            <w:bottom w:val="none" w:sz="0" w:space="0" w:color="auto"/>
            <w:right w:val="none" w:sz="0" w:space="0" w:color="auto"/>
          </w:divBdr>
        </w:div>
      </w:divsChild>
    </w:div>
    <w:div w:id="1401253469">
      <w:bodyDiv w:val="1"/>
      <w:marLeft w:val="0"/>
      <w:marRight w:val="0"/>
      <w:marTop w:val="0"/>
      <w:marBottom w:val="0"/>
      <w:divBdr>
        <w:top w:val="none" w:sz="0" w:space="0" w:color="auto"/>
        <w:left w:val="none" w:sz="0" w:space="0" w:color="auto"/>
        <w:bottom w:val="none" w:sz="0" w:space="0" w:color="auto"/>
        <w:right w:val="none" w:sz="0" w:space="0" w:color="auto"/>
      </w:divBdr>
    </w:div>
    <w:div w:id="1492409206">
      <w:bodyDiv w:val="1"/>
      <w:marLeft w:val="0"/>
      <w:marRight w:val="0"/>
      <w:marTop w:val="0"/>
      <w:marBottom w:val="0"/>
      <w:divBdr>
        <w:top w:val="none" w:sz="0" w:space="0" w:color="auto"/>
        <w:left w:val="none" w:sz="0" w:space="0" w:color="auto"/>
        <w:bottom w:val="none" w:sz="0" w:space="0" w:color="auto"/>
        <w:right w:val="none" w:sz="0" w:space="0" w:color="auto"/>
      </w:divBdr>
    </w:div>
    <w:div w:id="1501506205">
      <w:bodyDiv w:val="1"/>
      <w:marLeft w:val="0"/>
      <w:marRight w:val="0"/>
      <w:marTop w:val="0"/>
      <w:marBottom w:val="0"/>
      <w:divBdr>
        <w:top w:val="none" w:sz="0" w:space="0" w:color="auto"/>
        <w:left w:val="none" w:sz="0" w:space="0" w:color="auto"/>
        <w:bottom w:val="none" w:sz="0" w:space="0" w:color="auto"/>
        <w:right w:val="none" w:sz="0" w:space="0" w:color="auto"/>
      </w:divBdr>
    </w:div>
    <w:div w:id="1519586434">
      <w:bodyDiv w:val="1"/>
      <w:marLeft w:val="0"/>
      <w:marRight w:val="0"/>
      <w:marTop w:val="0"/>
      <w:marBottom w:val="0"/>
      <w:divBdr>
        <w:top w:val="none" w:sz="0" w:space="0" w:color="auto"/>
        <w:left w:val="none" w:sz="0" w:space="0" w:color="auto"/>
        <w:bottom w:val="none" w:sz="0" w:space="0" w:color="auto"/>
        <w:right w:val="none" w:sz="0" w:space="0" w:color="auto"/>
      </w:divBdr>
      <w:divsChild>
        <w:div w:id="2133402519">
          <w:marLeft w:val="0"/>
          <w:marRight w:val="0"/>
          <w:marTop w:val="34"/>
          <w:marBottom w:val="34"/>
          <w:divBdr>
            <w:top w:val="none" w:sz="0" w:space="0" w:color="auto"/>
            <w:left w:val="none" w:sz="0" w:space="0" w:color="auto"/>
            <w:bottom w:val="none" w:sz="0" w:space="0" w:color="auto"/>
            <w:right w:val="none" w:sz="0" w:space="0" w:color="auto"/>
          </w:divBdr>
        </w:div>
      </w:divsChild>
    </w:div>
    <w:div w:id="1543051574">
      <w:bodyDiv w:val="1"/>
      <w:marLeft w:val="0"/>
      <w:marRight w:val="0"/>
      <w:marTop w:val="0"/>
      <w:marBottom w:val="0"/>
      <w:divBdr>
        <w:top w:val="none" w:sz="0" w:space="0" w:color="auto"/>
        <w:left w:val="none" w:sz="0" w:space="0" w:color="auto"/>
        <w:bottom w:val="none" w:sz="0" w:space="0" w:color="auto"/>
        <w:right w:val="none" w:sz="0" w:space="0" w:color="auto"/>
      </w:divBdr>
    </w:div>
    <w:div w:id="1663000578">
      <w:bodyDiv w:val="1"/>
      <w:marLeft w:val="0"/>
      <w:marRight w:val="0"/>
      <w:marTop w:val="0"/>
      <w:marBottom w:val="0"/>
      <w:divBdr>
        <w:top w:val="none" w:sz="0" w:space="0" w:color="auto"/>
        <w:left w:val="none" w:sz="0" w:space="0" w:color="auto"/>
        <w:bottom w:val="none" w:sz="0" w:space="0" w:color="auto"/>
        <w:right w:val="none" w:sz="0" w:space="0" w:color="auto"/>
      </w:divBdr>
      <w:divsChild>
        <w:div w:id="1229456917">
          <w:marLeft w:val="0"/>
          <w:marRight w:val="0"/>
          <w:marTop w:val="0"/>
          <w:marBottom w:val="0"/>
          <w:divBdr>
            <w:top w:val="none" w:sz="0" w:space="0" w:color="auto"/>
            <w:left w:val="none" w:sz="0" w:space="0" w:color="auto"/>
            <w:bottom w:val="none" w:sz="0" w:space="0" w:color="auto"/>
            <w:right w:val="none" w:sz="0" w:space="0" w:color="auto"/>
          </w:divBdr>
        </w:div>
        <w:div w:id="1455292809">
          <w:marLeft w:val="0"/>
          <w:marRight w:val="0"/>
          <w:marTop w:val="0"/>
          <w:marBottom w:val="0"/>
          <w:divBdr>
            <w:top w:val="none" w:sz="0" w:space="0" w:color="auto"/>
            <w:left w:val="none" w:sz="0" w:space="0" w:color="auto"/>
            <w:bottom w:val="none" w:sz="0" w:space="0" w:color="auto"/>
            <w:right w:val="none" w:sz="0" w:space="0" w:color="auto"/>
          </w:divBdr>
        </w:div>
      </w:divsChild>
    </w:div>
    <w:div w:id="1709142144">
      <w:bodyDiv w:val="1"/>
      <w:marLeft w:val="0"/>
      <w:marRight w:val="0"/>
      <w:marTop w:val="0"/>
      <w:marBottom w:val="0"/>
      <w:divBdr>
        <w:top w:val="none" w:sz="0" w:space="0" w:color="auto"/>
        <w:left w:val="none" w:sz="0" w:space="0" w:color="auto"/>
        <w:bottom w:val="none" w:sz="0" w:space="0" w:color="auto"/>
        <w:right w:val="none" w:sz="0" w:space="0" w:color="auto"/>
      </w:divBdr>
      <w:divsChild>
        <w:div w:id="1418553340">
          <w:marLeft w:val="0"/>
          <w:marRight w:val="0"/>
          <w:marTop w:val="34"/>
          <w:marBottom w:val="34"/>
          <w:divBdr>
            <w:top w:val="none" w:sz="0" w:space="0" w:color="auto"/>
            <w:left w:val="none" w:sz="0" w:space="0" w:color="auto"/>
            <w:bottom w:val="none" w:sz="0" w:space="0" w:color="auto"/>
            <w:right w:val="none" w:sz="0" w:space="0" w:color="auto"/>
          </w:divBdr>
        </w:div>
      </w:divsChild>
    </w:div>
    <w:div w:id="1894194931">
      <w:bodyDiv w:val="1"/>
      <w:marLeft w:val="0"/>
      <w:marRight w:val="0"/>
      <w:marTop w:val="0"/>
      <w:marBottom w:val="0"/>
      <w:divBdr>
        <w:top w:val="none" w:sz="0" w:space="0" w:color="auto"/>
        <w:left w:val="none" w:sz="0" w:space="0" w:color="auto"/>
        <w:bottom w:val="none" w:sz="0" w:space="0" w:color="auto"/>
        <w:right w:val="none" w:sz="0" w:space="0" w:color="auto"/>
      </w:divBdr>
      <w:divsChild>
        <w:div w:id="1056003554">
          <w:marLeft w:val="0"/>
          <w:marRight w:val="0"/>
          <w:marTop w:val="34"/>
          <w:marBottom w:val="34"/>
          <w:divBdr>
            <w:top w:val="none" w:sz="0" w:space="0" w:color="auto"/>
            <w:left w:val="none" w:sz="0" w:space="0" w:color="auto"/>
            <w:bottom w:val="none" w:sz="0" w:space="0" w:color="auto"/>
            <w:right w:val="none" w:sz="0" w:space="0" w:color="auto"/>
          </w:divBdr>
        </w:div>
      </w:divsChild>
    </w:div>
    <w:div w:id="1895315686">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34"/>
          <w:marBottom w:val="34"/>
          <w:divBdr>
            <w:top w:val="none" w:sz="0" w:space="0" w:color="auto"/>
            <w:left w:val="none" w:sz="0" w:space="0" w:color="auto"/>
            <w:bottom w:val="none" w:sz="0" w:space="0" w:color="auto"/>
            <w:right w:val="none" w:sz="0" w:space="0" w:color="auto"/>
          </w:divBdr>
        </w:div>
      </w:divsChild>
    </w:div>
    <w:div w:id="2015498268">
      <w:bodyDiv w:val="1"/>
      <w:marLeft w:val="0"/>
      <w:marRight w:val="0"/>
      <w:marTop w:val="0"/>
      <w:marBottom w:val="0"/>
      <w:divBdr>
        <w:top w:val="none" w:sz="0" w:space="0" w:color="auto"/>
        <w:left w:val="none" w:sz="0" w:space="0" w:color="auto"/>
        <w:bottom w:val="none" w:sz="0" w:space="0" w:color="auto"/>
        <w:right w:val="none" w:sz="0" w:space="0" w:color="auto"/>
      </w:divBdr>
      <w:divsChild>
        <w:div w:id="1250773173">
          <w:marLeft w:val="0"/>
          <w:marRight w:val="0"/>
          <w:marTop w:val="34"/>
          <w:marBottom w:val="34"/>
          <w:divBdr>
            <w:top w:val="none" w:sz="0" w:space="0" w:color="auto"/>
            <w:left w:val="none" w:sz="0" w:space="0" w:color="auto"/>
            <w:bottom w:val="none" w:sz="0" w:space="0" w:color="auto"/>
            <w:right w:val="none" w:sz="0" w:space="0" w:color="auto"/>
          </w:divBdr>
        </w:div>
      </w:divsChild>
    </w:div>
    <w:div w:id="2036929901">
      <w:bodyDiv w:val="1"/>
      <w:marLeft w:val="0"/>
      <w:marRight w:val="0"/>
      <w:marTop w:val="0"/>
      <w:marBottom w:val="0"/>
      <w:divBdr>
        <w:top w:val="none" w:sz="0" w:space="0" w:color="auto"/>
        <w:left w:val="none" w:sz="0" w:space="0" w:color="auto"/>
        <w:bottom w:val="none" w:sz="0" w:space="0" w:color="auto"/>
        <w:right w:val="none" w:sz="0" w:space="0" w:color="auto"/>
      </w:divBdr>
    </w:div>
    <w:div w:id="2101559279">
      <w:bodyDiv w:val="1"/>
      <w:marLeft w:val="0"/>
      <w:marRight w:val="0"/>
      <w:marTop w:val="0"/>
      <w:marBottom w:val="0"/>
      <w:divBdr>
        <w:top w:val="none" w:sz="0" w:space="0" w:color="auto"/>
        <w:left w:val="none" w:sz="0" w:space="0" w:color="auto"/>
        <w:bottom w:val="none" w:sz="0" w:space="0" w:color="auto"/>
        <w:right w:val="none" w:sz="0" w:space="0" w:color="auto"/>
      </w:divBdr>
    </w:div>
    <w:div w:id="2137985247">
      <w:bodyDiv w:val="1"/>
      <w:marLeft w:val="0"/>
      <w:marRight w:val="0"/>
      <w:marTop w:val="0"/>
      <w:marBottom w:val="0"/>
      <w:divBdr>
        <w:top w:val="none" w:sz="0" w:space="0" w:color="auto"/>
        <w:left w:val="none" w:sz="0" w:space="0" w:color="auto"/>
        <w:bottom w:val="none" w:sz="0" w:space="0" w:color="auto"/>
        <w:right w:val="none" w:sz="0" w:space="0" w:color="auto"/>
      </w:divBdr>
      <w:divsChild>
        <w:div w:id="123335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erger+E%2C+Castagn%C3%A9+R%2C+Chadeau-Hyam+M%2C+Bochud+M%2C+d'Errico+A%2C+Gandini+M%2C+Karimi+M%2C+Kivim%C3%A4ki+M%2C+Krogh+V%2C+Marmot+M%2C+Panico+S%2C+Preisig+M%2C+Ricceri+F%2C+Sacerdote+C%2C+Steptoe+A%2C+Stringhini+S%2C+Tumino+R%2C+Vineis+P%2C+Delpierre+C%2C+Kelly-Irving+M." TargetMode="External"/><Relationship Id="rId13" Type="http://schemas.openxmlformats.org/officeDocument/2006/relationships/hyperlink" Target="https://www.ncbi.nlm.nih.gov/pubmed/?term=McCrory%20C%5BAuthor%5D&amp;cauthor=true&amp;cauthor_uid=28798151" TargetMode="External"/><Relationship Id="rId18" Type="http://schemas.openxmlformats.org/officeDocument/2006/relationships/hyperlink" Target="https://www.ncbi.nlm.nih.gov/pubmed/?term=Kartiosuo%20N%5BAuthor%5D&amp;cauthor=true&amp;cauthor_uid=287981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Vineis%20P%5BAuthor%5D&amp;cauthor=true&amp;cauthor_uid=28798151" TargetMode="External"/><Relationship Id="rId7" Type="http://schemas.openxmlformats.org/officeDocument/2006/relationships/endnotes" Target="endnotes.xml"/><Relationship Id="rId12" Type="http://schemas.openxmlformats.org/officeDocument/2006/relationships/hyperlink" Target="https://doi.org/10.1111/ppe.12552" TargetMode="External"/><Relationship Id="rId17" Type="http://schemas.openxmlformats.org/officeDocument/2006/relationships/hyperlink" Target="https://www.ncbi.nlm.nih.gov/pubmed/?term=Barros%20H%5BAuthor%5D&amp;cauthor=true&amp;cauthor_uid=2879815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Ribeiro%20AI%5BAuthor%5D&amp;cauthor=true&amp;cauthor_uid=28798151" TargetMode="External"/><Relationship Id="rId20" Type="http://schemas.openxmlformats.org/officeDocument/2006/relationships/hyperlink" Target="https://www.ncbi.nlm.nih.gov/pubmed/?term=Kivim%C3%A4ki%20M%5BAuthor%5D&amp;cauthor=true&amp;cauthor_uid=28798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0030110" TargetMode="External"/><Relationship Id="rId24" Type="http://schemas.openxmlformats.org/officeDocument/2006/relationships/hyperlink" Target="http://www.who.int/nmh/events/un_ncd_summit2011/speeches/en/index.html" TargetMode="External"/><Relationship Id="rId5" Type="http://schemas.openxmlformats.org/officeDocument/2006/relationships/webSettings" Target="webSettings.xml"/><Relationship Id="rId15" Type="http://schemas.openxmlformats.org/officeDocument/2006/relationships/hyperlink" Target="https://www.ncbi.nlm.nih.gov/pubmed/?term=Fraga%20S%5BAuthor%5D&amp;cauthor=true&amp;cauthor_uid=28798151" TargetMode="External"/><Relationship Id="rId23" Type="http://schemas.openxmlformats.org/officeDocument/2006/relationships/hyperlink" Target="https://www.ncbi.nlm.nih.gov/pubmed/?term=Lifepath%20Consortium%5BCorporate%20Author%5D" TargetMode="External"/><Relationship Id="rId10" Type="http://schemas.openxmlformats.org/officeDocument/2006/relationships/hyperlink" Target="https://www.ncbi.nlm.nih.gov/pubmed/29476357" TargetMode="External"/><Relationship Id="rId19" Type="http://schemas.openxmlformats.org/officeDocument/2006/relationships/hyperlink" Target="https://www.ncbi.nlm.nih.gov/pubmed/?term=Raitakari%20O%5BAuthor%5D&amp;cauthor=true&amp;cauthor_uid=28798151" TargetMode="External"/><Relationship Id="rId4" Type="http://schemas.openxmlformats.org/officeDocument/2006/relationships/settings" Target="settings.xml"/><Relationship Id="rId9" Type="http://schemas.openxmlformats.org/officeDocument/2006/relationships/hyperlink" Target="http://dx.doi.org/10.14301/llcs.v4i2.236" TargetMode="External"/><Relationship Id="rId14" Type="http://schemas.openxmlformats.org/officeDocument/2006/relationships/hyperlink" Target="https://www.ncbi.nlm.nih.gov/pubmed/?term=O'Leary%20N%5BAuthor%5D&amp;cauthor=true&amp;cauthor_uid=28798151" TargetMode="External"/><Relationship Id="rId22" Type="http://schemas.openxmlformats.org/officeDocument/2006/relationships/hyperlink" Target="https://www.ncbi.nlm.nih.gov/pubmed/?term=Layte%20R%5BAuthor%5D&amp;cauthor=true&amp;cauthor_uid=28798151"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B55A-710F-4641-A02B-F739150D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6554</Words>
  <Characters>37361</Characters>
  <Application>Microsoft Office Word</Application>
  <DocSecurity>0</DocSecurity>
  <Lines>311</Lines>
  <Paragraphs>87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pvines</dc:creator>
  <cp:lastModifiedBy>Vineis, Paolo</cp:lastModifiedBy>
  <cp:revision>2</cp:revision>
  <cp:lastPrinted>2019-08-08T14:32:00Z</cp:lastPrinted>
  <dcterms:created xsi:type="dcterms:W3CDTF">2020-03-17T15:39:00Z</dcterms:created>
  <dcterms:modified xsi:type="dcterms:W3CDTF">2020-03-17T15:39:00Z</dcterms:modified>
</cp:coreProperties>
</file>