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A5D81" w14:textId="77777777" w:rsidR="00431933" w:rsidRDefault="008C31C9" w:rsidP="00C906B1">
      <w:pPr>
        <w:pStyle w:val="ArticleTitle"/>
        <w:spacing w:line="360" w:lineRule="auto"/>
        <w:jc w:val="center"/>
        <w:rPr>
          <w:sz w:val="24"/>
        </w:rPr>
      </w:pPr>
      <w:r w:rsidRPr="00CF7500">
        <w:rPr>
          <w:sz w:val="24"/>
        </w:rPr>
        <w:t xml:space="preserve">A Framework for Examining the Heterogeneous Opportunities </w:t>
      </w:r>
    </w:p>
    <w:p w14:paraId="7840E15E" w14:textId="7451BB02" w:rsidR="00CF2315" w:rsidRPr="00CF7500" w:rsidRDefault="008C31C9" w:rsidP="00C906B1">
      <w:pPr>
        <w:pStyle w:val="ArticleTitle"/>
        <w:spacing w:line="360" w:lineRule="auto"/>
        <w:jc w:val="center"/>
        <w:rPr>
          <w:sz w:val="24"/>
        </w:rPr>
      </w:pPr>
      <w:r w:rsidRPr="00CF7500">
        <w:rPr>
          <w:sz w:val="24"/>
        </w:rPr>
        <w:t>of Value Creation in Private Equity Buyouts</w:t>
      </w:r>
    </w:p>
    <w:p w14:paraId="6C12C975" w14:textId="77777777" w:rsidR="00B472F5" w:rsidRPr="00CF7500" w:rsidRDefault="00B472F5" w:rsidP="003D3368">
      <w:pPr>
        <w:spacing w:line="360" w:lineRule="auto"/>
      </w:pPr>
    </w:p>
    <w:p w14:paraId="27C78684" w14:textId="77777777" w:rsidR="00746062" w:rsidRPr="00CF7500" w:rsidRDefault="00746062" w:rsidP="003D3368">
      <w:pPr>
        <w:spacing w:line="360" w:lineRule="auto"/>
      </w:pPr>
    </w:p>
    <w:p w14:paraId="2C8036EB" w14:textId="77777777" w:rsidR="00676F76" w:rsidRPr="0012547C" w:rsidRDefault="008C31C9" w:rsidP="00CF7500">
      <w:pPr>
        <w:spacing w:line="360" w:lineRule="auto"/>
        <w:ind w:firstLine="0"/>
        <w:jc w:val="center"/>
        <w:rPr>
          <w:b/>
          <w:lang w:val="it-IT"/>
        </w:rPr>
      </w:pPr>
      <w:r w:rsidRPr="0012547C">
        <w:rPr>
          <w:b/>
          <w:lang w:val="it-IT"/>
        </w:rPr>
        <w:t>Francesco Castellaneta</w:t>
      </w:r>
    </w:p>
    <w:p w14:paraId="4DC79B5B" w14:textId="77777777" w:rsidR="00676F76" w:rsidRPr="0012547C" w:rsidRDefault="008C31C9" w:rsidP="00CF7500">
      <w:pPr>
        <w:spacing w:line="240" w:lineRule="auto"/>
        <w:ind w:firstLine="0"/>
        <w:jc w:val="center"/>
        <w:rPr>
          <w:lang w:val="it-IT"/>
        </w:rPr>
      </w:pPr>
      <w:r w:rsidRPr="0012547C">
        <w:rPr>
          <w:lang w:val="it-IT"/>
        </w:rPr>
        <w:t>SKEMA Business School, Université Côte d'Azur (GREDEG)</w:t>
      </w:r>
    </w:p>
    <w:p w14:paraId="745E5F3E" w14:textId="77777777" w:rsidR="00676F76" w:rsidRPr="0012547C" w:rsidRDefault="003D3EBE" w:rsidP="00CF7500">
      <w:pPr>
        <w:spacing w:line="240" w:lineRule="auto"/>
        <w:ind w:firstLine="0"/>
        <w:jc w:val="center"/>
        <w:rPr>
          <w:lang w:val="it-IT"/>
        </w:rPr>
      </w:pPr>
      <w:r w:rsidRPr="0012547C">
        <w:rPr>
          <w:lang w:val="it-IT"/>
        </w:rPr>
        <w:t>Sophia Antipolis, France</w:t>
      </w:r>
    </w:p>
    <w:p w14:paraId="6378D1EB" w14:textId="77777777" w:rsidR="00676F76" w:rsidRPr="0012547C" w:rsidRDefault="00A453F0" w:rsidP="00CF7500">
      <w:pPr>
        <w:spacing w:line="240" w:lineRule="auto"/>
        <w:ind w:firstLine="0"/>
        <w:jc w:val="center"/>
        <w:rPr>
          <w:lang w:val="it-IT"/>
        </w:rPr>
      </w:pPr>
      <w:r w:rsidRPr="0012547C">
        <w:rPr>
          <w:lang w:val="it-IT"/>
        </w:rPr>
        <w:t xml:space="preserve">E-mail: </w:t>
      </w:r>
      <w:hyperlink r:id="rId8" w:history="1">
        <w:r w:rsidRPr="0012547C">
          <w:rPr>
            <w:rStyle w:val="Hyperlink"/>
            <w:lang w:val="it-IT"/>
          </w:rPr>
          <w:t>francesco.castellaneta@skema.edu</w:t>
        </w:r>
      </w:hyperlink>
    </w:p>
    <w:p w14:paraId="2D1A2314" w14:textId="77777777" w:rsidR="00A453F0" w:rsidRPr="0012547C" w:rsidRDefault="00A453F0" w:rsidP="00A453F0">
      <w:pPr>
        <w:spacing w:line="240" w:lineRule="auto"/>
        <w:ind w:firstLine="0"/>
        <w:jc w:val="center"/>
        <w:rPr>
          <w:lang w:val="it-IT"/>
        </w:rPr>
      </w:pPr>
    </w:p>
    <w:p w14:paraId="5EC06FA9" w14:textId="77777777" w:rsidR="00A453F0" w:rsidRPr="0012547C" w:rsidRDefault="00A453F0" w:rsidP="00A453F0">
      <w:pPr>
        <w:spacing w:line="240" w:lineRule="auto"/>
        <w:ind w:firstLine="0"/>
        <w:jc w:val="center"/>
        <w:rPr>
          <w:lang w:val="it-IT"/>
        </w:rPr>
      </w:pPr>
    </w:p>
    <w:p w14:paraId="1788857B" w14:textId="77777777" w:rsidR="00A453F0" w:rsidRPr="0012547C" w:rsidRDefault="00A453F0" w:rsidP="00A453F0">
      <w:pPr>
        <w:spacing w:line="240" w:lineRule="auto"/>
        <w:ind w:firstLine="0"/>
        <w:jc w:val="center"/>
        <w:rPr>
          <w:lang w:val="it-IT"/>
        </w:rPr>
      </w:pPr>
    </w:p>
    <w:p w14:paraId="31BF22FD" w14:textId="77777777" w:rsidR="00B472F5" w:rsidRPr="00C86D1C" w:rsidRDefault="008C31C9" w:rsidP="00A453F0">
      <w:pPr>
        <w:pStyle w:val="AuthorNames"/>
        <w:spacing w:line="360" w:lineRule="auto"/>
        <w:jc w:val="center"/>
      </w:pPr>
      <w:r w:rsidRPr="00C86D1C">
        <w:t>Simon Hannus</w:t>
      </w:r>
    </w:p>
    <w:p w14:paraId="0CAE1B48" w14:textId="2CDC0C37" w:rsidR="00676F76" w:rsidRPr="00CF7500" w:rsidRDefault="00460675" w:rsidP="00CF7500">
      <w:pPr>
        <w:widowControl w:val="0"/>
        <w:autoSpaceDE w:val="0"/>
        <w:autoSpaceDN w:val="0"/>
        <w:adjustRightInd w:val="0"/>
        <w:spacing w:line="240" w:lineRule="auto"/>
        <w:ind w:firstLine="0"/>
        <w:jc w:val="center"/>
      </w:pPr>
      <w:r>
        <w:t>Prevestor Partners</w:t>
      </w:r>
    </w:p>
    <w:p w14:paraId="0E5944B1" w14:textId="77777777" w:rsidR="00676F76" w:rsidRPr="0012547C" w:rsidRDefault="008C31C9" w:rsidP="00CF7500">
      <w:pPr>
        <w:widowControl w:val="0"/>
        <w:autoSpaceDE w:val="0"/>
        <w:autoSpaceDN w:val="0"/>
        <w:adjustRightInd w:val="0"/>
        <w:spacing w:line="240" w:lineRule="auto"/>
        <w:ind w:firstLine="0"/>
        <w:jc w:val="center"/>
      </w:pPr>
      <w:r w:rsidRPr="0012547C">
        <w:t>Tampere, Finland</w:t>
      </w:r>
    </w:p>
    <w:p w14:paraId="11AD023C" w14:textId="10CD741F" w:rsidR="00676F76" w:rsidRPr="0012547C" w:rsidRDefault="008C31C9" w:rsidP="00CF7500">
      <w:pPr>
        <w:widowControl w:val="0"/>
        <w:autoSpaceDE w:val="0"/>
        <w:autoSpaceDN w:val="0"/>
        <w:adjustRightInd w:val="0"/>
        <w:spacing w:line="240" w:lineRule="auto"/>
        <w:ind w:firstLine="0"/>
        <w:jc w:val="center"/>
        <w:rPr>
          <w:color w:val="757575"/>
          <w:shd w:val="clear" w:color="auto" w:fill="FFFFFF"/>
        </w:rPr>
      </w:pPr>
      <w:r w:rsidRPr="0012547C">
        <w:t xml:space="preserve">E-mail: </w:t>
      </w:r>
      <w:hyperlink r:id="rId9" w:history="1">
        <w:r w:rsidRPr="0012547C">
          <w:rPr>
            <w:rStyle w:val="Hyperlink"/>
          </w:rPr>
          <w:t>simon</w:t>
        </w:r>
        <w:r w:rsidR="004F7D04" w:rsidRPr="0012547C">
          <w:rPr>
            <w:rStyle w:val="Hyperlink"/>
          </w:rPr>
          <w:t>.</w:t>
        </w:r>
        <w:r w:rsidRPr="0012547C">
          <w:rPr>
            <w:rStyle w:val="Hyperlink"/>
          </w:rPr>
          <w:t>hannus@</w:t>
        </w:r>
        <w:r w:rsidR="004F7D04" w:rsidRPr="0012547C">
          <w:rPr>
            <w:rStyle w:val="Hyperlink"/>
          </w:rPr>
          <w:t>prevestor</w:t>
        </w:r>
        <w:r w:rsidR="00D81400" w:rsidRPr="0012547C">
          <w:rPr>
            <w:rStyle w:val="Hyperlink"/>
          </w:rPr>
          <w:t>.fi</w:t>
        </w:r>
      </w:hyperlink>
    </w:p>
    <w:p w14:paraId="353B79A9" w14:textId="77777777" w:rsidR="00A453F0" w:rsidRPr="0012547C" w:rsidRDefault="00A453F0" w:rsidP="00A453F0">
      <w:pPr>
        <w:spacing w:line="240" w:lineRule="auto"/>
        <w:ind w:firstLine="0"/>
        <w:jc w:val="center"/>
      </w:pPr>
    </w:p>
    <w:p w14:paraId="45B71545" w14:textId="77777777" w:rsidR="00A453F0" w:rsidRPr="0012547C" w:rsidRDefault="00A453F0" w:rsidP="00A453F0">
      <w:pPr>
        <w:spacing w:line="240" w:lineRule="auto"/>
        <w:ind w:firstLine="0"/>
        <w:jc w:val="center"/>
      </w:pPr>
    </w:p>
    <w:p w14:paraId="1BB7DFD8" w14:textId="77777777" w:rsidR="00A453F0" w:rsidRPr="0012547C" w:rsidRDefault="00A453F0" w:rsidP="00A453F0">
      <w:pPr>
        <w:spacing w:line="240" w:lineRule="auto"/>
        <w:ind w:firstLine="0"/>
        <w:jc w:val="center"/>
      </w:pPr>
    </w:p>
    <w:p w14:paraId="446BDAEC" w14:textId="77777777" w:rsidR="008F2464" w:rsidRPr="00CF7500" w:rsidRDefault="008C31C9" w:rsidP="00A453F0">
      <w:pPr>
        <w:pStyle w:val="AuthorNames"/>
        <w:spacing w:line="360" w:lineRule="auto"/>
        <w:jc w:val="center"/>
      </w:pPr>
      <w:r w:rsidRPr="00CF7500">
        <w:t>Mike Wright</w:t>
      </w:r>
    </w:p>
    <w:p w14:paraId="57A7AE2D" w14:textId="77777777" w:rsidR="00D20886" w:rsidRDefault="00D20886" w:rsidP="00CF7500">
      <w:pPr>
        <w:widowControl w:val="0"/>
        <w:autoSpaceDE w:val="0"/>
        <w:autoSpaceDN w:val="0"/>
        <w:adjustRightInd w:val="0"/>
        <w:spacing w:line="240" w:lineRule="auto"/>
        <w:ind w:firstLine="0"/>
        <w:jc w:val="center"/>
      </w:pPr>
      <w:r>
        <w:t>Center for Management Buyout Research</w:t>
      </w:r>
    </w:p>
    <w:p w14:paraId="78BA5F9B" w14:textId="56D1E1D1" w:rsidR="00676F76" w:rsidRPr="00CF7500" w:rsidRDefault="008C31C9" w:rsidP="00CF7500">
      <w:pPr>
        <w:widowControl w:val="0"/>
        <w:autoSpaceDE w:val="0"/>
        <w:autoSpaceDN w:val="0"/>
        <w:adjustRightInd w:val="0"/>
        <w:spacing w:line="240" w:lineRule="auto"/>
        <w:ind w:firstLine="0"/>
        <w:jc w:val="center"/>
      </w:pPr>
      <w:bookmarkStart w:id="0" w:name="_GoBack"/>
      <w:bookmarkEnd w:id="0"/>
      <w:r w:rsidRPr="00CF7500">
        <w:t>Imperial College Business School</w:t>
      </w:r>
    </w:p>
    <w:p w14:paraId="20F2AF47" w14:textId="6C72428E" w:rsidR="00676F76" w:rsidRPr="00CF7500" w:rsidRDefault="008C31C9" w:rsidP="00CF7500">
      <w:pPr>
        <w:widowControl w:val="0"/>
        <w:autoSpaceDE w:val="0"/>
        <w:autoSpaceDN w:val="0"/>
        <w:adjustRightInd w:val="0"/>
        <w:spacing w:line="240" w:lineRule="auto"/>
        <w:ind w:firstLine="0"/>
        <w:jc w:val="center"/>
      </w:pPr>
      <w:r w:rsidRPr="00CF7500">
        <w:t>London</w:t>
      </w:r>
      <w:r w:rsidR="003D3EBE">
        <w:t>, U</w:t>
      </w:r>
      <w:r w:rsidR="00D2255C">
        <w:t>K</w:t>
      </w:r>
    </w:p>
    <w:p w14:paraId="193AF4E9" w14:textId="77777777" w:rsidR="00676F76" w:rsidRPr="00BA0E55" w:rsidRDefault="008C31C9">
      <w:pPr>
        <w:pStyle w:val="Heading1"/>
        <w:keepNext w:val="0"/>
        <w:numPr>
          <w:ilvl w:val="0"/>
          <w:numId w:val="0"/>
        </w:numPr>
        <w:spacing w:before="0" w:after="0" w:line="360" w:lineRule="auto"/>
        <w:jc w:val="center"/>
        <w:rPr>
          <w:b w:val="0"/>
          <w:bCs w:val="0"/>
          <w:iCs w:val="0"/>
          <w:szCs w:val="24"/>
          <w:lang w:val="it-IT"/>
        </w:rPr>
      </w:pPr>
      <w:r w:rsidRPr="00BA0E55">
        <w:rPr>
          <w:b w:val="0"/>
          <w:bCs w:val="0"/>
          <w:iCs w:val="0"/>
          <w:szCs w:val="24"/>
          <w:lang w:val="it-IT"/>
        </w:rPr>
        <w:t>E</w:t>
      </w:r>
      <w:r w:rsidR="00A453F0" w:rsidRPr="00BA0E55">
        <w:rPr>
          <w:b w:val="0"/>
          <w:bCs w:val="0"/>
          <w:iCs w:val="0"/>
          <w:szCs w:val="24"/>
          <w:lang w:val="it-IT"/>
        </w:rPr>
        <w:t>-</w:t>
      </w:r>
      <w:r w:rsidRPr="00BA0E55">
        <w:rPr>
          <w:b w:val="0"/>
          <w:bCs w:val="0"/>
          <w:iCs w:val="0"/>
          <w:szCs w:val="24"/>
          <w:lang w:val="it-IT"/>
        </w:rPr>
        <w:t xml:space="preserve">mail: </w:t>
      </w:r>
      <w:hyperlink r:id="rId10" w:history="1">
        <w:r w:rsidRPr="00BA0E55">
          <w:rPr>
            <w:rStyle w:val="Hyperlink"/>
            <w:b w:val="0"/>
            <w:bCs w:val="0"/>
            <w:iCs w:val="0"/>
            <w:szCs w:val="24"/>
            <w:lang w:val="it-IT"/>
          </w:rPr>
          <w:t>mike.wright@imperial.ac.uk</w:t>
        </w:r>
      </w:hyperlink>
      <w:r w:rsidRPr="00BA0E55">
        <w:rPr>
          <w:b w:val="0"/>
          <w:bCs w:val="0"/>
          <w:iCs w:val="0"/>
          <w:szCs w:val="24"/>
          <w:lang w:val="it-IT"/>
        </w:rPr>
        <w:t xml:space="preserve"> </w:t>
      </w:r>
    </w:p>
    <w:p w14:paraId="04E69000" w14:textId="77777777" w:rsidR="00A707B9" w:rsidRPr="00BA0E55" w:rsidRDefault="00A707B9" w:rsidP="00A707B9">
      <w:pPr>
        <w:rPr>
          <w:lang w:val="it-IT"/>
        </w:rPr>
      </w:pPr>
    </w:p>
    <w:p w14:paraId="1C2EF385" w14:textId="3E4B90EF" w:rsidR="00A707B9" w:rsidRPr="00A707B9" w:rsidRDefault="00D20886" w:rsidP="00A707B9">
      <w:r>
        <w:t>Acknowledgements: Thanks to Douglas Cumming and an anonymous reviewer for comments on an earlier version</w:t>
      </w:r>
    </w:p>
    <w:p w14:paraId="05D25861" w14:textId="77777777" w:rsidR="00580EAE" w:rsidRPr="001C35FA" w:rsidRDefault="00580EAE" w:rsidP="009C66CD">
      <w:pPr>
        <w:ind w:firstLine="0"/>
      </w:pPr>
    </w:p>
    <w:p w14:paraId="71952A85" w14:textId="77777777" w:rsidR="007508E6" w:rsidRPr="00CF7500" w:rsidRDefault="007508E6">
      <w:pPr>
        <w:spacing w:line="240" w:lineRule="auto"/>
        <w:ind w:firstLine="0"/>
        <w:jc w:val="left"/>
        <w:rPr>
          <w:b/>
          <w:bCs/>
          <w:iCs/>
        </w:rPr>
      </w:pPr>
      <w:r w:rsidRPr="001C35FA">
        <w:br w:type="page"/>
      </w:r>
    </w:p>
    <w:p w14:paraId="028D33BF" w14:textId="77777777" w:rsidR="00BB51BD" w:rsidRPr="00CF7500" w:rsidRDefault="008C31C9" w:rsidP="00C906B1">
      <w:pPr>
        <w:pStyle w:val="Rubrik1"/>
        <w:spacing w:before="0" w:after="0"/>
        <w:rPr>
          <w:sz w:val="24"/>
          <w:szCs w:val="24"/>
        </w:rPr>
      </w:pPr>
      <w:r w:rsidRPr="00CF7500">
        <w:rPr>
          <w:sz w:val="24"/>
          <w:szCs w:val="24"/>
        </w:rPr>
        <w:lastRenderedPageBreak/>
        <w:t>Abstract</w:t>
      </w:r>
    </w:p>
    <w:p w14:paraId="7E06CA93" w14:textId="76702E01" w:rsidR="00BB51BD" w:rsidRPr="001C35FA" w:rsidRDefault="00BB51BD" w:rsidP="00BB51BD">
      <w:pPr>
        <w:ind w:firstLine="0"/>
      </w:pPr>
      <w:r w:rsidRPr="001C35FA">
        <w:t xml:space="preserve">PE firms and buyouts have emerged as a field of significant interest for academic research and attracted the increasing attention of policy makers, public opinion and popular press. In particular, there is a strong debate on how private equity firms create value in buyout investments. </w:t>
      </w:r>
      <w:r w:rsidR="00A1229B" w:rsidRPr="001C35FA">
        <w:t xml:space="preserve">Notwithstanding </w:t>
      </w:r>
      <w:r w:rsidR="00971723" w:rsidRPr="001C35FA">
        <w:t xml:space="preserve">this </w:t>
      </w:r>
      <w:r w:rsidR="001D0409" w:rsidRPr="001C35FA">
        <w:t>widespread interest in value creation in private equity</w:t>
      </w:r>
      <w:r w:rsidRPr="001C35FA">
        <w:t xml:space="preserve">, there is a lack of research </w:t>
      </w:r>
      <w:r w:rsidR="00CC2A26" w:rsidRPr="001C35FA">
        <w:t xml:space="preserve">offering an overall view of the </w:t>
      </w:r>
      <w:r w:rsidRPr="001C35FA">
        <w:t xml:space="preserve">various mechanisms by which value can be created in </w:t>
      </w:r>
      <w:r w:rsidR="00CC2A26" w:rsidRPr="001C35FA">
        <w:t>buyout investments</w:t>
      </w:r>
      <w:r w:rsidRPr="001C35FA">
        <w:t xml:space="preserve">. We contribute to shed new light on this issue by reviewing the body of research on value creation and by proposing an overall framework for mapping the heterogeneous opportunities to create value. </w:t>
      </w:r>
    </w:p>
    <w:p w14:paraId="65965F57" w14:textId="48A1D645" w:rsidR="00BB51BD" w:rsidRPr="001C35FA" w:rsidRDefault="00E54B90" w:rsidP="009C66CD">
      <w:pPr>
        <w:ind w:firstLine="0"/>
      </w:pPr>
      <w:r w:rsidRPr="001C35FA">
        <w:t xml:space="preserve"> </w:t>
      </w:r>
    </w:p>
    <w:p w14:paraId="54D479C6" w14:textId="3D615E01" w:rsidR="00405533" w:rsidRPr="001C35FA" w:rsidRDefault="00881545" w:rsidP="00C906B1">
      <w:pPr>
        <w:pStyle w:val="Heading1"/>
        <w:rPr>
          <w:szCs w:val="24"/>
        </w:rPr>
      </w:pPr>
      <w:r>
        <w:rPr>
          <w:szCs w:val="24"/>
        </w:rPr>
        <w:t xml:space="preserve">Introduction: </w:t>
      </w:r>
      <w:r w:rsidR="00405533" w:rsidRPr="003900C7">
        <w:rPr>
          <w:szCs w:val="24"/>
        </w:rPr>
        <w:t>Towards an Extended Taxonomy</w:t>
      </w:r>
    </w:p>
    <w:p w14:paraId="765093B8" w14:textId="2666EB4B" w:rsidR="0038140F" w:rsidRDefault="004A0C85" w:rsidP="008530CE">
      <w:r w:rsidRPr="001C35FA">
        <w:t xml:space="preserve">The modern private equity and buyout market developed from the mid-1970s with the transfer of ownership of listed corporations, divisions of large groups and family firms to newly created independent </w:t>
      </w:r>
      <w:r w:rsidR="00302B0F" w:rsidRPr="001C35FA">
        <w:t xml:space="preserve">privately-owned </w:t>
      </w:r>
      <w:r w:rsidRPr="001C35FA">
        <w:t>entities funded by substantial debt and small amounts of equity provided by specialist investors</w:t>
      </w:r>
      <w:r w:rsidR="00302B0F" w:rsidRPr="001C35FA">
        <w:t xml:space="preserve"> in which management typically obtained significant equity stakes (</w:t>
      </w:r>
      <w:r w:rsidR="00665DAD">
        <w:t xml:space="preserve">Coyne and Wright, 1982; </w:t>
      </w:r>
      <w:r w:rsidR="00302B0F" w:rsidRPr="001C35FA">
        <w:t>Kaufmann</w:t>
      </w:r>
      <w:r w:rsidR="008B1122" w:rsidRPr="001C35FA">
        <w:t xml:space="preserve"> and </w:t>
      </w:r>
      <w:r w:rsidR="00302B0F" w:rsidRPr="001C35FA">
        <w:t>Englender, 1993; Wright et al., 2000).</w:t>
      </w:r>
    </w:p>
    <w:p w14:paraId="0C3FDE2D" w14:textId="7E7F7918" w:rsidR="00302B0F" w:rsidRPr="001C35FA" w:rsidRDefault="00302B0F" w:rsidP="008530CE">
      <w:r w:rsidRPr="00EF0A96">
        <w:t>This transfer</w:t>
      </w:r>
      <w:r w:rsidRPr="001C35FA">
        <w:t xml:space="preserve"> of ownership facilitated by high levels of leverage gave rise to the term leveraged buyouts (LBO) to describe the market. </w:t>
      </w:r>
      <w:r w:rsidR="002237F3">
        <w:t xml:space="preserve">The </w:t>
      </w:r>
      <w:r w:rsidR="00A70FD2">
        <w:t xml:space="preserve">levered </w:t>
      </w:r>
      <w:r w:rsidR="002237F3">
        <w:t xml:space="preserve">investment takes the name of management buyout (MBO) when </w:t>
      </w:r>
      <w:r w:rsidR="00AB18B4">
        <w:t xml:space="preserve">the </w:t>
      </w:r>
      <w:r w:rsidR="00431933">
        <w:t>transaction involves the</w:t>
      </w:r>
      <w:r w:rsidR="00AB18B4">
        <w:t xml:space="preserve"> </w:t>
      </w:r>
      <w:r w:rsidR="00D77365">
        <w:t xml:space="preserve">existing managers </w:t>
      </w:r>
      <w:r w:rsidR="00AB18B4">
        <w:t xml:space="preserve">and management buy-in (MBI) when it </w:t>
      </w:r>
      <w:r w:rsidR="00431933">
        <w:t>involves</w:t>
      </w:r>
      <w:r w:rsidR="00AB18B4">
        <w:t xml:space="preserve"> </w:t>
      </w:r>
      <w:r w:rsidRPr="001C35FA">
        <w:t>a new management team.</w:t>
      </w:r>
      <w:r w:rsidR="005A2D2A">
        <w:t xml:space="preserve"> </w:t>
      </w:r>
      <w:r w:rsidRPr="001C35FA">
        <w:t>Following controversies in the 1980s about the adverse effects of some highly leveraged deals making the LBO term toxic, as well as some evolution in the types of deals being conducted, the market was relabeled the private equity and buyout market (Gilligan</w:t>
      </w:r>
      <w:r w:rsidR="008B1122" w:rsidRPr="001C35FA">
        <w:t xml:space="preserve"> and </w:t>
      </w:r>
      <w:r w:rsidRPr="001C35FA">
        <w:t xml:space="preserve">Wright, 2014). </w:t>
      </w:r>
    </w:p>
    <w:p w14:paraId="2BF7613F" w14:textId="77777777" w:rsidR="003C6EA3" w:rsidRDefault="00405533" w:rsidP="008530CE">
      <w:r w:rsidRPr="001C35FA">
        <w:lastRenderedPageBreak/>
        <w:t>The fundamental drivers of value generation</w:t>
      </w:r>
      <w:r w:rsidR="0067388A">
        <w:rPr>
          <w:rStyle w:val="FootnoteReference"/>
        </w:rPr>
        <w:footnoteReference w:id="1"/>
      </w:r>
      <w:r w:rsidRPr="001C35FA">
        <w:t xml:space="preserve"> emerged with th</w:t>
      </w:r>
      <w:r w:rsidR="004D43EC" w:rsidRPr="001C35FA">
        <w:t>e</w:t>
      </w:r>
      <w:r w:rsidRPr="001C35FA">
        <w:t xml:space="preserve"> first wave of buyouts in the mid-1970s to the 1980s. </w:t>
      </w:r>
      <w:r w:rsidR="003C6EA3">
        <w:t xml:space="preserve">In broad terms, there are </w:t>
      </w:r>
      <w:r w:rsidR="003C6EA3" w:rsidRPr="003C6EA3">
        <w:t xml:space="preserve">three principle mechanisms that add value: reductions of the opportunity cost of capital, increasing operating cash flows, and accelerating </w:t>
      </w:r>
      <w:r w:rsidR="003C6EA3">
        <w:t>financing</w:t>
      </w:r>
      <w:r w:rsidR="003C6EA3" w:rsidRPr="003C6EA3">
        <w:t xml:space="preserve"> payments</w:t>
      </w:r>
      <w:r w:rsidR="003C6EA3">
        <w:t>. However, these mechanisms provide little insight into how these increases in value can be achieved. Accordingly, studies have explored more fine-grained drivers of value creation.</w:t>
      </w:r>
    </w:p>
    <w:p w14:paraId="0CF33F52" w14:textId="18A246EE" w:rsidR="00833DA7" w:rsidRDefault="00405533" w:rsidP="008530CE">
      <w:r w:rsidRPr="001C35FA">
        <w:t>The various techniques for acquiring companies with substantial amounts of debt financing and benefitting from resulting tax shield bec</w:t>
      </w:r>
      <w:r w:rsidR="00D447AD">
        <w:t>a</w:t>
      </w:r>
      <w:r w:rsidRPr="001C35FA">
        <w:t xml:space="preserve">me known as financial engineering. </w:t>
      </w:r>
      <w:r w:rsidR="00833DA7" w:rsidRPr="00833DA7">
        <w:t xml:space="preserve">A particular form of arbitrage crucial in the early 1980s was to take advantage of the conglomerate discount. </w:t>
      </w:r>
      <w:r w:rsidR="00431933">
        <w:t>This</w:t>
      </w:r>
      <w:r w:rsidR="00833DA7" w:rsidRPr="00833DA7">
        <w:t xml:space="preserve"> term denoted the discount by which a public multi–business corporation was valued at a lower multiple than the combined value of its assets. By divesting assets and business units, investors could remove the discount and bene</w:t>
      </w:r>
      <w:r w:rsidR="00833DA7">
        <w:t>fit from the value appreciation.</w:t>
      </w:r>
    </w:p>
    <w:p w14:paraId="093B2038" w14:textId="2487D1B5" w:rsidR="00FD24EA" w:rsidRDefault="007E7873" w:rsidP="008530CE">
      <w:r w:rsidRPr="001C35FA">
        <w:t xml:space="preserve">Another early driver </w:t>
      </w:r>
      <w:r w:rsidR="008530CE" w:rsidRPr="001C35FA">
        <w:t>for improving buyout targets</w:t>
      </w:r>
      <w:r w:rsidRPr="001C35FA">
        <w:t xml:space="preserve"> </w:t>
      </w:r>
      <w:r w:rsidR="008530CE" w:rsidRPr="001C35FA">
        <w:t>bec</w:t>
      </w:r>
      <w:r w:rsidR="00D447AD">
        <w:t>a</w:t>
      </w:r>
      <w:r w:rsidR="008530CE" w:rsidRPr="001C35FA">
        <w:t xml:space="preserve">me </w:t>
      </w:r>
      <w:r w:rsidRPr="001C35FA">
        <w:t>known as corporate governance</w:t>
      </w:r>
      <w:r w:rsidR="00156DC9" w:rsidRPr="001C35FA">
        <w:t xml:space="preserve"> and involved the active involvement of investors, initially known as LBO </w:t>
      </w:r>
      <w:r w:rsidR="00FD24EA">
        <w:t>a</w:t>
      </w:r>
      <w:r w:rsidR="00156DC9" w:rsidRPr="001C35FA">
        <w:t>ssociations and subsequently private equity firms</w:t>
      </w:r>
      <w:r w:rsidR="00F0621E" w:rsidRPr="001C35FA">
        <w:t>.</w:t>
      </w:r>
      <w:r w:rsidR="00F76D9F" w:rsidRPr="001C35FA">
        <w:t xml:space="preserve"> Typically, private equity firms were general partners (GPs) in the closed end funds they raised from institutional investors (limited partners, LPs).</w:t>
      </w:r>
      <w:r w:rsidR="00F0621E" w:rsidRPr="001C35FA">
        <w:t xml:space="preserve"> This stream of research highlighted that </w:t>
      </w:r>
      <w:r w:rsidR="008530CE" w:rsidRPr="001C35FA">
        <w:t xml:space="preserve">corporate governance </w:t>
      </w:r>
      <w:r w:rsidR="00F0621E" w:rsidRPr="001C35FA">
        <w:t xml:space="preserve">can be used to reduce </w:t>
      </w:r>
      <w:r w:rsidR="008530CE" w:rsidRPr="001C35FA">
        <w:t>the costs associated with the agency problem (Jensen</w:t>
      </w:r>
      <w:r w:rsidR="008B1122" w:rsidRPr="001C35FA">
        <w:t xml:space="preserve"> and </w:t>
      </w:r>
      <w:r w:rsidR="008530CE" w:rsidRPr="001C35FA">
        <w:t>Meckling</w:t>
      </w:r>
      <w:r w:rsidR="00816CC5" w:rsidRPr="001C35FA">
        <w:t xml:space="preserve">, </w:t>
      </w:r>
      <w:r w:rsidR="008530CE" w:rsidRPr="001C35FA">
        <w:t>1976</w:t>
      </w:r>
      <w:r w:rsidR="00F367DB">
        <w:t>; Lowenstein, 1985</w:t>
      </w:r>
      <w:r w:rsidR="008530CE" w:rsidRPr="001C35FA">
        <w:t>).</w:t>
      </w:r>
    </w:p>
    <w:p w14:paraId="311EFBD7" w14:textId="4E0FE296" w:rsidR="00F47DDF" w:rsidRDefault="00F47DDF" w:rsidP="008530CE">
      <w:r w:rsidRPr="00BA0E55">
        <w:t>The value improvement</w:t>
      </w:r>
      <w:r w:rsidRPr="00F47DDF">
        <w:t xml:space="preserve"> potential was fuelled by the intent to mitigate the agency conflict through incentive realignment and by disposing accumulated cash flows (Jensen, 1989b; Kaplan, 1989a, 1989b). For instance, since buyouts are typically financed with substantial amounts of debt, they can function as a dividend substitute to dispose of the excess free cash flow (Jensen, 1989a). A central and related driver </w:t>
      </w:r>
      <w:r w:rsidR="00431933">
        <w:t>of</w:t>
      </w:r>
      <w:r w:rsidRPr="00F47DDF">
        <w:t xml:space="preserve"> the buyouts was the notion that the alleged lethargy that plagued the public </w:t>
      </w:r>
      <w:r w:rsidRPr="00F47DDF">
        <w:lastRenderedPageBreak/>
        <w:t xml:space="preserve">corporations in the 1970s, was due to a fundamental disconnect between ownership and management. The agency conflict appeared to be particularly prevalent in mature industries with low to moderate growth prospects. Since finance providers rarely have direct access to internal information of the firm, they thereby incur additional risk. For instance, when the incumbent management invest resources on projects with significantly higher risk than deemed acceptable by the investor. More broadly the moral hazard scenario can be expressed as a bet, where the downside risk has been transferred to the financial provider, while the </w:t>
      </w:r>
      <w:r>
        <w:t xml:space="preserve">upside remains with the </w:t>
      </w:r>
      <w:r w:rsidR="00431933">
        <w:t>actor making the bet</w:t>
      </w:r>
      <w:r>
        <w:t>.</w:t>
      </w:r>
    </w:p>
    <w:p w14:paraId="705948E0" w14:textId="17448FBD" w:rsidR="00F47DDF" w:rsidRDefault="00F47DDF" w:rsidP="008530CE">
      <w:r w:rsidRPr="00837711">
        <w:t>During a management</w:t>
      </w:r>
      <w:r w:rsidRPr="00F47DDF">
        <w:t xml:space="preserve"> buy-in </w:t>
      </w:r>
      <w:r w:rsidR="00525E06">
        <w:t>the</w:t>
      </w:r>
      <w:r w:rsidRPr="00F47DDF">
        <w:t xml:space="preserve"> management team raise the funds to </w:t>
      </w:r>
      <w:r w:rsidR="00525E06">
        <w:t>carry-out</w:t>
      </w:r>
      <w:r w:rsidRPr="00F47DDF">
        <w:t xml:space="preserve"> an acquisition. Typically, a combination of buyout fund capital and bank debt is used to acquire the firm. After the acquisition</w:t>
      </w:r>
      <w:r w:rsidR="00431933">
        <w:t>,</w:t>
      </w:r>
      <w:r w:rsidRPr="00F47DDF">
        <w:t xml:space="preserve"> the shares of the firm are owned by the new management</w:t>
      </w:r>
      <w:r w:rsidR="00431933">
        <w:t xml:space="preserve"> and the buyout fund</w:t>
      </w:r>
      <w:r w:rsidRPr="00F47DDF">
        <w:t>. The continuous cash-flows generated by the firm are used to serve debt amortizations. The new management and fund investors are remunerated during an exit.</w:t>
      </w:r>
    </w:p>
    <w:p w14:paraId="3C4FBCD7" w14:textId="4049E7D6" w:rsidR="001478F2" w:rsidRPr="001C35FA" w:rsidRDefault="008530CE" w:rsidP="008530CE">
      <w:r w:rsidRPr="001C35FA">
        <w:t>By the late 1980s the evidence was mounting that buyouts are associated with significant operating and productivity improvements (</w:t>
      </w:r>
      <w:r w:rsidR="004A0C85" w:rsidRPr="001C35FA">
        <w:t xml:space="preserve">e.g. </w:t>
      </w:r>
      <w:r w:rsidRPr="001C35FA">
        <w:t>Baker</w:t>
      </w:r>
      <w:r w:rsidR="008B1122" w:rsidRPr="001C35FA">
        <w:t xml:space="preserve"> and </w:t>
      </w:r>
      <w:r w:rsidRPr="001C35FA">
        <w:t>Wruck</w:t>
      </w:r>
      <w:r w:rsidR="00816CC5" w:rsidRPr="001C35FA">
        <w:t xml:space="preserve">, </w:t>
      </w:r>
      <w:r w:rsidRPr="001C35FA">
        <w:t>1989; Bull</w:t>
      </w:r>
      <w:r w:rsidR="00816CC5" w:rsidRPr="001C35FA">
        <w:t xml:space="preserve">, </w:t>
      </w:r>
      <w:r w:rsidRPr="001C35FA">
        <w:t>1989</w:t>
      </w:r>
      <w:r w:rsidR="004A0C85" w:rsidRPr="001C35FA">
        <w:t>; Kaplan</w:t>
      </w:r>
      <w:r w:rsidR="00816CC5" w:rsidRPr="001C35FA">
        <w:t xml:space="preserve">, </w:t>
      </w:r>
      <w:r w:rsidR="004A0C85" w:rsidRPr="001C35FA">
        <w:t>1989</w:t>
      </w:r>
      <w:r w:rsidRPr="001C35FA">
        <w:t>) and the techniques for achieving improvements bec</w:t>
      </w:r>
      <w:r w:rsidR="009C5C6B" w:rsidRPr="001C35FA">
        <w:t>a</w:t>
      </w:r>
      <w:r w:rsidRPr="001C35FA">
        <w:t xml:space="preserve">me known as </w:t>
      </w:r>
      <w:r w:rsidR="00405533" w:rsidRPr="001C35FA">
        <w:t>operational engineering</w:t>
      </w:r>
      <w:r w:rsidRPr="001C35FA">
        <w:t xml:space="preserve">. </w:t>
      </w:r>
      <w:r w:rsidR="004A0C85" w:rsidRPr="001C35FA">
        <w:t>From</w:t>
      </w:r>
      <w:r w:rsidRPr="001C35FA">
        <w:t xml:space="preserve"> the 1990s strategic redirection emerged as </w:t>
      </w:r>
      <w:r w:rsidR="00245CE7" w:rsidRPr="001C35FA">
        <w:t>a key driver</w:t>
      </w:r>
      <w:r w:rsidR="0081423C" w:rsidRPr="001C35FA">
        <w:t xml:space="preserve"> of the value creation through the alternatives focusing on the core and buy and build strateg</w:t>
      </w:r>
      <w:r w:rsidR="004A0C85" w:rsidRPr="001C35FA">
        <w:t xml:space="preserve">ies, as well as organic entrepreneurial </w:t>
      </w:r>
      <w:r w:rsidR="00B67999" w:rsidRPr="001C35FA">
        <w:t xml:space="preserve">and innovative </w:t>
      </w:r>
      <w:r w:rsidR="004A0C85" w:rsidRPr="001C35FA">
        <w:t>activities (Wright et al.</w:t>
      </w:r>
      <w:r w:rsidR="00816CC5" w:rsidRPr="001C35FA">
        <w:t xml:space="preserve">, </w:t>
      </w:r>
      <w:r w:rsidR="004A0C85" w:rsidRPr="001C35FA">
        <w:t>1992; Zahra</w:t>
      </w:r>
      <w:r w:rsidR="00816CC5" w:rsidRPr="001C35FA">
        <w:t xml:space="preserve">, </w:t>
      </w:r>
      <w:r w:rsidR="004A0C85" w:rsidRPr="001C35FA">
        <w:t>1995; Meuleman et al.</w:t>
      </w:r>
      <w:r w:rsidR="00816CC5" w:rsidRPr="001C35FA">
        <w:t xml:space="preserve">, </w:t>
      </w:r>
      <w:r w:rsidR="004A0C85" w:rsidRPr="001C35FA">
        <w:t>2009</w:t>
      </w:r>
      <w:r w:rsidR="00B67999" w:rsidRPr="001C35FA">
        <w:t xml:space="preserve">; </w:t>
      </w:r>
      <w:r w:rsidR="009C5C6B" w:rsidRPr="001C35FA">
        <w:t>Ughetto</w:t>
      </w:r>
      <w:r w:rsidR="00816CC5" w:rsidRPr="001C35FA">
        <w:t xml:space="preserve">, </w:t>
      </w:r>
      <w:r w:rsidR="009C5C6B" w:rsidRPr="001C35FA">
        <w:t>2010; Lerner et al.</w:t>
      </w:r>
      <w:r w:rsidR="00816CC5" w:rsidRPr="001C35FA">
        <w:t xml:space="preserve">, </w:t>
      </w:r>
      <w:r w:rsidR="009C5C6B" w:rsidRPr="001C35FA">
        <w:t xml:space="preserve">2011; </w:t>
      </w:r>
      <w:r w:rsidR="00B67999" w:rsidRPr="001C35FA">
        <w:t>Amess, et al.</w:t>
      </w:r>
      <w:r w:rsidR="00816CC5" w:rsidRPr="001C35FA">
        <w:t xml:space="preserve">, </w:t>
      </w:r>
      <w:r w:rsidR="00B67999" w:rsidRPr="001C35FA">
        <w:t>2015</w:t>
      </w:r>
      <w:r w:rsidR="004A0C85" w:rsidRPr="001C35FA">
        <w:t>)</w:t>
      </w:r>
      <w:r w:rsidR="00245CE7" w:rsidRPr="001C35FA">
        <w:t>.</w:t>
      </w:r>
      <w:r w:rsidRPr="001C35FA">
        <w:t xml:space="preserve"> </w:t>
      </w:r>
    </w:p>
    <w:p w14:paraId="5A0C5C4B" w14:textId="4941B5E4" w:rsidR="00D011DC" w:rsidRDefault="008C31C9">
      <w:r w:rsidRPr="00CF7500">
        <w:t xml:space="preserve">There are </w:t>
      </w:r>
      <w:r w:rsidR="00ED00AB">
        <w:t>s</w:t>
      </w:r>
      <w:r w:rsidR="00F367DB">
        <w:t>everal</w:t>
      </w:r>
      <w:r w:rsidRPr="00CF7500">
        <w:t xml:space="preserve"> reviews of buyout performance (e.g. Cumming</w:t>
      </w:r>
      <w:r w:rsidR="00103B21" w:rsidRPr="00103B21">
        <w:t>, Siegel, and Wright</w:t>
      </w:r>
      <w:r w:rsidR="00103B21">
        <w:t>, 2</w:t>
      </w:r>
      <w:r w:rsidRPr="00CF7500">
        <w:t>007</w:t>
      </w:r>
      <w:r w:rsidR="00653041">
        <w:t xml:space="preserve">; </w:t>
      </w:r>
      <w:r w:rsidR="00653041" w:rsidRPr="00833567">
        <w:t>Wright, Gilligan and Amess, 2009</w:t>
      </w:r>
      <w:r w:rsidR="00443274" w:rsidRPr="001C35FA">
        <w:t>),</w:t>
      </w:r>
      <w:r w:rsidR="002B0164" w:rsidRPr="001C35FA">
        <w:t xml:space="preserve"> leverage buyouts (Renneboog</w:t>
      </w:r>
      <w:r w:rsidR="008B1122" w:rsidRPr="001C35FA">
        <w:t xml:space="preserve"> and </w:t>
      </w:r>
      <w:r w:rsidR="00DD57C8" w:rsidRPr="00DD57C8">
        <w:t>Vansteenkiste</w:t>
      </w:r>
      <w:r w:rsidR="002B0164" w:rsidRPr="001C35FA">
        <w:t xml:space="preserve"> 2017</w:t>
      </w:r>
      <w:r w:rsidRPr="00CF7500">
        <w:t>)</w:t>
      </w:r>
      <w:r w:rsidR="00653041">
        <w:t xml:space="preserve">, </w:t>
      </w:r>
      <w:r w:rsidR="00443274" w:rsidRPr="001C35FA">
        <w:t>the early development of the buyout literature (Berg</w:t>
      </w:r>
      <w:r w:rsidR="008B1122" w:rsidRPr="001C35FA">
        <w:t xml:space="preserve"> and </w:t>
      </w:r>
      <w:r w:rsidR="00443274" w:rsidRPr="001C35FA">
        <w:t>Gottschalg, 2005)</w:t>
      </w:r>
      <w:r w:rsidR="00653041">
        <w:t xml:space="preserve"> and of employee-related aspects (</w:t>
      </w:r>
      <w:r w:rsidR="00653041" w:rsidRPr="00833567">
        <w:t>Wood and Wright, 2009</w:t>
      </w:r>
      <w:r w:rsidR="00653041">
        <w:t>)</w:t>
      </w:r>
      <w:r w:rsidR="00443274" w:rsidRPr="001C35FA">
        <w:t xml:space="preserve">. However, </w:t>
      </w:r>
      <w:r w:rsidRPr="00CF7500">
        <w:t>we lack a structured framework to synthesize the value creation</w:t>
      </w:r>
      <w:r w:rsidR="008A6542" w:rsidRPr="001C35FA">
        <w:t xml:space="preserve"> </w:t>
      </w:r>
      <w:r w:rsidR="00D011DC">
        <w:t>drivers, several of which have been identified only recently. Moreover</w:t>
      </w:r>
      <w:r w:rsidR="008A6542" w:rsidRPr="001C35FA">
        <w:t xml:space="preserve">, </w:t>
      </w:r>
      <w:r w:rsidR="00D011DC">
        <w:t xml:space="preserve">new </w:t>
      </w:r>
      <w:r w:rsidR="008A6542" w:rsidRPr="001C35FA">
        <w:t>value creation</w:t>
      </w:r>
      <w:r w:rsidR="00D011DC">
        <w:t xml:space="preserve"> drivers have </w:t>
      </w:r>
      <w:r w:rsidR="00D447AD">
        <w:t>emerged</w:t>
      </w:r>
      <w:r w:rsidR="00D011DC">
        <w:t xml:space="preserve"> recently in fields </w:t>
      </w:r>
      <w:r w:rsidR="008A6542" w:rsidRPr="001C35FA">
        <w:t>other than finance</w:t>
      </w:r>
      <w:r w:rsidR="00D011DC">
        <w:t xml:space="preserve"> </w:t>
      </w:r>
      <w:r w:rsidR="00546FAC">
        <w:t>but</w:t>
      </w:r>
      <w:r w:rsidR="00D011DC">
        <w:t xml:space="preserve"> have not been included in </w:t>
      </w:r>
      <w:r w:rsidR="00DD57C8">
        <w:t>e</w:t>
      </w:r>
      <w:r w:rsidR="00D011DC">
        <w:t>xisting frameworks.</w:t>
      </w:r>
    </w:p>
    <w:p w14:paraId="3FB73CDE" w14:textId="39C24AF9" w:rsidR="00E6782F" w:rsidRDefault="00D011DC">
      <w:r>
        <w:t xml:space="preserve"> </w:t>
      </w:r>
      <w:r w:rsidR="004C3B05" w:rsidRPr="003900C7">
        <w:t>In an effort to define the state of the art o</w:t>
      </w:r>
      <w:r w:rsidR="00A5398D">
        <w:t>f</w:t>
      </w:r>
      <w:r w:rsidR="004C3B05" w:rsidRPr="003900C7">
        <w:t xml:space="preserve"> this literature, </w:t>
      </w:r>
      <w:r w:rsidR="004C3B05" w:rsidRPr="001C35FA">
        <w:t>we specifically review the body of papers on value creation in buyout investments and propose an overall framework for mapping the heterogeneous opportunities to create value.</w:t>
      </w:r>
      <w:r w:rsidR="00CF2CA8" w:rsidRPr="001C35FA">
        <w:t xml:space="preserve"> Papers included in this review were searched by using the following keywords: </w:t>
      </w:r>
      <w:r w:rsidR="00746062" w:rsidRPr="001C35FA">
        <w:t xml:space="preserve">Buyouts, Private Equity, Value Creation, Portfolio Firms, LBO, MBO, </w:t>
      </w:r>
      <w:r w:rsidR="00CC2A26" w:rsidRPr="001C35FA">
        <w:t>MBI</w:t>
      </w:r>
      <w:r w:rsidR="00CF2CA8" w:rsidRPr="001C35FA">
        <w:t xml:space="preserve">. </w:t>
      </w:r>
      <w:r w:rsidR="00DB6F10" w:rsidRPr="001C35FA">
        <w:t xml:space="preserve">As papers on private equity have appeared in a wide range of journals </w:t>
      </w:r>
      <w:r w:rsidR="00C53038" w:rsidRPr="001C35FA">
        <w:t>across</w:t>
      </w:r>
      <w:r w:rsidR="00DB6F10" w:rsidRPr="001C35FA">
        <w:t xml:space="preserve"> a number of fields including finance, strategy, entrepreneurship, economics, etc. we adopted a wide search rather than restricting it to a small number of journals</w:t>
      </w:r>
      <w:r w:rsidR="005E6FFE">
        <w:t xml:space="preserve"> in one or other field</w:t>
      </w:r>
      <w:r w:rsidR="00DB6F10" w:rsidRPr="001C35FA">
        <w:t xml:space="preserve">. </w:t>
      </w:r>
      <w:r w:rsidR="00CF2CA8" w:rsidRPr="001C35FA">
        <w:t>As for the time frame, we do not impose any constrain</w:t>
      </w:r>
      <w:r w:rsidR="005E6FFE">
        <w:t>t</w:t>
      </w:r>
      <w:r w:rsidR="00CF2CA8" w:rsidRPr="001C35FA">
        <w:t xml:space="preserve"> in our search. Afterwards, each of the papers was subject to an in-depth reading and discussion process to determine whether or not it dealt with value creation in </w:t>
      </w:r>
      <w:r w:rsidR="00BA5E2B" w:rsidRPr="001C35FA">
        <w:t>buyout investments</w:t>
      </w:r>
      <w:r w:rsidR="00CF2CA8" w:rsidRPr="001C35FA">
        <w:t>.</w:t>
      </w:r>
    </w:p>
    <w:p w14:paraId="73A6DD26" w14:textId="7CCED295" w:rsidR="00676F76" w:rsidRDefault="00944E18" w:rsidP="00CF7500">
      <w:pPr>
        <w:rPr>
          <w:b/>
        </w:rPr>
      </w:pPr>
      <w:r w:rsidRPr="001C35FA">
        <w:t xml:space="preserve">Based on our </w:t>
      </w:r>
      <w:r w:rsidR="00546FAC">
        <w:t>wide-ranging</w:t>
      </w:r>
      <w:r w:rsidRPr="001C35FA">
        <w:t xml:space="preserve"> literature review, w</w:t>
      </w:r>
      <w:r w:rsidR="007A3FCB" w:rsidRPr="001C35FA">
        <w:t xml:space="preserve">e identify </w:t>
      </w:r>
      <w:r w:rsidR="00B6346D" w:rsidRPr="001C35FA">
        <w:t xml:space="preserve">seven </w:t>
      </w:r>
      <w:r w:rsidR="00C00883" w:rsidRPr="001C35FA">
        <w:t xml:space="preserve">distinct </w:t>
      </w:r>
      <w:r w:rsidR="007A3FCB" w:rsidRPr="001C35FA">
        <w:t xml:space="preserve">value creation </w:t>
      </w:r>
      <w:r w:rsidR="00C00883" w:rsidRPr="001C35FA">
        <w:t xml:space="preserve">drivers: the </w:t>
      </w:r>
      <w:r w:rsidR="00801B6F" w:rsidRPr="001C35FA">
        <w:t xml:space="preserve">financial, operational, </w:t>
      </w:r>
      <w:r w:rsidR="00C00883" w:rsidRPr="001C35FA">
        <w:t xml:space="preserve">strategic, </w:t>
      </w:r>
      <w:r w:rsidR="00E02ABE">
        <w:t>governance</w:t>
      </w:r>
      <w:r w:rsidR="00C00883" w:rsidRPr="001C35FA">
        <w:t xml:space="preserve">, cultural, commercial and </w:t>
      </w:r>
      <w:r w:rsidR="00E02ABE">
        <w:t>institutional</w:t>
      </w:r>
      <w:r w:rsidR="00E02ABE" w:rsidRPr="001C35FA">
        <w:t xml:space="preserve"> </w:t>
      </w:r>
      <w:r w:rsidR="00801B6F" w:rsidRPr="001C35FA">
        <w:t xml:space="preserve">drivers. </w:t>
      </w:r>
      <w:r w:rsidR="005C028F" w:rsidRPr="001C35FA">
        <w:t>The</w:t>
      </w:r>
      <w:r w:rsidR="008D7D9F" w:rsidRPr="001C35FA">
        <w:t xml:space="preserve"> identification of these </w:t>
      </w:r>
      <w:r w:rsidR="005C028F" w:rsidRPr="001C35FA">
        <w:t xml:space="preserve">drivers </w:t>
      </w:r>
      <w:r w:rsidR="00CA3F91" w:rsidRPr="001C35FA">
        <w:t>allow</w:t>
      </w:r>
      <w:r w:rsidR="008D7D9F" w:rsidRPr="001C35FA">
        <w:t>s</w:t>
      </w:r>
      <w:r w:rsidR="00CA3F91" w:rsidRPr="001C35FA">
        <w:t xml:space="preserve"> us to </w:t>
      </w:r>
      <w:r w:rsidR="008D7D9F" w:rsidRPr="001C35FA">
        <w:t xml:space="preserve">capture and systematize </w:t>
      </w:r>
      <w:r w:rsidR="005C028F" w:rsidRPr="001C35FA">
        <w:t xml:space="preserve">the findings </w:t>
      </w:r>
      <w:r w:rsidR="00A31B6D" w:rsidRPr="001C35FA">
        <w:t xml:space="preserve">of </w:t>
      </w:r>
      <w:r w:rsidR="007B2414" w:rsidRPr="001C35FA">
        <w:t xml:space="preserve">all </w:t>
      </w:r>
      <w:r w:rsidR="00D011DC">
        <w:t>fields</w:t>
      </w:r>
      <w:r w:rsidR="007B2414" w:rsidRPr="001C35FA">
        <w:t xml:space="preserve"> of research</w:t>
      </w:r>
      <w:r w:rsidR="00D011DC">
        <w:t>, even those that have not been included in existing frameworks.</w:t>
      </w:r>
      <w:r w:rsidR="008D7D9F" w:rsidRPr="001C35FA">
        <w:t xml:space="preserve"> The finding</w:t>
      </w:r>
      <w:r w:rsidR="004C05EF" w:rsidRPr="001C35FA">
        <w:t>s</w:t>
      </w:r>
      <w:r w:rsidR="008D7D9F" w:rsidRPr="001C35FA">
        <w:t xml:space="preserve"> of ea</w:t>
      </w:r>
      <w:r w:rsidR="00E118E5" w:rsidRPr="001C35FA">
        <w:t xml:space="preserve">ch paper </w:t>
      </w:r>
      <w:r w:rsidR="004C05EF" w:rsidRPr="001C35FA">
        <w:t xml:space="preserve">are </w:t>
      </w:r>
      <w:r w:rsidR="00E118E5" w:rsidRPr="001C35FA">
        <w:t>first assigned to</w:t>
      </w:r>
      <w:r w:rsidR="008550C1" w:rsidRPr="001C35FA">
        <w:t xml:space="preserve"> one</w:t>
      </w:r>
      <w:r w:rsidR="00E118E5" w:rsidRPr="001C35FA">
        <w:t xml:space="preserve"> of the </w:t>
      </w:r>
      <w:r w:rsidR="008B1122" w:rsidRPr="001C35FA">
        <w:t xml:space="preserve">seven </w:t>
      </w:r>
      <w:r w:rsidR="008D7D9F" w:rsidRPr="001C35FA">
        <w:t>driver</w:t>
      </w:r>
      <w:r w:rsidR="00E118E5" w:rsidRPr="001C35FA">
        <w:t>s</w:t>
      </w:r>
      <w:r w:rsidR="008D7D9F" w:rsidRPr="001C35FA">
        <w:t xml:space="preserve"> and then to </w:t>
      </w:r>
      <w:r w:rsidR="008550C1" w:rsidRPr="001C35FA">
        <w:t xml:space="preserve">one of </w:t>
      </w:r>
      <w:r w:rsidR="00A31B6D" w:rsidRPr="001C35FA">
        <w:t xml:space="preserve">the </w:t>
      </w:r>
      <w:r w:rsidR="008D7D9F" w:rsidRPr="001C35FA">
        <w:t>sub-driver</w:t>
      </w:r>
      <w:r w:rsidR="00A31B6D" w:rsidRPr="001C35FA">
        <w:t xml:space="preserve">s, which are </w:t>
      </w:r>
      <w:r w:rsidR="004C05EF" w:rsidRPr="001C35FA">
        <w:t>narrower</w:t>
      </w:r>
      <w:r w:rsidR="00A31B6D" w:rsidRPr="001C35FA">
        <w:t xml:space="preserve"> classifications containing the findings of </w:t>
      </w:r>
      <w:r w:rsidR="005425C6" w:rsidRPr="001C35FA">
        <w:t>papers</w:t>
      </w:r>
      <w:r w:rsidR="00A31B6D" w:rsidRPr="001C35FA">
        <w:t xml:space="preserve"> </w:t>
      </w:r>
      <w:r w:rsidR="005425C6" w:rsidRPr="001C35FA">
        <w:t xml:space="preserve">related one another. </w:t>
      </w:r>
      <w:r w:rsidR="00372BFE">
        <w:t xml:space="preserve">Overall, we identify </w:t>
      </w:r>
      <w:r w:rsidR="0012547C">
        <w:t>3</w:t>
      </w:r>
      <w:r w:rsidR="00372BFE">
        <w:t>2 sub-drivers divided across the different drivers. Figure 1 provides an overview of all drivers and sub-drivers.</w:t>
      </w:r>
      <w:r w:rsidR="00F367DB">
        <w:t xml:space="preserve"> Note that there are potentially overlaps between subdrivers, which we also discuss below. </w:t>
      </w:r>
    </w:p>
    <w:p w14:paraId="637EFD1A" w14:textId="77777777" w:rsidR="00AE69E1" w:rsidRPr="003900C7" w:rsidRDefault="00AE69E1">
      <w:pPr>
        <w:spacing w:line="240" w:lineRule="auto"/>
        <w:ind w:firstLine="0"/>
        <w:jc w:val="left"/>
        <w:rPr>
          <w:b/>
        </w:rPr>
      </w:pPr>
      <w:r w:rsidRPr="001C35FA">
        <w:br w:type="page"/>
      </w:r>
    </w:p>
    <w:p w14:paraId="19C0C9DB" w14:textId="20A9613E" w:rsidR="00DB0743" w:rsidRPr="003900C7" w:rsidRDefault="00372BFE" w:rsidP="00C906B1">
      <w:pPr>
        <w:pStyle w:val="TableNumber"/>
        <w:ind w:firstLine="0"/>
        <w:jc w:val="both"/>
        <w:rPr>
          <w:szCs w:val="24"/>
        </w:rPr>
      </w:pPr>
      <w:r>
        <w:rPr>
          <w:szCs w:val="24"/>
        </w:rPr>
        <w:t xml:space="preserve">Figure </w:t>
      </w:r>
      <w:r w:rsidR="00DB0743" w:rsidRPr="003900C7">
        <w:rPr>
          <w:szCs w:val="24"/>
        </w:rPr>
        <w:t xml:space="preserve">I. </w:t>
      </w:r>
      <w:r w:rsidR="00D011DC">
        <w:rPr>
          <w:szCs w:val="24"/>
        </w:rPr>
        <w:t>Value creation drivers and sub-drivers</w:t>
      </w:r>
    </w:p>
    <w:tbl>
      <w:tblPr>
        <w:tblStyle w:val="MediumGrid31"/>
        <w:tblW w:w="9771" w:type="dxa"/>
        <w:tblBorders>
          <w:insideH w:val="single" w:sz="8" w:space="0" w:color="FFFFFF" w:themeColor="background1"/>
          <w:insideV w:val="single" w:sz="8" w:space="0" w:color="FFFFFF" w:themeColor="background1"/>
        </w:tblBorders>
        <w:tblLayout w:type="fixed"/>
        <w:tblCellMar>
          <w:top w:w="28" w:type="dxa"/>
        </w:tblCellMar>
        <w:tblLook w:val="0600" w:firstRow="0" w:lastRow="0" w:firstColumn="0" w:lastColumn="0" w:noHBand="1" w:noVBand="1"/>
      </w:tblPr>
      <w:tblGrid>
        <w:gridCol w:w="3123"/>
        <w:gridCol w:w="3173"/>
        <w:gridCol w:w="3475"/>
      </w:tblGrid>
      <w:tr w:rsidR="00EF671C" w:rsidRPr="001C35FA" w14:paraId="292557C3" w14:textId="77777777" w:rsidTr="00CF7500">
        <w:trPr>
          <w:trHeight w:val="567"/>
        </w:trPr>
        <w:tc>
          <w:tcPr>
            <w:tcW w:w="3123" w:type="dxa"/>
            <w:shd w:val="clear" w:color="auto" w:fill="C6D9F1"/>
            <w:tcMar>
              <w:left w:w="57" w:type="dxa"/>
              <w:right w:w="57" w:type="dxa"/>
            </w:tcMar>
          </w:tcPr>
          <w:p w14:paraId="4DE072AC" w14:textId="47CDEFDC" w:rsidR="00EF671C" w:rsidRPr="00CF7500" w:rsidRDefault="008C31C9" w:rsidP="00500511">
            <w:pPr>
              <w:tabs>
                <w:tab w:val="left" w:pos="567"/>
              </w:tabs>
              <w:spacing w:before="120" w:line="240" w:lineRule="auto"/>
              <w:ind w:left="57" w:right="-533"/>
              <w:rPr>
                <w:rFonts w:ascii="Times New Roman" w:hAnsi="Times New Roman" w:cs="Times New Roman"/>
                <w:b/>
                <w:color w:val="262626" w:themeColor="text1" w:themeTint="D9"/>
                <w:sz w:val="20"/>
                <w:szCs w:val="20"/>
              </w:rPr>
            </w:pPr>
            <w:r w:rsidRPr="00CF7500">
              <w:rPr>
                <w:rFonts w:ascii="Times New Roman" w:hAnsi="Times New Roman"/>
                <w:b/>
                <w:color w:val="262626" w:themeColor="text1" w:themeTint="D9"/>
                <w:sz w:val="20"/>
                <w:szCs w:val="20"/>
              </w:rPr>
              <w:t>1.  FINANCIAL DRIVER</w:t>
            </w:r>
            <w:r w:rsidR="008C3C09">
              <w:rPr>
                <w:rFonts w:ascii="Times New Roman" w:eastAsia="Times New Roman" w:hAnsi="Times New Roman" w:cs="Times New Roman"/>
                <w:b/>
                <w:color w:val="262626" w:themeColor="text1" w:themeTint="D9"/>
                <w:sz w:val="20"/>
                <w:szCs w:val="20"/>
              </w:rPr>
              <w:t>S</w:t>
            </w:r>
          </w:p>
        </w:tc>
        <w:tc>
          <w:tcPr>
            <w:tcW w:w="3173" w:type="dxa"/>
            <w:shd w:val="clear" w:color="auto" w:fill="C6D9F1"/>
          </w:tcPr>
          <w:p w14:paraId="369C0C92" w14:textId="031B1CF7" w:rsidR="00EF671C" w:rsidRPr="00CF7500" w:rsidRDefault="008C31C9" w:rsidP="00500511">
            <w:pPr>
              <w:tabs>
                <w:tab w:val="left" w:pos="567"/>
              </w:tabs>
              <w:spacing w:before="120" w:line="240" w:lineRule="auto"/>
              <w:rPr>
                <w:rFonts w:ascii="Times New Roman" w:hAnsi="Times New Roman" w:cs="Times New Roman"/>
                <w:b/>
                <w:color w:val="262626" w:themeColor="text1" w:themeTint="D9"/>
                <w:sz w:val="20"/>
                <w:szCs w:val="20"/>
              </w:rPr>
            </w:pPr>
            <w:r w:rsidRPr="00CF7500">
              <w:rPr>
                <w:rFonts w:ascii="Times New Roman" w:hAnsi="Times New Roman"/>
                <w:b/>
                <w:color w:val="262626" w:themeColor="text1" w:themeTint="D9"/>
                <w:sz w:val="20"/>
                <w:szCs w:val="20"/>
              </w:rPr>
              <w:t>4.  GOVERNANCE DRIVER</w:t>
            </w:r>
            <w:r w:rsidR="008C3C09">
              <w:rPr>
                <w:rFonts w:ascii="Times New Roman" w:eastAsia="Times New Roman" w:hAnsi="Times New Roman" w:cs="Times New Roman"/>
                <w:b/>
                <w:color w:val="262626" w:themeColor="text1" w:themeTint="D9"/>
                <w:sz w:val="20"/>
                <w:szCs w:val="20"/>
              </w:rPr>
              <w:t>S</w:t>
            </w:r>
          </w:p>
        </w:tc>
        <w:tc>
          <w:tcPr>
            <w:tcW w:w="3475" w:type="dxa"/>
            <w:shd w:val="clear" w:color="auto" w:fill="C6D9F1"/>
          </w:tcPr>
          <w:p w14:paraId="1B9B1FF2" w14:textId="18B67655" w:rsidR="00EF671C" w:rsidRPr="00CF7500" w:rsidRDefault="008C31C9" w:rsidP="00500511">
            <w:pPr>
              <w:tabs>
                <w:tab w:val="left" w:pos="567"/>
              </w:tabs>
              <w:spacing w:before="120" w:line="240" w:lineRule="auto"/>
              <w:ind w:right="57"/>
              <w:rPr>
                <w:rFonts w:ascii="Times New Roman" w:hAnsi="Times New Roman" w:cs="Times New Roman"/>
                <w:b/>
                <w:color w:val="262626" w:themeColor="text1" w:themeTint="D9"/>
                <w:sz w:val="20"/>
                <w:szCs w:val="20"/>
              </w:rPr>
            </w:pPr>
            <w:r w:rsidRPr="00CF7500">
              <w:rPr>
                <w:rFonts w:ascii="Times New Roman" w:hAnsi="Times New Roman"/>
                <w:color w:val="262626" w:themeColor="text1" w:themeTint="D9"/>
                <w:sz w:val="20"/>
                <w:szCs w:val="20"/>
              </w:rPr>
              <w:br w:type="page"/>
            </w:r>
            <w:r w:rsidRPr="00CF7500">
              <w:rPr>
                <w:rFonts w:ascii="Times New Roman" w:hAnsi="Times New Roman"/>
                <w:b/>
                <w:color w:val="262626" w:themeColor="text1" w:themeTint="D9"/>
                <w:sz w:val="20"/>
                <w:szCs w:val="20"/>
              </w:rPr>
              <w:t>6.  COMMERCIAL DRIVER</w:t>
            </w:r>
            <w:r w:rsidR="008C3C09">
              <w:rPr>
                <w:rFonts w:ascii="Times New Roman" w:eastAsia="Times New Roman" w:hAnsi="Times New Roman" w:cs="Times New Roman"/>
                <w:b/>
                <w:color w:val="262626" w:themeColor="text1" w:themeTint="D9"/>
                <w:sz w:val="20"/>
                <w:szCs w:val="20"/>
              </w:rPr>
              <w:t>S</w:t>
            </w:r>
          </w:p>
        </w:tc>
      </w:tr>
      <w:tr w:rsidR="00EF671C" w:rsidRPr="001C35FA" w14:paraId="3700FEFD" w14:textId="77777777" w:rsidTr="00CF7500">
        <w:trPr>
          <w:trHeight w:val="567"/>
        </w:trPr>
        <w:tc>
          <w:tcPr>
            <w:tcW w:w="3123" w:type="dxa"/>
            <w:shd w:val="clear" w:color="auto" w:fill="D9D9D9" w:themeFill="background1" w:themeFillShade="D9"/>
            <w:tcMar>
              <w:left w:w="57" w:type="dxa"/>
              <w:right w:w="57" w:type="dxa"/>
            </w:tcMar>
          </w:tcPr>
          <w:p w14:paraId="18A4AD4F" w14:textId="77777777" w:rsidR="00676F76" w:rsidRPr="00CF7500" w:rsidRDefault="008C31C9" w:rsidP="00CF7500">
            <w:pPr>
              <w:pStyle w:val="Column-A"/>
              <w:numPr>
                <w:ilvl w:val="0"/>
                <w:numId w:val="3"/>
              </w:numPr>
              <w:spacing w:before="0" w:after="0" w:line="240" w:lineRule="auto"/>
              <w:ind w:left="284"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Financial Expertise and Contact Networks</w:t>
            </w:r>
          </w:p>
        </w:tc>
        <w:tc>
          <w:tcPr>
            <w:tcW w:w="3173" w:type="dxa"/>
            <w:shd w:val="clear" w:color="auto" w:fill="D9D9D9" w:themeFill="background1" w:themeFillShade="D9"/>
          </w:tcPr>
          <w:p w14:paraId="00995E89" w14:textId="77777777" w:rsidR="00676F76" w:rsidRPr="00CF7500" w:rsidRDefault="008C31C9" w:rsidP="00CF7500">
            <w:pPr>
              <w:pStyle w:val="TableText"/>
              <w:numPr>
                <w:ilvl w:val="0"/>
                <w:numId w:val="7"/>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The GP Effect: Experience and Expertise Matters</w:t>
            </w:r>
          </w:p>
        </w:tc>
        <w:tc>
          <w:tcPr>
            <w:tcW w:w="3475" w:type="dxa"/>
            <w:shd w:val="clear" w:color="auto" w:fill="D9D9D9" w:themeFill="background1" w:themeFillShade="D9"/>
          </w:tcPr>
          <w:p w14:paraId="16CC4F0A" w14:textId="77777777" w:rsidR="00676F76" w:rsidRPr="00CF7500" w:rsidRDefault="008C31C9" w:rsidP="00CF7500">
            <w:pPr>
              <w:pStyle w:val="TableText"/>
              <w:numPr>
                <w:ilvl w:val="0"/>
                <w:numId w:val="9"/>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Proprietary Deal Flow</w:t>
            </w:r>
          </w:p>
        </w:tc>
      </w:tr>
      <w:tr w:rsidR="005D174E" w:rsidRPr="001C35FA" w14:paraId="71DBA051" w14:textId="77777777" w:rsidTr="00CF7500">
        <w:trPr>
          <w:trHeight w:val="567"/>
        </w:trPr>
        <w:tc>
          <w:tcPr>
            <w:tcW w:w="3123" w:type="dxa"/>
            <w:shd w:val="clear" w:color="auto" w:fill="D9D9D9" w:themeFill="background1" w:themeFillShade="D9"/>
            <w:tcMar>
              <w:left w:w="57" w:type="dxa"/>
              <w:right w:w="57" w:type="dxa"/>
            </w:tcMar>
          </w:tcPr>
          <w:p w14:paraId="3C42F269" w14:textId="77777777" w:rsidR="00676F76" w:rsidRPr="00CF7500" w:rsidRDefault="008C31C9" w:rsidP="00CF7500">
            <w:pPr>
              <w:pStyle w:val="Column-A"/>
              <w:numPr>
                <w:ilvl w:val="0"/>
                <w:numId w:val="3"/>
              </w:numPr>
              <w:spacing w:before="0" w:after="0" w:line="240" w:lineRule="auto"/>
              <w:ind w:left="284"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Debt Market Cycles: Mispricing and Overheating</w:t>
            </w:r>
          </w:p>
        </w:tc>
        <w:tc>
          <w:tcPr>
            <w:tcW w:w="3173" w:type="dxa"/>
            <w:shd w:val="clear" w:color="auto" w:fill="D9D9D9" w:themeFill="background1" w:themeFillShade="D9"/>
          </w:tcPr>
          <w:p w14:paraId="6F5A74AB" w14:textId="2AE64CB5" w:rsidR="00676F76" w:rsidRPr="00CF7500" w:rsidRDefault="008C31C9" w:rsidP="00CF7500">
            <w:pPr>
              <w:pStyle w:val="TableText"/>
              <w:numPr>
                <w:ilvl w:val="0"/>
                <w:numId w:val="7"/>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Reducing Agency Costs: Incentiv</w:t>
            </w:r>
            <w:r w:rsidR="00665DAD">
              <w:rPr>
                <w:rFonts w:ascii="Times New Roman" w:hAnsi="Times New Roman" w:cs="Times New Roman"/>
                <w:color w:val="262626" w:themeColor="text1" w:themeTint="D9"/>
                <w:sz w:val="20"/>
                <w:szCs w:val="20"/>
              </w:rPr>
              <w:t>iz</w:t>
            </w:r>
            <w:r w:rsidRPr="00CF7500">
              <w:rPr>
                <w:rFonts w:ascii="Times New Roman" w:hAnsi="Times New Roman" w:cs="Times New Roman"/>
                <w:color w:val="262626" w:themeColor="text1" w:themeTint="D9"/>
                <w:sz w:val="20"/>
                <w:szCs w:val="20"/>
              </w:rPr>
              <w:t>ation and Interest Realignment</w:t>
            </w:r>
          </w:p>
        </w:tc>
        <w:tc>
          <w:tcPr>
            <w:tcW w:w="3475" w:type="dxa"/>
            <w:shd w:val="clear" w:color="auto" w:fill="D9D9D9" w:themeFill="background1" w:themeFillShade="D9"/>
          </w:tcPr>
          <w:p w14:paraId="7C3AABBE" w14:textId="77777777" w:rsidR="00676F76" w:rsidRPr="00CF7500" w:rsidRDefault="008C31C9" w:rsidP="00CF7500">
            <w:pPr>
              <w:pStyle w:val="TableText"/>
              <w:numPr>
                <w:ilvl w:val="0"/>
                <w:numId w:val="9"/>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Deal Making Expertise</w:t>
            </w:r>
          </w:p>
        </w:tc>
      </w:tr>
      <w:tr w:rsidR="005D174E" w:rsidRPr="001C35FA" w14:paraId="408881FF" w14:textId="77777777" w:rsidTr="00CF7500">
        <w:trPr>
          <w:trHeight w:val="567"/>
        </w:trPr>
        <w:tc>
          <w:tcPr>
            <w:tcW w:w="3123" w:type="dxa"/>
            <w:shd w:val="clear" w:color="auto" w:fill="D9D9D9" w:themeFill="background1" w:themeFillShade="D9"/>
            <w:tcMar>
              <w:left w:w="57" w:type="dxa"/>
              <w:right w:w="57" w:type="dxa"/>
            </w:tcMar>
          </w:tcPr>
          <w:p w14:paraId="11A22CDA" w14:textId="77777777" w:rsidR="00676F76" w:rsidRPr="00CF7500" w:rsidRDefault="008C31C9" w:rsidP="00CF7500">
            <w:pPr>
              <w:pStyle w:val="Column-A"/>
              <w:numPr>
                <w:ilvl w:val="0"/>
                <w:numId w:val="3"/>
              </w:numPr>
              <w:spacing w:before="0" w:after="0" w:line="240" w:lineRule="auto"/>
              <w:ind w:left="284"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Alleviating Capital Market Constraints</w:t>
            </w:r>
          </w:p>
        </w:tc>
        <w:tc>
          <w:tcPr>
            <w:tcW w:w="3173" w:type="dxa"/>
            <w:shd w:val="clear" w:color="auto" w:fill="D9D9D9" w:themeFill="background1" w:themeFillShade="D9"/>
          </w:tcPr>
          <w:p w14:paraId="159F708E" w14:textId="2A55F6EB" w:rsidR="00676F76" w:rsidRPr="00CF7500" w:rsidRDefault="008C31C9" w:rsidP="00CF7500">
            <w:pPr>
              <w:pStyle w:val="TableText"/>
              <w:numPr>
                <w:ilvl w:val="0"/>
                <w:numId w:val="7"/>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Restructuring the Board of Directors</w:t>
            </w:r>
          </w:p>
        </w:tc>
        <w:tc>
          <w:tcPr>
            <w:tcW w:w="3475" w:type="dxa"/>
            <w:shd w:val="clear" w:color="auto" w:fill="D9D9D9" w:themeFill="background1" w:themeFillShade="D9"/>
          </w:tcPr>
          <w:p w14:paraId="20ADA465" w14:textId="77777777" w:rsidR="00676F76" w:rsidRPr="00CF7500" w:rsidRDefault="008C31C9" w:rsidP="00CF7500">
            <w:pPr>
              <w:pStyle w:val="TableText"/>
              <w:numPr>
                <w:ilvl w:val="0"/>
                <w:numId w:val="9"/>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Target Firm Identification and Investment Criteria</w:t>
            </w:r>
          </w:p>
        </w:tc>
      </w:tr>
      <w:tr w:rsidR="005D174E" w:rsidRPr="001C35FA" w14:paraId="5115D025" w14:textId="77777777" w:rsidTr="00CF7500">
        <w:trPr>
          <w:trHeight w:val="567"/>
        </w:trPr>
        <w:tc>
          <w:tcPr>
            <w:tcW w:w="3123" w:type="dxa"/>
            <w:shd w:val="clear" w:color="auto" w:fill="D9D9D9" w:themeFill="background1" w:themeFillShade="D9"/>
            <w:tcMar>
              <w:left w:w="57" w:type="dxa"/>
              <w:right w:w="57" w:type="dxa"/>
            </w:tcMar>
          </w:tcPr>
          <w:p w14:paraId="4FEFDC2B" w14:textId="77777777" w:rsidR="00676F76" w:rsidRPr="00CF7500" w:rsidRDefault="008C31C9" w:rsidP="00CF7500">
            <w:pPr>
              <w:pStyle w:val="Column-A"/>
              <w:numPr>
                <w:ilvl w:val="0"/>
                <w:numId w:val="3"/>
              </w:numPr>
              <w:spacing w:before="0" w:after="0" w:line="240" w:lineRule="auto"/>
              <w:ind w:left="284"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The Effects of High-Leverage: Inflating Gains, Inducing Efforts</w:t>
            </w:r>
          </w:p>
        </w:tc>
        <w:tc>
          <w:tcPr>
            <w:tcW w:w="3173" w:type="dxa"/>
            <w:shd w:val="clear" w:color="auto" w:fill="D9D9D9" w:themeFill="background1" w:themeFillShade="D9"/>
          </w:tcPr>
          <w:p w14:paraId="3FDE30DE" w14:textId="5A2D934F" w:rsidR="00676F76" w:rsidRPr="00CF7500" w:rsidRDefault="008C31C9" w:rsidP="00CF7500">
            <w:pPr>
              <w:pStyle w:val="TableText"/>
              <w:numPr>
                <w:ilvl w:val="0"/>
                <w:numId w:val="7"/>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Reinforcing the Management Team</w:t>
            </w:r>
          </w:p>
        </w:tc>
        <w:tc>
          <w:tcPr>
            <w:tcW w:w="3475" w:type="dxa"/>
            <w:shd w:val="clear" w:color="auto" w:fill="D9D9D9" w:themeFill="background1" w:themeFillShade="D9"/>
          </w:tcPr>
          <w:p w14:paraId="4A0586EB" w14:textId="77777777" w:rsidR="00676F76" w:rsidRPr="00CF7500" w:rsidRDefault="008C31C9" w:rsidP="00CF7500">
            <w:pPr>
              <w:pStyle w:val="TableText"/>
              <w:numPr>
                <w:ilvl w:val="0"/>
                <w:numId w:val="9"/>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Uncovering the Business Potential</w:t>
            </w:r>
          </w:p>
        </w:tc>
      </w:tr>
      <w:tr w:rsidR="005D174E" w:rsidRPr="001C35FA" w14:paraId="7EC2452C" w14:textId="77777777" w:rsidTr="00CF7500">
        <w:trPr>
          <w:trHeight w:val="567"/>
        </w:trPr>
        <w:tc>
          <w:tcPr>
            <w:tcW w:w="3123" w:type="dxa"/>
            <w:shd w:val="clear" w:color="auto" w:fill="D9D9D9" w:themeFill="background1" w:themeFillShade="D9"/>
            <w:tcMar>
              <w:left w:w="57" w:type="dxa"/>
              <w:right w:w="57" w:type="dxa"/>
            </w:tcMar>
          </w:tcPr>
          <w:p w14:paraId="4CDEEF10" w14:textId="77777777" w:rsidR="00676F76" w:rsidRPr="00CF7500" w:rsidRDefault="008C31C9" w:rsidP="00CF7500">
            <w:pPr>
              <w:pStyle w:val="Column-A"/>
              <w:numPr>
                <w:ilvl w:val="0"/>
                <w:numId w:val="3"/>
              </w:numPr>
              <w:spacing w:before="0" w:after="0" w:line="240" w:lineRule="auto"/>
              <w:ind w:left="284"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Capital Structure Optimization in Buyouts</w:t>
            </w:r>
          </w:p>
        </w:tc>
        <w:tc>
          <w:tcPr>
            <w:tcW w:w="3173" w:type="dxa"/>
            <w:shd w:val="clear" w:color="auto" w:fill="D9D9D9" w:themeFill="background1" w:themeFillShade="D9"/>
          </w:tcPr>
          <w:p w14:paraId="1F860790" w14:textId="21791BBD" w:rsidR="00676F76" w:rsidRPr="00CF7500" w:rsidRDefault="00676F76" w:rsidP="00CF7500">
            <w:pPr>
              <w:pStyle w:val="TableText"/>
              <w:spacing w:before="0" w:after="0" w:line="240" w:lineRule="auto"/>
              <w:ind w:left="227" w:firstLine="0"/>
              <w:jc w:val="left"/>
              <w:rPr>
                <w:rFonts w:ascii="Times New Roman" w:hAnsi="Times New Roman" w:cs="Times New Roman"/>
                <w:color w:val="262626" w:themeColor="text1" w:themeTint="D9"/>
                <w:sz w:val="20"/>
                <w:szCs w:val="20"/>
              </w:rPr>
            </w:pPr>
          </w:p>
        </w:tc>
        <w:tc>
          <w:tcPr>
            <w:tcW w:w="3475" w:type="dxa"/>
            <w:shd w:val="clear" w:color="auto" w:fill="D9D9D9" w:themeFill="background1" w:themeFillShade="D9"/>
          </w:tcPr>
          <w:p w14:paraId="73DCF57A" w14:textId="77777777" w:rsidR="00676F76" w:rsidRPr="00CF7500" w:rsidRDefault="008C31C9" w:rsidP="00CF7500">
            <w:pPr>
              <w:pStyle w:val="TableText"/>
              <w:numPr>
                <w:ilvl w:val="0"/>
                <w:numId w:val="9"/>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Detecting Nascent Market Trends: Multiple Expansion</w:t>
            </w:r>
          </w:p>
        </w:tc>
      </w:tr>
      <w:tr w:rsidR="005D174E" w:rsidRPr="001C35FA" w14:paraId="3D6C0DA9" w14:textId="77777777" w:rsidTr="00CF7500">
        <w:trPr>
          <w:trHeight w:val="567"/>
        </w:trPr>
        <w:tc>
          <w:tcPr>
            <w:tcW w:w="3123" w:type="dxa"/>
            <w:shd w:val="clear" w:color="auto" w:fill="D9D9D9" w:themeFill="background1" w:themeFillShade="D9"/>
            <w:tcMar>
              <w:left w:w="57" w:type="dxa"/>
              <w:right w:w="57" w:type="dxa"/>
            </w:tcMar>
          </w:tcPr>
          <w:p w14:paraId="7DE4B2ED" w14:textId="3E29D390" w:rsidR="00676F76" w:rsidRPr="00CF7500" w:rsidRDefault="00676F76" w:rsidP="00CF7500">
            <w:pPr>
              <w:pStyle w:val="Column-A"/>
              <w:numPr>
                <w:ilvl w:val="0"/>
                <w:numId w:val="0"/>
              </w:numPr>
              <w:spacing w:before="0" w:after="0" w:line="240" w:lineRule="auto"/>
              <w:ind w:left="284"/>
              <w:jc w:val="left"/>
              <w:rPr>
                <w:rFonts w:ascii="Times New Roman" w:hAnsi="Times New Roman" w:cs="Times New Roman"/>
                <w:color w:val="262626" w:themeColor="text1" w:themeTint="D9"/>
                <w:sz w:val="20"/>
                <w:szCs w:val="20"/>
              </w:rPr>
            </w:pPr>
          </w:p>
        </w:tc>
        <w:tc>
          <w:tcPr>
            <w:tcW w:w="3173" w:type="dxa"/>
            <w:shd w:val="clear" w:color="auto" w:fill="D9D9D9" w:themeFill="background1" w:themeFillShade="D9"/>
          </w:tcPr>
          <w:p w14:paraId="49B1175F" w14:textId="77777777" w:rsidR="005D174E" w:rsidRPr="00CF7500" w:rsidRDefault="005D174E" w:rsidP="005D174E">
            <w:pPr>
              <w:pStyle w:val="TableText"/>
              <w:spacing w:before="0" w:after="0" w:line="240" w:lineRule="auto"/>
              <w:ind w:left="227" w:hanging="227"/>
              <w:jc w:val="left"/>
              <w:rPr>
                <w:rFonts w:ascii="Times New Roman" w:hAnsi="Times New Roman" w:cs="Times New Roman"/>
                <w:color w:val="262626" w:themeColor="text1" w:themeTint="D9"/>
                <w:sz w:val="20"/>
                <w:szCs w:val="20"/>
              </w:rPr>
            </w:pPr>
          </w:p>
        </w:tc>
        <w:tc>
          <w:tcPr>
            <w:tcW w:w="3475" w:type="dxa"/>
            <w:shd w:val="clear" w:color="auto" w:fill="D9D9D9" w:themeFill="background1" w:themeFillShade="D9"/>
          </w:tcPr>
          <w:p w14:paraId="29DA794B" w14:textId="77777777" w:rsidR="00676F76" w:rsidRPr="00CF7500" w:rsidRDefault="008C31C9" w:rsidP="00CF7500">
            <w:pPr>
              <w:pStyle w:val="TableText"/>
              <w:numPr>
                <w:ilvl w:val="0"/>
                <w:numId w:val="9"/>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Timing the Business Cycles</w:t>
            </w:r>
          </w:p>
        </w:tc>
      </w:tr>
      <w:tr w:rsidR="005D174E" w:rsidRPr="001C35FA" w14:paraId="2D279E31" w14:textId="77777777" w:rsidTr="00CF7500">
        <w:trPr>
          <w:trHeight w:val="567"/>
        </w:trPr>
        <w:tc>
          <w:tcPr>
            <w:tcW w:w="3123" w:type="dxa"/>
            <w:shd w:val="clear" w:color="auto" w:fill="D9D9D9" w:themeFill="background1" w:themeFillShade="D9"/>
            <w:tcMar>
              <w:left w:w="57" w:type="dxa"/>
              <w:right w:w="57" w:type="dxa"/>
            </w:tcMar>
          </w:tcPr>
          <w:p w14:paraId="7554D6F2" w14:textId="65A6141A" w:rsidR="00676F76" w:rsidRPr="00CF7500" w:rsidRDefault="00676F76" w:rsidP="00CF7500">
            <w:pPr>
              <w:pStyle w:val="Column-A"/>
              <w:numPr>
                <w:ilvl w:val="0"/>
                <w:numId w:val="0"/>
              </w:numPr>
              <w:spacing w:before="0" w:after="0" w:line="240" w:lineRule="auto"/>
              <w:ind w:left="432" w:hanging="432"/>
              <w:jc w:val="left"/>
              <w:rPr>
                <w:rFonts w:ascii="Times New Roman" w:hAnsi="Times New Roman" w:cs="Times New Roman"/>
                <w:color w:val="262626" w:themeColor="text1" w:themeTint="D9"/>
                <w:sz w:val="20"/>
                <w:szCs w:val="20"/>
              </w:rPr>
            </w:pPr>
          </w:p>
        </w:tc>
        <w:tc>
          <w:tcPr>
            <w:tcW w:w="3173" w:type="dxa"/>
            <w:shd w:val="clear" w:color="auto" w:fill="D9D9D9" w:themeFill="background1" w:themeFillShade="D9"/>
          </w:tcPr>
          <w:p w14:paraId="52C6F7DA" w14:textId="77777777" w:rsidR="005D174E" w:rsidRPr="00CF7500" w:rsidRDefault="005D174E" w:rsidP="005D174E">
            <w:pPr>
              <w:pStyle w:val="TableText"/>
              <w:spacing w:before="0" w:after="0" w:line="240" w:lineRule="auto"/>
              <w:ind w:left="227" w:hanging="227"/>
              <w:jc w:val="left"/>
              <w:rPr>
                <w:rFonts w:ascii="Times New Roman" w:hAnsi="Times New Roman" w:cs="Times New Roman"/>
                <w:color w:val="262626" w:themeColor="text1" w:themeTint="D9"/>
                <w:sz w:val="20"/>
                <w:szCs w:val="20"/>
              </w:rPr>
            </w:pPr>
          </w:p>
          <w:p w14:paraId="361F3C70" w14:textId="77777777" w:rsidR="005D174E" w:rsidRPr="00CF7500" w:rsidRDefault="005D174E" w:rsidP="005D174E">
            <w:pPr>
              <w:pStyle w:val="TableText"/>
              <w:spacing w:before="0" w:after="0" w:line="240" w:lineRule="auto"/>
              <w:ind w:left="227" w:hanging="227"/>
              <w:jc w:val="left"/>
              <w:rPr>
                <w:rFonts w:ascii="Times New Roman" w:hAnsi="Times New Roman" w:cs="Times New Roman"/>
                <w:color w:val="262626" w:themeColor="text1" w:themeTint="D9"/>
                <w:sz w:val="20"/>
                <w:szCs w:val="20"/>
              </w:rPr>
            </w:pPr>
          </w:p>
        </w:tc>
        <w:tc>
          <w:tcPr>
            <w:tcW w:w="3475" w:type="dxa"/>
            <w:shd w:val="clear" w:color="auto" w:fill="D9D9D9" w:themeFill="background1" w:themeFillShade="D9"/>
          </w:tcPr>
          <w:p w14:paraId="675E7126" w14:textId="77777777" w:rsidR="00676F76" w:rsidRPr="00CF7500" w:rsidRDefault="008C31C9" w:rsidP="00CF7500">
            <w:pPr>
              <w:pStyle w:val="TableText"/>
              <w:numPr>
                <w:ilvl w:val="0"/>
                <w:numId w:val="9"/>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The Entry Transaction: Firm Valuation Criteria</w:t>
            </w:r>
          </w:p>
        </w:tc>
      </w:tr>
      <w:tr w:rsidR="005D174E" w:rsidRPr="001C35FA" w14:paraId="35B091B7" w14:textId="77777777" w:rsidTr="00CF7500">
        <w:trPr>
          <w:trHeight w:val="567"/>
        </w:trPr>
        <w:tc>
          <w:tcPr>
            <w:tcW w:w="3123" w:type="dxa"/>
            <w:tcBorders>
              <w:bottom w:val="single" w:sz="8" w:space="0" w:color="FFFFFF" w:themeColor="background1"/>
            </w:tcBorders>
            <w:shd w:val="clear" w:color="auto" w:fill="D9D9D9" w:themeFill="background1" w:themeFillShade="D9"/>
            <w:tcMar>
              <w:left w:w="57" w:type="dxa"/>
              <w:right w:w="57" w:type="dxa"/>
            </w:tcMar>
          </w:tcPr>
          <w:p w14:paraId="63EC7A0B" w14:textId="77777777" w:rsidR="005D174E" w:rsidRPr="00CF7500" w:rsidRDefault="005D174E" w:rsidP="005D174E">
            <w:pPr>
              <w:pStyle w:val="TableText"/>
              <w:spacing w:before="0" w:after="0" w:line="240" w:lineRule="auto"/>
              <w:ind w:left="284" w:hanging="227"/>
              <w:jc w:val="left"/>
              <w:rPr>
                <w:rFonts w:ascii="Times New Roman" w:hAnsi="Times New Roman" w:cs="Times New Roman"/>
                <w:color w:val="262626" w:themeColor="text1" w:themeTint="D9"/>
                <w:sz w:val="20"/>
                <w:szCs w:val="20"/>
              </w:rPr>
            </w:pPr>
          </w:p>
        </w:tc>
        <w:tc>
          <w:tcPr>
            <w:tcW w:w="3173" w:type="dxa"/>
            <w:tcBorders>
              <w:bottom w:val="single" w:sz="8" w:space="0" w:color="FFFFFF" w:themeColor="background1"/>
            </w:tcBorders>
            <w:shd w:val="clear" w:color="auto" w:fill="D9D9D9" w:themeFill="background1" w:themeFillShade="D9"/>
          </w:tcPr>
          <w:p w14:paraId="0212D356" w14:textId="77777777" w:rsidR="005D174E" w:rsidRPr="00CF7500" w:rsidRDefault="005D174E" w:rsidP="005D174E">
            <w:pPr>
              <w:pStyle w:val="TableText"/>
              <w:spacing w:before="0" w:after="0" w:line="240" w:lineRule="auto"/>
              <w:ind w:left="227" w:hanging="227"/>
              <w:jc w:val="left"/>
              <w:rPr>
                <w:rFonts w:ascii="Times New Roman" w:hAnsi="Times New Roman" w:cs="Times New Roman"/>
                <w:color w:val="262626" w:themeColor="text1" w:themeTint="D9"/>
                <w:sz w:val="20"/>
                <w:szCs w:val="20"/>
              </w:rPr>
            </w:pPr>
          </w:p>
        </w:tc>
        <w:tc>
          <w:tcPr>
            <w:tcW w:w="3475" w:type="dxa"/>
            <w:tcBorders>
              <w:bottom w:val="single" w:sz="8" w:space="0" w:color="FFFFFF" w:themeColor="background1"/>
            </w:tcBorders>
            <w:shd w:val="clear" w:color="auto" w:fill="D9D9D9" w:themeFill="background1" w:themeFillShade="D9"/>
          </w:tcPr>
          <w:p w14:paraId="27424DD4" w14:textId="77777777" w:rsidR="00676F76" w:rsidRPr="00CF7500" w:rsidRDefault="008C31C9" w:rsidP="00CF7500">
            <w:pPr>
              <w:pStyle w:val="TableText"/>
              <w:numPr>
                <w:ilvl w:val="0"/>
                <w:numId w:val="9"/>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Divesting the Firm: The Mode of Exit</w:t>
            </w:r>
          </w:p>
        </w:tc>
      </w:tr>
      <w:tr w:rsidR="005D174E" w:rsidRPr="001C35FA" w14:paraId="4878977B" w14:textId="77777777" w:rsidTr="00CF7500">
        <w:trPr>
          <w:trHeight w:val="567"/>
        </w:trPr>
        <w:tc>
          <w:tcPr>
            <w:tcW w:w="3123" w:type="dxa"/>
            <w:shd w:val="clear" w:color="auto" w:fill="C6D9F1"/>
            <w:tcMar>
              <w:left w:w="57" w:type="dxa"/>
              <w:right w:w="57" w:type="dxa"/>
            </w:tcMar>
          </w:tcPr>
          <w:p w14:paraId="51D2DFD6" w14:textId="46182907" w:rsidR="005D174E" w:rsidRPr="00CF7500" w:rsidRDefault="008C31C9" w:rsidP="005D174E">
            <w:pPr>
              <w:tabs>
                <w:tab w:val="left" w:pos="567"/>
              </w:tabs>
              <w:spacing w:before="120" w:line="240" w:lineRule="auto"/>
              <w:ind w:left="57" w:right="-533"/>
              <w:rPr>
                <w:rFonts w:ascii="Times New Roman" w:hAnsi="Times New Roman" w:cs="Times New Roman"/>
                <w:b/>
                <w:color w:val="262626" w:themeColor="text1" w:themeTint="D9"/>
                <w:sz w:val="20"/>
                <w:szCs w:val="20"/>
              </w:rPr>
            </w:pPr>
            <w:r w:rsidRPr="00CF7500">
              <w:rPr>
                <w:rFonts w:ascii="Times New Roman" w:hAnsi="Times New Roman"/>
                <w:b/>
                <w:color w:val="262626" w:themeColor="text1" w:themeTint="D9"/>
                <w:sz w:val="20"/>
                <w:szCs w:val="20"/>
              </w:rPr>
              <w:t>2.  OPERATIONAL DRIVER</w:t>
            </w:r>
            <w:r w:rsidR="008C3C09">
              <w:rPr>
                <w:rFonts w:ascii="Times New Roman" w:eastAsia="Times New Roman" w:hAnsi="Times New Roman" w:cs="Times New Roman"/>
                <w:b/>
                <w:color w:val="262626" w:themeColor="text1" w:themeTint="D9"/>
                <w:sz w:val="20"/>
                <w:szCs w:val="20"/>
              </w:rPr>
              <w:t>S</w:t>
            </w:r>
          </w:p>
        </w:tc>
        <w:tc>
          <w:tcPr>
            <w:tcW w:w="3173" w:type="dxa"/>
            <w:shd w:val="clear" w:color="auto" w:fill="C6D9F1"/>
          </w:tcPr>
          <w:p w14:paraId="21E20416" w14:textId="73027D5E" w:rsidR="005D174E" w:rsidRPr="00CF7500" w:rsidRDefault="008C31C9" w:rsidP="005D174E">
            <w:pPr>
              <w:tabs>
                <w:tab w:val="left" w:pos="567"/>
              </w:tabs>
              <w:spacing w:before="120" w:line="240" w:lineRule="auto"/>
              <w:rPr>
                <w:rFonts w:ascii="Times New Roman" w:hAnsi="Times New Roman" w:cs="Times New Roman"/>
                <w:b/>
                <w:color w:val="262626" w:themeColor="text1" w:themeTint="D9"/>
                <w:sz w:val="20"/>
                <w:szCs w:val="20"/>
              </w:rPr>
            </w:pPr>
            <w:r w:rsidRPr="00CF7500">
              <w:rPr>
                <w:rFonts w:ascii="Times New Roman" w:hAnsi="Times New Roman"/>
                <w:b/>
                <w:color w:val="262626" w:themeColor="text1" w:themeTint="D9"/>
                <w:sz w:val="20"/>
                <w:szCs w:val="20"/>
              </w:rPr>
              <w:t>5.  CULTURAL DRIVER</w:t>
            </w:r>
            <w:r w:rsidR="008C3C09">
              <w:rPr>
                <w:rFonts w:ascii="Times New Roman" w:eastAsia="Times New Roman" w:hAnsi="Times New Roman" w:cs="Times New Roman"/>
                <w:b/>
                <w:color w:val="262626" w:themeColor="text1" w:themeTint="D9"/>
                <w:sz w:val="20"/>
                <w:szCs w:val="20"/>
              </w:rPr>
              <w:t>S</w:t>
            </w:r>
          </w:p>
        </w:tc>
        <w:tc>
          <w:tcPr>
            <w:tcW w:w="3475" w:type="dxa"/>
            <w:shd w:val="clear" w:color="auto" w:fill="C6D9F1"/>
          </w:tcPr>
          <w:p w14:paraId="76C396AE" w14:textId="3BD168C8" w:rsidR="005D174E" w:rsidRPr="00CF7500" w:rsidRDefault="008C31C9">
            <w:pPr>
              <w:tabs>
                <w:tab w:val="left" w:pos="567"/>
              </w:tabs>
              <w:spacing w:before="120" w:line="240" w:lineRule="auto"/>
              <w:ind w:right="57"/>
              <w:rPr>
                <w:rFonts w:ascii="Times New Roman" w:hAnsi="Times New Roman" w:cs="Times New Roman"/>
                <w:b/>
                <w:color w:val="262626" w:themeColor="text1" w:themeTint="D9"/>
                <w:sz w:val="20"/>
                <w:szCs w:val="20"/>
              </w:rPr>
            </w:pPr>
            <w:r w:rsidRPr="00CF7500">
              <w:rPr>
                <w:rFonts w:ascii="Times New Roman" w:hAnsi="Times New Roman"/>
                <w:color w:val="262626" w:themeColor="text1" w:themeTint="D9"/>
                <w:sz w:val="20"/>
                <w:szCs w:val="20"/>
              </w:rPr>
              <w:br w:type="page"/>
            </w:r>
            <w:r w:rsidRPr="00CF7500">
              <w:rPr>
                <w:rFonts w:ascii="Times New Roman" w:hAnsi="Times New Roman"/>
                <w:b/>
                <w:color w:val="262626" w:themeColor="text1" w:themeTint="D9"/>
                <w:sz w:val="20"/>
                <w:szCs w:val="20"/>
              </w:rPr>
              <w:t xml:space="preserve">7.  </w:t>
            </w:r>
            <w:r w:rsidR="00E02ABE">
              <w:rPr>
                <w:rFonts w:ascii="Times New Roman" w:hAnsi="Times New Roman"/>
                <w:b/>
                <w:color w:val="262626" w:themeColor="text1" w:themeTint="D9"/>
                <w:sz w:val="20"/>
                <w:szCs w:val="20"/>
              </w:rPr>
              <w:t>INSTITUTIONAL</w:t>
            </w:r>
            <w:r w:rsidRPr="00CF7500">
              <w:rPr>
                <w:rFonts w:ascii="Times New Roman" w:hAnsi="Times New Roman"/>
                <w:b/>
                <w:color w:val="262626" w:themeColor="text1" w:themeTint="D9"/>
                <w:sz w:val="20"/>
                <w:szCs w:val="20"/>
              </w:rPr>
              <w:t xml:space="preserve"> DRIVER</w:t>
            </w:r>
            <w:r w:rsidR="008C3C09">
              <w:rPr>
                <w:rFonts w:ascii="Times New Roman" w:eastAsia="Times New Roman" w:hAnsi="Times New Roman" w:cs="Times New Roman"/>
                <w:b/>
                <w:color w:val="262626" w:themeColor="text1" w:themeTint="D9"/>
                <w:sz w:val="20"/>
                <w:szCs w:val="20"/>
              </w:rPr>
              <w:t>S</w:t>
            </w:r>
          </w:p>
        </w:tc>
      </w:tr>
      <w:tr w:rsidR="005D174E" w:rsidRPr="001C35FA" w14:paraId="3868D120" w14:textId="77777777" w:rsidTr="00CF7500">
        <w:trPr>
          <w:trHeight w:val="567"/>
        </w:trPr>
        <w:tc>
          <w:tcPr>
            <w:tcW w:w="3123" w:type="dxa"/>
            <w:shd w:val="clear" w:color="auto" w:fill="D9D9D9" w:themeFill="background1" w:themeFillShade="D9"/>
            <w:tcMar>
              <w:left w:w="57" w:type="dxa"/>
              <w:right w:w="57" w:type="dxa"/>
            </w:tcMar>
          </w:tcPr>
          <w:p w14:paraId="555836B4" w14:textId="77777777" w:rsidR="00676F76" w:rsidRPr="00CF7500" w:rsidRDefault="008C31C9" w:rsidP="00CF7500">
            <w:pPr>
              <w:pStyle w:val="Column-A"/>
              <w:numPr>
                <w:ilvl w:val="0"/>
                <w:numId w:val="5"/>
              </w:numPr>
              <w:spacing w:before="0" w:after="0" w:line="240" w:lineRule="auto"/>
              <w:ind w:left="284"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Functional Experience and Operational Expertise</w:t>
            </w:r>
          </w:p>
        </w:tc>
        <w:tc>
          <w:tcPr>
            <w:tcW w:w="3173" w:type="dxa"/>
            <w:shd w:val="clear" w:color="auto" w:fill="D9D9D9" w:themeFill="background1" w:themeFillShade="D9"/>
          </w:tcPr>
          <w:p w14:paraId="34377C3F" w14:textId="77777777" w:rsidR="00676F76" w:rsidRPr="00CF7500" w:rsidRDefault="008C31C9" w:rsidP="00CF7500">
            <w:pPr>
              <w:pStyle w:val="TableText"/>
              <w:numPr>
                <w:ilvl w:val="0"/>
                <w:numId w:val="8"/>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The Parenting Advantage: Monitoring and Mentoring</w:t>
            </w:r>
          </w:p>
        </w:tc>
        <w:tc>
          <w:tcPr>
            <w:tcW w:w="3475" w:type="dxa"/>
            <w:shd w:val="clear" w:color="auto" w:fill="D9D9D9" w:themeFill="background1" w:themeFillShade="D9"/>
          </w:tcPr>
          <w:p w14:paraId="4FA64318" w14:textId="77777777" w:rsidR="00676F76" w:rsidRPr="00CF7500" w:rsidRDefault="008C31C9" w:rsidP="00CF7500">
            <w:pPr>
              <w:pStyle w:val="TableText"/>
              <w:numPr>
                <w:ilvl w:val="0"/>
                <w:numId w:val="10"/>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Mitigated Legislative and Regulatory Constraints</w:t>
            </w:r>
          </w:p>
        </w:tc>
      </w:tr>
      <w:tr w:rsidR="005D174E" w:rsidRPr="001C35FA" w14:paraId="55CE5DB6" w14:textId="77777777" w:rsidTr="00CF7500">
        <w:trPr>
          <w:trHeight w:val="567"/>
        </w:trPr>
        <w:tc>
          <w:tcPr>
            <w:tcW w:w="3123" w:type="dxa"/>
            <w:shd w:val="clear" w:color="auto" w:fill="D9D9D9" w:themeFill="background1" w:themeFillShade="D9"/>
            <w:tcMar>
              <w:left w:w="57" w:type="dxa"/>
              <w:right w:w="57" w:type="dxa"/>
            </w:tcMar>
          </w:tcPr>
          <w:p w14:paraId="282B9790" w14:textId="77777777" w:rsidR="00676F76" w:rsidRPr="00CF7500" w:rsidRDefault="008C31C9" w:rsidP="00CF7500">
            <w:pPr>
              <w:pStyle w:val="Column-A"/>
              <w:numPr>
                <w:ilvl w:val="0"/>
                <w:numId w:val="5"/>
              </w:numPr>
              <w:spacing w:before="0" w:after="0" w:line="240" w:lineRule="auto"/>
              <w:ind w:left="284"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Cost Structure Improvements</w:t>
            </w:r>
          </w:p>
        </w:tc>
        <w:tc>
          <w:tcPr>
            <w:tcW w:w="3173" w:type="dxa"/>
            <w:shd w:val="clear" w:color="auto" w:fill="D9D9D9" w:themeFill="background1" w:themeFillShade="D9"/>
          </w:tcPr>
          <w:p w14:paraId="2B62281C" w14:textId="77777777" w:rsidR="00676F76" w:rsidRPr="00CF7500" w:rsidRDefault="008C31C9" w:rsidP="00CF7500">
            <w:pPr>
              <w:pStyle w:val="TableText"/>
              <w:numPr>
                <w:ilvl w:val="0"/>
                <w:numId w:val="8"/>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The Value of Corporate Culture: A Revived Entrepreneurial Spirit</w:t>
            </w:r>
          </w:p>
        </w:tc>
        <w:tc>
          <w:tcPr>
            <w:tcW w:w="3475" w:type="dxa"/>
            <w:shd w:val="clear" w:color="auto" w:fill="D9D9D9" w:themeFill="background1" w:themeFillShade="D9"/>
          </w:tcPr>
          <w:p w14:paraId="6FA987DF" w14:textId="77777777" w:rsidR="00676F76" w:rsidRPr="00CF7500" w:rsidRDefault="008C31C9" w:rsidP="00CF7500">
            <w:pPr>
              <w:pStyle w:val="TableText"/>
              <w:numPr>
                <w:ilvl w:val="0"/>
                <w:numId w:val="10"/>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The Corporate Tax Shield: Debt and Taxes</w:t>
            </w:r>
          </w:p>
        </w:tc>
      </w:tr>
      <w:tr w:rsidR="005D174E" w:rsidRPr="001C35FA" w14:paraId="525FD8F0" w14:textId="77777777" w:rsidTr="00CF7500">
        <w:trPr>
          <w:trHeight w:val="567"/>
        </w:trPr>
        <w:tc>
          <w:tcPr>
            <w:tcW w:w="3123" w:type="dxa"/>
            <w:shd w:val="clear" w:color="auto" w:fill="D9D9D9" w:themeFill="background1" w:themeFillShade="D9"/>
            <w:tcMar>
              <w:left w:w="57" w:type="dxa"/>
              <w:right w:w="57" w:type="dxa"/>
            </w:tcMar>
          </w:tcPr>
          <w:p w14:paraId="68EDF7F1" w14:textId="77777777" w:rsidR="00676F76" w:rsidRPr="00CF7500" w:rsidRDefault="008C31C9" w:rsidP="00CF7500">
            <w:pPr>
              <w:pStyle w:val="Column-A"/>
              <w:numPr>
                <w:ilvl w:val="0"/>
                <w:numId w:val="5"/>
              </w:numPr>
              <w:spacing w:before="0" w:after="0" w:line="240" w:lineRule="auto"/>
              <w:ind w:left="284"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Capital Management and Asset Utilization</w:t>
            </w:r>
          </w:p>
        </w:tc>
        <w:tc>
          <w:tcPr>
            <w:tcW w:w="3173" w:type="dxa"/>
            <w:shd w:val="clear" w:color="auto" w:fill="D9D9D9" w:themeFill="background1" w:themeFillShade="D9"/>
          </w:tcPr>
          <w:p w14:paraId="0C4DB6D0" w14:textId="77777777" w:rsidR="00676F76" w:rsidRPr="00CF7500" w:rsidRDefault="008C31C9" w:rsidP="00CF7500">
            <w:pPr>
              <w:pStyle w:val="TableText"/>
              <w:numPr>
                <w:ilvl w:val="0"/>
                <w:numId w:val="8"/>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Performance Management: Stretch Budgets, Ambitious Goals</w:t>
            </w:r>
          </w:p>
        </w:tc>
        <w:tc>
          <w:tcPr>
            <w:tcW w:w="3475" w:type="dxa"/>
            <w:shd w:val="clear" w:color="auto" w:fill="D9D9D9" w:themeFill="background1" w:themeFillShade="D9"/>
          </w:tcPr>
          <w:p w14:paraId="1C6B105F" w14:textId="77777777" w:rsidR="00676F76" w:rsidRPr="00CF7500" w:rsidRDefault="008C31C9" w:rsidP="00CF7500">
            <w:pPr>
              <w:pStyle w:val="TableText"/>
              <w:numPr>
                <w:ilvl w:val="0"/>
                <w:numId w:val="10"/>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Carried Interest and Capital Income</w:t>
            </w:r>
          </w:p>
        </w:tc>
      </w:tr>
      <w:tr w:rsidR="005D174E" w:rsidRPr="001C35FA" w14:paraId="3C16FD20" w14:textId="77777777" w:rsidTr="00CF7500">
        <w:trPr>
          <w:trHeight w:val="567"/>
        </w:trPr>
        <w:tc>
          <w:tcPr>
            <w:tcW w:w="3123" w:type="dxa"/>
            <w:tcBorders>
              <w:bottom w:val="single" w:sz="8" w:space="0" w:color="FFFFFF" w:themeColor="background1"/>
            </w:tcBorders>
            <w:shd w:val="clear" w:color="auto" w:fill="D9D9D9" w:themeFill="background1" w:themeFillShade="D9"/>
            <w:tcMar>
              <w:left w:w="57" w:type="dxa"/>
              <w:right w:w="57" w:type="dxa"/>
            </w:tcMar>
          </w:tcPr>
          <w:p w14:paraId="42125384" w14:textId="77777777" w:rsidR="005D174E" w:rsidRPr="00CF7500" w:rsidRDefault="005D174E" w:rsidP="005D174E">
            <w:pPr>
              <w:pStyle w:val="TableText"/>
              <w:spacing w:before="0" w:after="0" w:line="240" w:lineRule="auto"/>
              <w:ind w:left="284" w:hanging="227"/>
              <w:jc w:val="left"/>
              <w:rPr>
                <w:rFonts w:ascii="Times New Roman" w:hAnsi="Times New Roman" w:cs="Times New Roman"/>
                <w:color w:val="262626" w:themeColor="text1" w:themeTint="D9"/>
                <w:sz w:val="20"/>
                <w:szCs w:val="20"/>
              </w:rPr>
            </w:pPr>
          </w:p>
        </w:tc>
        <w:tc>
          <w:tcPr>
            <w:tcW w:w="3173" w:type="dxa"/>
            <w:tcBorders>
              <w:bottom w:val="single" w:sz="8" w:space="0" w:color="FFFFFF" w:themeColor="background1"/>
            </w:tcBorders>
            <w:shd w:val="clear" w:color="auto" w:fill="D9D9D9" w:themeFill="background1" w:themeFillShade="D9"/>
          </w:tcPr>
          <w:p w14:paraId="541AD11C" w14:textId="77777777" w:rsidR="00676F76" w:rsidRPr="00CF7500" w:rsidRDefault="008C31C9" w:rsidP="00CF7500">
            <w:pPr>
              <w:pStyle w:val="TableText"/>
              <w:numPr>
                <w:ilvl w:val="0"/>
                <w:numId w:val="8"/>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Revising the Firm KPIs: Novel Yardsticks</w:t>
            </w:r>
          </w:p>
        </w:tc>
        <w:tc>
          <w:tcPr>
            <w:tcW w:w="3475" w:type="dxa"/>
            <w:tcBorders>
              <w:bottom w:val="single" w:sz="8" w:space="0" w:color="FFFFFF" w:themeColor="background1"/>
            </w:tcBorders>
            <w:shd w:val="clear" w:color="auto" w:fill="D9D9D9" w:themeFill="background1" w:themeFillShade="D9"/>
          </w:tcPr>
          <w:p w14:paraId="23D4F711" w14:textId="77777777" w:rsidR="005D174E" w:rsidRPr="00CF7500" w:rsidRDefault="005D174E" w:rsidP="005D174E">
            <w:pPr>
              <w:pStyle w:val="TableText"/>
              <w:spacing w:before="0" w:after="0" w:line="240" w:lineRule="auto"/>
              <w:ind w:left="227" w:hanging="227"/>
              <w:jc w:val="left"/>
              <w:rPr>
                <w:rFonts w:ascii="Times New Roman" w:hAnsi="Times New Roman" w:cs="Times New Roman"/>
                <w:color w:val="262626" w:themeColor="text1" w:themeTint="D9"/>
                <w:sz w:val="20"/>
                <w:szCs w:val="20"/>
              </w:rPr>
            </w:pPr>
          </w:p>
        </w:tc>
      </w:tr>
      <w:tr w:rsidR="005D174E" w:rsidRPr="001C35FA" w14:paraId="190BE54B" w14:textId="77777777" w:rsidTr="00CF7500">
        <w:trPr>
          <w:trHeight w:val="567"/>
        </w:trPr>
        <w:tc>
          <w:tcPr>
            <w:tcW w:w="3123" w:type="dxa"/>
            <w:shd w:val="clear" w:color="auto" w:fill="C6D9F1"/>
            <w:tcMar>
              <w:left w:w="57" w:type="dxa"/>
              <w:right w:w="57" w:type="dxa"/>
            </w:tcMar>
          </w:tcPr>
          <w:p w14:paraId="58F98612" w14:textId="7F2F1EBE" w:rsidR="005D174E" w:rsidRPr="00CF7500" w:rsidRDefault="008C31C9" w:rsidP="005D174E">
            <w:pPr>
              <w:tabs>
                <w:tab w:val="left" w:pos="567"/>
              </w:tabs>
              <w:spacing w:before="120" w:line="240" w:lineRule="auto"/>
              <w:ind w:left="57"/>
              <w:rPr>
                <w:rFonts w:ascii="Times New Roman" w:hAnsi="Times New Roman" w:cs="Times New Roman"/>
                <w:b/>
                <w:color w:val="262626" w:themeColor="text1" w:themeTint="D9"/>
                <w:sz w:val="20"/>
                <w:szCs w:val="20"/>
              </w:rPr>
            </w:pPr>
            <w:r w:rsidRPr="00CF7500">
              <w:rPr>
                <w:rFonts w:ascii="Times New Roman" w:hAnsi="Times New Roman"/>
                <w:b/>
                <w:color w:val="262626" w:themeColor="text1" w:themeTint="D9"/>
                <w:sz w:val="20"/>
                <w:szCs w:val="20"/>
              </w:rPr>
              <w:t>3.  STRATEGIC DRIVER</w:t>
            </w:r>
            <w:r w:rsidR="008C3C09">
              <w:rPr>
                <w:rFonts w:ascii="Times New Roman" w:eastAsia="Times New Roman" w:hAnsi="Times New Roman" w:cs="Times New Roman"/>
                <w:b/>
                <w:color w:val="262626" w:themeColor="text1" w:themeTint="D9"/>
                <w:sz w:val="20"/>
                <w:szCs w:val="20"/>
              </w:rPr>
              <w:t>S</w:t>
            </w:r>
          </w:p>
        </w:tc>
        <w:tc>
          <w:tcPr>
            <w:tcW w:w="3173" w:type="dxa"/>
            <w:shd w:val="clear" w:color="auto" w:fill="D9D9D9" w:themeFill="background1" w:themeFillShade="D9"/>
          </w:tcPr>
          <w:p w14:paraId="77994B62" w14:textId="4DC66039" w:rsidR="00676F76" w:rsidRPr="00CF7500" w:rsidRDefault="008C31C9" w:rsidP="00CF7500">
            <w:pPr>
              <w:pStyle w:val="TableText"/>
              <w:numPr>
                <w:ilvl w:val="0"/>
                <w:numId w:val="8"/>
              </w:numPr>
              <w:spacing w:before="0" w:after="0" w:line="240" w:lineRule="auto"/>
              <w:ind w:left="227" w:hanging="227"/>
              <w:jc w:val="left"/>
              <w:rPr>
                <w:rFonts w:ascii="Times New Roman" w:hAnsi="Times New Roman" w:cs="Times New Roman"/>
                <w:b/>
                <w:color w:val="262626" w:themeColor="text1" w:themeTint="D9"/>
                <w:sz w:val="20"/>
                <w:szCs w:val="20"/>
              </w:rPr>
            </w:pPr>
            <w:r w:rsidRPr="00CF7500">
              <w:rPr>
                <w:rFonts w:ascii="Times New Roman" w:hAnsi="Times New Roman" w:cs="Times New Roman"/>
                <w:color w:val="262626" w:themeColor="text1" w:themeTint="D9"/>
                <w:sz w:val="20"/>
                <w:szCs w:val="20"/>
              </w:rPr>
              <w:br w:type="page"/>
              <w:t>High-Tempo and Inchoate Change</w:t>
            </w:r>
          </w:p>
        </w:tc>
        <w:tc>
          <w:tcPr>
            <w:tcW w:w="3475" w:type="dxa"/>
            <w:shd w:val="clear" w:color="auto" w:fill="D9D9D9" w:themeFill="background1" w:themeFillShade="D9"/>
          </w:tcPr>
          <w:p w14:paraId="4EEDEF8D" w14:textId="77777777" w:rsidR="005D174E" w:rsidRPr="00CF7500" w:rsidRDefault="005D174E" w:rsidP="005D174E">
            <w:pPr>
              <w:spacing w:before="120" w:line="240" w:lineRule="auto"/>
              <w:ind w:right="57"/>
              <w:rPr>
                <w:rFonts w:ascii="Times New Roman" w:hAnsi="Times New Roman" w:cs="Times New Roman"/>
                <w:color w:val="262626" w:themeColor="text1" w:themeTint="D9"/>
                <w:sz w:val="20"/>
                <w:szCs w:val="20"/>
              </w:rPr>
            </w:pPr>
          </w:p>
        </w:tc>
      </w:tr>
      <w:tr w:rsidR="005D174E" w:rsidRPr="001C35FA" w14:paraId="23A7A606" w14:textId="77777777" w:rsidTr="00CF7500">
        <w:trPr>
          <w:trHeight w:val="567"/>
        </w:trPr>
        <w:tc>
          <w:tcPr>
            <w:tcW w:w="3123" w:type="dxa"/>
            <w:shd w:val="clear" w:color="auto" w:fill="D9D9D9" w:themeFill="background1" w:themeFillShade="D9"/>
            <w:tcMar>
              <w:left w:w="57" w:type="dxa"/>
              <w:right w:w="57" w:type="dxa"/>
            </w:tcMar>
          </w:tcPr>
          <w:p w14:paraId="78682564" w14:textId="77777777" w:rsidR="00676F76" w:rsidRPr="00CF7500" w:rsidRDefault="008C31C9" w:rsidP="00CF7500">
            <w:pPr>
              <w:pStyle w:val="Column-A"/>
              <w:numPr>
                <w:ilvl w:val="0"/>
                <w:numId w:val="6"/>
              </w:numPr>
              <w:spacing w:before="0" w:after="0" w:line="240" w:lineRule="auto"/>
              <w:ind w:left="284"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Focusing on the Core: Complexity Reduction</w:t>
            </w:r>
          </w:p>
        </w:tc>
        <w:tc>
          <w:tcPr>
            <w:tcW w:w="3173" w:type="dxa"/>
            <w:shd w:val="clear" w:color="auto" w:fill="D9D9D9" w:themeFill="background1" w:themeFillShade="D9"/>
          </w:tcPr>
          <w:p w14:paraId="4E6F618B" w14:textId="4E6645D2" w:rsidR="00676F76" w:rsidRPr="00CF7500" w:rsidRDefault="008C31C9" w:rsidP="00CF7500">
            <w:pPr>
              <w:pStyle w:val="TableText"/>
              <w:numPr>
                <w:ilvl w:val="0"/>
                <w:numId w:val="8"/>
              </w:numPr>
              <w:spacing w:before="0" w:after="0" w:line="240" w:lineRule="auto"/>
              <w:ind w:left="227"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 xml:space="preserve">The Holding Period Time Horizon </w:t>
            </w:r>
          </w:p>
        </w:tc>
        <w:tc>
          <w:tcPr>
            <w:tcW w:w="3475" w:type="dxa"/>
            <w:shd w:val="clear" w:color="auto" w:fill="D9D9D9" w:themeFill="background1" w:themeFillShade="D9"/>
          </w:tcPr>
          <w:p w14:paraId="21FDE0D9" w14:textId="77777777" w:rsidR="005D174E" w:rsidRPr="00CF7500" w:rsidRDefault="005D174E" w:rsidP="005D174E">
            <w:pPr>
              <w:pStyle w:val="TableText"/>
              <w:spacing w:before="0" w:after="0" w:line="240" w:lineRule="auto"/>
              <w:ind w:left="227" w:hanging="227"/>
              <w:jc w:val="left"/>
              <w:rPr>
                <w:rFonts w:ascii="Times New Roman" w:hAnsi="Times New Roman" w:cs="Times New Roman"/>
                <w:color w:val="262626" w:themeColor="text1" w:themeTint="D9"/>
                <w:sz w:val="20"/>
                <w:szCs w:val="20"/>
              </w:rPr>
            </w:pPr>
          </w:p>
        </w:tc>
      </w:tr>
      <w:tr w:rsidR="005D174E" w:rsidRPr="001C35FA" w14:paraId="00C964B9" w14:textId="77777777" w:rsidTr="00CF7500">
        <w:trPr>
          <w:trHeight w:val="567"/>
        </w:trPr>
        <w:tc>
          <w:tcPr>
            <w:tcW w:w="3123" w:type="dxa"/>
            <w:shd w:val="clear" w:color="auto" w:fill="D9D9D9" w:themeFill="background1" w:themeFillShade="D9"/>
            <w:tcMar>
              <w:left w:w="57" w:type="dxa"/>
              <w:right w:w="57" w:type="dxa"/>
            </w:tcMar>
          </w:tcPr>
          <w:p w14:paraId="7198E8B4" w14:textId="77777777" w:rsidR="00676F76" w:rsidRPr="00CF7500" w:rsidRDefault="008C31C9" w:rsidP="00CF7500">
            <w:pPr>
              <w:pStyle w:val="Column-A"/>
              <w:numPr>
                <w:ilvl w:val="0"/>
                <w:numId w:val="6"/>
              </w:numPr>
              <w:spacing w:before="0" w:after="0" w:line="240" w:lineRule="auto"/>
              <w:ind w:left="284"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Focusing on Consolidation: Buy and Build Strategies</w:t>
            </w:r>
          </w:p>
        </w:tc>
        <w:tc>
          <w:tcPr>
            <w:tcW w:w="3173" w:type="dxa"/>
            <w:shd w:val="clear" w:color="auto" w:fill="D9D9D9" w:themeFill="background1" w:themeFillShade="D9"/>
          </w:tcPr>
          <w:p w14:paraId="122427E5" w14:textId="44915E55" w:rsidR="00676F76" w:rsidRPr="00CF7500" w:rsidRDefault="00676F76" w:rsidP="00CF7500">
            <w:pPr>
              <w:pStyle w:val="TableText"/>
              <w:spacing w:before="0" w:after="0" w:line="240" w:lineRule="auto"/>
              <w:ind w:left="227" w:firstLine="0"/>
              <w:jc w:val="left"/>
              <w:rPr>
                <w:rFonts w:ascii="Times New Roman" w:hAnsi="Times New Roman" w:cs="Times New Roman"/>
                <w:color w:val="262626" w:themeColor="text1" w:themeTint="D9"/>
                <w:sz w:val="20"/>
                <w:szCs w:val="20"/>
              </w:rPr>
            </w:pPr>
          </w:p>
        </w:tc>
        <w:tc>
          <w:tcPr>
            <w:tcW w:w="3475" w:type="dxa"/>
            <w:shd w:val="clear" w:color="auto" w:fill="D9D9D9" w:themeFill="background1" w:themeFillShade="D9"/>
          </w:tcPr>
          <w:p w14:paraId="101B4241" w14:textId="77777777" w:rsidR="005D174E" w:rsidRPr="00CF7500" w:rsidRDefault="005D174E" w:rsidP="005D174E">
            <w:pPr>
              <w:pStyle w:val="TableText"/>
              <w:spacing w:before="0" w:after="0" w:line="240" w:lineRule="auto"/>
              <w:ind w:left="227" w:hanging="227"/>
              <w:jc w:val="left"/>
              <w:rPr>
                <w:rFonts w:ascii="Times New Roman" w:hAnsi="Times New Roman" w:cs="Times New Roman"/>
                <w:color w:val="262626" w:themeColor="text1" w:themeTint="D9"/>
                <w:sz w:val="20"/>
                <w:szCs w:val="20"/>
              </w:rPr>
            </w:pPr>
          </w:p>
        </w:tc>
      </w:tr>
      <w:tr w:rsidR="005D174E" w:rsidRPr="001C35FA" w14:paraId="782F2F41" w14:textId="77777777" w:rsidTr="00CF7500">
        <w:trPr>
          <w:trHeight w:val="567"/>
        </w:trPr>
        <w:tc>
          <w:tcPr>
            <w:tcW w:w="3123" w:type="dxa"/>
            <w:shd w:val="clear" w:color="auto" w:fill="D9D9D9" w:themeFill="background1" w:themeFillShade="D9"/>
            <w:tcMar>
              <w:left w:w="57" w:type="dxa"/>
              <w:right w:w="57" w:type="dxa"/>
            </w:tcMar>
          </w:tcPr>
          <w:p w14:paraId="4929CE05" w14:textId="77777777" w:rsidR="00676F76" w:rsidRPr="00CF7500" w:rsidRDefault="008C31C9" w:rsidP="00CF7500">
            <w:pPr>
              <w:pStyle w:val="Column-A"/>
              <w:numPr>
                <w:ilvl w:val="0"/>
                <w:numId w:val="6"/>
              </w:numPr>
              <w:spacing w:before="0" w:after="0" w:line="240" w:lineRule="auto"/>
              <w:ind w:left="284" w:hanging="227"/>
              <w:jc w:val="left"/>
              <w:rPr>
                <w:rFonts w:ascii="Times New Roman" w:hAnsi="Times New Roman" w:cs="Times New Roman"/>
                <w:color w:val="262626" w:themeColor="text1" w:themeTint="D9"/>
                <w:sz w:val="20"/>
                <w:szCs w:val="20"/>
              </w:rPr>
            </w:pPr>
            <w:r w:rsidRPr="00CF7500">
              <w:rPr>
                <w:rFonts w:ascii="Times New Roman" w:hAnsi="Times New Roman" w:cs="Times New Roman"/>
                <w:color w:val="262626" w:themeColor="text1" w:themeTint="D9"/>
                <w:sz w:val="20"/>
                <w:szCs w:val="20"/>
              </w:rPr>
              <w:t>Focusing on Growth: Market Expansion</w:t>
            </w:r>
          </w:p>
        </w:tc>
        <w:tc>
          <w:tcPr>
            <w:tcW w:w="3173" w:type="dxa"/>
            <w:shd w:val="clear" w:color="auto" w:fill="D9D9D9" w:themeFill="background1" w:themeFillShade="D9"/>
          </w:tcPr>
          <w:p w14:paraId="63D1743A" w14:textId="77777777" w:rsidR="005D174E" w:rsidRPr="00CF7500" w:rsidRDefault="005D174E" w:rsidP="005D174E">
            <w:pPr>
              <w:pStyle w:val="TableText"/>
              <w:spacing w:before="0" w:after="0" w:line="240" w:lineRule="auto"/>
              <w:ind w:left="227" w:hanging="227"/>
              <w:jc w:val="left"/>
              <w:rPr>
                <w:rFonts w:ascii="Times New Roman" w:hAnsi="Times New Roman" w:cs="Times New Roman"/>
                <w:color w:val="262626" w:themeColor="text1" w:themeTint="D9"/>
                <w:sz w:val="20"/>
                <w:szCs w:val="20"/>
              </w:rPr>
            </w:pPr>
          </w:p>
          <w:p w14:paraId="7564B546" w14:textId="77777777" w:rsidR="005D174E" w:rsidRPr="00CF7500" w:rsidRDefault="005D174E" w:rsidP="005D174E">
            <w:pPr>
              <w:pStyle w:val="TableText"/>
              <w:spacing w:before="0" w:after="0" w:line="240" w:lineRule="auto"/>
              <w:ind w:left="227" w:hanging="227"/>
              <w:jc w:val="left"/>
              <w:rPr>
                <w:rFonts w:ascii="Times New Roman" w:hAnsi="Times New Roman" w:cs="Times New Roman"/>
                <w:color w:val="262626" w:themeColor="text1" w:themeTint="D9"/>
                <w:sz w:val="20"/>
                <w:szCs w:val="20"/>
              </w:rPr>
            </w:pPr>
          </w:p>
        </w:tc>
        <w:tc>
          <w:tcPr>
            <w:tcW w:w="3475" w:type="dxa"/>
            <w:shd w:val="clear" w:color="auto" w:fill="D9D9D9" w:themeFill="background1" w:themeFillShade="D9"/>
          </w:tcPr>
          <w:p w14:paraId="338B4753" w14:textId="77777777" w:rsidR="005D174E" w:rsidRPr="00CF7500" w:rsidRDefault="005D174E" w:rsidP="005D174E">
            <w:pPr>
              <w:pStyle w:val="TableText"/>
              <w:spacing w:before="0" w:after="0" w:line="240" w:lineRule="auto"/>
              <w:ind w:left="227" w:hanging="227"/>
              <w:jc w:val="left"/>
              <w:rPr>
                <w:rFonts w:ascii="Times New Roman" w:hAnsi="Times New Roman" w:cs="Times New Roman"/>
                <w:color w:val="262626" w:themeColor="text1" w:themeTint="D9"/>
                <w:sz w:val="20"/>
                <w:szCs w:val="20"/>
              </w:rPr>
            </w:pPr>
          </w:p>
          <w:p w14:paraId="013C0F9A" w14:textId="77777777" w:rsidR="005D174E" w:rsidRPr="00CF7500" w:rsidRDefault="005D174E" w:rsidP="005D174E">
            <w:pPr>
              <w:pStyle w:val="TableText"/>
              <w:spacing w:before="0" w:after="0" w:line="240" w:lineRule="auto"/>
              <w:ind w:left="227" w:hanging="227"/>
              <w:jc w:val="left"/>
              <w:rPr>
                <w:rFonts w:ascii="Times New Roman" w:hAnsi="Times New Roman" w:cs="Times New Roman"/>
                <w:color w:val="262626" w:themeColor="text1" w:themeTint="D9"/>
                <w:sz w:val="20"/>
                <w:szCs w:val="20"/>
              </w:rPr>
            </w:pPr>
          </w:p>
        </w:tc>
      </w:tr>
    </w:tbl>
    <w:p w14:paraId="14A39194" w14:textId="77777777" w:rsidR="00924987" w:rsidRPr="003900C7" w:rsidRDefault="00924987">
      <w:pPr>
        <w:spacing w:line="240" w:lineRule="auto"/>
        <w:ind w:firstLine="0"/>
        <w:jc w:val="left"/>
        <w:rPr>
          <w:b/>
          <w:bCs/>
          <w:iCs/>
        </w:rPr>
      </w:pPr>
      <w:r w:rsidRPr="001C35FA">
        <w:br w:type="page"/>
      </w:r>
    </w:p>
    <w:p w14:paraId="4D13F95C" w14:textId="77777777" w:rsidR="00676F76" w:rsidRDefault="00481094" w:rsidP="00CF7500">
      <w:pPr>
        <w:pStyle w:val="Heading1"/>
      </w:pPr>
      <w:r w:rsidRPr="003900C7">
        <w:rPr>
          <w:szCs w:val="24"/>
        </w:rPr>
        <w:t>Financial Drivers</w:t>
      </w:r>
    </w:p>
    <w:p w14:paraId="12520BFA" w14:textId="69762959" w:rsidR="00481094" w:rsidRPr="001C35FA" w:rsidRDefault="00481094" w:rsidP="004F76E2">
      <w:r w:rsidRPr="001C35FA">
        <w:t xml:space="preserve">The financial innovations of the early 1980s were crucial to the growth of LBOs and MBOs, which functioned as market catalysts for corporate restructuring </w:t>
      </w:r>
      <w:r w:rsidR="004364A9" w:rsidRPr="001C35FA">
        <w:t>(</w:t>
      </w:r>
      <w:r w:rsidRPr="001C35FA">
        <w:t>Renneboog, Simons,</w:t>
      </w:r>
      <w:r w:rsidR="008B1122" w:rsidRPr="001C35FA">
        <w:t xml:space="preserve"> and </w:t>
      </w:r>
      <w:r w:rsidRPr="001C35FA">
        <w:t>Wright</w:t>
      </w:r>
      <w:r w:rsidR="00816CC5" w:rsidRPr="001C35FA">
        <w:t xml:space="preserve">, </w:t>
      </w:r>
      <w:r w:rsidRPr="001C35FA">
        <w:t>200</w:t>
      </w:r>
      <w:r w:rsidR="00DB3687">
        <w:t>7</w:t>
      </w:r>
      <w:r w:rsidR="004364A9" w:rsidRPr="001C35FA">
        <w:t>)</w:t>
      </w:r>
      <w:r w:rsidRPr="001C35FA">
        <w:t xml:space="preserve">. With the emergence of new sources of finance, private equity firms could acquire companies using massive amounts of debt. This debt in turn could be used to optimize the capital structure of the portfolio company in order to take full advantage of the resulting tax shield. The application of the financial innovations and associated tools and methods become known as financial engineering </w:t>
      </w:r>
      <w:r w:rsidR="004364A9" w:rsidRPr="001C35FA">
        <w:t>(</w:t>
      </w:r>
      <w:r w:rsidRPr="001C35FA">
        <w:t>Lieber</w:t>
      </w:r>
      <w:r w:rsidR="00816CC5" w:rsidRPr="001C35FA">
        <w:t xml:space="preserve">, </w:t>
      </w:r>
      <w:r w:rsidR="00595C0F" w:rsidRPr="001C35FA">
        <w:t>2</w:t>
      </w:r>
      <w:r w:rsidRPr="001C35FA">
        <w:t>004</w:t>
      </w:r>
      <w:r w:rsidR="00330D10" w:rsidRPr="001C35FA">
        <w:t>)</w:t>
      </w:r>
      <w:r w:rsidRPr="001C35FA">
        <w:t>.</w:t>
      </w:r>
    </w:p>
    <w:p w14:paraId="70A22938" w14:textId="77777777" w:rsidR="00481094" w:rsidRPr="001C35FA" w:rsidRDefault="00481094" w:rsidP="004F76E2">
      <w:r w:rsidRPr="001C35FA">
        <w:t xml:space="preserve">By the capital structure of the firm, we often refer to the combination of debt and equity by which </w:t>
      </w:r>
      <w:r w:rsidR="00DB5691" w:rsidRPr="001C35FA">
        <w:t>an operating firm is financed</w:t>
      </w:r>
      <w:r w:rsidR="001866D5" w:rsidRPr="001C35FA">
        <w:t>. T</w:t>
      </w:r>
      <w:r w:rsidRPr="001C35FA">
        <w:t xml:space="preserve">he most common forms </w:t>
      </w:r>
      <w:r w:rsidR="00DB5691" w:rsidRPr="001C35FA">
        <w:t xml:space="preserve">of debt </w:t>
      </w:r>
      <w:r w:rsidRPr="001C35FA">
        <w:t xml:space="preserve">in the buyout context are subordinate and senior debt, vendor notes, bridge loans, and mezzanine debt. Equity is often decomposed into two classes, i.e. the common and preferred shares of the firm. </w:t>
      </w:r>
    </w:p>
    <w:p w14:paraId="18143A6A" w14:textId="77777777" w:rsidR="00676F76" w:rsidRDefault="008C31C9" w:rsidP="00CF7500">
      <w:pPr>
        <w:pStyle w:val="Heading2"/>
      </w:pPr>
      <w:r w:rsidRPr="00CF7500">
        <w:t>Financial Expertise and Contact Networks</w:t>
      </w:r>
    </w:p>
    <w:p w14:paraId="5B11ABBB" w14:textId="0A594AD1" w:rsidR="00481094" w:rsidRPr="001C35FA" w:rsidRDefault="00481094" w:rsidP="00D30E35">
      <w:r w:rsidRPr="001C35FA">
        <w:t xml:space="preserve">At the core of the leveraged buyout is the sophisticated use of debt to finance the acquisition. </w:t>
      </w:r>
      <w:r w:rsidR="0050169D" w:rsidRPr="001C35FA">
        <w:t>In fact, Zarutskie</w:t>
      </w:r>
      <w:r w:rsidR="005B111B">
        <w:t xml:space="preserve"> (</w:t>
      </w:r>
      <w:r w:rsidR="0050169D" w:rsidRPr="001C35FA">
        <w:t>2010</w:t>
      </w:r>
      <w:r w:rsidR="005B111B">
        <w:t>)</w:t>
      </w:r>
      <w:r w:rsidR="0050169D" w:rsidRPr="001C35FA">
        <w:t xml:space="preserve"> finds evidence that private equity buyout fund teams with more experience in finance outpe</w:t>
      </w:r>
      <w:r w:rsidR="00ED0442" w:rsidRPr="001C35FA">
        <w:t xml:space="preserve">rform funds teams that lack </w:t>
      </w:r>
      <w:r w:rsidR="000D6BEF" w:rsidRPr="001C35FA">
        <w:t>it</w:t>
      </w:r>
      <w:r w:rsidR="0050169D" w:rsidRPr="001C35FA">
        <w:t xml:space="preserve">. </w:t>
      </w:r>
      <w:r w:rsidR="00ED0442" w:rsidRPr="001C35FA">
        <w:t>One reason is that d</w:t>
      </w:r>
      <w:r w:rsidR="00C44D89" w:rsidRPr="001C35FA">
        <w:t xml:space="preserve">ue to the </w:t>
      </w:r>
      <w:r w:rsidRPr="001C35FA">
        <w:t xml:space="preserve">reputation </w:t>
      </w:r>
      <w:r w:rsidR="00C44D89" w:rsidRPr="001C35FA">
        <w:t xml:space="preserve">as trustworthy lenders, </w:t>
      </w:r>
      <w:r w:rsidR="00ED0442" w:rsidRPr="001C35FA">
        <w:t xml:space="preserve">private equity firms </w:t>
      </w:r>
      <w:r w:rsidRPr="001C35FA">
        <w:t>receive narrower bank loan spreads and access to more debt, and at a lower cost from institutional loan markets.</w:t>
      </w:r>
      <w:r w:rsidR="00C44D89" w:rsidRPr="001C35FA">
        <w:t xml:space="preserve"> </w:t>
      </w:r>
      <w:r w:rsidR="008B1122" w:rsidRPr="001C35FA">
        <w:t>In this respect</w:t>
      </w:r>
      <w:r w:rsidR="00B218E0" w:rsidRPr="001C35FA">
        <w:t xml:space="preserve">, </w:t>
      </w:r>
      <w:r w:rsidR="00C44D89" w:rsidRPr="001C35FA">
        <w:t>Ivashina and Kovner</w:t>
      </w:r>
      <w:r w:rsidR="00816CC5" w:rsidRPr="001C35FA">
        <w:t xml:space="preserve"> </w:t>
      </w:r>
      <w:r w:rsidR="005B111B">
        <w:t>(</w:t>
      </w:r>
      <w:r w:rsidR="00C44D89" w:rsidRPr="001C35FA">
        <w:t>201</w:t>
      </w:r>
      <w:r w:rsidR="00B218E0" w:rsidRPr="001C35FA">
        <w:t>1</w:t>
      </w:r>
      <w:r w:rsidR="005B111B">
        <w:t>)</w:t>
      </w:r>
      <w:r w:rsidR="00C44D89" w:rsidRPr="001C35FA">
        <w:t xml:space="preserve"> find that </w:t>
      </w:r>
      <w:r w:rsidR="00B00587" w:rsidRPr="001C35FA">
        <w:t xml:space="preserve">the </w:t>
      </w:r>
      <w:r w:rsidR="000564C6" w:rsidRPr="001C35FA">
        <w:t xml:space="preserve">banking </w:t>
      </w:r>
      <w:r w:rsidRPr="001C35FA">
        <w:t xml:space="preserve">advantages </w:t>
      </w:r>
      <w:r w:rsidR="00B00587" w:rsidRPr="001C35FA">
        <w:t xml:space="preserve">to PE firms from repeated interactions </w:t>
      </w:r>
      <w:r w:rsidR="006314E3" w:rsidRPr="001C35FA">
        <w:t xml:space="preserve">and </w:t>
      </w:r>
      <w:r w:rsidR="000564C6" w:rsidRPr="001C35FA">
        <w:t xml:space="preserve">the </w:t>
      </w:r>
      <w:r w:rsidR="00B00587" w:rsidRPr="001C35FA">
        <w:t xml:space="preserve">cross-selling </w:t>
      </w:r>
      <w:r w:rsidR="00E013DB" w:rsidRPr="001C35FA">
        <w:t>service potential</w:t>
      </w:r>
      <w:r w:rsidR="006314E3" w:rsidRPr="001C35FA">
        <w:t xml:space="preserve"> </w:t>
      </w:r>
      <w:r w:rsidRPr="001C35FA">
        <w:t>translate</w:t>
      </w:r>
      <w:r w:rsidR="00B00587" w:rsidRPr="001C35FA">
        <w:t>s</w:t>
      </w:r>
      <w:r w:rsidRPr="001C35FA">
        <w:t xml:space="preserve"> into a 4% increase in equity return for buyout firm</w:t>
      </w:r>
      <w:r w:rsidR="00B00587" w:rsidRPr="001C35FA">
        <w:t>s</w:t>
      </w:r>
      <w:r w:rsidRPr="001C35FA">
        <w:t>.</w:t>
      </w:r>
    </w:p>
    <w:p w14:paraId="4FF5F9C0" w14:textId="77777777" w:rsidR="00676F76" w:rsidRDefault="008C31C9" w:rsidP="00CF7500">
      <w:pPr>
        <w:pStyle w:val="Heading2"/>
      </w:pPr>
      <w:r w:rsidRPr="00CF7500">
        <w:t>Debt Market Cycles: Mispricing vs. Overheating</w:t>
      </w:r>
    </w:p>
    <w:p w14:paraId="2A7B2C45" w14:textId="2ABD66F4" w:rsidR="00481094" w:rsidRPr="001C35FA" w:rsidRDefault="00B00587" w:rsidP="005C1CE6">
      <w:r w:rsidRPr="001C35FA">
        <w:t xml:space="preserve">PE </w:t>
      </w:r>
      <w:r w:rsidR="00481094" w:rsidRPr="001C35FA">
        <w:t xml:space="preserve">firms attempt to take advantage of market mispricing between debt and equity markets by financing with public equity issues during periods of low market returns and debt issues during periods of high returns </w:t>
      </w:r>
      <w:r w:rsidR="004364A9" w:rsidRPr="001C35FA">
        <w:t>(</w:t>
      </w:r>
      <w:r w:rsidR="00481094" w:rsidRPr="001C35FA">
        <w:t>Baker, Greenwood,</w:t>
      </w:r>
      <w:r w:rsidR="008B1122" w:rsidRPr="001C35FA">
        <w:t xml:space="preserve"> and </w:t>
      </w:r>
      <w:r w:rsidR="00481094" w:rsidRPr="001C35FA">
        <w:t>Wurgler</w:t>
      </w:r>
      <w:r w:rsidR="00816CC5" w:rsidRPr="001C35FA">
        <w:t xml:space="preserve">, </w:t>
      </w:r>
      <w:r w:rsidR="00595C0F" w:rsidRPr="001C35FA">
        <w:t>2</w:t>
      </w:r>
      <w:r w:rsidR="00481094" w:rsidRPr="001C35FA">
        <w:t>003</w:t>
      </w:r>
      <w:r w:rsidR="00330D10" w:rsidRPr="001C35FA">
        <w:t>)</w:t>
      </w:r>
      <w:r w:rsidR="00481094" w:rsidRPr="001C35FA">
        <w:t>.</w:t>
      </w:r>
      <w:r w:rsidR="005C1CE6" w:rsidRPr="001C35FA">
        <w:t xml:space="preserve"> </w:t>
      </w:r>
      <w:r w:rsidR="006314E3" w:rsidRPr="001C35FA">
        <w:t>Yet</w:t>
      </w:r>
      <w:r w:rsidR="005C1CE6" w:rsidRPr="001C35FA">
        <w:t>,</w:t>
      </w:r>
      <w:r w:rsidR="00481094" w:rsidRPr="001C35FA">
        <w:t xml:space="preserve"> </w:t>
      </w:r>
      <w:r w:rsidR="005C1CE6" w:rsidRPr="001C35FA">
        <w:t xml:space="preserve">timing liquidity markets is a double edged sword. </w:t>
      </w:r>
      <w:r w:rsidR="007E126E" w:rsidRPr="001C35FA">
        <w:t>B</w:t>
      </w:r>
      <w:r w:rsidR="00481094" w:rsidRPr="001C35FA">
        <w:t xml:space="preserve">uyout funds </w:t>
      </w:r>
      <w:r w:rsidR="007E126E" w:rsidRPr="001C35FA">
        <w:t xml:space="preserve">might </w:t>
      </w:r>
      <w:r w:rsidR="00481094" w:rsidRPr="001C35FA">
        <w:t>accelerate their investment flows and the quantity of leverage when credit conditions are loosened</w:t>
      </w:r>
      <w:r w:rsidR="006314E3" w:rsidRPr="001C35FA">
        <w:t>, which increases competition and</w:t>
      </w:r>
      <w:r w:rsidR="00481094" w:rsidRPr="001C35FA">
        <w:t xml:space="preserve"> raises price levels </w:t>
      </w:r>
      <w:r w:rsidR="006314E3" w:rsidRPr="001C35FA">
        <w:t>on private equity markets, which in turn cause</w:t>
      </w:r>
      <w:r w:rsidR="00481094" w:rsidRPr="001C35FA">
        <w:t xml:space="preserve"> average returns to deteriorate. </w:t>
      </w:r>
      <w:r w:rsidR="007E126E" w:rsidRPr="001C35FA">
        <w:t>For instance, Axelson, Jenkinson, Strömberg, and Weisbach</w:t>
      </w:r>
      <w:r w:rsidR="00816CC5" w:rsidRPr="001C35FA">
        <w:t xml:space="preserve"> </w:t>
      </w:r>
      <w:r w:rsidR="005B111B">
        <w:t>(</w:t>
      </w:r>
      <w:r w:rsidR="007E126E" w:rsidRPr="001C35FA">
        <w:t>2013</w:t>
      </w:r>
      <w:r w:rsidR="005B111B">
        <w:t>)</w:t>
      </w:r>
      <w:r w:rsidR="005C1CE6" w:rsidRPr="001C35FA">
        <w:t xml:space="preserve"> </w:t>
      </w:r>
      <w:r w:rsidR="00856D76" w:rsidRPr="001C35FA">
        <w:t xml:space="preserve">find </w:t>
      </w:r>
      <w:r w:rsidR="005C1CE6" w:rsidRPr="001C35FA">
        <w:t xml:space="preserve">that </w:t>
      </w:r>
      <w:r w:rsidR="00481094" w:rsidRPr="001C35FA">
        <w:t>highly leveraged deals were consistently associated with lower fu</w:t>
      </w:r>
      <w:r w:rsidR="005C1CE6" w:rsidRPr="001C35FA">
        <w:t>nd level returns for investors</w:t>
      </w:r>
      <w:r w:rsidR="007E126E" w:rsidRPr="001C35FA">
        <w:t xml:space="preserve">. The reason is that </w:t>
      </w:r>
      <w:r w:rsidR="005B111B">
        <w:t xml:space="preserve">acquirers tend to overpay the target when </w:t>
      </w:r>
      <w:r w:rsidR="005B111B" w:rsidRPr="001C35FA">
        <w:t>access to credit is easier</w:t>
      </w:r>
      <w:r w:rsidR="005B111B">
        <w:t>,</w:t>
      </w:r>
      <w:r w:rsidR="007E126E" w:rsidRPr="001C35FA">
        <w:t xml:space="preserve"> </w:t>
      </w:r>
      <w:r w:rsidR="008B1122" w:rsidRPr="001C35FA">
        <w:t xml:space="preserve">therefore </w:t>
      </w:r>
      <w:r w:rsidR="007E126E" w:rsidRPr="001C35FA">
        <w:t>lower</w:t>
      </w:r>
      <w:r w:rsidR="00BB27F5">
        <w:t xml:space="preserve">ing their </w:t>
      </w:r>
      <w:r w:rsidR="007E126E" w:rsidRPr="001C35FA">
        <w:t>returns.</w:t>
      </w:r>
    </w:p>
    <w:p w14:paraId="525E0DA9" w14:textId="77777777" w:rsidR="00676F76" w:rsidRDefault="008C31C9" w:rsidP="00CF7500">
      <w:pPr>
        <w:pStyle w:val="Heading2"/>
      </w:pPr>
      <w:r w:rsidRPr="00CF7500">
        <w:t>Alleviating Capital Market Constraints</w:t>
      </w:r>
    </w:p>
    <w:p w14:paraId="7D3EE7E1" w14:textId="36737AE1" w:rsidR="00481094" w:rsidRPr="001C35FA" w:rsidRDefault="00481094" w:rsidP="004F76E2">
      <w:r w:rsidRPr="001C35FA">
        <w:t xml:space="preserve">A mechanism for value creation that has received surprisingly little attention by academics is that private equity firms can function as a market substitute for weak capital markets by enabling capital allocation for companies with growth potential. </w:t>
      </w:r>
      <w:r w:rsidR="005C1CE6" w:rsidRPr="001C35FA">
        <w:t xml:space="preserve">There is </w:t>
      </w:r>
      <w:r w:rsidRPr="001C35FA">
        <w:t>evidence that private equity has alleviated capital market constraints</w:t>
      </w:r>
      <w:r w:rsidR="00E7560E" w:rsidRPr="001C35FA">
        <w:t xml:space="preserve">. </w:t>
      </w:r>
      <w:r w:rsidR="005C1CE6" w:rsidRPr="001C35FA">
        <w:t>Boucly, Sraer, and Thesmar</w:t>
      </w:r>
      <w:r w:rsidR="008B1122" w:rsidRPr="001C35FA">
        <w:t xml:space="preserve"> (</w:t>
      </w:r>
      <w:r w:rsidR="005C1CE6" w:rsidRPr="001C35FA">
        <w:t>20</w:t>
      </w:r>
      <w:r w:rsidR="00E7560E" w:rsidRPr="001C35FA">
        <w:t>1</w:t>
      </w:r>
      <w:r w:rsidR="00822091">
        <w:t>1</w:t>
      </w:r>
      <w:r w:rsidR="008B1122" w:rsidRPr="001C35FA">
        <w:t>)</w:t>
      </w:r>
      <w:r w:rsidR="00E7560E" w:rsidRPr="001C35FA">
        <w:t xml:space="preserve"> find that, in the three ye</w:t>
      </w:r>
      <w:r w:rsidR="00294E18" w:rsidRPr="001C35FA">
        <w:t>ars following a leverage buyout</w:t>
      </w:r>
      <w:r w:rsidR="00E7560E" w:rsidRPr="001C35FA">
        <w:t>, target firms become more profitable, grow much faster and increase capital expenditures</w:t>
      </w:r>
      <w:r w:rsidRPr="001C35FA">
        <w:t>.</w:t>
      </w:r>
      <w:r w:rsidR="006C0E8D" w:rsidRPr="001C35FA">
        <w:t xml:space="preserve"> </w:t>
      </w:r>
      <w:r w:rsidR="00E7560E" w:rsidRPr="001C35FA">
        <w:t xml:space="preserve">This suggests that private equity create value by relaxing credit </w:t>
      </w:r>
      <w:r w:rsidR="00436352" w:rsidRPr="001C35FA">
        <w:t>constrain</w:t>
      </w:r>
      <w:r w:rsidR="00546FAC">
        <w:t>t</w:t>
      </w:r>
      <w:r w:rsidR="00436352" w:rsidRPr="001C35FA">
        <w:t>s, allowing the target firm to take advantage of hitherto unexploited growth opportunities.</w:t>
      </w:r>
      <w:r w:rsidR="00E7560E" w:rsidRPr="001C35FA">
        <w:t xml:space="preserve"> </w:t>
      </w:r>
      <w:r w:rsidR="006C0E8D" w:rsidRPr="001C35FA">
        <w:t>Further</w:t>
      </w:r>
      <w:r w:rsidR="00436352" w:rsidRPr="001C35FA">
        <w:t xml:space="preserve"> </w:t>
      </w:r>
      <w:r w:rsidR="006C0E8D" w:rsidRPr="001C35FA">
        <w:t>evidence also shows that the reduction in capital constraints involved in buyouts also contribute</w:t>
      </w:r>
      <w:r w:rsidR="00436352" w:rsidRPr="001C35FA">
        <w:t>s</w:t>
      </w:r>
      <w:r w:rsidR="006C0E8D" w:rsidRPr="001C35FA">
        <w:t xml:space="preserve"> to an increase in innovative activity (Amess, Stiebale and Wright</w:t>
      </w:r>
      <w:r w:rsidR="00816CC5" w:rsidRPr="001C35FA">
        <w:t xml:space="preserve">, </w:t>
      </w:r>
      <w:r w:rsidR="006C0E8D" w:rsidRPr="001C35FA">
        <w:t>2015</w:t>
      </w:r>
      <w:r w:rsidR="009C5C6B" w:rsidRPr="001C35FA">
        <w:t>; Ughetto, 2016</w:t>
      </w:r>
      <w:r w:rsidR="006C0E8D" w:rsidRPr="001C35FA">
        <w:t>).</w:t>
      </w:r>
    </w:p>
    <w:p w14:paraId="71529A9F" w14:textId="77777777" w:rsidR="00676F76" w:rsidRDefault="008C31C9" w:rsidP="00CF7500">
      <w:pPr>
        <w:pStyle w:val="Heading2"/>
      </w:pPr>
      <w:r w:rsidRPr="00CF7500">
        <w:t>The effects of high-leverage: inflating gains, inducing effort</w:t>
      </w:r>
    </w:p>
    <w:p w14:paraId="0902B795" w14:textId="25719471" w:rsidR="00481094" w:rsidRPr="001C35FA" w:rsidRDefault="00481094" w:rsidP="004F76E2">
      <w:r w:rsidRPr="001C35FA">
        <w:t xml:space="preserve">The principal function of increased leverage is to permit the private equity firm to acquire a larger buyout target firm. </w:t>
      </w:r>
      <w:r w:rsidR="000D6BEF" w:rsidRPr="001C35FA">
        <w:t xml:space="preserve">When </w:t>
      </w:r>
      <w:r w:rsidRPr="001C35FA">
        <w:t xml:space="preserve">an investment generates sufficient levels of stable cash flows, there is support for the notion that increased leverage can </w:t>
      </w:r>
      <w:r w:rsidR="00AA219F" w:rsidRPr="001C35FA">
        <w:t>be a source of value generation</w:t>
      </w:r>
      <w:r w:rsidRPr="001C35FA">
        <w:t xml:space="preserve">. </w:t>
      </w:r>
      <w:r w:rsidR="00AA219F" w:rsidRPr="00993517">
        <w:t>A</w:t>
      </w:r>
      <w:r w:rsidRPr="00993517">
        <w:t xml:space="preserve"> study of buyouts in the U.K. finds that</w:t>
      </w:r>
      <w:r w:rsidR="00993517" w:rsidRPr="00993517">
        <w:t xml:space="preserve">, controlling for market return adjusted for a portfolio with the same systematic risk as the buyout, </w:t>
      </w:r>
      <w:r w:rsidRPr="00993517">
        <w:t xml:space="preserve">leverage significantly inflates </w:t>
      </w:r>
      <w:r w:rsidR="00993517" w:rsidRPr="00583051">
        <w:t xml:space="preserve">raw </w:t>
      </w:r>
      <w:r w:rsidRPr="00993517">
        <w:t xml:space="preserve">equity returns </w:t>
      </w:r>
      <w:r w:rsidR="004364A9" w:rsidRPr="00993517">
        <w:t>(</w:t>
      </w:r>
      <w:r w:rsidRPr="00993517">
        <w:t xml:space="preserve">Valkama, Maula, Nikoskelainen, </w:t>
      </w:r>
      <w:r w:rsidR="008B1122" w:rsidRPr="00993517">
        <w:t>and</w:t>
      </w:r>
      <w:r w:rsidRPr="00993517">
        <w:t xml:space="preserve"> Wright</w:t>
      </w:r>
      <w:r w:rsidR="00816CC5" w:rsidRPr="00993517">
        <w:t xml:space="preserve">, </w:t>
      </w:r>
      <w:r w:rsidR="00595C0F" w:rsidRPr="00993517">
        <w:t>2</w:t>
      </w:r>
      <w:r w:rsidRPr="00993517">
        <w:t>01</w:t>
      </w:r>
      <w:r w:rsidR="00C53038" w:rsidRPr="00993517">
        <w:t>3</w:t>
      </w:r>
      <w:r w:rsidR="00330D10" w:rsidRPr="00993517">
        <w:t>)</w:t>
      </w:r>
      <w:r w:rsidRPr="00993517">
        <w:t>.</w:t>
      </w:r>
      <w:r w:rsidR="00AA219F" w:rsidRPr="001C35FA">
        <w:t xml:space="preserve"> </w:t>
      </w:r>
    </w:p>
    <w:p w14:paraId="48497F4F" w14:textId="780A0CB7" w:rsidR="00481094" w:rsidRPr="001C35FA" w:rsidRDefault="00AA219F" w:rsidP="004F76E2">
      <w:r w:rsidRPr="001C35FA">
        <w:t xml:space="preserve">A secondary, </w:t>
      </w:r>
      <w:r w:rsidR="00481094" w:rsidRPr="001C35FA">
        <w:t xml:space="preserve">indirect effect of high levels of debt </w:t>
      </w:r>
      <w:r w:rsidRPr="001C35FA">
        <w:t>is that this can</w:t>
      </w:r>
      <w:r w:rsidR="00481094" w:rsidRPr="001C35FA">
        <w:t xml:space="preserve"> induce management to behave in ways that benefit investors </w:t>
      </w:r>
      <w:r w:rsidRPr="001C35FA">
        <w:t>by mitigating</w:t>
      </w:r>
      <w:r w:rsidR="00481094" w:rsidRPr="001C35FA">
        <w:t xml:space="preserve"> </w:t>
      </w:r>
      <w:r w:rsidRPr="001C35FA">
        <w:t>agency costs</w:t>
      </w:r>
      <w:r w:rsidR="00481094" w:rsidRPr="001C35FA">
        <w:t xml:space="preserve"> </w:t>
      </w:r>
      <w:r w:rsidR="004364A9" w:rsidRPr="001C35FA">
        <w:t>(</w:t>
      </w:r>
      <w:r w:rsidR="00481094" w:rsidRPr="001C35FA">
        <w:t>Jensen</w:t>
      </w:r>
      <w:r w:rsidR="00816CC5" w:rsidRPr="001C35FA">
        <w:t xml:space="preserve">, </w:t>
      </w:r>
      <w:r w:rsidR="00595C0F" w:rsidRPr="001C35FA">
        <w:t>1</w:t>
      </w:r>
      <w:r w:rsidR="00481094" w:rsidRPr="001C35FA">
        <w:t>986</w:t>
      </w:r>
      <w:r w:rsidR="00330D10" w:rsidRPr="001C35FA">
        <w:t>)</w:t>
      </w:r>
      <w:r w:rsidR="00481094" w:rsidRPr="001C35FA">
        <w:t xml:space="preserve">. The reasoning is that high levels of debt expose management to the personal costs of bankruptcy, which </w:t>
      </w:r>
      <w:r w:rsidR="00DF4D28" w:rsidRPr="001C35FA">
        <w:t>forces the managers to efficiently run the company to avoid default (Cotter and Peck, 2001)</w:t>
      </w:r>
      <w:r w:rsidRPr="001C35FA">
        <w:t>.</w:t>
      </w:r>
    </w:p>
    <w:p w14:paraId="46A5CBAC" w14:textId="77777777" w:rsidR="00676F76" w:rsidRDefault="008C31C9" w:rsidP="00CF7500">
      <w:pPr>
        <w:pStyle w:val="Heading2"/>
      </w:pPr>
      <w:r w:rsidRPr="00CF7500">
        <w:t>Capital Structure Optimization in Buyouts</w:t>
      </w:r>
    </w:p>
    <w:p w14:paraId="61835462" w14:textId="3E6DF3AF" w:rsidR="00695B2E" w:rsidRPr="001C35FA" w:rsidRDefault="00481094" w:rsidP="00695B2E">
      <w:r w:rsidRPr="001C35FA">
        <w:t>Capital structure refers to the mix of debt and equity that finances the operative firm in the short and long term. The optimal capital structure is, in simple terms, one that strikes a balance between the debt-to-equity ratio while minimizing the cost of capital. While debt tends to minimize the cost of capital because of tax deductibility, it increases the risk of the firm at the same time. The main disadvantage</w:t>
      </w:r>
      <w:r w:rsidR="000761CF" w:rsidRPr="001C35FA">
        <w:t>s</w:t>
      </w:r>
      <w:r w:rsidRPr="001C35FA">
        <w:t xml:space="preserve"> with increased levels of debt is the increased exposure to financial distress due to market shocks </w:t>
      </w:r>
      <w:r w:rsidR="000761CF" w:rsidRPr="001C35FA">
        <w:t>a</w:t>
      </w:r>
      <w:r w:rsidR="00695B2E" w:rsidRPr="001C35FA">
        <w:t xml:space="preserve">nd sudden shortfalls in demand </w:t>
      </w:r>
      <w:r w:rsidR="004364A9" w:rsidRPr="001C35FA">
        <w:t>(</w:t>
      </w:r>
      <w:r w:rsidRPr="001C35FA">
        <w:t>Palepu</w:t>
      </w:r>
      <w:r w:rsidR="00816CC5" w:rsidRPr="001C35FA">
        <w:t xml:space="preserve">, </w:t>
      </w:r>
      <w:r w:rsidR="00595C0F" w:rsidRPr="001C35FA">
        <w:t>1</w:t>
      </w:r>
      <w:r w:rsidRPr="001C35FA">
        <w:t>990</w:t>
      </w:r>
      <w:r w:rsidR="00330D10" w:rsidRPr="001C35FA">
        <w:t>)</w:t>
      </w:r>
      <w:r w:rsidR="00695B2E" w:rsidRPr="001C35FA">
        <w:t>.</w:t>
      </w:r>
    </w:p>
    <w:p w14:paraId="064917B6" w14:textId="252D422D" w:rsidR="00695B2E" w:rsidRPr="001C35FA" w:rsidRDefault="00481094" w:rsidP="00695B2E">
      <w:r w:rsidRPr="001C35FA">
        <w:t xml:space="preserve">However, while the risk for insolvency increases with </w:t>
      </w:r>
      <w:r w:rsidR="00325998">
        <w:t xml:space="preserve">higher debt, </w:t>
      </w:r>
      <w:r w:rsidR="006C0E8D" w:rsidRPr="001C35FA">
        <w:t xml:space="preserve">private equity firms tend to </w:t>
      </w:r>
      <w:r w:rsidR="007F4F6C">
        <w:t xml:space="preserve">fare well by </w:t>
      </w:r>
      <w:r w:rsidR="006C0E8D" w:rsidRPr="001C35FA">
        <w:t>select</w:t>
      </w:r>
      <w:r w:rsidR="007F4F6C">
        <w:t>ing</w:t>
      </w:r>
      <w:r w:rsidR="006C0E8D" w:rsidRPr="001C35FA">
        <w:t xml:space="preserve"> firms for investment that have stronger and more stable cash flows than their sector</w:t>
      </w:r>
      <w:r w:rsidR="007F4F6C">
        <w:t>. Consequently, t</w:t>
      </w:r>
      <w:r w:rsidR="006C0E8D" w:rsidRPr="001C35FA">
        <w:t xml:space="preserve">here is little significant difference in failure rates of buyouts </w:t>
      </w:r>
      <w:r w:rsidR="007F4F6C">
        <w:t>relative</w:t>
      </w:r>
      <w:r w:rsidR="00162F52" w:rsidRPr="001C35FA">
        <w:t xml:space="preserve"> to </w:t>
      </w:r>
      <w:r w:rsidR="006C0E8D" w:rsidRPr="001C35FA">
        <w:t xml:space="preserve">comparable firms that have not experienced a buyout </w:t>
      </w:r>
      <w:r w:rsidR="00162F52" w:rsidRPr="001C35FA">
        <w:t>(</w:t>
      </w:r>
      <w:r w:rsidR="006C0E8D" w:rsidRPr="001C35FA">
        <w:t>though this effect is particularly the case for MBOs</w:t>
      </w:r>
      <w:r w:rsidR="00E6782F">
        <w:t>,</w:t>
      </w:r>
      <w:r w:rsidR="006C0E8D" w:rsidRPr="001C35FA">
        <w:t xml:space="preserve"> but not for MBIs</w:t>
      </w:r>
      <w:r w:rsidR="00162F52" w:rsidRPr="001C35FA">
        <w:t>)</w:t>
      </w:r>
      <w:r w:rsidR="006C0E8D" w:rsidRPr="001C35FA">
        <w:t xml:space="preserve"> (Wilson and Wright, 2013). </w:t>
      </w:r>
    </w:p>
    <w:p w14:paraId="2C14B296" w14:textId="17818716" w:rsidR="00676F76" w:rsidRDefault="006313E3" w:rsidP="00CF7500">
      <w:r w:rsidRPr="003900C7">
        <w:t>Capital structure optimization</w:t>
      </w:r>
      <w:r w:rsidRPr="00DD57C8">
        <w:t xml:space="preserve"> in buyouts has been achieved also due to </w:t>
      </w:r>
      <w:r w:rsidRPr="001C35FA">
        <w:t>the diffusion</w:t>
      </w:r>
      <w:r w:rsidR="00104EA2" w:rsidRPr="001C35FA">
        <w:t xml:space="preserve"> </w:t>
      </w:r>
      <w:r w:rsidR="00481094" w:rsidRPr="001C35FA">
        <w:t xml:space="preserve">from the 2000s </w:t>
      </w:r>
      <w:r w:rsidRPr="001C35FA">
        <w:t xml:space="preserve">of </w:t>
      </w:r>
      <w:r w:rsidR="00481094" w:rsidRPr="001C35FA">
        <w:t xml:space="preserve">syndicated loans, which now account for a majority of the buyouts of large public firm in the U.S. and Europe. In syndicated loans, several commercial or investment banks pool together their resources to facilitate the deal financing. Another </w:t>
      </w:r>
      <w:r w:rsidR="00641966" w:rsidRPr="001C35FA">
        <w:t xml:space="preserve">innovation that is </w:t>
      </w:r>
      <w:r w:rsidR="00481094" w:rsidRPr="001C35FA">
        <w:t xml:space="preserve">especially </w:t>
      </w:r>
      <w:r w:rsidR="00641966" w:rsidRPr="001C35FA">
        <w:t xml:space="preserve">common in the U.S. </w:t>
      </w:r>
      <w:r w:rsidR="00481094" w:rsidRPr="001C35FA">
        <w:t>is the development towards all-bullet loan structures</w:t>
      </w:r>
      <w:r w:rsidR="00683FF9">
        <w:t xml:space="preserve">, i.e. </w:t>
      </w:r>
      <w:r w:rsidR="00610A5F" w:rsidRPr="00610A5F">
        <w:t>an instrument whereby the entire principal of the loan, including the interest, is due at the end of the loan term</w:t>
      </w:r>
      <w:r w:rsidR="00610A5F">
        <w:t>.</w:t>
      </w:r>
      <w:r w:rsidR="00610A5F" w:rsidRPr="00610A5F">
        <w:t xml:space="preserve"> </w:t>
      </w:r>
      <w:r w:rsidR="00641966" w:rsidRPr="001C35FA">
        <w:t>Likewise, an</w:t>
      </w:r>
      <w:r w:rsidR="00481094" w:rsidRPr="001C35FA">
        <w:t xml:space="preserve"> increasingly used financial instrument is strip financing</w:t>
      </w:r>
      <w:r w:rsidR="006C0E8D" w:rsidRPr="001C35FA">
        <w:t xml:space="preserve"> (or unitranche)</w:t>
      </w:r>
      <w:r w:rsidR="00481094" w:rsidRPr="001C35FA">
        <w:t>, whereby the returns to finance providers are derived from multiple tranches of the capital structure, i.e. subordinated debt, preferred stock, and common stock</w:t>
      </w:r>
      <w:r w:rsidR="00683FF9" w:rsidRPr="00683FF9">
        <w:t xml:space="preserve"> (Chapman &amp; Klein, 20</w:t>
      </w:r>
      <w:r w:rsidR="00D827B2">
        <w:t>11</w:t>
      </w:r>
      <w:r w:rsidR="00683FF9" w:rsidRPr="00683FF9">
        <w:t xml:space="preserve">). The </w:t>
      </w:r>
      <w:r w:rsidR="00683FF9">
        <w:t>purpose</w:t>
      </w:r>
      <w:r w:rsidR="00683FF9" w:rsidRPr="00683FF9">
        <w:t xml:space="preserve"> </w:t>
      </w:r>
      <w:r w:rsidR="00E047DF">
        <w:t xml:space="preserve">is </w:t>
      </w:r>
      <w:r w:rsidR="00683FF9" w:rsidRPr="00683FF9">
        <w:t>to foster greater goal congruen</w:t>
      </w:r>
      <w:r w:rsidR="00E047DF">
        <w:t xml:space="preserve">ce among investors and lenders </w:t>
      </w:r>
      <w:r w:rsidR="00683FF9" w:rsidRPr="00683FF9">
        <w:t xml:space="preserve">(Chapman &amp; Klein, </w:t>
      </w:r>
      <w:r w:rsidR="00D827B2" w:rsidRPr="00683FF9">
        <w:t>20</w:t>
      </w:r>
      <w:r w:rsidR="00D827B2">
        <w:t>11</w:t>
      </w:r>
      <w:r w:rsidR="00683FF9" w:rsidRPr="00683FF9">
        <w:t>)</w:t>
      </w:r>
      <w:r w:rsidR="00E047DF">
        <w:t>, which</w:t>
      </w:r>
      <w:r w:rsidR="00E047DF" w:rsidRPr="00683FF9">
        <w:t xml:space="preserve"> </w:t>
      </w:r>
      <w:r w:rsidR="00E047DF">
        <w:t>alleviates</w:t>
      </w:r>
      <w:r w:rsidR="00E047DF" w:rsidRPr="00683FF9">
        <w:t xml:space="preserve"> agency costs</w:t>
      </w:r>
      <w:r w:rsidR="00E047DF">
        <w:t xml:space="preserve"> by </w:t>
      </w:r>
      <w:r w:rsidR="00E047DF" w:rsidRPr="00E047DF">
        <w:t>risk/reward sharing</w:t>
      </w:r>
      <w:r w:rsidR="00E047DF">
        <w:t>.</w:t>
      </w:r>
    </w:p>
    <w:p w14:paraId="31140095" w14:textId="1D773929" w:rsidR="00481094" w:rsidRPr="001C35FA" w:rsidRDefault="000B12CA" w:rsidP="004F76E2">
      <w:r w:rsidRPr="001C35FA">
        <w:t>A</w:t>
      </w:r>
      <w:r w:rsidR="00AD5AE8" w:rsidRPr="001C35FA">
        <w:t xml:space="preserve"> </w:t>
      </w:r>
      <w:r w:rsidR="00481094" w:rsidRPr="001C35FA">
        <w:t xml:space="preserve">method for obtaining more efficient capital structures and lowering the cost of finance is the conversion of traditional assets into new sources of financing, </w:t>
      </w:r>
      <w:r w:rsidR="00641966" w:rsidRPr="001C35FA">
        <w:t>especially</w:t>
      </w:r>
      <w:r w:rsidR="00481094" w:rsidRPr="001C35FA">
        <w:t xml:space="preserve"> when a substantial amount of capital is tied up in fixed assets and non-cash, current assets. </w:t>
      </w:r>
      <w:r w:rsidRPr="001C35FA">
        <w:t>A</w:t>
      </w:r>
      <w:r w:rsidR="00481094" w:rsidRPr="001C35FA">
        <w:t xml:space="preserve">dditional capital </w:t>
      </w:r>
      <w:r w:rsidRPr="001C35FA">
        <w:t>can be raised by</w:t>
      </w:r>
      <w:r w:rsidR="00481094" w:rsidRPr="001C35FA">
        <w:t xml:space="preserve"> the securitization of assets into asset-backed securities </w:t>
      </w:r>
      <w:r w:rsidR="00D56755" w:rsidRPr="001C35FA">
        <w:t>(</w:t>
      </w:r>
      <w:r w:rsidR="00481094" w:rsidRPr="001C35FA">
        <w:t>ABS</w:t>
      </w:r>
      <w:r w:rsidR="00F90416" w:rsidRPr="001C35FA">
        <w:t>)</w:t>
      </w:r>
      <w:r w:rsidR="00481094" w:rsidRPr="001C35FA">
        <w:t xml:space="preserve"> and collateralized loan obligations </w:t>
      </w:r>
      <w:r w:rsidR="00D56755" w:rsidRPr="001C35FA">
        <w:t>(</w:t>
      </w:r>
      <w:r w:rsidR="00481094" w:rsidRPr="001C35FA">
        <w:t>CLO</w:t>
      </w:r>
      <w:r w:rsidR="00F90416" w:rsidRPr="001C35FA">
        <w:t>)</w:t>
      </w:r>
      <w:r w:rsidR="00481094" w:rsidRPr="001C35FA">
        <w:t xml:space="preserve">. In </w:t>
      </w:r>
      <w:r w:rsidR="009138FE" w:rsidRPr="001C35FA">
        <w:t>an ABS</w:t>
      </w:r>
      <w:r w:rsidR="00481094" w:rsidRPr="001C35FA">
        <w:t xml:space="preserve">, the capital is secured by the cash flows obtained from a specified pool of underlying assets comprised of the company’s receivables, e.g. credit card receivables, car loans, asset leases, </w:t>
      </w:r>
      <w:r w:rsidR="00430BC4" w:rsidRPr="001C35FA">
        <w:t>and</w:t>
      </w:r>
      <w:r w:rsidR="00481094" w:rsidRPr="001C35FA">
        <w:t xml:space="preserve"> royalty payments. </w:t>
      </w:r>
      <w:r w:rsidRPr="001C35FA">
        <w:t>The advantage</w:t>
      </w:r>
      <w:r w:rsidR="009138FE" w:rsidRPr="001C35FA">
        <w:t xml:space="preserve"> </w:t>
      </w:r>
      <w:r w:rsidRPr="001C35FA">
        <w:t xml:space="preserve">of </w:t>
      </w:r>
      <w:r w:rsidR="009138FE" w:rsidRPr="001C35FA">
        <w:t xml:space="preserve">the asset conversion </w:t>
      </w:r>
      <w:r w:rsidRPr="001C35FA">
        <w:t xml:space="preserve">is that an </w:t>
      </w:r>
      <w:r w:rsidR="009138FE" w:rsidRPr="001C35FA">
        <w:t>ABS</w:t>
      </w:r>
      <w:r w:rsidR="00481094" w:rsidRPr="001C35FA">
        <w:t xml:space="preserve"> </w:t>
      </w:r>
      <w:r w:rsidR="009138FE" w:rsidRPr="001C35FA">
        <w:t>is</w:t>
      </w:r>
      <w:r w:rsidR="00481094" w:rsidRPr="001C35FA">
        <w:t xml:space="preserve"> generally set at a lower interest rate com</w:t>
      </w:r>
      <w:r w:rsidR="009138FE" w:rsidRPr="001C35FA">
        <w:t>pared to traditional bank loans</w:t>
      </w:r>
      <w:r w:rsidR="00481094" w:rsidRPr="001C35FA">
        <w:t xml:space="preserve"> </w:t>
      </w:r>
      <w:r w:rsidR="00D56755" w:rsidRPr="001C35FA">
        <w:t>(</w:t>
      </w:r>
      <w:r w:rsidR="00481094" w:rsidRPr="001C35FA">
        <w:t xml:space="preserve">Mishkin </w:t>
      </w:r>
      <w:r w:rsidR="008B1122" w:rsidRPr="001C35FA">
        <w:t>and</w:t>
      </w:r>
      <w:r w:rsidR="00481094" w:rsidRPr="001C35FA">
        <w:t xml:space="preserve"> Eakins</w:t>
      </w:r>
      <w:r w:rsidR="00816CC5" w:rsidRPr="001C35FA">
        <w:t xml:space="preserve">, </w:t>
      </w:r>
      <w:r w:rsidR="00595C0F" w:rsidRPr="001C35FA">
        <w:t>2</w:t>
      </w:r>
      <w:r w:rsidR="00481094" w:rsidRPr="001C35FA">
        <w:t>011</w:t>
      </w:r>
      <w:r w:rsidR="00F90416" w:rsidRPr="001C35FA">
        <w:t>)</w:t>
      </w:r>
      <w:r w:rsidR="00481094" w:rsidRPr="001C35FA">
        <w:t>.</w:t>
      </w:r>
      <w:r w:rsidR="00F60D8A" w:rsidRPr="001C35FA">
        <w:t xml:space="preserve"> </w:t>
      </w:r>
      <w:r w:rsidR="00641966" w:rsidRPr="001C35FA">
        <w:t xml:space="preserve">Sale and leasebacks can also </w:t>
      </w:r>
      <w:r w:rsidR="00481094" w:rsidRPr="001C35FA">
        <w:t>free up</w:t>
      </w:r>
      <w:r w:rsidR="00641966" w:rsidRPr="001C35FA">
        <w:t xml:space="preserve"> substantial amounts of capital</w:t>
      </w:r>
      <w:r w:rsidR="009138FE" w:rsidRPr="001C35FA">
        <w:t xml:space="preserve"> </w:t>
      </w:r>
      <w:r w:rsidRPr="001C35FA">
        <w:t>as</w:t>
      </w:r>
      <w:r w:rsidR="00481094" w:rsidRPr="001C35FA">
        <w:t xml:space="preserve"> expensive mach</w:t>
      </w:r>
      <w:r w:rsidR="00641966" w:rsidRPr="001C35FA">
        <w:t xml:space="preserve">inery </w:t>
      </w:r>
      <w:r w:rsidR="009138FE" w:rsidRPr="001C35FA">
        <w:t>and</w:t>
      </w:r>
      <w:r w:rsidR="00641966" w:rsidRPr="001C35FA">
        <w:t xml:space="preserve"> corporate real estate </w:t>
      </w:r>
      <w:r w:rsidR="009138FE" w:rsidRPr="001C35FA">
        <w:t>is</w:t>
      </w:r>
      <w:r w:rsidR="00481094" w:rsidRPr="001C35FA">
        <w:t xml:space="preserve"> sold t</w:t>
      </w:r>
      <w:r w:rsidR="009138FE" w:rsidRPr="001C35FA">
        <w:t xml:space="preserve">o </w:t>
      </w:r>
      <w:r w:rsidRPr="001C35FA">
        <w:t>banks</w:t>
      </w:r>
      <w:r w:rsidR="00AD5AE8" w:rsidRPr="001C35FA">
        <w:t xml:space="preserve"> and leased back</w:t>
      </w:r>
      <w:r w:rsidR="00481094" w:rsidRPr="001C35FA">
        <w:t>.</w:t>
      </w:r>
    </w:p>
    <w:p w14:paraId="676710AB" w14:textId="77777777" w:rsidR="000D6BEF" w:rsidRPr="001C35FA" w:rsidRDefault="000D6BEF" w:rsidP="004F76E2"/>
    <w:p w14:paraId="77F76754" w14:textId="01D8A68D" w:rsidR="00676F76" w:rsidRDefault="00481094" w:rsidP="00CF7500">
      <w:pPr>
        <w:pStyle w:val="Heading1"/>
      </w:pPr>
      <w:r w:rsidRPr="003900C7">
        <w:rPr>
          <w:szCs w:val="24"/>
        </w:rPr>
        <w:t>Operational Driver</w:t>
      </w:r>
      <w:r w:rsidR="008C3C09">
        <w:rPr>
          <w:szCs w:val="24"/>
        </w:rPr>
        <w:t>s</w:t>
      </w:r>
    </w:p>
    <w:p w14:paraId="69440157" w14:textId="0732D890" w:rsidR="00481094" w:rsidRPr="001C35FA" w:rsidRDefault="008E3E66">
      <w:r w:rsidRPr="001C35FA">
        <w:t xml:space="preserve">Value can be created within buyouts through </w:t>
      </w:r>
      <w:r w:rsidR="00481094" w:rsidRPr="001C35FA">
        <w:t>operating and productivity improvements.</w:t>
      </w:r>
      <w:r w:rsidR="00F76D9F" w:rsidRPr="001C35FA">
        <w:t xml:space="preserve"> Studies using firm (Amess</w:t>
      </w:r>
      <w:r w:rsidR="00E63039">
        <w:t>,</w:t>
      </w:r>
      <w:r w:rsidR="00F76D9F" w:rsidRPr="001C35FA">
        <w:t xml:space="preserve"> 2003) as well as plant level data (Lichtenberg and Siegel</w:t>
      </w:r>
      <w:r w:rsidR="00E63039">
        <w:t>,</w:t>
      </w:r>
      <w:r w:rsidR="00F76D9F" w:rsidRPr="001C35FA">
        <w:t xml:space="preserve"> 1990</w:t>
      </w:r>
      <w:r w:rsidR="00910A6D" w:rsidRPr="001C35FA">
        <w:t>; Harris, Siegel, and Wright, 2005</w:t>
      </w:r>
      <w:r w:rsidR="00F76D9F" w:rsidRPr="001C35FA">
        <w:t xml:space="preserve">) show </w:t>
      </w:r>
      <w:r w:rsidRPr="001C35FA">
        <w:t xml:space="preserve">that </w:t>
      </w:r>
      <w:r w:rsidR="00F76D9F" w:rsidRPr="001C35FA">
        <w:t>productivity improve</w:t>
      </w:r>
      <w:r w:rsidRPr="001C35FA">
        <w:t>s</w:t>
      </w:r>
      <w:r w:rsidR="00F76D9F" w:rsidRPr="001C35FA">
        <w:t xml:space="preserve"> after the buyout.</w:t>
      </w:r>
      <w:r w:rsidR="00B15D3F" w:rsidRPr="001C35FA">
        <w:t xml:space="preserve"> </w:t>
      </w:r>
      <w:r w:rsidR="00F9436F" w:rsidRPr="001C35FA">
        <w:t xml:space="preserve">Productivity improvements are </w:t>
      </w:r>
      <w:r w:rsidR="00B15D3F" w:rsidRPr="001C35FA">
        <w:t xml:space="preserve">reached </w:t>
      </w:r>
      <w:r w:rsidR="00F9436F" w:rsidRPr="001C35FA">
        <w:t xml:space="preserve">by readjusting how the company’s resources are put to work, </w:t>
      </w:r>
      <w:r w:rsidR="00B15D3F" w:rsidRPr="001C35FA">
        <w:t xml:space="preserve">while leaving unchanged the strategic positioning of the company. </w:t>
      </w:r>
    </w:p>
    <w:p w14:paraId="70F4624F" w14:textId="77777777" w:rsidR="00676F76" w:rsidRPr="00CF7500" w:rsidRDefault="008C31C9" w:rsidP="00CF7500">
      <w:pPr>
        <w:pStyle w:val="Heading2"/>
      </w:pPr>
      <w:r w:rsidRPr="00CF7500">
        <w:t>Functional Experience and Operational Expertise</w:t>
      </w:r>
    </w:p>
    <w:p w14:paraId="6A6C6CA1" w14:textId="513D3A4A" w:rsidR="00481094" w:rsidRPr="001C35FA" w:rsidRDefault="000B12CA" w:rsidP="004F76E2">
      <w:r w:rsidRPr="001C35FA">
        <w:t xml:space="preserve">Several </w:t>
      </w:r>
      <w:r w:rsidR="00481094" w:rsidRPr="001C35FA">
        <w:t xml:space="preserve">researchers have </w:t>
      </w:r>
      <w:r w:rsidR="007D2C14" w:rsidRPr="001C35FA">
        <w:t>suggested</w:t>
      </w:r>
      <w:r w:rsidR="00481094" w:rsidRPr="001C35FA">
        <w:t xml:space="preserve"> the industry experience and managerial expertise </w:t>
      </w:r>
      <w:r w:rsidR="007D2C14" w:rsidRPr="001C35FA">
        <w:t xml:space="preserve">in the private equity firm </w:t>
      </w:r>
      <w:r w:rsidR="00481094" w:rsidRPr="001C35FA">
        <w:t xml:space="preserve">constitute a knowledge transfer to the portfolio firm. </w:t>
      </w:r>
      <w:r w:rsidR="00B102AF" w:rsidRPr="001C35FA">
        <w:t>Operating gains and improved profitability are significantly associated with PE firms’ sector-specific expertise and the geographic proximity between lead investors and portfolio companies (Cressy, Munari, and Malipiero</w:t>
      </w:r>
      <w:r w:rsidR="00910A6D" w:rsidRPr="001C35FA">
        <w:t>,</w:t>
      </w:r>
      <w:r w:rsidR="00B102AF" w:rsidRPr="001C35FA">
        <w:t xml:space="preserve"> 2007; </w:t>
      </w:r>
      <w:r w:rsidR="002411F9">
        <w:t xml:space="preserve">Nikoskelainen and Wright, 2007; </w:t>
      </w:r>
      <w:r w:rsidR="00B102AF" w:rsidRPr="001C35FA">
        <w:t>Scellato and Ughetto</w:t>
      </w:r>
      <w:r w:rsidR="00B15D3F" w:rsidRPr="001C35FA">
        <w:t>,</w:t>
      </w:r>
      <w:r w:rsidR="00B102AF" w:rsidRPr="001C35FA">
        <w:t xml:space="preserve"> 2013; Bernstein and Sheen</w:t>
      </w:r>
      <w:r w:rsidR="00B15D3F" w:rsidRPr="001C35FA">
        <w:t>,</w:t>
      </w:r>
      <w:r w:rsidR="00B102AF" w:rsidRPr="001C35FA">
        <w:t xml:space="preserve"> 2016). </w:t>
      </w:r>
      <w:r w:rsidR="004A5596" w:rsidRPr="001C35FA">
        <w:t>Schmidt, Nowak, and Knigge</w:t>
      </w:r>
      <w:r w:rsidR="00397149">
        <w:t xml:space="preserve"> (</w:t>
      </w:r>
      <w:r w:rsidR="004A5596" w:rsidRPr="001C35FA">
        <w:t>2004</w:t>
      </w:r>
      <w:r w:rsidR="00397149">
        <w:t>)</w:t>
      </w:r>
      <w:r w:rsidR="004A5596" w:rsidRPr="001C35FA">
        <w:t xml:space="preserve"> found that</w:t>
      </w:r>
      <w:r w:rsidR="00481094" w:rsidRPr="001C35FA">
        <w:t xml:space="preserve"> the experience and management skills of the individual GP significantly affect</w:t>
      </w:r>
      <w:r w:rsidR="004A5596" w:rsidRPr="001C35FA">
        <w:t>s</w:t>
      </w:r>
      <w:r w:rsidR="00481094" w:rsidRPr="001C35FA">
        <w:t xml:space="preserve"> portfo</w:t>
      </w:r>
      <w:r w:rsidR="004A5596" w:rsidRPr="001C35FA">
        <w:t>lio fund performance.</w:t>
      </w:r>
      <w:r w:rsidR="00481094" w:rsidRPr="001C35FA">
        <w:t xml:space="preserve"> More recently, Acharya et al.</w:t>
      </w:r>
      <w:r w:rsidR="00397149">
        <w:t xml:space="preserve"> (</w:t>
      </w:r>
      <w:r w:rsidR="00481094" w:rsidRPr="001C35FA">
        <w:t>201</w:t>
      </w:r>
      <w:r w:rsidR="00AC1752" w:rsidRPr="001C35FA">
        <w:t>3</w:t>
      </w:r>
      <w:r w:rsidR="00397149">
        <w:t>)</w:t>
      </w:r>
      <w:r w:rsidR="00481094" w:rsidRPr="001C35FA">
        <w:t xml:space="preserve"> report that GPs with backgrounds in finance or accounting generated superior performance when the firm strategy was based on external growth </w:t>
      </w:r>
      <w:r w:rsidR="00D56755" w:rsidRPr="001C35FA">
        <w:t>(</w:t>
      </w:r>
      <w:r w:rsidR="00481094" w:rsidRPr="001C35FA">
        <w:t>M&amp;A</w:t>
      </w:r>
      <w:r w:rsidR="00F90416" w:rsidRPr="001C35FA">
        <w:t>)</w:t>
      </w:r>
      <w:r w:rsidR="00481094" w:rsidRPr="001C35FA">
        <w:t xml:space="preserve">, while GPs with an operational or consulting background achieved </w:t>
      </w:r>
      <w:r w:rsidR="004A5596" w:rsidRPr="001C35FA">
        <w:t xml:space="preserve">positive </w:t>
      </w:r>
      <w:r w:rsidR="00481094" w:rsidRPr="001C35FA">
        <w:t xml:space="preserve">abnormal returns when </w:t>
      </w:r>
      <w:r w:rsidR="004A5596" w:rsidRPr="001C35FA">
        <w:t>pursuing an</w:t>
      </w:r>
      <w:r w:rsidR="00481094" w:rsidRPr="001C35FA">
        <w:t xml:space="preserve"> organic growth strategy. </w:t>
      </w:r>
      <w:r w:rsidR="00447827" w:rsidRPr="001C35FA">
        <w:t>The increased import</w:t>
      </w:r>
      <w:r w:rsidR="00397149">
        <w:t>ance</w:t>
      </w:r>
      <w:r w:rsidR="00447827" w:rsidRPr="001C35FA">
        <w:t xml:space="preserve"> of operational improvements has resulted in private equity </w:t>
      </w:r>
      <w:r w:rsidR="00481094" w:rsidRPr="001C35FA">
        <w:t xml:space="preserve">firms </w:t>
      </w:r>
      <w:r w:rsidRPr="001C35FA">
        <w:t>hiring</w:t>
      </w:r>
      <w:r w:rsidR="00481094" w:rsidRPr="001C35FA">
        <w:t xml:space="preserve"> executives with </w:t>
      </w:r>
      <w:r w:rsidRPr="001C35FA">
        <w:t>industry experience</w:t>
      </w:r>
      <w:r w:rsidR="00481094" w:rsidRPr="001C35FA">
        <w:t xml:space="preserve"> </w:t>
      </w:r>
      <w:r w:rsidR="00D56755" w:rsidRPr="001C35FA">
        <w:t>(</w:t>
      </w:r>
      <w:r w:rsidR="00481094" w:rsidRPr="001C35FA">
        <w:t>Matthews et al.</w:t>
      </w:r>
      <w:r w:rsidR="00816CC5" w:rsidRPr="001C35FA">
        <w:t xml:space="preserve">, </w:t>
      </w:r>
      <w:r w:rsidR="00595C0F" w:rsidRPr="001C35FA">
        <w:t>2</w:t>
      </w:r>
      <w:r w:rsidR="00481094" w:rsidRPr="001C35FA">
        <w:t>009</w:t>
      </w:r>
      <w:r w:rsidR="00F90416" w:rsidRPr="001C35FA">
        <w:t>)</w:t>
      </w:r>
      <w:r w:rsidR="00481094" w:rsidRPr="001C35FA">
        <w:t>.</w:t>
      </w:r>
    </w:p>
    <w:p w14:paraId="77AE26D2" w14:textId="0C13CA64" w:rsidR="00F94F7E" w:rsidRDefault="00B102AF" w:rsidP="004F76E2">
      <w:r w:rsidRPr="001C35FA">
        <w:t>As the market has evolved and primary deals become harder to find, there has been a substantial growth in secondary buyouts, where initial investors and sometimes management exit and a new set of private equity investors acquire the firm. Evidence suggests that there is something of a change in expertise between the primary and secondary buyout as new strategies are needed to achieve the target returns that are sought</w:t>
      </w:r>
      <w:r w:rsidR="008C31C9" w:rsidRPr="00CF7500">
        <w:t xml:space="preserve"> (</w:t>
      </w:r>
      <w:r w:rsidR="00AC1752" w:rsidRPr="001C35FA">
        <w:t>Degeorge, Martin and Phalippou, 2016)</w:t>
      </w:r>
      <w:r w:rsidRPr="001C35FA">
        <w:t>.</w:t>
      </w:r>
      <w:r w:rsidR="004D47C0">
        <w:t xml:space="preserve"> For instance, where one firm</w:t>
      </w:r>
      <w:r w:rsidR="004D47C0" w:rsidRPr="00F94F7E">
        <w:t xml:space="preserve"> focus</w:t>
      </w:r>
      <w:r w:rsidR="004D47C0">
        <w:t xml:space="preserve">es on margin growth while the other </w:t>
      </w:r>
      <w:r w:rsidR="004D47C0" w:rsidRPr="00F94F7E">
        <w:t xml:space="preserve">on sales growth, or </w:t>
      </w:r>
      <w:r w:rsidR="004D47C0">
        <w:t>when</w:t>
      </w:r>
      <w:r w:rsidR="004D47C0" w:rsidRPr="00F94F7E">
        <w:t xml:space="preserve"> the general partners </w:t>
      </w:r>
      <w:r w:rsidR="004D47C0">
        <w:t xml:space="preserve">of the two PE firms </w:t>
      </w:r>
      <w:r w:rsidR="004D47C0" w:rsidRPr="00F94F7E">
        <w:t xml:space="preserve">have different educational backgrounds or career paths. </w:t>
      </w:r>
      <w:r w:rsidR="004D47C0">
        <w:t xml:space="preserve">Moreover, </w:t>
      </w:r>
      <w:r w:rsidR="004D47C0" w:rsidRPr="00F94F7E">
        <w:t>SBOs also create value when a global fund buys from a regional fund</w:t>
      </w:r>
      <w:r w:rsidR="004D47C0">
        <w:t xml:space="preserve"> </w:t>
      </w:r>
      <w:r w:rsidR="004D47C0" w:rsidRPr="00CF7500">
        <w:t>(</w:t>
      </w:r>
      <w:r w:rsidR="004D47C0" w:rsidRPr="001C35FA">
        <w:t>Degeorge, Martin and Phalippou, 2016)</w:t>
      </w:r>
      <w:r w:rsidR="004D47C0">
        <w:t>.</w:t>
      </w:r>
      <w:r w:rsidR="004D47C0" w:rsidRPr="001C35FA">
        <w:t xml:space="preserve"> </w:t>
      </w:r>
      <w:r w:rsidR="006B3037" w:rsidRPr="001C35FA">
        <w:t xml:space="preserve">This </w:t>
      </w:r>
      <w:r w:rsidR="004D47C0">
        <w:t xml:space="preserve">complementary </w:t>
      </w:r>
      <w:r w:rsidR="006B3037" w:rsidRPr="001C35FA">
        <w:t xml:space="preserve">expertise is especially important as the evidence on the performance of secondary buyouts </w:t>
      </w:r>
      <w:r w:rsidR="00F94F7E">
        <w:t xml:space="preserve">(SBO) </w:t>
      </w:r>
      <w:r w:rsidR="006B3037" w:rsidRPr="001C35FA">
        <w:t>is at best mixed (Achleitner and Figge, 2014; Bonini, 2015; Jelic and Wright, 2011; Wang</w:t>
      </w:r>
      <w:r w:rsidR="00E63039">
        <w:t>,</w:t>
      </w:r>
      <w:r w:rsidR="006B3037" w:rsidRPr="001C35FA">
        <w:t xml:space="preserve"> 2012, Zhou, Jelic and Wright, 2014).</w:t>
      </w:r>
      <w:r w:rsidR="00C738FC">
        <w:t xml:space="preserve"> </w:t>
      </w:r>
    </w:p>
    <w:p w14:paraId="5C90471C" w14:textId="6F145001" w:rsidR="00B102AF" w:rsidRPr="001C35FA" w:rsidRDefault="00C738FC" w:rsidP="004F76E2">
      <w:r>
        <w:t xml:space="preserve">Importantly, the </w:t>
      </w:r>
      <w:r w:rsidR="00B23DBA">
        <w:t>skills</w:t>
      </w:r>
      <w:r>
        <w:t xml:space="preserve"> of the PE directors on the board of a particular portfolio company rather than at the fund level is critical</w:t>
      </w:r>
      <w:r w:rsidR="00B23DBA">
        <w:t>,</w:t>
      </w:r>
      <w:r>
        <w:t xml:space="preserve"> </w:t>
      </w:r>
      <w:r w:rsidR="00B23DBA" w:rsidRPr="00B23DBA">
        <w:t>especially if th</w:t>
      </w:r>
      <w:r w:rsidR="00B23DBA">
        <w:t>is</w:t>
      </w:r>
      <w:r w:rsidR="00B23DBA" w:rsidRPr="00B23DBA">
        <w:t xml:space="preserve"> human capital </w:t>
      </w:r>
      <w:r w:rsidR="00B23DBA">
        <w:t>involves</w:t>
      </w:r>
      <w:r w:rsidR="00B23DBA" w:rsidRPr="00B23DBA">
        <w:t xml:space="preserve"> financial and consultancy expertise to assist profitability and growth (</w:t>
      </w:r>
      <w:r w:rsidR="00B23DBA">
        <w:t>J</w:t>
      </w:r>
      <w:r>
        <w:t>elic, Zhou and Wright, 2018).</w:t>
      </w:r>
    </w:p>
    <w:p w14:paraId="2604E938" w14:textId="77777777" w:rsidR="00676F76" w:rsidRDefault="008C31C9" w:rsidP="00CF7500">
      <w:pPr>
        <w:pStyle w:val="Heading2"/>
      </w:pPr>
      <w:r w:rsidRPr="00CF7500">
        <w:t>Cost Structure Improvements</w:t>
      </w:r>
    </w:p>
    <w:p w14:paraId="2573E056" w14:textId="426DFEC4" w:rsidR="00481094" w:rsidRPr="001C35FA" w:rsidRDefault="00E42FBE" w:rsidP="004F76E2">
      <w:r w:rsidRPr="001C35FA">
        <w:t>Several studies</w:t>
      </w:r>
      <w:r w:rsidR="00481094" w:rsidRPr="001C35FA">
        <w:t xml:space="preserve"> </w:t>
      </w:r>
      <w:r w:rsidRPr="001C35FA">
        <w:t>in the late 1980s found that the</w:t>
      </w:r>
      <w:r w:rsidR="00481094" w:rsidRPr="001C35FA">
        <w:t xml:space="preserve"> profitability gains </w:t>
      </w:r>
      <w:r w:rsidR="0039401C" w:rsidRPr="001C35FA">
        <w:t xml:space="preserve">in buyouts </w:t>
      </w:r>
      <w:r w:rsidRPr="001C35FA">
        <w:t>were</w:t>
      </w:r>
      <w:r w:rsidR="00481094" w:rsidRPr="001C35FA">
        <w:t xml:space="preserve"> directly associated with cost savings. </w:t>
      </w:r>
      <w:r w:rsidR="0039401C" w:rsidRPr="001C35FA">
        <w:t xml:space="preserve">The savings accrued by a </w:t>
      </w:r>
      <w:r w:rsidR="00481094" w:rsidRPr="001C35FA">
        <w:t xml:space="preserve">swift tightening of corporate spending </w:t>
      </w:r>
      <w:r w:rsidR="00D56755" w:rsidRPr="001C35FA">
        <w:t>(</w:t>
      </w:r>
      <w:r w:rsidR="00481094" w:rsidRPr="001C35FA">
        <w:t>Grossman</w:t>
      </w:r>
      <w:r w:rsidR="008B1122" w:rsidRPr="001C35FA">
        <w:t xml:space="preserve"> and </w:t>
      </w:r>
      <w:r w:rsidR="00481094" w:rsidRPr="001C35FA">
        <w:t>Hart</w:t>
      </w:r>
      <w:r w:rsidR="00816CC5" w:rsidRPr="001C35FA">
        <w:t xml:space="preserve">, </w:t>
      </w:r>
      <w:r w:rsidR="00595C0F" w:rsidRPr="001C35FA">
        <w:t>1</w:t>
      </w:r>
      <w:r w:rsidR="00481094" w:rsidRPr="001C35FA">
        <w:t>983</w:t>
      </w:r>
      <w:r w:rsidR="00F90416" w:rsidRPr="001C35FA">
        <w:t>)</w:t>
      </w:r>
      <w:r w:rsidR="00481094" w:rsidRPr="001C35FA">
        <w:t xml:space="preserve"> and the reduction of capital expenditures and divestment of under-utilized assets </w:t>
      </w:r>
      <w:r w:rsidR="00D56755" w:rsidRPr="001C35FA">
        <w:t>(</w:t>
      </w:r>
      <w:r w:rsidR="00481094" w:rsidRPr="001C35FA">
        <w:t>Magowan</w:t>
      </w:r>
      <w:r w:rsidR="00816CC5" w:rsidRPr="001C35FA">
        <w:t xml:space="preserve">, </w:t>
      </w:r>
      <w:r w:rsidR="00595C0F" w:rsidRPr="001C35FA">
        <w:t>1</w:t>
      </w:r>
      <w:r w:rsidR="00481094" w:rsidRPr="001C35FA">
        <w:t>989</w:t>
      </w:r>
      <w:r w:rsidR="00F90416" w:rsidRPr="001C35FA">
        <w:t>)</w:t>
      </w:r>
      <w:r w:rsidR="00481094" w:rsidRPr="001C35FA">
        <w:t xml:space="preserve">. </w:t>
      </w:r>
      <w:r w:rsidR="0039401C" w:rsidRPr="001C35FA">
        <w:t>In manufacturing firms there was ample evidence for a reduction in production cost and an increase in plant productivity (Lichtenberg and Siegel</w:t>
      </w:r>
      <w:r w:rsidR="00816CC5" w:rsidRPr="001C35FA">
        <w:t xml:space="preserve">, </w:t>
      </w:r>
      <w:r w:rsidR="0039401C" w:rsidRPr="001C35FA">
        <w:t xml:space="preserve">1990). </w:t>
      </w:r>
      <w:r w:rsidR="00481094" w:rsidRPr="001C35FA">
        <w:t xml:space="preserve">Asset divestiture could also lead to the redeployment of capital and new investments in plant and equipment </w:t>
      </w:r>
      <w:r w:rsidR="00D56755" w:rsidRPr="001C35FA">
        <w:t>(</w:t>
      </w:r>
      <w:r w:rsidR="00481094" w:rsidRPr="001C35FA">
        <w:t>Wright, Thompson,</w:t>
      </w:r>
      <w:r w:rsidR="008B1122" w:rsidRPr="001C35FA">
        <w:t xml:space="preserve"> and </w:t>
      </w:r>
      <w:r w:rsidR="00481094" w:rsidRPr="001C35FA">
        <w:t>Robbie</w:t>
      </w:r>
      <w:r w:rsidR="00816CC5" w:rsidRPr="001C35FA">
        <w:t xml:space="preserve">, </w:t>
      </w:r>
      <w:r w:rsidR="00595C0F" w:rsidRPr="001C35FA">
        <w:t>1</w:t>
      </w:r>
      <w:r w:rsidR="00481094" w:rsidRPr="001C35FA">
        <w:t>992</w:t>
      </w:r>
      <w:r w:rsidR="00F90416" w:rsidRPr="001C35FA">
        <w:t>)</w:t>
      </w:r>
      <w:r w:rsidR="00653F1E" w:rsidRPr="001C35FA">
        <w:t>, which should have a positive impact on the cost structure of the firm.</w:t>
      </w:r>
    </w:p>
    <w:p w14:paraId="697218A9" w14:textId="12F06597" w:rsidR="00481094" w:rsidRPr="001C35FA" w:rsidRDefault="00CD2F44" w:rsidP="00E24EB0">
      <w:r w:rsidRPr="001C35FA">
        <w:t xml:space="preserve">What is </w:t>
      </w:r>
      <w:r w:rsidR="00481094" w:rsidRPr="001C35FA">
        <w:t xml:space="preserve">noteworthy </w:t>
      </w:r>
      <w:r w:rsidRPr="001C35FA">
        <w:t xml:space="preserve">is </w:t>
      </w:r>
      <w:r w:rsidR="00481094" w:rsidRPr="001C35FA">
        <w:t>that the cost savings from reduced employment l</w:t>
      </w:r>
      <w:r w:rsidR="00335B47" w:rsidRPr="001C35FA">
        <w:t>evels are</w:t>
      </w:r>
      <w:r w:rsidR="00653F1E" w:rsidRPr="001C35FA">
        <w:t xml:space="preserve"> </w:t>
      </w:r>
      <w:r w:rsidR="00335B47" w:rsidRPr="001C35FA">
        <w:t xml:space="preserve">typically peripheral. </w:t>
      </w:r>
      <w:r w:rsidR="001937FF" w:rsidRPr="001C35FA">
        <w:t xml:space="preserve">While modest employment reductions </w:t>
      </w:r>
      <w:r w:rsidR="00DF5124" w:rsidRPr="001C35FA">
        <w:t xml:space="preserve">are </w:t>
      </w:r>
      <w:r w:rsidRPr="001C35FA">
        <w:t xml:space="preserve">typically </w:t>
      </w:r>
      <w:r w:rsidR="001937FF" w:rsidRPr="001C35FA">
        <w:t>observed in the short-term, o</w:t>
      </w:r>
      <w:r w:rsidR="00335B47" w:rsidRPr="001C35FA">
        <w:t xml:space="preserve">ver the long-term </w:t>
      </w:r>
      <w:r w:rsidR="001937FF" w:rsidRPr="001C35FA">
        <w:t xml:space="preserve">the effect </w:t>
      </w:r>
      <w:r w:rsidR="00DF5124" w:rsidRPr="001C35FA">
        <w:t>cancel out or even reverse</w:t>
      </w:r>
      <w:r w:rsidR="00335B47" w:rsidRPr="001C35FA">
        <w:t xml:space="preserve"> </w:t>
      </w:r>
      <w:r w:rsidR="001937FF" w:rsidRPr="001C35FA">
        <w:t>(Amess, Girma,</w:t>
      </w:r>
      <w:r w:rsidR="008B1122" w:rsidRPr="001C35FA">
        <w:t xml:space="preserve"> and </w:t>
      </w:r>
      <w:r w:rsidR="001937FF" w:rsidRPr="001C35FA">
        <w:t>Wright</w:t>
      </w:r>
      <w:r w:rsidR="00816CC5" w:rsidRPr="001C35FA">
        <w:t xml:space="preserve">, </w:t>
      </w:r>
      <w:r w:rsidR="001937FF" w:rsidRPr="001C35FA">
        <w:t>20</w:t>
      </w:r>
      <w:r w:rsidR="00B524BF">
        <w:t>14</w:t>
      </w:r>
      <w:r w:rsidR="00335B47" w:rsidRPr="001C35FA">
        <w:t>)</w:t>
      </w:r>
      <w:r w:rsidR="00764806" w:rsidRPr="001C35FA">
        <w:t>; this is especially the case for MBOs but less so for MBIs (Amess and Wright</w:t>
      </w:r>
      <w:r w:rsidR="00E63039">
        <w:t>,</w:t>
      </w:r>
      <w:r w:rsidR="00764806" w:rsidRPr="001C35FA">
        <w:t xml:space="preserve"> 2007</w:t>
      </w:r>
      <w:r w:rsidR="00764806" w:rsidRPr="00501233">
        <w:t>; Goergen, O’Sullivan, and Wood</w:t>
      </w:r>
      <w:r w:rsidR="00E63039">
        <w:t>,</w:t>
      </w:r>
      <w:r w:rsidR="00764806" w:rsidRPr="00501233">
        <w:t xml:space="preserve"> 2014)</w:t>
      </w:r>
      <w:r w:rsidR="00335B47" w:rsidRPr="00501233">
        <w:t>.</w:t>
      </w:r>
      <w:r w:rsidR="00335B47" w:rsidRPr="001C35FA">
        <w:t xml:space="preserve"> </w:t>
      </w:r>
      <w:r w:rsidR="00764806" w:rsidRPr="001C35FA">
        <w:t>Employment growth is particular notable in divisional deals, private</w:t>
      </w:r>
      <w:r w:rsidR="00775D67" w:rsidRPr="001C35FA">
        <w:t>-</w:t>
      </w:r>
      <w:r w:rsidR="00764806" w:rsidRPr="001C35FA">
        <w:t>to</w:t>
      </w:r>
      <w:r w:rsidR="00775D67" w:rsidRPr="001C35FA">
        <w:t>-</w:t>
      </w:r>
      <w:r w:rsidR="00764806" w:rsidRPr="001C35FA">
        <w:t>private buyouts and secondary buyouts (Meuleman et al., 2009; Boucly, Sraer, and Thesmar</w:t>
      </w:r>
      <w:r w:rsidR="00816CC5" w:rsidRPr="001C35FA">
        <w:t xml:space="preserve">, </w:t>
      </w:r>
      <w:r w:rsidR="00764806" w:rsidRPr="001C35FA">
        <w:t xml:space="preserve">2011). </w:t>
      </w:r>
    </w:p>
    <w:p w14:paraId="5928E7EE" w14:textId="77777777" w:rsidR="00676F76" w:rsidRPr="00CF7500" w:rsidRDefault="008C31C9" w:rsidP="00CF7500">
      <w:pPr>
        <w:pStyle w:val="Heading2"/>
      </w:pPr>
      <w:r w:rsidRPr="00CF7500">
        <w:t>Capital Management and Asset Utilization</w:t>
      </w:r>
    </w:p>
    <w:p w14:paraId="11567BD1" w14:textId="73A736F8" w:rsidR="00481094" w:rsidRPr="001C35FA" w:rsidRDefault="00481094" w:rsidP="004F76E2">
      <w:r w:rsidRPr="001C35FA">
        <w:t xml:space="preserve">A cornerstone </w:t>
      </w:r>
      <w:r w:rsidR="00604826" w:rsidRPr="001C35FA">
        <w:t>of</w:t>
      </w:r>
      <w:r w:rsidRPr="001C35FA">
        <w:t xml:space="preserve"> </w:t>
      </w:r>
      <w:r w:rsidR="00604826" w:rsidRPr="001C35FA">
        <w:t xml:space="preserve">productivity </w:t>
      </w:r>
      <w:r w:rsidRPr="001C35FA">
        <w:t>improvements is to increase asset utilization.</w:t>
      </w:r>
      <w:r w:rsidR="00604826" w:rsidRPr="001C35FA">
        <w:t xml:space="preserve"> A m</w:t>
      </w:r>
      <w:r w:rsidRPr="001C35FA">
        <w:t>ore efficient use of corpo</w:t>
      </w:r>
      <w:r w:rsidR="00BE6B53" w:rsidRPr="001C35FA">
        <w:t xml:space="preserve">rate assets frees up resources, which </w:t>
      </w:r>
      <w:r w:rsidRPr="001C35FA">
        <w:t xml:space="preserve">is the primary cause for the reduction of capital requirements in buyouts </w:t>
      </w:r>
      <w:r w:rsidR="00D56755" w:rsidRPr="001C35FA">
        <w:t>(</w:t>
      </w:r>
      <w:r w:rsidRPr="001C35FA">
        <w:t>Bull</w:t>
      </w:r>
      <w:r w:rsidR="00816CC5" w:rsidRPr="001C35FA">
        <w:t xml:space="preserve">, </w:t>
      </w:r>
      <w:r w:rsidR="00595C0F" w:rsidRPr="001C35FA">
        <w:t>1</w:t>
      </w:r>
      <w:r w:rsidRPr="001C35FA">
        <w:t>989</w:t>
      </w:r>
      <w:r w:rsidR="00F90416" w:rsidRPr="001C35FA">
        <w:t>)</w:t>
      </w:r>
      <w:r w:rsidRPr="001C35FA">
        <w:t xml:space="preserve">. </w:t>
      </w:r>
      <w:r w:rsidR="00BE6B53" w:rsidRPr="001C35FA">
        <w:t>There is evidence</w:t>
      </w:r>
      <w:r w:rsidRPr="001C35FA">
        <w:t xml:space="preserve"> that buyouts achieve cost reductions by rationalizing both the fixed or current assets and improve the management of working capital. </w:t>
      </w:r>
      <w:r w:rsidR="00CA1A64" w:rsidRPr="001C35FA">
        <w:t>For instance, since working capital is primarily tied up in inventory, researchers have found</w:t>
      </w:r>
      <w:r w:rsidR="00BE6B53" w:rsidRPr="001C35FA">
        <w:t xml:space="preserve"> that</w:t>
      </w:r>
      <w:r w:rsidRPr="001C35FA">
        <w:t xml:space="preserve"> </w:t>
      </w:r>
      <w:r w:rsidR="00CA1A64" w:rsidRPr="001C35FA">
        <w:t xml:space="preserve">by streamlining </w:t>
      </w:r>
      <w:r w:rsidRPr="001C35FA">
        <w:t xml:space="preserve">inventory </w:t>
      </w:r>
      <w:r w:rsidR="00CA1A64" w:rsidRPr="001C35FA">
        <w:t>control the working capital is</w:t>
      </w:r>
      <w:r w:rsidRPr="001C35FA">
        <w:t xml:space="preserve"> dramatically reduced in post-buyout firm</w:t>
      </w:r>
      <w:r w:rsidR="00CA1A64" w:rsidRPr="001C35FA">
        <w:t>s</w:t>
      </w:r>
      <w:r w:rsidRPr="001C35FA">
        <w:t xml:space="preserve"> </w:t>
      </w:r>
      <w:r w:rsidR="00D56755" w:rsidRPr="001C35FA">
        <w:t>(</w:t>
      </w:r>
      <w:r w:rsidRPr="001C35FA">
        <w:t>Holthausen</w:t>
      </w:r>
      <w:r w:rsidR="008B1122" w:rsidRPr="001C35FA">
        <w:t xml:space="preserve"> and </w:t>
      </w:r>
      <w:r w:rsidRPr="001C35FA">
        <w:t>Larcker</w:t>
      </w:r>
      <w:r w:rsidR="00816CC5" w:rsidRPr="001C35FA">
        <w:t xml:space="preserve">, </w:t>
      </w:r>
      <w:r w:rsidR="00595C0F" w:rsidRPr="001C35FA">
        <w:t>1</w:t>
      </w:r>
      <w:r w:rsidRPr="001C35FA">
        <w:t>996</w:t>
      </w:r>
      <w:r w:rsidR="00F90416" w:rsidRPr="001C35FA">
        <w:t>)</w:t>
      </w:r>
      <w:r w:rsidRPr="001C35FA">
        <w:t>.</w:t>
      </w:r>
      <w:r w:rsidR="00E33317">
        <w:t xml:space="preserve"> The practical methods for improving operational efficiency</w:t>
      </w:r>
      <w:r w:rsidR="00E33317" w:rsidRPr="00E33317">
        <w:t xml:space="preserve"> </w:t>
      </w:r>
      <w:r w:rsidR="00E33317">
        <w:t xml:space="preserve">are typical industrial engineering practices, such as </w:t>
      </w:r>
      <w:r w:rsidR="00E33317" w:rsidRPr="00E33317">
        <w:t>Six Sigma</w:t>
      </w:r>
      <w:r w:rsidR="00E33317">
        <w:t xml:space="preserve"> and Lean E</w:t>
      </w:r>
      <w:r w:rsidR="00E33317" w:rsidRPr="00E33317">
        <w:t>nterprise.</w:t>
      </w:r>
    </w:p>
    <w:p w14:paraId="3DD8B90C" w14:textId="32EE70DB" w:rsidR="00481094" w:rsidRDefault="00481094" w:rsidP="00C147BF">
      <w:r w:rsidRPr="001C35FA">
        <w:t xml:space="preserve">A common method for improving cash management is to accelerate the collection accounts receivables, i.e. the outstanding customer debt. In practice, it can be achieved by enforcing payment terms, expediting distribution of invoices, shortening the payment period, prolonging the terms for supplier payment, and renegotiating prices </w:t>
      </w:r>
      <w:r w:rsidR="005E7E4C" w:rsidRPr="001C35FA">
        <w:t>(</w:t>
      </w:r>
      <w:r w:rsidRPr="001C35FA">
        <w:t>Niemeyer</w:t>
      </w:r>
      <w:r w:rsidR="008B1122" w:rsidRPr="001C35FA">
        <w:t xml:space="preserve"> and </w:t>
      </w:r>
      <w:r w:rsidRPr="001C35FA">
        <w:t>Simpson</w:t>
      </w:r>
      <w:r w:rsidR="00816CC5" w:rsidRPr="001C35FA">
        <w:t xml:space="preserve">, </w:t>
      </w:r>
      <w:r w:rsidR="00595C0F" w:rsidRPr="001C35FA">
        <w:t>2</w:t>
      </w:r>
      <w:r w:rsidRPr="001C35FA">
        <w:t>008</w:t>
      </w:r>
      <w:r w:rsidR="00F90416" w:rsidRPr="001C35FA">
        <w:t>)</w:t>
      </w:r>
      <w:r w:rsidRPr="001C35FA">
        <w:t>.</w:t>
      </w:r>
    </w:p>
    <w:p w14:paraId="3E3FDD12" w14:textId="77777777" w:rsidR="00BC6DD7" w:rsidRPr="001C35FA" w:rsidRDefault="00BC6DD7" w:rsidP="00C147BF"/>
    <w:p w14:paraId="29B9A62F" w14:textId="77777777" w:rsidR="00676F76" w:rsidRDefault="00481094" w:rsidP="00CF7500">
      <w:pPr>
        <w:pStyle w:val="Heading1"/>
      </w:pPr>
      <w:r w:rsidRPr="003900C7">
        <w:rPr>
          <w:szCs w:val="24"/>
        </w:rPr>
        <w:t>Strategic Drivers</w:t>
      </w:r>
    </w:p>
    <w:p w14:paraId="522930AA" w14:textId="4798DE13" w:rsidR="00481094" w:rsidRPr="001C35FA" w:rsidRDefault="00455E5C" w:rsidP="00527D4E">
      <w:r w:rsidRPr="001C35FA">
        <w:t>P</w:t>
      </w:r>
      <w:r w:rsidR="00481094" w:rsidRPr="001C35FA">
        <w:t xml:space="preserve">rivate equity firms strive to engage actively and participate in redirection of the portfolio company </w:t>
      </w:r>
      <w:r w:rsidR="00D56755" w:rsidRPr="001C35FA">
        <w:t>(</w:t>
      </w:r>
      <w:r w:rsidR="00481094" w:rsidRPr="001C35FA">
        <w:t>Rogers et al.</w:t>
      </w:r>
      <w:r w:rsidR="00816CC5" w:rsidRPr="001C35FA">
        <w:t xml:space="preserve">, </w:t>
      </w:r>
      <w:r w:rsidR="00595C0F" w:rsidRPr="001C35FA">
        <w:t>2</w:t>
      </w:r>
      <w:r w:rsidR="00481094" w:rsidRPr="001C35FA">
        <w:t>002</w:t>
      </w:r>
      <w:r w:rsidR="005E7E4C" w:rsidRPr="001C35FA">
        <w:t>)</w:t>
      </w:r>
      <w:r w:rsidR="00481094" w:rsidRPr="001C35FA">
        <w:t xml:space="preserve">. The logic behind the active participation in the strategic redirection and refocusing process is that </w:t>
      </w:r>
      <w:r w:rsidR="002E3B4D" w:rsidRPr="001C35FA">
        <w:t>it</w:t>
      </w:r>
      <w:r w:rsidR="00481094" w:rsidRPr="001C35FA">
        <w:t xml:space="preserve"> can be a substantial source of value generation. The activities can encompass the geographic target markets, market niche, product mix, customer segments, pricing strategy, </w:t>
      </w:r>
      <w:r w:rsidR="000B12CA" w:rsidRPr="001C35FA">
        <w:t xml:space="preserve">distribution channels, </w:t>
      </w:r>
      <w:r w:rsidR="00481094" w:rsidRPr="001C35FA">
        <w:t xml:space="preserve">after-sales services, and the </w:t>
      </w:r>
      <w:r w:rsidR="002E3B4D" w:rsidRPr="001C35FA">
        <w:t xml:space="preserve">future </w:t>
      </w:r>
      <w:r w:rsidR="00481094" w:rsidRPr="001C35FA">
        <w:t xml:space="preserve">direction of the firm </w:t>
      </w:r>
      <w:r w:rsidR="00D56755" w:rsidRPr="001C35FA">
        <w:t>(</w:t>
      </w:r>
      <w:r w:rsidR="00481094" w:rsidRPr="001C35FA">
        <w:t>Muscarella</w:t>
      </w:r>
      <w:r w:rsidR="008B1122" w:rsidRPr="001C35FA">
        <w:t xml:space="preserve"> and </w:t>
      </w:r>
      <w:r w:rsidR="00481094" w:rsidRPr="001C35FA">
        <w:t>Vetsuypens</w:t>
      </w:r>
      <w:r w:rsidR="00816CC5" w:rsidRPr="001C35FA">
        <w:t xml:space="preserve">, </w:t>
      </w:r>
      <w:r w:rsidR="00595C0F" w:rsidRPr="001C35FA">
        <w:t>1</w:t>
      </w:r>
      <w:r w:rsidR="00481094" w:rsidRPr="001C35FA">
        <w:t>990</w:t>
      </w:r>
      <w:r w:rsidR="00F90416" w:rsidRPr="001C35FA">
        <w:t>)</w:t>
      </w:r>
      <w:r w:rsidR="00481094" w:rsidRPr="001C35FA">
        <w:t>.</w:t>
      </w:r>
    </w:p>
    <w:p w14:paraId="6519DFE1" w14:textId="77777777" w:rsidR="00676F76" w:rsidRDefault="008C31C9" w:rsidP="00CF7500">
      <w:pPr>
        <w:pStyle w:val="Heading2"/>
      </w:pPr>
      <w:r w:rsidRPr="00CF7500">
        <w:t>Focusing on the Core: Complexity Reduction</w:t>
      </w:r>
    </w:p>
    <w:p w14:paraId="2CAEA417" w14:textId="23A04D43" w:rsidR="00481094" w:rsidRPr="001C35FA" w:rsidRDefault="00481094" w:rsidP="004F76E2">
      <w:r w:rsidRPr="001C35FA">
        <w:t xml:space="preserve">The reason for focusing on the core business is that several empirical studies have shown that firms consisting of unrelated, diversified business units underperform </w:t>
      </w:r>
      <w:r w:rsidR="00D56755" w:rsidRPr="001C35FA">
        <w:t>(</w:t>
      </w:r>
      <w:r w:rsidRPr="001C35FA">
        <w:t>Rumelt</w:t>
      </w:r>
      <w:r w:rsidR="00816CC5" w:rsidRPr="001C35FA">
        <w:t xml:space="preserve">, </w:t>
      </w:r>
      <w:r w:rsidR="000038E3" w:rsidRPr="001C35FA">
        <w:t>1982</w:t>
      </w:r>
      <w:r w:rsidR="00F90416" w:rsidRPr="001C35FA">
        <w:t>)</w:t>
      </w:r>
      <w:r w:rsidRPr="001C35FA">
        <w:t xml:space="preserve">. Moreover, there is evidence that shows that a reduction of the diversification is positively associated with increases in operating performance and firm value </w:t>
      </w:r>
      <w:r w:rsidR="00D56755" w:rsidRPr="001C35FA">
        <w:t>(</w:t>
      </w:r>
      <w:r w:rsidRPr="001C35FA">
        <w:t>Gadad</w:t>
      </w:r>
      <w:r w:rsidR="008B1122" w:rsidRPr="001C35FA">
        <w:t xml:space="preserve"> and </w:t>
      </w:r>
      <w:r w:rsidRPr="001C35FA">
        <w:t>Thomas</w:t>
      </w:r>
      <w:r w:rsidR="00816CC5" w:rsidRPr="001C35FA">
        <w:t xml:space="preserve">, </w:t>
      </w:r>
      <w:r w:rsidR="00595C0F" w:rsidRPr="001C35FA">
        <w:t>2</w:t>
      </w:r>
      <w:r w:rsidRPr="001C35FA">
        <w:t>004</w:t>
      </w:r>
      <w:r w:rsidR="00F90416" w:rsidRPr="001C35FA">
        <w:t>)</w:t>
      </w:r>
      <w:r w:rsidRPr="001C35FA">
        <w:t xml:space="preserve">. Unsurprisingly, there is research reporting a reduction of business complexity in the post-buyout firms </w:t>
      </w:r>
      <w:r w:rsidR="00D56755" w:rsidRPr="001C35FA">
        <w:t>(</w:t>
      </w:r>
      <w:r w:rsidRPr="001C35FA">
        <w:t>Phan</w:t>
      </w:r>
      <w:r w:rsidR="008B1122" w:rsidRPr="001C35FA">
        <w:t xml:space="preserve"> and </w:t>
      </w:r>
      <w:r w:rsidRPr="001C35FA">
        <w:t>Hill</w:t>
      </w:r>
      <w:r w:rsidR="00816CC5" w:rsidRPr="001C35FA">
        <w:t xml:space="preserve">, </w:t>
      </w:r>
      <w:r w:rsidR="00595C0F" w:rsidRPr="001C35FA">
        <w:t>1</w:t>
      </w:r>
      <w:r w:rsidRPr="001C35FA">
        <w:t>995</w:t>
      </w:r>
      <w:r w:rsidR="00F90416" w:rsidRPr="001C35FA">
        <w:t>)</w:t>
      </w:r>
      <w:r w:rsidRPr="001C35FA">
        <w:t xml:space="preserve">. A consequence of the focus on the core and divestment of unrelated businesses is post-buyout firm value increasing </w:t>
      </w:r>
      <w:r w:rsidR="00D56755" w:rsidRPr="001C35FA">
        <w:t>(</w:t>
      </w:r>
      <w:r w:rsidRPr="001C35FA">
        <w:t>Kaplan</w:t>
      </w:r>
      <w:r w:rsidR="008B1122" w:rsidRPr="001C35FA">
        <w:t xml:space="preserve"> and </w:t>
      </w:r>
      <w:r w:rsidRPr="001C35FA">
        <w:t>Weisbach</w:t>
      </w:r>
      <w:r w:rsidR="00816CC5" w:rsidRPr="001C35FA">
        <w:t xml:space="preserve">, </w:t>
      </w:r>
      <w:r w:rsidR="00595C0F" w:rsidRPr="001C35FA">
        <w:t>1</w:t>
      </w:r>
      <w:r w:rsidRPr="001C35FA">
        <w:t>992</w:t>
      </w:r>
      <w:r w:rsidR="00F90416" w:rsidRPr="001C35FA">
        <w:t>)</w:t>
      </w:r>
      <w:r w:rsidR="000038E3" w:rsidRPr="001C35FA">
        <w:t xml:space="preserve">. </w:t>
      </w:r>
      <w:r w:rsidRPr="001C35FA">
        <w:t xml:space="preserve">As expected, there is </w:t>
      </w:r>
      <w:r w:rsidR="009170FB" w:rsidRPr="001C35FA">
        <w:t xml:space="preserve">also </w:t>
      </w:r>
      <w:r w:rsidRPr="001C35FA">
        <w:t xml:space="preserve">ample evidence for asset sales and divestment of non-core operations following a buyout </w:t>
      </w:r>
      <w:r w:rsidR="00D56755" w:rsidRPr="001C35FA">
        <w:t>(</w:t>
      </w:r>
      <w:r w:rsidRPr="001C35FA">
        <w:t>Aslan</w:t>
      </w:r>
      <w:r w:rsidR="008B1122" w:rsidRPr="001C35FA">
        <w:t xml:space="preserve"> and </w:t>
      </w:r>
      <w:r w:rsidRPr="001C35FA">
        <w:t>Kumar</w:t>
      </w:r>
      <w:r w:rsidR="00816CC5" w:rsidRPr="001C35FA">
        <w:t xml:space="preserve">, </w:t>
      </w:r>
      <w:r w:rsidR="00595C0F" w:rsidRPr="001C35FA">
        <w:t>2</w:t>
      </w:r>
      <w:r w:rsidR="000038E3" w:rsidRPr="001C35FA">
        <w:t>011</w:t>
      </w:r>
      <w:r w:rsidR="00F90416" w:rsidRPr="001C35FA">
        <w:t>)</w:t>
      </w:r>
      <w:r w:rsidRPr="001C35FA">
        <w:t xml:space="preserve">. An explanation for the profitability increase is that divestment curbs costs associated with over-investment in mature and declining industries with limited growth prospects. </w:t>
      </w:r>
    </w:p>
    <w:p w14:paraId="42D9C8AB" w14:textId="77777777" w:rsidR="00676F76" w:rsidRDefault="008C31C9" w:rsidP="00CF7500">
      <w:pPr>
        <w:pStyle w:val="Heading2"/>
      </w:pPr>
      <w:r w:rsidRPr="00CF7500">
        <w:t>Focusing on Consolidation: Buy and Build Strategies</w:t>
      </w:r>
    </w:p>
    <w:p w14:paraId="2A5A9C77" w14:textId="3CBA21FD" w:rsidR="00481094" w:rsidRPr="001C35FA" w:rsidRDefault="00481094" w:rsidP="004F76E2">
      <w:r w:rsidRPr="001C35FA">
        <w:t xml:space="preserve">The </w:t>
      </w:r>
      <w:r w:rsidR="00B463D0" w:rsidRPr="001C35FA">
        <w:t>buy and build strategy</w:t>
      </w:r>
      <w:r w:rsidRPr="001C35FA">
        <w:t xml:space="preserve"> became increasingly popular in the mid-1990s </w:t>
      </w:r>
      <w:r w:rsidR="009E1110" w:rsidRPr="00DC0992">
        <w:t>(CMBOR, 201</w:t>
      </w:r>
      <w:r w:rsidR="003F5BD6">
        <w:t>7</w:t>
      </w:r>
      <w:r w:rsidR="009E1110" w:rsidRPr="00DC0992">
        <w:t>).</w:t>
      </w:r>
      <w:r w:rsidR="009E1110">
        <w:t xml:space="preserve"> Rigorous academic studies are sparse but some industry evidence suggests that buy and builds</w:t>
      </w:r>
      <w:r w:rsidRPr="001C35FA">
        <w:t xml:space="preserve"> outperformed competing corporate strategies both in terms of growth profits and value </w:t>
      </w:r>
      <w:r w:rsidR="009E1110">
        <w:t xml:space="preserve">for primary buyouts </w:t>
      </w:r>
      <w:r w:rsidR="00D56755" w:rsidRPr="001C35FA">
        <w:t>(</w:t>
      </w:r>
      <w:r w:rsidRPr="001C35FA">
        <w:t>Ernst</w:t>
      </w:r>
      <w:r w:rsidR="008B1122" w:rsidRPr="001C35FA">
        <w:t xml:space="preserve"> and </w:t>
      </w:r>
      <w:r w:rsidRPr="001C35FA">
        <w:t>Young</w:t>
      </w:r>
      <w:r w:rsidR="00816CC5" w:rsidRPr="001C35FA">
        <w:t xml:space="preserve">, </w:t>
      </w:r>
      <w:r w:rsidR="00595C0F" w:rsidRPr="001C35FA">
        <w:t>2</w:t>
      </w:r>
      <w:r w:rsidRPr="001C35FA">
        <w:t>008</w:t>
      </w:r>
      <w:r w:rsidR="00F90416" w:rsidRPr="001C35FA">
        <w:t>)</w:t>
      </w:r>
      <w:r w:rsidR="0029569B">
        <w:t>.</w:t>
      </w:r>
      <w:r w:rsidR="009E1110">
        <w:t xml:space="preserve"> </w:t>
      </w:r>
      <w:r w:rsidRPr="001C35FA">
        <w:t xml:space="preserve">A </w:t>
      </w:r>
      <w:r w:rsidR="009E1110">
        <w:t xml:space="preserve">small-scale </w:t>
      </w:r>
      <w:r w:rsidR="0029569B">
        <w:t xml:space="preserve">in-depth </w:t>
      </w:r>
      <w:r w:rsidRPr="001C35FA">
        <w:t>study by Hoffmann</w:t>
      </w:r>
      <w:r w:rsidR="00816CC5" w:rsidRPr="001C35FA">
        <w:t xml:space="preserve">, </w:t>
      </w:r>
      <w:r w:rsidRPr="001C35FA">
        <w:t xml:space="preserve">2008 </w:t>
      </w:r>
      <w:r w:rsidR="00183902" w:rsidRPr="001C35FA">
        <w:t>found</w:t>
      </w:r>
      <w:r w:rsidRPr="001C35FA">
        <w:t xml:space="preserve"> that buy and build strategies were highly suc</w:t>
      </w:r>
      <w:r w:rsidR="00183902" w:rsidRPr="001C35FA">
        <w:t xml:space="preserve">cessful in generating value with </w:t>
      </w:r>
      <w:r w:rsidRPr="001C35FA">
        <w:t xml:space="preserve">75% of the </w:t>
      </w:r>
      <w:r w:rsidR="00183902" w:rsidRPr="001C35FA">
        <w:t>firms</w:t>
      </w:r>
      <w:r w:rsidRPr="001C35FA">
        <w:t xml:space="preserve"> generated an excess of 25% IRR</w:t>
      </w:r>
      <w:r w:rsidR="00D46648">
        <w:rPr>
          <w:rStyle w:val="FootnoteReference"/>
        </w:rPr>
        <w:footnoteReference w:id="2"/>
      </w:r>
      <w:r w:rsidRPr="001C35FA">
        <w:t>.</w:t>
      </w:r>
      <w:r w:rsidR="00183A32">
        <w:t xml:space="preserve"> </w:t>
      </w:r>
      <w:r w:rsidRPr="001C35FA">
        <w:t xml:space="preserve">The process of implementing a buy and build strategy begins with the acquisition of a nucleus firm in a fragmented industry, after which a series of successive roll-up acquisitions take place to create a market leader. The core business logic lies in market consolidation and thus amassing the advantages of scale economies, which concurrently leads to multiple expansion </w:t>
      </w:r>
      <w:r w:rsidR="00D56755" w:rsidRPr="001C35FA">
        <w:t>(</w:t>
      </w:r>
      <w:r w:rsidRPr="001C35FA">
        <w:t>Wright et al.</w:t>
      </w:r>
      <w:r w:rsidR="00816CC5" w:rsidRPr="001C35FA">
        <w:t xml:space="preserve">, </w:t>
      </w:r>
      <w:r w:rsidR="00595C0F" w:rsidRPr="001C35FA">
        <w:t>2</w:t>
      </w:r>
      <w:r w:rsidRPr="001C35FA">
        <w:t>001a</w:t>
      </w:r>
      <w:r w:rsidR="00F90416" w:rsidRPr="001C35FA">
        <w:t>)</w:t>
      </w:r>
      <w:r w:rsidR="00D6347C" w:rsidRPr="001C35FA">
        <w:t>.</w:t>
      </w:r>
      <w:r w:rsidR="00575461" w:rsidRPr="001C35FA">
        <w:t xml:space="preserve"> With respect to secondary buyouts, Wang (2012) finds </w:t>
      </w:r>
      <w:r w:rsidR="0029569B">
        <w:t xml:space="preserve">in a rigorous academic study </w:t>
      </w:r>
      <w:r w:rsidR="00575461" w:rsidRPr="001C35FA">
        <w:t>that performance improvements largely stem from acquisitive rather than organic growth.</w:t>
      </w:r>
    </w:p>
    <w:p w14:paraId="71314CE8" w14:textId="3418B7EE" w:rsidR="00481094" w:rsidRPr="001C35FA" w:rsidRDefault="00481094" w:rsidP="004F76E2">
      <w:r w:rsidRPr="001C35FA">
        <w:t xml:space="preserve">From a </w:t>
      </w:r>
      <w:r w:rsidR="00183A32">
        <w:t>managerial</w:t>
      </w:r>
      <w:r w:rsidR="00183A32" w:rsidRPr="001C35FA">
        <w:t xml:space="preserve"> </w:t>
      </w:r>
      <w:r w:rsidRPr="001C35FA">
        <w:t xml:space="preserve">standpoint, a common measure in portfolio firms is to facilitate add-on acquisitions by using the capital that was freed up during prior divestments, while another is to free up capital by asset conversion. </w:t>
      </w:r>
      <w:r w:rsidR="00183902" w:rsidRPr="001C35FA">
        <w:t>A</w:t>
      </w:r>
      <w:r w:rsidRPr="001C35FA">
        <w:t xml:space="preserve"> factor that alleviates the level of capital is that the sequential add-on acquisitions are to be valued at substantially lower multiples than the consolidated firm during the exit.</w:t>
      </w:r>
    </w:p>
    <w:p w14:paraId="0B604BA8" w14:textId="77777777" w:rsidR="00676F76" w:rsidRPr="00CF7500" w:rsidRDefault="008C31C9" w:rsidP="00CF7500">
      <w:pPr>
        <w:pStyle w:val="Heading2"/>
        <w:rPr>
          <w:bCs/>
        </w:rPr>
      </w:pPr>
      <w:r w:rsidRPr="00CF7500">
        <w:t>Focusing on Growth: Market Expansion</w:t>
      </w:r>
    </w:p>
    <w:p w14:paraId="08432AC0" w14:textId="3752433F" w:rsidR="00B26AA4" w:rsidRPr="001C35FA" w:rsidRDefault="00481094" w:rsidP="004F76E2">
      <w:r w:rsidRPr="001C35FA">
        <w:t>Growth is significant in and of itself, as firm growth is a par</w:t>
      </w:r>
      <w:r w:rsidR="00721564" w:rsidRPr="001C35FA">
        <w:t>ameter that affects firm value</w:t>
      </w:r>
      <w:r w:rsidR="00B26AA4" w:rsidRPr="001C35FA">
        <w:t xml:space="preserve">. Thus, </w:t>
      </w:r>
      <w:r w:rsidRPr="001C35FA">
        <w:t xml:space="preserve">growth </w:t>
      </w:r>
      <w:r w:rsidR="00B26AA4" w:rsidRPr="001C35FA">
        <w:t xml:space="preserve">and market expansion </w:t>
      </w:r>
      <w:r w:rsidRPr="001C35FA">
        <w:t>can be an important component of value creation, particularly whe</w:t>
      </w:r>
      <w:r w:rsidR="00721564" w:rsidRPr="001C35FA">
        <w:t>n margins are not deteriorating</w:t>
      </w:r>
      <w:r w:rsidRPr="001C35FA">
        <w:t xml:space="preserve">. </w:t>
      </w:r>
      <w:r w:rsidR="0067287A">
        <w:t xml:space="preserve">Access such fine grained information from published sources is challenging and studies have relied on proprietary data. </w:t>
      </w:r>
      <w:r w:rsidR="00B26AA4" w:rsidRPr="001C35FA">
        <w:t>One study</w:t>
      </w:r>
      <w:r w:rsidRPr="001C35FA">
        <w:t xml:space="preserve"> </w:t>
      </w:r>
      <w:r w:rsidR="003D3D75">
        <w:t xml:space="preserve">of </w:t>
      </w:r>
      <w:r w:rsidR="003D3D75" w:rsidRPr="003D3D75">
        <w:t xml:space="preserve">32 private-equity companies in the portfolios of seven European private-equity firms </w:t>
      </w:r>
      <w:r w:rsidR="0067287A">
        <w:t xml:space="preserve">based on proprietary data collected by Boston Consulting Group </w:t>
      </w:r>
      <w:r w:rsidRPr="001C35FA">
        <w:t xml:space="preserve">revealed that almost half of the total internal rate of return </w:t>
      </w:r>
      <w:r w:rsidR="00D56755" w:rsidRPr="001C35FA">
        <w:t>(</w:t>
      </w:r>
      <w:r w:rsidRPr="001C35FA">
        <w:t>IRR</w:t>
      </w:r>
      <w:r w:rsidR="00F90416" w:rsidRPr="001C35FA">
        <w:t>)</w:t>
      </w:r>
      <w:r w:rsidRPr="001C35FA">
        <w:t xml:space="preserve">, or 22% of the total 48%, was attributable to sales growth, while an additional 5% was due to margin improvements </w:t>
      </w:r>
      <w:r w:rsidR="00D56755" w:rsidRPr="001C35FA">
        <w:t>(</w:t>
      </w:r>
      <w:r w:rsidRPr="001C35FA">
        <w:t>Meerkatt et al.</w:t>
      </w:r>
      <w:r w:rsidR="00816CC5" w:rsidRPr="001C35FA">
        <w:t xml:space="preserve">, </w:t>
      </w:r>
      <w:r w:rsidR="00595C0F" w:rsidRPr="001C35FA">
        <w:t>2</w:t>
      </w:r>
      <w:r w:rsidRPr="001C35FA">
        <w:t>008</w:t>
      </w:r>
      <w:r w:rsidR="00F90416" w:rsidRPr="001C35FA">
        <w:t>)</w:t>
      </w:r>
      <w:r w:rsidRPr="001C35FA">
        <w:t xml:space="preserve">. </w:t>
      </w:r>
      <w:r w:rsidR="00B26AA4" w:rsidRPr="001C35FA">
        <w:t xml:space="preserve">Another </w:t>
      </w:r>
      <w:r w:rsidR="0067287A">
        <w:t xml:space="preserve">academic </w:t>
      </w:r>
      <w:r w:rsidR="00B26AA4" w:rsidRPr="001C35FA">
        <w:t>study</w:t>
      </w:r>
      <w:r w:rsidR="0067287A">
        <w:t xml:space="preserve"> based on proprietary data from McKinsey</w:t>
      </w:r>
      <w:r w:rsidR="00496EB1">
        <w:t xml:space="preserve"> </w:t>
      </w:r>
      <w:r w:rsidRPr="001C35FA">
        <w:t>find</w:t>
      </w:r>
      <w:r w:rsidR="00B26AA4" w:rsidRPr="001C35FA">
        <w:t>s</w:t>
      </w:r>
      <w:r w:rsidRPr="001C35FA">
        <w:t xml:space="preserve"> that buyout firms both achieve higher sales growth and margin impr</w:t>
      </w:r>
      <w:r w:rsidR="00E013DB" w:rsidRPr="001C35FA">
        <w:t xml:space="preserve">ovements </w:t>
      </w:r>
      <w:r w:rsidRPr="001C35FA">
        <w:t>relative to peers</w:t>
      </w:r>
      <w:r w:rsidR="00B26AA4" w:rsidRPr="001C35FA">
        <w:t xml:space="preserve"> (</w:t>
      </w:r>
      <w:bookmarkStart w:id="4" w:name="OLE_LINK9"/>
      <w:bookmarkStart w:id="5" w:name="OLE_LINK10"/>
      <w:r w:rsidR="00B26AA4" w:rsidRPr="001C35FA">
        <w:t xml:space="preserve">Acharya </w:t>
      </w:r>
      <w:bookmarkEnd w:id="4"/>
      <w:bookmarkEnd w:id="5"/>
      <w:r w:rsidR="00B26AA4" w:rsidRPr="001C35FA">
        <w:t>et al.</w:t>
      </w:r>
      <w:r w:rsidR="00816CC5" w:rsidRPr="001C35FA">
        <w:t xml:space="preserve">, </w:t>
      </w:r>
      <w:r w:rsidR="00B26AA4" w:rsidRPr="001C35FA">
        <w:t>201</w:t>
      </w:r>
      <w:r w:rsidR="00B524BF">
        <w:t>3</w:t>
      </w:r>
      <w:r w:rsidR="00B26AA4" w:rsidRPr="001C35FA">
        <w:t>).</w:t>
      </w:r>
    </w:p>
    <w:p w14:paraId="13CBBC81" w14:textId="4C25237D" w:rsidR="00481094" w:rsidRPr="001C35FA" w:rsidRDefault="00481094" w:rsidP="004F76E2">
      <w:r w:rsidRPr="001C35FA">
        <w:t>A secondary effect is that a track record of growth tends to raise the valuation multiple. In the study by Meerkatt et al.</w:t>
      </w:r>
      <w:r w:rsidR="00816CC5" w:rsidRPr="001C35FA">
        <w:t xml:space="preserve">, </w:t>
      </w:r>
      <w:r w:rsidRPr="001C35FA">
        <w:t>2008, another 10% of the IRR was attributed to an increase in valuation multiples, which although primarily the result of systematic increases in multiples across the markets, was in part caused by improved performance prospects at the time of exit.</w:t>
      </w:r>
    </w:p>
    <w:p w14:paraId="0A0B4F8C" w14:textId="4EC7784A" w:rsidR="00B26AA4" w:rsidRPr="001C35FA" w:rsidRDefault="00481094" w:rsidP="004F76E2">
      <w:r w:rsidRPr="001C35FA">
        <w:t>An extensive research project on the different strategic approaches to organizational growth by McGrath and MacMillan</w:t>
      </w:r>
      <w:r w:rsidR="00816CC5" w:rsidRPr="001C35FA">
        <w:t xml:space="preserve"> </w:t>
      </w:r>
      <w:r w:rsidR="009170FB" w:rsidRPr="001C35FA">
        <w:t>(</w:t>
      </w:r>
      <w:r w:rsidRPr="001C35FA">
        <w:t>2005</w:t>
      </w:r>
      <w:r w:rsidR="009170FB" w:rsidRPr="001C35FA">
        <w:t>)</w:t>
      </w:r>
      <w:r w:rsidR="00B26AA4" w:rsidRPr="001C35FA">
        <w:t xml:space="preserve"> </w:t>
      </w:r>
      <w:r w:rsidRPr="001C35FA">
        <w:t>found a number of key components, such as using the metrics of cash-flow velocity, asset utilization, customer performance, customer productivity, customer cash flow, and customer asset intensity.</w:t>
      </w:r>
      <w:r w:rsidR="002E3B4D" w:rsidRPr="001C35FA">
        <w:t xml:space="preserve"> </w:t>
      </w:r>
      <w:r w:rsidR="00BA009E">
        <w:t>Representative s</w:t>
      </w:r>
      <w:r w:rsidR="009E0D26" w:rsidRPr="00BA009E">
        <w:t xml:space="preserve">urvey evidence </w:t>
      </w:r>
      <w:r w:rsidR="00BA009E">
        <w:t xml:space="preserve">based on investor responses </w:t>
      </w:r>
      <w:r w:rsidR="009E0D26" w:rsidRPr="00BA009E">
        <w:t>suggests that a</w:t>
      </w:r>
      <w:r w:rsidR="00B26AA4" w:rsidRPr="001C35FA">
        <w:t xml:space="preserve"> shortcut to achieving</w:t>
      </w:r>
      <w:r w:rsidRPr="001C35FA">
        <w:t xml:space="preserve"> growth i</w:t>
      </w:r>
      <w:r w:rsidR="003002AA" w:rsidRPr="001C35FA">
        <w:t>s</w:t>
      </w:r>
      <w:r w:rsidRPr="001C35FA">
        <w:t xml:space="preserve"> </w:t>
      </w:r>
      <w:r w:rsidR="00B26AA4" w:rsidRPr="001C35FA">
        <w:t>to</w:t>
      </w:r>
      <w:r w:rsidRPr="001C35FA">
        <w:t xml:space="preserve"> recruit dynamic executives who can seek out and exploit growth opportunities, as opposed to recruiting executives with organizational skills to monitor the firm </w:t>
      </w:r>
      <w:r w:rsidR="00D56755" w:rsidRPr="001C35FA">
        <w:t>(</w:t>
      </w:r>
      <w:r w:rsidRPr="001C35FA">
        <w:t>Lockett, Murray,</w:t>
      </w:r>
      <w:r w:rsidR="008B1122" w:rsidRPr="001C35FA">
        <w:t xml:space="preserve"> and </w:t>
      </w:r>
      <w:r w:rsidRPr="001C35FA">
        <w:t>Wright</w:t>
      </w:r>
      <w:r w:rsidR="00816CC5" w:rsidRPr="001C35FA">
        <w:t xml:space="preserve">, </w:t>
      </w:r>
      <w:r w:rsidR="00595C0F" w:rsidRPr="001C35FA">
        <w:t>2</w:t>
      </w:r>
      <w:r w:rsidRPr="001C35FA">
        <w:t>002</w:t>
      </w:r>
      <w:r w:rsidR="00F90416" w:rsidRPr="001C35FA">
        <w:t>)</w:t>
      </w:r>
      <w:r w:rsidR="00B26AA4" w:rsidRPr="001C35FA">
        <w:t>.</w:t>
      </w:r>
      <w:r w:rsidR="003002AA" w:rsidRPr="001C35FA">
        <w:t xml:space="preserve"> </w:t>
      </w:r>
    </w:p>
    <w:p w14:paraId="244C872F" w14:textId="77777777" w:rsidR="00676F76" w:rsidRDefault="005A63CA" w:rsidP="00CF7500">
      <w:r w:rsidRPr="003900C7">
        <w:rPr>
          <w:vanish/>
        </w:rPr>
        <w:cr/>
        <w:t xml:space="preserve"> iver is mostly based on urnal </w:t>
      </w:r>
      <w:r w:rsidRPr="00DD57C8">
        <w:rPr>
          <w:vanish/>
        </w:rPr>
        <w:pgNum/>
      </w:r>
      <w:r w:rsidRPr="00DD57C8">
        <w:rPr>
          <w:vanish/>
        </w:rPr>
        <w:pgNum/>
      </w:r>
      <w:r w:rsidRPr="00546FAC">
        <w:rPr>
          <w:vanish/>
        </w:rPr>
        <w:pgNum/>
      </w:r>
      <w:r w:rsidRPr="008C1952">
        <w:rPr>
          <w:vanish/>
        </w:rPr>
        <w:pgNum/>
      </w:r>
      <w:r w:rsidRPr="00C738FC">
        <w:rPr>
          <w:vanish/>
        </w:rPr>
        <w:pgNum/>
      </w:r>
      <w:r w:rsidRPr="00C738FC">
        <w:rPr>
          <w:vanish/>
        </w:rPr>
        <w:pgNum/>
      </w:r>
      <w:r w:rsidRPr="00C738FC">
        <w:rPr>
          <w:vanish/>
        </w:rPr>
        <w:pgNum/>
      </w:r>
      <w:r w:rsidRPr="00C738FC">
        <w:rPr>
          <w:vanish/>
        </w:rPr>
        <w:pgNum/>
      </w:r>
      <w:r w:rsidRPr="00C738FC">
        <w:rPr>
          <w:vanish/>
        </w:rPr>
        <w:pgNum/>
      </w:r>
      <w:r w:rsidRPr="00C738FC">
        <w:rPr>
          <w:vanish/>
        </w:rPr>
        <w:pgNum/>
      </w:r>
      <w:r w:rsidRPr="00C738FC">
        <w:rPr>
          <w:vanish/>
        </w:rPr>
        <w:pgNum/>
      </w:r>
      <w:r w:rsidRPr="00B23DBA">
        <w:rPr>
          <w:vanish/>
        </w:rPr>
        <w:pgNum/>
      </w:r>
      <w:r w:rsidRPr="00B23DBA">
        <w:rPr>
          <w:vanish/>
        </w:rPr>
        <w:pgNum/>
      </w:r>
      <w:r w:rsidRPr="00B23DBA">
        <w:rPr>
          <w:vanish/>
        </w:rPr>
        <w:pgNum/>
      </w:r>
      <w:r w:rsidRPr="00B23DBA">
        <w:rPr>
          <w:vanish/>
        </w:rPr>
        <w:pgNum/>
      </w:r>
      <w:r w:rsidRPr="0084704A">
        <w:rPr>
          <w:vanish/>
        </w:rPr>
        <w:pgNum/>
      </w:r>
      <w:r w:rsidRPr="00BF0AB4">
        <w:rPr>
          <w:vanish/>
        </w:rPr>
        <w:pgNum/>
      </w:r>
      <w:r w:rsidRPr="00BF0AB4">
        <w:rPr>
          <w:vanish/>
        </w:rPr>
        <w:pgNum/>
      </w:r>
      <w:r w:rsidRPr="00822091">
        <w:rPr>
          <w:vanish/>
        </w:rPr>
        <w:pgNum/>
      </w:r>
      <w:r w:rsidRPr="00822091">
        <w:rPr>
          <w:vanish/>
        </w:rPr>
        <w:pgNum/>
      </w:r>
      <w:r w:rsidRPr="00822091">
        <w:rPr>
          <w:vanish/>
        </w:rPr>
        <w:pgNum/>
      </w:r>
      <w:r w:rsidRPr="00671D85">
        <w:rPr>
          <w:vanish/>
        </w:rPr>
        <w:pgNum/>
      </w:r>
      <w:r w:rsidRPr="00671D85">
        <w:rPr>
          <w:vanish/>
        </w:rPr>
        <w:pgNum/>
      </w:r>
      <w:r w:rsidRPr="005411E7">
        <w:rPr>
          <w:vanish/>
        </w:rPr>
        <w:pgNum/>
      </w:r>
      <w:r w:rsidRPr="004F2CFF">
        <w:rPr>
          <w:vanish/>
        </w:rPr>
        <w:pgNum/>
      </w:r>
      <w:r w:rsidRPr="00DB3687">
        <w:rPr>
          <w:vanish/>
        </w:rPr>
        <w:pgNum/>
      </w:r>
      <w:r w:rsidRPr="00DB3687">
        <w:rPr>
          <w:vanish/>
        </w:rPr>
        <w:pgNum/>
      </w:r>
      <w:r w:rsidRPr="00DB3687">
        <w:rPr>
          <w:vanish/>
        </w:rPr>
        <w:pgNum/>
      </w:r>
      <w:r w:rsidRPr="00501233">
        <w:rPr>
          <w:vanish/>
        </w:rPr>
        <w:pgNum/>
      </w:r>
      <w:r w:rsidRPr="00501233">
        <w:rPr>
          <w:vanish/>
        </w:rPr>
        <w:pgNum/>
      </w:r>
      <w:r w:rsidRPr="00501233">
        <w:rPr>
          <w:vanish/>
        </w:rPr>
        <w:pgNum/>
      </w:r>
      <w:r w:rsidRPr="00501233">
        <w:rPr>
          <w:vanish/>
        </w:rPr>
        <w:pgNum/>
      </w:r>
      <w:r w:rsidRPr="00983316">
        <w:rPr>
          <w:vanish/>
        </w:rPr>
        <w:pgNum/>
      </w:r>
      <w:r w:rsidRPr="00D2255C">
        <w:rPr>
          <w:vanish/>
        </w:rPr>
        <w:pgNum/>
      </w:r>
      <w:r w:rsidRPr="001D022C">
        <w:rPr>
          <w:vanish/>
        </w:rPr>
        <w:pgNum/>
      </w:r>
      <w:r w:rsidRPr="001D022C">
        <w:rPr>
          <w:vanish/>
        </w:rPr>
        <w:pgNum/>
      </w:r>
      <w:r w:rsidRPr="00665DAD">
        <w:rPr>
          <w:vanish/>
        </w:rPr>
        <w:pgNum/>
      </w:r>
      <w:r w:rsidRPr="005124CB">
        <w:rPr>
          <w:vanish/>
        </w:rPr>
        <w:pgNum/>
      </w:r>
      <w:r w:rsidRPr="005124CB">
        <w:rPr>
          <w:vanish/>
        </w:rPr>
        <w:pgNum/>
      </w:r>
      <w:r w:rsidRPr="003A3A53">
        <w:rPr>
          <w:vanish/>
        </w:rPr>
        <w:pgNum/>
      </w:r>
      <w:r w:rsidRPr="003A3A53">
        <w:rPr>
          <w:vanish/>
        </w:rPr>
        <w:pgNum/>
      </w:r>
      <w:r w:rsidRPr="003A3A53">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r w:rsidR="008C31C9" w:rsidRPr="00CF7500">
        <w:rPr>
          <w:vanish/>
        </w:rPr>
        <w:pgNum/>
      </w:r>
    </w:p>
    <w:p w14:paraId="3AA09D6D" w14:textId="77777777" w:rsidR="00676F76" w:rsidRDefault="00481094" w:rsidP="00CF7500">
      <w:pPr>
        <w:pStyle w:val="Heading1"/>
      </w:pPr>
      <w:r w:rsidRPr="003900C7">
        <w:rPr>
          <w:szCs w:val="24"/>
        </w:rPr>
        <w:t>Governance Drivers</w:t>
      </w:r>
    </w:p>
    <w:p w14:paraId="3EC43B0F" w14:textId="10EFEC3C" w:rsidR="00481094" w:rsidRPr="001C35FA" w:rsidRDefault="00481094" w:rsidP="004F76E2">
      <w:r w:rsidRPr="001C35FA">
        <w:t xml:space="preserve">The governance driver concerns the </w:t>
      </w:r>
      <w:r w:rsidR="0014650E" w:rsidRPr="001C35FA">
        <w:t>changed</w:t>
      </w:r>
      <w:r w:rsidRPr="001C35FA">
        <w:t xml:space="preserve"> organizational structure and administrative discipline exerted by the new owners. </w:t>
      </w:r>
      <w:r w:rsidR="0014650E" w:rsidRPr="001C35FA">
        <w:t>An early study</w:t>
      </w:r>
      <w:r w:rsidRPr="001C35FA">
        <w:t xml:space="preserve"> to bring attention to the governance driver was the qualitative case study of the O.M. Scott</w:t>
      </w:r>
      <w:r w:rsidR="008B1122" w:rsidRPr="001C35FA">
        <w:t xml:space="preserve"> </w:t>
      </w:r>
      <w:r w:rsidR="009170FB" w:rsidRPr="001C35FA">
        <w:t>&amp;</w:t>
      </w:r>
      <w:r w:rsidR="008B1122" w:rsidRPr="001C35FA">
        <w:t xml:space="preserve"> </w:t>
      </w:r>
      <w:r w:rsidRPr="001C35FA">
        <w:t xml:space="preserve">Sons Company, in which the </w:t>
      </w:r>
      <w:r w:rsidR="00036FBD" w:rsidRPr="001C35FA">
        <w:t xml:space="preserve">operating </w:t>
      </w:r>
      <w:r w:rsidRPr="001C35FA">
        <w:t xml:space="preserve">improvements were attributed to changes in the incentive structure, the monitoring system, and the governance structure </w:t>
      </w:r>
      <w:r w:rsidR="00D56755" w:rsidRPr="001C35FA">
        <w:t>(</w:t>
      </w:r>
      <w:r w:rsidRPr="001C35FA">
        <w:t>Baker</w:t>
      </w:r>
      <w:r w:rsidR="008B1122" w:rsidRPr="001C35FA">
        <w:t xml:space="preserve"> and </w:t>
      </w:r>
      <w:r w:rsidRPr="001C35FA">
        <w:t>Wruck</w:t>
      </w:r>
      <w:r w:rsidR="00816CC5" w:rsidRPr="001C35FA">
        <w:t xml:space="preserve">, </w:t>
      </w:r>
      <w:r w:rsidR="00595C0F" w:rsidRPr="001C35FA">
        <w:t>1</w:t>
      </w:r>
      <w:r w:rsidRPr="001C35FA">
        <w:t>989</w:t>
      </w:r>
      <w:r w:rsidR="00F90416" w:rsidRPr="001C35FA">
        <w:t>)</w:t>
      </w:r>
      <w:r w:rsidRPr="001C35FA">
        <w:t xml:space="preserve">. Another seminal study identified two factors that contribute to the productivity increase: the increased utilization of employees due to performance rewards and penalties, and the reduction of misallocation to inefficient activities due to curtailment of free cash flow </w:t>
      </w:r>
      <w:r w:rsidR="00D56755" w:rsidRPr="001C35FA">
        <w:t>(</w:t>
      </w:r>
      <w:r w:rsidRPr="001C35FA">
        <w:t>Lichtenberg</w:t>
      </w:r>
      <w:r w:rsidR="008B1122" w:rsidRPr="001C35FA">
        <w:t xml:space="preserve"> and </w:t>
      </w:r>
      <w:r w:rsidRPr="001C35FA">
        <w:t>Siegel</w:t>
      </w:r>
      <w:r w:rsidR="00816CC5" w:rsidRPr="001C35FA">
        <w:t xml:space="preserve">, </w:t>
      </w:r>
      <w:r w:rsidR="00595C0F" w:rsidRPr="001C35FA">
        <w:t>1</w:t>
      </w:r>
      <w:r w:rsidRPr="001C35FA">
        <w:t>990</w:t>
      </w:r>
      <w:r w:rsidR="00F90416" w:rsidRPr="001C35FA">
        <w:t>)</w:t>
      </w:r>
      <w:r w:rsidRPr="001C35FA">
        <w:t>.</w:t>
      </w:r>
    </w:p>
    <w:p w14:paraId="091A8DD6" w14:textId="466FF64F" w:rsidR="00481094" w:rsidRPr="001C35FA" w:rsidRDefault="00481094" w:rsidP="004F76E2">
      <w:r w:rsidRPr="001C35FA">
        <w:t xml:space="preserve">Particularly agency theory has long been the cornerstone of research on buyouts </w:t>
      </w:r>
      <w:r w:rsidR="00D56755" w:rsidRPr="001C35FA">
        <w:t>(</w:t>
      </w:r>
      <w:r w:rsidRPr="001C35FA">
        <w:t>Jensen</w:t>
      </w:r>
      <w:r w:rsidR="008B1122" w:rsidRPr="001C35FA">
        <w:t xml:space="preserve"> and </w:t>
      </w:r>
      <w:r w:rsidRPr="001C35FA">
        <w:t>Meckling</w:t>
      </w:r>
      <w:r w:rsidR="00816CC5" w:rsidRPr="001C35FA">
        <w:t xml:space="preserve">, </w:t>
      </w:r>
      <w:r w:rsidR="00595C0F" w:rsidRPr="001C35FA">
        <w:t>1</w:t>
      </w:r>
      <w:r w:rsidRPr="001C35FA">
        <w:t>976</w:t>
      </w:r>
      <w:r w:rsidR="00F90416" w:rsidRPr="001C35FA">
        <w:t>)</w:t>
      </w:r>
      <w:r w:rsidRPr="001C35FA">
        <w:t xml:space="preserve">. The inherent conflict in corporations caused by interest divergence </w:t>
      </w:r>
      <w:r w:rsidR="008751B5" w:rsidRPr="001C35FA">
        <w:t xml:space="preserve">between managers and stockholders </w:t>
      </w:r>
      <w:r w:rsidRPr="001C35FA">
        <w:t xml:space="preserve">has a long history in economics and was noted </w:t>
      </w:r>
      <w:r w:rsidR="008751B5" w:rsidRPr="001C35FA">
        <w:t xml:space="preserve">in early studies </w:t>
      </w:r>
      <w:r w:rsidRPr="001C35FA">
        <w:t>by Adam Smith</w:t>
      </w:r>
      <w:r w:rsidR="009170FB" w:rsidRPr="001C35FA">
        <w:t xml:space="preserve"> (</w:t>
      </w:r>
      <w:r w:rsidRPr="001C35FA">
        <w:t>1776</w:t>
      </w:r>
      <w:r w:rsidR="009170FB" w:rsidRPr="001C35FA">
        <w:t>)</w:t>
      </w:r>
      <w:r w:rsidRPr="001C35FA">
        <w:t xml:space="preserve"> and Berle and Means</w:t>
      </w:r>
      <w:r w:rsidR="00816CC5" w:rsidRPr="001C35FA">
        <w:t xml:space="preserve"> </w:t>
      </w:r>
      <w:r w:rsidR="009170FB" w:rsidRPr="001C35FA">
        <w:t>(</w:t>
      </w:r>
      <w:r w:rsidRPr="001C35FA">
        <w:t>1932</w:t>
      </w:r>
      <w:r w:rsidR="009170FB" w:rsidRPr="001C35FA">
        <w:t>)</w:t>
      </w:r>
      <w:r w:rsidRPr="001C35FA">
        <w:t xml:space="preserve">. </w:t>
      </w:r>
      <w:r w:rsidR="008751B5" w:rsidRPr="001C35FA">
        <w:t xml:space="preserve">Based on the understanding that </w:t>
      </w:r>
      <w:r w:rsidRPr="001C35FA">
        <w:t>the incentives for management to maximize firm value are weak</w:t>
      </w:r>
      <w:r w:rsidR="008751B5" w:rsidRPr="001C35FA">
        <w:t>, private equity firms rely on a number of mechanisms to realign the interested of the managers with their interests.</w:t>
      </w:r>
    </w:p>
    <w:p w14:paraId="5AC006FC" w14:textId="77777777" w:rsidR="00676F76" w:rsidRPr="00CF7500" w:rsidRDefault="008C31C9" w:rsidP="00CF7500">
      <w:pPr>
        <w:pStyle w:val="Heading2"/>
      </w:pPr>
      <w:r w:rsidRPr="00CF7500">
        <w:t>The GP Effect: Experience and Expertise Matters</w:t>
      </w:r>
    </w:p>
    <w:p w14:paraId="13D8CCE3" w14:textId="1CF24DCF" w:rsidR="00150CFF" w:rsidRPr="001C35FA" w:rsidRDefault="00481094" w:rsidP="004F76E2">
      <w:r w:rsidRPr="001C35FA">
        <w:t xml:space="preserve">A major benefit from private equity ownership is the cross-utilization of industry expertise and management talent within the portfolio firms </w:t>
      </w:r>
      <w:r w:rsidR="00D56755" w:rsidRPr="001C35FA">
        <w:t>(</w:t>
      </w:r>
      <w:r w:rsidRPr="001C35FA">
        <w:t>Hite</w:t>
      </w:r>
      <w:r w:rsidR="008B1122" w:rsidRPr="001C35FA">
        <w:t xml:space="preserve"> and </w:t>
      </w:r>
      <w:r w:rsidRPr="001C35FA">
        <w:t>Vetsuypens</w:t>
      </w:r>
      <w:r w:rsidR="00816CC5" w:rsidRPr="001C35FA">
        <w:t xml:space="preserve">, </w:t>
      </w:r>
      <w:r w:rsidR="00595C0F" w:rsidRPr="001C35FA">
        <w:t>1</w:t>
      </w:r>
      <w:r w:rsidRPr="001C35FA">
        <w:t>989</w:t>
      </w:r>
      <w:r w:rsidR="00F90416" w:rsidRPr="001C35FA">
        <w:t>)</w:t>
      </w:r>
      <w:r w:rsidRPr="001C35FA">
        <w:t>. Particularly pertinent is the accumulated experience of private equity professionals, which constitute</w:t>
      </w:r>
      <w:r w:rsidR="003002AA" w:rsidRPr="001C35FA">
        <w:t>s</w:t>
      </w:r>
      <w:r w:rsidRPr="001C35FA">
        <w:t xml:space="preserve"> a knowledge transfer from the GPs to the portfolio firms </w:t>
      </w:r>
      <w:r w:rsidR="00D56755" w:rsidRPr="001C35FA">
        <w:t>(</w:t>
      </w:r>
      <w:r w:rsidRPr="001C35FA">
        <w:t>Baker</w:t>
      </w:r>
      <w:r w:rsidR="008B1122" w:rsidRPr="001C35FA">
        <w:t xml:space="preserve"> and </w:t>
      </w:r>
      <w:r w:rsidRPr="001C35FA">
        <w:t>Smith</w:t>
      </w:r>
      <w:r w:rsidR="00816CC5" w:rsidRPr="001C35FA">
        <w:t xml:space="preserve">, </w:t>
      </w:r>
      <w:r w:rsidR="00595C0F" w:rsidRPr="001C35FA">
        <w:t>1</w:t>
      </w:r>
      <w:r w:rsidRPr="001C35FA">
        <w:t>998</w:t>
      </w:r>
      <w:r w:rsidR="00F90416" w:rsidRPr="001C35FA">
        <w:t>)</w:t>
      </w:r>
      <w:r w:rsidR="00150CFF" w:rsidRPr="001C35FA">
        <w:t>.</w:t>
      </w:r>
    </w:p>
    <w:p w14:paraId="7F38E40C" w14:textId="20318CED" w:rsidR="00481094" w:rsidRPr="001C35FA" w:rsidRDefault="00481094" w:rsidP="00223E9D">
      <w:r w:rsidRPr="001C35FA">
        <w:t xml:space="preserve">Several researchers find that the industry expertise is garnered not merely from participating in buyouts, but from the extensive contact networks </w:t>
      </w:r>
      <w:r w:rsidR="008807B3">
        <w:t xml:space="preserve">of talent and </w:t>
      </w:r>
      <w:r w:rsidR="00A7455F">
        <w:t xml:space="preserve">experienced </w:t>
      </w:r>
      <w:r w:rsidR="008807B3">
        <w:t>management</w:t>
      </w:r>
      <w:r w:rsidR="008B58A0">
        <w:t>, based on experience of KKR one of the leading PE firms</w:t>
      </w:r>
      <w:r w:rsidR="008807B3">
        <w:t xml:space="preserve"> </w:t>
      </w:r>
      <w:r w:rsidR="00D56755" w:rsidRPr="001C35FA">
        <w:t>(</w:t>
      </w:r>
      <w:r w:rsidRPr="001C35FA">
        <w:t>Kaufman</w:t>
      </w:r>
      <w:r w:rsidR="008B1122" w:rsidRPr="001C35FA">
        <w:t xml:space="preserve"> and </w:t>
      </w:r>
      <w:r w:rsidRPr="001C35FA">
        <w:t>Englander</w:t>
      </w:r>
      <w:r w:rsidR="00816CC5" w:rsidRPr="001C35FA">
        <w:t xml:space="preserve">, </w:t>
      </w:r>
      <w:r w:rsidR="00595C0F" w:rsidRPr="001C35FA">
        <w:t>1</w:t>
      </w:r>
      <w:r w:rsidRPr="001C35FA">
        <w:t>993</w:t>
      </w:r>
      <w:r w:rsidR="0000761D" w:rsidRPr="001C35FA">
        <w:t xml:space="preserve">; </w:t>
      </w:r>
      <w:r w:rsidRPr="001C35FA">
        <w:t>Baker</w:t>
      </w:r>
      <w:r w:rsidR="008B1122" w:rsidRPr="001C35FA">
        <w:t xml:space="preserve"> and </w:t>
      </w:r>
      <w:r w:rsidRPr="001C35FA">
        <w:t>Smith</w:t>
      </w:r>
      <w:r w:rsidR="00816CC5" w:rsidRPr="001C35FA">
        <w:t xml:space="preserve">, </w:t>
      </w:r>
      <w:r w:rsidR="00595C0F" w:rsidRPr="001C35FA">
        <w:t>1</w:t>
      </w:r>
      <w:r w:rsidRPr="001C35FA">
        <w:t>998</w:t>
      </w:r>
      <w:r w:rsidR="008B58A0">
        <w:t>) and on detailed qualitative work relating to several cases (</w:t>
      </w:r>
      <w:r w:rsidRPr="001C35FA">
        <w:t>Bruining</w:t>
      </w:r>
      <w:r w:rsidR="008B1122" w:rsidRPr="001C35FA">
        <w:t xml:space="preserve"> and </w:t>
      </w:r>
      <w:r w:rsidRPr="001C35FA">
        <w:t>Wright</w:t>
      </w:r>
      <w:r w:rsidR="00816CC5" w:rsidRPr="001C35FA">
        <w:t xml:space="preserve">, </w:t>
      </w:r>
      <w:r w:rsidR="00595C0F" w:rsidRPr="001C35FA">
        <w:t>2</w:t>
      </w:r>
      <w:r w:rsidRPr="001C35FA">
        <w:t>002</w:t>
      </w:r>
      <w:r w:rsidR="00F90416" w:rsidRPr="001C35FA">
        <w:t>)</w:t>
      </w:r>
      <w:r w:rsidR="005B6BAA" w:rsidRPr="001C35FA">
        <w:t>.</w:t>
      </w:r>
      <w:r w:rsidR="00150CFF" w:rsidRPr="001C35FA">
        <w:t xml:space="preserve"> </w:t>
      </w:r>
      <w:r w:rsidR="003834AF">
        <w:t>Other</w:t>
      </w:r>
      <w:r w:rsidR="003834AF" w:rsidRPr="001C35FA">
        <w:t xml:space="preserve"> </w:t>
      </w:r>
      <w:r w:rsidR="00150CFF" w:rsidRPr="001C35FA">
        <w:t>researchers</w:t>
      </w:r>
      <w:r w:rsidR="008B58A0">
        <w:t>, based on more quantitative data,</w:t>
      </w:r>
      <w:r w:rsidRPr="001C35FA">
        <w:t xml:space="preserve"> </w:t>
      </w:r>
      <w:r w:rsidR="00150CFF" w:rsidRPr="001C35FA">
        <w:t>report</w:t>
      </w:r>
      <w:r w:rsidRPr="001C35FA">
        <w:t xml:space="preserve"> that the fund performance increases with </w:t>
      </w:r>
      <w:r w:rsidR="00150CFF" w:rsidRPr="001C35FA">
        <w:t>the experience of the GP and that the</w:t>
      </w:r>
      <w:r w:rsidRPr="001C35FA">
        <w:t xml:space="preserve"> performance is persistent, i.e. GPs of the funds that outperform the industry in one fund are likely</w:t>
      </w:r>
      <w:r w:rsidR="00137C11" w:rsidRPr="001C35FA">
        <w:t xml:space="preserve"> to outperform in the next fund</w:t>
      </w:r>
      <w:r w:rsidR="00150CFF" w:rsidRPr="001C35FA">
        <w:t xml:space="preserve"> (Schmidt et al.</w:t>
      </w:r>
      <w:r w:rsidR="00816CC5" w:rsidRPr="001C35FA">
        <w:t xml:space="preserve">, </w:t>
      </w:r>
      <w:r w:rsidR="00150CFF" w:rsidRPr="001C35FA">
        <w:t>2004; Kaplan</w:t>
      </w:r>
      <w:r w:rsidR="008B1122" w:rsidRPr="001C35FA">
        <w:t xml:space="preserve"> and </w:t>
      </w:r>
      <w:r w:rsidR="00150CFF" w:rsidRPr="001C35FA">
        <w:t>Schoar</w:t>
      </w:r>
      <w:r w:rsidR="00816CC5" w:rsidRPr="001C35FA">
        <w:t xml:space="preserve">, </w:t>
      </w:r>
      <w:r w:rsidR="00150CFF" w:rsidRPr="001C35FA">
        <w:t>2005; Diller and Kaserer</w:t>
      </w:r>
      <w:r w:rsidR="00816CC5" w:rsidRPr="001C35FA">
        <w:t xml:space="preserve">, </w:t>
      </w:r>
      <w:r w:rsidR="00150CFF" w:rsidRPr="001C35FA">
        <w:t>2007)</w:t>
      </w:r>
      <w:r w:rsidRPr="001C35FA">
        <w:t xml:space="preserve">. </w:t>
      </w:r>
      <w:r w:rsidR="00150CFF" w:rsidRPr="001C35FA">
        <w:t>A more recent study reports that an explanation is that experienced GPs successfully negotiate the acquisition prices down (Achleitner, Braun, and Engel</w:t>
      </w:r>
      <w:r w:rsidR="00816CC5" w:rsidRPr="001C35FA">
        <w:t xml:space="preserve">, </w:t>
      </w:r>
      <w:r w:rsidR="00150CFF" w:rsidRPr="001C35FA">
        <w:t>2011).</w:t>
      </w:r>
      <w:r w:rsidR="001C1CAC">
        <w:rPr>
          <w:rStyle w:val="FootnoteReference"/>
        </w:rPr>
        <w:footnoteReference w:id="3"/>
      </w:r>
      <w:r w:rsidR="00223E9D" w:rsidRPr="001C35FA">
        <w:t xml:space="preserve"> Castellaneta and Conti (2017) find that, of the overall value created by the private equity firm experience, around one third derives from the ability of the GP to restructure the target and the other two thirds from the ability </w:t>
      </w:r>
      <w:r w:rsidR="00C33B4D" w:rsidRPr="001C35FA">
        <w:t xml:space="preserve">to select a high potential </w:t>
      </w:r>
      <w:r w:rsidR="00223E9D" w:rsidRPr="001C35FA">
        <w:t>target.</w:t>
      </w:r>
    </w:p>
    <w:p w14:paraId="44919A6B" w14:textId="63D8A7EA" w:rsidR="00481094" w:rsidRPr="001C35FA" w:rsidRDefault="00787ADD" w:rsidP="004C52D6">
      <w:r w:rsidRPr="001C35FA">
        <w:t xml:space="preserve">There is some evidence from </w:t>
      </w:r>
      <w:r w:rsidR="00481094" w:rsidRPr="001C35FA">
        <w:t>combine</w:t>
      </w:r>
      <w:r w:rsidRPr="001C35FA">
        <w:t>d</w:t>
      </w:r>
      <w:r w:rsidR="00481094" w:rsidRPr="001C35FA">
        <w:t xml:space="preserve"> qualitative and quantitative data that </w:t>
      </w:r>
      <w:r w:rsidR="00183902" w:rsidRPr="001C35FA">
        <w:t xml:space="preserve">the </w:t>
      </w:r>
      <w:r w:rsidR="00481094" w:rsidRPr="001C35FA">
        <w:t xml:space="preserve">fund outperformance is associated with the heterogeneous skills of the GP and the type of </w:t>
      </w:r>
      <w:r w:rsidR="0056191A" w:rsidRPr="001C35FA">
        <w:t>buyout</w:t>
      </w:r>
      <w:r w:rsidR="00481094" w:rsidRPr="001C35FA">
        <w:t xml:space="preserve"> </w:t>
      </w:r>
      <w:r w:rsidR="00D56755" w:rsidRPr="001C35FA">
        <w:t>(</w:t>
      </w:r>
      <w:r w:rsidR="00481094" w:rsidRPr="001C35FA">
        <w:t>Hahn</w:t>
      </w:r>
      <w:r w:rsidR="00816CC5" w:rsidRPr="001C35FA">
        <w:t xml:space="preserve">, </w:t>
      </w:r>
      <w:r w:rsidR="00595C0F" w:rsidRPr="001C35FA">
        <w:t>2</w:t>
      </w:r>
      <w:r w:rsidR="00481094" w:rsidRPr="001C35FA">
        <w:t>009</w:t>
      </w:r>
      <w:r w:rsidR="0000761D" w:rsidRPr="001C35FA">
        <w:t xml:space="preserve">; </w:t>
      </w:r>
      <w:r w:rsidR="00481094" w:rsidRPr="001C35FA">
        <w:t>Acharya et al.</w:t>
      </w:r>
      <w:r w:rsidR="00816CC5" w:rsidRPr="001C35FA">
        <w:t xml:space="preserve">, </w:t>
      </w:r>
      <w:r w:rsidR="00595C0F" w:rsidRPr="001C35FA">
        <w:t>2</w:t>
      </w:r>
      <w:r w:rsidR="00481094" w:rsidRPr="001C35FA">
        <w:t>01</w:t>
      </w:r>
      <w:r w:rsidR="00AC1752" w:rsidRPr="001C35FA">
        <w:t>3</w:t>
      </w:r>
      <w:r w:rsidR="00F90416" w:rsidRPr="001C35FA">
        <w:t>)</w:t>
      </w:r>
      <w:r w:rsidR="00481094" w:rsidRPr="001C35FA">
        <w:t xml:space="preserve">. GPs with a managerial background from the industry or in consulting generated significantly higher outperformance in organic strategies due to frequent management change, active participation in the development of the business plan, and by substantial time commitments </w:t>
      </w:r>
      <w:r w:rsidR="00D56755" w:rsidRPr="001C35FA">
        <w:t>(</w:t>
      </w:r>
      <w:r w:rsidR="00481094" w:rsidRPr="001C35FA">
        <w:t>Hahn</w:t>
      </w:r>
      <w:r w:rsidR="00816CC5" w:rsidRPr="001C35FA">
        <w:t xml:space="preserve">, </w:t>
      </w:r>
      <w:r w:rsidR="00595C0F" w:rsidRPr="001C35FA">
        <w:t>2</w:t>
      </w:r>
      <w:r w:rsidR="00481094" w:rsidRPr="001C35FA">
        <w:t>009</w:t>
      </w:r>
      <w:r w:rsidR="00F90416" w:rsidRPr="001C35FA">
        <w:t>)</w:t>
      </w:r>
      <w:r w:rsidR="00481094" w:rsidRPr="001C35FA">
        <w:t xml:space="preserve">. In </w:t>
      </w:r>
      <w:r w:rsidR="00150CFF" w:rsidRPr="001C35FA">
        <w:t>turn</w:t>
      </w:r>
      <w:r w:rsidR="00481094" w:rsidRPr="001C35FA">
        <w:t xml:space="preserve">, GPs with investment banking or accounting </w:t>
      </w:r>
      <w:r w:rsidR="001639B2" w:rsidRPr="001C35FA">
        <w:t xml:space="preserve">background generated </w:t>
      </w:r>
      <w:r w:rsidR="00150CFF" w:rsidRPr="001C35FA">
        <w:t xml:space="preserve">a </w:t>
      </w:r>
      <w:r w:rsidR="001639B2" w:rsidRPr="001C35FA">
        <w:t xml:space="preserve">higher </w:t>
      </w:r>
      <w:r w:rsidR="00481094" w:rsidRPr="001C35FA">
        <w:t xml:space="preserve">performance in consolidation </w:t>
      </w:r>
      <w:r w:rsidR="00150CFF" w:rsidRPr="001C35FA">
        <w:t xml:space="preserve">strategies through </w:t>
      </w:r>
      <w:r w:rsidR="001639B2" w:rsidRPr="001C35FA">
        <w:t xml:space="preserve">high-powered incentives </w:t>
      </w:r>
      <w:r w:rsidR="00150CFF" w:rsidRPr="001C35FA">
        <w:t>and</w:t>
      </w:r>
      <w:r w:rsidR="00481094" w:rsidRPr="001C35FA">
        <w:t xml:space="preserve"> </w:t>
      </w:r>
      <w:r w:rsidR="00150CFF" w:rsidRPr="001C35FA">
        <w:t xml:space="preserve">revising the </w:t>
      </w:r>
      <w:r w:rsidR="00481094" w:rsidRPr="001C35FA">
        <w:t xml:space="preserve">KPIs </w:t>
      </w:r>
      <w:r w:rsidR="00D56755" w:rsidRPr="001C35FA">
        <w:t>(</w:t>
      </w:r>
      <w:r w:rsidR="00481094" w:rsidRPr="001C35FA">
        <w:t>Hahn</w:t>
      </w:r>
      <w:r w:rsidR="00816CC5" w:rsidRPr="001C35FA">
        <w:t xml:space="preserve">, </w:t>
      </w:r>
      <w:r w:rsidR="00595C0F" w:rsidRPr="001C35FA">
        <w:t>2</w:t>
      </w:r>
      <w:r w:rsidR="00481094" w:rsidRPr="001C35FA">
        <w:t>009</w:t>
      </w:r>
      <w:r w:rsidR="00F90416" w:rsidRPr="001C35FA">
        <w:t>)</w:t>
      </w:r>
      <w:r w:rsidR="00481094" w:rsidRPr="001C35FA">
        <w:t>.</w:t>
      </w:r>
      <w:r w:rsidR="003002AA" w:rsidRPr="001C35FA">
        <w:t xml:space="preserve"> </w:t>
      </w:r>
      <w:r w:rsidR="003834AF">
        <w:t>Moreover,</w:t>
      </w:r>
      <w:r w:rsidR="003002AA" w:rsidRPr="001C35FA">
        <w:t xml:space="preserve"> PE directors with consulting experience and high level business education contribute to organizational growth, notably in secondary buyouts </w:t>
      </w:r>
      <w:r w:rsidR="003002AA" w:rsidRPr="007962A9">
        <w:t>(</w:t>
      </w:r>
      <w:r w:rsidR="00AC1752" w:rsidRPr="007962A9">
        <w:t>Jelic, et al., 2018</w:t>
      </w:r>
      <w:r w:rsidR="003002AA" w:rsidRPr="007962A9">
        <w:t>)</w:t>
      </w:r>
      <w:r w:rsidR="003002AA" w:rsidRPr="001C35FA">
        <w:t>.</w:t>
      </w:r>
      <w:r w:rsidR="00572229" w:rsidRPr="001C35FA">
        <w:t xml:space="preserve"> However, Castellaneta and Salvato (2017) find that </w:t>
      </w:r>
      <w:r w:rsidR="00DE72D2" w:rsidRPr="001C35FA">
        <w:t xml:space="preserve">the relationship between </w:t>
      </w:r>
      <w:r w:rsidR="00572229" w:rsidRPr="001C35FA">
        <w:t xml:space="preserve">PE directors </w:t>
      </w:r>
      <w:r w:rsidR="00183A32">
        <w:t xml:space="preserve">experience and performance </w:t>
      </w:r>
      <w:r w:rsidR="00546FAC">
        <w:t>may</w:t>
      </w:r>
      <w:r w:rsidR="00DE72D2" w:rsidRPr="001C35FA">
        <w:t xml:space="preserve"> not </w:t>
      </w:r>
      <w:r w:rsidR="00183A32">
        <w:t xml:space="preserve">be </w:t>
      </w:r>
      <w:r w:rsidR="00DE72D2" w:rsidRPr="001C35FA">
        <w:t>obvious.</w:t>
      </w:r>
      <w:r w:rsidR="00572229" w:rsidRPr="001C35FA">
        <w:t xml:space="preserve"> Indeed, the time spent working together by </w:t>
      </w:r>
      <w:r w:rsidR="00DE72D2" w:rsidRPr="001C35FA">
        <w:t xml:space="preserve">the </w:t>
      </w:r>
      <w:r w:rsidR="00572229" w:rsidRPr="001C35FA">
        <w:t>PE directors – so called time working together – has a U-shaped impact on buyout performance: in the ini</w:t>
      </w:r>
      <w:r w:rsidR="00DE72D2" w:rsidRPr="001C35FA">
        <w:t>tial stages of time spent working together</w:t>
      </w:r>
      <w:r w:rsidR="00572229" w:rsidRPr="001C35FA">
        <w:t xml:space="preserve"> buyout performance declines and, only above a certain threshold, its effect turns positive. </w:t>
      </w:r>
    </w:p>
    <w:p w14:paraId="789AE2C5" w14:textId="0329873B" w:rsidR="00481094" w:rsidRPr="001C35FA" w:rsidRDefault="00DE72D2" w:rsidP="004F76E2">
      <w:r w:rsidRPr="001C35FA">
        <w:t>On a different note</w:t>
      </w:r>
      <w:r w:rsidR="00481094" w:rsidRPr="001C35FA">
        <w:t xml:space="preserve">, private equity firms </w:t>
      </w:r>
      <w:r w:rsidR="00D0203C" w:rsidRPr="001C35FA">
        <w:t>tend</w:t>
      </w:r>
      <w:r w:rsidR="00481094" w:rsidRPr="001C35FA">
        <w:t xml:space="preserve"> to focus on a limited number of industry sectors. Cressy, Munari, and Malipiero</w:t>
      </w:r>
      <w:r w:rsidR="00816CC5" w:rsidRPr="001C35FA">
        <w:t xml:space="preserve">, </w:t>
      </w:r>
      <w:r w:rsidR="00481094" w:rsidRPr="001C35FA">
        <w:t>2007 report that private equity industry specialization adds 8.5% to the profitability over th</w:t>
      </w:r>
      <w:r w:rsidR="00CE0704" w:rsidRPr="001C35FA">
        <w:t>e first three post-buyout years</w:t>
      </w:r>
      <w:r w:rsidR="00481094" w:rsidRPr="001C35FA">
        <w:t>.</w:t>
      </w:r>
    </w:p>
    <w:p w14:paraId="68FA97AD" w14:textId="4AAA749D" w:rsidR="00481094" w:rsidRPr="001C35FA" w:rsidRDefault="00CE0704" w:rsidP="00CE0704">
      <w:r w:rsidRPr="001C35FA">
        <w:t>T</w:t>
      </w:r>
      <w:r w:rsidR="00481094" w:rsidRPr="001C35FA">
        <w:t xml:space="preserve">here is </w:t>
      </w:r>
      <w:r w:rsidRPr="001C35FA">
        <w:t xml:space="preserve">also </w:t>
      </w:r>
      <w:r w:rsidR="00481094" w:rsidRPr="001C35FA">
        <w:t xml:space="preserve">evidence that the experience in private equity scales </w:t>
      </w:r>
      <w:r w:rsidRPr="001C35FA">
        <w:t xml:space="preserve">better than in venture capital and </w:t>
      </w:r>
      <w:r w:rsidR="00481094" w:rsidRPr="001C35FA">
        <w:t xml:space="preserve">leads to substantially higher revenues per partner in subsequent buyout funds </w:t>
      </w:r>
      <w:r w:rsidR="00D56755" w:rsidRPr="001C35FA">
        <w:t>(</w:t>
      </w:r>
      <w:r w:rsidR="00481094" w:rsidRPr="001C35FA">
        <w:t>Metrick</w:t>
      </w:r>
      <w:r w:rsidR="008B1122" w:rsidRPr="001C35FA">
        <w:t xml:space="preserve"> and </w:t>
      </w:r>
      <w:r w:rsidR="00481094" w:rsidRPr="001C35FA">
        <w:t>Yasuda</w:t>
      </w:r>
      <w:r w:rsidR="00816CC5" w:rsidRPr="001C35FA">
        <w:t xml:space="preserve">, </w:t>
      </w:r>
      <w:r w:rsidR="00595C0F" w:rsidRPr="001C35FA">
        <w:t>2</w:t>
      </w:r>
      <w:r w:rsidR="00481094" w:rsidRPr="001C35FA">
        <w:t>010</w:t>
      </w:r>
      <w:r w:rsidR="00F90416" w:rsidRPr="001C35FA">
        <w:t>)</w:t>
      </w:r>
      <w:r w:rsidR="00481094" w:rsidRPr="001C35FA">
        <w:t>. A caveat here is that there are penalties for exceeding an investment threshold</w:t>
      </w:r>
      <w:r w:rsidRPr="001C35FA">
        <w:t xml:space="preserve"> either</w:t>
      </w:r>
      <w:r w:rsidR="00481094" w:rsidRPr="001C35FA">
        <w:t xml:space="preserve"> when the number of concurrently managed portfolio firms increase </w:t>
      </w:r>
      <w:r w:rsidRPr="001C35FA">
        <w:t>(</w:t>
      </w:r>
      <w:r w:rsidR="0090111C" w:rsidRPr="001C35FA">
        <w:t>Castellaneta</w:t>
      </w:r>
      <w:r w:rsidR="008B1122" w:rsidRPr="001C35FA">
        <w:t xml:space="preserve"> and </w:t>
      </w:r>
      <w:r w:rsidR="0090111C" w:rsidRPr="001C35FA">
        <w:t>Zollo</w:t>
      </w:r>
      <w:r w:rsidR="00816CC5" w:rsidRPr="001C35FA">
        <w:t xml:space="preserve">, </w:t>
      </w:r>
      <w:r w:rsidR="0090111C" w:rsidRPr="001C35FA">
        <w:t>2015</w:t>
      </w:r>
      <w:r w:rsidRPr="001C35FA">
        <w:t xml:space="preserve">) or as </w:t>
      </w:r>
      <w:r w:rsidR="00481094" w:rsidRPr="001C35FA">
        <w:t>fund investment size</w:t>
      </w:r>
      <w:r w:rsidRPr="001C35FA">
        <w:t>s</w:t>
      </w:r>
      <w:r w:rsidR="00481094" w:rsidRPr="001C35FA">
        <w:t xml:space="preserve"> </w:t>
      </w:r>
      <w:r w:rsidRPr="001C35FA">
        <w:t xml:space="preserve">increase </w:t>
      </w:r>
      <w:r w:rsidR="00481094" w:rsidRPr="001C35FA">
        <w:t xml:space="preserve">per </w:t>
      </w:r>
      <w:r w:rsidRPr="001C35FA">
        <w:t>GP</w:t>
      </w:r>
      <w:r w:rsidR="00481094" w:rsidRPr="001C35FA">
        <w:t xml:space="preserve"> </w:t>
      </w:r>
      <w:r w:rsidR="00D56755" w:rsidRPr="001C35FA">
        <w:t>(</w:t>
      </w:r>
      <w:r w:rsidR="00481094" w:rsidRPr="001C35FA">
        <w:t>Cumming</w:t>
      </w:r>
      <w:r w:rsidR="008B1122" w:rsidRPr="001C35FA">
        <w:t xml:space="preserve"> and </w:t>
      </w:r>
      <w:r w:rsidR="00481094" w:rsidRPr="001C35FA">
        <w:t>Walz</w:t>
      </w:r>
      <w:r w:rsidR="00816CC5" w:rsidRPr="001C35FA">
        <w:t xml:space="preserve">, </w:t>
      </w:r>
      <w:r w:rsidR="00595C0F" w:rsidRPr="001C35FA">
        <w:t>2</w:t>
      </w:r>
      <w:r w:rsidR="00481094" w:rsidRPr="001C35FA">
        <w:t>010</w:t>
      </w:r>
      <w:r w:rsidR="00F90416" w:rsidRPr="001C35FA">
        <w:t>)</w:t>
      </w:r>
      <w:r w:rsidR="00481094" w:rsidRPr="001C35FA">
        <w:t>.</w:t>
      </w:r>
    </w:p>
    <w:p w14:paraId="7099A847" w14:textId="77777777" w:rsidR="00676F76" w:rsidRDefault="008C31C9" w:rsidP="00CF7500">
      <w:pPr>
        <w:pStyle w:val="Heading2"/>
      </w:pPr>
      <w:r w:rsidRPr="00CF7500">
        <w:t>Reducing Agency Costs: Incentivization and Interest Realignment</w:t>
      </w:r>
    </w:p>
    <w:p w14:paraId="51D9A33A" w14:textId="56285532" w:rsidR="00481094" w:rsidRPr="001C35FA" w:rsidRDefault="00481094" w:rsidP="00725385">
      <w:r w:rsidRPr="001C35FA">
        <w:t xml:space="preserve">An extensive amount of research has been directed at the </w:t>
      </w:r>
      <w:r w:rsidRPr="001C35FA">
        <w:rPr>
          <w:i/>
        </w:rPr>
        <w:t xml:space="preserve">Carrot and Stick </w:t>
      </w:r>
      <w:r w:rsidR="00991160" w:rsidRPr="001C35FA">
        <w:rPr>
          <w:i/>
        </w:rPr>
        <w:t>-</w:t>
      </w:r>
      <w:r w:rsidRPr="001C35FA">
        <w:rPr>
          <w:i/>
        </w:rPr>
        <w:t>mechanism</w:t>
      </w:r>
      <w:r w:rsidRPr="001C35FA">
        <w:t xml:space="preserve"> and particularly how this ameliorates agency costs during buyouts. Initially, the hypothesis was proposed by Lowenstein</w:t>
      </w:r>
      <w:r w:rsidR="00816CC5" w:rsidRPr="001C35FA">
        <w:t xml:space="preserve"> </w:t>
      </w:r>
      <w:r w:rsidR="00183A32">
        <w:t>(</w:t>
      </w:r>
      <w:r w:rsidRPr="001C35FA">
        <w:t>1985</w:t>
      </w:r>
      <w:r w:rsidR="00183A32">
        <w:t>)</w:t>
      </w:r>
      <w:r w:rsidRPr="001C35FA">
        <w:t xml:space="preserve"> in a paper on MBOs, as a bifurcate mechanism for resolving the</w:t>
      </w:r>
      <w:r w:rsidR="00991160" w:rsidRPr="001C35FA">
        <w:t xml:space="preserve"> principal-agent conflict. The </w:t>
      </w:r>
      <w:r w:rsidRPr="001C35FA">
        <w:rPr>
          <w:i/>
        </w:rPr>
        <w:t>carrot</w:t>
      </w:r>
      <w:r w:rsidRPr="001C35FA">
        <w:t xml:space="preserve"> in this context is the interest realignment between managers and owners, which develops by providing management wi</w:t>
      </w:r>
      <w:r w:rsidR="005D3E97" w:rsidRPr="001C35FA">
        <w:t>th ownership stakes in the firm</w:t>
      </w:r>
      <w:r w:rsidRPr="001C35FA">
        <w:t xml:space="preserve">. </w:t>
      </w:r>
      <w:r w:rsidR="00725385" w:rsidRPr="001C35FA">
        <w:t>The level of interest alignment determines how much of a firm’s potential performance will be realized (Gottschalg and Zollo, 2007). The assumption is that as executives get more incentives to support firm goals – that is, as interest alignment increases – they become more likely to make decisions that leverage firm capabilities</w:t>
      </w:r>
      <w:r w:rsidR="007753D0" w:rsidRPr="001C35FA">
        <w:t xml:space="preserve"> and resources</w:t>
      </w:r>
      <w:r w:rsidR="00725385" w:rsidRPr="001C35FA">
        <w:t xml:space="preserve"> to raise economic </w:t>
      </w:r>
      <w:r w:rsidR="007753D0" w:rsidRPr="001C35FA">
        <w:t xml:space="preserve">performance </w:t>
      </w:r>
      <w:r w:rsidR="0090111C" w:rsidRPr="001C35FA">
        <w:t>(Castellaneta</w:t>
      </w:r>
      <w:r w:rsidR="00816CC5" w:rsidRPr="001C35FA">
        <w:t xml:space="preserve">, </w:t>
      </w:r>
      <w:r w:rsidR="00041049" w:rsidRPr="001C35FA">
        <w:t>2016</w:t>
      </w:r>
      <w:r w:rsidR="00FA3995" w:rsidRPr="001C35FA">
        <w:t>)</w:t>
      </w:r>
      <w:r w:rsidRPr="001C35FA">
        <w:t>.</w:t>
      </w:r>
      <w:r w:rsidR="00041049" w:rsidRPr="001C35FA">
        <w:t xml:space="preserve"> </w:t>
      </w:r>
    </w:p>
    <w:p w14:paraId="2557D697" w14:textId="7004A80C" w:rsidR="00481094" w:rsidRPr="001C35FA" w:rsidRDefault="00991160" w:rsidP="004F76E2">
      <w:r w:rsidRPr="001C35FA">
        <w:t xml:space="preserve">The </w:t>
      </w:r>
      <w:r w:rsidRPr="001C35FA">
        <w:rPr>
          <w:i/>
        </w:rPr>
        <w:t>stick</w:t>
      </w:r>
      <w:r w:rsidR="00481094" w:rsidRPr="001C35FA">
        <w:t xml:space="preserve"> </w:t>
      </w:r>
      <w:r w:rsidR="00041049" w:rsidRPr="001C35FA">
        <w:t xml:space="preserve">is </w:t>
      </w:r>
      <w:r w:rsidR="00481094" w:rsidRPr="001C35FA">
        <w:t xml:space="preserve">half of the equation </w:t>
      </w:r>
      <w:r w:rsidR="00041049" w:rsidRPr="001C35FA">
        <w:t xml:space="preserve">and represents </w:t>
      </w:r>
      <w:r w:rsidRPr="001C35FA">
        <w:t xml:space="preserve">the negative incentive, i.e. </w:t>
      </w:r>
      <w:r w:rsidRPr="001C35FA">
        <w:rPr>
          <w:i/>
        </w:rPr>
        <w:t>pain equity</w:t>
      </w:r>
      <w:r w:rsidR="00481094" w:rsidRPr="001C35FA">
        <w:t xml:space="preserve">, created by requiring management </w:t>
      </w:r>
      <w:r w:rsidR="003002AA" w:rsidRPr="001C35FA">
        <w:t xml:space="preserve">to </w:t>
      </w:r>
      <w:r w:rsidR="00481094" w:rsidRPr="001C35FA">
        <w:t>make a substantial equity investment. This produces high personal costs for inefficiencies</w:t>
      </w:r>
      <w:r w:rsidR="00041049" w:rsidRPr="001C35FA">
        <w:t xml:space="preserve"> and t</w:t>
      </w:r>
      <w:r w:rsidR="00481094" w:rsidRPr="001C35FA">
        <w:t xml:space="preserve">he sizeable investment made by management relative to their personal net worth means there is a financial risk to the buyout </w:t>
      </w:r>
      <w:r w:rsidR="00D56755" w:rsidRPr="001C35FA">
        <w:t>(</w:t>
      </w:r>
      <w:r w:rsidR="00481094" w:rsidRPr="001C35FA">
        <w:t>Thompson, Wright,</w:t>
      </w:r>
      <w:r w:rsidR="008B1122" w:rsidRPr="001C35FA">
        <w:t xml:space="preserve"> and </w:t>
      </w:r>
      <w:r w:rsidR="00481094" w:rsidRPr="001C35FA">
        <w:t>Robbie</w:t>
      </w:r>
      <w:r w:rsidR="00816CC5" w:rsidRPr="001C35FA">
        <w:t xml:space="preserve">, </w:t>
      </w:r>
      <w:r w:rsidR="00595C0F" w:rsidRPr="001C35FA">
        <w:t>1</w:t>
      </w:r>
      <w:r w:rsidR="00481094" w:rsidRPr="001C35FA">
        <w:t>992</w:t>
      </w:r>
      <w:r w:rsidR="0000761D" w:rsidRPr="001C35FA">
        <w:t xml:space="preserve">; </w:t>
      </w:r>
      <w:r w:rsidR="00481094" w:rsidRPr="001C35FA">
        <w:t>Beaver</w:t>
      </w:r>
      <w:r w:rsidR="00816CC5" w:rsidRPr="001C35FA">
        <w:t xml:space="preserve">, </w:t>
      </w:r>
      <w:r w:rsidR="00595C0F" w:rsidRPr="001C35FA">
        <w:t>2</w:t>
      </w:r>
      <w:r w:rsidR="00481094" w:rsidRPr="001C35FA">
        <w:t>001</w:t>
      </w:r>
      <w:r w:rsidR="00FA3995" w:rsidRPr="001C35FA">
        <w:t>)</w:t>
      </w:r>
      <w:r w:rsidR="00481094" w:rsidRPr="001C35FA">
        <w:t>. The rationale is that managers share the burden of loss which results from poor performance. This combination of considerable positive and negative incentives in a buyout is the foremost difference compared to traditional organizational forms.</w:t>
      </w:r>
      <w:r w:rsidR="00D1616F" w:rsidRPr="001C35FA">
        <w:t xml:space="preserve"> </w:t>
      </w:r>
      <w:r w:rsidR="00481094" w:rsidRPr="001C35FA">
        <w:t xml:space="preserve">We also find a distinction with traditional firms in that there is an increased pay-to-performance sensitivity for a wide range of personnel </w:t>
      </w:r>
      <w:r w:rsidR="00D56755" w:rsidRPr="001C35FA">
        <w:t>(</w:t>
      </w:r>
      <w:r w:rsidR="00481094" w:rsidRPr="001C35FA">
        <w:t>Fox</w:t>
      </w:r>
      <w:r w:rsidR="008B1122" w:rsidRPr="001C35FA">
        <w:t xml:space="preserve"> and </w:t>
      </w:r>
      <w:r w:rsidR="00481094" w:rsidRPr="001C35FA">
        <w:t>Marcus</w:t>
      </w:r>
      <w:r w:rsidR="00816CC5" w:rsidRPr="001C35FA">
        <w:t xml:space="preserve">, </w:t>
      </w:r>
      <w:r w:rsidR="00595C0F" w:rsidRPr="001C35FA">
        <w:t>1</w:t>
      </w:r>
      <w:r w:rsidR="00481094" w:rsidRPr="001C35FA">
        <w:t>992</w:t>
      </w:r>
      <w:r w:rsidR="00D1616F" w:rsidRPr="001C35FA">
        <w:t>).</w:t>
      </w:r>
    </w:p>
    <w:p w14:paraId="35D035A0" w14:textId="6E32DE1E" w:rsidR="00481094" w:rsidRPr="001C35FA" w:rsidRDefault="00481094" w:rsidP="00E207E6">
      <w:r w:rsidRPr="001C35FA">
        <w:t xml:space="preserve">Other typical forms of compensation in private equity are performance ratchets. When pre-specified, ambitious performance targets are reached, management can be awarded increased equity ownership by the PE firm. The purpose of a ratchet is to induce management to improve performance for the duration of the holding period. </w:t>
      </w:r>
      <w:r w:rsidR="003002AA" w:rsidRPr="001C35FA">
        <w:t xml:space="preserve">Valkamaa, Maula, Nikoskelainen and Wright (2013) show that the use of an equity ratchet is positively related to both equity and enterprise value returns. </w:t>
      </w:r>
      <w:r w:rsidRPr="001C35FA">
        <w:t>Another crucial difference from traditional firms is that the equity is illiquid during the</w:t>
      </w:r>
      <w:r w:rsidR="00D1616F" w:rsidRPr="001C35FA">
        <w:t xml:space="preserve"> holding period until the exit </w:t>
      </w:r>
      <w:r w:rsidR="00D56755" w:rsidRPr="001C35FA">
        <w:t>(</w:t>
      </w:r>
      <w:r w:rsidRPr="001C35FA">
        <w:t>Jensen et al.</w:t>
      </w:r>
      <w:r w:rsidR="00F66EF8" w:rsidRPr="001C35FA">
        <w:t xml:space="preserve">, </w:t>
      </w:r>
      <w:r w:rsidR="00595C0F" w:rsidRPr="001C35FA">
        <w:t>2</w:t>
      </w:r>
      <w:r w:rsidRPr="001C35FA">
        <w:t>006</w:t>
      </w:r>
      <w:r w:rsidR="00F90416" w:rsidRPr="001C35FA">
        <w:t>)</w:t>
      </w:r>
      <w:r w:rsidRPr="001C35FA">
        <w:t>. The effect of illiquidity is that management is committed to the buyout to a completely different degree than in public firms.</w:t>
      </w:r>
      <w:r w:rsidR="003002AA" w:rsidRPr="001C35FA">
        <w:t xml:space="preserve"> </w:t>
      </w:r>
    </w:p>
    <w:p w14:paraId="0FA5FBA4" w14:textId="77777777" w:rsidR="00676F76" w:rsidRDefault="008C31C9" w:rsidP="00CF7500">
      <w:pPr>
        <w:pStyle w:val="Heading2"/>
      </w:pPr>
      <w:r w:rsidRPr="00CF7500">
        <w:t>Restructuring the Board of Directors</w:t>
      </w:r>
    </w:p>
    <w:p w14:paraId="6DB3851D" w14:textId="3BC6EEE4" w:rsidR="00481094" w:rsidRPr="001C35FA" w:rsidRDefault="00481094" w:rsidP="004F76E2">
      <w:r w:rsidRPr="001C35FA">
        <w:t>Several studies have emphasized the contribution of boards</w:t>
      </w:r>
      <w:r w:rsidR="00881545">
        <w:t xml:space="preserve"> of venture capital backed firms</w:t>
      </w:r>
      <w:r w:rsidRPr="001C35FA">
        <w:t xml:space="preserve">, particularly in terms of their supervisory function </w:t>
      </w:r>
      <w:r w:rsidR="00D56755" w:rsidRPr="001C35FA">
        <w:t>(</w:t>
      </w:r>
      <w:r w:rsidR="0034329E">
        <w:t xml:space="preserve">Cornelli and Karakas, </w:t>
      </w:r>
      <w:r w:rsidR="005E28B7">
        <w:t>2008</w:t>
      </w:r>
      <w:r w:rsidR="00F90416" w:rsidRPr="001C35FA">
        <w:t>)</w:t>
      </w:r>
      <w:r w:rsidRPr="001C35FA">
        <w:t xml:space="preserve">, and strategic guidance </w:t>
      </w:r>
      <w:r w:rsidR="00D56755" w:rsidRPr="001C35FA">
        <w:t>(</w:t>
      </w:r>
      <w:r w:rsidR="005E28B7" w:rsidRPr="005E28B7">
        <w:t>Gompers, Kaplan</w:t>
      </w:r>
      <w:r w:rsidR="0034329E">
        <w:t>,</w:t>
      </w:r>
      <w:r w:rsidR="005E28B7">
        <w:t xml:space="preserve"> </w:t>
      </w:r>
      <w:r w:rsidR="0034329E">
        <w:t xml:space="preserve">and </w:t>
      </w:r>
      <w:r w:rsidR="0034329E" w:rsidRPr="0034329E">
        <w:t>Mukharlyamov</w:t>
      </w:r>
      <w:r w:rsidR="0034329E">
        <w:t xml:space="preserve">, </w:t>
      </w:r>
      <w:r w:rsidR="005E28B7">
        <w:t>2015</w:t>
      </w:r>
      <w:r w:rsidR="00F90416" w:rsidRPr="001C35FA">
        <w:t>)</w:t>
      </w:r>
      <w:r w:rsidRPr="001C35FA">
        <w:t xml:space="preserve">. Moreover, the principal control function of the board is to determine the composition of the management team </w:t>
      </w:r>
      <w:r w:rsidR="00D56755" w:rsidRPr="001C35FA">
        <w:t>(</w:t>
      </w:r>
      <w:r w:rsidRPr="001C35FA">
        <w:t>Baker</w:t>
      </w:r>
      <w:r w:rsidR="008B1122" w:rsidRPr="001C35FA">
        <w:t xml:space="preserve"> and </w:t>
      </w:r>
      <w:r w:rsidRPr="001C35FA">
        <w:t>Montgomery</w:t>
      </w:r>
      <w:r w:rsidR="00F66EF8" w:rsidRPr="001C35FA">
        <w:t xml:space="preserve">, </w:t>
      </w:r>
      <w:r w:rsidR="00595C0F" w:rsidRPr="001C35FA">
        <w:t>1</w:t>
      </w:r>
      <w:r w:rsidRPr="001C35FA">
        <w:t>994</w:t>
      </w:r>
      <w:r w:rsidR="00F90416" w:rsidRPr="001C35FA">
        <w:t>)</w:t>
      </w:r>
      <w:r w:rsidRPr="001C35FA">
        <w:t>.</w:t>
      </w:r>
    </w:p>
    <w:p w14:paraId="1B068EC4" w14:textId="5DBDB776" w:rsidR="00481094" w:rsidRPr="001C35FA" w:rsidRDefault="00481094" w:rsidP="004F76E2">
      <w:r w:rsidRPr="001C35FA">
        <w:t xml:space="preserve">With regards to the performance effect of board size, a fair amount of research has come to the conclusion that board size should be limited to 5-7 board members. For instance, a meta-review does find support for the </w:t>
      </w:r>
      <w:r w:rsidR="00D1616F" w:rsidRPr="001C35FA">
        <w:t xml:space="preserve">board </w:t>
      </w:r>
      <w:r w:rsidRPr="001C35FA">
        <w:t xml:space="preserve">limitation in smaller corporations, defined as having revenues of less than $300m </w:t>
      </w:r>
      <w:r w:rsidR="00D56755" w:rsidRPr="001C35FA">
        <w:t>(</w:t>
      </w:r>
      <w:r w:rsidRPr="001C35FA">
        <w:t>Dalton, Daily, Johnson,</w:t>
      </w:r>
      <w:r w:rsidR="008B1122" w:rsidRPr="001C35FA">
        <w:t xml:space="preserve"> and </w:t>
      </w:r>
      <w:r w:rsidRPr="001C35FA">
        <w:t>Ellstrand</w:t>
      </w:r>
      <w:r w:rsidR="00F66EF8" w:rsidRPr="001C35FA">
        <w:t xml:space="preserve">, </w:t>
      </w:r>
      <w:r w:rsidR="00595C0F" w:rsidRPr="001C35FA">
        <w:t>1</w:t>
      </w:r>
      <w:r w:rsidRPr="001C35FA">
        <w:t>999</w:t>
      </w:r>
      <w:r w:rsidR="00F90416" w:rsidRPr="001C35FA">
        <w:t>)</w:t>
      </w:r>
      <w:r w:rsidRPr="001C35FA">
        <w:t xml:space="preserve">. </w:t>
      </w:r>
      <w:r w:rsidR="00D1616F" w:rsidRPr="001C35FA">
        <w:t>Other studies</w:t>
      </w:r>
      <w:r w:rsidRPr="001C35FA">
        <w:t xml:space="preserve"> </w:t>
      </w:r>
      <w:r w:rsidR="00D1616F" w:rsidRPr="001C35FA">
        <w:t>find a s</w:t>
      </w:r>
      <w:r w:rsidRPr="001C35FA">
        <w:t xml:space="preserve">ignificant negative correlation between increased board size and profitability </w:t>
      </w:r>
      <w:r w:rsidR="00D56755" w:rsidRPr="001C35FA">
        <w:t>(</w:t>
      </w:r>
      <w:r w:rsidRPr="001C35FA">
        <w:t>Eisenberg, Sundgren,</w:t>
      </w:r>
      <w:r w:rsidR="008B1122" w:rsidRPr="001C35FA">
        <w:t xml:space="preserve"> and </w:t>
      </w:r>
      <w:r w:rsidRPr="001C35FA">
        <w:t>Wells</w:t>
      </w:r>
      <w:r w:rsidR="00F66EF8" w:rsidRPr="001C35FA">
        <w:t xml:space="preserve">, </w:t>
      </w:r>
      <w:r w:rsidR="00595C0F" w:rsidRPr="001C35FA">
        <w:t>1</w:t>
      </w:r>
      <w:r w:rsidRPr="001C35FA">
        <w:t>998</w:t>
      </w:r>
      <w:r w:rsidR="00F90416" w:rsidRPr="001C35FA">
        <w:t>)</w:t>
      </w:r>
      <w:r w:rsidR="00D1616F" w:rsidRPr="001C35FA">
        <w:t>, between board size and firm value (Yermack</w:t>
      </w:r>
      <w:r w:rsidR="00F66EF8" w:rsidRPr="001C35FA">
        <w:t xml:space="preserve">, </w:t>
      </w:r>
      <w:r w:rsidR="00D1616F" w:rsidRPr="001C35FA">
        <w:t>1996), and</w:t>
      </w:r>
      <w:r w:rsidRPr="001C35FA">
        <w:t xml:space="preserve"> board size </w:t>
      </w:r>
      <w:r w:rsidR="00D1616F" w:rsidRPr="001C35FA">
        <w:t>and performance measured by pr</w:t>
      </w:r>
      <w:r w:rsidRPr="001C35FA">
        <w:t xml:space="preserve">ofitability, Tobin's q, and share returns </w:t>
      </w:r>
      <w:r w:rsidR="00D56755" w:rsidRPr="001C35FA">
        <w:t>(</w:t>
      </w:r>
      <w:r w:rsidRPr="001C35FA">
        <w:t>Guest</w:t>
      </w:r>
      <w:r w:rsidR="00F66EF8" w:rsidRPr="001C35FA">
        <w:t xml:space="preserve">, </w:t>
      </w:r>
      <w:r w:rsidR="00595C0F" w:rsidRPr="001C35FA">
        <w:t>2</w:t>
      </w:r>
      <w:r w:rsidRPr="001C35FA">
        <w:t>009</w:t>
      </w:r>
      <w:r w:rsidR="00F90416" w:rsidRPr="001C35FA">
        <w:t>)</w:t>
      </w:r>
      <w:r w:rsidRPr="001C35FA">
        <w:t>.</w:t>
      </w:r>
    </w:p>
    <w:p w14:paraId="659FB7F6" w14:textId="6DBD0CD8" w:rsidR="00481094" w:rsidRPr="001C35FA" w:rsidRDefault="00A07A8B" w:rsidP="004F76E2">
      <w:r w:rsidRPr="001C35FA">
        <w:t>P</w:t>
      </w:r>
      <w:r w:rsidR="00481094" w:rsidRPr="001C35FA">
        <w:t xml:space="preserve">rivate equity firms typically appoint one to two general partners to represent the firm. Moreover, there is often a senior GP appointed to the role of chairman </w:t>
      </w:r>
      <w:r w:rsidR="00D56755" w:rsidRPr="001C35FA">
        <w:t>(</w:t>
      </w:r>
      <w:r w:rsidR="00481094" w:rsidRPr="001C35FA">
        <w:t>Rogers et al.</w:t>
      </w:r>
      <w:r w:rsidR="00816CC5" w:rsidRPr="001C35FA">
        <w:t xml:space="preserve">, </w:t>
      </w:r>
      <w:r w:rsidR="00595C0F" w:rsidRPr="001C35FA">
        <w:t>2</w:t>
      </w:r>
      <w:r w:rsidR="00481094" w:rsidRPr="001C35FA">
        <w:t>002</w:t>
      </w:r>
      <w:r w:rsidR="0000761D" w:rsidRPr="001C35FA">
        <w:t xml:space="preserve">; </w:t>
      </w:r>
      <w:r w:rsidR="00481094" w:rsidRPr="001C35FA">
        <w:t>Jensen et al.</w:t>
      </w:r>
      <w:r w:rsidR="00816CC5" w:rsidRPr="001C35FA">
        <w:t xml:space="preserve">, </w:t>
      </w:r>
      <w:r w:rsidR="00595C0F" w:rsidRPr="001C35FA">
        <w:t>2</w:t>
      </w:r>
      <w:r w:rsidR="00481094" w:rsidRPr="001C35FA">
        <w:t>006</w:t>
      </w:r>
      <w:r w:rsidR="00F90416" w:rsidRPr="001C35FA">
        <w:t>)</w:t>
      </w:r>
      <w:r w:rsidR="00481094" w:rsidRPr="001C35FA">
        <w:t xml:space="preserve">. Aside from the CEO and private equity firm representatives, the new board tends to be composed of more outside directors </w:t>
      </w:r>
      <w:r w:rsidR="00D56755" w:rsidRPr="001C35FA">
        <w:t>(</w:t>
      </w:r>
      <w:r w:rsidR="00481094" w:rsidRPr="001C35FA">
        <w:t>Millson</w:t>
      </w:r>
      <w:r w:rsidR="008B1122" w:rsidRPr="001C35FA">
        <w:t xml:space="preserve"> and </w:t>
      </w:r>
      <w:r w:rsidR="00481094" w:rsidRPr="001C35FA">
        <w:t>Ward</w:t>
      </w:r>
      <w:r w:rsidR="00816CC5" w:rsidRPr="001C35FA">
        <w:t xml:space="preserve">, </w:t>
      </w:r>
      <w:r w:rsidR="00595C0F" w:rsidRPr="001C35FA">
        <w:t>2</w:t>
      </w:r>
      <w:r w:rsidR="00481094" w:rsidRPr="001C35FA">
        <w:t>005</w:t>
      </w:r>
      <w:r w:rsidR="0000761D" w:rsidRPr="001C35FA">
        <w:t xml:space="preserve">; </w:t>
      </w:r>
      <w:r w:rsidR="00481094" w:rsidRPr="001C35FA">
        <w:t>Jensen et al.</w:t>
      </w:r>
      <w:r w:rsidR="00816CC5" w:rsidRPr="001C35FA">
        <w:t xml:space="preserve">, </w:t>
      </w:r>
      <w:r w:rsidR="00595C0F" w:rsidRPr="001C35FA">
        <w:t>2</w:t>
      </w:r>
      <w:r w:rsidR="00481094" w:rsidRPr="001C35FA">
        <w:t>006</w:t>
      </w:r>
      <w:r w:rsidR="0000761D" w:rsidRPr="001C35FA">
        <w:t xml:space="preserve">; </w:t>
      </w:r>
      <w:r w:rsidR="00481094" w:rsidRPr="001C35FA">
        <w:t>Cornelli</w:t>
      </w:r>
      <w:r w:rsidR="008B1122" w:rsidRPr="001C35FA">
        <w:t xml:space="preserve"> and </w:t>
      </w:r>
      <w:r w:rsidR="00481094" w:rsidRPr="001C35FA">
        <w:t>Karakas</w:t>
      </w:r>
      <w:r w:rsidR="00816CC5" w:rsidRPr="001C35FA">
        <w:t xml:space="preserve">, </w:t>
      </w:r>
      <w:r w:rsidR="00595C0F" w:rsidRPr="001C35FA">
        <w:t>2</w:t>
      </w:r>
      <w:r w:rsidR="00481094" w:rsidRPr="001C35FA">
        <w:t>008</w:t>
      </w:r>
      <w:r w:rsidR="00F90416" w:rsidRPr="001C35FA">
        <w:t>)</w:t>
      </w:r>
      <w:r w:rsidR="003002AA" w:rsidRPr="001C35FA">
        <w:t>, especially in the US but less so in other countries such as the UK</w:t>
      </w:r>
      <w:r w:rsidR="00481094" w:rsidRPr="001C35FA">
        <w:t>. With regards to involvement, private equity firms have a preference for active and participating boards that assemble frequently. A related characteristic of the boards of buyout firms is the accelerated decision making that takes place compared to the traditional competitors.</w:t>
      </w:r>
      <w:r w:rsidR="00A53C45" w:rsidRPr="001C35FA">
        <w:t xml:space="preserve"> </w:t>
      </w:r>
    </w:p>
    <w:p w14:paraId="3B615280" w14:textId="093F9F3A" w:rsidR="00481094" w:rsidRPr="001C35FA" w:rsidRDefault="00481094" w:rsidP="00D1616F">
      <w:r w:rsidRPr="001C35FA">
        <w:t>As discussed in the section on agency theory, a hallmark of the boards in buyouts is the reduction of agency costs. This includes providing equity ownership stakes that realign management incentives and instigating a regime of closer monitoring that reduces the discretionary decision space of management. Moreover, the principal control function of the board is to allow the owner to exert power in determining the composition of the management team. Besides often replacing the managing director at the inception, buyout boards tend to replace underperforming management more swiftly than traditional firms.</w:t>
      </w:r>
    </w:p>
    <w:p w14:paraId="1FA6D530" w14:textId="77777777" w:rsidR="00676F76" w:rsidRDefault="008C31C9" w:rsidP="00CF7500">
      <w:pPr>
        <w:pStyle w:val="Heading2"/>
      </w:pPr>
      <w:r w:rsidRPr="00CF7500">
        <w:t>Reinforcing the Management Team</w:t>
      </w:r>
    </w:p>
    <w:p w14:paraId="5E4D605D" w14:textId="041DE83A" w:rsidR="00D1616F" w:rsidRPr="001C35FA" w:rsidRDefault="00481094" w:rsidP="004F76E2">
      <w:r w:rsidRPr="001C35FA">
        <w:t xml:space="preserve">Already in the mid-1960s, Manne </w:t>
      </w:r>
      <w:r w:rsidR="002F479A" w:rsidRPr="001C35FA">
        <w:t>(</w:t>
      </w:r>
      <w:r w:rsidRPr="001C35FA">
        <w:t>1965</w:t>
      </w:r>
      <w:r w:rsidR="002F479A" w:rsidRPr="001C35FA">
        <w:t>)</w:t>
      </w:r>
      <w:r w:rsidRPr="001C35FA">
        <w:t xml:space="preserve"> proposed in his market for corporate control that equity markets could be the principal mechanism for facilitating corporate takeovers. In an efficient market, a firm would become more attractive as a </w:t>
      </w:r>
      <w:r w:rsidR="009C3E39" w:rsidRPr="001C35FA">
        <w:t xml:space="preserve">target for a </w:t>
      </w:r>
      <w:r w:rsidRPr="001C35FA">
        <w:t xml:space="preserve">takeover, the lower its stock price became compared to the value potential with more efficient management. This corrective market mechanism </w:t>
      </w:r>
      <w:r w:rsidR="00523803" w:rsidRPr="001C35FA">
        <w:t xml:space="preserve">to dispose </w:t>
      </w:r>
      <w:r w:rsidRPr="001C35FA">
        <w:t>of underperforming management is still a common method for buyout value creation.</w:t>
      </w:r>
      <w:r w:rsidR="00D1616F" w:rsidRPr="001C35FA">
        <w:t xml:space="preserve"> </w:t>
      </w:r>
      <w:r w:rsidRPr="001C35FA">
        <w:t xml:space="preserve">A cause for firm underperformance prior to a buyout is often the incumbent top management team, which is a cause remedied when the private equity firm replaces the inefficient team </w:t>
      </w:r>
      <w:r w:rsidR="00D56755" w:rsidRPr="001C35FA">
        <w:t>(</w:t>
      </w:r>
      <w:r w:rsidRPr="001C35FA">
        <w:t>Jensen</w:t>
      </w:r>
      <w:r w:rsidR="008B1122" w:rsidRPr="001C35FA">
        <w:t xml:space="preserve"> and </w:t>
      </w:r>
      <w:r w:rsidRPr="001C35FA">
        <w:t>Ruback</w:t>
      </w:r>
      <w:r w:rsidR="00F66EF8" w:rsidRPr="001C35FA">
        <w:t xml:space="preserve">, </w:t>
      </w:r>
      <w:r w:rsidR="00595C0F" w:rsidRPr="001C35FA">
        <w:t>1</w:t>
      </w:r>
      <w:r w:rsidRPr="001C35FA">
        <w:t>983</w:t>
      </w:r>
      <w:r w:rsidR="00F90416" w:rsidRPr="001C35FA">
        <w:t>)</w:t>
      </w:r>
      <w:r w:rsidR="00D1616F" w:rsidRPr="001C35FA">
        <w:t>.</w:t>
      </w:r>
    </w:p>
    <w:p w14:paraId="5976A607" w14:textId="568D5CC0" w:rsidR="00481094" w:rsidRDefault="00481094" w:rsidP="00523803">
      <w:r w:rsidRPr="001C35FA">
        <w:t xml:space="preserve">Buyouts can thus function as vehicles to improve market efficiency by rapid and decisive action to remove poorly performing managers </w:t>
      </w:r>
      <w:r w:rsidR="00D56755" w:rsidRPr="001C35FA">
        <w:t>(</w:t>
      </w:r>
      <w:r w:rsidRPr="001C35FA">
        <w:t>Gilson</w:t>
      </w:r>
      <w:r w:rsidR="00F66EF8" w:rsidRPr="001C35FA">
        <w:t xml:space="preserve">, </w:t>
      </w:r>
      <w:r w:rsidR="00595C0F" w:rsidRPr="001C35FA">
        <w:t>1</w:t>
      </w:r>
      <w:r w:rsidRPr="001C35FA">
        <w:t>989</w:t>
      </w:r>
      <w:r w:rsidR="00F90416" w:rsidRPr="001C35FA">
        <w:t>)</w:t>
      </w:r>
      <w:r w:rsidRPr="001C35FA">
        <w:t xml:space="preserve">. Perhaps most importantly, Bertrand and Schoar </w:t>
      </w:r>
      <w:r w:rsidR="002F479A" w:rsidRPr="001C35FA">
        <w:t>(</w:t>
      </w:r>
      <w:r w:rsidRPr="001C35FA">
        <w:t>2003</w:t>
      </w:r>
      <w:r w:rsidR="002F479A" w:rsidRPr="001C35FA">
        <w:t>)</w:t>
      </w:r>
      <w:r w:rsidRPr="001C35FA">
        <w:t xml:space="preserve"> report evidence confirming that CEOs affect firm performance significantly. Interestingly, the disruption caused by forced CEO replacement is associated with higher post-succession firm performance </w:t>
      </w:r>
      <w:r w:rsidR="00D56755" w:rsidRPr="001C35FA">
        <w:t>(</w:t>
      </w:r>
      <w:r w:rsidRPr="001C35FA">
        <w:t>Cornelli et al.</w:t>
      </w:r>
      <w:r w:rsidR="002F479A" w:rsidRPr="001C35FA">
        <w:t>,</w:t>
      </w:r>
      <w:r w:rsidR="00595C0F" w:rsidRPr="001C35FA">
        <w:t xml:space="preserve"> 2</w:t>
      </w:r>
      <w:r w:rsidRPr="001C35FA">
        <w:t>01</w:t>
      </w:r>
      <w:r w:rsidR="005411E7">
        <w:t>3</w:t>
      </w:r>
      <w:r w:rsidR="00F90416" w:rsidRPr="001C35FA">
        <w:t>)</w:t>
      </w:r>
      <w:r w:rsidRPr="001C35FA">
        <w:t>.</w:t>
      </w:r>
      <w:r w:rsidR="00523803" w:rsidRPr="001C35FA">
        <w:t xml:space="preserve"> </w:t>
      </w:r>
      <w:r w:rsidR="00331170" w:rsidRPr="001C35FA">
        <w:t>As for buyouts, i</w:t>
      </w:r>
      <w:r w:rsidRPr="001C35FA">
        <w:t xml:space="preserve">n a study by Acharya et al. </w:t>
      </w:r>
      <w:r w:rsidR="002F479A" w:rsidRPr="001C35FA">
        <w:t>(</w:t>
      </w:r>
      <w:r w:rsidRPr="001C35FA">
        <w:t>201</w:t>
      </w:r>
      <w:r w:rsidR="00AC1752" w:rsidRPr="001C35FA">
        <w:t>3</w:t>
      </w:r>
      <w:r w:rsidR="002F479A" w:rsidRPr="001C35FA">
        <w:t>)</w:t>
      </w:r>
      <w:r w:rsidR="00331170" w:rsidRPr="001C35FA">
        <w:t>,</w:t>
      </w:r>
      <w:r w:rsidRPr="001C35FA">
        <w:t xml:space="preserve"> a third of CEOs were replaced within 100 days of the buyout and a total of two-thirds within a four-year holding period.</w:t>
      </w:r>
    </w:p>
    <w:p w14:paraId="37CC3701" w14:textId="77777777" w:rsidR="00040E8D" w:rsidRPr="001C35FA" w:rsidRDefault="00040E8D" w:rsidP="00523803"/>
    <w:p w14:paraId="7A9481FD" w14:textId="63205F3C" w:rsidR="00676F76" w:rsidRDefault="00481094" w:rsidP="00CF7500">
      <w:pPr>
        <w:pStyle w:val="Heading1"/>
        <w:rPr>
          <w:szCs w:val="24"/>
        </w:rPr>
      </w:pPr>
      <w:r w:rsidRPr="001C35FA">
        <w:rPr>
          <w:szCs w:val="24"/>
        </w:rPr>
        <w:t>Cultural Drivers</w:t>
      </w:r>
    </w:p>
    <w:p w14:paraId="78481842" w14:textId="77777777" w:rsidR="00047D38" w:rsidRPr="001C35FA" w:rsidRDefault="00047D38" w:rsidP="00047D38">
      <w:r w:rsidRPr="001C35FA">
        <w:t>Several researchers have reported on the changed corporate culture following a buyout, including the open and direct communication, the alleviated corporate bureaucracy, and the less-constrained atmosphere (Lowenstein, 1985; Jensen, 1989a; Hoskisson and Turk, 1990; Anders, 1992; Taylor, 1992). The changed modus operandi under the private equity ownership unfetters management from the grip of corporate bureaucracy and allows it to act without interference (Jensen, 1989a; Butler, 2001; Wright et al., 2001a).</w:t>
      </w:r>
    </w:p>
    <w:p w14:paraId="2E4BC89D" w14:textId="77777777" w:rsidR="00676F76" w:rsidRDefault="008C31C9" w:rsidP="00CF7500">
      <w:pPr>
        <w:pStyle w:val="Heading2"/>
      </w:pPr>
      <w:r w:rsidRPr="00CF7500">
        <w:t>The Parenting Advantage: Monitoring and Mentoring</w:t>
      </w:r>
    </w:p>
    <w:p w14:paraId="2C5BF2B2" w14:textId="4153E85D" w:rsidR="00481094" w:rsidRPr="001C35FA" w:rsidRDefault="00481094" w:rsidP="004F76E2">
      <w:r w:rsidRPr="001C35FA">
        <w:t xml:space="preserve">A framework frequently employed in conjunction with the private equity industry is the parenting advantage, </w:t>
      </w:r>
      <w:r w:rsidR="00923A1F" w:rsidRPr="001C35FA">
        <w:t>which</w:t>
      </w:r>
      <w:r w:rsidRPr="001C35FA">
        <w:t xml:space="preserve"> originally </w:t>
      </w:r>
      <w:r w:rsidR="00923A1F" w:rsidRPr="001C35FA">
        <w:t xml:space="preserve">was </w:t>
      </w:r>
      <w:r w:rsidRPr="001C35FA">
        <w:t xml:space="preserve">proposed as an explanation for </w:t>
      </w:r>
      <w:r w:rsidR="00923A1F" w:rsidRPr="001C35FA">
        <w:t xml:space="preserve">how </w:t>
      </w:r>
      <w:r w:rsidRPr="001C35FA">
        <w:t xml:space="preserve">diversified corporations </w:t>
      </w:r>
      <w:r w:rsidR="00923A1F" w:rsidRPr="001C35FA">
        <w:t>can succeed</w:t>
      </w:r>
      <w:r w:rsidRPr="001C35FA">
        <w:t>. Campbell et al.</w:t>
      </w:r>
      <w:r w:rsidR="00E15B00">
        <w:t xml:space="preserve"> (</w:t>
      </w:r>
      <w:r w:rsidRPr="001C35FA">
        <w:t>1995</w:t>
      </w:r>
      <w:r w:rsidR="002F479A" w:rsidRPr="001C35FA">
        <w:t>)</w:t>
      </w:r>
      <w:r w:rsidRPr="001C35FA">
        <w:t xml:space="preserve"> argued that when the multi-business corporation created more value for the unrelated unit than rivals could, the unit benefited from a parenting advantage. In contrast, the unit ought to be divested when the incurred costs by the increased organizational complexities outweigh the advantages</w:t>
      </w:r>
      <w:r w:rsidR="00893D56" w:rsidRPr="001C35FA">
        <w:t xml:space="preserve"> (Wright et al., 2000)</w:t>
      </w:r>
      <w:r w:rsidRPr="001C35FA">
        <w:t>. From the parenting advantage framework, it appears that PE firms often excel in implementing common services in monitoring, mentoring, and learning.</w:t>
      </w:r>
    </w:p>
    <w:p w14:paraId="5E7A7153" w14:textId="14979060" w:rsidR="00481094" w:rsidRPr="001C35FA" w:rsidRDefault="00481094" w:rsidP="00FB4622">
      <w:r w:rsidRPr="001C35FA">
        <w:t xml:space="preserve">Central to this approach is the adoption of an active ownership model, where constructive interaction is facilitated by direct communication channels and decreased levels of bureaucracy </w:t>
      </w:r>
      <w:r w:rsidR="00D56755" w:rsidRPr="001C35FA">
        <w:t>(</w:t>
      </w:r>
      <w:r w:rsidRPr="001C35FA">
        <w:t>Kester</w:t>
      </w:r>
      <w:r w:rsidR="008B1122" w:rsidRPr="001C35FA">
        <w:t xml:space="preserve"> and </w:t>
      </w:r>
      <w:r w:rsidRPr="001C35FA">
        <w:t>Luehrman</w:t>
      </w:r>
      <w:r w:rsidR="00F66EF8" w:rsidRPr="001C35FA">
        <w:t xml:space="preserve">, </w:t>
      </w:r>
      <w:r w:rsidR="00595C0F" w:rsidRPr="001C35FA">
        <w:t>1</w:t>
      </w:r>
      <w:r w:rsidRPr="001C35FA">
        <w:t>995</w:t>
      </w:r>
      <w:r w:rsidR="001F199C" w:rsidRPr="001C35FA">
        <w:t>)</w:t>
      </w:r>
      <w:r w:rsidRPr="001C35FA">
        <w:t xml:space="preserve">. Often the deal partners of the private equity firm discuss things directly with management on a daily or weekly basis, which is vastly different from the traditional context of a corporate board or conglomerate headquarters. </w:t>
      </w:r>
    </w:p>
    <w:p w14:paraId="1A5A751D" w14:textId="77777777" w:rsidR="00676F76" w:rsidRDefault="008C31C9" w:rsidP="00CF7500">
      <w:pPr>
        <w:pStyle w:val="Heading2"/>
      </w:pPr>
      <w:r w:rsidRPr="00CF7500">
        <w:t>The Value of Corporate Culture: A Revived Entrepreneurial Spirit</w:t>
      </w:r>
    </w:p>
    <w:p w14:paraId="4110A85A" w14:textId="2FC4FB6A" w:rsidR="00481094" w:rsidRPr="001C35FA" w:rsidRDefault="00481094" w:rsidP="004F76E2">
      <w:r w:rsidRPr="001C35FA">
        <w:t xml:space="preserve">Buyouts are often viewed as a creative vehicle to reintroduce an entrepreneurial spirit in public companies </w:t>
      </w:r>
      <w:r w:rsidR="00D56755" w:rsidRPr="001C35FA">
        <w:t>(</w:t>
      </w:r>
      <w:r w:rsidRPr="001C35FA">
        <w:t>Singh</w:t>
      </w:r>
      <w:r w:rsidR="00F66EF8" w:rsidRPr="001C35FA">
        <w:t xml:space="preserve">, </w:t>
      </w:r>
      <w:r w:rsidR="00595C0F" w:rsidRPr="001C35FA">
        <w:t>1</w:t>
      </w:r>
      <w:r w:rsidRPr="001C35FA">
        <w:t>990</w:t>
      </w:r>
      <w:r w:rsidR="001F199C" w:rsidRPr="001C35FA">
        <w:t>)</w:t>
      </w:r>
      <w:r w:rsidRPr="001C35FA">
        <w:t xml:space="preserve">. Freed from the constraints of corporate headquarters, the buyout firms can be transformed into entrepreneurial organizations </w:t>
      </w:r>
      <w:r w:rsidR="00D56755" w:rsidRPr="001C35FA">
        <w:t>(</w:t>
      </w:r>
      <w:r w:rsidRPr="001C35FA">
        <w:t>Kester</w:t>
      </w:r>
      <w:r w:rsidR="008B1122" w:rsidRPr="001C35FA">
        <w:t xml:space="preserve"> and </w:t>
      </w:r>
      <w:r w:rsidRPr="001C35FA">
        <w:t>Luehrman</w:t>
      </w:r>
      <w:r w:rsidR="00F66EF8" w:rsidRPr="001C35FA">
        <w:t xml:space="preserve">, </w:t>
      </w:r>
      <w:r w:rsidR="00595C0F" w:rsidRPr="001C35FA">
        <w:t>1</w:t>
      </w:r>
      <w:r w:rsidRPr="001C35FA">
        <w:t>995</w:t>
      </w:r>
      <w:r w:rsidR="0000761D" w:rsidRPr="001C35FA">
        <w:t xml:space="preserve">; </w:t>
      </w:r>
      <w:r w:rsidRPr="001C35FA">
        <w:t>Weir</w:t>
      </w:r>
      <w:r w:rsidR="00F66EF8" w:rsidRPr="001C35FA">
        <w:t xml:space="preserve">, </w:t>
      </w:r>
      <w:r w:rsidR="00595C0F" w:rsidRPr="001C35FA">
        <w:t>1</w:t>
      </w:r>
      <w:r w:rsidRPr="001C35FA">
        <w:t>996</w:t>
      </w:r>
      <w:r w:rsidR="0000761D" w:rsidRPr="001C35FA">
        <w:t xml:space="preserve">; </w:t>
      </w:r>
      <w:r w:rsidRPr="001C35FA">
        <w:t>Bruining</w:t>
      </w:r>
      <w:r w:rsidR="008B1122" w:rsidRPr="001C35FA">
        <w:t xml:space="preserve"> and </w:t>
      </w:r>
      <w:r w:rsidRPr="001C35FA">
        <w:t>Wright</w:t>
      </w:r>
      <w:r w:rsidR="00F66EF8" w:rsidRPr="001C35FA">
        <w:t xml:space="preserve">, </w:t>
      </w:r>
      <w:r w:rsidR="00595C0F" w:rsidRPr="001C35FA">
        <w:t>2</w:t>
      </w:r>
      <w:r w:rsidRPr="001C35FA">
        <w:t>002</w:t>
      </w:r>
      <w:r w:rsidR="00893D56" w:rsidRPr="001C35FA">
        <w:t xml:space="preserve">; </w:t>
      </w:r>
      <w:r w:rsidR="002610AE">
        <w:t>Bruining</w:t>
      </w:r>
      <w:r w:rsidR="00893D56" w:rsidRPr="001C35FA">
        <w:t xml:space="preserve"> et al.</w:t>
      </w:r>
      <w:r w:rsidR="00F66EF8" w:rsidRPr="001C35FA">
        <w:t xml:space="preserve">, </w:t>
      </w:r>
      <w:r w:rsidR="00893D56" w:rsidRPr="001C35FA">
        <w:t>2013</w:t>
      </w:r>
      <w:r w:rsidR="001F199C" w:rsidRPr="001C35FA">
        <w:t>)</w:t>
      </w:r>
      <w:r w:rsidRPr="001C35FA">
        <w:t xml:space="preserve">. The change in sentiment that follows in the wake of the buyout can re-energize firms and spur management to make any effort that is necessary </w:t>
      </w:r>
      <w:r w:rsidR="00D56755" w:rsidRPr="001C35FA">
        <w:t>(</w:t>
      </w:r>
      <w:r w:rsidRPr="001C35FA">
        <w:t>Houlden</w:t>
      </w:r>
      <w:r w:rsidR="00F66EF8" w:rsidRPr="001C35FA">
        <w:t xml:space="preserve">, </w:t>
      </w:r>
      <w:r w:rsidR="00595C0F" w:rsidRPr="001C35FA">
        <w:t>1</w:t>
      </w:r>
      <w:r w:rsidRPr="001C35FA">
        <w:t>990</w:t>
      </w:r>
      <w:r w:rsidR="0000761D" w:rsidRPr="001C35FA">
        <w:t xml:space="preserve">; </w:t>
      </w:r>
      <w:r w:rsidRPr="001C35FA">
        <w:t>Beaver</w:t>
      </w:r>
      <w:r w:rsidR="00F66EF8" w:rsidRPr="001C35FA">
        <w:t xml:space="preserve">, </w:t>
      </w:r>
      <w:r w:rsidR="00595C0F" w:rsidRPr="001C35FA">
        <w:t>2</w:t>
      </w:r>
      <w:r w:rsidRPr="001C35FA">
        <w:t>001</w:t>
      </w:r>
      <w:r w:rsidR="0000761D" w:rsidRPr="001C35FA">
        <w:t xml:space="preserve">; </w:t>
      </w:r>
      <w:r w:rsidRPr="001C35FA">
        <w:t>Butler</w:t>
      </w:r>
      <w:r w:rsidR="00F66EF8" w:rsidRPr="001C35FA">
        <w:t xml:space="preserve">, </w:t>
      </w:r>
      <w:r w:rsidR="00595C0F" w:rsidRPr="001C35FA">
        <w:t>2</w:t>
      </w:r>
      <w:r w:rsidRPr="001C35FA">
        <w:t>001</w:t>
      </w:r>
      <w:r w:rsidR="001F199C" w:rsidRPr="001C35FA">
        <w:t>)</w:t>
      </w:r>
      <w:r w:rsidRPr="001C35FA">
        <w:t xml:space="preserve">. The revival can be detected as an intensification of product development in the post-buyout firm </w:t>
      </w:r>
      <w:r w:rsidR="00D56755" w:rsidRPr="001C35FA">
        <w:t>(</w:t>
      </w:r>
      <w:r w:rsidRPr="001C35FA">
        <w:t>Wright</w:t>
      </w:r>
      <w:r w:rsidR="008B1122" w:rsidRPr="001C35FA">
        <w:t xml:space="preserve"> and </w:t>
      </w:r>
      <w:r w:rsidRPr="001C35FA">
        <w:t>Coyne</w:t>
      </w:r>
      <w:r w:rsidR="00F66EF8" w:rsidRPr="001C35FA">
        <w:t xml:space="preserve">, </w:t>
      </w:r>
      <w:r w:rsidR="00595C0F" w:rsidRPr="001C35FA">
        <w:t>1</w:t>
      </w:r>
      <w:r w:rsidRPr="001C35FA">
        <w:t>985</w:t>
      </w:r>
      <w:r w:rsidR="0000761D" w:rsidRPr="001C35FA">
        <w:t xml:space="preserve">; </w:t>
      </w:r>
      <w:r w:rsidRPr="001C35FA">
        <w:t>Bull</w:t>
      </w:r>
      <w:r w:rsidR="00F66EF8" w:rsidRPr="001C35FA">
        <w:t xml:space="preserve">, </w:t>
      </w:r>
      <w:r w:rsidR="00595C0F" w:rsidRPr="001C35FA">
        <w:t>1</w:t>
      </w:r>
      <w:r w:rsidRPr="001C35FA">
        <w:t>989</w:t>
      </w:r>
      <w:r w:rsidR="0000761D" w:rsidRPr="001C35FA">
        <w:t xml:space="preserve">; </w:t>
      </w:r>
      <w:r w:rsidRPr="001C35FA">
        <w:t>Malone</w:t>
      </w:r>
      <w:r w:rsidR="00F66EF8" w:rsidRPr="001C35FA">
        <w:t xml:space="preserve">, </w:t>
      </w:r>
      <w:r w:rsidR="00595C0F" w:rsidRPr="001C35FA">
        <w:t>1</w:t>
      </w:r>
      <w:r w:rsidRPr="001C35FA">
        <w:t>989</w:t>
      </w:r>
      <w:r w:rsidR="0000761D" w:rsidRPr="001C35FA">
        <w:t xml:space="preserve">; </w:t>
      </w:r>
      <w:r w:rsidRPr="001C35FA">
        <w:t>Thompson et al.</w:t>
      </w:r>
      <w:r w:rsidR="00F66EF8" w:rsidRPr="001C35FA">
        <w:t xml:space="preserve">, </w:t>
      </w:r>
      <w:r w:rsidR="00595C0F" w:rsidRPr="001C35FA">
        <w:t>1</w:t>
      </w:r>
      <w:r w:rsidRPr="001C35FA">
        <w:t>992</w:t>
      </w:r>
      <w:r w:rsidR="001F199C" w:rsidRPr="001C35FA">
        <w:t>)</w:t>
      </w:r>
      <w:r w:rsidRPr="001C35FA">
        <w:t xml:space="preserve">. Unsurprisingly, the increase in entrepreneurship is positively associated with performance improvements </w:t>
      </w:r>
      <w:r w:rsidR="00D56755" w:rsidRPr="001C35FA">
        <w:t>(</w:t>
      </w:r>
      <w:r w:rsidRPr="001C35FA">
        <w:t>Wright, Wilson, Robbie,</w:t>
      </w:r>
      <w:r w:rsidR="008B1122" w:rsidRPr="001C35FA">
        <w:t xml:space="preserve"> and </w:t>
      </w:r>
      <w:r w:rsidRPr="001C35FA">
        <w:t>Ennew</w:t>
      </w:r>
      <w:r w:rsidR="00F66EF8" w:rsidRPr="001C35FA">
        <w:t xml:space="preserve">, </w:t>
      </w:r>
      <w:r w:rsidR="00595C0F" w:rsidRPr="001C35FA">
        <w:t>1</w:t>
      </w:r>
      <w:r w:rsidRPr="001C35FA">
        <w:t>996</w:t>
      </w:r>
      <w:r w:rsidR="001F199C" w:rsidRPr="001C35FA">
        <w:t>)</w:t>
      </w:r>
      <w:r w:rsidRPr="001C35FA">
        <w:t>.</w:t>
      </w:r>
    </w:p>
    <w:p w14:paraId="37175013" w14:textId="1981A433" w:rsidR="00481094" w:rsidRPr="001C35FA" w:rsidRDefault="00481094" w:rsidP="004F76E2">
      <w:r w:rsidRPr="001C35FA">
        <w:t xml:space="preserve">There are several reasons for the lethargy that ails pre-buyout firms. In the non-core divisions of corporations, management is often provided with limited discretion </w:t>
      </w:r>
      <w:r w:rsidR="00D56755" w:rsidRPr="001C35FA">
        <w:t>(</w:t>
      </w:r>
      <w:r w:rsidRPr="001C35FA">
        <w:t>Weir</w:t>
      </w:r>
      <w:r w:rsidR="00F66EF8" w:rsidRPr="001C35FA">
        <w:t xml:space="preserve">, </w:t>
      </w:r>
      <w:r w:rsidR="00595C0F" w:rsidRPr="001C35FA">
        <w:t>1</w:t>
      </w:r>
      <w:r w:rsidRPr="001C35FA">
        <w:t>996</w:t>
      </w:r>
      <w:r w:rsidR="0000761D" w:rsidRPr="001C35FA">
        <w:t xml:space="preserve">; </w:t>
      </w:r>
      <w:r w:rsidRPr="001C35FA">
        <w:t>Beaver</w:t>
      </w:r>
      <w:r w:rsidR="00F66EF8" w:rsidRPr="001C35FA">
        <w:t xml:space="preserve">, </w:t>
      </w:r>
      <w:r w:rsidR="00595C0F" w:rsidRPr="001C35FA">
        <w:t>2</w:t>
      </w:r>
      <w:r w:rsidRPr="001C35FA">
        <w:t>001</w:t>
      </w:r>
      <w:r w:rsidR="001F199C" w:rsidRPr="001C35FA">
        <w:t>)</w:t>
      </w:r>
      <w:r w:rsidRPr="001C35FA">
        <w:t xml:space="preserve">. Even when the division provides profitable and innovative investment opportunities these things may be given low attention by the corporate management </w:t>
      </w:r>
      <w:r w:rsidR="00D56755" w:rsidRPr="001C35FA">
        <w:t>(</w:t>
      </w:r>
      <w:r w:rsidRPr="001C35FA">
        <w:t>Wright et al.</w:t>
      </w:r>
      <w:r w:rsidR="00F66EF8" w:rsidRPr="001C35FA">
        <w:t xml:space="preserve">, </w:t>
      </w:r>
      <w:r w:rsidR="00595C0F" w:rsidRPr="001C35FA">
        <w:t>2</w:t>
      </w:r>
      <w:r w:rsidRPr="001C35FA">
        <w:t>001a</w:t>
      </w:r>
      <w:r w:rsidR="001F199C" w:rsidRPr="001C35FA">
        <w:t>)</w:t>
      </w:r>
      <w:r w:rsidRPr="001C35FA">
        <w:t xml:space="preserve">. Moreover, divisions of large corporations tend to be afflicted by significant agency problems, as the structures for incentive mechanisms and control functions are lacking </w:t>
      </w:r>
      <w:r w:rsidR="00D56755" w:rsidRPr="001C35FA">
        <w:t>(</w:t>
      </w:r>
      <w:r w:rsidRPr="001C35FA">
        <w:t>Fama</w:t>
      </w:r>
      <w:r w:rsidR="008B1122" w:rsidRPr="001C35FA">
        <w:t xml:space="preserve"> and </w:t>
      </w:r>
      <w:r w:rsidRPr="001C35FA">
        <w:t>Jensen</w:t>
      </w:r>
      <w:r w:rsidR="00F66EF8" w:rsidRPr="001C35FA">
        <w:t xml:space="preserve">, </w:t>
      </w:r>
      <w:r w:rsidR="00595C0F" w:rsidRPr="001C35FA">
        <w:t>1</w:t>
      </w:r>
      <w:r w:rsidRPr="001C35FA">
        <w:t>983</w:t>
      </w:r>
      <w:r w:rsidR="0000761D" w:rsidRPr="001C35FA">
        <w:t xml:space="preserve">; </w:t>
      </w:r>
      <w:r w:rsidRPr="001C35FA">
        <w:t>Hill</w:t>
      </w:r>
      <w:r w:rsidR="00F66EF8" w:rsidRPr="001C35FA">
        <w:t xml:space="preserve">, </w:t>
      </w:r>
      <w:r w:rsidR="00595C0F" w:rsidRPr="001C35FA">
        <w:t>1</w:t>
      </w:r>
      <w:r w:rsidRPr="001C35FA">
        <w:t>988</w:t>
      </w:r>
      <w:r w:rsidR="0000761D" w:rsidRPr="001C35FA">
        <w:t xml:space="preserve">; </w:t>
      </w:r>
      <w:r w:rsidRPr="001C35FA">
        <w:t>Thompson</w:t>
      </w:r>
      <w:r w:rsidR="008B1122" w:rsidRPr="001C35FA">
        <w:t xml:space="preserve"> and </w:t>
      </w:r>
      <w:r w:rsidRPr="001C35FA">
        <w:t>Wright</w:t>
      </w:r>
      <w:r w:rsidR="00F66EF8" w:rsidRPr="001C35FA">
        <w:t xml:space="preserve">, </w:t>
      </w:r>
      <w:r w:rsidR="00595C0F" w:rsidRPr="001C35FA">
        <w:t>1</w:t>
      </w:r>
      <w:r w:rsidRPr="001C35FA">
        <w:t>995</w:t>
      </w:r>
      <w:r w:rsidR="001F199C" w:rsidRPr="001C35FA">
        <w:t>)</w:t>
      </w:r>
      <w:r w:rsidRPr="001C35FA">
        <w:t>.</w:t>
      </w:r>
      <w:r w:rsidR="00FB2BD4" w:rsidRPr="001C35FA">
        <w:t xml:space="preserve"> </w:t>
      </w:r>
    </w:p>
    <w:p w14:paraId="1467B867" w14:textId="02981D83" w:rsidR="00B759C8" w:rsidRPr="001C35FA" w:rsidRDefault="00B759C8" w:rsidP="00B759C8">
      <w:r w:rsidRPr="001C35FA">
        <w:t>Pre–buyout family–owned firms in turn often suffer from not being able to make necessary investments, either from being financially constrained or due to a risk–averse management (Meuleman et al., 2009). Bloom</w:t>
      </w:r>
      <w:r w:rsidR="0023029B">
        <w:t xml:space="preserve"> et al. </w:t>
      </w:r>
      <w:r w:rsidR="00242052">
        <w:t>(2015</w:t>
      </w:r>
      <w:r w:rsidRPr="001C35FA">
        <w:t>) report on a management competency gap in family–owned firms compared to private equity–owned buyout firms. Moreover, family firms may face succession problems when no family member willing or able to succeed in management (Howorth, Westhead,</w:t>
      </w:r>
      <w:r w:rsidR="008B1122" w:rsidRPr="001C35FA">
        <w:t xml:space="preserve"> and </w:t>
      </w:r>
      <w:r w:rsidRPr="001C35FA">
        <w:t>Wright, 2004). On the other hand, the agency problem seen in divisions is typically mitigated by no prior separation of ownership and control, which means there is less scope for improving the control mechanisms (Chrisman, Chua,</w:t>
      </w:r>
      <w:r w:rsidR="008B1122" w:rsidRPr="001C35FA">
        <w:t xml:space="preserve"> and </w:t>
      </w:r>
      <w:r w:rsidRPr="001C35FA">
        <w:t>Litz, 2004). In family firms where the ownership has been dispersed among family members some agency problems may exist (Schulze, Lubatkin, Dino,</w:t>
      </w:r>
      <w:r w:rsidR="008B1122" w:rsidRPr="001C35FA">
        <w:t xml:space="preserve"> and </w:t>
      </w:r>
      <w:r w:rsidRPr="001C35FA">
        <w:t>Buchholtz, 2001; Howorth et al., 2004).</w:t>
      </w:r>
      <w:r w:rsidR="00893D56" w:rsidRPr="001C35FA">
        <w:t xml:space="preserve"> The buyout can lead to a metamorphosis in the family firm, professionalizing management while at the same time retaining some elements of the family firm culture albeit with a ‘new</w:t>
      </w:r>
      <w:r w:rsidR="00BB57F3">
        <w:t>’</w:t>
      </w:r>
      <w:r w:rsidR="00893D56" w:rsidRPr="001C35FA">
        <w:t xml:space="preserve"> family (Howorth et al.</w:t>
      </w:r>
      <w:r w:rsidR="00F66EF8" w:rsidRPr="001C35FA">
        <w:t xml:space="preserve">, </w:t>
      </w:r>
      <w:r w:rsidR="00893D56" w:rsidRPr="001C35FA">
        <w:t>201</w:t>
      </w:r>
      <w:r w:rsidR="008C31C9" w:rsidRPr="00CF7500">
        <w:t>6</w:t>
      </w:r>
      <w:r w:rsidR="00893D56" w:rsidRPr="001C35FA">
        <w:t>).</w:t>
      </w:r>
    </w:p>
    <w:p w14:paraId="6A1A168A" w14:textId="59C762FD" w:rsidR="00B759C8" w:rsidRPr="001C35FA" w:rsidRDefault="00B759C8" w:rsidP="004F76E2">
      <w:r w:rsidRPr="001C35FA">
        <w:t>Finally, a</w:t>
      </w:r>
      <w:r w:rsidR="00771871" w:rsidRPr="001C35FA">
        <w:t xml:space="preserve"> further </w:t>
      </w:r>
      <w:r w:rsidRPr="001C35FA">
        <w:t xml:space="preserve">aspect of the cultural revitalization in buyouts </w:t>
      </w:r>
      <w:r w:rsidR="00771871" w:rsidRPr="001C35FA">
        <w:t>concerns</w:t>
      </w:r>
      <w:r w:rsidRPr="001C35FA">
        <w:t xml:space="preserve"> the effect on HR practices, </w:t>
      </w:r>
      <w:r w:rsidR="00BB57F3">
        <w:t>such as</w:t>
      </w:r>
      <w:r w:rsidRPr="001C35FA">
        <w:t xml:space="preserve"> increased training, employee involvement, number of employees, and pay levels (Bruining, Boselie, Wright,</w:t>
      </w:r>
      <w:r w:rsidR="008B1122" w:rsidRPr="001C35FA">
        <w:t xml:space="preserve"> and </w:t>
      </w:r>
      <w:r w:rsidRPr="001C35FA">
        <w:t>Bacon, 200</w:t>
      </w:r>
      <w:r w:rsidR="00671D85">
        <w:t>5</w:t>
      </w:r>
      <w:r w:rsidRPr="001C35FA">
        <w:t xml:space="preserve">). In a comparison between the U.K. and the Netherlands, </w:t>
      </w:r>
      <w:r w:rsidR="009B544E">
        <w:t xml:space="preserve">a representative survey of buyouts found that the </w:t>
      </w:r>
      <w:r w:rsidRPr="001C35FA">
        <w:t>positive effects were bolstered significantly in the HR practices in the less institutionalized environment of the U.K. (Bruining et al., 200</w:t>
      </w:r>
      <w:r w:rsidR="00671D85">
        <w:t>5</w:t>
      </w:r>
      <w:r w:rsidRPr="001C35FA">
        <w:t>). The more institutionalized environment is defined as having higher participation in trade unions, recognizing collective bargaining, and having neutral attitudes towards union membership at the inception.</w:t>
      </w:r>
      <w:r w:rsidR="00893D56" w:rsidRPr="001C35FA">
        <w:t xml:space="preserve"> </w:t>
      </w:r>
    </w:p>
    <w:p w14:paraId="05DFA525" w14:textId="77777777" w:rsidR="00676F76" w:rsidRDefault="008C31C9" w:rsidP="00CF7500">
      <w:pPr>
        <w:pStyle w:val="Heading2"/>
      </w:pPr>
      <w:r w:rsidRPr="00CF7500">
        <w:t>Performance Management: Stretch Budgets and Ambitious Goals</w:t>
      </w:r>
    </w:p>
    <w:p w14:paraId="6FCF3D54" w14:textId="7DF530CC" w:rsidR="00481094" w:rsidRPr="001C35FA" w:rsidRDefault="00481094" w:rsidP="004F76E2">
      <w:r w:rsidRPr="001C35FA">
        <w:t xml:space="preserve">A common measure in the private equity industry is to produce ambitious business plans that raise performance standards and expectations for management </w:t>
      </w:r>
      <w:r w:rsidR="00D56755" w:rsidRPr="001C35FA">
        <w:t>(</w:t>
      </w:r>
      <w:r w:rsidRPr="001C35FA">
        <w:t>Jensen</w:t>
      </w:r>
      <w:r w:rsidR="00F66EF8" w:rsidRPr="001C35FA">
        <w:t xml:space="preserve">, </w:t>
      </w:r>
      <w:r w:rsidR="00595C0F" w:rsidRPr="001C35FA">
        <w:t>1</w:t>
      </w:r>
      <w:r w:rsidRPr="001C35FA">
        <w:t>989a</w:t>
      </w:r>
      <w:r w:rsidR="0000761D" w:rsidRPr="001C35FA">
        <w:t xml:space="preserve">; </w:t>
      </w:r>
      <w:r w:rsidRPr="001C35FA">
        <w:t>Baker</w:t>
      </w:r>
      <w:r w:rsidR="008B1122" w:rsidRPr="001C35FA">
        <w:t xml:space="preserve"> and </w:t>
      </w:r>
      <w:r w:rsidRPr="001C35FA">
        <w:t>Montgomery</w:t>
      </w:r>
      <w:r w:rsidR="00F66EF8" w:rsidRPr="001C35FA">
        <w:t xml:space="preserve">, </w:t>
      </w:r>
      <w:r w:rsidR="00595C0F" w:rsidRPr="001C35FA">
        <w:t>1</w:t>
      </w:r>
      <w:r w:rsidRPr="001C35FA">
        <w:t>994</w:t>
      </w:r>
      <w:r w:rsidR="0000761D" w:rsidRPr="001C35FA">
        <w:t xml:space="preserve">; </w:t>
      </w:r>
      <w:r w:rsidRPr="001C35FA">
        <w:t>Butler</w:t>
      </w:r>
      <w:r w:rsidR="00F66EF8" w:rsidRPr="001C35FA">
        <w:t xml:space="preserve">, </w:t>
      </w:r>
      <w:r w:rsidR="00595C0F" w:rsidRPr="001C35FA">
        <w:t>2</w:t>
      </w:r>
      <w:r w:rsidRPr="001C35FA">
        <w:t>001</w:t>
      </w:r>
      <w:r w:rsidR="001F199C" w:rsidRPr="001C35FA">
        <w:t>)</w:t>
      </w:r>
      <w:r w:rsidRPr="001C35FA">
        <w:t xml:space="preserve">. Management is frequently challenged by stretch budgets, where the objective can be to double the EBITDA during the holding period </w:t>
      </w:r>
      <w:r w:rsidR="00D56755" w:rsidRPr="001C35FA">
        <w:t>(</w:t>
      </w:r>
      <w:r w:rsidRPr="001C35FA">
        <w:t>Anders</w:t>
      </w:r>
      <w:r w:rsidR="00F66EF8" w:rsidRPr="001C35FA">
        <w:t xml:space="preserve">, </w:t>
      </w:r>
      <w:r w:rsidR="00595C0F" w:rsidRPr="001C35FA">
        <w:t>1</w:t>
      </w:r>
      <w:r w:rsidRPr="001C35FA">
        <w:t>992</w:t>
      </w:r>
      <w:r w:rsidR="0000761D" w:rsidRPr="001C35FA">
        <w:t xml:space="preserve">; </w:t>
      </w:r>
      <w:r w:rsidRPr="001C35FA">
        <w:t>Baker</w:t>
      </w:r>
      <w:r w:rsidR="008B1122" w:rsidRPr="001C35FA">
        <w:t xml:space="preserve"> and </w:t>
      </w:r>
      <w:r w:rsidRPr="001C35FA">
        <w:t>Montgomery</w:t>
      </w:r>
      <w:r w:rsidR="00F66EF8" w:rsidRPr="001C35FA">
        <w:t xml:space="preserve">, </w:t>
      </w:r>
      <w:r w:rsidR="00595C0F" w:rsidRPr="001C35FA">
        <w:t>1</w:t>
      </w:r>
      <w:r w:rsidRPr="001C35FA">
        <w:t>994</w:t>
      </w:r>
      <w:r w:rsidR="001F199C" w:rsidRPr="001C35FA">
        <w:t>)</w:t>
      </w:r>
      <w:r w:rsidRPr="001C35FA">
        <w:t>. The idea behind stretch budgets and challenging goals is to incite management to excel.</w:t>
      </w:r>
    </w:p>
    <w:p w14:paraId="7C70A4E4" w14:textId="2BDD6299" w:rsidR="00481094" w:rsidRPr="001C35FA" w:rsidRDefault="00481094" w:rsidP="004F76E2">
      <w:r w:rsidRPr="001C35FA">
        <w:t xml:space="preserve">Moreover, management is also forced to reach aggressive targets to serve interest payments in order to cope with the higher gearing and elevated risk for financial distress </w:t>
      </w:r>
      <w:r w:rsidR="00D56755" w:rsidRPr="001C35FA">
        <w:t>(</w:t>
      </w:r>
      <w:r w:rsidRPr="001C35FA">
        <w:t>Easterwood et al.</w:t>
      </w:r>
      <w:r w:rsidR="00F66EF8" w:rsidRPr="001C35FA">
        <w:t xml:space="preserve">, </w:t>
      </w:r>
      <w:r w:rsidR="00595C0F" w:rsidRPr="001C35FA">
        <w:t>1</w:t>
      </w:r>
      <w:r w:rsidRPr="001C35FA">
        <w:t>989</w:t>
      </w:r>
      <w:r w:rsidR="0000761D" w:rsidRPr="001C35FA">
        <w:t xml:space="preserve">; </w:t>
      </w:r>
      <w:r w:rsidRPr="001C35FA">
        <w:t>Smith</w:t>
      </w:r>
      <w:r w:rsidR="00F66EF8" w:rsidRPr="001C35FA">
        <w:t xml:space="preserve">, </w:t>
      </w:r>
      <w:r w:rsidR="00595C0F" w:rsidRPr="001C35FA">
        <w:t>1</w:t>
      </w:r>
      <w:r w:rsidRPr="001C35FA">
        <w:t>990</w:t>
      </w:r>
      <w:r w:rsidR="001F199C" w:rsidRPr="001C35FA">
        <w:t>)</w:t>
      </w:r>
      <w:r w:rsidRPr="001C35FA">
        <w:t xml:space="preserve">. Lastly, managers are forced to intensify their efforts or face the prospect of being replaced </w:t>
      </w:r>
      <w:r w:rsidR="00D56755" w:rsidRPr="001C35FA">
        <w:t>(</w:t>
      </w:r>
      <w:r w:rsidRPr="001C35FA">
        <w:t>Baker</w:t>
      </w:r>
      <w:r w:rsidR="008B1122" w:rsidRPr="001C35FA">
        <w:t xml:space="preserve"> and </w:t>
      </w:r>
      <w:r w:rsidRPr="001C35FA">
        <w:t>Wruck</w:t>
      </w:r>
      <w:r w:rsidR="00F66EF8" w:rsidRPr="001C35FA">
        <w:t xml:space="preserve">, </w:t>
      </w:r>
      <w:r w:rsidR="00595C0F" w:rsidRPr="001C35FA">
        <w:t>1</w:t>
      </w:r>
      <w:r w:rsidRPr="001C35FA">
        <w:t>989</w:t>
      </w:r>
      <w:r w:rsidR="0000761D" w:rsidRPr="001C35FA">
        <w:t xml:space="preserve">; </w:t>
      </w:r>
      <w:r w:rsidRPr="001C35FA">
        <w:t>Magowan</w:t>
      </w:r>
      <w:r w:rsidR="00F66EF8" w:rsidRPr="001C35FA">
        <w:t xml:space="preserve">, </w:t>
      </w:r>
      <w:r w:rsidR="00595C0F" w:rsidRPr="001C35FA">
        <w:t>1</w:t>
      </w:r>
      <w:r w:rsidRPr="001C35FA">
        <w:t>989</w:t>
      </w:r>
      <w:r w:rsidR="001F199C" w:rsidRPr="001C35FA">
        <w:t>)</w:t>
      </w:r>
      <w:r w:rsidRPr="001C35FA">
        <w:t>. Consequently, managers are willing to make unpopular decisions</w:t>
      </w:r>
      <w:r w:rsidR="00767F71" w:rsidRPr="001C35FA">
        <w:t>, e.g.</w:t>
      </w:r>
      <w:r w:rsidRPr="001C35FA">
        <w:t xml:space="preserve"> reducing employment levels and disposing business units </w:t>
      </w:r>
      <w:r w:rsidR="00D56755" w:rsidRPr="001C35FA">
        <w:t>(</w:t>
      </w:r>
      <w:r w:rsidRPr="001C35FA">
        <w:t>Singh</w:t>
      </w:r>
      <w:r w:rsidR="00F66EF8" w:rsidRPr="001C35FA">
        <w:t xml:space="preserve">, </w:t>
      </w:r>
      <w:r w:rsidR="00595C0F" w:rsidRPr="001C35FA">
        <w:t>1</w:t>
      </w:r>
      <w:r w:rsidRPr="001C35FA">
        <w:t>990</w:t>
      </w:r>
      <w:r w:rsidR="0000761D" w:rsidRPr="001C35FA">
        <w:t xml:space="preserve">; </w:t>
      </w:r>
      <w:r w:rsidRPr="001C35FA">
        <w:t>Butler</w:t>
      </w:r>
      <w:r w:rsidR="00F66EF8" w:rsidRPr="001C35FA">
        <w:t xml:space="preserve">, </w:t>
      </w:r>
      <w:r w:rsidR="00595C0F" w:rsidRPr="001C35FA">
        <w:t>2</w:t>
      </w:r>
      <w:r w:rsidRPr="001C35FA">
        <w:t>001</w:t>
      </w:r>
      <w:r w:rsidR="001F199C" w:rsidRPr="001C35FA">
        <w:t>)</w:t>
      </w:r>
      <w:r w:rsidRPr="001C35FA">
        <w:t>.</w:t>
      </w:r>
    </w:p>
    <w:p w14:paraId="0872B5E5" w14:textId="77777777" w:rsidR="00676F76" w:rsidRDefault="008C31C9" w:rsidP="00CF7500">
      <w:pPr>
        <w:pStyle w:val="Heading2"/>
      </w:pPr>
      <w:r w:rsidRPr="00CF7500">
        <w:t>Revising the Firm KPIs: Novel Yardsticks</w:t>
      </w:r>
    </w:p>
    <w:p w14:paraId="33B8B76F" w14:textId="77777777" w:rsidR="007F1FCB" w:rsidRPr="001C35FA" w:rsidRDefault="007F1FCB" w:rsidP="007F1FCB">
      <w:r w:rsidRPr="001C35FA">
        <w:t>The revision and implementation of key performance indicators (KPIs) is widespread in buyouts and there are a number of reasons for it. First, there is the notion that people tend to improve on that which is being measured. By carefully selecting the appropriate yardstick, management can ensure that personnel focus on the right goals. Furthermore, the prior metrics at the company or industry have been sub-optimal for directing the efforts and must be reassessed. Finally, using too many measurements causes management to lose focus.</w:t>
      </w:r>
    </w:p>
    <w:p w14:paraId="5061DB5D" w14:textId="379E9E22" w:rsidR="00481094" w:rsidRPr="001C35FA" w:rsidRDefault="00481094" w:rsidP="007F1FCB">
      <w:r w:rsidRPr="001C35FA">
        <w:t xml:space="preserve">Private equity firms typically devise a new system of key performance indicators to track portfolio firms based on a limited set of crucial objectives, e.g. cash flow ratios, EBITDA, and ROIC </w:t>
      </w:r>
      <w:r w:rsidR="00D56755" w:rsidRPr="001C35FA">
        <w:t>(</w:t>
      </w:r>
      <w:r w:rsidRPr="001C35FA">
        <w:t>Butler</w:t>
      </w:r>
      <w:r w:rsidR="00F66EF8" w:rsidRPr="001C35FA">
        <w:t xml:space="preserve">, </w:t>
      </w:r>
      <w:r w:rsidR="00595C0F" w:rsidRPr="001C35FA">
        <w:t>2</w:t>
      </w:r>
      <w:r w:rsidRPr="001C35FA">
        <w:t>001</w:t>
      </w:r>
      <w:r w:rsidR="0000761D" w:rsidRPr="001C35FA">
        <w:t xml:space="preserve">; </w:t>
      </w:r>
      <w:r w:rsidRPr="001C35FA">
        <w:t>Rogers et al.</w:t>
      </w:r>
      <w:r w:rsidR="00F66EF8" w:rsidRPr="001C35FA">
        <w:t xml:space="preserve">, </w:t>
      </w:r>
      <w:r w:rsidR="00595C0F" w:rsidRPr="001C35FA">
        <w:t>2</w:t>
      </w:r>
      <w:r w:rsidRPr="001C35FA">
        <w:t>002</w:t>
      </w:r>
      <w:r w:rsidR="0000761D" w:rsidRPr="001C35FA">
        <w:t xml:space="preserve">; </w:t>
      </w:r>
      <w:r w:rsidRPr="001C35FA">
        <w:t>Zong</w:t>
      </w:r>
      <w:r w:rsidR="00F66EF8" w:rsidRPr="001C35FA">
        <w:t xml:space="preserve">, </w:t>
      </w:r>
      <w:r w:rsidR="00595C0F" w:rsidRPr="001C35FA">
        <w:t>2</w:t>
      </w:r>
      <w:r w:rsidRPr="001C35FA">
        <w:t>005</w:t>
      </w:r>
      <w:r w:rsidR="001F199C" w:rsidRPr="001C35FA">
        <w:t>)</w:t>
      </w:r>
      <w:r w:rsidRPr="001C35FA">
        <w:t>. Acharya et al.</w:t>
      </w:r>
      <w:r w:rsidR="00183A32">
        <w:t xml:space="preserve"> (</w:t>
      </w:r>
      <w:r w:rsidRPr="001C35FA">
        <w:t>2008</w:t>
      </w:r>
      <w:r w:rsidR="00183A32">
        <w:t>)</w:t>
      </w:r>
      <w:r w:rsidRPr="001C35FA">
        <w:t xml:space="preserve"> find that private equity firm boards stress the importance of cash flow metrics, instead of delivery and swiftness of earnings. To these core financial indicators, private equity firms often add 2-3 industry-specific operational indicators. Complicated measurements are shunned since they tend to impede rather than speed up actions </w:t>
      </w:r>
      <w:r w:rsidR="00D56755" w:rsidRPr="001C35FA">
        <w:t>(</w:t>
      </w:r>
      <w:r w:rsidRPr="001C35FA">
        <w:t>Rogers et al.</w:t>
      </w:r>
      <w:r w:rsidR="00F66EF8" w:rsidRPr="001C35FA">
        <w:t xml:space="preserve">, </w:t>
      </w:r>
      <w:r w:rsidR="00595C0F" w:rsidRPr="001C35FA">
        <w:t>2</w:t>
      </w:r>
      <w:r w:rsidRPr="001C35FA">
        <w:t>002</w:t>
      </w:r>
      <w:r w:rsidR="001F199C" w:rsidRPr="001C35FA">
        <w:t>)</w:t>
      </w:r>
      <w:r w:rsidRPr="001C35FA">
        <w:t xml:space="preserve">. </w:t>
      </w:r>
      <w:r w:rsidR="00DC2FC4" w:rsidRPr="001C35FA">
        <w:t>In fact,</w:t>
      </w:r>
      <w:r w:rsidRPr="001C35FA">
        <w:t xml:space="preserve"> Heel and Kehoe</w:t>
      </w:r>
      <w:r w:rsidR="00183A32">
        <w:t xml:space="preserve"> (</w:t>
      </w:r>
      <w:r w:rsidRPr="001C35FA">
        <w:t>2005</w:t>
      </w:r>
      <w:r w:rsidR="00183A32">
        <w:t>)</w:t>
      </w:r>
      <w:r w:rsidRPr="001C35FA">
        <w:t xml:space="preserve"> </w:t>
      </w:r>
      <w:r w:rsidR="00DC2FC4" w:rsidRPr="001C35FA">
        <w:t>report</w:t>
      </w:r>
      <w:r w:rsidRPr="001C35FA">
        <w:t xml:space="preserve"> that performance-tracking systems had been implemented in 92% of the top performing buyouts, but in less than 50% in the bottom tercile.</w:t>
      </w:r>
    </w:p>
    <w:p w14:paraId="5935A431" w14:textId="77777777" w:rsidR="00676F76" w:rsidRDefault="008C31C9" w:rsidP="00CF7500">
      <w:pPr>
        <w:pStyle w:val="Heading2"/>
      </w:pPr>
      <w:r w:rsidRPr="00CF7500">
        <w:t>High Tempo and Inchoate Change</w:t>
      </w:r>
    </w:p>
    <w:p w14:paraId="79E8E016" w14:textId="2E0B77C4" w:rsidR="00481094" w:rsidRPr="001C35FA" w:rsidRDefault="00481094" w:rsidP="00295B0E">
      <w:r w:rsidRPr="001C35FA">
        <w:t>Bergström, Grubb, and Jonsson</w:t>
      </w:r>
      <w:r w:rsidR="00183A32">
        <w:t xml:space="preserve"> (</w:t>
      </w:r>
      <w:r w:rsidRPr="001C35FA">
        <w:t>2007</w:t>
      </w:r>
      <w:r w:rsidR="00183A32">
        <w:t>)</w:t>
      </w:r>
      <w:r w:rsidRPr="001C35FA">
        <w:t xml:space="preserve"> emphasize the import</w:t>
      </w:r>
      <w:r w:rsidR="00225A55" w:rsidRPr="001C35FA">
        <w:t>ance</w:t>
      </w:r>
      <w:r w:rsidRPr="001C35FA">
        <w:t xml:space="preserve"> of high tempo and momentum in the immediate post-buyout period in order to </w:t>
      </w:r>
      <w:r w:rsidR="007F1FCB" w:rsidRPr="001C35FA">
        <w:t xml:space="preserve">ensure post-buyout success. </w:t>
      </w:r>
      <w:bookmarkStart w:id="6" w:name="OLE_LINK11"/>
      <w:bookmarkStart w:id="7" w:name="OLE_LINK12"/>
      <w:r w:rsidR="005D2A86">
        <w:t>However, there is no academic research backing this argument.</w:t>
      </w:r>
      <w:bookmarkEnd w:id="6"/>
      <w:bookmarkEnd w:id="7"/>
      <w:r w:rsidR="005D2A86">
        <w:t xml:space="preserve"> The only evidence in this respect </w:t>
      </w:r>
      <w:r w:rsidR="00595045">
        <w:t xml:space="preserve">comes from a McKinsey Quarterly </w:t>
      </w:r>
      <w:r w:rsidR="00456A3C">
        <w:t>article</w:t>
      </w:r>
      <w:r w:rsidR="00595045">
        <w:t xml:space="preserve"> where </w:t>
      </w:r>
      <w:r w:rsidRPr="001C35FA">
        <w:t>Heel and Kehoe</w:t>
      </w:r>
      <w:r w:rsidR="00183A32">
        <w:t xml:space="preserve"> (</w:t>
      </w:r>
      <w:r w:rsidRPr="001C35FA">
        <w:t>2005</w:t>
      </w:r>
      <w:r w:rsidR="00183A32">
        <w:t>)</w:t>
      </w:r>
      <w:r w:rsidRPr="001C35FA">
        <w:t xml:space="preserve"> </w:t>
      </w:r>
      <w:r w:rsidR="00595045">
        <w:t xml:space="preserve">find </w:t>
      </w:r>
      <w:r w:rsidRPr="001C35FA">
        <w:t>that GPs involved in the top tercile of buyouts devoted more than half of their time to the portfolio firm during the first three months by often meeting daily with executives. In the lowest performing tercile, GPs spent only 20% of their time with the portfolio firm during this perio</w:t>
      </w:r>
      <w:r w:rsidR="007F1FCB" w:rsidRPr="001C35FA">
        <w:t xml:space="preserve">d. PE firms routinely create a </w:t>
      </w:r>
      <w:r w:rsidR="007F1FCB" w:rsidRPr="001C35FA">
        <w:rPr>
          <w:i/>
        </w:rPr>
        <w:t>100-day plan</w:t>
      </w:r>
      <w:r w:rsidRPr="001C35FA">
        <w:t xml:space="preserve"> that prescribes the necessary changes during the period. There are a few principal reasons for this practice. Firstly, new owners are frequently under pressure to improve cash flows to serve the debt obligation, which means there is a limited window of time in which to enact operational improvements </w:t>
      </w:r>
      <w:r w:rsidR="00D56755" w:rsidRPr="001C35FA">
        <w:t>(</w:t>
      </w:r>
      <w:r w:rsidRPr="001C35FA">
        <w:t>Matthews et al.</w:t>
      </w:r>
      <w:r w:rsidR="00F66EF8" w:rsidRPr="001C35FA">
        <w:t xml:space="preserve">, </w:t>
      </w:r>
      <w:r w:rsidR="00595C0F" w:rsidRPr="001C35FA">
        <w:t>2</w:t>
      </w:r>
      <w:r w:rsidRPr="001C35FA">
        <w:t>009</w:t>
      </w:r>
      <w:r w:rsidR="001F199C" w:rsidRPr="001C35FA">
        <w:t>)</w:t>
      </w:r>
      <w:r w:rsidRPr="001C35FA">
        <w:t>. Secondly, immediate improvements in profitability will accumulate downstream during the holding period and in turn directly affect the exit valuation.</w:t>
      </w:r>
    </w:p>
    <w:p w14:paraId="75E9A898" w14:textId="77777777" w:rsidR="00676F76" w:rsidRDefault="008C31C9" w:rsidP="00CF7500">
      <w:pPr>
        <w:pStyle w:val="Heading2"/>
      </w:pPr>
      <w:r w:rsidRPr="00CF7500">
        <w:t>The Holding Period Time Horizon</w:t>
      </w:r>
    </w:p>
    <w:p w14:paraId="348AAF54" w14:textId="09C49602" w:rsidR="007E2CB4" w:rsidRPr="001C35FA" w:rsidDel="007E2CB4" w:rsidRDefault="00481094" w:rsidP="008042E0">
      <w:r w:rsidRPr="001C35FA">
        <w:t>The holding periods of the buyouts tend to vary to some extent based on m</w:t>
      </w:r>
      <w:r w:rsidR="008560E5" w:rsidRPr="001C35FA">
        <w:t>arket conditions and locations, e.g. t</w:t>
      </w:r>
      <w:r w:rsidRPr="001C35FA">
        <w:t xml:space="preserve">he median holding period was approximately four years in a study </w:t>
      </w:r>
      <w:r w:rsidR="008560E5" w:rsidRPr="001C35FA">
        <w:t>by</w:t>
      </w:r>
      <w:r w:rsidRPr="001C35FA">
        <w:t xml:space="preserve"> Lopez-de-Silanes et al.</w:t>
      </w:r>
      <w:r w:rsidR="00183A32">
        <w:t xml:space="preserve"> (</w:t>
      </w:r>
      <w:r w:rsidR="00595C0F" w:rsidRPr="001C35FA">
        <w:t>2</w:t>
      </w:r>
      <w:r w:rsidRPr="001C35FA">
        <w:t>01</w:t>
      </w:r>
      <w:r w:rsidR="00225A55" w:rsidRPr="001C35FA">
        <w:t>5</w:t>
      </w:r>
      <w:r w:rsidR="00183A32">
        <w:t>)</w:t>
      </w:r>
      <w:r w:rsidR="008560E5" w:rsidRPr="001C35FA">
        <w:t>, whi</w:t>
      </w:r>
      <w:r w:rsidR="00B64246" w:rsidRPr="001C35FA">
        <w:t>le</w:t>
      </w:r>
      <w:r w:rsidR="008560E5" w:rsidRPr="001C35FA">
        <w:t xml:space="preserve"> a study by Strömberg</w:t>
      </w:r>
      <w:r w:rsidR="00183A32">
        <w:t xml:space="preserve"> (</w:t>
      </w:r>
      <w:r w:rsidR="008560E5" w:rsidRPr="001C35FA">
        <w:t>2007</w:t>
      </w:r>
      <w:r w:rsidR="00183A32">
        <w:t>)</w:t>
      </w:r>
      <w:r w:rsidRPr="001C35FA">
        <w:t xml:space="preserve"> </w:t>
      </w:r>
      <w:r w:rsidR="008560E5" w:rsidRPr="001C35FA">
        <w:t xml:space="preserve">reports </w:t>
      </w:r>
      <w:r w:rsidRPr="001C35FA">
        <w:t xml:space="preserve">6-7 years </w:t>
      </w:r>
      <w:r w:rsidR="008560E5" w:rsidRPr="001C35FA">
        <w:t>in the 1980’s and nine years in the late</w:t>
      </w:r>
      <w:r w:rsidRPr="001C35FA">
        <w:t xml:space="preserve"> </w:t>
      </w:r>
      <w:r w:rsidR="008560E5" w:rsidRPr="001C35FA">
        <w:t>1990s</w:t>
      </w:r>
      <w:r w:rsidRPr="001C35FA">
        <w:t>.</w:t>
      </w:r>
      <w:r w:rsidR="008560E5" w:rsidRPr="001C35FA">
        <w:t xml:space="preserve"> </w:t>
      </w:r>
      <w:r w:rsidR="00B64246" w:rsidRPr="001C35FA">
        <w:t xml:space="preserve">More recent monitoring suggests that the holding period in the 2000s exceeded six years (CMBOR, 2017). </w:t>
      </w:r>
      <w:r w:rsidRPr="001C35FA">
        <w:t>However, when instead examining the holding period of the buyouts that produce the highest returns the answer is different. Lopez-de-Silanes et al.</w:t>
      </w:r>
      <w:r w:rsidR="00DD26EB">
        <w:t xml:space="preserve"> (</w:t>
      </w:r>
      <w:r w:rsidRPr="001C35FA">
        <w:t>201</w:t>
      </w:r>
      <w:r w:rsidR="00225A55" w:rsidRPr="001C35FA">
        <w:t>5</w:t>
      </w:r>
      <w:r w:rsidR="00DD26EB">
        <w:t>)</w:t>
      </w:r>
      <w:r w:rsidRPr="001C35FA">
        <w:t xml:space="preserve"> find a strong negative association between performance and duration. </w:t>
      </w:r>
      <w:r w:rsidR="006D1213" w:rsidRPr="001C35FA">
        <w:t>However, another study does not find that “quick flips” leads to significantly higher returns (Siming, 2010, p.119).</w:t>
      </w:r>
    </w:p>
    <w:p w14:paraId="4774E89B" w14:textId="5BFC9EFE" w:rsidR="00C36432" w:rsidRPr="00CF7500" w:rsidRDefault="008C31C9" w:rsidP="00CF7500">
      <w:r w:rsidRPr="00CF7500">
        <w:t>Several studies suggest that the strategic focus in buyout firms is on the long–term (Rogers et al., 2002; Jensen et al., 2006; Mills, 2006). Often the private equity firms develop an investment strategy during the 100–day plan for reshaping the business model, which determines the buyout firm direction for the holding period (Rogers et al., 2002). Bacon et al. (2013) and Hoskisson et al. (2013) take a different view suggesting that PE firm and buyouts are heterogeneous in their approaches. Some are long-term oriented whereas others are more short term. This is consistent with the evidence of heterogeneous longevity found by Kaplan (1991) and Wright et al., (1994; 1995). Some deals involve short term turnaround and rebounding strategies, while others involve strategies with longer term investment and payoffs (Bacon et al., 2013). Similarly with respect to PE firms, Castellaneta and Gottschalg (2016) suggest that some firms that have short holding periods need to have particular selection expertise, whereas those with long holding period need expertise to add value over the long term.</w:t>
      </w:r>
    </w:p>
    <w:p w14:paraId="6B0C59E6" w14:textId="77777777" w:rsidR="00676F76" w:rsidRDefault="00676F76" w:rsidP="00CF7500"/>
    <w:p w14:paraId="53E1B35B" w14:textId="056C6013" w:rsidR="00377F52" w:rsidRPr="00CF7500" w:rsidRDefault="00377F52" w:rsidP="00377F52">
      <w:pPr>
        <w:pStyle w:val="Heading1"/>
        <w:rPr>
          <w:szCs w:val="24"/>
        </w:rPr>
      </w:pPr>
      <w:r w:rsidRPr="003900C7">
        <w:rPr>
          <w:szCs w:val="24"/>
        </w:rPr>
        <w:t>Commercial Driver</w:t>
      </w:r>
      <w:r w:rsidR="008C3C09">
        <w:rPr>
          <w:szCs w:val="24"/>
        </w:rPr>
        <w:t>s</w:t>
      </w:r>
    </w:p>
    <w:p w14:paraId="6DC95242" w14:textId="67058631" w:rsidR="00481094" w:rsidRPr="001C35FA" w:rsidRDefault="00481094" w:rsidP="004F76E2">
      <w:r w:rsidRPr="001C35FA">
        <w:t>The</w:t>
      </w:r>
      <w:r w:rsidR="00377F52" w:rsidRPr="001C35FA">
        <w:t xml:space="preserve"> commercial driver is </w:t>
      </w:r>
      <w:r w:rsidR="00184723">
        <w:t>partly</w:t>
      </w:r>
      <w:r w:rsidR="00377F52" w:rsidRPr="001C35FA">
        <w:t xml:space="preserve"> based on</w:t>
      </w:r>
      <w:r w:rsidRPr="001C35FA">
        <w:t xml:space="preserve"> value </w:t>
      </w:r>
      <w:r w:rsidR="00FE1597" w:rsidRPr="001C35FA">
        <w:t xml:space="preserve">capture, i.e. value </w:t>
      </w:r>
      <w:r w:rsidRPr="001C35FA">
        <w:t>appropriation or transfer of wealth from prior shareholders and non-equity stakeholders</w:t>
      </w:r>
      <w:r w:rsidR="00377F52" w:rsidRPr="001C35FA">
        <w:t xml:space="preserve">. </w:t>
      </w:r>
      <w:r w:rsidRPr="001C35FA">
        <w:t xml:space="preserve">The lever is often multifaceted as value can originate from several sources. Value capture is intrinsically and fundamentally different from the </w:t>
      </w:r>
      <w:r w:rsidR="00DD26EB">
        <w:t>other drivers</w:t>
      </w:r>
      <w:r w:rsidR="00DD26EB" w:rsidRPr="001C35FA">
        <w:t xml:space="preserve"> </w:t>
      </w:r>
      <w:r w:rsidRPr="001C35FA">
        <w:t xml:space="preserve">of value creation, as new value is not created, but merely won or lost in what fundamentally constitutes a zero-sum game. </w:t>
      </w:r>
      <w:r w:rsidR="00DD26EB">
        <w:t xml:space="preserve">This value is </w:t>
      </w:r>
      <w:r w:rsidRPr="001C35FA">
        <w:t xml:space="preserve">determined by two distinct moments: the entry and the exit transaction </w:t>
      </w:r>
      <w:r w:rsidR="0035007E" w:rsidRPr="001C35FA">
        <w:t>(</w:t>
      </w:r>
      <w:r w:rsidR="00B94161" w:rsidRPr="001C35FA">
        <w:t>even if</w:t>
      </w:r>
      <w:r w:rsidRPr="001C35FA">
        <w:t xml:space="preserve"> these are in turn affected by the preceding history</w:t>
      </w:r>
      <w:r w:rsidR="001F199C" w:rsidRPr="001C35FA">
        <w:t>)</w:t>
      </w:r>
      <w:r w:rsidRPr="001C35FA">
        <w:t>.</w:t>
      </w:r>
    </w:p>
    <w:p w14:paraId="57515511" w14:textId="4C9049E0" w:rsidR="007E2CB4" w:rsidRDefault="00481094" w:rsidP="007E2CB4">
      <w:r w:rsidRPr="001C35FA">
        <w:t xml:space="preserve">The stakeholders of a transaction here are defined broadly, since it can involve expending the resources of society due to decreasing taxes and a reduction of the workforce remuneration. Consequently, it is the most controversial </w:t>
      </w:r>
      <w:r w:rsidR="00DD26EB">
        <w:t>driver</w:t>
      </w:r>
      <w:r w:rsidR="00DD26EB" w:rsidRPr="001C35FA">
        <w:t xml:space="preserve"> </w:t>
      </w:r>
      <w:r w:rsidRPr="001C35FA">
        <w:t xml:space="preserve">for generating value in private equity buyouts and often at the center of criticism in the media. It should be noted that a substantial amount of research has been devoted to examining the </w:t>
      </w:r>
      <w:r w:rsidRPr="001C35FA">
        <w:rPr>
          <w:i/>
        </w:rPr>
        <w:t>stakeholder expropriation hypothesis</w:t>
      </w:r>
      <w:r w:rsidRPr="001C35FA">
        <w:t xml:space="preserve"> – </w:t>
      </w:r>
      <w:r w:rsidR="001C1BA9" w:rsidRPr="001C35FA">
        <w:t>or</w:t>
      </w:r>
      <w:r w:rsidRPr="001C35FA">
        <w:t xml:space="preserve"> </w:t>
      </w:r>
      <w:r w:rsidRPr="001C35FA">
        <w:rPr>
          <w:i/>
        </w:rPr>
        <w:t>wealth transfer hypothesis</w:t>
      </w:r>
      <w:r w:rsidRPr="001C35FA">
        <w:t xml:space="preserve"> – and whether or not wealth is expropriated from pre-transaction stockholders, bondholders, or employees. </w:t>
      </w:r>
      <w:r w:rsidR="0036008B" w:rsidRPr="001C35FA">
        <w:t>Although</w:t>
      </w:r>
      <w:r w:rsidRPr="001C35FA">
        <w:t xml:space="preserve">, there are evident cases </w:t>
      </w:r>
      <w:r w:rsidR="0036008B" w:rsidRPr="001C35FA">
        <w:t>of</w:t>
      </w:r>
      <w:r w:rsidRPr="001C35FA">
        <w:t xml:space="preserve"> expropriation</w:t>
      </w:r>
      <w:r w:rsidR="0036008B" w:rsidRPr="001C35FA">
        <w:t xml:space="preserve">, </w:t>
      </w:r>
      <w:r w:rsidRPr="001C35FA">
        <w:t xml:space="preserve">the </w:t>
      </w:r>
      <w:r w:rsidR="0036008B" w:rsidRPr="001C35FA">
        <w:t xml:space="preserve">overall </w:t>
      </w:r>
      <w:r w:rsidRPr="001C35FA">
        <w:t xml:space="preserve">empirical evidence does not support the hypothesis when accounting for the full population of buyouts </w:t>
      </w:r>
      <w:r w:rsidR="0035007E" w:rsidRPr="00E8799E">
        <w:t>(</w:t>
      </w:r>
      <w:r w:rsidRPr="00E8799E">
        <w:t>Renneboog</w:t>
      </w:r>
      <w:r w:rsidR="008B1122" w:rsidRPr="00E8799E">
        <w:t xml:space="preserve"> and </w:t>
      </w:r>
      <w:r w:rsidRPr="00E8799E">
        <w:t>Simons</w:t>
      </w:r>
      <w:r w:rsidR="00F66EF8" w:rsidRPr="00E8799E">
        <w:t xml:space="preserve">, </w:t>
      </w:r>
      <w:r w:rsidR="00595C0F" w:rsidRPr="00E8799E">
        <w:t>2</w:t>
      </w:r>
      <w:r w:rsidRPr="00E8799E">
        <w:t>005</w:t>
      </w:r>
      <w:r w:rsidR="001F199C" w:rsidRPr="00E8799E">
        <w:t>)</w:t>
      </w:r>
      <w:r w:rsidRPr="00E8799E">
        <w:t>.</w:t>
      </w:r>
    </w:p>
    <w:p w14:paraId="66394331" w14:textId="3E935A49" w:rsidR="007E2CB4" w:rsidRDefault="008C31C9" w:rsidP="007E2CB4">
      <w:pPr>
        <w:rPr>
          <w:iCs/>
        </w:rPr>
      </w:pPr>
      <w:r w:rsidRPr="00CF7500">
        <w:rPr>
          <w:iCs/>
        </w:rPr>
        <w:t>Another common notion is that a party that possesses superior information compared to a counterpart can use it to gain from the losses sustained by the other party. Of particular interest is whether or not the information asymmetry referred to as private information is being abused during a management buyout (MBO). For instance, management may have an incentive to suppress profits prior to a buyout in order to drive down the price. This exploitation of private information, labeled as the undervaluation hypothesis (or the signaling hypothesis) was studied particularly in the first wave of buyouts in the early 1980s. The first to suggest that management could take advantage of information asymmetries by artificially depressing the company value through accounting measures before a management buyout was Lowenstein (1985). Initially some researchers found support for the hypothesis, e.g. the premiums paid for buyout target firms were the result of an undervaluation, which implied subsequent performance improvements due to the exploitation of private information during management buyouts (Baker and Wruck, 1989). Other researchers found that abnormal buying patterns preceded management buyouts, but not during externally induced buyouts (Harlow and Howe, 1993; Kaestner and Liu, 1996).</w:t>
      </w:r>
    </w:p>
    <w:p w14:paraId="111EFD39" w14:textId="4A7D3D65" w:rsidR="007E2CB4" w:rsidRDefault="008C31C9" w:rsidP="007E2CB4">
      <w:r w:rsidRPr="00CF7500">
        <w:t>At the same time, other researchers reported potential gains from exploiting private information being inconsequential as an explanation for the subsequent performance improvement (Kaplan, 1989; Kaplan and Stein, 1993). It is also true that</w:t>
      </w:r>
      <w:r w:rsidR="0023029B">
        <w:t>, under certain conditions,</w:t>
      </w:r>
      <w:r w:rsidRPr="00CF7500">
        <w:t xml:space="preserve"> taking advantage of any private information </w:t>
      </w:r>
      <w:r w:rsidR="0023029B">
        <w:t xml:space="preserve">could </w:t>
      </w:r>
      <w:r w:rsidRPr="00CF7500">
        <w:t>be considerably more difficult. For instance, Castellaneta et al. (2016) find that a stronger trade secrets protection might reduce the IRR of a buyout operating in an industry with substantial resource–value uncertainty and with high risk of making a poor—or “lemon”—investment. In this case, trade secret protection limits the amount of information available to the potential buyers, increasing the information asymmetries between potential buyers and the seller (i.e., the PE firm). This uncertainty about the value of the target firm motivates the buyers to discount their offers as a compensation for pursuing a more uncertain and riskier acquisition.</w:t>
      </w:r>
    </w:p>
    <w:p w14:paraId="6CE52F59" w14:textId="7338FB18" w:rsidR="00CB66D9" w:rsidRPr="00CF7500" w:rsidRDefault="008C31C9" w:rsidP="00CF7500">
      <w:r w:rsidRPr="00CF7500">
        <w:t>Moreover, there will be information asymmetries in any transaction, which does not necessary indicate improprieties. Extensive business advantages may stem from transaction experience, negotiation skills, extensive contact networks, firm valuation skills, market information, business intelligence, and industry expertise – all of which demonstrate various information asymmetries between the transaction parties (Anders, 1992; Fox and Marcus, 1992).</w:t>
      </w:r>
    </w:p>
    <w:p w14:paraId="5E108C85" w14:textId="77777777" w:rsidR="00676F76" w:rsidRDefault="008C31C9" w:rsidP="00CF7500">
      <w:pPr>
        <w:pStyle w:val="Heading2"/>
      </w:pPr>
      <w:r w:rsidRPr="00CF7500">
        <w:t>Proprietary Deal Flow</w:t>
      </w:r>
    </w:p>
    <w:p w14:paraId="3BEBB40A" w14:textId="225AB8E0" w:rsidR="00481094" w:rsidRPr="001C35FA" w:rsidRDefault="00481094" w:rsidP="004F76E2">
      <w:r w:rsidRPr="001C35FA">
        <w:t xml:space="preserve">Practitioners often proclaim the advantage of a proprietary deal flow, but support from longitudinal studies is scant, perhaps due to limited </w:t>
      </w:r>
      <w:r w:rsidR="0036008B" w:rsidRPr="001C35FA">
        <w:t>availability</w:t>
      </w:r>
      <w:r w:rsidRPr="001C35FA">
        <w:t xml:space="preserve"> in data sets. Kaplan and Schoar </w:t>
      </w:r>
      <w:r w:rsidR="002F479A" w:rsidRPr="001C35FA">
        <w:t>(</w:t>
      </w:r>
      <w:r w:rsidRPr="001C35FA">
        <w:t>2005</w:t>
      </w:r>
      <w:r w:rsidR="002F479A" w:rsidRPr="001C35FA">
        <w:t>)</w:t>
      </w:r>
      <w:r w:rsidRPr="001C35FA">
        <w:t xml:space="preserve"> propose that having better access to investments could be an explanation for the persistent performance variations observed among GPs. Schmidt et al. </w:t>
      </w:r>
      <w:r w:rsidR="002F479A" w:rsidRPr="001C35FA">
        <w:t>(</w:t>
      </w:r>
      <w:r w:rsidRPr="001C35FA">
        <w:t>2004</w:t>
      </w:r>
      <w:r w:rsidR="002F479A" w:rsidRPr="001C35FA">
        <w:t>)</w:t>
      </w:r>
      <w:r w:rsidRPr="001C35FA">
        <w:t xml:space="preserve"> report that buyout fund performance is significantly related to the experience of the individual fund and further speculate that the reason might be access to a superior deal flow and in preferential management of buyout portfolios. Apart from the anecdotal evidence, more substantial support for proprietary deal flow is found by Loos </w:t>
      </w:r>
      <w:r w:rsidR="002F479A" w:rsidRPr="001C35FA">
        <w:t>(</w:t>
      </w:r>
      <w:r w:rsidR="0034346C" w:rsidRPr="001C35FA">
        <w:t>2006</w:t>
      </w:r>
      <w:r w:rsidR="002F479A" w:rsidRPr="001C35FA">
        <w:t>)</w:t>
      </w:r>
      <w:r w:rsidRPr="001C35FA">
        <w:t xml:space="preserve">, who reports that proactive proprietary deal sourcing from the buyout firm leads to substantial returns, but that deal sourcing was less effective when coming from intermediaries </w:t>
      </w:r>
      <w:r w:rsidR="0035007E" w:rsidRPr="001C35FA">
        <w:t>(</w:t>
      </w:r>
      <w:r w:rsidRPr="001C35FA">
        <w:t>e.g. investment banks</w:t>
      </w:r>
      <w:r w:rsidR="001F199C" w:rsidRPr="001C35FA">
        <w:t>)</w:t>
      </w:r>
      <w:r w:rsidRPr="001C35FA">
        <w:t xml:space="preserve"> or the GP’s contact network.</w:t>
      </w:r>
    </w:p>
    <w:p w14:paraId="5C66C8C9" w14:textId="77777777" w:rsidR="00676F76" w:rsidRDefault="008C31C9" w:rsidP="00CF7500">
      <w:pPr>
        <w:pStyle w:val="Heading2"/>
      </w:pPr>
      <w:r w:rsidRPr="00CF7500">
        <w:t>Deal Making Expertise</w:t>
      </w:r>
    </w:p>
    <w:p w14:paraId="6E31A919" w14:textId="1A27C499" w:rsidR="00481094" w:rsidRPr="001C35FA" w:rsidRDefault="0034346C" w:rsidP="004F76E2">
      <w:r w:rsidRPr="001C35FA">
        <w:t>An a</w:t>
      </w:r>
      <w:r w:rsidR="00481094" w:rsidRPr="001C35FA">
        <w:t xml:space="preserve">uction is the preferred method for optimizing the value </w:t>
      </w:r>
      <w:r w:rsidRPr="001C35FA">
        <w:t>for vendors</w:t>
      </w:r>
      <w:r w:rsidR="00481094" w:rsidRPr="001C35FA">
        <w:t xml:space="preserve">, which conversely means it is the least favorable method for acquiring firms. The more restricted a transaction is from buyer competition, the lower the resulting transaction price </w:t>
      </w:r>
      <w:r w:rsidR="0035007E" w:rsidRPr="001C35FA">
        <w:t>(</w:t>
      </w:r>
      <w:r w:rsidR="00481094" w:rsidRPr="001C35FA">
        <w:t>Wright et al.</w:t>
      </w:r>
      <w:r w:rsidR="00F66EF8" w:rsidRPr="001C35FA">
        <w:t xml:space="preserve">, </w:t>
      </w:r>
      <w:r w:rsidR="00595C0F" w:rsidRPr="001C35FA">
        <w:t>1</w:t>
      </w:r>
      <w:r w:rsidR="00481094" w:rsidRPr="001C35FA">
        <w:t>996</w:t>
      </w:r>
      <w:r w:rsidR="0000761D" w:rsidRPr="001C35FA">
        <w:t xml:space="preserve">; </w:t>
      </w:r>
      <w:r w:rsidR="00481094" w:rsidRPr="001C35FA">
        <w:t>Baker</w:t>
      </w:r>
      <w:r w:rsidR="008B1122" w:rsidRPr="001C35FA">
        <w:t xml:space="preserve"> and </w:t>
      </w:r>
      <w:r w:rsidR="00481094" w:rsidRPr="001C35FA">
        <w:t>Smith</w:t>
      </w:r>
      <w:r w:rsidR="00F66EF8" w:rsidRPr="001C35FA">
        <w:t xml:space="preserve">, </w:t>
      </w:r>
      <w:r w:rsidR="00595C0F" w:rsidRPr="001C35FA">
        <w:t>1</w:t>
      </w:r>
      <w:r w:rsidR="00481094" w:rsidRPr="001C35FA">
        <w:t>998</w:t>
      </w:r>
      <w:r w:rsidR="001F199C" w:rsidRPr="001C35FA">
        <w:t>)</w:t>
      </w:r>
      <w:r w:rsidRPr="001C35FA">
        <w:t xml:space="preserve">. In particular, </w:t>
      </w:r>
      <w:r w:rsidRPr="001C35FA">
        <w:rPr>
          <w:i/>
        </w:rPr>
        <w:t>hot auctions</w:t>
      </w:r>
      <w:r w:rsidRPr="001C35FA">
        <w:t>,</w:t>
      </w:r>
      <w:r w:rsidR="00481094" w:rsidRPr="001C35FA">
        <w:t xml:space="preserve"> where fervent competition</w:t>
      </w:r>
      <w:r w:rsidR="0036008B" w:rsidRPr="001C35FA">
        <w:t xml:space="preserve"> drives up prices, may result in</w:t>
      </w:r>
      <w:r w:rsidR="00481094" w:rsidRPr="001C35FA">
        <w:t xml:space="preserve"> the </w:t>
      </w:r>
      <w:r w:rsidR="00481094" w:rsidRPr="001C35FA">
        <w:rPr>
          <w:i/>
        </w:rPr>
        <w:t>winner’s curse</w:t>
      </w:r>
      <w:r w:rsidR="00481094" w:rsidRPr="001C35FA">
        <w:t xml:space="preserve">. </w:t>
      </w:r>
      <w:r w:rsidR="0036008B" w:rsidRPr="001C35FA">
        <w:t>A known</w:t>
      </w:r>
      <w:r w:rsidR="00481094" w:rsidRPr="001C35FA">
        <w:t xml:space="preserve"> tactic at auctions is to secure sole bidder status by making a high bid and re-negotiating the bid with uncovered flaws during the due diligence process, e.g. outdated equipment and environmental liabilities </w:t>
      </w:r>
      <w:r w:rsidR="0035007E" w:rsidRPr="001C35FA">
        <w:t>(</w:t>
      </w:r>
      <w:r w:rsidR="00481094" w:rsidRPr="001C35FA">
        <w:t>Butler</w:t>
      </w:r>
      <w:r w:rsidR="00F66EF8" w:rsidRPr="001C35FA">
        <w:t xml:space="preserve">, </w:t>
      </w:r>
      <w:r w:rsidR="00595C0F" w:rsidRPr="001C35FA">
        <w:t>2</w:t>
      </w:r>
      <w:r w:rsidR="00481094" w:rsidRPr="001C35FA">
        <w:t>001</w:t>
      </w:r>
      <w:r w:rsidR="001F199C" w:rsidRPr="001C35FA">
        <w:t>)</w:t>
      </w:r>
      <w:r w:rsidR="00481094" w:rsidRPr="001C35FA">
        <w:t xml:space="preserve">. </w:t>
      </w:r>
      <w:r w:rsidR="0036008B" w:rsidRPr="001C35FA">
        <w:t>Another</w:t>
      </w:r>
      <w:r w:rsidR="00481094" w:rsidRPr="001C35FA">
        <w:t xml:space="preserve"> tactic is to tie </w:t>
      </w:r>
      <w:r w:rsidRPr="001C35FA">
        <w:t xml:space="preserve">a </w:t>
      </w:r>
      <w:r w:rsidR="00481094" w:rsidRPr="001C35FA">
        <w:t>bid to performance targets during a transfer period, which means if profitability suddenly deteriorates, the purchase price goes down</w:t>
      </w:r>
      <w:r w:rsidR="00990574" w:rsidRPr="001C35FA">
        <w:t xml:space="preserve"> or earnout clause are not triggered</w:t>
      </w:r>
      <w:r w:rsidR="00481094" w:rsidRPr="001C35FA">
        <w:t>.</w:t>
      </w:r>
      <w:r w:rsidRPr="001C35FA">
        <w:t xml:space="preserve"> </w:t>
      </w:r>
      <w:r w:rsidR="00DC2FC4" w:rsidRPr="001C35FA">
        <w:t>A</w:t>
      </w:r>
      <w:r w:rsidR="00481094" w:rsidRPr="001C35FA">
        <w:t xml:space="preserve"> </w:t>
      </w:r>
      <w:r w:rsidR="0036008B" w:rsidRPr="001C35FA">
        <w:t>third</w:t>
      </w:r>
      <w:r w:rsidR="00481094" w:rsidRPr="001C35FA">
        <w:t xml:space="preserve"> method for gaining the upper hand is to be ready immediately as opportunities emerge </w:t>
      </w:r>
      <w:r w:rsidR="0036008B" w:rsidRPr="001C35FA">
        <w:t>(</w:t>
      </w:r>
      <w:r w:rsidR="00481094" w:rsidRPr="001C35FA">
        <w:t>Fox and Marcus</w:t>
      </w:r>
      <w:r w:rsidR="00F66EF8" w:rsidRPr="001C35FA">
        <w:t xml:space="preserve">, </w:t>
      </w:r>
      <w:r w:rsidR="00481094" w:rsidRPr="001C35FA">
        <w:t>1992</w:t>
      </w:r>
      <w:r w:rsidR="0036008B" w:rsidRPr="001C35FA">
        <w:t>)</w:t>
      </w:r>
      <w:r w:rsidR="00481094" w:rsidRPr="001C35FA">
        <w:t>. Correspondingly, Wright et al.</w:t>
      </w:r>
      <w:r w:rsidR="00DD26EB">
        <w:t xml:space="preserve"> (</w:t>
      </w:r>
      <w:r w:rsidR="00481094" w:rsidRPr="001C35FA">
        <w:t>1996</w:t>
      </w:r>
      <w:r w:rsidR="00DD26EB">
        <w:t>)</w:t>
      </w:r>
      <w:r w:rsidR="00481094" w:rsidRPr="001C35FA">
        <w:t xml:space="preserve"> suggest that private equity investors should proactively approach attractive buyout targets before the competition is alerted.</w:t>
      </w:r>
      <w:r w:rsidR="00730BD5" w:rsidRPr="001C35FA">
        <w:t xml:space="preserve"> This may be especially important in buyouts of family firms where there may have been little succession planning and where the PE firm can act in an advisory role (Scholes et al.</w:t>
      </w:r>
      <w:r w:rsidR="00833567">
        <w:t>,</w:t>
      </w:r>
      <w:r w:rsidR="00730BD5" w:rsidRPr="001C35FA">
        <w:t xml:space="preserve"> </w:t>
      </w:r>
      <w:r w:rsidR="008C31C9" w:rsidRPr="00CF7500">
        <w:t>2007</w:t>
      </w:r>
      <w:r w:rsidR="00730BD5" w:rsidRPr="001C35FA">
        <w:t xml:space="preserve">) but where it may be important to address issues relating to the mistrust towards the motives of PE firms </w:t>
      </w:r>
      <w:r w:rsidR="004640F1" w:rsidRPr="001C35FA">
        <w:t xml:space="preserve">especially as family firms sellers may not be concerned only about price </w:t>
      </w:r>
      <w:r w:rsidR="00730BD5" w:rsidRPr="001C35FA">
        <w:t>(Ahlers et al., 20</w:t>
      </w:r>
      <w:r w:rsidR="008C31C9" w:rsidRPr="00CF7500">
        <w:t>16</w:t>
      </w:r>
      <w:r w:rsidR="00730BD5" w:rsidRPr="001C35FA">
        <w:t>). PE firms may perceive that they have high bargaining power in buyout negotiations, depending on factors such as competition, expertise advantage, and seller's time pressure (Ahlers et al., 20</w:t>
      </w:r>
      <w:r w:rsidR="008C31C9" w:rsidRPr="00CF7500">
        <w:t>15</w:t>
      </w:r>
      <w:r w:rsidR="00730BD5" w:rsidRPr="001C35FA">
        <w:t>).</w:t>
      </w:r>
    </w:p>
    <w:p w14:paraId="02311B5F" w14:textId="77777777" w:rsidR="00676F76" w:rsidRDefault="008C31C9" w:rsidP="00CF7500">
      <w:pPr>
        <w:pStyle w:val="Heading2"/>
      </w:pPr>
      <w:r w:rsidRPr="00CF7500">
        <w:t>Target Firm Identification and Investment Criteria</w:t>
      </w:r>
    </w:p>
    <w:p w14:paraId="30F3C595" w14:textId="3DBE3290" w:rsidR="00481094" w:rsidRPr="001C35FA" w:rsidRDefault="00481094" w:rsidP="004F76E2">
      <w:r w:rsidRPr="001C35FA">
        <w:t xml:space="preserve">The buyout firm has traditionally been a firm with the ability to generate large cash flows, but with few net present value </w:t>
      </w:r>
      <w:r w:rsidR="0035007E" w:rsidRPr="001C35FA">
        <w:t>(</w:t>
      </w:r>
      <w:r w:rsidRPr="001C35FA">
        <w:t>NPV</w:t>
      </w:r>
      <w:r w:rsidR="001F199C" w:rsidRPr="001C35FA">
        <w:t>)</w:t>
      </w:r>
      <w:r w:rsidRPr="001C35FA">
        <w:t xml:space="preserve"> positive investment opportunities. Opler and Titman</w:t>
      </w:r>
      <w:r w:rsidR="00DD26EB">
        <w:t xml:space="preserve"> (</w:t>
      </w:r>
      <w:r w:rsidRPr="001C35FA">
        <w:t>1993</w:t>
      </w:r>
      <w:r w:rsidR="00DD26EB">
        <w:t>)</w:t>
      </w:r>
      <w:r w:rsidRPr="001C35FA">
        <w:t xml:space="preserve"> reported that buyout target firms are more diversified than peers. Conversely, firms with expected high costs for financial distress are unlikely targets, e.g. high CAPEX industries and R&amp;D intensive sectors. Puche, Braun, and Achleitner</w:t>
      </w:r>
      <w:r w:rsidR="00F66EF8" w:rsidRPr="001C35FA">
        <w:t xml:space="preserve">, </w:t>
      </w:r>
      <w:r w:rsidRPr="001C35FA">
        <w:t>201</w:t>
      </w:r>
      <w:r w:rsidR="0061436C">
        <w:t>5</w:t>
      </w:r>
      <w:r w:rsidR="001F199C" w:rsidRPr="001C35FA">
        <w:t>)</w:t>
      </w:r>
      <w:r w:rsidRPr="001C35FA">
        <w:t xml:space="preserve"> </w:t>
      </w:r>
      <w:r w:rsidR="0036008B" w:rsidRPr="001C35FA">
        <w:t>report</w:t>
      </w:r>
      <w:r w:rsidRPr="001C35FA">
        <w:t xml:space="preserve"> that value creation </w:t>
      </w:r>
      <w:r w:rsidR="00451CEA" w:rsidRPr="001C35FA">
        <w:t xml:space="preserve">has been the highest in </w:t>
      </w:r>
      <w:r w:rsidRPr="001C35FA">
        <w:t>in</w:t>
      </w:r>
      <w:r w:rsidR="00451CEA" w:rsidRPr="001C35FA">
        <w:t>dustrials and consumer services, while the</w:t>
      </w:r>
      <w:r w:rsidRPr="001C35FA">
        <w:t xml:space="preserve"> lowest in technology companies. </w:t>
      </w:r>
    </w:p>
    <w:p w14:paraId="12EFB635" w14:textId="4F679C7F" w:rsidR="00481094" w:rsidRPr="001C35FA" w:rsidRDefault="00481094" w:rsidP="004A56BE">
      <w:r w:rsidRPr="001C35FA">
        <w:t xml:space="preserve">Delving deeper into the attributes reveals that management buyouts have had higher cash flows as a percentage of sales than peers prior to the buyout, alongside lower levels of receivables to sales, and have been the object of more incidences of buyout speculation </w:t>
      </w:r>
      <w:r w:rsidR="0035007E" w:rsidRPr="001C35FA">
        <w:t>(</w:t>
      </w:r>
      <w:r w:rsidRPr="001C35FA">
        <w:t>Singh</w:t>
      </w:r>
      <w:r w:rsidR="00F66EF8" w:rsidRPr="001C35FA">
        <w:t xml:space="preserve">, </w:t>
      </w:r>
      <w:r w:rsidR="00595C0F" w:rsidRPr="001C35FA">
        <w:t>1</w:t>
      </w:r>
      <w:r w:rsidRPr="001C35FA">
        <w:t>990</w:t>
      </w:r>
      <w:r w:rsidR="001F199C" w:rsidRPr="001C35FA">
        <w:t>)</w:t>
      </w:r>
      <w:r w:rsidRPr="001C35FA">
        <w:t>. With regards to target firms for public-to-private transactions, Masulis and Thomas</w:t>
      </w:r>
      <w:r w:rsidR="00DD26EB">
        <w:t xml:space="preserve"> (</w:t>
      </w:r>
      <w:r w:rsidRPr="001C35FA">
        <w:t>2009</w:t>
      </w:r>
      <w:r w:rsidR="00DD26EB">
        <w:t>)</w:t>
      </w:r>
      <w:r w:rsidRPr="001C35FA">
        <w:t xml:space="preserve"> report that these are likely to have a diffused ownership base, low levels of management shareholdings, performance insensitive com</w:t>
      </w:r>
      <w:r w:rsidR="00791E85" w:rsidRPr="001C35FA">
        <w:t xml:space="preserve">pensation plans, </w:t>
      </w:r>
      <w:r w:rsidRPr="001C35FA">
        <w:t xml:space="preserve">deficient board oversight and control, and </w:t>
      </w:r>
      <w:r w:rsidR="00791E85" w:rsidRPr="001C35FA">
        <w:t xml:space="preserve">finally </w:t>
      </w:r>
      <w:r w:rsidR="00451CEA" w:rsidRPr="001C35FA">
        <w:t>exhibit underperformance.</w:t>
      </w:r>
    </w:p>
    <w:p w14:paraId="112DC7E7" w14:textId="54EBA414" w:rsidR="00481094" w:rsidRPr="006065C2" w:rsidRDefault="005A2D2A" w:rsidP="00C92DB7">
      <w:pPr>
        <w:pStyle w:val="Heading2"/>
      </w:pPr>
      <w:r>
        <w:rPr>
          <w:i/>
        </w:rPr>
        <w:t xml:space="preserve"> </w:t>
      </w:r>
      <w:r w:rsidR="008C31C9" w:rsidRPr="00CF7500">
        <w:t>Uncovering the Business Potential</w:t>
      </w:r>
    </w:p>
    <w:p w14:paraId="245AA8AF" w14:textId="77C606A4" w:rsidR="00481094" w:rsidRPr="001C35FA" w:rsidRDefault="00206CB8" w:rsidP="004F76E2">
      <w:r w:rsidRPr="001C35FA">
        <w:t>T</w:t>
      </w:r>
      <w:r w:rsidR="00481094" w:rsidRPr="001C35FA">
        <w:t>he pauc</w:t>
      </w:r>
      <w:r w:rsidRPr="001C35FA">
        <w:t>ity of ideal target firm</w:t>
      </w:r>
      <w:r w:rsidR="00041E39" w:rsidRPr="001C35FA">
        <w:t>s</w:t>
      </w:r>
      <w:r w:rsidRPr="001C35FA">
        <w:t xml:space="preserve"> has forced the industry</w:t>
      </w:r>
      <w:r w:rsidR="00481094" w:rsidRPr="001C35FA">
        <w:t xml:space="preserve"> to make trade-offs and </w:t>
      </w:r>
      <w:r w:rsidRPr="001C35FA">
        <w:t>reconsider</w:t>
      </w:r>
      <w:r w:rsidR="00481094" w:rsidRPr="001C35FA">
        <w:t xml:space="preserve"> </w:t>
      </w:r>
      <w:r w:rsidRPr="001C35FA">
        <w:t xml:space="preserve">the </w:t>
      </w:r>
      <w:r w:rsidR="00481094" w:rsidRPr="001C35FA">
        <w:t>target criteria</w:t>
      </w:r>
      <w:r w:rsidRPr="001C35FA">
        <w:t xml:space="preserve"> since the 1990s</w:t>
      </w:r>
      <w:r w:rsidR="007703C9" w:rsidRPr="001C35FA">
        <w:t>, one important aspect of which as we have noted is the growth in secondary buyouts</w:t>
      </w:r>
      <w:r w:rsidR="00481094" w:rsidRPr="001C35FA">
        <w:t xml:space="preserve">. </w:t>
      </w:r>
      <w:r w:rsidRPr="001C35FA">
        <w:t>However, instead of compromising on the target firms, the approach can instead be to ch</w:t>
      </w:r>
      <w:r w:rsidR="00041E39" w:rsidRPr="001C35FA">
        <w:t>o</w:t>
      </w:r>
      <w:r w:rsidRPr="001C35FA">
        <w:t>ose</w:t>
      </w:r>
      <w:r w:rsidR="00481094" w:rsidRPr="001C35FA">
        <w:t xml:space="preserve"> atypical </w:t>
      </w:r>
      <w:r w:rsidRPr="001C35FA">
        <w:t xml:space="preserve">targets that at closer examination prove to be </w:t>
      </w:r>
      <w:r w:rsidR="00E02ABE">
        <w:t>interesting</w:t>
      </w:r>
      <w:r w:rsidRPr="001C35FA">
        <w:t>. For instance, a</w:t>
      </w:r>
      <w:r w:rsidR="00481094" w:rsidRPr="001C35FA">
        <w:t xml:space="preserve"> business case within a </w:t>
      </w:r>
      <w:r w:rsidRPr="001C35FA">
        <w:t xml:space="preserve">highly cyclical industry can actually </w:t>
      </w:r>
      <w:r w:rsidR="00481094" w:rsidRPr="001C35FA">
        <w:t xml:space="preserve">be an outstanding if the </w:t>
      </w:r>
      <w:r w:rsidRPr="001C35FA">
        <w:t xml:space="preserve">business </w:t>
      </w:r>
      <w:r w:rsidR="00481094" w:rsidRPr="001C35FA">
        <w:t xml:space="preserve">cycle is in a trough. Correspondingly, a business case in an industry characterized by high capital expenditures, i.e. an unconventional buyout target, can be opportune if it is well invested. </w:t>
      </w:r>
      <w:r w:rsidRPr="001C35FA">
        <w:t xml:space="preserve">An untraditional target can mean less bidding competition, which result in an attractive valuation. </w:t>
      </w:r>
      <w:r w:rsidR="00481094" w:rsidRPr="001C35FA">
        <w:t xml:space="preserve">At the core of this expertise </w:t>
      </w:r>
      <w:r w:rsidR="00D559E0">
        <w:t>may be</w:t>
      </w:r>
      <w:r w:rsidR="00D559E0" w:rsidRPr="001C35FA">
        <w:t xml:space="preserve"> </w:t>
      </w:r>
      <w:r w:rsidR="00481094" w:rsidRPr="001C35FA">
        <w:t xml:space="preserve">the willingness to discard </w:t>
      </w:r>
      <w:r w:rsidRPr="001C35FA">
        <w:t xml:space="preserve">the initial impression and </w:t>
      </w:r>
      <w:r w:rsidR="00481094" w:rsidRPr="001C35FA">
        <w:t xml:space="preserve">simple decision heuristics </w:t>
      </w:r>
      <w:r w:rsidR="00B87444">
        <w:t xml:space="preserve">in accordance </w:t>
      </w:r>
      <w:r w:rsidR="00833567">
        <w:t>with</w:t>
      </w:r>
      <w:r w:rsidR="00B87444">
        <w:t xml:space="preserve"> </w:t>
      </w:r>
      <w:r w:rsidR="00042BB6">
        <w:t>research from</w:t>
      </w:r>
      <w:r w:rsidR="00B87444">
        <w:t xml:space="preserve"> </w:t>
      </w:r>
      <w:r w:rsidR="00042BB6">
        <w:t>the</w:t>
      </w:r>
      <w:r w:rsidR="00B87444">
        <w:t xml:space="preserve"> </w:t>
      </w:r>
      <w:r w:rsidR="00B87444" w:rsidRPr="00CF7500">
        <w:rPr>
          <w:i/>
        </w:rPr>
        <w:t>dual process theory</w:t>
      </w:r>
      <w:r w:rsidR="001D3819">
        <w:t xml:space="preserve"> </w:t>
      </w:r>
      <w:r w:rsidR="003219E1">
        <w:t xml:space="preserve">(see </w:t>
      </w:r>
      <w:r w:rsidR="00154009">
        <w:t xml:space="preserve">e.g. Kahneman, 2011) </w:t>
      </w:r>
      <w:r w:rsidRPr="001C35FA">
        <w:t>in order to accurately</w:t>
      </w:r>
      <w:r w:rsidR="00481094" w:rsidRPr="001C35FA">
        <w:t xml:space="preserve"> identify the innate business potential of </w:t>
      </w:r>
      <w:r w:rsidRPr="001C35FA">
        <w:t>a</w:t>
      </w:r>
      <w:r w:rsidR="00481094" w:rsidRPr="001C35FA">
        <w:t xml:space="preserve"> prospect.</w:t>
      </w:r>
    </w:p>
    <w:p w14:paraId="45060B27" w14:textId="01676B3D" w:rsidR="00481094" w:rsidRPr="001C35FA" w:rsidRDefault="00971D29">
      <w:r>
        <w:t>A</w:t>
      </w:r>
      <w:r w:rsidR="00B94089">
        <w:t xml:space="preserve">n important </w:t>
      </w:r>
      <w:r w:rsidR="00D106DD">
        <w:t xml:space="preserve">research question </w:t>
      </w:r>
      <w:r w:rsidR="00BA1A64">
        <w:t>since</w:t>
      </w:r>
      <w:r w:rsidR="00BA1A64" w:rsidRPr="001C35FA">
        <w:t xml:space="preserve"> </w:t>
      </w:r>
      <w:r w:rsidR="00481094" w:rsidRPr="001C35FA">
        <w:t>the mid-19</w:t>
      </w:r>
      <w:r w:rsidR="00C450FA">
        <w:t>7</w:t>
      </w:r>
      <w:r w:rsidR="00481094" w:rsidRPr="001C35FA">
        <w:t xml:space="preserve">0s </w:t>
      </w:r>
      <w:r w:rsidR="00D106DD">
        <w:t xml:space="preserve">has been whether </w:t>
      </w:r>
      <w:r w:rsidR="00B94089">
        <w:t xml:space="preserve">underperforming </w:t>
      </w:r>
      <w:r w:rsidR="00D106DD">
        <w:t xml:space="preserve">firms are </w:t>
      </w:r>
      <w:r w:rsidR="009F46DE">
        <w:t xml:space="preserve">typical </w:t>
      </w:r>
      <w:r w:rsidR="00D106DD" w:rsidRPr="001C35FA">
        <w:t>buyout targets</w:t>
      </w:r>
      <w:r w:rsidR="00D106DD">
        <w:t xml:space="preserve"> </w:t>
      </w:r>
      <w:r w:rsidR="00C450FA">
        <w:t>(Jensen and Meckling, 1976</w:t>
      </w:r>
      <w:r w:rsidR="009D0731">
        <w:t xml:space="preserve">; </w:t>
      </w:r>
      <w:r w:rsidR="009D0731" w:rsidRPr="009D0731">
        <w:t>Rumelt, 1982</w:t>
      </w:r>
      <w:r w:rsidR="00C01571">
        <w:t xml:space="preserve">; </w:t>
      </w:r>
      <w:r w:rsidR="00C01571" w:rsidRPr="00C01571">
        <w:t xml:space="preserve">Fox, and </w:t>
      </w:r>
      <w:r w:rsidR="00C01571">
        <w:t>Marcus,</w:t>
      </w:r>
      <w:r w:rsidR="00C01571" w:rsidRPr="00C01571">
        <w:t xml:space="preserve"> 1992</w:t>
      </w:r>
      <w:r w:rsidR="0082675C">
        <w:t>)</w:t>
      </w:r>
      <w:r w:rsidR="00481094" w:rsidRPr="001C35FA">
        <w:t>. Th</w:t>
      </w:r>
      <w:r w:rsidR="0082675C">
        <w:t xml:space="preserve">e </w:t>
      </w:r>
      <w:r w:rsidR="008C31C9" w:rsidRPr="00CF7500">
        <w:rPr>
          <w:i/>
        </w:rPr>
        <w:t>un</w:t>
      </w:r>
      <w:r w:rsidR="0082675C">
        <w:rPr>
          <w:i/>
        </w:rPr>
        <w:t>d</w:t>
      </w:r>
      <w:r w:rsidR="008C31C9" w:rsidRPr="00CF7500">
        <w:rPr>
          <w:i/>
        </w:rPr>
        <w:t>erperformance hypothesis</w:t>
      </w:r>
      <w:r w:rsidR="00481094" w:rsidRPr="001C35FA">
        <w:t xml:space="preserve"> suggested </w:t>
      </w:r>
      <w:r w:rsidR="0082675C">
        <w:t xml:space="preserve">the existence of </w:t>
      </w:r>
      <w:r w:rsidR="00481094" w:rsidRPr="001C35FA">
        <w:t xml:space="preserve">a market anomaly that could not be entirely explained with either the </w:t>
      </w:r>
      <w:r w:rsidR="00481094" w:rsidRPr="001C35FA">
        <w:rPr>
          <w:i/>
        </w:rPr>
        <w:t>free cash flow hypothesis</w:t>
      </w:r>
      <w:r w:rsidR="00481094" w:rsidRPr="001C35FA">
        <w:t xml:space="preserve"> or the </w:t>
      </w:r>
      <w:r w:rsidR="00481094" w:rsidRPr="001C35FA">
        <w:rPr>
          <w:i/>
        </w:rPr>
        <w:t>private information hypotheses</w:t>
      </w:r>
      <w:r w:rsidR="00481094" w:rsidRPr="001C35FA">
        <w:t xml:space="preserve"> </w:t>
      </w:r>
      <w:r w:rsidR="0035007E" w:rsidRPr="001C35FA">
        <w:t>(</w:t>
      </w:r>
      <w:r w:rsidR="00481094" w:rsidRPr="001C35FA">
        <w:t>Nikoskelainen</w:t>
      </w:r>
      <w:r w:rsidR="00F66EF8" w:rsidRPr="001C35FA">
        <w:t xml:space="preserve">, </w:t>
      </w:r>
      <w:r w:rsidR="00595C0F" w:rsidRPr="001C35FA">
        <w:t>2</w:t>
      </w:r>
      <w:r w:rsidR="00481094" w:rsidRPr="001C35FA">
        <w:t>006</w:t>
      </w:r>
      <w:r w:rsidR="001F199C" w:rsidRPr="001C35FA">
        <w:t>)</w:t>
      </w:r>
      <w:r w:rsidR="00481094" w:rsidRPr="001C35FA">
        <w:t xml:space="preserve">. </w:t>
      </w:r>
      <w:r w:rsidR="00E34644">
        <w:t>An underperforming</w:t>
      </w:r>
      <w:r w:rsidR="00E34644" w:rsidRPr="00E34644">
        <w:t xml:space="preserve"> </w:t>
      </w:r>
      <w:r w:rsidR="00E6392C">
        <w:t>LBO target company</w:t>
      </w:r>
      <w:r w:rsidR="00E34644">
        <w:t xml:space="preserve"> could be</w:t>
      </w:r>
      <w:r w:rsidR="00E6392C">
        <w:t xml:space="preserve"> identified</w:t>
      </w:r>
      <w:r w:rsidR="00E34644" w:rsidRPr="00E34644">
        <w:t xml:space="preserve"> if it generate</w:t>
      </w:r>
      <w:r w:rsidR="00E6392C">
        <w:t>d</w:t>
      </w:r>
      <w:r w:rsidR="00E34644" w:rsidRPr="00E34644">
        <w:t xml:space="preserve"> </w:t>
      </w:r>
      <w:r w:rsidR="00E6392C">
        <w:t>sufficient cash flows</w:t>
      </w:r>
      <w:r w:rsidR="00877494">
        <w:t xml:space="preserve">, but had a </w:t>
      </w:r>
      <w:r w:rsidR="00E6392C">
        <w:t>lower Tobin’s Q</w:t>
      </w:r>
      <w:r w:rsidR="00E34644" w:rsidRPr="00E34644">
        <w:t xml:space="preserve"> than its peers</w:t>
      </w:r>
      <w:r w:rsidR="00877494">
        <w:t>, and t</w:t>
      </w:r>
      <w:r w:rsidR="00E6392C">
        <w:t>he reasons for the underperformance could often be traced to the</w:t>
      </w:r>
      <w:r w:rsidR="00877494">
        <w:t xml:space="preserve"> management </w:t>
      </w:r>
      <w:r w:rsidR="00877494" w:rsidRPr="001C35FA">
        <w:t>(Nikoskelainen, 2006)</w:t>
      </w:r>
      <w:r w:rsidR="004F604A">
        <w:t xml:space="preserve">. </w:t>
      </w:r>
      <w:r w:rsidR="007E76E5">
        <w:t>Management may be honest but i</w:t>
      </w:r>
      <w:r w:rsidR="007E76E5" w:rsidRPr="007E76E5">
        <w:t>ncompetent</w:t>
      </w:r>
      <w:r w:rsidR="00450EC8">
        <w:t xml:space="preserve"> (Hendry, 2002), making mistakes</w:t>
      </w:r>
      <w:r w:rsidR="007E76E5" w:rsidRPr="007E76E5">
        <w:t xml:space="preserve"> or </w:t>
      </w:r>
      <w:r w:rsidR="00450EC8">
        <w:t xml:space="preserve">failing to address </w:t>
      </w:r>
      <w:r w:rsidR="007E76E5" w:rsidRPr="007E76E5">
        <w:t>organi</w:t>
      </w:r>
      <w:r w:rsidR="007E76E5">
        <w:t>z</w:t>
      </w:r>
      <w:r w:rsidR="007E76E5" w:rsidRPr="007E76E5">
        <w:t>ational problems le</w:t>
      </w:r>
      <w:r w:rsidR="00450EC8">
        <w:t>a</w:t>
      </w:r>
      <w:r w:rsidR="007E76E5" w:rsidRPr="007E76E5">
        <w:t>d</w:t>
      </w:r>
      <w:r w:rsidR="00450EC8">
        <w:t>ing</w:t>
      </w:r>
      <w:r w:rsidR="007E76E5" w:rsidRPr="007E76E5">
        <w:t xml:space="preserve"> to inefficiencies and unoptimi</w:t>
      </w:r>
      <w:r w:rsidR="00450EC8">
        <w:t>z</w:t>
      </w:r>
      <w:r w:rsidR="007E76E5" w:rsidRPr="007E76E5">
        <w:t xml:space="preserve">ed value destroying strategic actions. </w:t>
      </w:r>
      <w:r w:rsidR="004F604A">
        <w:t xml:space="preserve">In his study, </w:t>
      </w:r>
      <w:r w:rsidR="00481094" w:rsidRPr="001C35FA">
        <w:t xml:space="preserve">Nikoskelainen </w:t>
      </w:r>
      <w:r w:rsidR="002F479A" w:rsidRPr="001C35FA">
        <w:t>(</w:t>
      </w:r>
      <w:r w:rsidR="00481094" w:rsidRPr="001C35FA">
        <w:t>2006</w:t>
      </w:r>
      <w:r w:rsidR="002F479A" w:rsidRPr="001C35FA">
        <w:t>)</w:t>
      </w:r>
      <w:r w:rsidR="00481094" w:rsidRPr="001C35FA">
        <w:t xml:space="preserve"> </w:t>
      </w:r>
      <w:r w:rsidR="008664B2" w:rsidRPr="001C35FA">
        <w:t>find</w:t>
      </w:r>
      <w:r w:rsidR="007E76E5">
        <w:t>s</w:t>
      </w:r>
      <w:r w:rsidR="00296C7F" w:rsidRPr="001C35FA">
        <w:t xml:space="preserve"> support for the</w:t>
      </w:r>
      <w:r w:rsidR="00481094" w:rsidRPr="001C35FA">
        <w:t xml:space="preserve"> underperformance hypothesis in target firms as compared to industry peers</w:t>
      </w:r>
      <w:r w:rsidR="00296C7F" w:rsidRPr="001C35FA">
        <w:t xml:space="preserve"> </w:t>
      </w:r>
      <w:r w:rsidR="008664B2" w:rsidRPr="001C35FA">
        <w:t xml:space="preserve">by </w:t>
      </w:r>
      <w:r w:rsidR="00481094" w:rsidRPr="001C35FA">
        <w:t>lower levels of gearing, EBITDA margin</w:t>
      </w:r>
      <w:r w:rsidR="00296C7F" w:rsidRPr="001C35FA">
        <w:t xml:space="preserve">s, and a </w:t>
      </w:r>
      <w:r w:rsidR="008664B2" w:rsidRPr="001C35FA">
        <w:t>more volatile cash flow</w:t>
      </w:r>
      <w:r w:rsidR="008641F0" w:rsidRPr="001C35FA">
        <w:t>.</w:t>
      </w:r>
      <w:r w:rsidR="004F604A">
        <w:t xml:space="preserve"> A low level of gearing can thus signal that the company is unable to raise the funds for an optimal capital structure.</w:t>
      </w:r>
    </w:p>
    <w:p w14:paraId="13E6BF3F" w14:textId="77777777" w:rsidR="00676F76" w:rsidRDefault="008C31C9" w:rsidP="00CF7500">
      <w:pPr>
        <w:pStyle w:val="Heading2"/>
      </w:pPr>
      <w:r w:rsidRPr="00CF7500">
        <w:t>Detecting Nascent Market Trends: Multiple Expansion</w:t>
      </w:r>
    </w:p>
    <w:p w14:paraId="164392D4" w14:textId="0B722F90" w:rsidR="00481094" w:rsidRPr="001C35FA" w:rsidRDefault="00481094" w:rsidP="004F76E2">
      <w:r w:rsidRPr="001C35FA">
        <w:t xml:space="preserve">Practitioners often refer to an overall appreciation in value of business sectors and industries as multiple riding. Specifically, this refers to the multiple expansion or increase of the valuation multiple, where the multiple denotes </w:t>
      </w:r>
      <w:r w:rsidR="00944881" w:rsidRPr="001C35FA">
        <w:t>EV (Enterprise Value)</w:t>
      </w:r>
      <w:r w:rsidR="00944881">
        <w:t xml:space="preserve"> to</w:t>
      </w:r>
      <w:r w:rsidR="00944881" w:rsidRPr="001C35FA">
        <w:t xml:space="preserve"> </w:t>
      </w:r>
      <w:r w:rsidR="008641F0" w:rsidRPr="001C35FA">
        <w:t>EBIT or EBITDA</w:t>
      </w:r>
      <w:r w:rsidR="003F5BD6">
        <w:t xml:space="preserve"> (Corporate Finance Institute, 2018; </w:t>
      </w:r>
      <w:r w:rsidR="00EB5534">
        <w:t xml:space="preserve">Fraser-Sampson, 2010; </w:t>
      </w:r>
      <w:r w:rsidR="003F5BD6">
        <w:t>Gilligan and Wright, 2014)</w:t>
      </w:r>
      <w:r w:rsidRPr="001C35FA">
        <w:t>. However, an expanding market will not only increase the valuation multiple, but simultaneously increase top-line sales and EBITDA.</w:t>
      </w:r>
      <w:r w:rsidR="008641F0" w:rsidRPr="001C35FA">
        <w:t xml:space="preserve"> </w:t>
      </w:r>
      <w:r w:rsidRPr="001C35FA">
        <w:t>There are a number of common ways by which private equity firms can gain from multiple arbitrage. For instance, multiples typically vary for comparable firms among different countries. Mature industries tend to be valued at lower multiples than growth firms, despite having equal levels of profitability. Public and private firms are valued and traded at different multiples with a higher multiple conferred to listed firms. Larger firms tend to receive valuations at higher multiples than smaller firms within the same industry. Furthermore, multiples tend to fluctuate in accordance with the business cycle. Finally, industry growth or improved future prospects both tend to increase the firm multiples.</w:t>
      </w:r>
    </w:p>
    <w:p w14:paraId="396498AC" w14:textId="386F8A5E" w:rsidR="00481094" w:rsidRPr="001C35FA" w:rsidRDefault="00481094" w:rsidP="004F76E2">
      <w:r w:rsidRPr="001C35FA">
        <w:t>While all of these factors influence multiples, two factors in particular rely on having superior market expertise: industry growth</w:t>
      </w:r>
      <w:r w:rsidR="00470DC9" w:rsidRPr="001C35FA">
        <w:t xml:space="preserve"> and business cycles. While business cycles </w:t>
      </w:r>
      <w:r w:rsidR="00DA6C76" w:rsidRPr="001C35FA">
        <w:t>are</w:t>
      </w:r>
      <w:r w:rsidRPr="001C35FA">
        <w:t xml:space="preserve"> discussed </w:t>
      </w:r>
      <w:r w:rsidR="00DA6C76" w:rsidRPr="001C35FA">
        <w:t xml:space="preserve">in a separate </w:t>
      </w:r>
      <w:r w:rsidR="007E76E5">
        <w:t>section</w:t>
      </w:r>
      <w:r w:rsidRPr="001C35FA">
        <w:t xml:space="preserve">, </w:t>
      </w:r>
      <w:r w:rsidR="00470DC9" w:rsidRPr="001C35FA">
        <w:t xml:space="preserve">superior market expertise on industry growth </w:t>
      </w:r>
      <w:r w:rsidR="00DA6C76" w:rsidRPr="001C35FA">
        <w:t>fundamentally means</w:t>
      </w:r>
      <w:r w:rsidRPr="001C35FA">
        <w:t xml:space="preserve"> predicting long-term industry trends. The old maxim </w:t>
      </w:r>
      <w:r w:rsidR="00DA6C76" w:rsidRPr="001C35FA">
        <w:rPr>
          <w:i/>
        </w:rPr>
        <w:t>“</w:t>
      </w:r>
      <w:r w:rsidRPr="001C35FA">
        <w:rPr>
          <w:i/>
        </w:rPr>
        <w:t>a rising tide lifts all boats</w:t>
      </w:r>
      <w:r w:rsidR="00DA6C76" w:rsidRPr="001C35FA">
        <w:rPr>
          <w:i/>
        </w:rPr>
        <w:t>”</w:t>
      </w:r>
      <w:r w:rsidRPr="001C35FA">
        <w:t xml:space="preserve"> is the guiding principle. </w:t>
      </w:r>
      <w:r w:rsidR="00DA6C76" w:rsidRPr="001C35FA">
        <w:t xml:space="preserve">Several studies have found </w:t>
      </w:r>
      <w:r w:rsidRPr="001C35FA">
        <w:t xml:space="preserve">that industry growth and GDP growth </w:t>
      </w:r>
      <w:r w:rsidR="00DA6C76" w:rsidRPr="001C35FA">
        <w:t xml:space="preserve">substantially </w:t>
      </w:r>
      <w:r w:rsidRPr="001C35FA">
        <w:t xml:space="preserve">affect buyout returns and the probability </w:t>
      </w:r>
      <w:r w:rsidR="00DA6C76" w:rsidRPr="001C35FA">
        <w:t>for</w:t>
      </w:r>
      <w:r w:rsidRPr="001C35FA">
        <w:t xml:space="preserve"> positive abnormal market returns </w:t>
      </w:r>
      <w:r w:rsidR="0035007E" w:rsidRPr="001C35FA">
        <w:t>(</w:t>
      </w:r>
      <w:r w:rsidR="00470DC9" w:rsidRPr="001C35FA">
        <w:t>Phalippou</w:t>
      </w:r>
      <w:r w:rsidR="008B1122" w:rsidRPr="001C35FA">
        <w:t xml:space="preserve"> and </w:t>
      </w:r>
      <w:r w:rsidR="00470DC9" w:rsidRPr="001C35FA">
        <w:t>Zollo</w:t>
      </w:r>
      <w:r w:rsidR="00F66EF8" w:rsidRPr="001C35FA">
        <w:t xml:space="preserve">, </w:t>
      </w:r>
      <w:r w:rsidR="00470DC9" w:rsidRPr="001C35FA">
        <w:t>2005a; Bergström et al.</w:t>
      </w:r>
      <w:r w:rsidR="00F66EF8" w:rsidRPr="001C35FA">
        <w:t xml:space="preserve">, </w:t>
      </w:r>
      <w:r w:rsidR="00470DC9" w:rsidRPr="001C35FA">
        <w:t xml:space="preserve">2007; </w:t>
      </w:r>
      <w:r w:rsidRPr="001C35FA">
        <w:t>Valkama et al.</w:t>
      </w:r>
      <w:r w:rsidR="00F66EF8" w:rsidRPr="001C35FA">
        <w:t xml:space="preserve">, </w:t>
      </w:r>
      <w:r w:rsidR="00595C0F" w:rsidRPr="001C35FA">
        <w:t>2</w:t>
      </w:r>
      <w:r w:rsidRPr="001C35FA">
        <w:t>01</w:t>
      </w:r>
      <w:r w:rsidR="007703C9" w:rsidRPr="001C35FA">
        <w:t>3</w:t>
      </w:r>
      <w:r w:rsidR="001F199C" w:rsidRPr="001C35FA">
        <w:t>)</w:t>
      </w:r>
      <w:r w:rsidRPr="001C35FA">
        <w:t xml:space="preserve">. Achleitner et al. </w:t>
      </w:r>
      <w:r w:rsidR="002F479A" w:rsidRPr="001C35FA">
        <w:t>(</w:t>
      </w:r>
      <w:r w:rsidRPr="001C35FA">
        <w:t>2011</w:t>
      </w:r>
      <w:r w:rsidR="002F479A" w:rsidRPr="001C35FA">
        <w:t>)</w:t>
      </w:r>
      <w:r w:rsidRPr="001C35FA">
        <w:t xml:space="preserve"> report that EBITDA multiple expansion </w:t>
      </w:r>
      <w:r w:rsidR="00470DC9" w:rsidRPr="001C35FA">
        <w:t xml:space="preserve">– </w:t>
      </w:r>
      <w:r w:rsidRPr="001C35FA">
        <w:t>aside from leverage and operational improvements</w:t>
      </w:r>
      <w:r w:rsidR="00470DC9" w:rsidRPr="001C35FA">
        <w:t xml:space="preserve"> –</w:t>
      </w:r>
      <w:r w:rsidR="00DA6C76" w:rsidRPr="001C35FA">
        <w:t xml:space="preserve"> i</w:t>
      </w:r>
      <w:r w:rsidRPr="001C35FA">
        <w:t>s fundamental to explaining equity returns.</w:t>
      </w:r>
    </w:p>
    <w:p w14:paraId="6341C72A" w14:textId="77777777" w:rsidR="00676F76" w:rsidRDefault="008C31C9" w:rsidP="00CF7500">
      <w:pPr>
        <w:pStyle w:val="Heading2"/>
      </w:pPr>
      <w:r w:rsidRPr="00CF7500">
        <w:t>Timing the Business Cycles</w:t>
      </w:r>
    </w:p>
    <w:p w14:paraId="6D827770" w14:textId="1C9D5D08" w:rsidR="00481094" w:rsidRPr="001C35FA" w:rsidRDefault="00481094" w:rsidP="004F76E2">
      <w:r w:rsidRPr="001C35FA">
        <w:t>A number of studies have examined whether investors can time market entry and exit so as to achieve gains from business cycles, e.g. return variations of fund vintage years, variations in the capital influx to the PE market, the cyclicality of PE firm returns, and variations in industry sensitivity to business cycles.</w:t>
      </w:r>
      <w:r w:rsidR="00E638B0" w:rsidRPr="001C35FA">
        <w:t xml:space="preserve"> </w:t>
      </w:r>
      <w:r w:rsidRPr="001C35FA">
        <w:t xml:space="preserve">Certain industries such as chemicals, energy, and telecom display substantial variations in the gross IRR across fund vintage years </w:t>
      </w:r>
      <w:r w:rsidR="0035007E" w:rsidRPr="001C35FA">
        <w:t>(</w:t>
      </w:r>
      <w:r w:rsidRPr="001C35FA">
        <w:t>Cornelius et al.</w:t>
      </w:r>
      <w:r w:rsidR="00F66EF8" w:rsidRPr="001C35FA">
        <w:t xml:space="preserve">, </w:t>
      </w:r>
      <w:r w:rsidR="00595C0F" w:rsidRPr="001C35FA">
        <w:t>2</w:t>
      </w:r>
      <w:r w:rsidRPr="001C35FA">
        <w:t>009</w:t>
      </w:r>
      <w:r w:rsidR="001F199C" w:rsidRPr="001C35FA">
        <w:t>)</w:t>
      </w:r>
      <w:r w:rsidR="00910536" w:rsidRPr="001C35FA">
        <w:t>.</w:t>
      </w:r>
    </w:p>
    <w:p w14:paraId="412CF415" w14:textId="049ED4E9" w:rsidR="00481094" w:rsidRPr="001C35FA" w:rsidRDefault="00481094" w:rsidP="004F76E2">
      <w:r w:rsidRPr="001C35FA">
        <w:t xml:space="preserve">The vintage year return of private equity funds is associated with the business cycle of the private equity industry </w:t>
      </w:r>
      <w:r w:rsidR="0035007E" w:rsidRPr="001C35FA">
        <w:t>(</w:t>
      </w:r>
      <w:r w:rsidRPr="001C35FA">
        <w:t>Kaplan</w:t>
      </w:r>
      <w:r w:rsidR="008B1122" w:rsidRPr="001C35FA">
        <w:t xml:space="preserve"> and </w:t>
      </w:r>
      <w:r w:rsidRPr="001C35FA">
        <w:t>Schoar</w:t>
      </w:r>
      <w:r w:rsidR="00F66EF8" w:rsidRPr="001C35FA">
        <w:t xml:space="preserve">, </w:t>
      </w:r>
      <w:r w:rsidR="00595C0F" w:rsidRPr="001C35FA">
        <w:t>2</w:t>
      </w:r>
      <w:r w:rsidRPr="001C35FA">
        <w:t>005</w:t>
      </w:r>
      <w:r w:rsidR="001F199C" w:rsidRPr="001C35FA">
        <w:t>)</w:t>
      </w:r>
      <w:r w:rsidRPr="001C35FA">
        <w:t xml:space="preserve">. Explicitly, the vintage year performance variation appears to correspond to the availability of inexpensive debt financing, which drives up the valuation multiples for buyout firms to unsustainable levels. Consequently, the vintage year returns are likely to be low for funds raised in boom years </w:t>
      </w:r>
      <w:r w:rsidR="0035007E" w:rsidRPr="001C35FA">
        <w:t>(</w:t>
      </w:r>
      <w:r w:rsidRPr="001C35FA">
        <w:t>Kaplan</w:t>
      </w:r>
      <w:r w:rsidR="008B1122" w:rsidRPr="001C35FA">
        <w:t xml:space="preserve"> and </w:t>
      </w:r>
      <w:r w:rsidRPr="001C35FA">
        <w:t>Schoar</w:t>
      </w:r>
      <w:r w:rsidR="00F66EF8" w:rsidRPr="001C35FA">
        <w:t xml:space="preserve">, </w:t>
      </w:r>
      <w:r w:rsidR="00595C0F" w:rsidRPr="001C35FA">
        <w:t>2</w:t>
      </w:r>
      <w:r w:rsidRPr="001C35FA">
        <w:t>005</w:t>
      </w:r>
      <w:r w:rsidR="00E2127C">
        <w:t xml:space="preserve">; </w:t>
      </w:r>
      <w:r w:rsidR="00E2127C" w:rsidRPr="001C35FA">
        <w:t>Chew, 2009</w:t>
      </w:r>
      <w:r w:rsidR="001F199C" w:rsidRPr="001C35FA">
        <w:t>)</w:t>
      </w:r>
      <w:r w:rsidRPr="001C35FA">
        <w:t xml:space="preserve">. From a practical standpoint this suggests that a useful indicator for investment timing would be to track the fraction of the capital allocation </w:t>
      </w:r>
      <w:r w:rsidR="00E2127C">
        <w:t xml:space="preserve">in PE compared to public equity </w:t>
      </w:r>
      <w:r w:rsidRPr="001C35FA">
        <w:t>and scale back</w:t>
      </w:r>
      <w:r w:rsidR="00E2127C">
        <w:t xml:space="preserve"> the investments of a PE firm during</w:t>
      </w:r>
      <w:r w:rsidR="00E2127C" w:rsidRPr="001C35FA">
        <w:t xml:space="preserve"> </w:t>
      </w:r>
      <w:r w:rsidRPr="001C35FA">
        <w:t>peak years.</w:t>
      </w:r>
    </w:p>
    <w:p w14:paraId="749C8EC9" w14:textId="41F85544" w:rsidR="00481094" w:rsidRPr="001C35FA" w:rsidRDefault="006A1C2C" w:rsidP="00806AD3">
      <w:r w:rsidRPr="001C35FA">
        <w:t>With</w:t>
      </w:r>
      <w:r w:rsidR="00481094" w:rsidRPr="001C35FA">
        <w:t xml:space="preserve"> </w:t>
      </w:r>
      <w:r w:rsidRPr="001C35FA">
        <w:t xml:space="preserve">regards to macroeconomic conditions, </w:t>
      </w:r>
      <w:r w:rsidR="00481094" w:rsidRPr="001C35FA">
        <w:t xml:space="preserve">both </w:t>
      </w:r>
      <w:r w:rsidRPr="001C35FA">
        <w:t>a high GDP growth rate</w:t>
      </w:r>
      <w:r w:rsidR="00481094" w:rsidRPr="001C35FA">
        <w:t xml:space="preserve"> and public stock market returns</w:t>
      </w:r>
      <w:r w:rsidRPr="001C35FA">
        <w:t xml:space="preserve"> at the time of the PE investment substantially improved fund performance </w:t>
      </w:r>
      <w:r w:rsidR="0035007E" w:rsidRPr="001C35FA">
        <w:t>(</w:t>
      </w:r>
      <w:r w:rsidR="00481094" w:rsidRPr="001C35FA">
        <w:t>Phalippou</w:t>
      </w:r>
      <w:r w:rsidR="008B1122" w:rsidRPr="001C35FA">
        <w:t xml:space="preserve"> and </w:t>
      </w:r>
      <w:r w:rsidR="00481094" w:rsidRPr="001C35FA">
        <w:t>Zollo</w:t>
      </w:r>
      <w:r w:rsidR="00F66EF8" w:rsidRPr="001C35FA">
        <w:t xml:space="preserve">, </w:t>
      </w:r>
      <w:r w:rsidR="00595C0F" w:rsidRPr="001C35FA">
        <w:t>2</w:t>
      </w:r>
      <w:r w:rsidR="00481094" w:rsidRPr="001C35FA">
        <w:t>005b</w:t>
      </w:r>
      <w:r w:rsidR="001F199C" w:rsidRPr="001C35FA">
        <w:t>)</w:t>
      </w:r>
      <w:r w:rsidR="00481094" w:rsidRPr="001C35FA">
        <w:t xml:space="preserve">. </w:t>
      </w:r>
      <w:r w:rsidR="00806AD3" w:rsidRPr="001C35FA">
        <w:t>Moreover, low</w:t>
      </w:r>
      <w:r w:rsidR="00481094" w:rsidRPr="001C35FA">
        <w:t xml:space="preserve"> credit spreads </w:t>
      </w:r>
      <w:r w:rsidR="00806AD3" w:rsidRPr="001C35FA">
        <w:t>or</w:t>
      </w:r>
      <w:r w:rsidR="00481094" w:rsidRPr="001C35FA">
        <w:t xml:space="preserve"> corporate bond yields </w:t>
      </w:r>
      <w:r w:rsidR="00806AD3" w:rsidRPr="001C35FA">
        <w:t xml:space="preserve">at the time of the investment resulted in higher </w:t>
      </w:r>
      <w:r w:rsidR="00481094" w:rsidRPr="001C35FA">
        <w:t xml:space="preserve">fund performance </w:t>
      </w:r>
      <w:r w:rsidR="0035007E" w:rsidRPr="001C35FA">
        <w:t>(</w:t>
      </w:r>
      <w:r w:rsidR="00481094" w:rsidRPr="001C35FA">
        <w:t>Phalippou</w:t>
      </w:r>
      <w:r w:rsidR="008B1122" w:rsidRPr="001C35FA">
        <w:t xml:space="preserve"> and </w:t>
      </w:r>
      <w:r w:rsidR="00481094" w:rsidRPr="001C35FA">
        <w:t>Zollo</w:t>
      </w:r>
      <w:r w:rsidR="00F66EF8" w:rsidRPr="001C35FA">
        <w:t xml:space="preserve">, </w:t>
      </w:r>
      <w:r w:rsidR="00595C0F" w:rsidRPr="001C35FA">
        <w:t>2</w:t>
      </w:r>
      <w:r w:rsidR="00481094" w:rsidRPr="001C35FA">
        <w:t>005b</w:t>
      </w:r>
      <w:r w:rsidR="001F199C" w:rsidRPr="001C35FA">
        <w:t>)</w:t>
      </w:r>
      <w:r w:rsidR="00481094" w:rsidRPr="001C35FA">
        <w:t xml:space="preserve">. </w:t>
      </w:r>
      <w:r w:rsidR="00806AD3" w:rsidRPr="001C35FA">
        <w:t>Finally, Thomsen</w:t>
      </w:r>
      <w:r w:rsidR="008B1122" w:rsidRPr="001C35FA">
        <w:t xml:space="preserve"> and </w:t>
      </w:r>
      <w:r w:rsidR="00806AD3" w:rsidRPr="001C35FA">
        <w:t xml:space="preserve">Vinten </w:t>
      </w:r>
      <w:r w:rsidR="002F479A" w:rsidRPr="001C35FA">
        <w:t>(</w:t>
      </w:r>
      <w:r w:rsidR="00806AD3" w:rsidRPr="001C35FA">
        <w:t>2007</w:t>
      </w:r>
      <w:r w:rsidR="002F479A" w:rsidRPr="001C35FA">
        <w:t>)</w:t>
      </w:r>
      <w:r w:rsidR="00806AD3" w:rsidRPr="001C35FA">
        <w:t xml:space="preserve"> </w:t>
      </w:r>
      <w:r w:rsidR="00481094" w:rsidRPr="001C35FA">
        <w:t>found evidence of increased M&amp;A activity in bull markets at peak valuations, while LBOs and MBOs are relatively more likely in be</w:t>
      </w:r>
      <w:r w:rsidR="00806AD3" w:rsidRPr="001C35FA">
        <w:t>ar markets with low valuations.</w:t>
      </w:r>
    </w:p>
    <w:p w14:paraId="351EA7F6" w14:textId="6EEBD92F" w:rsidR="007703C9" w:rsidRPr="001C35FA" w:rsidRDefault="007703C9" w:rsidP="007703C9">
      <w:r w:rsidRPr="001C35FA">
        <w:t>Although there has been some debate about the nature of returns</w:t>
      </w:r>
      <w:r w:rsidR="00833567">
        <w:t>,</w:t>
      </w:r>
      <w:r w:rsidRPr="001C35FA">
        <w:t xml:space="preserve"> based on which dataset is used, recent evidence shows that as PE has become more competitive, persistence in outperformance has declined (Lerner, Schoar and Wongsunwai</w:t>
      </w:r>
      <w:r w:rsidR="00E63039">
        <w:t>,</w:t>
      </w:r>
      <w:r w:rsidRPr="001C35FA">
        <w:t xml:space="preserve"> 2007; Sensoy, Wang, and Weisbach</w:t>
      </w:r>
      <w:r w:rsidR="00E63039">
        <w:t>,</w:t>
      </w:r>
      <w:r w:rsidRPr="001C35FA">
        <w:t xml:space="preserve"> 2014; Braun, Jenkinsson, and Stoff</w:t>
      </w:r>
      <w:r w:rsidR="00E63039">
        <w:t>,</w:t>
      </w:r>
      <w:r w:rsidRPr="001C35FA">
        <w:t xml:space="preserve"> 2017).</w:t>
      </w:r>
    </w:p>
    <w:p w14:paraId="741E546B" w14:textId="77777777" w:rsidR="00676F76" w:rsidRDefault="008C31C9" w:rsidP="00CF7500">
      <w:pPr>
        <w:pStyle w:val="Heading2"/>
      </w:pPr>
      <w:r w:rsidRPr="00CF7500">
        <w:t>The Entry Transaction: Firm Valuation</w:t>
      </w:r>
    </w:p>
    <w:p w14:paraId="4A9974B9" w14:textId="59E2DAFF" w:rsidR="00481094" w:rsidRPr="001C35FA" w:rsidRDefault="00481094" w:rsidP="004F76E2">
      <w:r w:rsidRPr="001C35FA">
        <w:t xml:space="preserve">A critical aspect of firm valuation expertise consists in having models that accurately reflect the intrinsic value of a firm and its future business. The most common financial methods for valuing a firm include the discounted cash flow </w:t>
      </w:r>
      <w:r w:rsidR="0035007E" w:rsidRPr="001C35FA">
        <w:t>(</w:t>
      </w:r>
      <w:r w:rsidRPr="001C35FA">
        <w:t>DCF</w:t>
      </w:r>
      <w:r w:rsidR="001F199C" w:rsidRPr="001C35FA">
        <w:t>)</w:t>
      </w:r>
      <w:r w:rsidRPr="001C35FA">
        <w:t xml:space="preserve">, the adjusted present value </w:t>
      </w:r>
      <w:r w:rsidR="0035007E" w:rsidRPr="001C35FA">
        <w:t>(</w:t>
      </w:r>
      <w:r w:rsidRPr="001C35FA">
        <w:t>APV</w:t>
      </w:r>
      <w:r w:rsidR="001F199C" w:rsidRPr="001C35FA">
        <w:t>)</w:t>
      </w:r>
      <w:r w:rsidRPr="001C35FA">
        <w:t xml:space="preserve">, weighted average cost of capital </w:t>
      </w:r>
      <w:r w:rsidR="0035007E" w:rsidRPr="001C35FA">
        <w:t>(</w:t>
      </w:r>
      <w:r w:rsidRPr="001C35FA">
        <w:t>WACC</w:t>
      </w:r>
      <w:r w:rsidR="001F199C" w:rsidRPr="001C35FA">
        <w:t>)</w:t>
      </w:r>
      <w:r w:rsidRPr="001C35FA">
        <w:t xml:space="preserve">, and firm value multiples </w:t>
      </w:r>
      <w:r w:rsidR="0035007E" w:rsidRPr="001C35FA">
        <w:t>(</w:t>
      </w:r>
      <w:r w:rsidRPr="001C35FA">
        <w:t>Damodaran</w:t>
      </w:r>
      <w:r w:rsidR="00F66EF8" w:rsidRPr="001C35FA">
        <w:t xml:space="preserve">, </w:t>
      </w:r>
      <w:r w:rsidRPr="001C35FA">
        <w:t>2006</w:t>
      </w:r>
      <w:r w:rsidR="001F199C" w:rsidRPr="001C35FA">
        <w:t>)</w:t>
      </w:r>
      <w:r w:rsidR="00D15843" w:rsidRPr="001C35FA">
        <w:t>.</w:t>
      </w:r>
      <w:r w:rsidR="00E2127C">
        <w:t xml:space="preserve"> </w:t>
      </w:r>
      <w:r w:rsidR="00CF0C40">
        <w:t xml:space="preserve">Comparatively less common methods are </w:t>
      </w:r>
      <w:r w:rsidR="00E2127C" w:rsidRPr="00E2127C">
        <w:t>CFE (Cash Flow to Equity), EVA (Economic value added), and CAPM (Capital Asset Pricing Model).</w:t>
      </w:r>
    </w:p>
    <w:p w14:paraId="7C1FADC0" w14:textId="4F3C763D" w:rsidR="00481094" w:rsidRPr="001C35FA" w:rsidRDefault="00481094" w:rsidP="00A13EFA">
      <w:r w:rsidRPr="001C35FA">
        <w:t xml:space="preserve">When comparing the price levels for buyouts to those acquired through an M&amp;A, the evidence seems to support the view that PE firms pay less than competing acquirers. </w:t>
      </w:r>
      <w:r w:rsidR="002B581E" w:rsidRPr="001C35FA">
        <w:t>Several studies</w:t>
      </w:r>
      <w:r w:rsidRPr="001C35FA">
        <w:t xml:space="preserve"> report that in Public-to-Private </w:t>
      </w:r>
      <w:r w:rsidR="0035007E" w:rsidRPr="001C35FA">
        <w:t>(</w:t>
      </w:r>
      <w:r w:rsidRPr="001C35FA">
        <w:t>P2P</w:t>
      </w:r>
      <w:r w:rsidR="001F199C" w:rsidRPr="001C35FA">
        <w:t>)</w:t>
      </w:r>
      <w:r w:rsidRPr="001C35FA">
        <w:t xml:space="preserve"> transactions, existing shareholders receive a price premium </w:t>
      </w:r>
      <w:r w:rsidR="002B581E" w:rsidRPr="001C35FA">
        <w:t>that is between</w:t>
      </w:r>
      <w:r w:rsidRPr="001C35FA">
        <w:t xml:space="preserve"> </w:t>
      </w:r>
      <w:r w:rsidR="002B581E" w:rsidRPr="001C35FA">
        <w:t xml:space="preserve">20% to </w:t>
      </w:r>
      <w:r w:rsidRPr="001C35FA">
        <w:t xml:space="preserve">40% when acquired by PE firms </w:t>
      </w:r>
      <w:r w:rsidR="0035007E" w:rsidRPr="001C35FA">
        <w:t>(</w:t>
      </w:r>
      <w:r w:rsidRPr="001C35FA">
        <w:t>Kaplan</w:t>
      </w:r>
      <w:r w:rsidR="00F66EF8" w:rsidRPr="001C35FA">
        <w:t xml:space="preserve">, </w:t>
      </w:r>
      <w:r w:rsidR="00595C0F" w:rsidRPr="001C35FA">
        <w:t>1</w:t>
      </w:r>
      <w:r w:rsidRPr="001C35FA">
        <w:t>989b</w:t>
      </w:r>
      <w:r w:rsidR="0000761D" w:rsidRPr="001C35FA">
        <w:t xml:space="preserve">; </w:t>
      </w:r>
      <w:r w:rsidRPr="001C35FA">
        <w:t>Wright et al.</w:t>
      </w:r>
      <w:r w:rsidR="00F66EF8" w:rsidRPr="001C35FA">
        <w:t xml:space="preserve">, </w:t>
      </w:r>
      <w:r w:rsidR="00595C0F" w:rsidRPr="001C35FA">
        <w:t>2</w:t>
      </w:r>
      <w:r w:rsidRPr="001C35FA">
        <w:t>006</w:t>
      </w:r>
      <w:r w:rsidR="002B581E" w:rsidRPr="001C35FA">
        <w:t xml:space="preserve">; </w:t>
      </w:r>
      <w:r w:rsidRPr="001C35FA">
        <w:t>Bargeron, Schlingemann, Stulz,</w:t>
      </w:r>
      <w:r w:rsidR="008B1122" w:rsidRPr="001C35FA">
        <w:t xml:space="preserve"> and </w:t>
      </w:r>
      <w:r w:rsidRPr="001C35FA">
        <w:t>Zutter</w:t>
      </w:r>
      <w:r w:rsidR="00F66EF8" w:rsidRPr="001C35FA">
        <w:t xml:space="preserve">, </w:t>
      </w:r>
      <w:r w:rsidR="00595C0F" w:rsidRPr="001C35FA">
        <w:t>2</w:t>
      </w:r>
      <w:r w:rsidRPr="001C35FA">
        <w:t>008</w:t>
      </w:r>
      <w:r w:rsidR="001F199C" w:rsidRPr="001C35FA">
        <w:t>)</w:t>
      </w:r>
      <w:r w:rsidRPr="001C35FA">
        <w:t>. These results suggest private equity firms do pay a premium to shareholders, but one that is substantially less compared to the premium paid by public firms.</w:t>
      </w:r>
    </w:p>
    <w:p w14:paraId="6659A911" w14:textId="5E2420E0" w:rsidR="00481094" w:rsidRPr="001C35FA" w:rsidRDefault="00481094" w:rsidP="004F76E2">
      <w:r w:rsidRPr="001C35FA">
        <w:t xml:space="preserve">If we examine the mode of entry, we find that competitive auctions tend to maximize the acquisition price, which should affect buyout deal performance negatively. However, </w:t>
      </w:r>
      <w:r w:rsidR="002B581E" w:rsidRPr="001C35FA">
        <w:t xml:space="preserve">Loos </w:t>
      </w:r>
      <w:r w:rsidR="002F479A" w:rsidRPr="001C35FA">
        <w:t>(</w:t>
      </w:r>
      <w:r w:rsidR="002B581E" w:rsidRPr="001C35FA">
        <w:t>2006</w:t>
      </w:r>
      <w:r w:rsidR="002F479A" w:rsidRPr="001C35FA">
        <w:t>)</w:t>
      </w:r>
      <w:r w:rsidR="002B581E" w:rsidRPr="001C35FA">
        <w:t xml:space="preserve"> </w:t>
      </w:r>
      <w:r w:rsidR="00CF0C40">
        <w:t>reports that in a sample of 350 buyouts</w:t>
      </w:r>
      <w:r w:rsidR="00CF0C40" w:rsidRPr="00CF0C40">
        <w:t xml:space="preserve"> </w:t>
      </w:r>
      <w:r w:rsidR="00FA4E97">
        <w:t xml:space="preserve">from </w:t>
      </w:r>
      <w:r w:rsidR="00CF0C40" w:rsidRPr="00CF0C40">
        <w:t>1973 and 2003</w:t>
      </w:r>
      <w:r w:rsidR="00CF0C40" w:rsidRPr="001C35FA">
        <w:t xml:space="preserve"> </w:t>
      </w:r>
      <w:r w:rsidR="002B581E" w:rsidRPr="001C35FA">
        <w:t>that t</w:t>
      </w:r>
      <w:r w:rsidRPr="001C35FA">
        <w:t xml:space="preserve">he average gross IRR for deals entered through competitive auctions soar to 153% in realized deals, compared to 75% for a negotiated-sale and 75% for buy-side intermediary. A proposed explanation for the high returns is that the most attractive buyout targets </w:t>
      </w:r>
      <w:r w:rsidR="00DC1931" w:rsidRPr="001C35FA">
        <w:t>exchange</w:t>
      </w:r>
      <w:r w:rsidRPr="001C35FA">
        <w:t xml:space="preserve"> in competitive auctions and </w:t>
      </w:r>
      <w:r w:rsidR="00DC1931" w:rsidRPr="001C35FA">
        <w:t xml:space="preserve">that </w:t>
      </w:r>
      <w:r w:rsidRPr="001C35FA">
        <w:t>the value generation potential remains sup</w:t>
      </w:r>
      <w:r w:rsidR="00C02A49" w:rsidRPr="001C35FA">
        <w:t xml:space="preserve">erior despite </w:t>
      </w:r>
      <w:r w:rsidR="002B581E" w:rsidRPr="001C35FA">
        <w:t>the</w:t>
      </w:r>
      <w:r w:rsidR="00C02A49" w:rsidRPr="001C35FA">
        <w:t xml:space="preserve"> price</w:t>
      </w:r>
      <w:r w:rsidR="00DC1931" w:rsidRPr="001C35FA">
        <w:t xml:space="preserve"> premium</w:t>
      </w:r>
      <w:r w:rsidR="00C02A49" w:rsidRPr="001C35FA">
        <w:t>.</w:t>
      </w:r>
      <w:r w:rsidR="00FA4E97">
        <w:t xml:space="preserve"> However, Loos (2006) does reports lower returns in more recent competitive auctions and for larger deals (with an average of $</w:t>
      </w:r>
      <w:r w:rsidR="00FA4E97" w:rsidRPr="00FA4E97">
        <w:t>59 million</w:t>
      </w:r>
      <w:r w:rsidR="00FA4E97">
        <w:t>)</w:t>
      </w:r>
      <w:r w:rsidR="00FA4E97">
        <w:rPr>
          <w:rStyle w:val="FootnoteReference"/>
        </w:rPr>
        <w:footnoteReference w:id="4"/>
      </w:r>
      <w:r w:rsidR="00FA4E97">
        <w:t>.</w:t>
      </w:r>
      <w:r w:rsidR="00FA4E97" w:rsidRPr="00FA4E97">
        <w:t xml:space="preserve"> </w:t>
      </w:r>
    </w:p>
    <w:p w14:paraId="18B7D702" w14:textId="77777777" w:rsidR="00676F76" w:rsidRDefault="008C31C9" w:rsidP="00CF7500">
      <w:pPr>
        <w:pStyle w:val="Heading2"/>
      </w:pPr>
      <w:r w:rsidRPr="00CF7500">
        <w:t>Divesting the Firm: The Mode of Exit</w:t>
      </w:r>
    </w:p>
    <w:p w14:paraId="5FC0156E" w14:textId="0AFD6C23" w:rsidR="00F1799F" w:rsidRPr="001C35FA" w:rsidRDefault="00833D8D" w:rsidP="004F76E2">
      <w:r w:rsidRPr="001C35FA">
        <w:t xml:space="preserve">A </w:t>
      </w:r>
      <w:r w:rsidR="00481094" w:rsidRPr="001C35FA">
        <w:t xml:space="preserve">common approach </w:t>
      </w:r>
      <w:r w:rsidRPr="001C35FA">
        <w:t>to maximize</w:t>
      </w:r>
      <w:r w:rsidR="00481094" w:rsidRPr="001C35FA">
        <w:t xml:space="preserve"> the exit value is </w:t>
      </w:r>
      <w:r w:rsidR="00B371EB" w:rsidRPr="001C35FA">
        <w:t xml:space="preserve">to </w:t>
      </w:r>
      <w:r w:rsidR="00306471" w:rsidRPr="001C35FA">
        <w:t>begin</w:t>
      </w:r>
      <w:r w:rsidR="00481094" w:rsidRPr="001C35FA">
        <w:t xml:space="preserve"> promoting the </w:t>
      </w:r>
      <w:r w:rsidR="00DC1931" w:rsidRPr="001C35FA">
        <w:t>portfolio</w:t>
      </w:r>
      <w:r w:rsidR="00481094" w:rsidRPr="001C35FA">
        <w:t xml:space="preserve"> firm </w:t>
      </w:r>
      <w:r w:rsidRPr="001C35FA">
        <w:t xml:space="preserve">after the </w:t>
      </w:r>
      <w:r w:rsidR="00DC1931" w:rsidRPr="001C35FA">
        <w:t>buyout</w:t>
      </w:r>
      <w:r w:rsidRPr="001C35FA">
        <w:t xml:space="preserve"> through </w:t>
      </w:r>
      <w:r w:rsidR="00481094" w:rsidRPr="001C35FA">
        <w:t xml:space="preserve">media events, </w:t>
      </w:r>
      <w:r w:rsidR="00DC1931" w:rsidRPr="001C35FA">
        <w:t>interviews and press releases. A s</w:t>
      </w:r>
      <w:r w:rsidR="0039059D" w:rsidRPr="001C35FA">
        <w:t xml:space="preserve">omewhat less widespread </w:t>
      </w:r>
      <w:r w:rsidR="00BB5898" w:rsidRPr="001C35FA">
        <w:t xml:space="preserve">practice </w:t>
      </w:r>
      <w:r w:rsidR="00DC1931" w:rsidRPr="001C35FA">
        <w:t>is</w:t>
      </w:r>
      <w:r w:rsidR="00BB5898" w:rsidRPr="001C35FA">
        <w:t xml:space="preserve"> </w:t>
      </w:r>
      <w:r w:rsidR="00481094" w:rsidRPr="001C35FA">
        <w:rPr>
          <w:i/>
        </w:rPr>
        <w:t>window-dressing</w:t>
      </w:r>
      <w:r w:rsidR="00BB5898" w:rsidRPr="001C35FA">
        <w:t>,</w:t>
      </w:r>
      <w:r w:rsidR="00481094" w:rsidRPr="001C35FA">
        <w:t xml:space="preserve"> i.e. </w:t>
      </w:r>
      <w:r w:rsidR="00DC1931" w:rsidRPr="001C35FA">
        <w:t xml:space="preserve">to </w:t>
      </w:r>
      <w:r w:rsidR="00481094" w:rsidRPr="001C35FA">
        <w:t>bolster the financial statement</w:t>
      </w:r>
      <w:r w:rsidR="0039059D" w:rsidRPr="001C35FA">
        <w:t xml:space="preserve"> by </w:t>
      </w:r>
      <w:r w:rsidR="00DC1931" w:rsidRPr="001C35FA">
        <w:t xml:space="preserve">accounting tricks, </w:t>
      </w:r>
      <w:r w:rsidR="0039059D" w:rsidRPr="001C35FA">
        <w:t xml:space="preserve">e.g. </w:t>
      </w:r>
      <w:r w:rsidR="00481094" w:rsidRPr="001C35FA">
        <w:t>defer</w:t>
      </w:r>
      <w:r w:rsidR="0039059D" w:rsidRPr="001C35FA">
        <w:t>red</w:t>
      </w:r>
      <w:r w:rsidR="00481094" w:rsidRPr="001C35FA">
        <w:t xml:space="preserve"> capital expenditures.</w:t>
      </w:r>
      <w:r w:rsidR="00797F6F" w:rsidRPr="001C35FA">
        <w:t xml:space="preserve"> All else being</w:t>
      </w:r>
      <w:r w:rsidR="00481094" w:rsidRPr="001C35FA">
        <w:t xml:space="preserve"> equal, an IPO will typically garner the highest </w:t>
      </w:r>
      <w:r w:rsidR="00F1799F" w:rsidRPr="001C35FA">
        <w:t xml:space="preserve">valuation and </w:t>
      </w:r>
      <w:r w:rsidR="00A41113">
        <w:t>Sales/</w:t>
      </w:r>
      <w:r w:rsidR="0055777A">
        <w:t>EBITDA</w:t>
      </w:r>
      <w:r w:rsidR="00A41113">
        <w:t xml:space="preserve"> </w:t>
      </w:r>
      <w:r w:rsidR="00F1799F" w:rsidRPr="001C35FA">
        <w:t>multiples</w:t>
      </w:r>
      <w:r w:rsidR="00797F6F" w:rsidRPr="001C35FA">
        <w:t xml:space="preserve"> of all </w:t>
      </w:r>
      <w:r w:rsidR="00F1799F" w:rsidRPr="001C35FA">
        <w:t>exit routes</w:t>
      </w:r>
      <w:r w:rsidR="001F6016">
        <w:t>. A</w:t>
      </w:r>
      <w:r w:rsidR="00F1799F" w:rsidRPr="001C35FA">
        <w:t xml:space="preserve"> study by Chapman</w:t>
      </w:r>
      <w:r w:rsidR="008B1122" w:rsidRPr="001C35FA">
        <w:t xml:space="preserve"> and </w:t>
      </w:r>
      <w:r w:rsidR="00F1799F" w:rsidRPr="001C35FA">
        <w:t xml:space="preserve">Klein </w:t>
      </w:r>
      <w:r w:rsidR="002F479A" w:rsidRPr="001C35FA">
        <w:t>(</w:t>
      </w:r>
      <w:r w:rsidR="009C54D5" w:rsidRPr="009C54D5">
        <w:t>2011</w:t>
      </w:r>
      <w:r w:rsidR="002F479A" w:rsidRPr="001C35FA">
        <w:t>)</w:t>
      </w:r>
      <w:r w:rsidR="00F1799F" w:rsidRPr="001C35FA">
        <w:t xml:space="preserve"> </w:t>
      </w:r>
      <w:r w:rsidR="001F6016">
        <w:t xml:space="preserve">of </w:t>
      </w:r>
      <w:r w:rsidR="001F6016" w:rsidRPr="0055777A">
        <w:t xml:space="preserve">288 exited transactions </w:t>
      </w:r>
      <w:r w:rsidR="007E405D">
        <w:t xml:space="preserve">between </w:t>
      </w:r>
      <w:r w:rsidR="007E405D" w:rsidRPr="001F6016">
        <w:t xml:space="preserve">1984 </w:t>
      </w:r>
      <w:r w:rsidR="007E405D">
        <w:t>and</w:t>
      </w:r>
      <w:r w:rsidR="007E405D" w:rsidRPr="001F6016">
        <w:t xml:space="preserve"> 2006</w:t>
      </w:r>
      <w:r w:rsidR="007E405D">
        <w:t xml:space="preserve"> </w:t>
      </w:r>
      <w:r w:rsidR="001F6016" w:rsidRPr="0055777A">
        <w:t xml:space="preserve">across 19 industries </w:t>
      </w:r>
      <w:r w:rsidR="007E405D">
        <w:t>found</w:t>
      </w:r>
      <w:r w:rsidR="00F1799F" w:rsidRPr="001C35FA">
        <w:t xml:space="preserve"> that firms </w:t>
      </w:r>
      <w:r w:rsidR="00BA529D" w:rsidRPr="001C35FA">
        <w:t xml:space="preserve">exited through an IPO got the multiples </w:t>
      </w:r>
      <w:r w:rsidR="00F1799F" w:rsidRPr="001C35FA">
        <w:t xml:space="preserve">of </w:t>
      </w:r>
      <w:r w:rsidR="00BA529D" w:rsidRPr="001C35FA">
        <w:t xml:space="preserve">11.7, </w:t>
      </w:r>
      <w:r w:rsidR="00F1799F" w:rsidRPr="001C35FA">
        <w:t>while</w:t>
      </w:r>
      <w:r w:rsidR="00BA529D" w:rsidRPr="001C35FA">
        <w:t xml:space="preserve"> </w:t>
      </w:r>
      <w:r w:rsidR="00F1799F" w:rsidRPr="001C35FA">
        <w:t xml:space="preserve">the </w:t>
      </w:r>
      <w:r w:rsidR="00BA529D" w:rsidRPr="001C35FA">
        <w:t xml:space="preserve">trade sale </w:t>
      </w:r>
      <w:r w:rsidR="00F1799F" w:rsidRPr="001C35FA">
        <w:t xml:space="preserve">got </w:t>
      </w:r>
      <w:r w:rsidR="00BA529D" w:rsidRPr="001C35FA">
        <w:t>7.6, secondary buyout</w:t>
      </w:r>
      <w:r w:rsidR="00F1799F" w:rsidRPr="001C35FA">
        <w:t>s</w:t>
      </w:r>
      <w:r w:rsidR="00BA529D" w:rsidRPr="001C35FA">
        <w:t xml:space="preserve"> 7.1, and </w:t>
      </w:r>
      <w:r w:rsidR="00F1799F" w:rsidRPr="001C35FA">
        <w:t xml:space="preserve">the </w:t>
      </w:r>
      <w:r w:rsidR="00BA529D" w:rsidRPr="001C35FA">
        <w:t>recap 7.7.</w:t>
      </w:r>
      <w:r w:rsidR="007E405D">
        <w:t xml:space="preserve"> </w:t>
      </w:r>
      <w:r w:rsidR="00BA529D" w:rsidRPr="001C35FA">
        <w:t xml:space="preserve">It is also </w:t>
      </w:r>
      <w:r w:rsidR="00481094" w:rsidRPr="001C35FA">
        <w:t xml:space="preserve">the preferred route of exit for the most successful firms </w:t>
      </w:r>
      <w:r w:rsidR="0035007E" w:rsidRPr="001C35FA">
        <w:t>(</w:t>
      </w:r>
      <w:r w:rsidR="00481094" w:rsidRPr="001C35FA">
        <w:t>Schwienbacher</w:t>
      </w:r>
      <w:r w:rsidR="00F66EF8" w:rsidRPr="001C35FA">
        <w:t xml:space="preserve">, </w:t>
      </w:r>
      <w:r w:rsidR="00595C0F" w:rsidRPr="001C35FA">
        <w:t>2</w:t>
      </w:r>
      <w:r w:rsidR="00481094" w:rsidRPr="001C35FA">
        <w:t>00</w:t>
      </w:r>
      <w:r w:rsidR="0061436C">
        <w:t>5</w:t>
      </w:r>
      <w:r w:rsidR="0000761D" w:rsidRPr="001C35FA">
        <w:t xml:space="preserve">; </w:t>
      </w:r>
      <w:r w:rsidR="00481094" w:rsidRPr="001C35FA">
        <w:t>Schmidt, Steffen,</w:t>
      </w:r>
      <w:r w:rsidR="008B1122" w:rsidRPr="001C35FA">
        <w:t xml:space="preserve"> and </w:t>
      </w:r>
      <w:r w:rsidR="00481094" w:rsidRPr="001C35FA">
        <w:t>Szabo</w:t>
      </w:r>
      <w:r w:rsidR="00F66EF8" w:rsidRPr="001C35FA">
        <w:t xml:space="preserve">, </w:t>
      </w:r>
      <w:r w:rsidR="00595C0F" w:rsidRPr="001C35FA">
        <w:t>2</w:t>
      </w:r>
      <w:r w:rsidR="00481094" w:rsidRPr="001C35FA">
        <w:t>009</w:t>
      </w:r>
      <w:r w:rsidR="001F199C" w:rsidRPr="001C35FA">
        <w:t>)</w:t>
      </w:r>
      <w:r w:rsidR="00BA529D" w:rsidRPr="001C35FA">
        <w:t xml:space="preserve">. </w:t>
      </w:r>
      <w:r w:rsidR="00D62810" w:rsidRPr="001C35FA">
        <w:t>Indeed,</w:t>
      </w:r>
      <w:r w:rsidR="00481094" w:rsidRPr="001C35FA">
        <w:t xml:space="preserve"> the price premium</w:t>
      </w:r>
      <w:r w:rsidR="00D62810" w:rsidRPr="001C35FA">
        <w:t xml:space="preserve"> for publicly traded firms ten</w:t>
      </w:r>
      <w:r w:rsidR="00041E39" w:rsidRPr="001C35FA">
        <w:t>d</w:t>
      </w:r>
      <w:r w:rsidR="00D62810" w:rsidRPr="001C35FA">
        <w:t>s</w:t>
      </w:r>
      <w:r w:rsidR="00481094" w:rsidRPr="001C35FA">
        <w:t xml:space="preserve"> to be close to 20% compared to private firms. Finally, IPOs are particularly auspicious in periods with high GDP growth </w:t>
      </w:r>
      <w:r w:rsidR="0035007E" w:rsidRPr="001C35FA">
        <w:t>(</w:t>
      </w:r>
      <w:r w:rsidR="00481094" w:rsidRPr="001C35FA">
        <w:t>Schmidt et al.</w:t>
      </w:r>
      <w:r w:rsidR="00F66EF8" w:rsidRPr="001C35FA">
        <w:t xml:space="preserve">, </w:t>
      </w:r>
      <w:r w:rsidR="00595C0F" w:rsidRPr="001C35FA">
        <w:t>2</w:t>
      </w:r>
      <w:r w:rsidR="00481094" w:rsidRPr="001C35FA">
        <w:t>009</w:t>
      </w:r>
      <w:r w:rsidR="001F199C" w:rsidRPr="001C35FA">
        <w:t>)</w:t>
      </w:r>
      <w:r w:rsidR="00F1799F" w:rsidRPr="001C35FA">
        <w:t>.</w:t>
      </w:r>
    </w:p>
    <w:p w14:paraId="67031585" w14:textId="64ABC757" w:rsidR="00481094" w:rsidRDefault="006F5617" w:rsidP="004F76E2">
      <w:r w:rsidRPr="001C35FA">
        <w:t xml:space="preserve">The alternative that </w:t>
      </w:r>
      <w:r w:rsidR="00005737">
        <w:t>has been reported to</w:t>
      </w:r>
      <w:r w:rsidRPr="001C35FA">
        <w:t xml:space="preserve"> garner the next highest price is exit </w:t>
      </w:r>
      <w:r w:rsidR="007703C9" w:rsidRPr="001C35FA">
        <w:t>as</w:t>
      </w:r>
      <w:r w:rsidRPr="001C35FA">
        <w:t xml:space="preserve"> a secondary buyout</w:t>
      </w:r>
      <w:r w:rsidR="00005737">
        <w:t xml:space="preserve">. </w:t>
      </w:r>
      <w:r w:rsidRPr="001C35FA">
        <w:t>Achleitner, Bauer, Figge,</w:t>
      </w:r>
      <w:r w:rsidR="008B1122" w:rsidRPr="001C35FA">
        <w:t xml:space="preserve"> and </w:t>
      </w:r>
      <w:r w:rsidRPr="001C35FA">
        <w:t>Lutz</w:t>
      </w:r>
      <w:r w:rsidR="00005737">
        <w:t xml:space="preserve"> (</w:t>
      </w:r>
      <w:r w:rsidRPr="001C35FA">
        <w:t>2012)</w:t>
      </w:r>
      <w:r w:rsidR="00005737">
        <w:t xml:space="preserve"> </w:t>
      </w:r>
      <w:r w:rsidRPr="001C35FA">
        <w:t>provide evidence that secondary buyouts can produce returns comparable to those achieved by an IPO. Furthermore</w:t>
      </w:r>
      <w:r w:rsidR="005262FB">
        <w:t>,</w:t>
      </w:r>
      <w:r w:rsidRPr="001C35FA">
        <w:t xml:space="preserve"> the study shows that the likelihood </w:t>
      </w:r>
      <w:r w:rsidR="00005737">
        <w:t>of</w:t>
      </w:r>
      <w:r w:rsidRPr="001C35FA">
        <w:t xml:space="preserve"> a financial exit increases with the liquidity of debt markets and the debt capacity of the portfolio firm. In a follow up study, Achleitner and Figge (2014) find that </w:t>
      </w:r>
      <w:r w:rsidR="004B4703">
        <w:t xml:space="preserve">the price premium from </w:t>
      </w:r>
      <w:r w:rsidRPr="001C35FA">
        <w:t xml:space="preserve">secondary buyouts </w:t>
      </w:r>
      <w:r w:rsidR="00926E25" w:rsidRPr="001C35FA">
        <w:t xml:space="preserve">are 6–9% </w:t>
      </w:r>
      <w:r w:rsidR="004B4703">
        <w:t>higher</w:t>
      </w:r>
      <w:r w:rsidR="00926E25">
        <w:t xml:space="preserve"> than </w:t>
      </w:r>
      <w:r w:rsidR="00C63BC0">
        <w:t xml:space="preserve">those of </w:t>
      </w:r>
      <w:r w:rsidR="00926E25">
        <w:t>other buyouts</w:t>
      </w:r>
      <w:r w:rsidR="00926E25" w:rsidRPr="001C35FA">
        <w:t xml:space="preserve">. </w:t>
      </w:r>
      <w:r w:rsidR="00C63BC0">
        <w:t xml:space="preserve">Yet, the study </w:t>
      </w:r>
      <w:r w:rsidR="003D5091">
        <w:t xml:space="preserve">show that SBOs </w:t>
      </w:r>
      <w:r w:rsidRPr="001C35FA">
        <w:t xml:space="preserve">do not generate lower returns or less operational value creation, but </w:t>
      </w:r>
      <w:r w:rsidR="003D5091">
        <w:t xml:space="preserve">do </w:t>
      </w:r>
      <w:r w:rsidRPr="001C35FA">
        <w:t xml:space="preserve">obtain 28–30% higher leverage after controlling for debt market conditions. </w:t>
      </w:r>
      <w:r w:rsidR="00551DC7">
        <w:t xml:space="preserve">This means that higher gearing would be necessary to achieve an identical return on investment. </w:t>
      </w:r>
      <w:r w:rsidR="007703C9" w:rsidRPr="001C35FA">
        <w:t xml:space="preserve">However, </w:t>
      </w:r>
      <w:r w:rsidR="00005737">
        <w:t xml:space="preserve">several </w:t>
      </w:r>
      <w:r w:rsidR="007703C9" w:rsidRPr="001C35FA">
        <w:t>other studies are more skeptical about the performance of secondary buyouts whether measured in terms of equity returns or profitability</w:t>
      </w:r>
      <w:r w:rsidR="008C31C9" w:rsidRPr="00CF7500">
        <w:t xml:space="preserve"> (e.g. Alperovych</w:t>
      </w:r>
      <w:r w:rsidR="00D834E9">
        <w:t xml:space="preserve">, </w:t>
      </w:r>
      <w:r w:rsidR="00D834E9" w:rsidRPr="00D834E9">
        <w:t>Amess, and Wright</w:t>
      </w:r>
      <w:r w:rsidR="008C31C9" w:rsidRPr="00CF7500">
        <w:t>, 2013</w:t>
      </w:r>
      <w:r w:rsidR="005262FB">
        <w:t xml:space="preserve">; </w:t>
      </w:r>
      <w:r w:rsidR="005262FB" w:rsidRPr="005262FB">
        <w:t>Bonini, 2015; Jelic and Wright, 2011; Wang, 2012</w:t>
      </w:r>
      <w:r w:rsidR="005262FB">
        <w:t>;</w:t>
      </w:r>
      <w:r w:rsidR="005262FB" w:rsidRPr="005262FB">
        <w:t xml:space="preserve"> Zhou, </w:t>
      </w:r>
      <w:r w:rsidR="005262FB">
        <w:t>et al.</w:t>
      </w:r>
      <w:r w:rsidR="005262FB" w:rsidRPr="005262FB">
        <w:t>, 2014</w:t>
      </w:r>
      <w:r w:rsidR="005262FB">
        <w:t>; Jelic et al., 2018</w:t>
      </w:r>
      <w:r w:rsidR="008C31C9" w:rsidRPr="00CF7500">
        <w:t>)</w:t>
      </w:r>
      <w:r w:rsidR="007703C9" w:rsidRPr="001C35FA">
        <w:t xml:space="preserve">. </w:t>
      </w:r>
      <w:r w:rsidR="00A71256" w:rsidRPr="001C35FA">
        <w:t>Indeed, secondary buyouts may be bad deals because they oftentimes arise as fund managers are under pressure to invest (Arcot</w:t>
      </w:r>
      <w:r w:rsidR="000437DB">
        <w:t xml:space="preserve">, </w:t>
      </w:r>
      <w:r w:rsidR="000437DB" w:rsidRPr="000437DB">
        <w:t>Fluck, Gaspa</w:t>
      </w:r>
      <w:r w:rsidR="000437DB">
        <w:t xml:space="preserve">r, and </w:t>
      </w:r>
      <w:r w:rsidR="000437DB" w:rsidRPr="000437DB">
        <w:t>Hege</w:t>
      </w:r>
      <w:r w:rsidR="00A71256" w:rsidRPr="001C35FA">
        <w:t>, 2015).</w:t>
      </w:r>
    </w:p>
    <w:p w14:paraId="7C5D731E" w14:textId="77777777" w:rsidR="00B96253" w:rsidRPr="001C35FA" w:rsidRDefault="00B96253" w:rsidP="004F76E2">
      <w:pPr>
        <w:rPr>
          <w:b/>
        </w:rPr>
      </w:pPr>
    </w:p>
    <w:p w14:paraId="793BA8CF" w14:textId="384CDFAB" w:rsidR="00676F76" w:rsidRDefault="00E02ABE" w:rsidP="00CF7500">
      <w:pPr>
        <w:pStyle w:val="Heading1"/>
        <w:rPr>
          <w:szCs w:val="24"/>
        </w:rPr>
      </w:pPr>
      <w:r>
        <w:rPr>
          <w:szCs w:val="24"/>
        </w:rPr>
        <w:t>Institutional</w:t>
      </w:r>
      <w:r w:rsidR="00481094" w:rsidRPr="001C35FA">
        <w:rPr>
          <w:szCs w:val="24"/>
        </w:rPr>
        <w:t xml:space="preserve"> Driver</w:t>
      </w:r>
      <w:r w:rsidR="00CB66D9">
        <w:rPr>
          <w:szCs w:val="24"/>
        </w:rPr>
        <w:t>s</w:t>
      </w:r>
    </w:p>
    <w:p w14:paraId="782D69B3" w14:textId="3522475D" w:rsidR="00246278" w:rsidRPr="00246278" w:rsidRDefault="00A36009" w:rsidP="004F1A6C">
      <w:r>
        <w:t>The value created by a buyout investment depends not only on</w:t>
      </w:r>
      <w:r w:rsidR="00EE2BF8">
        <w:t xml:space="preserve"> the specificities of the acquired target and the changes promoted</w:t>
      </w:r>
      <w:r w:rsidR="00976F82">
        <w:t xml:space="preserve"> within the it</w:t>
      </w:r>
      <w:r w:rsidR="00EE2BF8">
        <w:t>, bu</w:t>
      </w:r>
      <w:r>
        <w:t>t also on a number of characteristics of the institutional environment</w:t>
      </w:r>
      <w:r w:rsidR="00976F82">
        <w:t xml:space="preserve"> (Groh et al, 2010). </w:t>
      </w:r>
      <w:r w:rsidR="00E66AE9">
        <w:t xml:space="preserve">A vast stream of literature has analyzed how the institutional environment affects the supply of PE capital in a country and the </w:t>
      </w:r>
      <w:r w:rsidR="0002233B">
        <w:t>return to buyout investments.</w:t>
      </w:r>
    </w:p>
    <w:p w14:paraId="00C81439" w14:textId="77777777" w:rsidR="00676F76" w:rsidRDefault="008C31C9" w:rsidP="00CF7500">
      <w:pPr>
        <w:pStyle w:val="Heading2"/>
      </w:pPr>
      <w:r w:rsidRPr="00CF7500">
        <w:t xml:space="preserve"> Mitigated Legislative and Regulatory Constraints</w:t>
      </w:r>
    </w:p>
    <w:p w14:paraId="16BC8E79" w14:textId="45643817" w:rsidR="00481094" w:rsidRPr="001C35FA" w:rsidRDefault="00481094" w:rsidP="004F76E2">
      <w:r w:rsidRPr="001C35FA">
        <w:t xml:space="preserve">Practitioners often claim that the principal advantage of buyout firms compared to traditional companies is the exemption from the restrictive legislation of public corporations. The CEO of a portfolio firm is subject to a substantially decreased media scrutiny compared to a public company, e.g. public criticism for the large amounts of equity-based compensation </w:t>
      </w:r>
      <w:r w:rsidR="0035007E" w:rsidRPr="001C35FA">
        <w:t>(</w:t>
      </w:r>
      <w:r w:rsidRPr="001C35FA">
        <w:t>Masulis</w:t>
      </w:r>
      <w:r w:rsidR="008B1122" w:rsidRPr="001C35FA">
        <w:t xml:space="preserve"> and </w:t>
      </w:r>
      <w:r w:rsidRPr="001C35FA">
        <w:t>Thomas</w:t>
      </w:r>
      <w:r w:rsidR="00F66EF8" w:rsidRPr="001C35FA">
        <w:t xml:space="preserve">, </w:t>
      </w:r>
      <w:r w:rsidR="00595C0F" w:rsidRPr="001C35FA">
        <w:t>2</w:t>
      </w:r>
      <w:r w:rsidRPr="001C35FA">
        <w:t>009</w:t>
      </w:r>
      <w:r w:rsidR="001F199C" w:rsidRPr="001C35FA">
        <w:t>)</w:t>
      </w:r>
      <w:r w:rsidRPr="001C35FA">
        <w:t>. Moreover, the disclosure requirements have rather increased in later years with new legislations for public companies, such as for the Sarban</w:t>
      </w:r>
      <w:r w:rsidR="0035007E" w:rsidRPr="001C35FA">
        <w:t>es-Oxley Act of 2002 in the U.S</w:t>
      </w:r>
      <w:r w:rsidRPr="001C35FA">
        <w:t>. This is in stark contrast to portfolio firms, which rarely issue any public financial statements, whereas in most countries these are by law publicly available for any limited or incorporated private company, not to mention the disclosur</w:t>
      </w:r>
      <w:r w:rsidR="00CC35FD" w:rsidRPr="001C35FA">
        <w:t>e requirements of public firms.</w:t>
      </w:r>
    </w:p>
    <w:p w14:paraId="5AB28189" w14:textId="77777777" w:rsidR="00676F76" w:rsidRDefault="008C31C9" w:rsidP="00CF7500">
      <w:pPr>
        <w:pStyle w:val="Heading2"/>
      </w:pPr>
      <w:r w:rsidRPr="00CF7500">
        <w:t xml:space="preserve"> The Corporate Tax Shield: Debt and Taxes</w:t>
      </w:r>
    </w:p>
    <w:p w14:paraId="0D20585A" w14:textId="65181DF3" w:rsidR="00481094" w:rsidRPr="001C35FA" w:rsidRDefault="00D805C0" w:rsidP="004F76E2">
      <w:r w:rsidRPr="001C35FA">
        <w:t>In the late 1980s multiple studies found evidence for debt being a significant source of value in buyouts, particularly in the U.S. (Lowenstein</w:t>
      </w:r>
      <w:r w:rsidR="00F66EF8" w:rsidRPr="001C35FA">
        <w:t xml:space="preserve">, </w:t>
      </w:r>
      <w:r w:rsidRPr="001C35FA">
        <w:t>1985; Kaplan</w:t>
      </w:r>
      <w:r w:rsidR="00F66EF8" w:rsidRPr="001C35FA">
        <w:t xml:space="preserve">, </w:t>
      </w:r>
      <w:r w:rsidRPr="001C35FA">
        <w:t xml:space="preserve">1989a). Substantial amounts of debt </w:t>
      </w:r>
      <w:r w:rsidR="00E23000">
        <w:t>are</w:t>
      </w:r>
      <w:r w:rsidR="00E23000" w:rsidRPr="001C35FA">
        <w:t xml:space="preserve"> </w:t>
      </w:r>
      <w:r w:rsidRPr="001C35FA">
        <w:t>typically used to acquire firms in buyouts and</w:t>
      </w:r>
      <w:r w:rsidR="00481094" w:rsidRPr="001C35FA">
        <w:t xml:space="preserve"> </w:t>
      </w:r>
      <w:r w:rsidRPr="001C35FA">
        <w:t xml:space="preserve">the associated </w:t>
      </w:r>
      <w:r w:rsidR="008D65A3" w:rsidRPr="001C35FA">
        <w:t xml:space="preserve">interest payments </w:t>
      </w:r>
      <w:r w:rsidRPr="001C35FA">
        <w:t xml:space="preserve">tend to be </w:t>
      </w:r>
      <w:r w:rsidR="008D65A3" w:rsidRPr="001C35FA">
        <w:t>tax deductible</w:t>
      </w:r>
      <w:r w:rsidR="00481094" w:rsidRPr="001C35FA">
        <w:t xml:space="preserve">. </w:t>
      </w:r>
      <w:r w:rsidR="002A60AF" w:rsidRPr="001C35FA">
        <w:t>The resultant</w:t>
      </w:r>
      <w:r w:rsidR="00481094" w:rsidRPr="001C35FA">
        <w:t xml:space="preserve"> </w:t>
      </w:r>
      <w:r w:rsidR="00481094" w:rsidRPr="001C35FA">
        <w:rPr>
          <w:i/>
        </w:rPr>
        <w:t>tax shield</w:t>
      </w:r>
      <w:r w:rsidR="00481094" w:rsidRPr="001C35FA">
        <w:t xml:space="preserve"> has </w:t>
      </w:r>
      <w:r w:rsidR="002A60AF" w:rsidRPr="001C35FA">
        <w:t xml:space="preserve">mainly </w:t>
      </w:r>
      <w:r w:rsidR="00481094" w:rsidRPr="001C35FA">
        <w:t xml:space="preserve">been </w:t>
      </w:r>
      <w:r w:rsidRPr="001C35FA">
        <w:t>perceived as</w:t>
      </w:r>
      <w:r w:rsidR="00481094" w:rsidRPr="001C35FA">
        <w:t xml:space="preserve"> a component of financial engineering. However, it </w:t>
      </w:r>
      <w:r w:rsidRPr="001C35FA">
        <w:t>could</w:t>
      </w:r>
      <w:r w:rsidR="00481094" w:rsidRPr="001C35FA">
        <w:t xml:space="preserve"> be argued that the advantage derived from a tax reduction </w:t>
      </w:r>
      <w:r w:rsidR="00116CC7" w:rsidRPr="001C35FA">
        <w:t xml:space="preserve">fundamentally </w:t>
      </w:r>
      <w:r w:rsidR="00481094" w:rsidRPr="001C35FA">
        <w:t xml:space="preserve">constitutes a wealth transfer from a societal perspective and </w:t>
      </w:r>
      <w:r w:rsidR="00E24A0D" w:rsidRPr="001C35FA">
        <w:t>thus</w:t>
      </w:r>
      <w:r w:rsidR="00481094" w:rsidRPr="001C35FA">
        <w:t xml:space="preserve"> should be cons</w:t>
      </w:r>
      <w:r w:rsidR="0035007E" w:rsidRPr="001C35FA">
        <w:t>idered a lever of value capture</w:t>
      </w:r>
      <w:r w:rsidR="00E24A0D" w:rsidRPr="001C35FA">
        <w:t>.</w:t>
      </w:r>
    </w:p>
    <w:p w14:paraId="2CEA1BF6" w14:textId="4411C88A" w:rsidR="00232D75" w:rsidRPr="001C35FA" w:rsidRDefault="00481094" w:rsidP="00232D75">
      <w:r w:rsidRPr="001C35FA">
        <w:t xml:space="preserve">Despite the advantages of tax deductions, this is not identical to proposing that the benefits accrue to private equity investors. More recently, a study of the 100 largest </w:t>
      </w:r>
      <w:r w:rsidR="00D805C0" w:rsidRPr="001C35FA">
        <w:t xml:space="preserve">U.S. public-to-private </w:t>
      </w:r>
      <w:r w:rsidRPr="001C35FA">
        <w:t>takeovers during the years 2003 to 2008, Jenkinson and Stucke</w:t>
      </w:r>
      <w:r w:rsidR="002D3442">
        <w:t xml:space="preserve"> (</w:t>
      </w:r>
      <w:r w:rsidRPr="001C35FA">
        <w:t>2011</w:t>
      </w:r>
      <w:r w:rsidR="002D3442">
        <w:t xml:space="preserve">) </w:t>
      </w:r>
      <w:r w:rsidRPr="001C35FA">
        <w:t>find a strong relationship between tax savings and the extent of price premium. In their analysis, the buyout premium paid to the former shareholders was twice the size of tax savings from increased financial leverage. The researchers conclude that the benefits typically accrue to the former shareholders and consequently the tax savings are likely negligible.</w:t>
      </w:r>
      <w:r w:rsidR="00D805C0" w:rsidRPr="001C35FA">
        <w:t xml:space="preserve"> </w:t>
      </w:r>
      <w:r w:rsidR="00E24A0D" w:rsidRPr="001C35FA">
        <w:t xml:space="preserve">Guo </w:t>
      </w:r>
      <w:r w:rsidRPr="001C35FA">
        <w:t>et al.</w:t>
      </w:r>
      <w:r w:rsidR="00595C0F" w:rsidRPr="001C35FA">
        <w:t xml:space="preserve"> </w:t>
      </w:r>
      <w:r w:rsidR="002F479A" w:rsidRPr="001C35FA">
        <w:t>(</w:t>
      </w:r>
      <w:r w:rsidR="00595C0F" w:rsidRPr="001C35FA">
        <w:t>2</w:t>
      </w:r>
      <w:r w:rsidRPr="001C35FA">
        <w:t>011</w:t>
      </w:r>
      <w:r w:rsidR="002F479A" w:rsidRPr="001C35FA">
        <w:t>)</w:t>
      </w:r>
      <w:r w:rsidRPr="001C35FA">
        <w:t xml:space="preserve"> </w:t>
      </w:r>
      <w:r w:rsidR="00D805C0" w:rsidRPr="001C35FA">
        <w:t xml:space="preserve">report in a study of 192 large U.S. buyouts from 1990 to 2006 </w:t>
      </w:r>
      <w:r w:rsidRPr="001C35FA">
        <w:t>that the tax benefits from the increased leverage accounted for 33.8%</w:t>
      </w:r>
      <w:r w:rsidR="00E24A0D" w:rsidRPr="001C35FA">
        <w:t xml:space="preserve"> out of the total returns.</w:t>
      </w:r>
      <w:r w:rsidR="00232D75" w:rsidRPr="001C35FA">
        <w:t xml:space="preserve"> The caveat is that these studies concern public–to–private buyouts, which are not representative of the population of buyouts at large. Public–to–private buyouts account for a minority in the U.S. and the U.K., while being even rarer in continental Europe (</w:t>
      </w:r>
      <w:r w:rsidR="004A14A2" w:rsidRPr="001C35FA">
        <w:t>CMBOR</w:t>
      </w:r>
      <w:r w:rsidR="00583904">
        <w:t>,</w:t>
      </w:r>
      <w:r w:rsidR="004A14A2" w:rsidRPr="001C35FA">
        <w:t xml:space="preserve"> 2017</w:t>
      </w:r>
      <w:r w:rsidR="00232D75" w:rsidRPr="001C35FA">
        <w:t>).</w:t>
      </w:r>
    </w:p>
    <w:p w14:paraId="1755273F" w14:textId="77777777" w:rsidR="00676F76" w:rsidRDefault="008C31C9" w:rsidP="00CF7500">
      <w:pPr>
        <w:pStyle w:val="Heading2"/>
      </w:pPr>
      <w:r w:rsidRPr="00CF7500">
        <w:t>Carried Interest and Capital Income</w:t>
      </w:r>
    </w:p>
    <w:p w14:paraId="04BFAD7A" w14:textId="4D051229" w:rsidR="00B96253" w:rsidRPr="001C35FA" w:rsidRDefault="00481094" w:rsidP="004F76E2">
      <w:r w:rsidRPr="001C35FA">
        <w:t xml:space="preserve">The second key tax advantage the private equity industry holds compared to traditional enterprises is the carried interest. Carried interest has undoubtedly been controversial in the media over the years and it remains unclear as to if and how these will change in different countries. Firstly, there is the broader question of tax rates on capital income, which in most </w:t>
      </w:r>
      <w:r w:rsidR="004535DC" w:rsidRPr="001C35FA">
        <w:t xml:space="preserve">countries and tax jurisdictions </w:t>
      </w:r>
      <w:r w:rsidRPr="001C35FA">
        <w:t>is currently taxed at flat rates ranging from 15% to 28.5%. Secondly, and at the core of the debate, is whether GPs should enjoy capital income tax rates for the carried interest</w:t>
      </w:r>
      <w:r w:rsidR="00AD5AE8" w:rsidRPr="001C35FA">
        <w:t xml:space="preserve">. </w:t>
      </w:r>
      <w:r w:rsidR="00E41707" w:rsidRPr="001C35FA">
        <w:t>Carried interest</w:t>
      </w:r>
      <w:r w:rsidRPr="001C35FA">
        <w:t xml:space="preserve"> is a form of remuneration </w:t>
      </w:r>
      <w:r w:rsidR="00E41707" w:rsidRPr="001C35FA">
        <w:t>a</w:t>
      </w:r>
      <w:r w:rsidRPr="001C35FA">
        <w:t xml:space="preserve">warded </w:t>
      </w:r>
      <w:r w:rsidR="00AE2FC7" w:rsidRPr="001C35FA">
        <w:t>when</w:t>
      </w:r>
      <w:r w:rsidR="00AD5AE8" w:rsidRPr="001C35FA">
        <w:t xml:space="preserve"> </w:t>
      </w:r>
      <w:r w:rsidR="00AE2FC7" w:rsidRPr="001C35FA">
        <w:t xml:space="preserve">partners exceed </w:t>
      </w:r>
      <w:r w:rsidRPr="001C35FA">
        <w:t xml:space="preserve">fund performance </w:t>
      </w:r>
      <w:r w:rsidR="00AE2FC7" w:rsidRPr="001C35FA">
        <w:t>hurdle rate</w:t>
      </w:r>
      <w:r w:rsidR="00983316">
        <w:t xml:space="preserve"> and </w:t>
      </w:r>
      <w:r w:rsidRPr="001C35FA">
        <w:t>can effectively function as an industry advantage in relation to traditional enterprises, e.g. during the recruitment process.</w:t>
      </w:r>
      <w:r w:rsidR="00983316">
        <w:t xml:space="preserve"> However, only in a minority of cases is the carried interest threshold triggered</w:t>
      </w:r>
      <w:r w:rsidR="00367946">
        <w:t xml:space="preserve"> and oftentimes returns are derived from management and monitoring fees (Metrick and Yasuda, 2010)</w:t>
      </w:r>
      <w:r w:rsidR="00983316">
        <w:t>.</w:t>
      </w:r>
      <w:r w:rsidR="004D0B68">
        <w:t xml:space="preserve"> The effect of the institutional advantage on Private Equity buyouts vs. traditional corporate acquisitions has </w:t>
      </w:r>
      <w:r w:rsidR="00551DC7">
        <w:t>yet to be examined</w:t>
      </w:r>
      <w:r w:rsidR="004D0B68">
        <w:t xml:space="preserve"> </w:t>
      </w:r>
      <w:r w:rsidR="00551DC7">
        <w:t xml:space="preserve">by </w:t>
      </w:r>
      <w:r w:rsidR="004D0B68">
        <w:t xml:space="preserve">academics, albeit </w:t>
      </w:r>
      <w:r w:rsidR="00551DC7">
        <w:t>it would not be surprising if the high-powered incentives provided by PE- and in the portfolio firms does not affect the bottom line.</w:t>
      </w:r>
    </w:p>
    <w:p w14:paraId="486EDBFD" w14:textId="77777777" w:rsidR="00676F76" w:rsidRDefault="00676F76" w:rsidP="00CF7500"/>
    <w:p w14:paraId="5FFA5B5D" w14:textId="77777777" w:rsidR="00481094" w:rsidRPr="00546FAC" w:rsidRDefault="00481094" w:rsidP="00C906B1">
      <w:pPr>
        <w:pStyle w:val="Heading1"/>
        <w:rPr>
          <w:szCs w:val="24"/>
        </w:rPr>
      </w:pPr>
      <w:r w:rsidRPr="00DD57C8">
        <w:rPr>
          <w:szCs w:val="24"/>
        </w:rPr>
        <w:t>Conclusion</w:t>
      </w:r>
    </w:p>
    <w:p w14:paraId="228FF28D" w14:textId="561FDD61" w:rsidR="00BC3361" w:rsidRDefault="00481094">
      <w:r w:rsidRPr="001C35FA">
        <w:t xml:space="preserve">This paper set out to </w:t>
      </w:r>
      <w:r w:rsidR="004A14A2" w:rsidRPr="001C35FA">
        <w:t xml:space="preserve">review </w:t>
      </w:r>
      <w:r w:rsidRPr="001C35FA">
        <w:t xml:space="preserve">the </w:t>
      </w:r>
      <w:r w:rsidR="004A14A2" w:rsidRPr="001C35FA">
        <w:t xml:space="preserve">existing </w:t>
      </w:r>
      <w:r w:rsidRPr="001C35FA">
        <w:t xml:space="preserve">literature </w:t>
      </w:r>
      <w:r w:rsidR="004A14A2" w:rsidRPr="001C35FA">
        <w:t>with a view to</w:t>
      </w:r>
      <w:r w:rsidRPr="001C35FA">
        <w:t xml:space="preserve"> proposing a novel and cohesive conceptual model of buyout value generation. The key contribution comes from extending previous attempts to organize the drivers of buyout value generation into a comprehensive, logical </w:t>
      </w:r>
      <w:r w:rsidR="00372BFE">
        <w:t>framework</w:t>
      </w:r>
      <w:r w:rsidRPr="001C35FA">
        <w:t xml:space="preserve">. The construction of an extended and redesigned </w:t>
      </w:r>
      <w:r w:rsidR="00372BFE">
        <w:t>framework</w:t>
      </w:r>
      <w:r w:rsidR="00372BFE" w:rsidRPr="001C35FA">
        <w:t xml:space="preserve"> </w:t>
      </w:r>
      <w:r w:rsidRPr="001C35FA">
        <w:t xml:space="preserve">provided the opportunity to </w:t>
      </w:r>
      <w:r w:rsidR="00372BFE">
        <w:t xml:space="preserve">systematize a </w:t>
      </w:r>
      <w:r w:rsidRPr="001C35FA">
        <w:t>wide range of empirical research</w:t>
      </w:r>
      <w:r w:rsidR="00372BFE">
        <w:t xml:space="preserve"> coming from different fields of research</w:t>
      </w:r>
      <w:r w:rsidR="00070068">
        <w:t xml:space="preserve"> </w:t>
      </w:r>
      <w:r w:rsidR="00DD7F74">
        <w:t xml:space="preserve">over </w:t>
      </w:r>
      <w:r w:rsidR="008C1952">
        <w:t>the past quarter of a century</w:t>
      </w:r>
      <w:r w:rsidR="00DD7F74">
        <w:t xml:space="preserve">. </w:t>
      </w:r>
      <w:r w:rsidR="00A70B53">
        <w:t xml:space="preserve">Moreover, </w:t>
      </w:r>
      <w:r w:rsidR="00F872B6">
        <w:t xml:space="preserve">we have devoted particular attention to the findings of the strategy and entrepreneurship literatures, where </w:t>
      </w:r>
      <w:r w:rsidR="00421D26">
        <w:t>there has been</w:t>
      </w:r>
      <w:r w:rsidR="00F872B6">
        <w:t xml:space="preserve"> a growing number of studies in the last decade. </w:t>
      </w:r>
      <w:r w:rsidR="00DD7F74">
        <w:t>Overall, t</w:t>
      </w:r>
      <w:r w:rsidR="00BC3361" w:rsidRPr="00AC3C9E">
        <w:t xml:space="preserve">he analysis </w:t>
      </w:r>
      <w:r w:rsidR="00BC3361">
        <w:t xml:space="preserve">resulted in the identification of seven drivers and twenty-two sub-drivers. </w:t>
      </w:r>
    </w:p>
    <w:p w14:paraId="0758D70E" w14:textId="2A73B975" w:rsidR="004341BF" w:rsidRDefault="00DD7F74">
      <w:r>
        <w:t xml:space="preserve">This literature review could be extended by future studies in (at least) </w:t>
      </w:r>
      <w:r w:rsidR="00D2255C">
        <w:t>six</w:t>
      </w:r>
      <w:r>
        <w:t xml:space="preserve"> directions. </w:t>
      </w:r>
      <w:r w:rsidR="00E05D0F">
        <w:t xml:space="preserve">First, </w:t>
      </w:r>
      <w:r w:rsidR="00421D26">
        <w:t>we tried to conduct the most extensive literature review</w:t>
      </w:r>
      <w:r w:rsidR="004E51C0">
        <w:t xml:space="preserve"> regarding </w:t>
      </w:r>
      <w:r>
        <w:t xml:space="preserve">the </w:t>
      </w:r>
      <w:r w:rsidR="004E51C0">
        <w:t>value creation drivers and sub-drivers</w:t>
      </w:r>
      <w:r>
        <w:t xml:space="preserve"> of buyout investments</w:t>
      </w:r>
      <w:r w:rsidR="004E51C0">
        <w:t>. Notwithstanding this effort,</w:t>
      </w:r>
      <w:r w:rsidR="00421D26">
        <w:t xml:space="preserve"> </w:t>
      </w:r>
      <w:r w:rsidR="004E51C0">
        <w:t xml:space="preserve">future research should </w:t>
      </w:r>
      <w:r w:rsidR="00B31802">
        <w:t>explore</w:t>
      </w:r>
      <w:r w:rsidR="004E51C0">
        <w:t xml:space="preserve"> </w:t>
      </w:r>
      <w:r w:rsidR="00B31802">
        <w:t>overlapping drivers in order to attempt to eliminate multi-colinearities and redundancies. Further</w:t>
      </w:r>
      <w:r w:rsidR="004E51C0">
        <w:t xml:space="preserve">, </w:t>
      </w:r>
      <w:r w:rsidR="00C477C4">
        <w:t xml:space="preserve">as shown by the </w:t>
      </w:r>
      <w:r w:rsidR="004E51C0">
        <w:t xml:space="preserve">number of </w:t>
      </w:r>
      <w:r w:rsidR="00C477C4">
        <w:t xml:space="preserve">recently published papers, </w:t>
      </w:r>
      <w:r w:rsidR="004E51C0">
        <w:t xml:space="preserve">this stream of </w:t>
      </w:r>
      <w:r w:rsidR="00E05D0F">
        <w:t xml:space="preserve">research on value creation in buyout </w:t>
      </w:r>
      <w:r w:rsidR="00FA403A">
        <w:t>investment</w:t>
      </w:r>
      <w:r w:rsidR="004E51C0">
        <w:t>s</w:t>
      </w:r>
      <w:r w:rsidR="00FA403A">
        <w:t xml:space="preserve"> </w:t>
      </w:r>
      <w:r w:rsidR="004E51C0">
        <w:t xml:space="preserve">keeps </w:t>
      </w:r>
      <w:r w:rsidR="00C477C4">
        <w:t xml:space="preserve">growing. This </w:t>
      </w:r>
      <w:r w:rsidR="002939E1">
        <w:t>produces a continuous</w:t>
      </w:r>
      <w:r w:rsidR="00C477C4">
        <w:t xml:space="preserve"> redefinition </w:t>
      </w:r>
      <w:r w:rsidR="00B31802">
        <w:t xml:space="preserve">and extension </w:t>
      </w:r>
      <w:r w:rsidR="004E51C0">
        <w:t>of the existing driver and sub-drivers</w:t>
      </w:r>
      <w:r w:rsidR="00A93C65">
        <w:t xml:space="preserve"> which could enrich the proposed framework. </w:t>
      </w:r>
      <w:r w:rsidR="008C1952">
        <w:t>This is especially important given recent fund level analyses that question the outperformance of PE, indicating the need for a constant search for additional value creation drivers.</w:t>
      </w:r>
    </w:p>
    <w:p w14:paraId="763EE0AA" w14:textId="02EF7F36" w:rsidR="00C24969" w:rsidRDefault="004E51C0">
      <w:r w:rsidRPr="00D6616A">
        <w:t>Second</w:t>
      </w:r>
      <w:r w:rsidR="00C477C4">
        <w:t xml:space="preserve">, </w:t>
      </w:r>
      <w:r w:rsidR="00A70B53">
        <w:t xml:space="preserve">we </w:t>
      </w:r>
      <w:r w:rsidR="00A70B53" w:rsidRPr="00583051">
        <w:t>have identified and listed a</w:t>
      </w:r>
      <w:r w:rsidR="00F872B6" w:rsidRPr="00583051">
        <w:t xml:space="preserve"> wide</w:t>
      </w:r>
      <w:r w:rsidR="00A70B53" w:rsidRPr="00583051">
        <w:t xml:space="preserve"> number of drivers and sub-drivers</w:t>
      </w:r>
      <w:r w:rsidR="00F872B6" w:rsidRPr="00583051">
        <w:t>.</w:t>
      </w:r>
      <w:r w:rsidR="002939E1" w:rsidRPr="00583051">
        <w:t xml:space="preserve"> Building on this </w:t>
      </w:r>
      <w:r w:rsidR="006B2B1B" w:rsidRPr="00583051">
        <w:t xml:space="preserve">extensive </w:t>
      </w:r>
      <w:r w:rsidRPr="00583051">
        <w:t>stream of literature</w:t>
      </w:r>
      <w:r w:rsidR="002939E1" w:rsidRPr="00583051">
        <w:t>,</w:t>
      </w:r>
      <w:r w:rsidR="004341BF" w:rsidRPr="00583051">
        <w:t xml:space="preserve"> future </w:t>
      </w:r>
      <w:r w:rsidR="004A2966" w:rsidRPr="00583051">
        <w:t xml:space="preserve">research </w:t>
      </w:r>
      <w:r w:rsidR="004341BF" w:rsidRPr="00583051">
        <w:t xml:space="preserve">could try </w:t>
      </w:r>
      <w:r w:rsidR="006B2B1B" w:rsidRPr="00583051">
        <w:t xml:space="preserve">to identify the </w:t>
      </w:r>
      <w:r w:rsidR="008C1952" w:rsidRPr="00583051">
        <w:t xml:space="preserve">most effective </w:t>
      </w:r>
      <w:r w:rsidR="006B2B1B" w:rsidRPr="00583051">
        <w:t xml:space="preserve">configurations of different drivers and sub-drivers. </w:t>
      </w:r>
      <w:r w:rsidR="00276A58" w:rsidRPr="00583051">
        <w:t>This has important implications for both research and practice.</w:t>
      </w:r>
      <w:r w:rsidR="00276A58">
        <w:t xml:space="preserve"> </w:t>
      </w:r>
      <w:r w:rsidR="006B2B1B">
        <w:t>Value creation configurations could identify the vari</w:t>
      </w:r>
      <w:r w:rsidR="004A2966">
        <w:t>ous complementarities</w:t>
      </w:r>
      <w:r w:rsidR="006B2B1B">
        <w:t xml:space="preserve"> and tensions: (a) between the different drivers; (b) between the different sub-drivers within each driver; (c) between the different sub-drivers </w:t>
      </w:r>
      <w:r w:rsidR="004341BF">
        <w:t xml:space="preserve">of </w:t>
      </w:r>
      <w:r w:rsidR="006B2B1B">
        <w:t>different drivers.</w:t>
      </w:r>
      <w:r w:rsidR="004341BF">
        <w:t xml:space="preserve"> Indeed, t</w:t>
      </w:r>
      <w:r w:rsidR="006B2B1B">
        <w:t xml:space="preserve">he importance of any value driver (or sub-driver) on buyout performance is likely contingent on the </w:t>
      </w:r>
      <w:r w:rsidR="00E02ABE">
        <w:t>configuration</w:t>
      </w:r>
      <w:r w:rsidR="006B2B1B">
        <w:t xml:space="preserve"> of other drivers (or sub-drivers) on buyout performance.</w:t>
      </w:r>
      <w:r w:rsidR="00421D26">
        <w:t xml:space="preserve"> Consequently, two buyouts with an identical value driver will not necessarily have identical performance (everything else being equal) to the extent that they differ on other drivers.</w:t>
      </w:r>
      <w:r w:rsidR="004341BF">
        <w:t xml:space="preserve"> </w:t>
      </w:r>
      <w:r w:rsidR="00E02ABE">
        <w:t>Therefore, the understanding of which factors reinforce (or weaken) each other is of crucial importance</w:t>
      </w:r>
      <w:r w:rsidR="004341BF">
        <w:t xml:space="preserve">. </w:t>
      </w:r>
      <w:r w:rsidR="005124CB">
        <w:t>This understanding also becomes important in comparing primary and secondary buyouts since we know little about how the effective configurations in the latter differ from those in the former.</w:t>
      </w:r>
      <w:r w:rsidR="005A2D2A">
        <w:t xml:space="preserve"> </w:t>
      </w:r>
      <w:r w:rsidR="004341BF">
        <w:t xml:space="preserve">In sum, whereas the understanding of each value driver (and sub-driver) in isolation is </w:t>
      </w:r>
      <w:r w:rsidR="004A2966">
        <w:t>important, it does not allow an overall comprehension of the relationships between these drivers and sub-drivers. To this end, the study of</w:t>
      </w:r>
      <w:r w:rsidR="004341BF">
        <w:t xml:space="preserve"> configurations </w:t>
      </w:r>
      <w:r w:rsidR="004A2966">
        <w:t>represents an important opportunity to understand the overall picture of value creation processes in buyout investments.</w:t>
      </w:r>
      <w:r w:rsidR="005124CB">
        <w:t xml:space="preserve"> </w:t>
      </w:r>
    </w:p>
    <w:p w14:paraId="653DDCE1" w14:textId="77777777" w:rsidR="00DB0EF6" w:rsidRDefault="00DB0EF6">
      <w:r>
        <w:t xml:space="preserve">Third, studies of drivers of value creation have been limited in the extent to which </w:t>
      </w:r>
      <w:r w:rsidR="0070314C">
        <w:t>value creation is down to</w:t>
      </w:r>
      <w:r>
        <w:t xml:space="preserve"> domestic versus international factors. </w:t>
      </w:r>
      <w:r w:rsidR="0070314C">
        <w:t xml:space="preserve">Internationalization </w:t>
      </w:r>
      <w:r w:rsidR="00720517">
        <w:t xml:space="preserve">is oftentimes more challenging and riskier than domestic expansion and </w:t>
      </w:r>
      <w:r w:rsidR="0070314C">
        <w:t xml:space="preserve">may require both incentives and resources. </w:t>
      </w:r>
      <w:r w:rsidR="00720517">
        <w:t xml:space="preserve">A PE backed buyout may bring increased ownership incentives for managers and monitoring and added value resources from financial investors. </w:t>
      </w:r>
      <w:r w:rsidR="000A4935">
        <w:t>There is some evidence of a different approach to HRM policies by foreign owned PE firms compared to domestic firms (Bacon et al., 201</w:t>
      </w:r>
      <w:r w:rsidR="00D2255C">
        <w:t>2</w:t>
      </w:r>
      <w:r w:rsidR="000A4935">
        <w:t xml:space="preserve">). One of the few available studies relating to international expansion by portfolio firms finds, based on a cross-sectional survey, </w:t>
      </w:r>
      <w:r w:rsidR="000A4935" w:rsidRPr="000A4935">
        <w:t xml:space="preserve">that monitoring as opposed to value adding inputs by PE firms </w:t>
      </w:r>
      <w:r w:rsidR="000A4935">
        <w:t>are</w:t>
      </w:r>
      <w:r w:rsidR="000A4935" w:rsidRPr="000A4935">
        <w:t xml:space="preserve"> more important for buyouts than for early stage VC backed firms in assisting the international expansion of the business</w:t>
      </w:r>
      <w:r w:rsidR="000A4935">
        <w:t xml:space="preserve"> (Lockett et al., 2008)</w:t>
      </w:r>
      <w:r w:rsidR="000A4935" w:rsidRPr="000A4935">
        <w:t>.</w:t>
      </w:r>
      <w:r w:rsidR="000A4935">
        <w:t xml:space="preserve"> What is lacking is analysis of whether </w:t>
      </w:r>
      <w:r w:rsidR="000A4935" w:rsidRPr="000A4935">
        <w:t xml:space="preserve">better performing firms select into exporting </w:t>
      </w:r>
      <w:r w:rsidR="000A4935">
        <w:t xml:space="preserve">following a buyout </w:t>
      </w:r>
      <w:r w:rsidR="000A4935" w:rsidRPr="000A4935">
        <w:t xml:space="preserve">and/or </w:t>
      </w:r>
      <w:r w:rsidR="000A4935">
        <w:t xml:space="preserve">whether </w:t>
      </w:r>
      <w:r w:rsidR="000A4935" w:rsidRPr="000A4935">
        <w:t>PE investor</w:t>
      </w:r>
      <w:r w:rsidR="000A4935">
        <w:t>s</w:t>
      </w:r>
      <w:r w:rsidR="000A4935" w:rsidRPr="000A4935">
        <w:t xml:space="preserve"> </w:t>
      </w:r>
      <w:r w:rsidR="000A4935">
        <w:t>help</w:t>
      </w:r>
      <w:r w:rsidR="000A4935" w:rsidRPr="000A4935">
        <w:t xml:space="preserve"> increase the export intensity of </w:t>
      </w:r>
      <w:r w:rsidR="000A4935">
        <w:t>those portfolio</w:t>
      </w:r>
      <w:r w:rsidR="000A4935" w:rsidRPr="000A4935">
        <w:t xml:space="preserve"> firms already </w:t>
      </w:r>
      <w:r w:rsidR="000A4935">
        <w:t>e</w:t>
      </w:r>
      <w:r w:rsidR="000A4935" w:rsidRPr="000A4935">
        <w:t>xport</w:t>
      </w:r>
      <w:r w:rsidR="000A4935">
        <w:t>ing, and what the drivers are of such changes. For example, to what extent</w:t>
      </w:r>
      <w:r w:rsidR="000A4935" w:rsidRPr="000A4935">
        <w:t xml:space="preserve"> </w:t>
      </w:r>
      <w:r w:rsidR="000A4935">
        <w:t xml:space="preserve">do foreign </w:t>
      </w:r>
      <w:r w:rsidR="000A4935" w:rsidRPr="000A4935">
        <w:t xml:space="preserve">PE investors, syndicates </w:t>
      </w:r>
      <w:r w:rsidR="000A4935">
        <w:t xml:space="preserve">involving foreign PE firms </w:t>
      </w:r>
      <w:r w:rsidR="000A4935" w:rsidRPr="000A4935">
        <w:t xml:space="preserve">and </w:t>
      </w:r>
      <w:r w:rsidR="000A4935">
        <w:t xml:space="preserve">the </w:t>
      </w:r>
      <w:r w:rsidR="000A4935" w:rsidRPr="000A4935">
        <w:t xml:space="preserve">appointment of directors with </w:t>
      </w:r>
      <w:r w:rsidR="000A4935">
        <w:t xml:space="preserve">foreign market </w:t>
      </w:r>
      <w:r w:rsidR="000A4935" w:rsidRPr="000A4935">
        <w:t xml:space="preserve">experience </w:t>
      </w:r>
      <w:r w:rsidR="000A4935">
        <w:t xml:space="preserve">drive changes in export propensity and intensity? </w:t>
      </w:r>
    </w:p>
    <w:p w14:paraId="114F9F26" w14:textId="30D3D6C4" w:rsidR="00481094" w:rsidRDefault="00DB0EF6">
      <w:r>
        <w:t xml:space="preserve">Fourth, </w:t>
      </w:r>
      <w:r w:rsidR="00C24969">
        <w:t xml:space="preserve">configurations </w:t>
      </w:r>
      <w:r>
        <w:t xml:space="preserve">and international aspects </w:t>
      </w:r>
      <w:r w:rsidR="00C24969">
        <w:t xml:space="preserve">can be studied only </w:t>
      </w:r>
      <w:r w:rsidR="002079B5">
        <w:t>to the extent that</w:t>
      </w:r>
      <w:r w:rsidR="00C24969">
        <w:t xml:space="preserve"> the researcher is able to build databases that capture the different value drivers and sub-drivers</w:t>
      </w:r>
      <w:r w:rsidR="002079B5">
        <w:t xml:space="preserve"> of value creation in buyout</w:t>
      </w:r>
      <w:r w:rsidR="00C24969">
        <w:t xml:space="preserve">. </w:t>
      </w:r>
      <w:r w:rsidR="004A2966">
        <w:t xml:space="preserve">Data collection efforts </w:t>
      </w:r>
      <w:r w:rsidR="002079B5">
        <w:t xml:space="preserve">should be designed to capture the different drivers and sub-drivers and fully exploit the opportunities </w:t>
      </w:r>
      <w:r w:rsidR="004A2966">
        <w:t xml:space="preserve">to study configurations offered by </w:t>
      </w:r>
      <w:r w:rsidR="002079B5">
        <w:t>different data analysis techniques (e.g.,</w:t>
      </w:r>
      <w:r w:rsidR="004F5FE2">
        <w:t xml:space="preserve"> principal component analysis, fuzzy-set and unsupervised machine learning techniques)</w:t>
      </w:r>
      <w:r w:rsidR="002079B5">
        <w:t xml:space="preserve">. </w:t>
      </w:r>
      <w:r w:rsidR="004E2946">
        <w:t>In some jurisdictions, typically outside the US, private firms are legally obliged to provide details returns on their performance and these offer opportunities for large scale studies. Proprietary datasets may provide a richness of data not available from publicly available sources but care needs to be taken about their representativeness.</w:t>
      </w:r>
    </w:p>
    <w:p w14:paraId="2D99B918" w14:textId="2B6F9B25" w:rsidR="00481094" w:rsidRPr="001C35FA" w:rsidRDefault="002D4CF1" w:rsidP="004F76E2">
      <w:r>
        <w:t xml:space="preserve">Fifth, a </w:t>
      </w:r>
      <w:r w:rsidR="00481094" w:rsidRPr="001C35FA">
        <w:t xml:space="preserve">practical implication of the </w:t>
      </w:r>
      <w:r w:rsidR="004F5FE2">
        <w:t xml:space="preserve">framework </w:t>
      </w:r>
      <w:r w:rsidR="00481094" w:rsidRPr="001C35FA">
        <w:t xml:space="preserve">is that diverse means by which value is generated in buyouts, is explicit and logically organized. The </w:t>
      </w:r>
      <w:r w:rsidR="004A2966">
        <w:t>framework</w:t>
      </w:r>
      <w:r w:rsidR="004A2966" w:rsidRPr="001C35FA">
        <w:t xml:space="preserve"> </w:t>
      </w:r>
      <w:r w:rsidR="004A2966">
        <w:t xml:space="preserve">could help </w:t>
      </w:r>
      <w:r w:rsidR="00481094" w:rsidRPr="001C35FA">
        <w:t xml:space="preserve">practitioners to assess the </w:t>
      </w:r>
      <w:r w:rsidR="004F5FE2" w:rsidRPr="00AC3C9E">
        <w:t xml:space="preserve">potential </w:t>
      </w:r>
      <w:r w:rsidR="00481094" w:rsidRPr="001C35FA">
        <w:t xml:space="preserve">improvement of </w:t>
      </w:r>
      <w:r w:rsidR="004F5FE2">
        <w:t xml:space="preserve">companies </w:t>
      </w:r>
      <w:r w:rsidR="00481094" w:rsidRPr="001C35FA">
        <w:t>during</w:t>
      </w:r>
      <w:r w:rsidR="004F5FE2">
        <w:t xml:space="preserve"> the</w:t>
      </w:r>
      <w:r w:rsidR="00481094" w:rsidRPr="001C35FA">
        <w:t xml:space="preserve"> target identification and the due diligence</w:t>
      </w:r>
      <w:r w:rsidR="004A2966">
        <w:t xml:space="preserve"> stage</w:t>
      </w:r>
      <w:r w:rsidR="00481094" w:rsidRPr="001C35FA">
        <w:t xml:space="preserve">. From </w:t>
      </w:r>
      <w:r w:rsidR="004F5FE2">
        <w:t>the</w:t>
      </w:r>
      <w:r w:rsidR="00481094" w:rsidRPr="001C35FA">
        <w:t xml:space="preserve"> managerial or consulting perspective</w:t>
      </w:r>
      <w:r w:rsidR="004F5FE2">
        <w:t>s</w:t>
      </w:r>
      <w:r w:rsidR="00481094" w:rsidRPr="001C35FA">
        <w:t>, the model provides guidance as to which changes may be enacted during the post-buyout holding period.</w:t>
      </w:r>
      <w:r w:rsidR="00D2255C">
        <w:t xml:space="preserve"> However, introducing change in organizations may encounter resistance and research is needed to ascertain among managers and PE investors what are the key challenges to implementing different drivers and how these might be overcome.</w:t>
      </w:r>
    </w:p>
    <w:p w14:paraId="7D5EAA54" w14:textId="77ED26EF" w:rsidR="00DB0743" w:rsidRDefault="004A2966" w:rsidP="00773C68">
      <w:r>
        <w:t xml:space="preserve">Finally, </w:t>
      </w:r>
      <w:r w:rsidR="005D070C">
        <w:t>the multiplicity of value creation drivers and sub-drivers</w:t>
      </w:r>
      <w:r w:rsidR="00634EFF">
        <w:t xml:space="preserve"> identified in this study</w:t>
      </w:r>
      <w:r w:rsidR="005D070C">
        <w:t xml:space="preserve"> suggests that </w:t>
      </w:r>
      <w:r w:rsidR="00481094" w:rsidRPr="001C35FA">
        <w:t xml:space="preserve">many private equity firms will need to widen their competency repertoire </w:t>
      </w:r>
      <w:r>
        <w:t xml:space="preserve">to exploit </w:t>
      </w:r>
      <w:r w:rsidR="00481094" w:rsidRPr="001C35FA">
        <w:t xml:space="preserve">the </w:t>
      </w:r>
      <w:r w:rsidR="005D070C">
        <w:t xml:space="preserve">different value creation opportunities </w:t>
      </w:r>
      <w:r>
        <w:t xml:space="preserve">and therefore </w:t>
      </w:r>
      <w:r w:rsidR="00481094" w:rsidRPr="001C35FA">
        <w:t>secure business success over the long term.</w:t>
      </w:r>
      <w:r>
        <w:t xml:space="preserve"> </w:t>
      </w:r>
      <w:r w:rsidR="00634EFF">
        <w:t>However, these different value creation drivers and sub-drivers require the development of a very heterogeneous set of skills and competences at the private equity firm level, which represent</w:t>
      </w:r>
      <w:r w:rsidR="00E02ABE">
        <w:t>s</w:t>
      </w:r>
      <w:r w:rsidR="00634EFF">
        <w:t xml:space="preserve"> a big challenge for many players such as small firms with few resources or investors highly specialized on one value creation driver. The understanding of</w:t>
      </w:r>
      <w:r w:rsidR="00773C68">
        <w:t xml:space="preserve"> </w:t>
      </w:r>
      <w:r w:rsidR="00634EFF">
        <w:t>how private equity firms can overcome the difficulty of developing this diverse set of skills and competencies represent</w:t>
      </w:r>
      <w:r w:rsidR="00773C68">
        <w:t>s</w:t>
      </w:r>
      <w:r w:rsidR="00634EFF">
        <w:t xml:space="preserve"> an interesting avenue for future research, one that may shed light on many puzzles regarding the drivers </w:t>
      </w:r>
      <w:r w:rsidR="00E02ABE">
        <w:t xml:space="preserve">and </w:t>
      </w:r>
      <w:r w:rsidR="00807C38">
        <w:t xml:space="preserve">the </w:t>
      </w:r>
      <w:r w:rsidR="00E02ABE">
        <w:t xml:space="preserve">heterogeneity of </w:t>
      </w:r>
      <w:r w:rsidR="00634EFF">
        <w:t>private equity firms</w:t>
      </w:r>
      <w:r w:rsidR="00773C68">
        <w:t>’</w:t>
      </w:r>
      <w:r w:rsidR="00634EFF">
        <w:t xml:space="preserve"> performance.</w:t>
      </w:r>
    </w:p>
    <w:p w14:paraId="65B8FD2E" w14:textId="77777777" w:rsidR="00F558CB" w:rsidRDefault="00F558CB">
      <w:pPr>
        <w:spacing w:line="240" w:lineRule="auto"/>
        <w:ind w:firstLine="0"/>
        <w:jc w:val="left"/>
        <w:rPr>
          <w:b/>
          <w:bCs/>
          <w:iCs/>
        </w:rPr>
      </w:pPr>
      <w:r>
        <w:br w:type="page"/>
      </w:r>
    </w:p>
    <w:p w14:paraId="04D5B0C5" w14:textId="77777777" w:rsidR="00A86F47" w:rsidRPr="00CF7500" w:rsidRDefault="008C31C9" w:rsidP="00A86F47">
      <w:pPr>
        <w:pStyle w:val="Heading1"/>
        <w:rPr>
          <w:szCs w:val="24"/>
        </w:rPr>
      </w:pPr>
      <w:r w:rsidRPr="00CF7500">
        <w:rPr>
          <w:szCs w:val="24"/>
        </w:rPr>
        <w:t>References</w:t>
      </w:r>
    </w:p>
    <w:p w14:paraId="14EB2DFE" w14:textId="6A1720B9" w:rsidR="00676F76" w:rsidRPr="00CF7500" w:rsidRDefault="008C31C9" w:rsidP="00CF7500">
      <w:pPr>
        <w:pStyle w:val="Refs"/>
        <w:numPr>
          <w:ilvl w:val="0"/>
          <w:numId w:val="0"/>
        </w:numPr>
        <w:tabs>
          <w:tab w:val="clear" w:pos="360"/>
          <w:tab w:val="left" w:pos="426"/>
        </w:tabs>
        <w:ind w:left="170" w:hanging="425"/>
        <w:rPr>
          <w:sz w:val="24"/>
        </w:rPr>
      </w:pPr>
      <w:r w:rsidRPr="00CF7500">
        <w:rPr>
          <w:sz w:val="24"/>
        </w:rPr>
        <w:t>Acharya, V. V</w:t>
      </w:r>
      <w:r w:rsidR="00D81400" w:rsidRPr="00AF2689">
        <w:rPr>
          <w:sz w:val="24"/>
        </w:rPr>
        <w:t>.</w:t>
      </w:r>
      <w:r w:rsidRPr="00CF7500">
        <w:rPr>
          <w:sz w:val="24"/>
        </w:rPr>
        <w:t xml:space="preserve">, </w:t>
      </w:r>
      <w:r w:rsidR="00D81400" w:rsidRPr="00AF2689">
        <w:rPr>
          <w:sz w:val="24"/>
        </w:rPr>
        <w:t xml:space="preserve">O. </w:t>
      </w:r>
      <w:r w:rsidRPr="00CF7500">
        <w:rPr>
          <w:sz w:val="24"/>
        </w:rPr>
        <w:t xml:space="preserve">Gottschalg, </w:t>
      </w:r>
      <w:r w:rsidR="00D81400" w:rsidRPr="00AF2689">
        <w:rPr>
          <w:sz w:val="24"/>
        </w:rPr>
        <w:t xml:space="preserve">M. </w:t>
      </w:r>
      <w:r w:rsidRPr="00CF7500">
        <w:rPr>
          <w:sz w:val="24"/>
        </w:rPr>
        <w:t xml:space="preserve">Hahn, and </w:t>
      </w:r>
      <w:r w:rsidR="00D81400" w:rsidRPr="00AF2689">
        <w:rPr>
          <w:sz w:val="24"/>
        </w:rPr>
        <w:t xml:space="preserve">C. </w:t>
      </w:r>
      <w:r w:rsidRPr="00CF7500">
        <w:rPr>
          <w:sz w:val="24"/>
        </w:rPr>
        <w:t>Kehoe</w:t>
      </w:r>
      <w:r w:rsidR="00D81400" w:rsidRPr="00AF2689">
        <w:rPr>
          <w:sz w:val="24"/>
        </w:rPr>
        <w:t>.</w:t>
      </w:r>
      <w:r w:rsidRPr="00CF7500">
        <w:rPr>
          <w:sz w:val="24"/>
        </w:rPr>
        <w:t xml:space="preserve"> 2013. </w:t>
      </w:r>
      <w:r w:rsidR="00D81400" w:rsidRPr="00AF2689">
        <w:rPr>
          <w:sz w:val="24"/>
        </w:rPr>
        <w:t>“</w:t>
      </w:r>
      <w:r w:rsidR="00AA5369" w:rsidRPr="00AF2689">
        <w:rPr>
          <w:sz w:val="24"/>
        </w:rPr>
        <w:t>C</w:t>
      </w:r>
      <w:r w:rsidR="00D81400" w:rsidRPr="00AF2689">
        <w:rPr>
          <w:sz w:val="24"/>
        </w:rPr>
        <w:t xml:space="preserve">orporate governance and value creation: </w:t>
      </w:r>
      <w:r w:rsidR="00AA5369" w:rsidRPr="00AF2689">
        <w:rPr>
          <w:sz w:val="24"/>
        </w:rPr>
        <w:t>E</w:t>
      </w:r>
      <w:r w:rsidR="00D81400" w:rsidRPr="00AF2689">
        <w:rPr>
          <w:sz w:val="24"/>
        </w:rPr>
        <w:t>vidence from private equity”</w:t>
      </w:r>
      <w:r w:rsidRPr="00CF7500">
        <w:rPr>
          <w:sz w:val="24"/>
        </w:rPr>
        <w:t xml:space="preserve">. </w:t>
      </w:r>
      <w:r w:rsidRPr="00CF7500">
        <w:rPr>
          <w:i/>
          <w:sz w:val="24"/>
        </w:rPr>
        <w:t>Review of Financial Studies</w:t>
      </w:r>
      <w:r w:rsidR="00D81400" w:rsidRPr="00AF2689">
        <w:rPr>
          <w:sz w:val="24"/>
        </w:rPr>
        <w:t>.</w:t>
      </w:r>
      <w:r w:rsidRPr="00CF7500">
        <w:rPr>
          <w:sz w:val="24"/>
        </w:rPr>
        <w:t xml:space="preserve"> 26</w:t>
      </w:r>
      <w:r w:rsidR="00D81400" w:rsidRPr="00AF2689">
        <w:rPr>
          <w:sz w:val="24"/>
        </w:rPr>
        <w:t>(</w:t>
      </w:r>
      <w:r w:rsidRPr="00CF7500">
        <w:rPr>
          <w:sz w:val="24"/>
        </w:rPr>
        <w:t>2</w:t>
      </w:r>
      <w:r w:rsidR="00D81400" w:rsidRPr="00AF2689">
        <w:rPr>
          <w:sz w:val="24"/>
        </w:rPr>
        <w:t>)</w:t>
      </w:r>
      <w:r w:rsidRPr="00CF7500">
        <w:rPr>
          <w:sz w:val="24"/>
        </w:rPr>
        <w:t>: 368</w:t>
      </w:r>
      <w:r w:rsidR="00744447" w:rsidRPr="00AF2689">
        <w:rPr>
          <w:sz w:val="24"/>
        </w:rPr>
        <w:t>-</w:t>
      </w:r>
      <w:r w:rsidRPr="00CF7500">
        <w:rPr>
          <w:sz w:val="24"/>
        </w:rPr>
        <w:t>402.</w:t>
      </w:r>
    </w:p>
    <w:p w14:paraId="1D501423" w14:textId="4EF35B73" w:rsidR="00676F76" w:rsidRPr="00CF7500" w:rsidRDefault="008C31C9" w:rsidP="00CF7500">
      <w:pPr>
        <w:pStyle w:val="Refs"/>
        <w:numPr>
          <w:ilvl w:val="0"/>
          <w:numId w:val="0"/>
        </w:numPr>
        <w:tabs>
          <w:tab w:val="clear" w:pos="360"/>
          <w:tab w:val="left" w:pos="426"/>
        </w:tabs>
        <w:ind w:left="170" w:hanging="425"/>
        <w:rPr>
          <w:sz w:val="24"/>
        </w:rPr>
      </w:pPr>
      <w:r w:rsidRPr="00CF7500">
        <w:rPr>
          <w:sz w:val="24"/>
        </w:rPr>
        <w:t>Acharya, V. V</w:t>
      </w:r>
      <w:r w:rsidR="00D81400" w:rsidRPr="00AF2689">
        <w:rPr>
          <w:sz w:val="24"/>
        </w:rPr>
        <w:t>.</w:t>
      </w:r>
      <w:r w:rsidRPr="00CF7500">
        <w:rPr>
          <w:sz w:val="24"/>
        </w:rPr>
        <w:t xml:space="preserve">, </w:t>
      </w:r>
      <w:r w:rsidR="00D81400" w:rsidRPr="00AF2689">
        <w:rPr>
          <w:sz w:val="24"/>
        </w:rPr>
        <w:t xml:space="preserve">C. </w:t>
      </w:r>
      <w:r w:rsidRPr="00CF7500">
        <w:rPr>
          <w:sz w:val="24"/>
        </w:rPr>
        <w:t>Kehoe</w:t>
      </w:r>
      <w:r w:rsidR="00D81400" w:rsidRPr="00AF2689">
        <w:rPr>
          <w:sz w:val="24"/>
        </w:rPr>
        <w:t>,</w:t>
      </w:r>
      <w:r w:rsidRPr="00CF7500">
        <w:rPr>
          <w:sz w:val="24"/>
        </w:rPr>
        <w:t xml:space="preserve"> and </w:t>
      </w:r>
      <w:r w:rsidR="00D81400" w:rsidRPr="00AF2689">
        <w:rPr>
          <w:sz w:val="24"/>
        </w:rPr>
        <w:t xml:space="preserve">M. </w:t>
      </w:r>
      <w:r w:rsidRPr="00CF7500">
        <w:rPr>
          <w:sz w:val="24"/>
        </w:rPr>
        <w:t>Reyner. 2008</w:t>
      </w:r>
      <w:r w:rsidR="00D81400" w:rsidRPr="00AF2689">
        <w:rPr>
          <w:sz w:val="24"/>
        </w:rPr>
        <w:t>.</w:t>
      </w:r>
      <w:r w:rsidRPr="00CF7500">
        <w:rPr>
          <w:sz w:val="24"/>
        </w:rPr>
        <w:t xml:space="preserve"> </w:t>
      </w:r>
      <w:r w:rsidR="00D81400" w:rsidRPr="00AF2689">
        <w:rPr>
          <w:sz w:val="24"/>
        </w:rPr>
        <w:t>“</w:t>
      </w:r>
      <w:r w:rsidRPr="00CF7500">
        <w:rPr>
          <w:sz w:val="24"/>
        </w:rPr>
        <w:t>Private Equity vs. PLC Boards in the U.K.: A Comparison of Practices and Effectiveness</w:t>
      </w:r>
      <w:r w:rsidR="00D81400" w:rsidRPr="00AF2689">
        <w:rPr>
          <w:sz w:val="24"/>
        </w:rPr>
        <w:t>”</w:t>
      </w:r>
      <w:r w:rsidRPr="00CF7500">
        <w:rPr>
          <w:sz w:val="24"/>
        </w:rPr>
        <w:t xml:space="preserve">. </w:t>
      </w:r>
      <w:r w:rsidRPr="00CF7500">
        <w:rPr>
          <w:i/>
          <w:sz w:val="24"/>
        </w:rPr>
        <w:t>ECGI - Finance Working Paper No. 233/2009</w:t>
      </w:r>
      <w:r w:rsidRPr="00CF7500">
        <w:rPr>
          <w:sz w:val="24"/>
        </w:rPr>
        <w:t>.</w:t>
      </w:r>
    </w:p>
    <w:p w14:paraId="2421324C" w14:textId="627B666B" w:rsidR="00676F76" w:rsidRPr="00CF7500" w:rsidRDefault="008C31C9" w:rsidP="00CF7500">
      <w:pPr>
        <w:pStyle w:val="Refs"/>
        <w:numPr>
          <w:ilvl w:val="0"/>
          <w:numId w:val="0"/>
        </w:numPr>
        <w:tabs>
          <w:tab w:val="clear" w:pos="360"/>
          <w:tab w:val="left" w:pos="426"/>
        </w:tabs>
        <w:ind w:left="170" w:hanging="425"/>
        <w:rPr>
          <w:sz w:val="24"/>
        </w:rPr>
      </w:pPr>
      <w:r w:rsidRPr="00CF7500">
        <w:rPr>
          <w:sz w:val="24"/>
        </w:rPr>
        <w:t xml:space="preserve">Achleitner, A.-K., </w:t>
      </w:r>
      <w:r w:rsidR="009070A5" w:rsidRPr="00AF2689">
        <w:rPr>
          <w:sz w:val="24"/>
        </w:rPr>
        <w:t xml:space="preserve">O. </w:t>
      </w:r>
      <w:r w:rsidRPr="00CF7500">
        <w:rPr>
          <w:sz w:val="24"/>
        </w:rPr>
        <w:t xml:space="preserve">Bauer, </w:t>
      </w:r>
      <w:r w:rsidR="009070A5" w:rsidRPr="00AF2689">
        <w:rPr>
          <w:sz w:val="24"/>
        </w:rPr>
        <w:t xml:space="preserve">C. </w:t>
      </w:r>
      <w:r w:rsidRPr="00CF7500">
        <w:rPr>
          <w:sz w:val="24"/>
        </w:rPr>
        <w:t xml:space="preserve">Figge, and </w:t>
      </w:r>
      <w:r w:rsidR="009070A5" w:rsidRPr="00AF2689">
        <w:rPr>
          <w:sz w:val="24"/>
        </w:rPr>
        <w:t>E.</w:t>
      </w:r>
      <w:r w:rsidR="00D81400" w:rsidRPr="00AF2689">
        <w:rPr>
          <w:sz w:val="24"/>
        </w:rPr>
        <w:t xml:space="preserve"> </w:t>
      </w:r>
      <w:r w:rsidRPr="00CF7500">
        <w:rPr>
          <w:sz w:val="24"/>
        </w:rPr>
        <w:t xml:space="preserve">Lutz. 2012. </w:t>
      </w:r>
      <w:r w:rsidR="00D81400" w:rsidRPr="00AF2689">
        <w:rPr>
          <w:sz w:val="24"/>
        </w:rPr>
        <w:t>“</w:t>
      </w:r>
      <w:r w:rsidRPr="00CF7500">
        <w:rPr>
          <w:sz w:val="24"/>
        </w:rPr>
        <w:t xml:space="preserve">The </w:t>
      </w:r>
      <w:r w:rsidR="00D81400" w:rsidRPr="00AF2689">
        <w:rPr>
          <w:sz w:val="24"/>
        </w:rPr>
        <w:t>case for secondary buyouts as exit channel”</w:t>
      </w:r>
      <w:r w:rsidRPr="00CF7500">
        <w:rPr>
          <w:sz w:val="24"/>
        </w:rPr>
        <w:t xml:space="preserve">. </w:t>
      </w:r>
      <w:r w:rsidRPr="00CF7500">
        <w:rPr>
          <w:i/>
          <w:sz w:val="24"/>
        </w:rPr>
        <w:t>Journal of Applied Corporate Finance</w:t>
      </w:r>
      <w:r w:rsidR="00785CDD" w:rsidRPr="00AF2689">
        <w:rPr>
          <w:sz w:val="24"/>
        </w:rPr>
        <w:t>.</w:t>
      </w:r>
      <w:r w:rsidRPr="00CF7500">
        <w:rPr>
          <w:sz w:val="24"/>
        </w:rPr>
        <w:t xml:space="preserve"> 24</w:t>
      </w:r>
      <w:r w:rsidR="00CD1425" w:rsidRPr="00AF2689">
        <w:rPr>
          <w:sz w:val="24"/>
        </w:rPr>
        <w:t>(</w:t>
      </w:r>
      <w:r w:rsidRPr="00CF7500">
        <w:rPr>
          <w:sz w:val="24"/>
        </w:rPr>
        <w:t>4</w:t>
      </w:r>
      <w:r w:rsidR="00AA5369" w:rsidRPr="00AF2689">
        <w:rPr>
          <w:sz w:val="24"/>
        </w:rPr>
        <w:t>)</w:t>
      </w:r>
      <w:r w:rsidRPr="00CF7500">
        <w:rPr>
          <w:sz w:val="24"/>
        </w:rPr>
        <w:t>: 102</w:t>
      </w:r>
      <w:r w:rsidR="00744447" w:rsidRPr="00AF2689">
        <w:rPr>
          <w:sz w:val="24"/>
        </w:rPr>
        <w:t>-</w:t>
      </w:r>
      <w:r w:rsidRPr="00CF7500">
        <w:rPr>
          <w:sz w:val="24"/>
        </w:rPr>
        <w:t>111.</w:t>
      </w:r>
    </w:p>
    <w:p w14:paraId="28934E33" w14:textId="0BEF4E59" w:rsidR="00676F76" w:rsidRPr="00CF7500" w:rsidRDefault="008C31C9" w:rsidP="00CF7500">
      <w:pPr>
        <w:pStyle w:val="Refs"/>
        <w:numPr>
          <w:ilvl w:val="0"/>
          <w:numId w:val="0"/>
        </w:numPr>
        <w:tabs>
          <w:tab w:val="clear" w:pos="360"/>
          <w:tab w:val="left" w:pos="426"/>
        </w:tabs>
        <w:ind w:left="170" w:hanging="425"/>
        <w:rPr>
          <w:sz w:val="24"/>
        </w:rPr>
      </w:pPr>
      <w:r w:rsidRPr="00CF7500">
        <w:rPr>
          <w:sz w:val="24"/>
        </w:rPr>
        <w:t xml:space="preserve">Achleitner, A.-K., </w:t>
      </w:r>
      <w:r w:rsidR="009070A5" w:rsidRPr="00AF2689">
        <w:rPr>
          <w:sz w:val="24"/>
        </w:rPr>
        <w:t xml:space="preserve">R. </w:t>
      </w:r>
      <w:r w:rsidRPr="00CF7500">
        <w:rPr>
          <w:sz w:val="24"/>
        </w:rPr>
        <w:t xml:space="preserve">Braun, and </w:t>
      </w:r>
      <w:r w:rsidR="009070A5" w:rsidRPr="00AF2689">
        <w:rPr>
          <w:sz w:val="24"/>
        </w:rPr>
        <w:t>N.</w:t>
      </w:r>
      <w:r w:rsidR="00D81400" w:rsidRPr="00AF2689">
        <w:rPr>
          <w:sz w:val="24"/>
        </w:rPr>
        <w:t xml:space="preserve"> </w:t>
      </w:r>
      <w:r w:rsidRPr="00CF7500">
        <w:rPr>
          <w:sz w:val="24"/>
        </w:rPr>
        <w:t xml:space="preserve">Engel. 2011. </w:t>
      </w:r>
      <w:r w:rsidR="00D81400" w:rsidRPr="00AF2689">
        <w:rPr>
          <w:sz w:val="24"/>
        </w:rPr>
        <w:t>“</w:t>
      </w:r>
      <w:r w:rsidRPr="00CF7500">
        <w:rPr>
          <w:sz w:val="24"/>
        </w:rPr>
        <w:t xml:space="preserve">Value </w:t>
      </w:r>
      <w:r w:rsidR="00D81400" w:rsidRPr="00AF2689">
        <w:rPr>
          <w:sz w:val="24"/>
        </w:rPr>
        <w:t>creation and pricing in buyouts</w:t>
      </w:r>
      <w:r w:rsidRPr="00CF7500">
        <w:rPr>
          <w:sz w:val="24"/>
        </w:rPr>
        <w:t xml:space="preserve">: Empirical </w:t>
      </w:r>
      <w:r w:rsidR="00BB7CF9" w:rsidRPr="00AF2689">
        <w:rPr>
          <w:sz w:val="24"/>
        </w:rPr>
        <w:t>e</w:t>
      </w:r>
      <w:r w:rsidRPr="00CF7500">
        <w:rPr>
          <w:sz w:val="24"/>
        </w:rPr>
        <w:t>vidence from Europe and North America</w:t>
      </w:r>
      <w:r w:rsidR="00D81400" w:rsidRPr="00AF2689">
        <w:rPr>
          <w:sz w:val="24"/>
        </w:rPr>
        <w:t>”</w:t>
      </w:r>
      <w:r w:rsidRPr="00CF7500">
        <w:rPr>
          <w:sz w:val="24"/>
        </w:rPr>
        <w:t xml:space="preserve">. </w:t>
      </w:r>
      <w:r w:rsidRPr="00CF7500">
        <w:rPr>
          <w:i/>
          <w:sz w:val="24"/>
        </w:rPr>
        <w:t>Review of Financial Economics</w:t>
      </w:r>
      <w:r w:rsidR="00785CDD" w:rsidRPr="00AF2689">
        <w:rPr>
          <w:sz w:val="24"/>
        </w:rPr>
        <w:t>. 2</w:t>
      </w:r>
      <w:r w:rsidRPr="00CF7500">
        <w:rPr>
          <w:sz w:val="24"/>
        </w:rPr>
        <w:t>0</w:t>
      </w:r>
      <w:r w:rsidR="001F772F" w:rsidRPr="00AF2689">
        <w:rPr>
          <w:sz w:val="24"/>
        </w:rPr>
        <w:t>(4)</w:t>
      </w:r>
      <w:r w:rsidRPr="00CF7500">
        <w:rPr>
          <w:sz w:val="24"/>
        </w:rPr>
        <w:t>: 146</w:t>
      </w:r>
      <w:r w:rsidR="00744447" w:rsidRPr="00AF2689">
        <w:rPr>
          <w:sz w:val="24"/>
        </w:rPr>
        <w:t>-</w:t>
      </w:r>
      <w:r w:rsidRPr="00CF7500">
        <w:rPr>
          <w:sz w:val="24"/>
        </w:rPr>
        <w:t>161.</w:t>
      </w:r>
    </w:p>
    <w:p w14:paraId="362BC408" w14:textId="65FB9AA0" w:rsidR="00676F76" w:rsidRPr="00CF7500" w:rsidRDefault="008C31C9" w:rsidP="00CF7500">
      <w:pPr>
        <w:pStyle w:val="Refs"/>
        <w:numPr>
          <w:ilvl w:val="0"/>
          <w:numId w:val="0"/>
        </w:numPr>
        <w:tabs>
          <w:tab w:val="clear" w:pos="360"/>
          <w:tab w:val="left" w:pos="426"/>
        </w:tabs>
        <w:ind w:left="170" w:hanging="425"/>
        <w:rPr>
          <w:sz w:val="24"/>
        </w:rPr>
      </w:pPr>
      <w:r w:rsidRPr="00CF7500">
        <w:rPr>
          <w:sz w:val="24"/>
        </w:rPr>
        <w:t xml:space="preserve">Achleitner, A.-K. and </w:t>
      </w:r>
      <w:r w:rsidR="009070A5" w:rsidRPr="00AF2689">
        <w:rPr>
          <w:sz w:val="24"/>
        </w:rPr>
        <w:t>C.</w:t>
      </w:r>
      <w:r w:rsidR="00D81400" w:rsidRPr="00AF2689">
        <w:rPr>
          <w:sz w:val="24"/>
        </w:rPr>
        <w:t xml:space="preserve"> </w:t>
      </w:r>
      <w:r w:rsidRPr="00CF7500">
        <w:rPr>
          <w:sz w:val="24"/>
        </w:rPr>
        <w:t xml:space="preserve">Figge. 2014. </w:t>
      </w:r>
      <w:r w:rsidR="00D81400" w:rsidRPr="00AF2689">
        <w:rPr>
          <w:sz w:val="24"/>
        </w:rPr>
        <w:t>“</w:t>
      </w:r>
      <w:r w:rsidRPr="00CF7500">
        <w:rPr>
          <w:sz w:val="24"/>
        </w:rPr>
        <w:t xml:space="preserve">Private </w:t>
      </w:r>
      <w:r w:rsidR="00D81400" w:rsidRPr="00AF2689">
        <w:rPr>
          <w:sz w:val="24"/>
        </w:rPr>
        <w:t>equity lemons</w:t>
      </w:r>
      <w:r w:rsidRPr="00CF7500">
        <w:rPr>
          <w:sz w:val="24"/>
        </w:rPr>
        <w:t xml:space="preserve">? Evidence on </w:t>
      </w:r>
      <w:r w:rsidR="00D81400" w:rsidRPr="00AF2689">
        <w:rPr>
          <w:sz w:val="24"/>
        </w:rPr>
        <w:t>value creation in secondary buyouts”</w:t>
      </w:r>
      <w:r w:rsidRPr="00CF7500">
        <w:rPr>
          <w:sz w:val="24"/>
        </w:rPr>
        <w:t xml:space="preserve">. </w:t>
      </w:r>
      <w:r w:rsidRPr="00CF7500">
        <w:rPr>
          <w:i/>
          <w:sz w:val="24"/>
        </w:rPr>
        <w:t>European Financial Management</w:t>
      </w:r>
      <w:r w:rsidR="00785CDD" w:rsidRPr="00AF2689">
        <w:rPr>
          <w:sz w:val="24"/>
        </w:rPr>
        <w:t>. 2</w:t>
      </w:r>
      <w:r w:rsidRPr="00CF7500">
        <w:rPr>
          <w:sz w:val="24"/>
        </w:rPr>
        <w:t>0</w:t>
      </w:r>
      <w:r w:rsidR="00CD1425" w:rsidRPr="00AF2689">
        <w:rPr>
          <w:sz w:val="24"/>
        </w:rPr>
        <w:t>(</w:t>
      </w:r>
      <w:r w:rsidRPr="00CF7500">
        <w:rPr>
          <w:sz w:val="24"/>
        </w:rPr>
        <w:t>2</w:t>
      </w:r>
      <w:r w:rsidR="00AA5369" w:rsidRPr="00AF2689">
        <w:rPr>
          <w:sz w:val="24"/>
        </w:rPr>
        <w:t>)</w:t>
      </w:r>
      <w:r w:rsidRPr="00CF7500">
        <w:rPr>
          <w:sz w:val="24"/>
        </w:rPr>
        <w:t>: 406</w:t>
      </w:r>
      <w:r w:rsidR="00744447" w:rsidRPr="00AF2689">
        <w:rPr>
          <w:sz w:val="24"/>
        </w:rPr>
        <w:t>-</w:t>
      </w:r>
      <w:r w:rsidRPr="00CF7500">
        <w:rPr>
          <w:sz w:val="24"/>
        </w:rPr>
        <w:t>433.</w:t>
      </w:r>
    </w:p>
    <w:p w14:paraId="480C4803" w14:textId="5A03B9F7" w:rsidR="00676F76" w:rsidRPr="00CF7500" w:rsidRDefault="008C31C9" w:rsidP="00CF7500">
      <w:pPr>
        <w:pStyle w:val="Refs"/>
        <w:numPr>
          <w:ilvl w:val="0"/>
          <w:numId w:val="0"/>
        </w:numPr>
        <w:tabs>
          <w:tab w:val="clear" w:pos="360"/>
          <w:tab w:val="left" w:pos="426"/>
        </w:tabs>
        <w:ind w:left="170" w:hanging="425"/>
        <w:rPr>
          <w:sz w:val="24"/>
        </w:rPr>
      </w:pPr>
      <w:r w:rsidRPr="00CF7500">
        <w:rPr>
          <w:sz w:val="24"/>
        </w:rPr>
        <w:t xml:space="preserve">Ahlers, O., </w:t>
      </w:r>
      <w:r w:rsidR="00EE7792" w:rsidRPr="00AF2689">
        <w:rPr>
          <w:sz w:val="24"/>
        </w:rPr>
        <w:t>A. Hack, F. Kellermanns</w:t>
      </w:r>
      <w:r w:rsidR="00286088" w:rsidRPr="00AF2689">
        <w:rPr>
          <w:sz w:val="24"/>
        </w:rPr>
        <w:t>,</w:t>
      </w:r>
      <w:r w:rsidR="00D81400" w:rsidRPr="00AF2689">
        <w:rPr>
          <w:sz w:val="24"/>
        </w:rPr>
        <w:t xml:space="preserve"> </w:t>
      </w:r>
      <w:r w:rsidRPr="00CF7500">
        <w:rPr>
          <w:sz w:val="24"/>
        </w:rPr>
        <w:t xml:space="preserve">and </w:t>
      </w:r>
      <w:r w:rsidR="00EE7792" w:rsidRPr="00AF2689">
        <w:rPr>
          <w:sz w:val="24"/>
        </w:rPr>
        <w:t>M. Wright</w:t>
      </w:r>
      <w:r w:rsidRPr="00CF7500">
        <w:rPr>
          <w:sz w:val="24"/>
        </w:rPr>
        <w:t>. 201</w:t>
      </w:r>
      <w:r w:rsidR="00D81400" w:rsidRPr="00AF2689">
        <w:rPr>
          <w:sz w:val="24"/>
        </w:rPr>
        <w:t>6</w:t>
      </w:r>
      <w:r w:rsidRPr="00CF7500">
        <w:rPr>
          <w:sz w:val="24"/>
        </w:rPr>
        <w:t xml:space="preserve">. </w:t>
      </w:r>
      <w:r w:rsidR="00D81400" w:rsidRPr="00AF2689">
        <w:rPr>
          <w:sz w:val="24"/>
        </w:rPr>
        <w:t>“</w:t>
      </w:r>
      <w:r w:rsidRPr="00CF7500">
        <w:rPr>
          <w:sz w:val="24"/>
        </w:rPr>
        <w:t>Opening the black box: power in buyout negotiations and the moderating role of private equity specialization</w:t>
      </w:r>
      <w:r w:rsidR="00D81400" w:rsidRPr="00AF2689">
        <w:rPr>
          <w:sz w:val="24"/>
        </w:rPr>
        <w:t>”</w:t>
      </w:r>
      <w:r w:rsidRPr="00CF7500">
        <w:rPr>
          <w:sz w:val="24"/>
        </w:rPr>
        <w:t xml:space="preserve">. </w:t>
      </w:r>
      <w:r w:rsidRPr="00CF7500">
        <w:rPr>
          <w:i/>
          <w:sz w:val="24"/>
        </w:rPr>
        <w:t>Journal of Small Business Management</w:t>
      </w:r>
      <w:r w:rsidR="00785CDD" w:rsidRPr="00AF2689">
        <w:rPr>
          <w:sz w:val="24"/>
        </w:rPr>
        <w:t>. 5</w:t>
      </w:r>
      <w:r w:rsidR="00D81400" w:rsidRPr="00AF2689">
        <w:rPr>
          <w:sz w:val="24"/>
          <w:lang w:val="en-GB"/>
        </w:rPr>
        <w:t>4</w:t>
      </w:r>
      <w:r w:rsidR="001F772F" w:rsidRPr="00AF2689">
        <w:rPr>
          <w:sz w:val="24"/>
          <w:lang w:val="en-GB"/>
        </w:rPr>
        <w:t>(4)</w:t>
      </w:r>
      <w:r w:rsidR="00D81400" w:rsidRPr="00AF2689">
        <w:rPr>
          <w:sz w:val="24"/>
          <w:lang w:val="en-GB"/>
        </w:rPr>
        <w:t>: 1171-1192</w:t>
      </w:r>
      <w:r w:rsidRPr="00CF7500">
        <w:rPr>
          <w:sz w:val="24"/>
        </w:rPr>
        <w:t xml:space="preserve">. </w:t>
      </w:r>
    </w:p>
    <w:p w14:paraId="1A338484" w14:textId="05D56AEA" w:rsidR="00676F76" w:rsidRPr="00CF7500" w:rsidRDefault="008C31C9" w:rsidP="00CF7500">
      <w:pPr>
        <w:pStyle w:val="Refs"/>
        <w:numPr>
          <w:ilvl w:val="0"/>
          <w:numId w:val="0"/>
        </w:numPr>
        <w:tabs>
          <w:tab w:val="clear" w:pos="360"/>
          <w:tab w:val="left" w:pos="426"/>
        </w:tabs>
        <w:ind w:left="170" w:hanging="425"/>
        <w:rPr>
          <w:sz w:val="24"/>
        </w:rPr>
      </w:pPr>
      <w:r w:rsidRPr="00CF7500">
        <w:rPr>
          <w:sz w:val="24"/>
        </w:rPr>
        <w:t xml:space="preserve">Ahlers, O., </w:t>
      </w:r>
      <w:r w:rsidR="00EE7792" w:rsidRPr="00AF2689">
        <w:rPr>
          <w:sz w:val="24"/>
        </w:rPr>
        <w:t xml:space="preserve">A. </w:t>
      </w:r>
      <w:r w:rsidRPr="00CF7500">
        <w:rPr>
          <w:sz w:val="24"/>
        </w:rPr>
        <w:t xml:space="preserve">Hack, </w:t>
      </w:r>
      <w:r w:rsidR="00EE7792" w:rsidRPr="00AF2689">
        <w:rPr>
          <w:sz w:val="24"/>
        </w:rPr>
        <w:t xml:space="preserve">K. </w:t>
      </w:r>
      <w:r w:rsidRPr="00CF7500">
        <w:rPr>
          <w:sz w:val="24"/>
        </w:rPr>
        <w:t xml:space="preserve">Madison, </w:t>
      </w:r>
      <w:r w:rsidR="00EE7792" w:rsidRPr="00AF2689">
        <w:rPr>
          <w:sz w:val="24"/>
        </w:rPr>
        <w:t xml:space="preserve">M. </w:t>
      </w:r>
      <w:r w:rsidRPr="00CF7500">
        <w:rPr>
          <w:sz w:val="24"/>
        </w:rPr>
        <w:t xml:space="preserve">Wright, and </w:t>
      </w:r>
      <w:r w:rsidR="00EE7792" w:rsidRPr="00AF2689">
        <w:rPr>
          <w:sz w:val="24"/>
        </w:rPr>
        <w:t>F.</w:t>
      </w:r>
      <w:r w:rsidR="00D81400" w:rsidRPr="00AF2689">
        <w:rPr>
          <w:sz w:val="24"/>
        </w:rPr>
        <w:t xml:space="preserve"> </w:t>
      </w:r>
      <w:r w:rsidRPr="00CF7500">
        <w:rPr>
          <w:sz w:val="24"/>
        </w:rPr>
        <w:t xml:space="preserve">Kellermanns. 2016. </w:t>
      </w:r>
      <w:r w:rsidR="00D81400" w:rsidRPr="00AF2689">
        <w:rPr>
          <w:sz w:val="24"/>
        </w:rPr>
        <w:t>“</w:t>
      </w:r>
      <w:r w:rsidRPr="00CF7500">
        <w:rPr>
          <w:sz w:val="24"/>
        </w:rPr>
        <w:t>Is it all about money? – Affective commitment and the difference between family and non-family sellers in buyouts</w:t>
      </w:r>
      <w:r w:rsidR="00D81400" w:rsidRPr="00AF2689">
        <w:rPr>
          <w:sz w:val="24"/>
        </w:rPr>
        <w:t>”</w:t>
      </w:r>
      <w:r w:rsidRPr="00CF7500">
        <w:rPr>
          <w:sz w:val="24"/>
        </w:rPr>
        <w:t xml:space="preserve">. </w:t>
      </w:r>
      <w:r w:rsidRPr="00CF7500">
        <w:rPr>
          <w:i/>
          <w:sz w:val="24"/>
        </w:rPr>
        <w:t>British Journal of Management</w:t>
      </w:r>
      <w:r w:rsidR="00785CDD" w:rsidRPr="00AF2689">
        <w:rPr>
          <w:sz w:val="24"/>
        </w:rPr>
        <w:t>. 2</w:t>
      </w:r>
      <w:r w:rsidR="00D81400" w:rsidRPr="00AF2689">
        <w:rPr>
          <w:sz w:val="24"/>
          <w:lang w:val="en-GB"/>
        </w:rPr>
        <w:t>8</w:t>
      </w:r>
      <w:r w:rsidR="001F772F" w:rsidRPr="00AF2689">
        <w:rPr>
          <w:sz w:val="24"/>
          <w:lang w:val="en-GB"/>
        </w:rPr>
        <w:t>(2)</w:t>
      </w:r>
      <w:r w:rsidR="00D81400" w:rsidRPr="00AF2689">
        <w:rPr>
          <w:sz w:val="24"/>
          <w:lang w:val="en-GB"/>
        </w:rPr>
        <w:t>: 159</w:t>
      </w:r>
      <w:r w:rsidR="00744447" w:rsidRPr="00AF2689">
        <w:rPr>
          <w:sz w:val="24"/>
          <w:lang w:val="en-GB"/>
        </w:rPr>
        <w:t>-</w:t>
      </w:r>
      <w:r w:rsidR="00D81400" w:rsidRPr="00AF2689">
        <w:rPr>
          <w:sz w:val="24"/>
          <w:lang w:val="en-GB"/>
        </w:rPr>
        <w:t>179</w:t>
      </w:r>
      <w:r w:rsidR="00744447" w:rsidRPr="00AF2689">
        <w:rPr>
          <w:sz w:val="24"/>
          <w:lang w:val="en-GB"/>
        </w:rPr>
        <w:t>.</w:t>
      </w:r>
    </w:p>
    <w:p w14:paraId="456F853C" w14:textId="4DD6A409" w:rsidR="00676F76" w:rsidRPr="00CF7500" w:rsidRDefault="008C31C9" w:rsidP="00CF7500">
      <w:pPr>
        <w:pStyle w:val="Refs"/>
        <w:numPr>
          <w:ilvl w:val="0"/>
          <w:numId w:val="0"/>
        </w:numPr>
        <w:tabs>
          <w:tab w:val="clear" w:pos="360"/>
          <w:tab w:val="left" w:pos="426"/>
        </w:tabs>
        <w:ind w:left="170" w:hanging="425"/>
        <w:rPr>
          <w:sz w:val="24"/>
        </w:rPr>
      </w:pPr>
      <w:r w:rsidRPr="00CF7500">
        <w:rPr>
          <w:sz w:val="24"/>
        </w:rPr>
        <w:t xml:space="preserve">Alperovych, Y., K. Amess, and M. Wright. 2013. </w:t>
      </w:r>
      <w:r w:rsidR="00D81400" w:rsidRPr="00AF2689">
        <w:rPr>
          <w:sz w:val="24"/>
        </w:rPr>
        <w:t>“</w:t>
      </w:r>
      <w:r w:rsidRPr="00CF7500">
        <w:rPr>
          <w:sz w:val="24"/>
        </w:rPr>
        <w:t xml:space="preserve">Private </w:t>
      </w:r>
      <w:r w:rsidR="00D81400" w:rsidRPr="00AF2689">
        <w:rPr>
          <w:sz w:val="24"/>
        </w:rPr>
        <w:t xml:space="preserve">equity firm experience and buy-out vendor source: </w:t>
      </w:r>
      <w:r w:rsidR="00813247" w:rsidRPr="00AF2689">
        <w:rPr>
          <w:sz w:val="24"/>
        </w:rPr>
        <w:t>W</w:t>
      </w:r>
      <w:r w:rsidR="00D81400" w:rsidRPr="00AF2689">
        <w:rPr>
          <w:sz w:val="24"/>
        </w:rPr>
        <w:t>hat is their impact on efficiency</w:t>
      </w:r>
      <w:r w:rsidR="00CD1425" w:rsidRPr="00AF2689">
        <w:rPr>
          <w:sz w:val="24"/>
        </w:rPr>
        <w:t>?”</w:t>
      </w:r>
      <w:r w:rsidR="00744447" w:rsidRPr="00AF2689">
        <w:rPr>
          <w:sz w:val="24"/>
        </w:rPr>
        <w:t>.</w:t>
      </w:r>
      <w:r w:rsidR="00CD1425" w:rsidRPr="00AF2689">
        <w:rPr>
          <w:sz w:val="24"/>
        </w:rPr>
        <w:t xml:space="preserve"> </w:t>
      </w:r>
      <w:r w:rsidRPr="00CF7500">
        <w:rPr>
          <w:i/>
          <w:sz w:val="24"/>
        </w:rPr>
        <w:t>European Journal of Operational Research</w:t>
      </w:r>
      <w:r w:rsidR="00396C36" w:rsidRPr="00AF2689">
        <w:rPr>
          <w:i/>
          <w:sz w:val="24"/>
        </w:rPr>
        <w:t>.</w:t>
      </w:r>
      <w:r w:rsidRPr="00CF7500">
        <w:rPr>
          <w:sz w:val="24"/>
        </w:rPr>
        <w:t xml:space="preserve"> 228</w:t>
      </w:r>
      <w:r w:rsidR="001F772F" w:rsidRPr="00AF2689">
        <w:rPr>
          <w:sz w:val="24"/>
        </w:rPr>
        <w:t>(3)</w:t>
      </w:r>
      <w:r w:rsidRPr="00CF7500">
        <w:rPr>
          <w:sz w:val="24"/>
        </w:rPr>
        <w:t xml:space="preserve">: 601-611. </w:t>
      </w:r>
    </w:p>
    <w:p w14:paraId="62571AFF" w14:textId="7C26E62D" w:rsidR="00676F76" w:rsidRPr="00AF2689" w:rsidRDefault="008C31C9" w:rsidP="00CF7500">
      <w:pPr>
        <w:pStyle w:val="Refs"/>
        <w:numPr>
          <w:ilvl w:val="0"/>
          <w:numId w:val="0"/>
        </w:numPr>
        <w:tabs>
          <w:tab w:val="clear" w:pos="360"/>
          <w:tab w:val="left" w:pos="426"/>
        </w:tabs>
        <w:ind w:left="170" w:hanging="425"/>
        <w:rPr>
          <w:sz w:val="24"/>
        </w:rPr>
      </w:pPr>
      <w:r w:rsidRPr="00CF7500">
        <w:rPr>
          <w:sz w:val="24"/>
        </w:rPr>
        <w:t xml:space="preserve">Amess, K. 2003. </w:t>
      </w:r>
      <w:r w:rsidR="00D81400" w:rsidRPr="00AF2689">
        <w:rPr>
          <w:sz w:val="24"/>
        </w:rPr>
        <w:t>“</w:t>
      </w:r>
      <w:r w:rsidRPr="00CF7500">
        <w:rPr>
          <w:sz w:val="24"/>
        </w:rPr>
        <w:t xml:space="preserve">The </w:t>
      </w:r>
      <w:r w:rsidR="00D81400" w:rsidRPr="00AF2689">
        <w:rPr>
          <w:sz w:val="24"/>
        </w:rPr>
        <w:t xml:space="preserve">effect of management buyouts on firm-level technical efficiency: </w:t>
      </w:r>
      <w:r w:rsidR="00813247" w:rsidRPr="00AF2689">
        <w:rPr>
          <w:sz w:val="24"/>
        </w:rPr>
        <w:t>E</w:t>
      </w:r>
      <w:r w:rsidR="00D81400" w:rsidRPr="00AF2689">
        <w:rPr>
          <w:sz w:val="24"/>
        </w:rPr>
        <w:t xml:space="preserve">vidence from a panel of </w:t>
      </w:r>
      <w:r w:rsidR="00813247" w:rsidRPr="00AF2689">
        <w:rPr>
          <w:sz w:val="24"/>
        </w:rPr>
        <w:t>UK</w:t>
      </w:r>
      <w:r w:rsidR="00D81400" w:rsidRPr="00AF2689">
        <w:rPr>
          <w:sz w:val="24"/>
        </w:rPr>
        <w:t xml:space="preserve"> machinery and equipment manufacturers”</w:t>
      </w:r>
      <w:r w:rsidRPr="00CF7500">
        <w:rPr>
          <w:sz w:val="24"/>
        </w:rPr>
        <w:t xml:space="preserve">. </w:t>
      </w:r>
      <w:r w:rsidRPr="00CF7500">
        <w:rPr>
          <w:i/>
          <w:sz w:val="24"/>
        </w:rPr>
        <w:t>Journal of Industrial Economics</w:t>
      </w:r>
      <w:r w:rsidR="00396C36" w:rsidRPr="00AF2689">
        <w:rPr>
          <w:i/>
          <w:sz w:val="24"/>
        </w:rPr>
        <w:t>.</w:t>
      </w:r>
      <w:r w:rsidRPr="00CF7500">
        <w:rPr>
          <w:sz w:val="24"/>
        </w:rPr>
        <w:t xml:space="preserve"> 51(1): 35-44.</w:t>
      </w:r>
    </w:p>
    <w:p w14:paraId="42B39E6D" w14:textId="77777777" w:rsidR="00676F76" w:rsidRPr="00CF7500" w:rsidRDefault="008C31C9" w:rsidP="00CF7500">
      <w:pPr>
        <w:pStyle w:val="Refs"/>
        <w:numPr>
          <w:ilvl w:val="0"/>
          <w:numId w:val="0"/>
        </w:numPr>
        <w:tabs>
          <w:tab w:val="clear" w:pos="360"/>
          <w:tab w:val="left" w:pos="426"/>
        </w:tabs>
        <w:ind w:left="170" w:hanging="425"/>
        <w:rPr>
          <w:sz w:val="24"/>
        </w:rPr>
      </w:pPr>
      <w:r w:rsidRPr="00CF7500">
        <w:rPr>
          <w:sz w:val="24"/>
        </w:rPr>
        <w:t xml:space="preserve">Amess, K. and M. Wright. 2007. </w:t>
      </w:r>
      <w:r w:rsidR="00D81400" w:rsidRPr="00AF2689">
        <w:rPr>
          <w:sz w:val="24"/>
        </w:rPr>
        <w:t>“</w:t>
      </w:r>
      <w:r w:rsidRPr="00CF7500">
        <w:rPr>
          <w:sz w:val="24"/>
        </w:rPr>
        <w:t xml:space="preserve">The </w:t>
      </w:r>
      <w:r w:rsidR="00D81400" w:rsidRPr="00AF2689">
        <w:rPr>
          <w:sz w:val="24"/>
        </w:rPr>
        <w:t xml:space="preserve">wage and employment effects of leveraged buyouts </w:t>
      </w:r>
      <w:r w:rsidRPr="00CF7500">
        <w:rPr>
          <w:sz w:val="24"/>
        </w:rPr>
        <w:t>in the UK</w:t>
      </w:r>
      <w:r w:rsidR="00D81400" w:rsidRPr="00AF2689">
        <w:rPr>
          <w:sz w:val="24"/>
        </w:rPr>
        <w:t>”</w:t>
      </w:r>
      <w:r w:rsidRPr="00CF7500">
        <w:rPr>
          <w:sz w:val="24"/>
        </w:rPr>
        <w:t xml:space="preserve">. </w:t>
      </w:r>
      <w:r w:rsidRPr="00CF7500">
        <w:rPr>
          <w:i/>
          <w:sz w:val="24"/>
        </w:rPr>
        <w:t>International Journal of the Economics of Business</w:t>
      </w:r>
      <w:r w:rsidR="00396C36" w:rsidRPr="00AF2689">
        <w:rPr>
          <w:i/>
          <w:sz w:val="24"/>
        </w:rPr>
        <w:t>.</w:t>
      </w:r>
      <w:r w:rsidRPr="00CF7500">
        <w:rPr>
          <w:sz w:val="24"/>
        </w:rPr>
        <w:t xml:space="preserve"> 14(2): 179-95. </w:t>
      </w:r>
    </w:p>
    <w:p w14:paraId="7FD183C0" w14:textId="77777777" w:rsidR="00676F76" w:rsidRPr="00CF7500" w:rsidRDefault="008C31C9" w:rsidP="00CF7500">
      <w:pPr>
        <w:pStyle w:val="Refs"/>
        <w:numPr>
          <w:ilvl w:val="0"/>
          <w:numId w:val="0"/>
        </w:numPr>
        <w:tabs>
          <w:tab w:val="clear" w:pos="360"/>
          <w:tab w:val="left" w:pos="426"/>
        </w:tabs>
        <w:ind w:left="170" w:hanging="425"/>
        <w:rPr>
          <w:sz w:val="24"/>
        </w:rPr>
      </w:pPr>
      <w:r w:rsidRPr="00CF7500">
        <w:rPr>
          <w:sz w:val="24"/>
        </w:rPr>
        <w:t xml:space="preserve">Amess, K. and M. Wright. 2012. </w:t>
      </w:r>
      <w:r w:rsidR="00D81400" w:rsidRPr="00AF2689">
        <w:rPr>
          <w:sz w:val="24"/>
        </w:rPr>
        <w:t>“</w:t>
      </w:r>
      <w:r w:rsidRPr="00CF7500">
        <w:rPr>
          <w:sz w:val="24"/>
        </w:rPr>
        <w:t xml:space="preserve">Leveraged </w:t>
      </w:r>
      <w:r w:rsidR="00D81400" w:rsidRPr="00AF2689">
        <w:rPr>
          <w:sz w:val="24"/>
        </w:rPr>
        <w:t>buyouts, private equity and jobs”</w:t>
      </w:r>
      <w:r w:rsidRPr="00CF7500">
        <w:rPr>
          <w:sz w:val="24"/>
        </w:rPr>
        <w:t xml:space="preserve">. </w:t>
      </w:r>
      <w:r w:rsidRPr="00CF7500">
        <w:rPr>
          <w:i/>
          <w:sz w:val="24"/>
        </w:rPr>
        <w:t>Small Business Economics</w:t>
      </w:r>
      <w:r w:rsidR="00396C36" w:rsidRPr="00AF2689">
        <w:rPr>
          <w:i/>
          <w:sz w:val="24"/>
        </w:rPr>
        <w:t>.</w:t>
      </w:r>
      <w:r w:rsidRPr="00CF7500">
        <w:rPr>
          <w:sz w:val="24"/>
        </w:rPr>
        <w:t xml:space="preserve"> 38</w:t>
      </w:r>
      <w:r w:rsidR="00416088" w:rsidRPr="00AF2689">
        <w:rPr>
          <w:sz w:val="24"/>
        </w:rPr>
        <w:t>(4)</w:t>
      </w:r>
      <w:r w:rsidRPr="00CF7500">
        <w:rPr>
          <w:sz w:val="24"/>
        </w:rPr>
        <w:t>: 419-430.</w:t>
      </w:r>
    </w:p>
    <w:p w14:paraId="23B859E2" w14:textId="7B594488" w:rsidR="00676F76" w:rsidRPr="00CF7500" w:rsidRDefault="008C31C9" w:rsidP="00CF7500">
      <w:pPr>
        <w:pStyle w:val="Refs"/>
        <w:numPr>
          <w:ilvl w:val="0"/>
          <w:numId w:val="0"/>
        </w:numPr>
        <w:tabs>
          <w:tab w:val="left" w:pos="426"/>
        </w:tabs>
        <w:ind w:left="170" w:hanging="425"/>
        <w:rPr>
          <w:sz w:val="24"/>
        </w:rPr>
      </w:pPr>
      <w:r w:rsidRPr="00CF7500">
        <w:rPr>
          <w:sz w:val="24"/>
        </w:rPr>
        <w:t xml:space="preserve">Amess, K., S. Girma, and </w:t>
      </w:r>
      <w:r w:rsidR="0083569B" w:rsidRPr="00AF2689">
        <w:rPr>
          <w:sz w:val="24"/>
        </w:rPr>
        <w:t>M</w:t>
      </w:r>
      <w:r w:rsidR="00EE7792" w:rsidRPr="00AF2689">
        <w:rPr>
          <w:sz w:val="24"/>
        </w:rPr>
        <w:t>.</w:t>
      </w:r>
      <w:r w:rsidR="00D81400" w:rsidRPr="00AF2689">
        <w:rPr>
          <w:sz w:val="24"/>
        </w:rPr>
        <w:t xml:space="preserve"> </w:t>
      </w:r>
      <w:r w:rsidRPr="00CF7500">
        <w:rPr>
          <w:sz w:val="24"/>
        </w:rPr>
        <w:t xml:space="preserve">Wright. 2014. </w:t>
      </w:r>
      <w:r w:rsidR="00D81400" w:rsidRPr="00AF2689">
        <w:rPr>
          <w:sz w:val="24"/>
        </w:rPr>
        <w:t>“</w:t>
      </w:r>
      <w:r w:rsidRPr="00CF7500">
        <w:rPr>
          <w:sz w:val="24"/>
        </w:rPr>
        <w:t xml:space="preserve">The </w:t>
      </w:r>
      <w:r w:rsidR="00D81400" w:rsidRPr="00AF2689">
        <w:rPr>
          <w:sz w:val="24"/>
        </w:rPr>
        <w:t>wage and employment consequences of ownership change”</w:t>
      </w:r>
      <w:r w:rsidRPr="00CF7500">
        <w:rPr>
          <w:sz w:val="24"/>
        </w:rPr>
        <w:t xml:space="preserve">. </w:t>
      </w:r>
      <w:r w:rsidRPr="00CF7500">
        <w:rPr>
          <w:i/>
          <w:sz w:val="24"/>
        </w:rPr>
        <w:t>Managerial and Decision Economics</w:t>
      </w:r>
      <w:r w:rsidR="00DB5948" w:rsidRPr="00AF2689">
        <w:rPr>
          <w:i/>
          <w:sz w:val="24"/>
        </w:rPr>
        <w:t>.</w:t>
      </w:r>
      <w:r w:rsidRPr="00CF7500">
        <w:rPr>
          <w:sz w:val="24"/>
        </w:rPr>
        <w:t xml:space="preserve"> 35(2): 161-171.</w:t>
      </w:r>
    </w:p>
    <w:p w14:paraId="725CF3C3" w14:textId="633A7E5A" w:rsidR="00676F76" w:rsidRDefault="008C31C9">
      <w:pPr>
        <w:pStyle w:val="Refs"/>
        <w:numPr>
          <w:ilvl w:val="0"/>
          <w:numId w:val="0"/>
        </w:numPr>
        <w:tabs>
          <w:tab w:val="left" w:pos="426"/>
        </w:tabs>
        <w:ind w:left="170" w:hanging="425"/>
        <w:rPr>
          <w:color w:val="000000" w:themeColor="text1"/>
          <w:sz w:val="24"/>
        </w:rPr>
      </w:pPr>
      <w:r w:rsidRPr="00CF7500">
        <w:rPr>
          <w:sz w:val="24"/>
        </w:rPr>
        <w:t>Amess, K., J. Stiebale, and M. Wright. 2015. “</w:t>
      </w:r>
      <w:r w:rsidRPr="00CF7500">
        <w:rPr>
          <w:rStyle w:val="Hyperlink"/>
          <w:color w:val="000000" w:themeColor="text1"/>
          <w:sz w:val="24"/>
          <w:u w:val="none"/>
        </w:rPr>
        <w:t xml:space="preserve">The </w:t>
      </w:r>
      <w:r w:rsidR="00CF0530" w:rsidRPr="00AF2689">
        <w:rPr>
          <w:rStyle w:val="Hyperlink"/>
          <w:color w:val="000000" w:themeColor="text1"/>
          <w:sz w:val="24"/>
          <w:u w:val="none"/>
        </w:rPr>
        <w:t xml:space="preserve">impact </w:t>
      </w:r>
      <w:r w:rsidR="00D81400" w:rsidRPr="00AF2689">
        <w:rPr>
          <w:rStyle w:val="Hyperlink"/>
          <w:color w:val="000000" w:themeColor="text1"/>
          <w:sz w:val="24"/>
          <w:u w:val="none"/>
        </w:rPr>
        <w:t>of private equity on firms׳ patenting activity</w:t>
      </w:r>
      <w:r w:rsidRPr="00CF7500">
        <w:rPr>
          <w:color w:val="000000" w:themeColor="text1"/>
          <w:sz w:val="24"/>
        </w:rPr>
        <w:t xml:space="preserve">”. </w:t>
      </w:r>
      <w:r w:rsidRPr="00CF7500">
        <w:rPr>
          <w:i/>
          <w:color w:val="000000" w:themeColor="text1"/>
          <w:sz w:val="24"/>
        </w:rPr>
        <w:t>European Economic Review</w:t>
      </w:r>
      <w:r w:rsidR="00DB5948" w:rsidRPr="00AF2689">
        <w:rPr>
          <w:i/>
          <w:color w:val="000000" w:themeColor="text1"/>
          <w:sz w:val="24"/>
        </w:rPr>
        <w:t>.</w:t>
      </w:r>
      <w:r w:rsidRPr="00CF7500">
        <w:rPr>
          <w:color w:val="000000" w:themeColor="text1"/>
          <w:sz w:val="24"/>
        </w:rPr>
        <w:t xml:space="preserve"> 86: 147-160.</w:t>
      </w:r>
    </w:p>
    <w:p w14:paraId="730076AC" w14:textId="77777777" w:rsidR="00B36508" w:rsidRPr="00AF2689" w:rsidRDefault="00B36508" w:rsidP="00B36508">
      <w:pPr>
        <w:pStyle w:val="Refs"/>
        <w:numPr>
          <w:ilvl w:val="0"/>
          <w:numId w:val="0"/>
        </w:numPr>
        <w:tabs>
          <w:tab w:val="left" w:pos="426"/>
        </w:tabs>
        <w:ind w:left="170" w:hanging="425"/>
        <w:rPr>
          <w:sz w:val="24"/>
        </w:rPr>
      </w:pPr>
      <w:r w:rsidRPr="00AF2689">
        <w:rPr>
          <w:sz w:val="24"/>
        </w:rPr>
        <w:t>A</w:t>
      </w:r>
      <w:r>
        <w:rPr>
          <w:sz w:val="24"/>
        </w:rPr>
        <w:t>nders, G. 1992</w:t>
      </w:r>
      <w:r w:rsidRPr="00382478">
        <w:rPr>
          <w:sz w:val="24"/>
        </w:rPr>
        <w:t xml:space="preserve">. The “Barbarians” in the Boardroom. </w:t>
      </w:r>
      <w:r w:rsidRPr="00CF7500">
        <w:rPr>
          <w:i/>
          <w:sz w:val="24"/>
        </w:rPr>
        <w:t>Harvard Business Review</w:t>
      </w:r>
      <w:r>
        <w:rPr>
          <w:sz w:val="24"/>
        </w:rPr>
        <w:t>.</w:t>
      </w:r>
      <w:r w:rsidRPr="00382478">
        <w:rPr>
          <w:sz w:val="24"/>
        </w:rPr>
        <w:t xml:space="preserve"> 70(4)</w:t>
      </w:r>
      <w:r>
        <w:rPr>
          <w:sz w:val="24"/>
        </w:rPr>
        <w:t>: 79-</w:t>
      </w:r>
      <w:r w:rsidRPr="00382478">
        <w:rPr>
          <w:sz w:val="24"/>
        </w:rPr>
        <w:t>87</w:t>
      </w:r>
      <w:r w:rsidRPr="00AF2689">
        <w:rPr>
          <w:color w:val="000000" w:themeColor="text1"/>
          <w:sz w:val="24"/>
        </w:rPr>
        <w:t>.</w:t>
      </w:r>
    </w:p>
    <w:p w14:paraId="4695DE32" w14:textId="55326351"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Arcot, S., </w:t>
      </w:r>
      <w:r w:rsidR="0083569B" w:rsidRPr="00AF2689">
        <w:rPr>
          <w:sz w:val="24"/>
        </w:rPr>
        <w:t xml:space="preserve">Z. </w:t>
      </w:r>
      <w:r w:rsidRPr="00CF7500">
        <w:rPr>
          <w:sz w:val="24"/>
        </w:rPr>
        <w:t xml:space="preserve">Fluck, </w:t>
      </w:r>
      <w:r w:rsidR="0083569B" w:rsidRPr="00AF2689">
        <w:rPr>
          <w:sz w:val="24"/>
        </w:rPr>
        <w:t xml:space="preserve">J.-M. </w:t>
      </w:r>
      <w:r w:rsidRPr="00CF7500">
        <w:rPr>
          <w:sz w:val="24"/>
        </w:rPr>
        <w:t xml:space="preserve">Gaspar, and </w:t>
      </w:r>
      <w:r w:rsidR="0083569B" w:rsidRPr="00AF2689">
        <w:rPr>
          <w:sz w:val="24"/>
        </w:rPr>
        <w:t>U.</w:t>
      </w:r>
      <w:r w:rsidRPr="00CF7500">
        <w:rPr>
          <w:sz w:val="24"/>
        </w:rPr>
        <w:t xml:space="preserve"> Hege. 2015. “Fund managers under pressure: rationale and determinants of secondary buyouts”. </w:t>
      </w:r>
      <w:r w:rsidRPr="00CF7500">
        <w:rPr>
          <w:i/>
          <w:sz w:val="24"/>
        </w:rPr>
        <w:t>Journal of Financial Economics</w:t>
      </w:r>
      <w:r w:rsidR="00DB5948" w:rsidRPr="00AF2689">
        <w:rPr>
          <w:i/>
          <w:sz w:val="24"/>
        </w:rPr>
        <w:t>.</w:t>
      </w:r>
      <w:r w:rsidRPr="00CF7500">
        <w:rPr>
          <w:sz w:val="24"/>
        </w:rPr>
        <w:t xml:space="preserve"> 115(1): 102-135.</w:t>
      </w:r>
    </w:p>
    <w:p w14:paraId="7E7A05B8" w14:textId="6D0F8311"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Aslan, H. and </w:t>
      </w:r>
      <w:r w:rsidR="0083569B" w:rsidRPr="00AF2689">
        <w:rPr>
          <w:sz w:val="24"/>
        </w:rPr>
        <w:t>P.</w:t>
      </w:r>
      <w:r w:rsidRPr="00CF7500">
        <w:rPr>
          <w:sz w:val="24"/>
        </w:rPr>
        <w:t xml:space="preserve"> Kumar. 2011. “Lemons or cherries? </w:t>
      </w:r>
      <w:r w:rsidR="00CF0530" w:rsidRPr="00AF2689">
        <w:rPr>
          <w:sz w:val="24"/>
        </w:rPr>
        <w:t>G</w:t>
      </w:r>
      <w:r w:rsidRPr="00CF7500">
        <w:rPr>
          <w:sz w:val="24"/>
        </w:rPr>
        <w:t>rowth opportunities and market temptations in going public and private”</w:t>
      </w:r>
      <w:r w:rsidR="00DB5948" w:rsidRPr="00AF2689">
        <w:rPr>
          <w:sz w:val="24"/>
        </w:rPr>
        <w:t>.</w:t>
      </w:r>
      <w:r w:rsidRPr="00CF7500">
        <w:rPr>
          <w:sz w:val="24"/>
        </w:rPr>
        <w:t xml:space="preserve"> </w:t>
      </w:r>
      <w:r w:rsidRPr="00CF7500">
        <w:rPr>
          <w:i/>
          <w:sz w:val="24"/>
        </w:rPr>
        <w:t>Journal of Financial and Quantitative Analysis</w:t>
      </w:r>
      <w:r w:rsidR="00785CDD" w:rsidRPr="00AF2689">
        <w:rPr>
          <w:sz w:val="24"/>
        </w:rPr>
        <w:t>. 4</w:t>
      </w:r>
      <w:r w:rsidRPr="00CF7500">
        <w:rPr>
          <w:sz w:val="24"/>
        </w:rPr>
        <w:t>6</w:t>
      </w:r>
      <w:r w:rsidR="00CD1425" w:rsidRPr="00AF2689">
        <w:rPr>
          <w:sz w:val="24"/>
        </w:rPr>
        <w:t>(</w:t>
      </w:r>
      <w:r w:rsidRPr="00CF7500">
        <w:rPr>
          <w:sz w:val="24"/>
        </w:rPr>
        <w:t>2</w:t>
      </w:r>
      <w:r w:rsidR="00AA5369" w:rsidRPr="00AF2689">
        <w:rPr>
          <w:sz w:val="24"/>
        </w:rPr>
        <w:t>)</w:t>
      </w:r>
      <w:r w:rsidRPr="00CF7500">
        <w:rPr>
          <w:sz w:val="24"/>
        </w:rPr>
        <w:t>: 489</w:t>
      </w:r>
      <w:r w:rsidR="00744447" w:rsidRPr="00AF2689">
        <w:rPr>
          <w:sz w:val="24"/>
        </w:rPr>
        <w:t>-</w:t>
      </w:r>
      <w:r w:rsidRPr="00CF7500">
        <w:rPr>
          <w:sz w:val="24"/>
        </w:rPr>
        <w:t>526.</w:t>
      </w:r>
    </w:p>
    <w:p w14:paraId="2A3A50B7" w14:textId="0966DB7C" w:rsidR="00676F76" w:rsidRPr="00CF7500" w:rsidRDefault="008C31C9" w:rsidP="00CF7500">
      <w:pPr>
        <w:pStyle w:val="Refs"/>
        <w:numPr>
          <w:ilvl w:val="0"/>
          <w:numId w:val="0"/>
        </w:numPr>
        <w:tabs>
          <w:tab w:val="left" w:pos="567"/>
        </w:tabs>
        <w:ind w:left="170" w:hanging="425"/>
        <w:rPr>
          <w:sz w:val="24"/>
        </w:rPr>
      </w:pPr>
      <w:r w:rsidRPr="00CF7500">
        <w:rPr>
          <w:sz w:val="24"/>
        </w:rPr>
        <w:t xml:space="preserve">Axelson, U., </w:t>
      </w:r>
      <w:r w:rsidR="0083569B" w:rsidRPr="00AF2689">
        <w:rPr>
          <w:sz w:val="24"/>
        </w:rPr>
        <w:t xml:space="preserve">T. </w:t>
      </w:r>
      <w:r w:rsidRPr="00CF7500">
        <w:rPr>
          <w:sz w:val="24"/>
        </w:rPr>
        <w:t xml:space="preserve">Jenkinson, </w:t>
      </w:r>
      <w:r w:rsidR="0083569B" w:rsidRPr="00AF2689">
        <w:rPr>
          <w:sz w:val="24"/>
        </w:rPr>
        <w:t xml:space="preserve">P. </w:t>
      </w:r>
      <w:r w:rsidRPr="00CF7500">
        <w:rPr>
          <w:sz w:val="24"/>
        </w:rPr>
        <w:t xml:space="preserve">Strömberg, and </w:t>
      </w:r>
      <w:r w:rsidR="0083569B" w:rsidRPr="00AF2689">
        <w:rPr>
          <w:sz w:val="24"/>
        </w:rPr>
        <w:t>M. S.</w:t>
      </w:r>
      <w:r w:rsidRPr="00CF7500">
        <w:rPr>
          <w:sz w:val="24"/>
        </w:rPr>
        <w:t xml:space="preserve"> Weisbach. 2013. “Borrow cheap, buy high? </w:t>
      </w:r>
      <w:r w:rsidR="00CF0530" w:rsidRPr="00AF2689">
        <w:rPr>
          <w:sz w:val="24"/>
        </w:rPr>
        <w:t>T</w:t>
      </w:r>
      <w:r w:rsidRPr="00CF7500">
        <w:rPr>
          <w:sz w:val="24"/>
        </w:rPr>
        <w:t xml:space="preserve">he determinants of leverage and pricing in buyouts”. </w:t>
      </w:r>
      <w:r w:rsidRPr="00CF7500">
        <w:rPr>
          <w:i/>
          <w:sz w:val="24"/>
        </w:rPr>
        <w:t>The Journal of Finance</w:t>
      </w:r>
      <w:r w:rsidR="00785CDD" w:rsidRPr="00AF2689">
        <w:rPr>
          <w:sz w:val="24"/>
        </w:rPr>
        <w:t>. 6</w:t>
      </w:r>
      <w:r w:rsidRPr="00CF7500">
        <w:rPr>
          <w:sz w:val="24"/>
        </w:rPr>
        <w:t>8</w:t>
      </w:r>
      <w:r w:rsidR="00CD1425" w:rsidRPr="00AF2689">
        <w:rPr>
          <w:sz w:val="24"/>
        </w:rPr>
        <w:t>(</w:t>
      </w:r>
      <w:r w:rsidRPr="00CF7500">
        <w:rPr>
          <w:sz w:val="24"/>
        </w:rPr>
        <w:t>6</w:t>
      </w:r>
      <w:r w:rsidR="00AA5369" w:rsidRPr="00AF2689">
        <w:rPr>
          <w:sz w:val="24"/>
        </w:rPr>
        <w:t>)</w:t>
      </w:r>
      <w:r w:rsidRPr="00CF7500">
        <w:rPr>
          <w:sz w:val="24"/>
        </w:rPr>
        <w:t>: 2223</w:t>
      </w:r>
      <w:r w:rsidR="00744447" w:rsidRPr="00AF2689">
        <w:rPr>
          <w:sz w:val="24"/>
        </w:rPr>
        <w:t>-</w:t>
      </w:r>
      <w:r w:rsidRPr="00CF7500">
        <w:rPr>
          <w:sz w:val="24"/>
        </w:rPr>
        <w:t>2267.</w:t>
      </w:r>
    </w:p>
    <w:p w14:paraId="1A37537A" w14:textId="4F93AD61" w:rsidR="00676F76" w:rsidRPr="00AF2689" w:rsidRDefault="008C31C9" w:rsidP="00CF7500">
      <w:pPr>
        <w:pStyle w:val="Refs"/>
        <w:numPr>
          <w:ilvl w:val="0"/>
          <w:numId w:val="0"/>
        </w:numPr>
        <w:tabs>
          <w:tab w:val="clear" w:pos="360"/>
          <w:tab w:val="left" w:pos="567"/>
        </w:tabs>
        <w:ind w:left="170" w:hanging="425"/>
        <w:rPr>
          <w:sz w:val="24"/>
        </w:rPr>
      </w:pPr>
      <w:r w:rsidRPr="00CF7500">
        <w:rPr>
          <w:sz w:val="24"/>
        </w:rPr>
        <w:t xml:space="preserve">Bacon, N., M. Wright, R. Ball, and M. Meuleman. 2013. “Private </w:t>
      </w:r>
      <w:r w:rsidR="00CF0530" w:rsidRPr="00AF2689">
        <w:rPr>
          <w:sz w:val="24"/>
        </w:rPr>
        <w:t>e</w:t>
      </w:r>
      <w:r w:rsidRPr="00CF7500">
        <w:rPr>
          <w:sz w:val="24"/>
        </w:rPr>
        <w:t xml:space="preserve">quity, HRM and </w:t>
      </w:r>
      <w:r w:rsidR="00CF0530" w:rsidRPr="00AF2689">
        <w:rPr>
          <w:sz w:val="24"/>
        </w:rPr>
        <w:t>e</w:t>
      </w:r>
      <w:r w:rsidRPr="00CF7500">
        <w:rPr>
          <w:sz w:val="24"/>
        </w:rPr>
        <w:t xml:space="preserve">mployment”. </w:t>
      </w:r>
      <w:r w:rsidRPr="00CF7500">
        <w:rPr>
          <w:i/>
          <w:sz w:val="24"/>
        </w:rPr>
        <w:t>Academy of Management Perspectives</w:t>
      </w:r>
      <w:r w:rsidR="00D65247" w:rsidRPr="00AF2689">
        <w:rPr>
          <w:i/>
          <w:sz w:val="24"/>
        </w:rPr>
        <w:t>.</w:t>
      </w:r>
      <w:r w:rsidRPr="00CF7500">
        <w:rPr>
          <w:sz w:val="24"/>
        </w:rPr>
        <w:t xml:space="preserve"> 27</w:t>
      </w:r>
      <w:r w:rsidR="00416088" w:rsidRPr="00AF2689">
        <w:rPr>
          <w:sz w:val="24"/>
        </w:rPr>
        <w:t>(1)</w:t>
      </w:r>
      <w:r w:rsidRPr="00CF7500">
        <w:rPr>
          <w:sz w:val="24"/>
        </w:rPr>
        <w:t xml:space="preserve">: 7-21. </w:t>
      </w:r>
    </w:p>
    <w:p w14:paraId="578A1E60" w14:textId="0BBD2CD2"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Bacon, N., </w:t>
      </w:r>
      <w:r w:rsidR="00286088" w:rsidRPr="00AF2689">
        <w:rPr>
          <w:sz w:val="24"/>
        </w:rPr>
        <w:t>M.</w:t>
      </w:r>
      <w:r w:rsidRPr="00CF7500">
        <w:rPr>
          <w:sz w:val="24"/>
        </w:rPr>
        <w:t xml:space="preserve"> Wright, </w:t>
      </w:r>
      <w:r w:rsidR="00286088" w:rsidRPr="00AF2689">
        <w:rPr>
          <w:sz w:val="24"/>
        </w:rPr>
        <w:t xml:space="preserve">M. </w:t>
      </w:r>
      <w:r w:rsidRPr="00CF7500">
        <w:rPr>
          <w:sz w:val="24"/>
        </w:rPr>
        <w:t xml:space="preserve">Meuleman, and </w:t>
      </w:r>
      <w:r w:rsidR="00286088" w:rsidRPr="00AF2689">
        <w:rPr>
          <w:sz w:val="24"/>
        </w:rPr>
        <w:t>L.</w:t>
      </w:r>
      <w:r w:rsidRPr="00CF7500">
        <w:rPr>
          <w:sz w:val="24"/>
        </w:rPr>
        <w:t xml:space="preserve"> Scholes. 2012. “The impact of private equity on management practices in </w:t>
      </w:r>
      <w:r w:rsidR="00CF0530" w:rsidRPr="00AF2689">
        <w:rPr>
          <w:sz w:val="24"/>
        </w:rPr>
        <w:t>E</w:t>
      </w:r>
      <w:r w:rsidRPr="00CF7500">
        <w:rPr>
          <w:sz w:val="24"/>
        </w:rPr>
        <w:t xml:space="preserve">uropean buy-outs: </w:t>
      </w:r>
      <w:r w:rsidR="00CF0530" w:rsidRPr="00AF2689">
        <w:rPr>
          <w:sz w:val="24"/>
        </w:rPr>
        <w:t>S</w:t>
      </w:r>
      <w:r w:rsidRPr="00CF7500">
        <w:rPr>
          <w:sz w:val="24"/>
        </w:rPr>
        <w:t xml:space="preserve">hort-termism, </w:t>
      </w:r>
      <w:r w:rsidR="00CF0530" w:rsidRPr="00AF2689">
        <w:rPr>
          <w:sz w:val="24"/>
        </w:rPr>
        <w:t>A</w:t>
      </w:r>
      <w:r w:rsidRPr="00CF7500">
        <w:rPr>
          <w:sz w:val="24"/>
        </w:rPr>
        <w:t xml:space="preserve">nglo-, </w:t>
      </w:r>
      <w:r w:rsidR="00CF0530" w:rsidRPr="00AF2689">
        <w:rPr>
          <w:sz w:val="24"/>
        </w:rPr>
        <w:t>S</w:t>
      </w:r>
      <w:r w:rsidRPr="00CF7500">
        <w:rPr>
          <w:sz w:val="24"/>
        </w:rPr>
        <w:t>axon, or host country effects</w:t>
      </w:r>
      <w:r w:rsidR="00CD1425" w:rsidRPr="00AF2689">
        <w:rPr>
          <w:sz w:val="24"/>
        </w:rPr>
        <w:t>?”</w:t>
      </w:r>
      <w:r w:rsidR="00DB5948" w:rsidRPr="00AF2689">
        <w:rPr>
          <w:sz w:val="24"/>
        </w:rPr>
        <w:t>.</w:t>
      </w:r>
      <w:r w:rsidR="00CD1425" w:rsidRPr="00AF2689">
        <w:rPr>
          <w:sz w:val="24"/>
        </w:rPr>
        <w:t xml:space="preserve"> </w:t>
      </w:r>
      <w:r w:rsidRPr="00CF7500">
        <w:rPr>
          <w:i/>
          <w:sz w:val="24"/>
        </w:rPr>
        <w:t>Industrial Relations</w:t>
      </w:r>
      <w:r w:rsidR="00785CDD" w:rsidRPr="00AF2689">
        <w:rPr>
          <w:sz w:val="24"/>
        </w:rPr>
        <w:t>. 5</w:t>
      </w:r>
      <w:r w:rsidRPr="00CF7500">
        <w:rPr>
          <w:sz w:val="24"/>
        </w:rPr>
        <w:t>1(s1): 605-626.</w:t>
      </w:r>
    </w:p>
    <w:p w14:paraId="14F41380" w14:textId="05BBBA74"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Baker, G. P. and </w:t>
      </w:r>
      <w:r w:rsidR="006E6888" w:rsidRPr="00AF2689">
        <w:rPr>
          <w:sz w:val="24"/>
        </w:rPr>
        <w:t>C.</w:t>
      </w:r>
      <w:r w:rsidRPr="00CF7500">
        <w:rPr>
          <w:sz w:val="24"/>
        </w:rPr>
        <w:t xml:space="preserve"> Montgomery. 1994. </w:t>
      </w:r>
      <w:r w:rsidRPr="00CF7500">
        <w:rPr>
          <w:i/>
          <w:sz w:val="24"/>
        </w:rPr>
        <w:t>Conglomerates and LBO associations: A comparison of organizational forms</w:t>
      </w:r>
      <w:r w:rsidRPr="00CF7500">
        <w:rPr>
          <w:sz w:val="24"/>
        </w:rPr>
        <w:t>. Harvard Business School, Boston, MA.</w:t>
      </w:r>
    </w:p>
    <w:p w14:paraId="729CCD9E" w14:textId="3BE83B9A"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Baker, G. P. and </w:t>
      </w:r>
      <w:r w:rsidR="006E6888" w:rsidRPr="00AF2689">
        <w:rPr>
          <w:sz w:val="24"/>
        </w:rPr>
        <w:t>G. D.</w:t>
      </w:r>
      <w:r w:rsidRPr="00CF7500">
        <w:rPr>
          <w:sz w:val="24"/>
        </w:rPr>
        <w:t xml:space="preserve"> Smith. 1998. </w:t>
      </w:r>
      <w:r w:rsidRPr="00CF7500">
        <w:rPr>
          <w:i/>
          <w:sz w:val="24"/>
        </w:rPr>
        <w:t>The New Financial Capitalists: Kohlberg Kravis Roberts and the Creation of Corporate Value</w:t>
      </w:r>
      <w:r w:rsidR="00BA2355" w:rsidRPr="00AF2689">
        <w:rPr>
          <w:sz w:val="24"/>
        </w:rPr>
        <w:t xml:space="preserve">. </w:t>
      </w:r>
      <w:r w:rsidRPr="00CF7500">
        <w:rPr>
          <w:sz w:val="24"/>
        </w:rPr>
        <w:t>Cambridge University Press.</w:t>
      </w:r>
    </w:p>
    <w:p w14:paraId="0489287A" w14:textId="7DA74A37"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Baker, G. P. and </w:t>
      </w:r>
      <w:r w:rsidR="006E6888" w:rsidRPr="00AF2689">
        <w:rPr>
          <w:sz w:val="24"/>
        </w:rPr>
        <w:t>K. H.</w:t>
      </w:r>
      <w:r w:rsidRPr="00CF7500">
        <w:rPr>
          <w:sz w:val="24"/>
        </w:rPr>
        <w:t xml:space="preserve"> Wruck. 1989. “Organizational changes and value creation in leveraged buyouts: </w:t>
      </w:r>
      <w:r w:rsidR="00216D4E" w:rsidRPr="00AF2689">
        <w:rPr>
          <w:sz w:val="24"/>
        </w:rPr>
        <w:t>T</w:t>
      </w:r>
      <w:r w:rsidRPr="00CF7500">
        <w:rPr>
          <w:sz w:val="24"/>
        </w:rPr>
        <w:t xml:space="preserve">he case of the O.M. Scott and Sons Company”. </w:t>
      </w:r>
      <w:r w:rsidRPr="00CF7500">
        <w:rPr>
          <w:i/>
          <w:sz w:val="24"/>
        </w:rPr>
        <w:t>Journal of Financial Economics</w:t>
      </w:r>
      <w:r w:rsidR="00785CDD" w:rsidRPr="00AF2689">
        <w:rPr>
          <w:sz w:val="24"/>
        </w:rPr>
        <w:t>. 2</w:t>
      </w:r>
      <w:r w:rsidRPr="00CF7500">
        <w:rPr>
          <w:sz w:val="24"/>
        </w:rPr>
        <w:t>5</w:t>
      </w:r>
      <w:r w:rsidR="00CD1425" w:rsidRPr="00AF2689">
        <w:rPr>
          <w:sz w:val="24"/>
        </w:rPr>
        <w:t>(</w:t>
      </w:r>
      <w:r w:rsidRPr="00CF7500">
        <w:rPr>
          <w:sz w:val="24"/>
        </w:rPr>
        <w:t>2</w:t>
      </w:r>
      <w:r w:rsidR="00AA5369" w:rsidRPr="00AF2689">
        <w:rPr>
          <w:sz w:val="24"/>
        </w:rPr>
        <w:t>)</w:t>
      </w:r>
      <w:r w:rsidRPr="00CF7500">
        <w:rPr>
          <w:sz w:val="24"/>
        </w:rPr>
        <w:t>: 163</w:t>
      </w:r>
      <w:r w:rsidR="00744447" w:rsidRPr="00AF2689">
        <w:rPr>
          <w:sz w:val="24"/>
        </w:rPr>
        <w:t>-</w:t>
      </w:r>
      <w:r w:rsidRPr="00CF7500">
        <w:rPr>
          <w:sz w:val="24"/>
        </w:rPr>
        <w:t>190.</w:t>
      </w:r>
    </w:p>
    <w:p w14:paraId="1CE29063" w14:textId="63CFC20E"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Baker, M., </w:t>
      </w:r>
      <w:r w:rsidR="006E6888" w:rsidRPr="00AF2689">
        <w:rPr>
          <w:sz w:val="24"/>
        </w:rPr>
        <w:t>R.</w:t>
      </w:r>
      <w:r w:rsidRPr="00CF7500">
        <w:rPr>
          <w:sz w:val="24"/>
        </w:rPr>
        <w:t xml:space="preserve"> Greenwood, and </w:t>
      </w:r>
      <w:r w:rsidR="006E6888" w:rsidRPr="00AF2689">
        <w:rPr>
          <w:sz w:val="24"/>
        </w:rPr>
        <w:t xml:space="preserve">J. </w:t>
      </w:r>
      <w:r w:rsidRPr="00CF7500">
        <w:rPr>
          <w:sz w:val="24"/>
        </w:rPr>
        <w:t>Wurgler</w:t>
      </w:r>
      <w:r w:rsidR="006E6888" w:rsidRPr="00AF2689">
        <w:rPr>
          <w:sz w:val="24"/>
        </w:rPr>
        <w:t>.</w:t>
      </w:r>
      <w:r w:rsidRPr="00CF7500">
        <w:rPr>
          <w:sz w:val="24"/>
        </w:rPr>
        <w:t xml:space="preserve"> 2003. “The maturity of debt issues and predictable variation in bond returns”. </w:t>
      </w:r>
      <w:r w:rsidRPr="00CF7500">
        <w:rPr>
          <w:i/>
          <w:sz w:val="24"/>
        </w:rPr>
        <w:t>Journal of Financial Economics</w:t>
      </w:r>
      <w:r w:rsidR="00785CDD" w:rsidRPr="00AF2689">
        <w:rPr>
          <w:sz w:val="24"/>
        </w:rPr>
        <w:t>. 7</w:t>
      </w:r>
      <w:r w:rsidRPr="00CF7500">
        <w:rPr>
          <w:sz w:val="24"/>
        </w:rPr>
        <w:t>0</w:t>
      </w:r>
      <w:r w:rsidR="009258AC" w:rsidRPr="00AF2689">
        <w:rPr>
          <w:sz w:val="24"/>
        </w:rPr>
        <w:t>(2)</w:t>
      </w:r>
      <w:r w:rsidRPr="00CF7500">
        <w:rPr>
          <w:sz w:val="24"/>
        </w:rPr>
        <w:t>: 261</w:t>
      </w:r>
      <w:r w:rsidR="00744447" w:rsidRPr="00AF2689">
        <w:rPr>
          <w:sz w:val="24"/>
        </w:rPr>
        <w:t>-</w:t>
      </w:r>
      <w:r w:rsidRPr="00CF7500">
        <w:rPr>
          <w:sz w:val="24"/>
        </w:rPr>
        <w:t>291.</w:t>
      </w:r>
    </w:p>
    <w:p w14:paraId="3AC9E50E" w14:textId="41A2F83F"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Baker, M. and</w:t>
      </w:r>
      <w:r w:rsidR="006E6888" w:rsidRPr="00AF2689">
        <w:rPr>
          <w:sz w:val="24"/>
        </w:rPr>
        <w:t xml:space="preserve"> J.</w:t>
      </w:r>
      <w:r w:rsidRPr="00CF7500">
        <w:rPr>
          <w:sz w:val="24"/>
        </w:rPr>
        <w:t xml:space="preserve"> Wurgler. 2000. “The equity share in new issues and aggregate stock returns”. </w:t>
      </w:r>
      <w:r w:rsidRPr="00CF7500">
        <w:rPr>
          <w:i/>
          <w:sz w:val="24"/>
        </w:rPr>
        <w:t>The Journal of Finance</w:t>
      </w:r>
      <w:r w:rsidR="00785CDD" w:rsidRPr="00AF2689">
        <w:rPr>
          <w:sz w:val="24"/>
        </w:rPr>
        <w:t>. 5</w:t>
      </w:r>
      <w:r w:rsidRPr="00CF7500">
        <w:rPr>
          <w:sz w:val="24"/>
        </w:rPr>
        <w:t>5</w:t>
      </w:r>
      <w:r w:rsidR="00CD1425" w:rsidRPr="00AF2689">
        <w:rPr>
          <w:sz w:val="24"/>
        </w:rPr>
        <w:t>(</w:t>
      </w:r>
      <w:r w:rsidRPr="00CF7500">
        <w:rPr>
          <w:sz w:val="24"/>
        </w:rPr>
        <w:t>5</w:t>
      </w:r>
      <w:r w:rsidR="00AA5369" w:rsidRPr="00AF2689">
        <w:rPr>
          <w:sz w:val="24"/>
        </w:rPr>
        <w:t>)</w:t>
      </w:r>
      <w:r w:rsidRPr="00CF7500">
        <w:rPr>
          <w:sz w:val="24"/>
        </w:rPr>
        <w:t>: 2219</w:t>
      </w:r>
      <w:r w:rsidR="00744447" w:rsidRPr="00AF2689">
        <w:rPr>
          <w:sz w:val="24"/>
        </w:rPr>
        <w:t>-</w:t>
      </w:r>
      <w:r w:rsidRPr="00CF7500">
        <w:rPr>
          <w:sz w:val="24"/>
        </w:rPr>
        <w:t>2257.</w:t>
      </w:r>
    </w:p>
    <w:p w14:paraId="6E6521AD" w14:textId="62F490F9"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Bargeron, L. L., </w:t>
      </w:r>
      <w:r w:rsidR="006E6888" w:rsidRPr="00AF2689">
        <w:rPr>
          <w:sz w:val="24"/>
        </w:rPr>
        <w:t xml:space="preserve">F. P. </w:t>
      </w:r>
      <w:r w:rsidRPr="00CF7500">
        <w:rPr>
          <w:sz w:val="24"/>
        </w:rPr>
        <w:t xml:space="preserve">Schlingemann, </w:t>
      </w:r>
      <w:r w:rsidR="006E6888" w:rsidRPr="00AF2689">
        <w:rPr>
          <w:sz w:val="24"/>
        </w:rPr>
        <w:t xml:space="preserve">R. M. </w:t>
      </w:r>
      <w:r w:rsidRPr="00CF7500">
        <w:rPr>
          <w:sz w:val="24"/>
        </w:rPr>
        <w:t xml:space="preserve">Stulz, and </w:t>
      </w:r>
      <w:r w:rsidR="006E6888" w:rsidRPr="00AF2689">
        <w:rPr>
          <w:sz w:val="24"/>
        </w:rPr>
        <w:t>C. J.</w:t>
      </w:r>
      <w:r w:rsidRPr="00CF7500">
        <w:rPr>
          <w:sz w:val="24"/>
        </w:rPr>
        <w:t xml:space="preserve"> Zutter. 2008. “Why do private acquirers pay so little compared to public acquirers</w:t>
      </w:r>
      <w:r w:rsidR="007A44F1" w:rsidRPr="00AF2689">
        <w:rPr>
          <w:sz w:val="24"/>
        </w:rPr>
        <w:t xml:space="preserve">?”. </w:t>
      </w:r>
      <w:r w:rsidRPr="00CF7500">
        <w:rPr>
          <w:i/>
          <w:sz w:val="24"/>
        </w:rPr>
        <w:t>Journal of Financial Economics</w:t>
      </w:r>
      <w:r w:rsidR="00785CDD" w:rsidRPr="00AF2689">
        <w:rPr>
          <w:sz w:val="24"/>
        </w:rPr>
        <w:t>. 8</w:t>
      </w:r>
      <w:r w:rsidRPr="00CF7500">
        <w:rPr>
          <w:sz w:val="24"/>
        </w:rPr>
        <w:t>9</w:t>
      </w:r>
      <w:r w:rsidR="00CD1425" w:rsidRPr="00AF2689">
        <w:rPr>
          <w:sz w:val="24"/>
        </w:rPr>
        <w:t>(</w:t>
      </w:r>
      <w:r w:rsidRPr="00CF7500">
        <w:rPr>
          <w:sz w:val="24"/>
        </w:rPr>
        <w:t>3</w:t>
      </w:r>
      <w:r w:rsidR="00AA5369" w:rsidRPr="00AF2689">
        <w:rPr>
          <w:sz w:val="24"/>
        </w:rPr>
        <w:t>)</w:t>
      </w:r>
      <w:r w:rsidRPr="00CF7500">
        <w:rPr>
          <w:sz w:val="24"/>
        </w:rPr>
        <w:t>: 375</w:t>
      </w:r>
      <w:r w:rsidR="00744447" w:rsidRPr="00AF2689">
        <w:rPr>
          <w:sz w:val="24"/>
        </w:rPr>
        <w:t>-</w:t>
      </w:r>
      <w:r w:rsidRPr="00CF7500">
        <w:rPr>
          <w:sz w:val="24"/>
        </w:rPr>
        <w:t>390.</w:t>
      </w:r>
    </w:p>
    <w:p w14:paraId="38C9D0A6" w14:textId="03D9E844"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Beaver, G. 2001. “Management buy-outs: </w:t>
      </w:r>
      <w:r w:rsidR="0019253A" w:rsidRPr="00AF2689">
        <w:rPr>
          <w:sz w:val="24"/>
        </w:rPr>
        <w:t>W</w:t>
      </w:r>
      <w:r w:rsidRPr="00CF7500">
        <w:rPr>
          <w:sz w:val="24"/>
        </w:rPr>
        <w:t>ho dares wins</w:t>
      </w:r>
      <w:r w:rsidR="00CD1425" w:rsidRPr="00AF2689">
        <w:rPr>
          <w:sz w:val="24"/>
        </w:rPr>
        <w:t>?”</w:t>
      </w:r>
      <w:r w:rsidR="009F7C42" w:rsidRPr="00AF2689">
        <w:rPr>
          <w:sz w:val="24"/>
        </w:rPr>
        <w:t>.</w:t>
      </w:r>
      <w:r w:rsidR="00CD1425" w:rsidRPr="00AF2689">
        <w:rPr>
          <w:sz w:val="24"/>
        </w:rPr>
        <w:t xml:space="preserve"> </w:t>
      </w:r>
      <w:r w:rsidRPr="00CF7500">
        <w:rPr>
          <w:i/>
          <w:sz w:val="24"/>
        </w:rPr>
        <w:t>Strategic Change</w:t>
      </w:r>
      <w:r w:rsidR="00785CDD" w:rsidRPr="00AF2689">
        <w:rPr>
          <w:sz w:val="24"/>
        </w:rPr>
        <w:t>. 1</w:t>
      </w:r>
      <w:r w:rsidRPr="00CF7500">
        <w:rPr>
          <w:sz w:val="24"/>
        </w:rPr>
        <w:t>0</w:t>
      </w:r>
      <w:r w:rsidR="00CD1425" w:rsidRPr="00AF2689">
        <w:rPr>
          <w:sz w:val="24"/>
        </w:rPr>
        <w:t>(</w:t>
      </w:r>
      <w:r w:rsidRPr="00CF7500">
        <w:rPr>
          <w:sz w:val="24"/>
        </w:rPr>
        <w:t>6</w:t>
      </w:r>
      <w:r w:rsidR="00AA5369" w:rsidRPr="00AF2689">
        <w:rPr>
          <w:sz w:val="24"/>
        </w:rPr>
        <w:t>)</w:t>
      </w:r>
      <w:r w:rsidRPr="00CF7500">
        <w:rPr>
          <w:sz w:val="24"/>
        </w:rPr>
        <w:t>: 307</w:t>
      </w:r>
      <w:r w:rsidR="00744447" w:rsidRPr="00AF2689">
        <w:rPr>
          <w:sz w:val="24"/>
        </w:rPr>
        <w:t>-</w:t>
      </w:r>
      <w:r w:rsidRPr="00CF7500">
        <w:rPr>
          <w:sz w:val="24"/>
        </w:rPr>
        <w:t>309.</w:t>
      </w:r>
    </w:p>
    <w:p w14:paraId="3156523D" w14:textId="0489046E"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Berg, A. and </w:t>
      </w:r>
      <w:r w:rsidR="006E6888" w:rsidRPr="00AF2689">
        <w:rPr>
          <w:sz w:val="24"/>
        </w:rPr>
        <w:t>O.</w:t>
      </w:r>
      <w:r w:rsidRPr="00CF7500">
        <w:rPr>
          <w:sz w:val="24"/>
        </w:rPr>
        <w:t xml:space="preserve"> Gottschalg. 2005. “Understanding value generation in buyouts”. </w:t>
      </w:r>
      <w:r w:rsidRPr="00CF7500">
        <w:rPr>
          <w:i/>
          <w:sz w:val="24"/>
        </w:rPr>
        <w:t>Journal of Restructuring Finance</w:t>
      </w:r>
      <w:r w:rsidR="00396C36" w:rsidRPr="00AF2689">
        <w:rPr>
          <w:i/>
          <w:sz w:val="24"/>
        </w:rPr>
        <w:t>.</w:t>
      </w:r>
      <w:r w:rsidRPr="00CF7500">
        <w:rPr>
          <w:sz w:val="24"/>
        </w:rPr>
        <w:t xml:space="preserve"> 2(01)</w:t>
      </w:r>
      <w:r w:rsidR="003F240C" w:rsidRPr="00AF2689">
        <w:rPr>
          <w:sz w:val="24"/>
        </w:rPr>
        <w:t>:</w:t>
      </w:r>
      <w:r w:rsidR="00785CDD" w:rsidRPr="00AF2689">
        <w:rPr>
          <w:sz w:val="24"/>
        </w:rPr>
        <w:t xml:space="preserve"> 9</w:t>
      </w:r>
      <w:r w:rsidRPr="00CF7500">
        <w:rPr>
          <w:sz w:val="24"/>
        </w:rPr>
        <w:t>-37</w:t>
      </w:r>
      <w:r w:rsidR="00877604" w:rsidRPr="00AF2689">
        <w:rPr>
          <w:sz w:val="24"/>
        </w:rPr>
        <w:t>.</w:t>
      </w:r>
    </w:p>
    <w:p w14:paraId="579DB125" w14:textId="202D53A4"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Bergström, C</w:t>
      </w:r>
      <w:r w:rsidR="00B436A9" w:rsidRPr="00AF2689">
        <w:rPr>
          <w:sz w:val="24"/>
        </w:rPr>
        <w:t>.,</w:t>
      </w:r>
      <w:r w:rsidR="006E6888" w:rsidRPr="00AF2689">
        <w:rPr>
          <w:sz w:val="24"/>
        </w:rPr>
        <w:t xml:space="preserve"> M. </w:t>
      </w:r>
      <w:r w:rsidRPr="00CF7500">
        <w:rPr>
          <w:sz w:val="24"/>
        </w:rPr>
        <w:t xml:space="preserve">Grubb, and </w:t>
      </w:r>
      <w:r w:rsidR="006E6888" w:rsidRPr="00AF2689">
        <w:rPr>
          <w:sz w:val="24"/>
        </w:rPr>
        <w:t>S.</w:t>
      </w:r>
      <w:r w:rsidRPr="00CF7500">
        <w:rPr>
          <w:sz w:val="24"/>
        </w:rPr>
        <w:t xml:space="preserve"> Jonsson. 2007. “The operating impact of buyouts in Sweden: A study of value creation”. </w:t>
      </w:r>
      <w:r w:rsidRPr="00CF7500">
        <w:rPr>
          <w:i/>
          <w:sz w:val="24"/>
        </w:rPr>
        <w:t xml:space="preserve">The </w:t>
      </w:r>
      <w:r w:rsidR="000C2683" w:rsidRPr="00AF2689">
        <w:rPr>
          <w:i/>
          <w:sz w:val="24"/>
        </w:rPr>
        <w:t>The Journal of Private Equity</w:t>
      </w:r>
      <w:r w:rsidR="00785CDD" w:rsidRPr="00AF2689">
        <w:rPr>
          <w:sz w:val="24"/>
        </w:rPr>
        <w:t>. 2</w:t>
      </w:r>
      <w:r w:rsidRPr="00CF7500">
        <w:rPr>
          <w:sz w:val="24"/>
        </w:rPr>
        <w:t>2</w:t>
      </w:r>
      <w:r w:rsidR="00744447" w:rsidRPr="00AF2689">
        <w:rPr>
          <w:sz w:val="24"/>
        </w:rPr>
        <w:t>-</w:t>
      </w:r>
      <w:r w:rsidRPr="00CF7500">
        <w:rPr>
          <w:sz w:val="24"/>
        </w:rPr>
        <w:t>39.</w:t>
      </w:r>
    </w:p>
    <w:p w14:paraId="57A1C11D" w14:textId="28CFABF0"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Berle, A. and </w:t>
      </w:r>
      <w:r w:rsidR="006E6888" w:rsidRPr="00AF2689">
        <w:rPr>
          <w:sz w:val="24"/>
        </w:rPr>
        <w:t>G.</w:t>
      </w:r>
      <w:r w:rsidRPr="00CF7500">
        <w:rPr>
          <w:sz w:val="24"/>
        </w:rPr>
        <w:t xml:space="preserve"> Means. 1932. </w:t>
      </w:r>
      <w:r w:rsidRPr="00CF7500">
        <w:rPr>
          <w:i/>
          <w:sz w:val="24"/>
        </w:rPr>
        <w:t>The modern corporation and private property</w:t>
      </w:r>
      <w:r w:rsidRPr="00CF7500">
        <w:rPr>
          <w:sz w:val="24"/>
        </w:rPr>
        <w:t>. Macmillan, NY.</w:t>
      </w:r>
      <w:r w:rsidRPr="00CF7500">
        <w:rPr>
          <w:rFonts w:eastAsiaTheme="minorHAnsi"/>
          <w:sz w:val="24"/>
          <w:lang w:val="en-GB"/>
        </w:rPr>
        <w:t xml:space="preserve"> </w:t>
      </w:r>
    </w:p>
    <w:p w14:paraId="737A6C38" w14:textId="4203E443" w:rsidR="00676F76" w:rsidRPr="00CF7500" w:rsidRDefault="008C31C9" w:rsidP="00CF7500">
      <w:pPr>
        <w:pStyle w:val="Refs"/>
        <w:numPr>
          <w:ilvl w:val="0"/>
          <w:numId w:val="0"/>
        </w:numPr>
        <w:tabs>
          <w:tab w:val="clear" w:pos="360"/>
          <w:tab w:val="left" w:pos="567"/>
        </w:tabs>
        <w:ind w:left="170" w:hanging="425"/>
        <w:rPr>
          <w:sz w:val="24"/>
        </w:rPr>
      </w:pPr>
      <w:r w:rsidRPr="00CF7500">
        <w:rPr>
          <w:sz w:val="24"/>
          <w:lang w:val="en-GB"/>
        </w:rPr>
        <w:t xml:space="preserve">Bernstein, S. and A. Sheen. 2016. “The operational consequences of private equity buyouts: Evidence from the restaurant industry”. </w:t>
      </w:r>
      <w:r w:rsidRPr="00CF7500">
        <w:rPr>
          <w:i/>
          <w:sz w:val="24"/>
          <w:lang w:val="en-GB"/>
        </w:rPr>
        <w:t>Review of Financial Studies</w:t>
      </w:r>
      <w:r w:rsidR="009F7C42" w:rsidRPr="00AF2689">
        <w:rPr>
          <w:i/>
          <w:sz w:val="24"/>
          <w:lang w:val="en-GB"/>
        </w:rPr>
        <w:t>.</w:t>
      </w:r>
      <w:r w:rsidRPr="00CF7500">
        <w:rPr>
          <w:sz w:val="24"/>
          <w:lang w:val="en-GB"/>
        </w:rPr>
        <w:t xml:space="preserve"> 29</w:t>
      </w:r>
      <w:r w:rsidR="003F240C" w:rsidRPr="00AF2689">
        <w:rPr>
          <w:sz w:val="24"/>
          <w:lang w:val="en-GB"/>
        </w:rPr>
        <w:t>(9)</w:t>
      </w:r>
      <w:r w:rsidRPr="00CF7500">
        <w:rPr>
          <w:sz w:val="24"/>
          <w:lang w:val="en-GB"/>
        </w:rPr>
        <w:t>: 2387</w:t>
      </w:r>
      <w:r w:rsidR="00744447" w:rsidRPr="00AF2689">
        <w:rPr>
          <w:sz w:val="24"/>
          <w:lang w:val="en-GB"/>
        </w:rPr>
        <w:t>-</w:t>
      </w:r>
      <w:r w:rsidRPr="00CF7500">
        <w:rPr>
          <w:sz w:val="24"/>
          <w:lang w:val="en-GB"/>
        </w:rPr>
        <w:t>2418.</w:t>
      </w:r>
    </w:p>
    <w:p w14:paraId="3A9695C2" w14:textId="6451472C"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Bertrand, M. and </w:t>
      </w:r>
      <w:r w:rsidR="006E6888" w:rsidRPr="00AF2689">
        <w:rPr>
          <w:sz w:val="24"/>
        </w:rPr>
        <w:t>A.</w:t>
      </w:r>
      <w:r w:rsidRPr="00CF7500">
        <w:rPr>
          <w:sz w:val="24"/>
        </w:rPr>
        <w:t xml:space="preserve"> Schoar. 2003. “Managing with style: </w:t>
      </w:r>
      <w:r w:rsidR="008444DF" w:rsidRPr="00AF2689">
        <w:rPr>
          <w:sz w:val="24"/>
        </w:rPr>
        <w:t>T</w:t>
      </w:r>
      <w:r w:rsidRPr="00CF7500">
        <w:rPr>
          <w:sz w:val="24"/>
        </w:rPr>
        <w:t xml:space="preserve">he effect of managers on corporate policy”. </w:t>
      </w:r>
      <w:r w:rsidRPr="00CF7500">
        <w:rPr>
          <w:i/>
          <w:sz w:val="24"/>
        </w:rPr>
        <w:t>The Quarterly Journal of Economics</w:t>
      </w:r>
      <w:r w:rsidR="00785CDD" w:rsidRPr="00AF2689">
        <w:rPr>
          <w:sz w:val="24"/>
        </w:rPr>
        <w:t>. 1</w:t>
      </w:r>
      <w:r w:rsidRPr="00CF7500">
        <w:rPr>
          <w:sz w:val="24"/>
        </w:rPr>
        <w:t>18</w:t>
      </w:r>
      <w:r w:rsidR="003F240C" w:rsidRPr="00AF2689">
        <w:rPr>
          <w:sz w:val="24"/>
        </w:rPr>
        <w:t>(4)</w:t>
      </w:r>
      <w:r w:rsidRPr="00CF7500">
        <w:rPr>
          <w:sz w:val="24"/>
        </w:rPr>
        <w:t>: 1169</w:t>
      </w:r>
      <w:r w:rsidR="00744447" w:rsidRPr="00AF2689">
        <w:rPr>
          <w:sz w:val="24"/>
        </w:rPr>
        <w:t>-</w:t>
      </w:r>
      <w:r w:rsidRPr="00CF7500">
        <w:rPr>
          <w:sz w:val="24"/>
        </w:rPr>
        <w:t>1208.</w:t>
      </w:r>
    </w:p>
    <w:p w14:paraId="1F490B07" w14:textId="7DBDE9A6" w:rsidR="00676F76" w:rsidRPr="00AF2689" w:rsidRDefault="008C31C9" w:rsidP="00CF7500">
      <w:pPr>
        <w:pStyle w:val="Refs"/>
        <w:numPr>
          <w:ilvl w:val="0"/>
          <w:numId w:val="0"/>
        </w:numPr>
        <w:tabs>
          <w:tab w:val="clear" w:pos="360"/>
          <w:tab w:val="left" w:pos="567"/>
        </w:tabs>
        <w:ind w:left="170" w:hanging="425"/>
        <w:rPr>
          <w:sz w:val="24"/>
        </w:rPr>
      </w:pPr>
      <w:r w:rsidRPr="00CF7500">
        <w:rPr>
          <w:sz w:val="24"/>
        </w:rPr>
        <w:t xml:space="preserve">Bloom, N., </w:t>
      </w:r>
      <w:r w:rsidR="006E6888" w:rsidRPr="00AF2689">
        <w:rPr>
          <w:sz w:val="24"/>
        </w:rPr>
        <w:t xml:space="preserve">R. </w:t>
      </w:r>
      <w:r w:rsidRPr="00CF7500">
        <w:rPr>
          <w:sz w:val="24"/>
        </w:rPr>
        <w:t xml:space="preserve">Sadun, and </w:t>
      </w:r>
      <w:r w:rsidR="00CB384A" w:rsidRPr="00AF2689">
        <w:rPr>
          <w:sz w:val="24"/>
        </w:rPr>
        <w:t>J.</w:t>
      </w:r>
      <w:r w:rsidRPr="00CF7500">
        <w:rPr>
          <w:sz w:val="24"/>
        </w:rPr>
        <w:t xml:space="preserve"> Van Reenen. 2015. “Do private equity owned firms have better management practices</w:t>
      </w:r>
      <w:r w:rsidR="00CD1425" w:rsidRPr="00AF2689">
        <w:rPr>
          <w:sz w:val="24"/>
        </w:rPr>
        <w:t>?”</w:t>
      </w:r>
      <w:r w:rsidR="009F7C42" w:rsidRPr="00AF2689">
        <w:rPr>
          <w:sz w:val="24"/>
        </w:rPr>
        <w:t>.</w:t>
      </w:r>
      <w:r w:rsidR="00CD1425" w:rsidRPr="00AF2689">
        <w:rPr>
          <w:sz w:val="24"/>
        </w:rPr>
        <w:t xml:space="preserve"> </w:t>
      </w:r>
      <w:r w:rsidRPr="00CF7500">
        <w:rPr>
          <w:i/>
          <w:sz w:val="24"/>
        </w:rPr>
        <w:t>American Economic Review: Papers and Proceedings</w:t>
      </w:r>
      <w:r w:rsidR="00785CDD" w:rsidRPr="00AF2689">
        <w:rPr>
          <w:sz w:val="24"/>
        </w:rPr>
        <w:t>. 1</w:t>
      </w:r>
      <w:r w:rsidRPr="00CF7500">
        <w:rPr>
          <w:sz w:val="24"/>
        </w:rPr>
        <w:t>05</w:t>
      </w:r>
      <w:r w:rsidR="00DE500A" w:rsidRPr="00AF2689">
        <w:rPr>
          <w:sz w:val="24"/>
        </w:rPr>
        <w:t>(5)</w:t>
      </w:r>
      <w:r w:rsidRPr="00CF7500">
        <w:rPr>
          <w:sz w:val="24"/>
        </w:rPr>
        <w:t>: 442</w:t>
      </w:r>
      <w:r w:rsidR="00744447" w:rsidRPr="00AF2689">
        <w:rPr>
          <w:sz w:val="24"/>
        </w:rPr>
        <w:t>-</w:t>
      </w:r>
      <w:r w:rsidRPr="00CF7500">
        <w:rPr>
          <w:sz w:val="24"/>
        </w:rPr>
        <w:t>46.</w:t>
      </w:r>
    </w:p>
    <w:p w14:paraId="30F89B75" w14:textId="794A5D68" w:rsidR="00676F76" w:rsidRPr="00AF2689" w:rsidRDefault="008C31C9" w:rsidP="00CF7500">
      <w:pPr>
        <w:pStyle w:val="Refs"/>
        <w:numPr>
          <w:ilvl w:val="0"/>
          <w:numId w:val="0"/>
        </w:numPr>
        <w:tabs>
          <w:tab w:val="clear" w:pos="360"/>
          <w:tab w:val="left" w:pos="567"/>
        </w:tabs>
        <w:ind w:left="170" w:hanging="425"/>
        <w:rPr>
          <w:sz w:val="24"/>
        </w:rPr>
      </w:pPr>
      <w:r w:rsidRPr="00CF7500">
        <w:rPr>
          <w:sz w:val="24"/>
        </w:rPr>
        <w:t xml:space="preserve">Bonini, S. 2015. “Secondary buyouts: </w:t>
      </w:r>
      <w:r w:rsidR="00E85B7D" w:rsidRPr="00AF2689">
        <w:rPr>
          <w:sz w:val="24"/>
        </w:rPr>
        <w:t>O</w:t>
      </w:r>
      <w:r w:rsidRPr="00CF7500">
        <w:rPr>
          <w:sz w:val="24"/>
        </w:rPr>
        <w:t xml:space="preserve">perating performance and investment determinants”. </w:t>
      </w:r>
      <w:r w:rsidRPr="00CF7500">
        <w:rPr>
          <w:i/>
          <w:sz w:val="24"/>
        </w:rPr>
        <w:t>Financial Management</w:t>
      </w:r>
      <w:r w:rsidR="00395925" w:rsidRPr="00AF2689">
        <w:rPr>
          <w:sz w:val="24"/>
        </w:rPr>
        <w:t xml:space="preserve">. </w:t>
      </w:r>
      <w:r w:rsidRPr="00CF7500">
        <w:rPr>
          <w:sz w:val="24"/>
        </w:rPr>
        <w:t>44</w:t>
      </w:r>
      <w:r w:rsidR="00DE500A" w:rsidRPr="00AF2689">
        <w:rPr>
          <w:sz w:val="24"/>
        </w:rPr>
        <w:t>(2)</w:t>
      </w:r>
      <w:r w:rsidRPr="00CF7500">
        <w:rPr>
          <w:sz w:val="24"/>
        </w:rPr>
        <w:t>: 431-470.</w:t>
      </w:r>
    </w:p>
    <w:p w14:paraId="20BBBA60" w14:textId="77777777" w:rsidR="00676F76" w:rsidRPr="00AF2689" w:rsidRDefault="008C31C9" w:rsidP="00CF7500">
      <w:pPr>
        <w:pStyle w:val="Refs"/>
        <w:numPr>
          <w:ilvl w:val="0"/>
          <w:numId w:val="0"/>
        </w:numPr>
        <w:tabs>
          <w:tab w:val="clear" w:pos="360"/>
          <w:tab w:val="left" w:pos="567"/>
        </w:tabs>
        <w:ind w:left="170" w:hanging="425"/>
        <w:rPr>
          <w:sz w:val="24"/>
        </w:rPr>
      </w:pPr>
      <w:r w:rsidRPr="00CF7500">
        <w:rPr>
          <w:sz w:val="24"/>
        </w:rPr>
        <w:t xml:space="preserve">Boucly, Q., </w:t>
      </w:r>
      <w:r w:rsidR="00B436A9" w:rsidRPr="00AF2689">
        <w:rPr>
          <w:sz w:val="24"/>
        </w:rPr>
        <w:t xml:space="preserve">D. </w:t>
      </w:r>
      <w:r w:rsidRPr="00CF7500">
        <w:rPr>
          <w:sz w:val="24"/>
        </w:rPr>
        <w:t>Sraer</w:t>
      </w:r>
      <w:r w:rsidR="00B436A9" w:rsidRPr="00AF2689">
        <w:rPr>
          <w:sz w:val="24"/>
        </w:rPr>
        <w:t>,</w:t>
      </w:r>
      <w:r w:rsidRPr="00CF7500">
        <w:rPr>
          <w:sz w:val="24"/>
        </w:rPr>
        <w:t xml:space="preserve"> and </w:t>
      </w:r>
      <w:r w:rsidR="00B436A9" w:rsidRPr="00AF2689">
        <w:rPr>
          <w:sz w:val="24"/>
        </w:rPr>
        <w:t>D.</w:t>
      </w:r>
      <w:r w:rsidRPr="00CF7500">
        <w:rPr>
          <w:sz w:val="24"/>
        </w:rPr>
        <w:t xml:space="preserve"> Thesmar. 2011. “Growth LBOs”. </w:t>
      </w:r>
      <w:r w:rsidRPr="00CF7500">
        <w:rPr>
          <w:i/>
          <w:sz w:val="24"/>
        </w:rPr>
        <w:t>Journal of Financial Economics</w:t>
      </w:r>
      <w:r w:rsidR="009F7C42" w:rsidRPr="00AF2689">
        <w:rPr>
          <w:i/>
          <w:sz w:val="24"/>
        </w:rPr>
        <w:t>.</w:t>
      </w:r>
      <w:r w:rsidRPr="00CF7500">
        <w:rPr>
          <w:sz w:val="24"/>
        </w:rPr>
        <w:t xml:space="preserve"> 102</w:t>
      </w:r>
      <w:r w:rsidR="00395925" w:rsidRPr="00AF2689">
        <w:rPr>
          <w:sz w:val="24"/>
        </w:rPr>
        <w:t>(2)</w:t>
      </w:r>
      <w:r w:rsidRPr="00CF7500">
        <w:rPr>
          <w:sz w:val="24"/>
        </w:rPr>
        <w:t>: 432-453.</w:t>
      </w:r>
    </w:p>
    <w:p w14:paraId="5CE9C3D9" w14:textId="77777777" w:rsidR="00676F76" w:rsidRPr="00AF2689" w:rsidRDefault="008C31C9" w:rsidP="00CF7500">
      <w:pPr>
        <w:pStyle w:val="Refs"/>
        <w:numPr>
          <w:ilvl w:val="0"/>
          <w:numId w:val="0"/>
        </w:numPr>
        <w:tabs>
          <w:tab w:val="clear" w:pos="360"/>
          <w:tab w:val="left" w:pos="567"/>
        </w:tabs>
        <w:ind w:left="170" w:hanging="425"/>
        <w:rPr>
          <w:sz w:val="24"/>
        </w:rPr>
      </w:pPr>
      <w:r w:rsidRPr="00CF7500">
        <w:rPr>
          <w:sz w:val="24"/>
        </w:rPr>
        <w:t xml:space="preserve">Braun, R., T. Jenkinson, and I. Stoff. 2017. “How persistent is private equity performance? Evidence from deal-level data”. </w:t>
      </w:r>
      <w:r w:rsidRPr="00CF7500">
        <w:rPr>
          <w:i/>
          <w:sz w:val="24"/>
        </w:rPr>
        <w:t>Journal of Financial Economics</w:t>
      </w:r>
      <w:r w:rsidR="00201D25" w:rsidRPr="00AF2689">
        <w:rPr>
          <w:i/>
          <w:sz w:val="24"/>
        </w:rPr>
        <w:t>.</w:t>
      </w:r>
      <w:r w:rsidRPr="00CF7500">
        <w:rPr>
          <w:sz w:val="24"/>
        </w:rPr>
        <w:t xml:space="preserve"> </w:t>
      </w:r>
      <w:r w:rsidR="00395925" w:rsidRPr="00AF2689">
        <w:rPr>
          <w:sz w:val="24"/>
        </w:rPr>
        <w:t>123(2): 273-291</w:t>
      </w:r>
      <w:r w:rsidRPr="00CF7500">
        <w:rPr>
          <w:sz w:val="24"/>
        </w:rPr>
        <w:t>.</w:t>
      </w:r>
    </w:p>
    <w:p w14:paraId="38EF11B9" w14:textId="23470A5F"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Bruining, H., </w:t>
      </w:r>
      <w:r w:rsidR="00696A40" w:rsidRPr="00AF2689">
        <w:rPr>
          <w:sz w:val="24"/>
        </w:rPr>
        <w:t>P.</w:t>
      </w:r>
      <w:r w:rsidRPr="00CF7500">
        <w:rPr>
          <w:sz w:val="24"/>
        </w:rPr>
        <w:t xml:space="preserve"> Boselie, </w:t>
      </w:r>
      <w:r w:rsidR="00696A40" w:rsidRPr="00AF2689">
        <w:rPr>
          <w:sz w:val="24"/>
        </w:rPr>
        <w:t xml:space="preserve">M. </w:t>
      </w:r>
      <w:r w:rsidRPr="00CF7500">
        <w:rPr>
          <w:sz w:val="24"/>
        </w:rPr>
        <w:t xml:space="preserve">Wright, and </w:t>
      </w:r>
      <w:r w:rsidR="00CB384A" w:rsidRPr="00AF2689">
        <w:rPr>
          <w:sz w:val="24"/>
        </w:rPr>
        <w:t>N.</w:t>
      </w:r>
      <w:r w:rsidRPr="00CF7500">
        <w:rPr>
          <w:sz w:val="24"/>
        </w:rPr>
        <w:t xml:space="preserve"> Bacon. 2005. “The impact of business ownership change on employee relations: </w:t>
      </w:r>
      <w:r w:rsidR="0017798F" w:rsidRPr="00AF2689">
        <w:rPr>
          <w:sz w:val="24"/>
        </w:rPr>
        <w:t>B</w:t>
      </w:r>
      <w:r w:rsidRPr="00CF7500">
        <w:rPr>
          <w:sz w:val="24"/>
        </w:rPr>
        <w:t xml:space="preserve">uy-outs in the UK and the Netherlands”. </w:t>
      </w:r>
      <w:r w:rsidRPr="00CF7500">
        <w:rPr>
          <w:i/>
          <w:iCs/>
          <w:sz w:val="24"/>
        </w:rPr>
        <w:t>International Journal of Human Resource Management</w:t>
      </w:r>
      <w:r w:rsidR="00785CDD" w:rsidRPr="00AF2689">
        <w:rPr>
          <w:i/>
          <w:iCs/>
          <w:sz w:val="24"/>
        </w:rPr>
        <w:t>.</w:t>
      </w:r>
      <w:r w:rsidRPr="00CF7500">
        <w:rPr>
          <w:iCs/>
          <w:sz w:val="24"/>
        </w:rPr>
        <w:t xml:space="preserve"> 16</w:t>
      </w:r>
      <w:r w:rsidRPr="00CF7500">
        <w:rPr>
          <w:sz w:val="24"/>
        </w:rPr>
        <w:t>(3): 345-365.</w:t>
      </w:r>
    </w:p>
    <w:p w14:paraId="4687A991" w14:textId="77777777" w:rsidR="00796E21" w:rsidRPr="00AF2689" w:rsidRDefault="00796E21" w:rsidP="00796E21">
      <w:pPr>
        <w:pStyle w:val="Refs"/>
        <w:numPr>
          <w:ilvl w:val="0"/>
          <w:numId w:val="0"/>
        </w:numPr>
        <w:tabs>
          <w:tab w:val="clear" w:pos="360"/>
          <w:tab w:val="left" w:pos="709"/>
        </w:tabs>
        <w:ind w:left="170" w:hanging="425"/>
        <w:rPr>
          <w:sz w:val="24"/>
        </w:rPr>
      </w:pPr>
      <w:r w:rsidRPr="00AF2689">
        <w:rPr>
          <w:sz w:val="24"/>
        </w:rPr>
        <w:t xml:space="preserve">Bruining, H., E. Verwaal, and M. Wright. 2013. “Private equity and entrepreneurial management in management buy-outs”. </w:t>
      </w:r>
      <w:r w:rsidRPr="00AF2689">
        <w:rPr>
          <w:i/>
          <w:sz w:val="24"/>
        </w:rPr>
        <w:t>Small Business Economics</w:t>
      </w:r>
      <w:r w:rsidRPr="00AF2689">
        <w:rPr>
          <w:sz w:val="24"/>
        </w:rPr>
        <w:t>. 40(3), 591-605.</w:t>
      </w:r>
    </w:p>
    <w:p w14:paraId="5D8104D4" w14:textId="15467313"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Bruining, H. and </w:t>
      </w:r>
      <w:r w:rsidR="00696A40" w:rsidRPr="00AF2689">
        <w:rPr>
          <w:sz w:val="24"/>
        </w:rPr>
        <w:t>M.</w:t>
      </w:r>
      <w:r w:rsidRPr="00CF7500">
        <w:rPr>
          <w:sz w:val="24"/>
        </w:rPr>
        <w:t xml:space="preserve"> Wright. 2002. “Entrepreneurial orientation in management buy-outs and the contribution of venture capital”. </w:t>
      </w:r>
      <w:r w:rsidRPr="00CF7500">
        <w:rPr>
          <w:i/>
          <w:sz w:val="24"/>
        </w:rPr>
        <w:t>Venture Capital: An International Journal of Entrepreneurial Finance</w:t>
      </w:r>
      <w:r w:rsidR="00785CDD" w:rsidRPr="00AF2689">
        <w:rPr>
          <w:sz w:val="24"/>
        </w:rPr>
        <w:t>. 4</w:t>
      </w:r>
      <w:r w:rsidR="00CD1425" w:rsidRPr="00AF2689">
        <w:rPr>
          <w:sz w:val="24"/>
        </w:rPr>
        <w:t>(</w:t>
      </w:r>
      <w:r w:rsidRPr="00CF7500">
        <w:rPr>
          <w:sz w:val="24"/>
        </w:rPr>
        <w:t>2</w:t>
      </w:r>
      <w:r w:rsidR="00AA5369" w:rsidRPr="00AF2689">
        <w:rPr>
          <w:sz w:val="24"/>
        </w:rPr>
        <w:t>)</w:t>
      </w:r>
      <w:r w:rsidRPr="00CF7500">
        <w:rPr>
          <w:sz w:val="24"/>
        </w:rPr>
        <w:t>: 147</w:t>
      </w:r>
      <w:r w:rsidR="00744447" w:rsidRPr="00AF2689">
        <w:rPr>
          <w:sz w:val="24"/>
        </w:rPr>
        <w:t>-</w:t>
      </w:r>
      <w:r w:rsidRPr="00CF7500">
        <w:rPr>
          <w:sz w:val="24"/>
        </w:rPr>
        <w:t>168.</w:t>
      </w:r>
    </w:p>
    <w:p w14:paraId="39A31B19" w14:textId="2CC50E28"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Bull, I. 1989. “Financial performance of leveraged buyouts:</w:t>
      </w:r>
      <w:r w:rsidR="00034852" w:rsidRPr="00AF2689">
        <w:rPr>
          <w:sz w:val="24"/>
        </w:rPr>
        <w:t xml:space="preserve"> A</w:t>
      </w:r>
      <w:r w:rsidRPr="00CF7500">
        <w:rPr>
          <w:sz w:val="24"/>
        </w:rPr>
        <w:t xml:space="preserve">n empirical analysis”. </w:t>
      </w:r>
      <w:r w:rsidRPr="00CF7500">
        <w:rPr>
          <w:i/>
          <w:sz w:val="24"/>
        </w:rPr>
        <w:t>Journal of Business Venturing</w:t>
      </w:r>
      <w:r w:rsidR="00785CDD" w:rsidRPr="00AF2689">
        <w:rPr>
          <w:sz w:val="24"/>
        </w:rPr>
        <w:t>. 4</w:t>
      </w:r>
      <w:r w:rsidR="00CD1425" w:rsidRPr="00AF2689">
        <w:rPr>
          <w:sz w:val="24"/>
        </w:rPr>
        <w:t>(</w:t>
      </w:r>
      <w:r w:rsidRPr="00CF7500">
        <w:rPr>
          <w:sz w:val="24"/>
        </w:rPr>
        <w:t>4</w:t>
      </w:r>
      <w:r w:rsidR="00AA5369" w:rsidRPr="00AF2689">
        <w:rPr>
          <w:sz w:val="24"/>
        </w:rPr>
        <w:t>)</w:t>
      </w:r>
      <w:r w:rsidRPr="00CF7500">
        <w:rPr>
          <w:sz w:val="24"/>
        </w:rPr>
        <w:t>: 263</w:t>
      </w:r>
      <w:r w:rsidR="00744447" w:rsidRPr="00AF2689">
        <w:rPr>
          <w:sz w:val="24"/>
        </w:rPr>
        <w:t>-</w:t>
      </w:r>
      <w:r w:rsidRPr="00CF7500">
        <w:rPr>
          <w:sz w:val="24"/>
        </w:rPr>
        <w:t>279.</w:t>
      </w:r>
    </w:p>
    <w:p w14:paraId="41535F01" w14:textId="2E1ADBFA"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Butler, P. A. 2001. “The </w:t>
      </w:r>
      <w:r w:rsidR="00034852" w:rsidRPr="00AF2689">
        <w:rPr>
          <w:sz w:val="24"/>
        </w:rPr>
        <w:t>a</w:t>
      </w:r>
      <w:r w:rsidRPr="00CF7500">
        <w:rPr>
          <w:sz w:val="24"/>
        </w:rPr>
        <w:t xml:space="preserve">lchemy of LBOs”. </w:t>
      </w:r>
      <w:r w:rsidRPr="00CF7500">
        <w:rPr>
          <w:i/>
          <w:sz w:val="24"/>
        </w:rPr>
        <w:t>The McKinsey Quarterly</w:t>
      </w:r>
      <w:r w:rsidR="00785CDD" w:rsidRPr="00AF2689">
        <w:rPr>
          <w:sz w:val="24"/>
        </w:rPr>
        <w:t>. 1</w:t>
      </w:r>
      <w:r w:rsidRPr="00CF7500">
        <w:rPr>
          <w:sz w:val="24"/>
        </w:rPr>
        <w:t>40</w:t>
      </w:r>
      <w:r w:rsidR="00744447" w:rsidRPr="00AF2689">
        <w:rPr>
          <w:sz w:val="24"/>
        </w:rPr>
        <w:t>-</w:t>
      </w:r>
      <w:r w:rsidRPr="00CF7500">
        <w:rPr>
          <w:sz w:val="24"/>
        </w:rPr>
        <w:t>151.</w:t>
      </w:r>
    </w:p>
    <w:p w14:paraId="367089CC" w14:textId="4471BDC2"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Campbell, A., </w:t>
      </w:r>
      <w:r w:rsidR="00696A40" w:rsidRPr="00AF2689">
        <w:rPr>
          <w:sz w:val="24"/>
        </w:rPr>
        <w:t xml:space="preserve">M. </w:t>
      </w:r>
      <w:r w:rsidRPr="00CF7500">
        <w:rPr>
          <w:sz w:val="24"/>
        </w:rPr>
        <w:t xml:space="preserve">Goold, and </w:t>
      </w:r>
      <w:r w:rsidR="00696A40" w:rsidRPr="00AF2689">
        <w:rPr>
          <w:sz w:val="24"/>
        </w:rPr>
        <w:t>M.</w:t>
      </w:r>
      <w:r w:rsidRPr="00CF7500">
        <w:rPr>
          <w:sz w:val="24"/>
        </w:rPr>
        <w:t xml:space="preserve"> Alexander. 1995. “The value of the parent company”. </w:t>
      </w:r>
      <w:r w:rsidRPr="00CF7500">
        <w:rPr>
          <w:i/>
          <w:sz w:val="24"/>
        </w:rPr>
        <w:t>California Management Review</w:t>
      </w:r>
      <w:r w:rsidR="00785CDD" w:rsidRPr="00AF2689">
        <w:rPr>
          <w:sz w:val="24"/>
        </w:rPr>
        <w:t>. 3</w:t>
      </w:r>
      <w:r w:rsidRPr="00CF7500">
        <w:rPr>
          <w:sz w:val="24"/>
        </w:rPr>
        <w:t>8</w:t>
      </w:r>
      <w:r w:rsidR="00CD1425" w:rsidRPr="00AF2689">
        <w:rPr>
          <w:sz w:val="24"/>
        </w:rPr>
        <w:t>(</w:t>
      </w:r>
      <w:r w:rsidRPr="00CF7500">
        <w:rPr>
          <w:sz w:val="24"/>
        </w:rPr>
        <w:t>1</w:t>
      </w:r>
      <w:r w:rsidR="00AA5369" w:rsidRPr="00AF2689">
        <w:rPr>
          <w:sz w:val="24"/>
        </w:rPr>
        <w:t>)</w:t>
      </w:r>
      <w:r w:rsidRPr="00CF7500">
        <w:rPr>
          <w:sz w:val="24"/>
        </w:rPr>
        <w:t>: 79</w:t>
      </w:r>
      <w:r w:rsidR="00744447" w:rsidRPr="00AF2689">
        <w:rPr>
          <w:sz w:val="24"/>
        </w:rPr>
        <w:t>-</w:t>
      </w:r>
      <w:r w:rsidRPr="00CF7500">
        <w:rPr>
          <w:sz w:val="24"/>
        </w:rPr>
        <w:t>97.</w:t>
      </w:r>
    </w:p>
    <w:p w14:paraId="1663282F" w14:textId="6D59FD44"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Castellaneta F. 2016. “Building firm capability: Managerial incentives for top performance”. </w:t>
      </w:r>
      <w:r w:rsidRPr="00CF7500">
        <w:rPr>
          <w:i/>
          <w:sz w:val="24"/>
        </w:rPr>
        <w:t>Journal of Business Strategy</w:t>
      </w:r>
      <w:r w:rsidR="008E43E1" w:rsidRPr="00AF2689">
        <w:rPr>
          <w:i/>
          <w:sz w:val="24"/>
        </w:rPr>
        <w:t>.</w:t>
      </w:r>
      <w:r w:rsidRPr="00CF7500">
        <w:rPr>
          <w:sz w:val="24"/>
        </w:rPr>
        <w:t xml:space="preserve"> 37(4): 41-46</w:t>
      </w:r>
      <w:r w:rsidR="00877604" w:rsidRPr="00AF2689">
        <w:rPr>
          <w:sz w:val="24"/>
        </w:rPr>
        <w:t>.</w:t>
      </w:r>
    </w:p>
    <w:p w14:paraId="75095B14" w14:textId="3E85DB04"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Castellaneta F.</w:t>
      </w:r>
      <w:r w:rsidR="00CE2EC1" w:rsidRPr="00AF2689">
        <w:rPr>
          <w:sz w:val="24"/>
        </w:rPr>
        <w:t xml:space="preserve"> and</w:t>
      </w:r>
      <w:r w:rsidRPr="00CF7500">
        <w:rPr>
          <w:sz w:val="24"/>
        </w:rPr>
        <w:t xml:space="preserve"> </w:t>
      </w:r>
      <w:r w:rsidR="00696A40" w:rsidRPr="00AF2689">
        <w:rPr>
          <w:sz w:val="24"/>
        </w:rPr>
        <w:t>R.</w:t>
      </w:r>
      <w:r w:rsidRPr="00CF7500">
        <w:rPr>
          <w:sz w:val="24"/>
        </w:rPr>
        <w:t xml:space="preserve"> Conti. 2017. “How does acquisition experience create value? Evidence from a regulatory change affecting the information environment”</w:t>
      </w:r>
      <w:r w:rsidR="0068234F" w:rsidRPr="00AF2689">
        <w:rPr>
          <w:sz w:val="24"/>
        </w:rPr>
        <w:t>.</w:t>
      </w:r>
      <w:r w:rsidRPr="00CF7500">
        <w:rPr>
          <w:sz w:val="24"/>
        </w:rPr>
        <w:t xml:space="preserve"> </w:t>
      </w:r>
      <w:r w:rsidRPr="00CF7500">
        <w:rPr>
          <w:i/>
          <w:sz w:val="24"/>
        </w:rPr>
        <w:t>European Management Journal</w:t>
      </w:r>
      <w:r w:rsidR="008E43E1" w:rsidRPr="00AF2689">
        <w:rPr>
          <w:i/>
          <w:sz w:val="24"/>
        </w:rPr>
        <w:t>.</w:t>
      </w:r>
      <w:r w:rsidRPr="00CF7500">
        <w:rPr>
          <w:sz w:val="24"/>
        </w:rPr>
        <w:t xml:space="preserve"> 35(1): 60-68</w:t>
      </w:r>
      <w:r w:rsidR="00877604" w:rsidRPr="00AF2689">
        <w:rPr>
          <w:sz w:val="24"/>
        </w:rPr>
        <w:t>.</w:t>
      </w:r>
    </w:p>
    <w:p w14:paraId="02F7FD77" w14:textId="52E44EEC" w:rsidR="00676F76" w:rsidRPr="00CF7500" w:rsidRDefault="008C31C9" w:rsidP="00CF7500">
      <w:pPr>
        <w:pStyle w:val="Refs"/>
        <w:numPr>
          <w:ilvl w:val="0"/>
          <w:numId w:val="0"/>
        </w:numPr>
        <w:tabs>
          <w:tab w:val="clear" w:pos="360"/>
          <w:tab w:val="left" w:pos="567"/>
        </w:tabs>
        <w:ind w:left="170" w:hanging="425"/>
        <w:rPr>
          <w:sz w:val="24"/>
        </w:rPr>
      </w:pPr>
      <w:r w:rsidRPr="00242052">
        <w:rPr>
          <w:sz w:val="24"/>
        </w:rPr>
        <w:t xml:space="preserve">Castellaneta F., </w:t>
      </w:r>
      <w:r w:rsidR="00696A40" w:rsidRPr="00242052">
        <w:rPr>
          <w:sz w:val="24"/>
        </w:rPr>
        <w:t xml:space="preserve">R. </w:t>
      </w:r>
      <w:r w:rsidRPr="00242052">
        <w:rPr>
          <w:sz w:val="24"/>
        </w:rPr>
        <w:t xml:space="preserve">Conti, </w:t>
      </w:r>
      <w:r w:rsidR="00696A40" w:rsidRPr="00242052">
        <w:rPr>
          <w:sz w:val="24"/>
        </w:rPr>
        <w:t>A.</w:t>
      </w:r>
      <w:r w:rsidRPr="00242052">
        <w:rPr>
          <w:sz w:val="24"/>
        </w:rPr>
        <w:t xml:space="preserve"> Kacperczyk. 2017. “</w:t>
      </w:r>
      <w:r w:rsidRPr="00CF7500">
        <w:rPr>
          <w:sz w:val="24"/>
        </w:rPr>
        <w:t xml:space="preserve">Money secrets: How does trade secret legal protection affect firm market value? Evidence from the Uniform Trade Secret Act”. </w:t>
      </w:r>
      <w:r w:rsidRPr="00CF7500">
        <w:rPr>
          <w:i/>
          <w:sz w:val="24"/>
        </w:rPr>
        <w:t>Strategic Management Journal</w:t>
      </w:r>
      <w:r w:rsidR="008E43E1" w:rsidRPr="00AF2689">
        <w:rPr>
          <w:i/>
          <w:sz w:val="24"/>
        </w:rPr>
        <w:t>.</w:t>
      </w:r>
      <w:r w:rsidRPr="00CF7500">
        <w:rPr>
          <w:sz w:val="24"/>
        </w:rPr>
        <w:t xml:space="preserve"> 38(4): 834-853</w:t>
      </w:r>
      <w:r w:rsidR="00877604" w:rsidRPr="00AF2689">
        <w:rPr>
          <w:sz w:val="24"/>
        </w:rPr>
        <w:t>.</w:t>
      </w:r>
    </w:p>
    <w:p w14:paraId="7EC3609E" w14:textId="2B4943D6"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Castellaneta, F. and </w:t>
      </w:r>
      <w:r w:rsidR="009E74F9" w:rsidRPr="00AF2689">
        <w:rPr>
          <w:sz w:val="24"/>
        </w:rPr>
        <w:t>O.</w:t>
      </w:r>
      <w:r w:rsidRPr="00CF7500">
        <w:rPr>
          <w:sz w:val="24"/>
        </w:rPr>
        <w:t xml:space="preserve"> Gottschalg. 2016. </w:t>
      </w:r>
      <w:r w:rsidR="00B641BC" w:rsidRPr="00AF2689">
        <w:rPr>
          <w:sz w:val="24"/>
        </w:rPr>
        <w:t>“</w:t>
      </w:r>
      <w:r w:rsidRPr="00CF7500">
        <w:rPr>
          <w:sz w:val="24"/>
        </w:rPr>
        <w:t>Does ownership matter in private equity? The sources of variance in buyouts' performance</w:t>
      </w:r>
      <w:r w:rsidR="00B641BC" w:rsidRPr="00AF2689">
        <w:rPr>
          <w:sz w:val="24"/>
        </w:rPr>
        <w:t>”</w:t>
      </w:r>
      <w:r w:rsidRPr="00CF7500">
        <w:rPr>
          <w:sz w:val="24"/>
        </w:rPr>
        <w:t xml:space="preserve">. </w:t>
      </w:r>
      <w:r w:rsidRPr="00CF7500">
        <w:rPr>
          <w:i/>
          <w:sz w:val="24"/>
        </w:rPr>
        <w:t>Strategic Management Journal</w:t>
      </w:r>
      <w:r w:rsidR="00785CDD" w:rsidRPr="00AF2689">
        <w:rPr>
          <w:sz w:val="24"/>
        </w:rPr>
        <w:t>. 3</w:t>
      </w:r>
      <w:r w:rsidRPr="00CF7500">
        <w:rPr>
          <w:sz w:val="24"/>
        </w:rPr>
        <w:t>7</w:t>
      </w:r>
      <w:r w:rsidR="00000895" w:rsidRPr="00AF2689">
        <w:rPr>
          <w:sz w:val="24"/>
        </w:rPr>
        <w:t>(2)</w:t>
      </w:r>
      <w:r w:rsidRPr="00CF7500">
        <w:rPr>
          <w:sz w:val="24"/>
        </w:rPr>
        <w:t>: 330-348.</w:t>
      </w:r>
    </w:p>
    <w:p w14:paraId="285E9BEB" w14:textId="24B40AC7" w:rsidR="00676F76" w:rsidRPr="00CF7500" w:rsidRDefault="008C31C9" w:rsidP="00CF7500">
      <w:pPr>
        <w:pStyle w:val="Refs"/>
        <w:numPr>
          <w:ilvl w:val="0"/>
          <w:numId w:val="0"/>
        </w:numPr>
        <w:tabs>
          <w:tab w:val="left" w:pos="567"/>
        </w:tabs>
        <w:ind w:left="170" w:hanging="425"/>
        <w:rPr>
          <w:sz w:val="24"/>
        </w:rPr>
      </w:pPr>
      <w:r w:rsidRPr="00CF7500">
        <w:rPr>
          <w:sz w:val="24"/>
        </w:rPr>
        <w:t>Castellaneta F.</w:t>
      </w:r>
      <w:r w:rsidR="00CE2EC1" w:rsidRPr="00AF2689">
        <w:rPr>
          <w:sz w:val="24"/>
        </w:rPr>
        <w:t xml:space="preserve"> and</w:t>
      </w:r>
      <w:r w:rsidRPr="00CF7500">
        <w:rPr>
          <w:sz w:val="24"/>
        </w:rPr>
        <w:t xml:space="preserve"> </w:t>
      </w:r>
      <w:r w:rsidR="009E74F9" w:rsidRPr="00AF2689">
        <w:rPr>
          <w:sz w:val="24"/>
        </w:rPr>
        <w:t xml:space="preserve">C. </w:t>
      </w:r>
      <w:r w:rsidRPr="00CF7500">
        <w:rPr>
          <w:sz w:val="24"/>
        </w:rPr>
        <w:t>Salvato</w:t>
      </w:r>
      <w:r w:rsidR="009E74F9" w:rsidRPr="00AF2689">
        <w:rPr>
          <w:sz w:val="24"/>
        </w:rPr>
        <w:t>.</w:t>
      </w:r>
      <w:r w:rsidRPr="00CF7500">
        <w:rPr>
          <w:sz w:val="24"/>
        </w:rPr>
        <w:t xml:space="preserve"> 2017. “Culminating events and time working together in top management teams: </w:t>
      </w:r>
      <w:r w:rsidR="0068234F" w:rsidRPr="00AF2689">
        <w:rPr>
          <w:sz w:val="24"/>
        </w:rPr>
        <w:t>I</w:t>
      </w:r>
      <w:r w:rsidRPr="00CF7500">
        <w:rPr>
          <w:sz w:val="24"/>
        </w:rPr>
        <w:t xml:space="preserve">nsights from private equity”. </w:t>
      </w:r>
      <w:r w:rsidRPr="00CF7500">
        <w:rPr>
          <w:i/>
          <w:sz w:val="24"/>
        </w:rPr>
        <w:t>Long Range Planning</w:t>
      </w:r>
      <w:r w:rsidR="00000895" w:rsidRPr="00AF2689">
        <w:rPr>
          <w:sz w:val="24"/>
        </w:rPr>
        <w:t>.</w:t>
      </w:r>
    </w:p>
    <w:p w14:paraId="50903CFE" w14:textId="5104FC2A"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Castellaneta F.</w:t>
      </w:r>
      <w:r w:rsidR="00CE2EC1" w:rsidRPr="00AF2689">
        <w:rPr>
          <w:sz w:val="24"/>
        </w:rPr>
        <w:t xml:space="preserve"> and</w:t>
      </w:r>
      <w:r w:rsidRPr="00CF7500">
        <w:rPr>
          <w:sz w:val="24"/>
        </w:rPr>
        <w:t xml:space="preserve"> </w:t>
      </w:r>
      <w:r w:rsidR="009E74F9" w:rsidRPr="00AF2689">
        <w:rPr>
          <w:sz w:val="24"/>
        </w:rPr>
        <w:t xml:space="preserve">M. </w:t>
      </w:r>
      <w:r w:rsidRPr="00CF7500">
        <w:rPr>
          <w:sz w:val="24"/>
        </w:rPr>
        <w:t>Zollo</w:t>
      </w:r>
      <w:r w:rsidR="009E74F9" w:rsidRPr="00AF2689">
        <w:rPr>
          <w:sz w:val="24"/>
        </w:rPr>
        <w:t>.</w:t>
      </w:r>
      <w:r w:rsidRPr="00CF7500">
        <w:rPr>
          <w:sz w:val="24"/>
        </w:rPr>
        <w:t xml:space="preserve"> 2015. “The dimensions of experiential learning in the management of activity load”. </w:t>
      </w:r>
      <w:r w:rsidRPr="00CF7500">
        <w:rPr>
          <w:i/>
          <w:sz w:val="24"/>
        </w:rPr>
        <w:t>Organization Science</w:t>
      </w:r>
      <w:r w:rsidR="00BB2CFE" w:rsidRPr="00AF2689">
        <w:rPr>
          <w:i/>
          <w:sz w:val="24"/>
        </w:rPr>
        <w:t>.</w:t>
      </w:r>
      <w:r w:rsidRPr="00CF7500">
        <w:rPr>
          <w:sz w:val="24"/>
        </w:rPr>
        <w:t xml:space="preserve"> 26(1): 140-157</w:t>
      </w:r>
      <w:r w:rsidR="00877604" w:rsidRPr="00AF2689">
        <w:rPr>
          <w:sz w:val="24"/>
        </w:rPr>
        <w:t>.</w:t>
      </w:r>
    </w:p>
    <w:p w14:paraId="4880C612" w14:textId="362FF6EB"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Chapman, J. L. and </w:t>
      </w:r>
      <w:r w:rsidR="009E74F9" w:rsidRPr="00AF2689">
        <w:rPr>
          <w:sz w:val="24"/>
        </w:rPr>
        <w:t>P. G.</w:t>
      </w:r>
      <w:r w:rsidRPr="00CF7500">
        <w:rPr>
          <w:sz w:val="24"/>
        </w:rPr>
        <w:t xml:space="preserve"> Klein. 20</w:t>
      </w:r>
      <w:r w:rsidR="00041398">
        <w:rPr>
          <w:sz w:val="24"/>
        </w:rPr>
        <w:t>11</w:t>
      </w:r>
      <w:r w:rsidRPr="00CF7500">
        <w:rPr>
          <w:sz w:val="24"/>
        </w:rPr>
        <w:t xml:space="preserve">. </w:t>
      </w:r>
      <w:r w:rsidR="00BB2CFE" w:rsidRPr="00AF2689">
        <w:rPr>
          <w:sz w:val="24"/>
        </w:rPr>
        <w:t>“</w:t>
      </w:r>
      <w:r w:rsidRPr="00CF7500">
        <w:rPr>
          <w:sz w:val="24"/>
        </w:rPr>
        <w:t xml:space="preserve">Value creation in middle-market buyouts: </w:t>
      </w:r>
      <w:r w:rsidR="0068234F" w:rsidRPr="00AF2689">
        <w:rPr>
          <w:sz w:val="24"/>
        </w:rPr>
        <w:t>A</w:t>
      </w:r>
      <w:r w:rsidRPr="00CF7500">
        <w:rPr>
          <w:sz w:val="24"/>
        </w:rPr>
        <w:t xml:space="preserve"> transaction-level analysis</w:t>
      </w:r>
      <w:r w:rsidR="00BB2CFE" w:rsidRPr="00AF2689">
        <w:rPr>
          <w:sz w:val="24"/>
        </w:rPr>
        <w:t>”</w:t>
      </w:r>
      <w:r w:rsidR="000C429E" w:rsidRPr="00AF2689">
        <w:rPr>
          <w:sz w:val="24"/>
        </w:rPr>
        <w:t xml:space="preserve"> </w:t>
      </w:r>
      <w:r w:rsidR="00041398">
        <w:rPr>
          <w:sz w:val="24"/>
        </w:rPr>
        <w:t xml:space="preserve">in </w:t>
      </w:r>
      <w:r w:rsidR="00041398" w:rsidRPr="00041398">
        <w:rPr>
          <w:sz w:val="24"/>
        </w:rPr>
        <w:t>Douglas Cumming (ed.)</w:t>
      </w:r>
      <w:r w:rsidR="00041398">
        <w:rPr>
          <w:sz w:val="24"/>
        </w:rPr>
        <w:t>: “</w:t>
      </w:r>
      <w:r w:rsidR="00041398" w:rsidRPr="00041398">
        <w:rPr>
          <w:sz w:val="24"/>
        </w:rPr>
        <w:t>Private Equity: Fund Types, Risks and Returns, and Regulation</w:t>
      </w:r>
      <w:r w:rsidR="00041398">
        <w:rPr>
          <w:sz w:val="24"/>
        </w:rPr>
        <w:t xml:space="preserve">”. </w:t>
      </w:r>
      <w:r w:rsidR="00041398" w:rsidRPr="00041398">
        <w:rPr>
          <w:sz w:val="24"/>
        </w:rPr>
        <w:t>John Wiley &amp; Sons, Inc., Hoboken, New Jersey.</w:t>
      </w:r>
      <w:r w:rsidR="00041398" w:rsidRPr="00AF2689" w:rsidDel="00041398">
        <w:rPr>
          <w:sz w:val="24"/>
        </w:rPr>
        <w:t xml:space="preserve"> </w:t>
      </w:r>
    </w:p>
    <w:p w14:paraId="0F3B8CAA" w14:textId="35845F93"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Chew, D. 2009. “The future of private equity”. </w:t>
      </w:r>
      <w:r w:rsidRPr="00CF7500">
        <w:rPr>
          <w:i/>
          <w:sz w:val="24"/>
        </w:rPr>
        <w:t>Journal of Applied Corporate Finance</w:t>
      </w:r>
      <w:r w:rsidR="00785CDD" w:rsidRPr="00AF2689">
        <w:rPr>
          <w:sz w:val="24"/>
        </w:rPr>
        <w:t>. 2</w:t>
      </w:r>
      <w:r w:rsidRPr="00CF7500">
        <w:rPr>
          <w:sz w:val="24"/>
        </w:rPr>
        <w:t>1</w:t>
      </w:r>
      <w:r w:rsidR="00CD1425" w:rsidRPr="00AF2689">
        <w:rPr>
          <w:sz w:val="24"/>
        </w:rPr>
        <w:t>(</w:t>
      </w:r>
      <w:r w:rsidRPr="00CF7500">
        <w:rPr>
          <w:sz w:val="24"/>
        </w:rPr>
        <w:t>3</w:t>
      </w:r>
      <w:r w:rsidR="00AA5369" w:rsidRPr="00AF2689">
        <w:rPr>
          <w:sz w:val="24"/>
        </w:rPr>
        <w:t>)</w:t>
      </w:r>
      <w:r w:rsidRPr="00CF7500">
        <w:rPr>
          <w:sz w:val="24"/>
        </w:rPr>
        <w:t>: 8</w:t>
      </w:r>
      <w:r w:rsidR="00744447" w:rsidRPr="00AF2689">
        <w:rPr>
          <w:sz w:val="24"/>
        </w:rPr>
        <w:t>-</w:t>
      </w:r>
      <w:r w:rsidRPr="00CF7500">
        <w:rPr>
          <w:sz w:val="24"/>
        </w:rPr>
        <w:t>20.</w:t>
      </w:r>
    </w:p>
    <w:p w14:paraId="7A900D5A" w14:textId="18993428"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Chrisman, J. J., </w:t>
      </w:r>
      <w:r w:rsidR="00C3689C" w:rsidRPr="00AF2689">
        <w:rPr>
          <w:sz w:val="24"/>
        </w:rPr>
        <w:t>J. H.</w:t>
      </w:r>
      <w:r w:rsidRPr="00CF7500">
        <w:rPr>
          <w:sz w:val="24"/>
        </w:rPr>
        <w:t xml:space="preserve"> Chua, and </w:t>
      </w:r>
      <w:r w:rsidR="009E74F9" w:rsidRPr="00AF2689">
        <w:rPr>
          <w:sz w:val="24"/>
        </w:rPr>
        <w:t>R. A.</w:t>
      </w:r>
      <w:r w:rsidRPr="00CF7500">
        <w:rPr>
          <w:sz w:val="24"/>
        </w:rPr>
        <w:t xml:space="preserve"> Litz. 2004. “Comparing the agency costs of family and non-family firms: </w:t>
      </w:r>
      <w:r w:rsidR="0068234F" w:rsidRPr="00AF2689">
        <w:rPr>
          <w:sz w:val="24"/>
        </w:rPr>
        <w:t>C</w:t>
      </w:r>
      <w:r w:rsidRPr="00CF7500">
        <w:rPr>
          <w:sz w:val="24"/>
        </w:rPr>
        <w:t xml:space="preserve">onceptual issues and exploratory evidence”. </w:t>
      </w:r>
      <w:r w:rsidRPr="00CF7500">
        <w:rPr>
          <w:i/>
          <w:sz w:val="24"/>
        </w:rPr>
        <w:t>Entrepreneurship Theory and Practice</w:t>
      </w:r>
      <w:r w:rsidR="00785CDD" w:rsidRPr="00AF2689">
        <w:rPr>
          <w:sz w:val="24"/>
        </w:rPr>
        <w:t>. 2</w:t>
      </w:r>
      <w:r w:rsidRPr="00CF7500">
        <w:rPr>
          <w:sz w:val="24"/>
        </w:rPr>
        <w:t>8</w:t>
      </w:r>
      <w:r w:rsidR="00CD1425" w:rsidRPr="00AF2689">
        <w:rPr>
          <w:sz w:val="24"/>
        </w:rPr>
        <w:t>(</w:t>
      </w:r>
      <w:r w:rsidRPr="00CF7500">
        <w:rPr>
          <w:sz w:val="24"/>
        </w:rPr>
        <w:t>4</w:t>
      </w:r>
      <w:r w:rsidR="00AA5369" w:rsidRPr="00AF2689">
        <w:rPr>
          <w:sz w:val="24"/>
        </w:rPr>
        <w:t>)</w:t>
      </w:r>
      <w:r w:rsidRPr="00CF7500">
        <w:rPr>
          <w:sz w:val="24"/>
        </w:rPr>
        <w:t>: 335</w:t>
      </w:r>
      <w:r w:rsidR="00744447" w:rsidRPr="00AF2689">
        <w:rPr>
          <w:sz w:val="24"/>
        </w:rPr>
        <w:t>-</w:t>
      </w:r>
      <w:r w:rsidRPr="00CF7500">
        <w:rPr>
          <w:sz w:val="24"/>
        </w:rPr>
        <w:t>354.</w:t>
      </w:r>
    </w:p>
    <w:p w14:paraId="28A1D90C" w14:textId="5982BE9E" w:rsidR="00676F76" w:rsidRPr="00AF2689" w:rsidRDefault="008C31C9" w:rsidP="00CF7500">
      <w:pPr>
        <w:pStyle w:val="Refs"/>
        <w:numPr>
          <w:ilvl w:val="0"/>
          <w:numId w:val="0"/>
        </w:numPr>
        <w:tabs>
          <w:tab w:val="clear" w:pos="360"/>
          <w:tab w:val="left" w:pos="567"/>
        </w:tabs>
        <w:ind w:left="170" w:hanging="425"/>
        <w:rPr>
          <w:sz w:val="24"/>
        </w:rPr>
      </w:pPr>
      <w:r w:rsidRPr="00CF7500">
        <w:rPr>
          <w:sz w:val="24"/>
        </w:rPr>
        <w:t xml:space="preserve">CMBOR. 2017. “European management buyouts”. Imperial College London: </w:t>
      </w:r>
      <w:r w:rsidR="00BD25A6" w:rsidRPr="00AF2689">
        <w:rPr>
          <w:i/>
          <w:sz w:val="24"/>
        </w:rPr>
        <w:t>Centre for Management Buy-out and Private Equity Research</w:t>
      </w:r>
      <w:r w:rsidRPr="00CF7500">
        <w:rPr>
          <w:sz w:val="24"/>
        </w:rPr>
        <w:t>, Autumn.</w:t>
      </w:r>
    </w:p>
    <w:p w14:paraId="641064CB" w14:textId="2BD06DCB"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Cornelius, P., </w:t>
      </w:r>
      <w:r w:rsidR="00C3689C" w:rsidRPr="00AF2689">
        <w:rPr>
          <w:sz w:val="24"/>
        </w:rPr>
        <w:t xml:space="preserve">K. </w:t>
      </w:r>
      <w:r w:rsidRPr="00CF7500">
        <w:rPr>
          <w:sz w:val="24"/>
        </w:rPr>
        <w:t xml:space="preserve">Juttmann, and </w:t>
      </w:r>
      <w:r w:rsidR="00C3689C" w:rsidRPr="00AF2689">
        <w:rPr>
          <w:sz w:val="24"/>
        </w:rPr>
        <w:t>R.</w:t>
      </w:r>
      <w:r w:rsidRPr="00CF7500">
        <w:rPr>
          <w:sz w:val="24"/>
        </w:rPr>
        <w:t xml:space="preserve"> de Veer. 2009. “Industry cycles and the performance of buyout funds”. </w:t>
      </w:r>
      <w:r w:rsidRPr="00CF7500">
        <w:rPr>
          <w:i/>
          <w:sz w:val="24"/>
        </w:rPr>
        <w:t xml:space="preserve">The </w:t>
      </w:r>
      <w:r w:rsidR="001F772F" w:rsidRPr="00AF2689">
        <w:rPr>
          <w:i/>
          <w:sz w:val="24"/>
        </w:rPr>
        <w:t>J</w:t>
      </w:r>
      <w:r w:rsidRPr="00CF7500">
        <w:rPr>
          <w:i/>
          <w:sz w:val="24"/>
        </w:rPr>
        <w:t>ournal of Private Equity</w:t>
      </w:r>
      <w:r w:rsidR="00785CDD" w:rsidRPr="00AF2689">
        <w:rPr>
          <w:sz w:val="24"/>
        </w:rPr>
        <w:t>. 1</w:t>
      </w:r>
      <w:r w:rsidRPr="00CF7500">
        <w:rPr>
          <w:sz w:val="24"/>
        </w:rPr>
        <w:t>2: 14</w:t>
      </w:r>
      <w:r w:rsidR="00744447" w:rsidRPr="00AF2689">
        <w:rPr>
          <w:sz w:val="24"/>
        </w:rPr>
        <w:t>-</w:t>
      </w:r>
      <w:r w:rsidRPr="00CF7500">
        <w:rPr>
          <w:sz w:val="24"/>
        </w:rPr>
        <w:t>21.</w:t>
      </w:r>
    </w:p>
    <w:p w14:paraId="14A2A664" w14:textId="014BDD17" w:rsidR="00EA0AA0" w:rsidRDefault="00EA0AA0" w:rsidP="00EA0AA0">
      <w:pPr>
        <w:pStyle w:val="Refs"/>
        <w:numPr>
          <w:ilvl w:val="0"/>
          <w:numId w:val="0"/>
        </w:numPr>
        <w:tabs>
          <w:tab w:val="clear" w:pos="360"/>
          <w:tab w:val="left" w:pos="567"/>
        </w:tabs>
        <w:ind w:left="170" w:hanging="425"/>
        <w:rPr>
          <w:sz w:val="24"/>
        </w:rPr>
      </w:pPr>
      <w:r w:rsidRPr="00EA0AA0">
        <w:rPr>
          <w:sz w:val="24"/>
        </w:rPr>
        <w:t xml:space="preserve">Cornelli, F. and O. Karakas. 2008. “Private equity and corporate governance: Do LBOs have more effective boards?”. </w:t>
      </w:r>
      <w:r w:rsidRPr="00E5541E">
        <w:rPr>
          <w:i/>
          <w:sz w:val="24"/>
        </w:rPr>
        <w:t>The Global Economic Impact of Private Equity Report 2008</w:t>
      </w:r>
      <w:r w:rsidRPr="00EA0AA0">
        <w:rPr>
          <w:sz w:val="24"/>
        </w:rPr>
        <w:t>. London Business School.</w:t>
      </w:r>
    </w:p>
    <w:p w14:paraId="54C3FD3F" w14:textId="77777777" w:rsidR="00AF0FE9" w:rsidRDefault="00EA0AA0" w:rsidP="00E5541E">
      <w:pPr>
        <w:pStyle w:val="Refs"/>
        <w:numPr>
          <w:ilvl w:val="0"/>
          <w:numId w:val="0"/>
        </w:numPr>
        <w:tabs>
          <w:tab w:val="clear" w:pos="360"/>
          <w:tab w:val="left" w:pos="567"/>
        </w:tabs>
        <w:ind w:left="170" w:hanging="425"/>
        <w:rPr>
          <w:sz w:val="24"/>
        </w:rPr>
      </w:pPr>
      <w:r w:rsidRPr="00EA0AA0">
        <w:rPr>
          <w:sz w:val="24"/>
        </w:rPr>
        <w:t xml:space="preserve">Cornelli, F., Z. Kominek, and A. Ljungqvist. 2013. “Monitoring managers: Does it matter?”. </w:t>
      </w:r>
      <w:r w:rsidRPr="00E5541E">
        <w:rPr>
          <w:i/>
          <w:sz w:val="24"/>
        </w:rPr>
        <w:t>The Journal of Finance</w:t>
      </w:r>
      <w:r w:rsidRPr="00EA0AA0">
        <w:rPr>
          <w:sz w:val="24"/>
        </w:rPr>
        <w:t>. 68(2): 431-481</w:t>
      </w:r>
      <w:r w:rsidRPr="00CF7500">
        <w:rPr>
          <w:sz w:val="24"/>
        </w:rPr>
        <w:t>.</w:t>
      </w:r>
    </w:p>
    <w:p w14:paraId="43368419" w14:textId="5084E9CF" w:rsidR="00AF0FE9" w:rsidRDefault="00054396" w:rsidP="00E5541E">
      <w:pPr>
        <w:pStyle w:val="Refs"/>
        <w:numPr>
          <w:ilvl w:val="0"/>
          <w:numId w:val="0"/>
        </w:numPr>
        <w:tabs>
          <w:tab w:val="clear" w:pos="360"/>
          <w:tab w:val="left" w:pos="567"/>
        </w:tabs>
        <w:ind w:left="170" w:hanging="425"/>
        <w:jc w:val="left"/>
        <w:rPr>
          <w:sz w:val="24"/>
        </w:rPr>
      </w:pPr>
      <w:r w:rsidRPr="00054396">
        <w:rPr>
          <w:sz w:val="24"/>
        </w:rPr>
        <w:t>Corporate Finance Institute. 2018. Multiple Expansion.</w:t>
      </w:r>
      <w:r w:rsidR="00AF0FE9">
        <w:rPr>
          <w:sz w:val="24"/>
        </w:rPr>
        <w:t xml:space="preserve"> </w:t>
      </w:r>
      <w:r w:rsidR="00476BEA" w:rsidRPr="00AF0FE9">
        <w:rPr>
          <w:sz w:val="24"/>
        </w:rPr>
        <w:t>[accessed October 30, 2018]</w:t>
      </w:r>
      <w:r w:rsidR="00476BEA">
        <w:rPr>
          <w:sz w:val="24"/>
        </w:rPr>
        <w:t xml:space="preserve"> </w:t>
      </w:r>
      <w:hyperlink r:id="rId11" w:history="1">
        <w:r w:rsidR="00AF0FE9" w:rsidRPr="00D13364">
          <w:rPr>
            <w:rStyle w:val="Hyperlink"/>
            <w:sz w:val="24"/>
          </w:rPr>
          <w:t>https://corporatefinanceinstitute.com/resources/knowledge/valuation/multiple-expansion/</w:t>
        </w:r>
      </w:hyperlink>
      <w:r w:rsidR="00AF0FE9">
        <w:rPr>
          <w:sz w:val="24"/>
        </w:rPr>
        <w:t xml:space="preserve"> </w:t>
      </w:r>
      <w:r w:rsidR="00AF0FE9" w:rsidRPr="00AF0FE9">
        <w:rPr>
          <w:sz w:val="24"/>
        </w:rPr>
        <w:t xml:space="preserve"> </w:t>
      </w:r>
    </w:p>
    <w:p w14:paraId="3FA6CEF8" w14:textId="0CB55BE1"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Cotter, J. F., and </w:t>
      </w:r>
      <w:r w:rsidR="007D321C" w:rsidRPr="00AF2689">
        <w:rPr>
          <w:sz w:val="24"/>
        </w:rPr>
        <w:t>S. W.</w:t>
      </w:r>
      <w:r w:rsidRPr="00CF7500">
        <w:rPr>
          <w:sz w:val="24"/>
        </w:rPr>
        <w:t xml:space="preserve"> Peck. 2001. “The structure of debt and active equity investors: </w:t>
      </w:r>
      <w:r w:rsidR="004B5590" w:rsidRPr="00AF2689">
        <w:rPr>
          <w:sz w:val="24"/>
        </w:rPr>
        <w:t>T</w:t>
      </w:r>
      <w:r w:rsidRPr="00CF7500">
        <w:rPr>
          <w:sz w:val="24"/>
        </w:rPr>
        <w:t xml:space="preserve">he case of the buyout specialist”. </w:t>
      </w:r>
      <w:r w:rsidRPr="00CF7500">
        <w:rPr>
          <w:i/>
          <w:sz w:val="24"/>
        </w:rPr>
        <w:t>Journal of Financial Economics</w:t>
      </w:r>
      <w:r w:rsidR="007648BD" w:rsidRPr="00AF2689">
        <w:rPr>
          <w:sz w:val="24"/>
        </w:rPr>
        <w:t>. 5</w:t>
      </w:r>
      <w:r w:rsidRPr="00CF7500">
        <w:rPr>
          <w:sz w:val="24"/>
        </w:rPr>
        <w:t>9</w:t>
      </w:r>
      <w:r w:rsidR="00CD1425" w:rsidRPr="00AF2689">
        <w:rPr>
          <w:sz w:val="24"/>
        </w:rPr>
        <w:t>(</w:t>
      </w:r>
      <w:r w:rsidRPr="00CF7500">
        <w:rPr>
          <w:sz w:val="24"/>
        </w:rPr>
        <w:t>1</w:t>
      </w:r>
      <w:r w:rsidR="00AA5369" w:rsidRPr="00AF2689">
        <w:rPr>
          <w:sz w:val="24"/>
        </w:rPr>
        <w:t>)</w:t>
      </w:r>
      <w:r w:rsidRPr="00CF7500">
        <w:rPr>
          <w:sz w:val="24"/>
        </w:rPr>
        <w:t>: 101</w:t>
      </w:r>
      <w:r w:rsidR="00744447" w:rsidRPr="00AF2689">
        <w:rPr>
          <w:sz w:val="24"/>
        </w:rPr>
        <w:t>-</w:t>
      </w:r>
      <w:r w:rsidRPr="00CF7500">
        <w:rPr>
          <w:sz w:val="24"/>
        </w:rPr>
        <w:t xml:space="preserve">147. </w:t>
      </w:r>
    </w:p>
    <w:p w14:paraId="7D5EDD00" w14:textId="20733828"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Coyne, J. and </w:t>
      </w:r>
      <w:r w:rsidR="007D321C" w:rsidRPr="00AF2689">
        <w:rPr>
          <w:sz w:val="24"/>
        </w:rPr>
        <w:t>M.</w:t>
      </w:r>
      <w:r w:rsidRPr="00CF7500">
        <w:rPr>
          <w:sz w:val="24"/>
        </w:rPr>
        <w:t xml:space="preserve"> Wright. 1982. “Buyouts and British industry”. </w:t>
      </w:r>
      <w:r w:rsidRPr="00CF7500">
        <w:rPr>
          <w:i/>
          <w:sz w:val="24"/>
        </w:rPr>
        <w:t>Lloyds Bank Review</w:t>
      </w:r>
      <w:r w:rsidR="007648BD" w:rsidRPr="00AF2689">
        <w:rPr>
          <w:sz w:val="24"/>
        </w:rPr>
        <w:t>. 1</w:t>
      </w:r>
      <w:r w:rsidRPr="00CF7500">
        <w:rPr>
          <w:sz w:val="24"/>
        </w:rPr>
        <w:t xml:space="preserve">46: 15-31. </w:t>
      </w:r>
    </w:p>
    <w:p w14:paraId="3B515232" w14:textId="4872E0AC"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Cressy, R. C., </w:t>
      </w:r>
      <w:r w:rsidR="007D321C" w:rsidRPr="00AF2689">
        <w:rPr>
          <w:sz w:val="24"/>
        </w:rPr>
        <w:t xml:space="preserve">F. </w:t>
      </w:r>
      <w:r w:rsidRPr="00CF7500">
        <w:rPr>
          <w:sz w:val="24"/>
        </w:rPr>
        <w:t xml:space="preserve">Munari, and </w:t>
      </w:r>
      <w:r w:rsidR="007D321C" w:rsidRPr="00AF2689">
        <w:rPr>
          <w:sz w:val="24"/>
        </w:rPr>
        <w:t xml:space="preserve">A. </w:t>
      </w:r>
      <w:r w:rsidRPr="00CF7500">
        <w:rPr>
          <w:sz w:val="24"/>
        </w:rPr>
        <w:t xml:space="preserve">Malipiero. 2007. “Playing to their strengths? </w:t>
      </w:r>
      <w:r w:rsidR="00607CF6" w:rsidRPr="00AF2689">
        <w:rPr>
          <w:sz w:val="24"/>
        </w:rPr>
        <w:t>E</w:t>
      </w:r>
      <w:r w:rsidRPr="00CF7500">
        <w:rPr>
          <w:sz w:val="24"/>
        </w:rPr>
        <w:t xml:space="preserve">vidence that specialization in the private equity industry confers competitive advantage”. </w:t>
      </w:r>
      <w:r w:rsidRPr="00CF7500">
        <w:rPr>
          <w:i/>
          <w:sz w:val="24"/>
        </w:rPr>
        <w:t>Journal of Corporate Finance</w:t>
      </w:r>
      <w:r w:rsidR="007648BD" w:rsidRPr="00AF2689">
        <w:rPr>
          <w:sz w:val="24"/>
        </w:rPr>
        <w:t>. 1</w:t>
      </w:r>
      <w:r w:rsidRPr="00CF7500">
        <w:rPr>
          <w:sz w:val="24"/>
        </w:rPr>
        <w:t>3</w:t>
      </w:r>
      <w:r w:rsidR="001F772F" w:rsidRPr="00AF2689">
        <w:rPr>
          <w:sz w:val="24"/>
        </w:rPr>
        <w:t>(4)</w:t>
      </w:r>
      <w:r w:rsidRPr="00CF7500">
        <w:rPr>
          <w:sz w:val="24"/>
        </w:rPr>
        <w:t>: 647-669.</w:t>
      </w:r>
    </w:p>
    <w:p w14:paraId="39CB121E" w14:textId="06115AB7"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Cumming, D., Siegel, D. S., and Wright, M. 2007. “Private equity, leveraged buyouts and governance”. </w:t>
      </w:r>
      <w:r w:rsidRPr="00CF7500">
        <w:rPr>
          <w:i/>
          <w:sz w:val="24"/>
        </w:rPr>
        <w:t>Journal of Corporate Finance</w:t>
      </w:r>
      <w:r w:rsidR="007648BD" w:rsidRPr="00AF2689">
        <w:rPr>
          <w:sz w:val="24"/>
        </w:rPr>
        <w:t>. 1</w:t>
      </w:r>
      <w:r w:rsidRPr="00CF7500">
        <w:rPr>
          <w:sz w:val="24"/>
        </w:rPr>
        <w:t>3</w:t>
      </w:r>
      <w:r w:rsidR="00D377AA" w:rsidRPr="00AF2689">
        <w:rPr>
          <w:sz w:val="24"/>
        </w:rPr>
        <w:t>(4)</w:t>
      </w:r>
      <w:r w:rsidRPr="00CF7500">
        <w:rPr>
          <w:sz w:val="24"/>
        </w:rPr>
        <w:t>: 439</w:t>
      </w:r>
      <w:r w:rsidR="00744447" w:rsidRPr="00AF2689">
        <w:rPr>
          <w:sz w:val="24"/>
        </w:rPr>
        <w:t>-</w:t>
      </w:r>
      <w:r w:rsidRPr="00CF7500">
        <w:rPr>
          <w:sz w:val="24"/>
        </w:rPr>
        <w:t>460.</w:t>
      </w:r>
    </w:p>
    <w:p w14:paraId="3E82ED74" w14:textId="43C1E5E7"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Cumming, D. and </w:t>
      </w:r>
      <w:r w:rsidR="0024732C" w:rsidRPr="00AF2689">
        <w:rPr>
          <w:sz w:val="24"/>
        </w:rPr>
        <w:t>U</w:t>
      </w:r>
      <w:r w:rsidR="007D321C" w:rsidRPr="00AF2689">
        <w:rPr>
          <w:sz w:val="24"/>
        </w:rPr>
        <w:t xml:space="preserve">. </w:t>
      </w:r>
      <w:r w:rsidRPr="00CF7500">
        <w:rPr>
          <w:sz w:val="24"/>
        </w:rPr>
        <w:t xml:space="preserve">Walz. 2010. “Private equity returns and disclosure around the world”. </w:t>
      </w:r>
      <w:r w:rsidRPr="00CF7500">
        <w:rPr>
          <w:i/>
          <w:sz w:val="24"/>
        </w:rPr>
        <w:t>Journal of International Business Studies</w:t>
      </w:r>
      <w:r w:rsidR="007648BD" w:rsidRPr="00AF2689">
        <w:rPr>
          <w:sz w:val="24"/>
        </w:rPr>
        <w:t>. 4</w:t>
      </w:r>
      <w:r w:rsidRPr="00CF7500">
        <w:rPr>
          <w:sz w:val="24"/>
        </w:rPr>
        <w:t>1</w:t>
      </w:r>
      <w:r w:rsidR="00D377AA" w:rsidRPr="00AF2689">
        <w:rPr>
          <w:sz w:val="24"/>
        </w:rPr>
        <w:t>(4)</w:t>
      </w:r>
      <w:r w:rsidRPr="00CF7500">
        <w:rPr>
          <w:sz w:val="24"/>
        </w:rPr>
        <w:t>: 727</w:t>
      </w:r>
      <w:r w:rsidR="00744447" w:rsidRPr="00AF2689">
        <w:rPr>
          <w:sz w:val="24"/>
        </w:rPr>
        <w:t>-</w:t>
      </w:r>
      <w:r w:rsidRPr="00CF7500">
        <w:rPr>
          <w:sz w:val="24"/>
        </w:rPr>
        <w:t>754.</w:t>
      </w:r>
    </w:p>
    <w:p w14:paraId="3FDC4BD7" w14:textId="0A18998C"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Dalton, D. R., </w:t>
      </w:r>
      <w:r w:rsidR="0024732C" w:rsidRPr="00AF2689">
        <w:rPr>
          <w:sz w:val="24"/>
        </w:rPr>
        <w:t xml:space="preserve">C. M. </w:t>
      </w:r>
      <w:r w:rsidRPr="00CF7500">
        <w:rPr>
          <w:sz w:val="24"/>
        </w:rPr>
        <w:t xml:space="preserve">Daily, </w:t>
      </w:r>
      <w:r w:rsidR="0024732C" w:rsidRPr="00AF2689">
        <w:rPr>
          <w:sz w:val="24"/>
        </w:rPr>
        <w:t xml:space="preserve">J. L. </w:t>
      </w:r>
      <w:r w:rsidRPr="00CF7500">
        <w:rPr>
          <w:sz w:val="24"/>
        </w:rPr>
        <w:t xml:space="preserve">Johnson, and </w:t>
      </w:r>
      <w:r w:rsidR="0024732C" w:rsidRPr="00AF2689">
        <w:rPr>
          <w:sz w:val="24"/>
        </w:rPr>
        <w:t>A. E.</w:t>
      </w:r>
      <w:r w:rsidRPr="00CF7500">
        <w:rPr>
          <w:sz w:val="24"/>
        </w:rPr>
        <w:t xml:space="preserve"> Ellstrand. 1999. “Number of directors and financial performance: </w:t>
      </w:r>
      <w:r w:rsidR="00607CF6" w:rsidRPr="00AF2689">
        <w:rPr>
          <w:sz w:val="24"/>
        </w:rPr>
        <w:t>A</w:t>
      </w:r>
      <w:r w:rsidRPr="00CF7500">
        <w:rPr>
          <w:sz w:val="24"/>
        </w:rPr>
        <w:t xml:space="preserve"> meta-analysis”. </w:t>
      </w:r>
      <w:r w:rsidRPr="00CF7500">
        <w:rPr>
          <w:i/>
          <w:sz w:val="24"/>
        </w:rPr>
        <w:t>The Academy of Management Journal</w:t>
      </w:r>
      <w:r w:rsidR="00141273" w:rsidRPr="00AF2689">
        <w:rPr>
          <w:sz w:val="24"/>
        </w:rPr>
        <w:t>. 4</w:t>
      </w:r>
      <w:r w:rsidRPr="00CF7500">
        <w:rPr>
          <w:sz w:val="24"/>
        </w:rPr>
        <w:t>2</w:t>
      </w:r>
      <w:r w:rsidR="00CD1425" w:rsidRPr="00AF2689">
        <w:rPr>
          <w:sz w:val="24"/>
        </w:rPr>
        <w:t>(</w:t>
      </w:r>
      <w:r w:rsidRPr="00CF7500">
        <w:rPr>
          <w:sz w:val="24"/>
        </w:rPr>
        <w:t>6</w:t>
      </w:r>
      <w:r w:rsidR="00AA5369" w:rsidRPr="00AF2689">
        <w:rPr>
          <w:sz w:val="24"/>
        </w:rPr>
        <w:t>)</w:t>
      </w:r>
      <w:r w:rsidRPr="00CF7500">
        <w:rPr>
          <w:sz w:val="24"/>
        </w:rPr>
        <w:t>: 674</w:t>
      </w:r>
      <w:r w:rsidR="00744447" w:rsidRPr="00AF2689">
        <w:rPr>
          <w:sz w:val="24"/>
        </w:rPr>
        <w:t>-</w:t>
      </w:r>
      <w:r w:rsidRPr="00CF7500">
        <w:rPr>
          <w:sz w:val="24"/>
        </w:rPr>
        <w:t>686.</w:t>
      </w:r>
    </w:p>
    <w:p w14:paraId="015642A3" w14:textId="46FFFE29"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Damodaran, A. 2001. </w:t>
      </w:r>
      <w:r w:rsidRPr="00CF7500">
        <w:rPr>
          <w:i/>
          <w:sz w:val="24"/>
        </w:rPr>
        <w:t xml:space="preserve">Corporate finance: </w:t>
      </w:r>
      <w:r w:rsidR="00607CF6" w:rsidRPr="00AF2689">
        <w:rPr>
          <w:i/>
          <w:sz w:val="24"/>
        </w:rPr>
        <w:t>T</w:t>
      </w:r>
      <w:r w:rsidRPr="00CF7500">
        <w:rPr>
          <w:i/>
          <w:sz w:val="24"/>
        </w:rPr>
        <w:t>heory and practice</w:t>
      </w:r>
      <w:r w:rsidRPr="00CF7500">
        <w:rPr>
          <w:sz w:val="24"/>
        </w:rPr>
        <w:t>. Wiley Series in Finance</w:t>
      </w:r>
      <w:r w:rsidR="00BB4067" w:rsidRPr="00AF2689">
        <w:rPr>
          <w:sz w:val="24"/>
        </w:rPr>
        <w:t>, seco</w:t>
      </w:r>
      <w:r w:rsidRPr="00CF7500">
        <w:rPr>
          <w:sz w:val="24"/>
        </w:rPr>
        <w:t>nd ed</w:t>
      </w:r>
      <w:r w:rsidR="00BB4067" w:rsidRPr="00AF2689">
        <w:rPr>
          <w:sz w:val="24"/>
        </w:rPr>
        <w:t>ition</w:t>
      </w:r>
      <w:r w:rsidRPr="00CF7500">
        <w:rPr>
          <w:sz w:val="24"/>
        </w:rPr>
        <w:t>. Wiley.</w:t>
      </w:r>
    </w:p>
    <w:p w14:paraId="65471E49" w14:textId="65C63F56"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Damodaran, A. 2006. </w:t>
      </w:r>
      <w:r w:rsidRPr="00CF7500">
        <w:rPr>
          <w:i/>
          <w:sz w:val="24"/>
        </w:rPr>
        <w:t xml:space="preserve">Applied corporate finance: </w:t>
      </w:r>
      <w:r w:rsidR="00607CF6" w:rsidRPr="00AF2689">
        <w:rPr>
          <w:i/>
          <w:sz w:val="24"/>
        </w:rPr>
        <w:t>A</w:t>
      </w:r>
      <w:r w:rsidRPr="00CF7500">
        <w:rPr>
          <w:i/>
          <w:sz w:val="24"/>
        </w:rPr>
        <w:t xml:space="preserve"> user’s manual</w:t>
      </w:r>
      <w:r w:rsidRPr="00CF7500">
        <w:rPr>
          <w:sz w:val="24"/>
        </w:rPr>
        <w:t>. U.K.: John Wiley and Sons Ltd.</w:t>
      </w:r>
    </w:p>
    <w:p w14:paraId="7461C3C3" w14:textId="31667E6F"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Degeorge, F., </w:t>
      </w:r>
      <w:r w:rsidR="0024732C" w:rsidRPr="00AF2689">
        <w:rPr>
          <w:sz w:val="24"/>
        </w:rPr>
        <w:t xml:space="preserve">J. </w:t>
      </w:r>
      <w:r w:rsidRPr="00CF7500">
        <w:rPr>
          <w:sz w:val="24"/>
        </w:rPr>
        <w:t xml:space="preserve">Martin, and </w:t>
      </w:r>
      <w:r w:rsidR="0024732C" w:rsidRPr="00AF2689">
        <w:rPr>
          <w:sz w:val="24"/>
        </w:rPr>
        <w:t>L.</w:t>
      </w:r>
      <w:r w:rsidRPr="00CF7500">
        <w:rPr>
          <w:sz w:val="24"/>
        </w:rPr>
        <w:t xml:space="preserve"> Phalippou. 2016. “On secondary buyouts”. </w:t>
      </w:r>
      <w:r w:rsidRPr="00CF7500">
        <w:rPr>
          <w:i/>
          <w:sz w:val="24"/>
        </w:rPr>
        <w:t>Journal of Financial Economics</w:t>
      </w:r>
      <w:r w:rsidR="00BB4067" w:rsidRPr="00AF2689">
        <w:rPr>
          <w:i/>
          <w:sz w:val="24"/>
        </w:rPr>
        <w:t>.</w:t>
      </w:r>
      <w:r w:rsidRPr="00CF7500">
        <w:rPr>
          <w:sz w:val="24"/>
        </w:rPr>
        <w:t xml:space="preserve"> 120</w:t>
      </w:r>
      <w:r w:rsidR="00504419" w:rsidRPr="00AF2689">
        <w:rPr>
          <w:sz w:val="24"/>
        </w:rPr>
        <w:t>(1)</w:t>
      </w:r>
      <w:r w:rsidRPr="00CF7500">
        <w:rPr>
          <w:sz w:val="24"/>
        </w:rPr>
        <w:t>: 124-145.</w:t>
      </w:r>
    </w:p>
    <w:p w14:paraId="65A0150F" w14:textId="7E530206"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Diller, C. and </w:t>
      </w:r>
      <w:r w:rsidR="0024732C" w:rsidRPr="00AF2689">
        <w:rPr>
          <w:sz w:val="24"/>
        </w:rPr>
        <w:t xml:space="preserve">C. </w:t>
      </w:r>
      <w:r w:rsidRPr="00CF7500">
        <w:rPr>
          <w:sz w:val="24"/>
        </w:rPr>
        <w:t>Kaserer</w:t>
      </w:r>
      <w:r w:rsidR="0024732C" w:rsidRPr="00AF2689">
        <w:rPr>
          <w:sz w:val="24"/>
        </w:rPr>
        <w:t>.</w:t>
      </w:r>
      <w:r w:rsidRPr="00CF7500">
        <w:rPr>
          <w:sz w:val="24"/>
        </w:rPr>
        <w:t xml:space="preserve"> 2007. “What drives private equity returns? – Fund inflows, skilled GPs, and/or </w:t>
      </w:r>
      <w:r w:rsidR="003C3983" w:rsidRPr="00AF2689">
        <w:rPr>
          <w:sz w:val="24"/>
        </w:rPr>
        <w:t>r</w:t>
      </w:r>
      <w:r w:rsidRPr="00CF7500">
        <w:rPr>
          <w:sz w:val="24"/>
        </w:rPr>
        <w:t>isk</w:t>
      </w:r>
      <w:r w:rsidR="007A44F1" w:rsidRPr="00AF2689">
        <w:rPr>
          <w:sz w:val="24"/>
        </w:rPr>
        <w:t xml:space="preserve">?”. </w:t>
      </w:r>
      <w:r w:rsidRPr="00CF7500">
        <w:rPr>
          <w:i/>
          <w:sz w:val="24"/>
        </w:rPr>
        <w:t>European Financial Management</w:t>
      </w:r>
      <w:r w:rsidR="00BB4067" w:rsidRPr="00AF2689">
        <w:rPr>
          <w:sz w:val="24"/>
        </w:rPr>
        <w:t>.</w:t>
      </w:r>
      <w:r w:rsidR="007A44F1" w:rsidRPr="00AF2689">
        <w:rPr>
          <w:sz w:val="24"/>
        </w:rPr>
        <w:t xml:space="preserve"> 15(3):</w:t>
      </w:r>
      <w:r w:rsidR="00BB4067" w:rsidRPr="00AF2689">
        <w:rPr>
          <w:sz w:val="24"/>
        </w:rPr>
        <w:t xml:space="preserve"> 643-675</w:t>
      </w:r>
      <w:r w:rsidRPr="00CF7500">
        <w:rPr>
          <w:sz w:val="24"/>
        </w:rPr>
        <w:t>.</w:t>
      </w:r>
    </w:p>
    <w:p w14:paraId="4954DF27" w14:textId="55B34BFD"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Easterwood, J. C., </w:t>
      </w:r>
      <w:r w:rsidR="00E84DAC" w:rsidRPr="00AF2689">
        <w:rPr>
          <w:sz w:val="24"/>
        </w:rPr>
        <w:t>A</w:t>
      </w:r>
      <w:r w:rsidR="0024732C" w:rsidRPr="00AF2689">
        <w:rPr>
          <w:sz w:val="24"/>
        </w:rPr>
        <w:t>.</w:t>
      </w:r>
      <w:r w:rsidRPr="00CF7500">
        <w:rPr>
          <w:sz w:val="24"/>
        </w:rPr>
        <w:t xml:space="preserve"> Seth, and </w:t>
      </w:r>
      <w:r w:rsidR="00E84DAC" w:rsidRPr="00AF2689">
        <w:rPr>
          <w:sz w:val="24"/>
        </w:rPr>
        <w:t>R. F.</w:t>
      </w:r>
      <w:r w:rsidRPr="00CF7500">
        <w:rPr>
          <w:sz w:val="24"/>
        </w:rPr>
        <w:t xml:space="preserve"> Singer. 1989. “The impact of leveraged buyouts on strategic direction”. </w:t>
      </w:r>
      <w:r w:rsidRPr="00CF7500">
        <w:rPr>
          <w:i/>
          <w:sz w:val="24"/>
        </w:rPr>
        <w:t>California Management Review</w:t>
      </w:r>
      <w:r w:rsidR="007648BD" w:rsidRPr="00AF2689">
        <w:rPr>
          <w:sz w:val="24"/>
        </w:rPr>
        <w:t xml:space="preserve">. </w:t>
      </w:r>
      <w:r w:rsidR="00BB4067" w:rsidRPr="00AF2689">
        <w:rPr>
          <w:sz w:val="24"/>
        </w:rPr>
        <w:t xml:space="preserve">32(1): </w:t>
      </w:r>
      <w:r w:rsidR="007648BD" w:rsidRPr="00AF2689">
        <w:rPr>
          <w:sz w:val="24"/>
        </w:rPr>
        <w:t>3</w:t>
      </w:r>
      <w:r w:rsidRPr="00CF7500">
        <w:rPr>
          <w:sz w:val="24"/>
        </w:rPr>
        <w:t>0</w:t>
      </w:r>
      <w:r w:rsidR="00744447" w:rsidRPr="00AF2689">
        <w:rPr>
          <w:sz w:val="24"/>
        </w:rPr>
        <w:t>-</w:t>
      </w:r>
      <w:r w:rsidRPr="00CF7500">
        <w:rPr>
          <w:sz w:val="24"/>
        </w:rPr>
        <w:t>4</w:t>
      </w:r>
      <w:r w:rsidR="00BB4067" w:rsidRPr="00AF2689">
        <w:rPr>
          <w:sz w:val="24"/>
        </w:rPr>
        <w:t>3</w:t>
      </w:r>
      <w:r w:rsidRPr="00CF7500">
        <w:rPr>
          <w:sz w:val="24"/>
        </w:rPr>
        <w:t>.</w:t>
      </w:r>
    </w:p>
    <w:p w14:paraId="5801BAED" w14:textId="3883527D"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Eisenberg, T., </w:t>
      </w:r>
      <w:r w:rsidR="00E84DAC" w:rsidRPr="00AF2689">
        <w:rPr>
          <w:sz w:val="24"/>
        </w:rPr>
        <w:t xml:space="preserve">S. </w:t>
      </w:r>
      <w:r w:rsidRPr="00CF7500">
        <w:rPr>
          <w:sz w:val="24"/>
        </w:rPr>
        <w:t xml:space="preserve">Sundgren, and </w:t>
      </w:r>
      <w:r w:rsidR="00E84DAC" w:rsidRPr="00AF2689">
        <w:rPr>
          <w:sz w:val="24"/>
        </w:rPr>
        <w:t xml:space="preserve">M. </w:t>
      </w:r>
      <w:r w:rsidRPr="00CF7500">
        <w:rPr>
          <w:sz w:val="24"/>
        </w:rPr>
        <w:t>Wells</w:t>
      </w:r>
      <w:r w:rsidR="00E84DAC" w:rsidRPr="00AF2689">
        <w:rPr>
          <w:sz w:val="24"/>
        </w:rPr>
        <w:t xml:space="preserve">. </w:t>
      </w:r>
      <w:r w:rsidRPr="00CF7500">
        <w:rPr>
          <w:sz w:val="24"/>
        </w:rPr>
        <w:t xml:space="preserve">1998. “Larger board size and decreasing firm value in small firms”. </w:t>
      </w:r>
      <w:r w:rsidRPr="00CF7500">
        <w:rPr>
          <w:i/>
          <w:sz w:val="24"/>
        </w:rPr>
        <w:t>Journal of Financial Economics</w:t>
      </w:r>
      <w:r w:rsidR="00141273" w:rsidRPr="00AF2689">
        <w:rPr>
          <w:sz w:val="24"/>
        </w:rPr>
        <w:t>. 4</w:t>
      </w:r>
      <w:r w:rsidRPr="00CF7500">
        <w:rPr>
          <w:sz w:val="24"/>
        </w:rPr>
        <w:t>8</w:t>
      </w:r>
      <w:r w:rsidR="00504419" w:rsidRPr="00AF2689">
        <w:rPr>
          <w:sz w:val="24"/>
        </w:rPr>
        <w:t>(1)</w:t>
      </w:r>
      <w:r w:rsidRPr="00CF7500">
        <w:rPr>
          <w:sz w:val="24"/>
        </w:rPr>
        <w:t>: 35</w:t>
      </w:r>
      <w:r w:rsidR="00744447" w:rsidRPr="00AF2689">
        <w:rPr>
          <w:sz w:val="24"/>
        </w:rPr>
        <w:t>-</w:t>
      </w:r>
      <w:r w:rsidRPr="00CF7500">
        <w:rPr>
          <w:sz w:val="24"/>
        </w:rPr>
        <w:t>54.</w:t>
      </w:r>
    </w:p>
    <w:p w14:paraId="556CF52E" w14:textId="24A0DF74"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Ernst and Young. 2008. “How do private equity investors create value? </w:t>
      </w:r>
      <w:r w:rsidR="003C3983" w:rsidRPr="00AF2689">
        <w:rPr>
          <w:sz w:val="24"/>
        </w:rPr>
        <w:t>A</w:t>
      </w:r>
      <w:r w:rsidRPr="00CF7500">
        <w:rPr>
          <w:sz w:val="24"/>
        </w:rPr>
        <w:t xml:space="preserve"> study of 2006 exits in the US and Western Europe”. EY</w:t>
      </w:r>
      <w:r w:rsidR="00DC5F18" w:rsidRPr="00AF2689">
        <w:rPr>
          <w:sz w:val="24"/>
        </w:rPr>
        <w:t>.</w:t>
      </w:r>
      <w:r w:rsidRPr="00CF7500">
        <w:rPr>
          <w:sz w:val="24"/>
        </w:rPr>
        <w:t xml:space="preserve"> London, U.K.</w:t>
      </w:r>
    </w:p>
    <w:p w14:paraId="5006D2CE" w14:textId="79D5AC61"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Fama, E. F. 1980. “Agency problems and the theory of the firm”. </w:t>
      </w:r>
      <w:r w:rsidRPr="00CF7500">
        <w:rPr>
          <w:i/>
          <w:sz w:val="24"/>
        </w:rPr>
        <w:t>Journal of Political Economy</w:t>
      </w:r>
      <w:r w:rsidR="00994B38" w:rsidRPr="00AF2689">
        <w:rPr>
          <w:sz w:val="24"/>
        </w:rPr>
        <w:t>. 8</w:t>
      </w:r>
      <w:r w:rsidRPr="00CF7500">
        <w:rPr>
          <w:sz w:val="24"/>
        </w:rPr>
        <w:t>8</w:t>
      </w:r>
      <w:r w:rsidR="00CD1425" w:rsidRPr="00AF2689">
        <w:rPr>
          <w:sz w:val="24"/>
        </w:rPr>
        <w:t>(</w:t>
      </w:r>
      <w:r w:rsidRPr="00CF7500">
        <w:rPr>
          <w:sz w:val="24"/>
        </w:rPr>
        <w:t>2</w:t>
      </w:r>
      <w:r w:rsidR="00AA5369" w:rsidRPr="00AF2689">
        <w:rPr>
          <w:sz w:val="24"/>
        </w:rPr>
        <w:t>)</w:t>
      </w:r>
      <w:r w:rsidRPr="00CF7500">
        <w:rPr>
          <w:sz w:val="24"/>
        </w:rPr>
        <w:t>: 288</w:t>
      </w:r>
      <w:r w:rsidR="00744447" w:rsidRPr="00AF2689">
        <w:rPr>
          <w:sz w:val="24"/>
        </w:rPr>
        <w:t>-</w:t>
      </w:r>
      <w:r w:rsidRPr="00CF7500">
        <w:rPr>
          <w:sz w:val="24"/>
        </w:rPr>
        <w:t>307.</w:t>
      </w:r>
    </w:p>
    <w:p w14:paraId="30D214A9" w14:textId="75833CA3"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Fama, E. F. and </w:t>
      </w:r>
      <w:r w:rsidR="00E84DAC" w:rsidRPr="00AF2689">
        <w:rPr>
          <w:sz w:val="24"/>
        </w:rPr>
        <w:t>M. C.</w:t>
      </w:r>
      <w:r w:rsidRPr="00CF7500">
        <w:rPr>
          <w:sz w:val="24"/>
        </w:rPr>
        <w:t xml:space="preserve"> Jensen. 1983. “Separation of ownership and control”. </w:t>
      </w:r>
      <w:r w:rsidRPr="00CF7500">
        <w:rPr>
          <w:i/>
          <w:sz w:val="24"/>
        </w:rPr>
        <w:t>Journal of Law and Economics</w:t>
      </w:r>
      <w:r w:rsidR="007648BD" w:rsidRPr="00AF2689">
        <w:rPr>
          <w:sz w:val="24"/>
        </w:rPr>
        <w:t xml:space="preserve">. </w:t>
      </w:r>
      <w:r w:rsidR="00DC5F18" w:rsidRPr="00AF2689">
        <w:rPr>
          <w:sz w:val="24"/>
        </w:rPr>
        <w:t>26(2): 301</w:t>
      </w:r>
      <w:r w:rsidR="00744447" w:rsidRPr="00AF2689">
        <w:rPr>
          <w:sz w:val="24"/>
        </w:rPr>
        <w:t>-</w:t>
      </w:r>
      <w:r w:rsidR="00DC5F18" w:rsidRPr="00AF2689">
        <w:rPr>
          <w:sz w:val="24"/>
        </w:rPr>
        <w:t>325</w:t>
      </w:r>
      <w:r w:rsidRPr="00CF7500">
        <w:rPr>
          <w:sz w:val="24"/>
        </w:rPr>
        <w:t>.</w:t>
      </w:r>
    </w:p>
    <w:p w14:paraId="066F597C" w14:textId="1A7BF786" w:rsidR="00676F76" w:rsidRDefault="008C31C9" w:rsidP="00CF7500">
      <w:pPr>
        <w:pStyle w:val="Refs"/>
        <w:numPr>
          <w:ilvl w:val="0"/>
          <w:numId w:val="0"/>
        </w:numPr>
        <w:tabs>
          <w:tab w:val="clear" w:pos="360"/>
          <w:tab w:val="left" w:pos="567"/>
        </w:tabs>
        <w:ind w:left="170" w:hanging="425"/>
        <w:rPr>
          <w:sz w:val="24"/>
        </w:rPr>
      </w:pPr>
      <w:r w:rsidRPr="00CF7500">
        <w:rPr>
          <w:sz w:val="24"/>
        </w:rPr>
        <w:t xml:space="preserve">Fox, I. and </w:t>
      </w:r>
      <w:r w:rsidR="00E84DAC" w:rsidRPr="00AF2689">
        <w:rPr>
          <w:sz w:val="24"/>
        </w:rPr>
        <w:t>A.</w:t>
      </w:r>
      <w:r w:rsidRPr="00CF7500">
        <w:rPr>
          <w:sz w:val="24"/>
        </w:rPr>
        <w:t xml:space="preserve"> Marcus. 1992. “The causes and consequences of leveraged management buyouts”. </w:t>
      </w:r>
      <w:r w:rsidRPr="00CF7500">
        <w:rPr>
          <w:i/>
          <w:sz w:val="24"/>
        </w:rPr>
        <w:t>The Academy of Management Journal</w:t>
      </w:r>
      <w:r w:rsidR="007648BD" w:rsidRPr="00AF2689">
        <w:rPr>
          <w:sz w:val="24"/>
        </w:rPr>
        <w:t>. 1</w:t>
      </w:r>
      <w:r w:rsidRPr="00CF7500">
        <w:rPr>
          <w:sz w:val="24"/>
        </w:rPr>
        <w:t>7</w:t>
      </w:r>
      <w:r w:rsidR="00CD1425" w:rsidRPr="00AF2689">
        <w:rPr>
          <w:sz w:val="24"/>
        </w:rPr>
        <w:t>(</w:t>
      </w:r>
      <w:r w:rsidRPr="00CF7500">
        <w:rPr>
          <w:sz w:val="24"/>
        </w:rPr>
        <w:t>1</w:t>
      </w:r>
      <w:r w:rsidR="00AA5369" w:rsidRPr="00AF2689">
        <w:rPr>
          <w:sz w:val="24"/>
        </w:rPr>
        <w:t>)</w:t>
      </w:r>
      <w:r w:rsidRPr="00CF7500">
        <w:rPr>
          <w:sz w:val="24"/>
        </w:rPr>
        <w:t>: 62</w:t>
      </w:r>
      <w:r w:rsidR="00744447" w:rsidRPr="00AF2689">
        <w:rPr>
          <w:sz w:val="24"/>
        </w:rPr>
        <w:t>-</w:t>
      </w:r>
      <w:r w:rsidRPr="00CF7500">
        <w:rPr>
          <w:sz w:val="24"/>
        </w:rPr>
        <w:t>85.</w:t>
      </w:r>
    </w:p>
    <w:p w14:paraId="64A016D6" w14:textId="16F923A1" w:rsidR="0074575B" w:rsidRDefault="0074575B" w:rsidP="0074575B">
      <w:pPr>
        <w:pStyle w:val="Refs"/>
        <w:numPr>
          <w:ilvl w:val="0"/>
          <w:numId w:val="0"/>
        </w:numPr>
        <w:tabs>
          <w:tab w:val="clear" w:pos="360"/>
          <w:tab w:val="left" w:pos="567"/>
        </w:tabs>
        <w:ind w:left="170" w:hanging="425"/>
        <w:rPr>
          <w:sz w:val="24"/>
        </w:rPr>
      </w:pPr>
      <w:r w:rsidRPr="0074575B">
        <w:rPr>
          <w:sz w:val="24"/>
        </w:rPr>
        <w:t xml:space="preserve">Fraser-Sampson, G. 2010. </w:t>
      </w:r>
      <w:r w:rsidRPr="00E5541E">
        <w:rPr>
          <w:i/>
          <w:sz w:val="24"/>
        </w:rPr>
        <w:t>Private equity as an asset class</w:t>
      </w:r>
      <w:r w:rsidRPr="0074575B">
        <w:rPr>
          <w:sz w:val="24"/>
        </w:rPr>
        <w:t>. London:</w:t>
      </w:r>
      <w:r w:rsidR="00E5541E">
        <w:rPr>
          <w:sz w:val="24"/>
        </w:rPr>
        <w:t xml:space="preserve"> </w:t>
      </w:r>
      <w:r w:rsidRPr="0074575B">
        <w:rPr>
          <w:sz w:val="24"/>
        </w:rPr>
        <w:t>Wiley. 2nd edition</w:t>
      </w:r>
      <w:r w:rsidRPr="00CF7500">
        <w:rPr>
          <w:sz w:val="24"/>
        </w:rPr>
        <w:t>.</w:t>
      </w:r>
    </w:p>
    <w:p w14:paraId="78C8A576" w14:textId="7B50ADD3"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Gadad, A. M. and </w:t>
      </w:r>
      <w:r w:rsidR="001168A1" w:rsidRPr="00AF2689">
        <w:rPr>
          <w:sz w:val="24"/>
        </w:rPr>
        <w:t>H.</w:t>
      </w:r>
      <w:r w:rsidRPr="00CF7500">
        <w:rPr>
          <w:sz w:val="24"/>
        </w:rPr>
        <w:t xml:space="preserve"> Thomas. 2004. “Do asset sales lead to improvements in operating performance</w:t>
      </w:r>
      <w:r w:rsidR="00CD1425" w:rsidRPr="00AF2689">
        <w:rPr>
          <w:sz w:val="24"/>
        </w:rPr>
        <w:t>?”</w:t>
      </w:r>
      <w:r w:rsidR="00291A51" w:rsidRPr="00AF2689">
        <w:rPr>
          <w:sz w:val="24"/>
        </w:rPr>
        <w:t>.</w:t>
      </w:r>
      <w:r w:rsidR="00CD1425" w:rsidRPr="00AF2689">
        <w:rPr>
          <w:sz w:val="24"/>
        </w:rPr>
        <w:t xml:space="preserve"> </w:t>
      </w:r>
      <w:r w:rsidRPr="00CF7500">
        <w:rPr>
          <w:i/>
          <w:sz w:val="24"/>
        </w:rPr>
        <w:t>Applied Economics</w:t>
      </w:r>
      <w:r w:rsidRPr="00CF7500">
        <w:rPr>
          <w:sz w:val="24"/>
        </w:rPr>
        <w:t xml:space="preserve">. 36(8): 865-871. </w:t>
      </w:r>
    </w:p>
    <w:p w14:paraId="4480A1A5" w14:textId="6A92CF69"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Gilligan, J. and </w:t>
      </w:r>
      <w:r w:rsidR="001168A1" w:rsidRPr="00AF2689">
        <w:rPr>
          <w:sz w:val="24"/>
        </w:rPr>
        <w:t>M.</w:t>
      </w:r>
      <w:r w:rsidRPr="00CF7500">
        <w:rPr>
          <w:sz w:val="24"/>
        </w:rPr>
        <w:t xml:space="preserve"> Wright. 2014. </w:t>
      </w:r>
      <w:r w:rsidRPr="00CF7500">
        <w:rPr>
          <w:i/>
          <w:sz w:val="24"/>
        </w:rPr>
        <w:t>Private equity demystified</w:t>
      </w:r>
      <w:r w:rsidR="00291A51" w:rsidRPr="00AF2689">
        <w:rPr>
          <w:sz w:val="24"/>
        </w:rPr>
        <w:t>.</w:t>
      </w:r>
      <w:r w:rsidRPr="00CF7500">
        <w:rPr>
          <w:sz w:val="24"/>
        </w:rPr>
        <w:t xml:space="preserve"> London: ICAEW.</w:t>
      </w:r>
    </w:p>
    <w:p w14:paraId="15C6017F" w14:textId="35F7E421" w:rsidR="00676F76" w:rsidRPr="00AF2689" w:rsidRDefault="008C31C9" w:rsidP="00CF7500">
      <w:pPr>
        <w:pStyle w:val="Refs"/>
        <w:numPr>
          <w:ilvl w:val="0"/>
          <w:numId w:val="0"/>
        </w:numPr>
        <w:tabs>
          <w:tab w:val="clear" w:pos="360"/>
          <w:tab w:val="left" w:pos="567"/>
        </w:tabs>
        <w:ind w:left="170" w:hanging="425"/>
        <w:rPr>
          <w:sz w:val="24"/>
        </w:rPr>
      </w:pPr>
      <w:r w:rsidRPr="00CF7500">
        <w:rPr>
          <w:sz w:val="24"/>
        </w:rPr>
        <w:t xml:space="preserve">Gilson, S. C. 1989. “Management turnover and financial distress”. </w:t>
      </w:r>
      <w:r w:rsidRPr="00CF7500">
        <w:rPr>
          <w:i/>
          <w:sz w:val="24"/>
        </w:rPr>
        <w:t>Journal of Financial Economics</w:t>
      </w:r>
      <w:r w:rsidR="007648BD" w:rsidRPr="00AF2689">
        <w:rPr>
          <w:sz w:val="24"/>
        </w:rPr>
        <w:t>. 2</w:t>
      </w:r>
      <w:r w:rsidRPr="00CF7500">
        <w:rPr>
          <w:sz w:val="24"/>
        </w:rPr>
        <w:t>5</w:t>
      </w:r>
      <w:r w:rsidR="00E02AD8" w:rsidRPr="00AF2689">
        <w:rPr>
          <w:sz w:val="24"/>
        </w:rPr>
        <w:t>(2)</w:t>
      </w:r>
      <w:r w:rsidRPr="00CF7500">
        <w:rPr>
          <w:sz w:val="24"/>
        </w:rPr>
        <w:t>: 241</w:t>
      </w:r>
      <w:r w:rsidR="00744447" w:rsidRPr="00AF2689">
        <w:rPr>
          <w:sz w:val="24"/>
        </w:rPr>
        <w:t>-</w:t>
      </w:r>
      <w:r w:rsidRPr="00CF7500">
        <w:rPr>
          <w:sz w:val="24"/>
        </w:rPr>
        <w:t xml:space="preserve">262. </w:t>
      </w:r>
    </w:p>
    <w:p w14:paraId="683434B5" w14:textId="7B44E127" w:rsidR="00676F76" w:rsidRPr="00CF7500" w:rsidRDefault="008C31C9" w:rsidP="00CF7500">
      <w:pPr>
        <w:pStyle w:val="Refs"/>
        <w:numPr>
          <w:ilvl w:val="0"/>
          <w:numId w:val="0"/>
        </w:numPr>
        <w:tabs>
          <w:tab w:val="clear" w:pos="360"/>
          <w:tab w:val="left" w:pos="567"/>
        </w:tabs>
        <w:ind w:left="170" w:hanging="425"/>
        <w:rPr>
          <w:sz w:val="24"/>
        </w:rPr>
      </w:pPr>
      <w:r w:rsidRPr="00CF7500">
        <w:rPr>
          <w:sz w:val="24"/>
        </w:rPr>
        <w:t xml:space="preserve">Goergen, M., </w:t>
      </w:r>
      <w:r w:rsidR="001168A1" w:rsidRPr="00AF2689">
        <w:rPr>
          <w:sz w:val="24"/>
        </w:rPr>
        <w:t xml:space="preserve">N. </w:t>
      </w:r>
      <w:r w:rsidRPr="00CF7500">
        <w:rPr>
          <w:sz w:val="24"/>
        </w:rPr>
        <w:t>O’Sullivan</w:t>
      </w:r>
      <w:r w:rsidR="001168A1" w:rsidRPr="00AF2689">
        <w:rPr>
          <w:sz w:val="24"/>
        </w:rPr>
        <w:t xml:space="preserve">, </w:t>
      </w:r>
      <w:r w:rsidRPr="00CF7500">
        <w:rPr>
          <w:sz w:val="24"/>
        </w:rPr>
        <w:t xml:space="preserve">and </w:t>
      </w:r>
      <w:r w:rsidR="001168A1" w:rsidRPr="00AF2689">
        <w:rPr>
          <w:sz w:val="24"/>
        </w:rPr>
        <w:t>G.</w:t>
      </w:r>
      <w:r w:rsidRPr="00CF7500">
        <w:rPr>
          <w:sz w:val="24"/>
        </w:rPr>
        <w:t xml:space="preserve"> Wood. 2014. “The employment consequences of private equity acquisitions: The case of institutional buy outs”. </w:t>
      </w:r>
      <w:r w:rsidRPr="00CF7500">
        <w:rPr>
          <w:i/>
          <w:sz w:val="24"/>
        </w:rPr>
        <w:t>European Economic Review</w:t>
      </w:r>
      <w:r w:rsidRPr="00CF7500">
        <w:rPr>
          <w:sz w:val="24"/>
        </w:rPr>
        <w:t>. 71: 67-79.</w:t>
      </w:r>
    </w:p>
    <w:p w14:paraId="65DD2DDF" w14:textId="77777777" w:rsidR="005E28B7" w:rsidRPr="000E2197" w:rsidRDefault="005E28B7" w:rsidP="005E28B7">
      <w:pPr>
        <w:pStyle w:val="Refs"/>
        <w:numPr>
          <w:ilvl w:val="0"/>
          <w:numId w:val="0"/>
        </w:numPr>
        <w:tabs>
          <w:tab w:val="clear" w:pos="360"/>
          <w:tab w:val="left" w:pos="567"/>
        </w:tabs>
        <w:ind w:left="170" w:hanging="425"/>
        <w:rPr>
          <w:sz w:val="24"/>
        </w:rPr>
      </w:pPr>
      <w:r w:rsidRPr="000E2197">
        <w:rPr>
          <w:sz w:val="24"/>
        </w:rPr>
        <w:t xml:space="preserve">Gompers, P. A., S. N. Kaplan, and V. Mukharlyamov. 2016. What Do Private Equity Firms Say They Do? </w:t>
      </w:r>
      <w:r w:rsidRPr="000E2197">
        <w:rPr>
          <w:i/>
          <w:sz w:val="24"/>
        </w:rPr>
        <w:t>Journal of Financial Economics</w:t>
      </w:r>
      <w:r w:rsidRPr="000E2197">
        <w:rPr>
          <w:sz w:val="24"/>
        </w:rPr>
        <w:t>. Vol. 121</w:t>
      </w:r>
      <w:r>
        <w:rPr>
          <w:sz w:val="24"/>
        </w:rPr>
        <w:t xml:space="preserve">: </w:t>
      </w:r>
      <w:r w:rsidRPr="000E2197">
        <w:rPr>
          <w:sz w:val="24"/>
        </w:rPr>
        <w:t>3.</w:t>
      </w:r>
    </w:p>
    <w:p w14:paraId="1E541957" w14:textId="77777777" w:rsidR="005E28B7" w:rsidRDefault="008C31C9">
      <w:pPr>
        <w:pStyle w:val="Refs"/>
        <w:numPr>
          <w:ilvl w:val="0"/>
          <w:numId w:val="0"/>
        </w:numPr>
        <w:tabs>
          <w:tab w:val="clear" w:pos="360"/>
          <w:tab w:val="left" w:pos="567"/>
        </w:tabs>
        <w:ind w:left="170" w:hanging="425"/>
        <w:rPr>
          <w:sz w:val="24"/>
        </w:rPr>
      </w:pPr>
      <w:r w:rsidRPr="00CF7500">
        <w:rPr>
          <w:sz w:val="24"/>
        </w:rPr>
        <w:t xml:space="preserve">Gompers, P. A., </w:t>
      </w:r>
      <w:r w:rsidR="001168A1" w:rsidRPr="00AF2689">
        <w:rPr>
          <w:sz w:val="24"/>
        </w:rPr>
        <w:t xml:space="preserve">A. </w:t>
      </w:r>
      <w:r w:rsidRPr="00CF7500">
        <w:rPr>
          <w:sz w:val="24"/>
        </w:rPr>
        <w:t xml:space="preserve">Kovner, </w:t>
      </w:r>
      <w:r w:rsidR="001168A1" w:rsidRPr="00AF2689">
        <w:rPr>
          <w:sz w:val="24"/>
        </w:rPr>
        <w:t xml:space="preserve">J. </w:t>
      </w:r>
      <w:r w:rsidRPr="00CF7500">
        <w:rPr>
          <w:sz w:val="24"/>
        </w:rPr>
        <w:t xml:space="preserve">Lerner, and </w:t>
      </w:r>
      <w:r w:rsidR="001168A1" w:rsidRPr="00AF2689">
        <w:rPr>
          <w:sz w:val="24"/>
        </w:rPr>
        <w:t>D. S.</w:t>
      </w:r>
      <w:r w:rsidRPr="00CF7500">
        <w:rPr>
          <w:sz w:val="24"/>
        </w:rPr>
        <w:t xml:space="preserve"> Scharfstein. 2006. </w:t>
      </w:r>
      <w:r w:rsidRPr="00CF7500">
        <w:rPr>
          <w:i/>
          <w:sz w:val="24"/>
        </w:rPr>
        <w:t>“Skill vs. luck in entrepreneurship and venture capital: Evidence from serial entrepreneurs</w:t>
      </w:r>
      <w:r w:rsidR="00B641BC" w:rsidRPr="00AF2689">
        <w:rPr>
          <w:i/>
          <w:sz w:val="24"/>
        </w:rPr>
        <w:t>”</w:t>
      </w:r>
      <w:r w:rsidR="005A2D2A" w:rsidRPr="00AF2689">
        <w:rPr>
          <w:i/>
          <w:sz w:val="24"/>
        </w:rPr>
        <w:t>.</w:t>
      </w:r>
      <w:r w:rsidR="00221216" w:rsidRPr="00AF2689">
        <w:rPr>
          <w:sz w:val="24"/>
        </w:rPr>
        <w:t xml:space="preserve"> </w:t>
      </w:r>
      <w:r w:rsidRPr="00CF7500">
        <w:rPr>
          <w:sz w:val="24"/>
        </w:rPr>
        <w:t>(No. w12592). National bureau of economic research</w:t>
      </w:r>
      <w:r w:rsidR="00221216" w:rsidRPr="00AF2689">
        <w:rPr>
          <w:sz w:val="24"/>
        </w:rPr>
        <w:t>.</w:t>
      </w:r>
    </w:p>
    <w:p w14:paraId="3997CA9A" w14:textId="610F55E8" w:rsidR="00976F82" w:rsidRPr="004F1A6C" w:rsidRDefault="00976F82" w:rsidP="004F1A6C">
      <w:pPr>
        <w:pStyle w:val="Refs"/>
        <w:numPr>
          <w:ilvl w:val="0"/>
          <w:numId w:val="0"/>
        </w:numPr>
        <w:tabs>
          <w:tab w:val="clear" w:pos="360"/>
          <w:tab w:val="left" w:pos="709"/>
        </w:tabs>
        <w:ind w:left="170" w:hanging="425"/>
        <w:rPr>
          <w:sz w:val="24"/>
        </w:rPr>
      </w:pPr>
      <w:r w:rsidRPr="0012547C">
        <w:rPr>
          <w:sz w:val="24"/>
          <w:lang w:val="fr-FR"/>
        </w:rPr>
        <w:t xml:space="preserve">Groh, A. P., von Liechtenstein, H., &amp; Lieser, K. 2010. </w:t>
      </w:r>
      <w:r w:rsidRPr="004F1A6C">
        <w:rPr>
          <w:sz w:val="24"/>
        </w:rPr>
        <w:t>The Europ</w:t>
      </w:r>
      <w:r w:rsidRPr="00976F82">
        <w:rPr>
          <w:sz w:val="24"/>
        </w:rPr>
        <w:t>ean venture capital and private</w:t>
      </w:r>
      <w:r>
        <w:rPr>
          <w:sz w:val="24"/>
        </w:rPr>
        <w:t xml:space="preserve"> </w:t>
      </w:r>
      <w:r w:rsidRPr="004F1A6C">
        <w:rPr>
          <w:sz w:val="24"/>
        </w:rPr>
        <w:t xml:space="preserve">equity country attractiveness indices. </w:t>
      </w:r>
      <w:r w:rsidRPr="004F1A6C">
        <w:rPr>
          <w:i/>
          <w:sz w:val="24"/>
        </w:rPr>
        <w:t>Journal of Corporate Finance</w:t>
      </w:r>
      <w:r w:rsidRPr="004F1A6C">
        <w:rPr>
          <w:sz w:val="24"/>
        </w:rPr>
        <w:t>, 16(2), 205-224.</w:t>
      </w:r>
    </w:p>
    <w:p w14:paraId="0C9CDAB5" w14:textId="09589A6C" w:rsidR="00676F76" w:rsidRPr="00CF7500" w:rsidRDefault="008C31C9" w:rsidP="004F1A6C">
      <w:pPr>
        <w:pStyle w:val="Refs"/>
        <w:numPr>
          <w:ilvl w:val="0"/>
          <w:numId w:val="0"/>
        </w:numPr>
        <w:tabs>
          <w:tab w:val="clear" w:pos="360"/>
          <w:tab w:val="left" w:pos="709"/>
        </w:tabs>
        <w:ind w:left="170" w:hanging="425"/>
        <w:rPr>
          <w:sz w:val="24"/>
        </w:rPr>
      </w:pPr>
      <w:r w:rsidRPr="00CF7500">
        <w:rPr>
          <w:sz w:val="24"/>
        </w:rPr>
        <w:t xml:space="preserve">Grossman, S. J. and </w:t>
      </w:r>
      <w:r w:rsidR="00196899" w:rsidRPr="00AF2689">
        <w:rPr>
          <w:sz w:val="24"/>
        </w:rPr>
        <w:t>O. D.</w:t>
      </w:r>
      <w:r w:rsidRPr="00CF7500">
        <w:rPr>
          <w:sz w:val="24"/>
        </w:rPr>
        <w:t xml:space="preserve"> Hart. 198</w:t>
      </w:r>
      <w:r w:rsidR="00291A51" w:rsidRPr="00AF2689">
        <w:rPr>
          <w:sz w:val="24"/>
        </w:rPr>
        <w:t>2</w:t>
      </w:r>
      <w:r w:rsidRPr="00CF7500">
        <w:rPr>
          <w:sz w:val="24"/>
        </w:rPr>
        <w:t xml:space="preserve">. “Corporate financial structure and managerial incentives”. </w:t>
      </w:r>
      <w:r w:rsidRPr="004F1A6C">
        <w:rPr>
          <w:sz w:val="24"/>
        </w:rPr>
        <w:t>The economics of information and uncertainty</w:t>
      </w:r>
      <w:r w:rsidR="00291A51" w:rsidRPr="00AF2689">
        <w:rPr>
          <w:sz w:val="24"/>
        </w:rPr>
        <w:t xml:space="preserve">. </w:t>
      </w:r>
      <w:r w:rsidR="005D11FF" w:rsidRPr="00AF2689">
        <w:rPr>
          <w:sz w:val="24"/>
        </w:rPr>
        <w:t>University o</w:t>
      </w:r>
      <w:r w:rsidR="00291A51" w:rsidRPr="00AF2689">
        <w:rPr>
          <w:sz w:val="24"/>
        </w:rPr>
        <w:t>f Chicago Press</w:t>
      </w:r>
      <w:r w:rsidR="005D11FF" w:rsidRPr="00AF2689">
        <w:rPr>
          <w:sz w:val="24"/>
        </w:rPr>
        <w:t>. 107-140</w:t>
      </w:r>
      <w:r w:rsidRPr="00CF7500">
        <w:rPr>
          <w:sz w:val="24"/>
        </w:rPr>
        <w:t>.</w:t>
      </w:r>
    </w:p>
    <w:p w14:paraId="787F0D3E" w14:textId="5232BE0A"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Guest, P. M. 2009. “The impact of board size on firm performance: Evidence from the UK”. </w:t>
      </w:r>
      <w:r w:rsidRPr="00CF7500">
        <w:rPr>
          <w:i/>
          <w:sz w:val="24"/>
        </w:rPr>
        <w:t>The European Journal of Finance</w:t>
      </w:r>
      <w:r w:rsidR="007648BD" w:rsidRPr="00AF2689">
        <w:rPr>
          <w:sz w:val="24"/>
        </w:rPr>
        <w:t>. 1</w:t>
      </w:r>
      <w:r w:rsidRPr="00CF7500">
        <w:rPr>
          <w:sz w:val="24"/>
        </w:rPr>
        <w:t>5</w:t>
      </w:r>
      <w:r w:rsidR="00CD1425" w:rsidRPr="00AF2689">
        <w:rPr>
          <w:sz w:val="24"/>
        </w:rPr>
        <w:t>(</w:t>
      </w:r>
      <w:r w:rsidRPr="00CF7500">
        <w:rPr>
          <w:sz w:val="24"/>
        </w:rPr>
        <w:t>4</w:t>
      </w:r>
      <w:r w:rsidR="00AA5369" w:rsidRPr="00AF2689">
        <w:rPr>
          <w:sz w:val="24"/>
        </w:rPr>
        <w:t>)</w:t>
      </w:r>
      <w:r w:rsidRPr="00CF7500">
        <w:rPr>
          <w:sz w:val="24"/>
        </w:rPr>
        <w:t>: 385-404.</w:t>
      </w:r>
    </w:p>
    <w:p w14:paraId="3D2C0C45" w14:textId="375D2447"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Guo, S., </w:t>
      </w:r>
      <w:r w:rsidR="00CF0FB1" w:rsidRPr="00AF2689">
        <w:rPr>
          <w:sz w:val="24"/>
        </w:rPr>
        <w:t xml:space="preserve">E. S. </w:t>
      </w:r>
      <w:r w:rsidRPr="00CF7500">
        <w:rPr>
          <w:sz w:val="24"/>
        </w:rPr>
        <w:t xml:space="preserve">Hotchkiss, and </w:t>
      </w:r>
      <w:r w:rsidR="00CF0FB1" w:rsidRPr="00AF2689">
        <w:rPr>
          <w:sz w:val="24"/>
        </w:rPr>
        <w:t>W.</w:t>
      </w:r>
      <w:r w:rsidRPr="00CF7500">
        <w:rPr>
          <w:sz w:val="24"/>
        </w:rPr>
        <w:t xml:space="preserve"> Song. 2011. “Do buyouts</w:t>
      </w:r>
      <w:r w:rsidR="001D7FCE" w:rsidRPr="00AF2689">
        <w:rPr>
          <w:sz w:val="24"/>
        </w:rPr>
        <w:t xml:space="preserve"> (</w:t>
      </w:r>
      <w:r w:rsidRPr="00CF7500">
        <w:rPr>
          <w:sz w:val="24"/>
        </w:rPr>
        <w:t>still</w:t>
      </w:r>
      <w:r w:rsidR="001D7FCE" w:rsidRPr="00AF2689">
        <w:rPr>
          <w:sz w:val="24"/>
        </w:rPr>
        <w:t>)</w:t>
      </w:r>
      <w:r w:rsidRPr="00CF7500">
        <w:rPr>
          <w:sz w:val="24"/>
        </w:rPr>
        <w:t xml:space="preserve"> create value?”</w:t>
      </w:r>
      <w:r w:rsidR="005D11FF" w:rsidRPr="00AF2689">
        <w:rPr>
          <w:sz w:val="24"/>
        </w:rPr>
        <w:t>.</w:t>
      </w:r>
      <w:r w:rsidRPr="00CF7500">
        <w:rPr>
          <w:sz w:val="24"/>
        </w:rPr>
        <w:t xml:space="preserve"> </w:t>
      </w:r>
      <w:r w:rsidRPr="00CF7500">
        <w:rPr>
          <w:i/>
          <w:sz w:val="24"/>
        </w:rPr>
        <w:t>The Journal of Finance</w:t>
      </w:r>
      <w:r w:rsidR="005D11FF" w:rsidRPr="00AF2689">
        <w:rPr>
          <w:sz w:val="24"/>
        </w:rPr>
        <w:t>.</w:t>
      </w:r>
      <w:r w:rsidRPr="00CF7500">
        <w:rPr>
          <w:sz w:val="24"/>
        </w:rPr>
        <w:t xml:space="preserve"> 66(2)</w:t>
      </w:r>
      <w:r w:rsidR="00796E21" w:rsidRPr="00AF2689">
        <w:rPr>
          <w:sz w:val="24"/>
        </w:rPr>
        <w:t>: 4</w:t>
      </w:r>
      <w:r w:rsidRPr="00CF7500">
        <w:rPr>
          <w:sz w:val="24"/>
        </w:rPr>
        <w:t>79</w:t>
      </w:r>
      <w:r w:rsidR="00744447" w:rsidRPr="00AF2689">
        <w:rPr>
          <w:sz w:val="24"/>
        </w:rPr>
        <w:t>-</w:t>
      </w:r>
      <w:r w:rsidRPr="00CF7500">
        <w:rPr>
          <w:sz w:val="24"/>
        </w:rPr>
        <w:t>517.</w:t>
      </w:r>
    </w:p>
    <w:p w14:paraId="5DDF7993" w14:textId="2CF3F94C"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Hahn, M. 20</w:t>
      </w:r>
      <w:r w:rsidR="005D11FF" w:rsidRPr="00AF2689">
        <w:rPr>
          <w:sz w:val="24"/>
        </w:rPr>
        <w:t>10</w:t>
      </w:r>
      <w:r w:rsidRPr="00CF7500">
        <w:rPr>
          <w:sz w:val="24"/>
        </w:rPr>
        <w:t xml:space="preserve">. </w:t>
      </w:r>
      <w:r w:rsidRPr="00CF7500">
        <w:rPr>
          <w:i/>
          <w:sz w:val="24"/>
        </w:rPr>
        <w:t>Essays on private equity value creation</w:t>
      </w:r>
      <w:r w:rsidRPr="00CF7500">
        <w:rPr>
          <w:sz w:val="24"/>
        </w:rPr>
        <w:t xml:space="preserve">. </w:t>
      </w:r>
      <w:r w:rsidR="005D11FF" w:rsidRPr="00AF2689">
        <w:rPr>
          <w:sz w:val="24"/>
        </w:rPr>
        <w:t>(Doctoral dissertation, lmu)</w:t>
      </w:r>
      <w:r w:rsidRPr="00CF7500">
        <w:rPr>
          <w:sz w:val="24"/>
        </w:rPr>
        <w:t>.</w:t>
      </w:r>
    </w:p>
    <w:p w14:paraId="2F0F08F9" w14:textId="77777777" w:rsidR="00BE2F7B" w:rsidRDefault="008C31C9">
      <w:pPr>
        <w:pStyle w:val="Refs"/>
        <w:numPr>
          <w:ilvl w:val="0"/>
          <w:numId w:val="0"/>
        </w:numPr>
        <w:tabs>
          <w:tab w:val="clear" w:pos="360"/>
          <w:tab w:val="left" w:pos="709"/>
        </w:tabs>
        <w:ind w:left="170" w:hanging="425"/>
        <w:rPr>
          <w:sz w:val="24"/>
        </w:rPr>
      </w:pPr>
      <w:r w:rsidRPr="00CF7500">
        <w:rPr>
          <w:sz w:val="24"/>
        </w:rPr>
        <w:t xml:space="preserve">Harlow, W. V, and </w:t>
      </w:r>
      <w:r w:rsidR="00CF0FB1" w:rsidRPr="00AF2689">
        <w:rPr>
          <w:sz w:val="24"/>
        </w:rPr>
        <w:t>J. S.</w:t>
      </w:r>
      <w:r w:rsidRPr="00CF7500">
        <w:rPr>
          <w:sz w:val="24"/>
        </w:rPr>
        <w:t xml:space="preserve"> Howe. 1993. “Leveraged buyouts and insider nontrading”. </w:t>
      </w:r>
      <w:r w:rsidRPr="00CF7500">
        <w:rPr>
          <w:i/>
          <w:sz w:val="24"/>
        </w:rPr>
        <w:t>Financial Management</w:t>
      </w:r>
      <w:r w:rsidR="00782990" w:rsidRPr="00AF2689">
        <w:rPr>
          <w:sz w:val="24"/>
        </w:rPr>
        <w:t>.</w:t>
      </w:r>
      <w:r w:rsidR="007648BD" w:rsidRPr="00AF2689">
        <w:rPr>
          <w:sz w:val="24"/>
        </w:rPr>
        <w:t xml:space="preserve"> 2</w:t>
      </w:r>
      <w:r w:rsidRPr="00CF7500">
        <w:rPr>
          <w:sz w:val="24"/>
        </w:rPr>
        <w:t>2</w:t>
      </w:r>
      <w:r w:rsidR="00D377AA" w:rsidRPr="00AF2689">
        <w:rPr>
          <w:sz w:val="24"/>
        </w:rPr>
        <w:t>(1)</w:t>
      </w:r>
      <w:r w:rsidRPr="00CF7500">
        <w:rPr>
          <w:sz w:val="24"/>
        </w:rPr>
        <w:t>: 109</w:t>
      </w:r>
      <w:r w:rsidR="00744447" w:rsidRPr="00AF2689">
        <w:rPr>
          <w:sz w:val="24"/>
        </w:rPr>
        <w:t>-</w:t>
      </w:r>
      <w:r w:rsidRPr="00CF7500">
        <w:rPr>
          <w:sz w:val="24"/>
        </w:rPr>
        <w:t>118.</w:t>
      </w:r>
    </w:p>
    <w:p w14:paraId="60FCEA70" w14:textId="245F9D52" w:rsidR="00BE2F7B" w:rsidRPr="00BE2F7B" w:rsidRDefault="00596071">
      <w:pPr>
        <w:pStyle w:val="Refs"/>
        <w:numPr>
          <w:ilvl w:val="0"/>
          <w:numId w:val="0"/>
        </w:numPr>
        <w:tabs>
          <w:tab w:val="clear" w:pos="360"/>
          <w:tab w:val="left" w:pos="709"/>
        </w:tabs>
        <w:ind w:left="170" w:hanging="425"/>
        <w:rPr>
          <w:sz w:val="24"/>
        </w:rPr>
      </w:pPr>
      <w:r w:rsidRPr="00CF7500">
        <w:rPr>
          <w:sz w:val="24"/>
        </w:rPr>
        <w:t xml:space="preserve">Harris, R., </w:t>
      </w:r>
      <w:r>
        <w:rPr>
          <w:sz w:val="24"/>
        </w:rPr>
        <w:t>Jenkinson, T., Kaplan, S., Stucke, R</w:t>
      </w:r>
      <w:r w:rsidRPr="00CF7500">
        <w:rPr>
          <w:sz w:val="24"/>
        </w:rPr>
        <w:t>. 20</w:t>
      </w:r>
      <w:r>
        <w:rPr>
          <w:sz w:val="24"/>
        </w:rPr>
        <w:t>14. “</w:t>
      </w:r>
      <w:r w:rsidR="00BE2F7B" w:rsidRPr="00BE2F7B">
        <w:rPr>
          <w:sz w:val="24"/>
        </w:rPr>
        <w:t>Has Persistence Persisted in Private Equity? Evidence from Buyout and Venture Capital Funds</w:t>
      </w:r>
      <w:r>
        <w:rPr>
          <w:sz w:val="24"/>
        </w:rPr>
        <w:t>”.</w:t>
      </w:r>
      <w:r w:rsidR="00BE2F7B">
        <w:rPr>
          <w:sz w:val="24"/>
        </w:rPr>
        <w:t xml:space="preserve"> </w:t>
      </w:r>
      <w:r w:rsidR="00BE2F7B" w:rsidRPr="00BE2F7B">
        <w:rPr>
          <w:sz w:val="24"/>
        </w:rPr>
        <w:t>Darden Business School Working Paper No. 2304808</w:t>
      </w:r>
      <w:r w:rsidR="00BE2F7B">
        <w:rPr>
          <w:sz w:val="24"/>
        </w:rPr>
        <w:t xml:space="preserve">, </w:t>
      </w:r>
      <w:r w:rsidR="00BE2F7B" w:rsidRPr="00BE2F7B">
        <w:rPr>
          <w:sz w:val="24"/>
        </w:rPr>
        <w:t>Fama-Miller Working Paper</w:t>
      </w:r>
      <w:r>
        <w:rPr>
          <w:sz w:val="24"/>
        </w:rPr>
        <w:t>.</w:t>
      </w:r>
      <w:r w:rsidRPr="00596071">
        <w:t xml:space="preserve"> </w:t>
      </w:r>
      <w:r>
        <w:t xml:space="preserve">Rev. </w:t>
      </w:r>
      <w:r w:rsidRPr="00596071">
        <w:rPr>
          <w:sz w:val="24"/>
        </w:rPr>
        <w:t>30 Aug 2014</w:t>
      </w:r>
      <w:r>
        <w:rPr>
          <w:sz w:val="24"/>
        </w:rPr>
        <w:t>.</w:t>
      </w:r>
    </w:p>
    <w:p w14:paraId="1B82BF3E" w14:textId="1B1D047E"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Harris, R., D. S. Siegel, and M. Wright. 2005. “Assessing the impact of management buyouts on economic efficiency: Plant-level </w:t>
      </w:r>
      <w:r w:rsidR="00116889" w:rsidRPr="00AF2689">
        <w:rPr>
          <w:sz w:val="24"/>
        </w:rPr>
        <w:t>e</w:t>
      </w:r>
      <w:r w:rsidRPr="00CF7500">
        <w:rPr>
          <w:sz w:val="24"/>
        </w:rPr>
        <w:t xml:space="preserve">vidence from the United Kingdom”. </w:t>
      </w:r>
      <w:r w:rsidRPr="00CF7500">
        <w:rPr>
          <w:i/>
          <w:sz w:val="24"/>
        </w:rPr>
        <w:t>Review of Economics and Statistics</w:t>
      </w:r>
      <w:r w:rsidR="00782990" w:rsidRPr="00AF2689">
        <w:rPr>
          <w:i/>
          <w:sz w:val="24"/>
        </w:rPr>
        <w:t>.</w:t>
      </w:r>
      <w:r w:rsidRPr="00CF7500">
        <w:rPr>
          <w:sz w:val="24"/>
        </w:rPr>
        <w:t xml:space="preserve"> 87</w:t>
      </w:r>
      <w:r w:rsidR="005027F1" w:rsidRPr="00AF2689">
        <w:rPr>
          <w:sz w:val="24"/>
        </w:rPr>
        <w:t>(1)</w:t>
      </w:r>
      <w:r w:rsidRPr="00CF7500">
        <w:rPr>
          <w:sz w:val="24"/>
        </w:rPr>
        <w:t>: 148-153.</w:t>
      </w:r>
    </w:p>
    <w:p w14:paraId="7528FE51" w14:textId="40B16834" w:rsidR="00450EC8" w:rsidRPr="00450EC8" w:rsidRDefault="008C31C9" w:rsidP="00583051">
      <w:pPr>
        <w:pStyle w:val="Refs"/>
        <w:numPr>
          <w:ilvl w:val="0"/>
          <w:numId w:val="0"/>
        </w:numPr>
        <w:tabs>
          <w:tab w:val="clear" w:pos="360"/>
          <w:tab w:val="left" w:pos="709"/>
        </w:tabs>
        <w:ind w:left="170" w:hanging="425"/>
      </w:pPr>
      <w:r w:rsidRPr="00CF7500">
        <w:rPr>
          <w:sz w:val="24"/>
        </w:rPr>
        <w:t xml:space="preserve">Heel, J. and </w:t>
      </w:r>
      <w:r w:rsidR="00CF0FB1" w:rsidRPr="00AF2689">
        <w:rPr>
          <w:sz w:val="24"/>
        </w:rPr>
        <w:t>C. F.</w:t>
      </w:r>
      <w:r w:rsidRPr="00CF7500">
        <w:rPr>
          <w:sz w:val="24"/>
        </w:rPr>
        <w:t xml:space="preserve"> Kehoe. 2005. “Why some private equity firms do better than others”. </w:t>
      </w:r>
      <w:r w:rsidRPr="00CF7500">
        <w:rPr>
          <w:i/>
          <w:sz w:val="24"/>
        </w:rPr>
        <w:t>The McKinsey Quarterly</w:t>
      </w:r>
      <w:r w:rsidR="007648BD" w:rsidRPr="00AF2689">
        <w:rPr>
          <w:sz w:val="24"/>
        </w:rPr>
        <w:t xml:space="preserve">. </w:t>
      </w:r>
      <w:r w:rsidR="00004BD7" w:rsidRPr="00AF2689">
        <w:rPr>
          <w:sz w:val="24"/>
        </w:rPr>
        <w:t xml:space="preserve">1: </w:t>
      </w:r>
      <w:r w:rsidR="007648BD" w:rsidRPr="00AF2689">
        <w:rPr>
          <w:sz w:val="24"/>
        </w:rPr>
        <w:t>2</w:t>
      </w:r>
      <w:r w:rsidRPr="00CF7500">
        <w:rPr>
          <w:sz w:val="24"/>
        </w:rPr>
        <w:t>4</w:t>
      </w:r>
      <w:r w:rsidR="00744447" w:rsidRPr="00AF2689">
        <w:rPr>
          <w:sz w:val="24"/>
        </w:rPr>
        <w:t>-</w:t>
      </w:r>
      <w:r w:rsidRPr="00CF7500">
        <w:rPr>
          <w:sz w:val="24"/>
        </w:rPr>
        <w:t>26.</w:t>
      </w:r>
    </w:p>
    <w:p w14:paraId="70F7799D" w14:textId="7D613AC6" w:rsidR="00450EC8" w:rsidRDefault="00450EC8" w:rsidP="00CF7500">
      <w:pPr>
        <w:pStyle w:val="Refs"/>
        <w:numPr>
          <w:ilvl w:val="0"/>
          <w:numId w:val="0"/>
        </w:numPr>
        <w:tabs>
          <w:tab w:val="clear" w:pos="360"/>
          <w:tab w:val="left" w:pos="709"/>
        </w:tabs>
        <w:ind w:left="170" w:hanging="425"/>
        <w:rPr>
          <w:sz w:val="24"/>
        </w:rPr>
      </w:pPr>
      <w:r>
        <w:rPr>
          <w:sz w:val="24"/>
        </w:rPr>
        <w:t xml:space="preserve">Hendry, J. 2002. The principal’s other problems: Honest incompetence and management contracts. </w:t>
      </w:r>
      <w:r w:rsidRPr="00583051">
        <w:rPr>
          <w:i/>
          <w:sz w:val="24"/>
        </w:rPr>
        <w:t>Academy of Management Review</w:t>
      </w:r>
      <w:r>
        <w:rPr>
          <w:sz w:val="24"/>
        </w:rPr>
        <w:t xml:space="preserve">, </w:t>
      </w:r>
      <w:r w:rsidRPr="00450EC8">
        <w:rPr>
          <w:sz w:val="24"/>
        </w:rPr>
        <w:t>27: 98-113</w:t>
      </w:r>
    </w:p>
    <w:p w14:paraId="586EA2E7" w14:textId="29BB9719"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Hill, C. W. L. 1988. “Internal capital market controls and financial performance in multidivisional firms”. </w:t>
      </w:r>
      <w:r w:rsidRPr="00CF7500">
        <w:rPr>
          <w:i/>
          <w:sz w:val="24"/>
        </w:rPr>
        <w:t>The Journal of Industrial Economics</w:t>
      </w:r>
      <w:r w:rsidR="007648BD" w:rsidRPr="00AF2689">
        <w:rPr>
          <w:sz w:val="24"/>
        </w:rPr>
        <w:t>. 3</w:t>
      </w:r>
      <w:r w:rsidRPr="00CF7500">
        <w:rPr>
          <w:sz w:val="24"/>
        </w:rPr>
        <w:t>7</w:t>
      </w:r>
      <w:r w:rsidR="00CD1425" w:rsidRPr="00AF2689">
        <w:rPr>
          <w:sz w:val="24"/>
        </w:rPr>
        <w:t>(</w:t>
      </w:r>
      <w:r w:rsidRPr="00CF7500">
        <w:rPr>
          <w:sz w:val="24"/>
        </w:rPr>
        <w:t>1</w:t>
      </w:r>
      <w:r w:rsidR="00AA5369" w:rsidRPr="00AF2689">
        <w:rPr>
          <w:sz w:val="24"/>
        </w:rPr>
        <w:t>)</w:t>
      </w:r>
      <w:r w:rsidRPr="00CF7500">
        <w:rPr>
          <w:sz w:val="24"/>
        </w:rPr>
        <w:t>: 67</w:t>
      </w:r>
      <w:r w:rsidR="00744447" w:rsidRPr="00AF2689">
        <w:rPr>
          <w:sz w:val="24"/>
        </w:rPr>
        <w:t>-</w:t>
      </w:r>
      <w:r w:rsidRPr="00CF7500">
        <w:rPr>
          <w:sz w:val="24"/>
        </w:rPr>
        <w:t>83.</w:t>
      </w:r>
    </w:p>
    <w:p w14:paraId="276C59EE" w14:textId="0E737366"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Hite, G. L. and </w:t>
      </w:r>
      <w:r w:rsidR="00CF0FB1" w:rsidRPr="00AF2689">
        <w:rPr>
          <w:sz w:val="24"/>
        </w:rPr>
        <w:t>M. R.</w:t>
      </w:r>
      <w:r w:rsidRPr="00CF7500">
        <w:rPr>
          <w:sz w:val="24"/>
        </w:rPr>
        <w:t xml:space="preserve"> Vetsuypens. 1989. “Management buyouts of divisions and shareholder wealth”. </w:t>
      </w:r>
      <w:r w:rsidRPr="00CF7500">
        <w:rPr>
          <w:i/>
          <w:sz w:val="24"/>
        </w:rPr>
        <w:t>The Journal of Finance</w:t>
      </w:r>
      <w:r w:rsidR="00141273" w:rsidRPr="00AF2689">
        <w:rPr>
          <w:sz w:val="24"/>
        </w:rPr>
        <w:t>. 4</w:t>
      </w:r>
      <w:r w:rsidRPr="00CF7500">
        <w:rPr>
          <w:sz w:val="24"/>
        </w:rPr>
        <w:t>4</w:t>
      </w:r>
      <w:r w:rsidR="00004BD7" w:rsidRPr="00AF2689">
        <w:rPr>
          <w:sz w:val="24"/>
        </w:rPr>
        <w:t>(4)</w:t>
      </w:r>
      <w:r w:rsidRPr="00CF7500">
        <w:rPr>
          <w:sz w:val="24"/>
        </w:rPr>
        <w:t>: 953</w:t>
      </w:r>
      <w:r w:rsidR="00744447" w:rsidRPr="00AF2689">
        <w:rPr>
          <w:sz w:val="24"/>
        </w:rPr>
        <w:t>-</w:t>
      </w:r>
      <w:r w:rsidRPr="00CF7500">
        <w:rPr>
          <w:sz w:val="24"/>
        </w:rPr>
        <w:t>970.</w:t>
      </w:r>
    </w:p>
    <w:p w14:paraId="02C2BA0F" w14:textId="7E1EB883"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Hoffmann, N. 2008. </w:t>
      </w:r>
      <w:r w:rsidRPr="00CF7500">
        <w:rPr>
          <w:i/>
          <w:sz w:val="24"/>
        </w:rPr>
        <w:t>German buyouts adopting a buy and build strategy: key characteristics, value creation and success factors</w:t>
      </w:r>
      <w:r w:rsidRPr="00CF7500">
        <w:rPr>
          <w:sz w:val="24"/>
        </w:rPr>
        <w:t xml:space="preserve">. </w:t>
      </w:r>
      <w:r w:rsidR="00782990" w:rsidRPr="00AF2689">
        <w:rPr>
          <w:sz w:val="24"/>
        </w:rPr>
        <w:t>(Vol. 22). Springer Science &amp; Business Media</w:t>
      </w:r>
      <w:r w:rsidRPr="00CF7500">
        <w:rPr>
          <w:sz w:val="24"/>
        </w:rPr>
        <w:t>.</w:t>
      </w:r>
    </w:p>
    <w:p w14:paraId="03688694" w14:textId="4E633122"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Holthausen, R. W. and </w:t>
      </w:r>
      <w:r w:rsidR="000503D7" w:rsidRPr="00AF2689">
        <w:rPr>
          <w:sz w:val="24"/>
        </w:rPr>
        <w:t>D. F</w:t>
      </w:r>
      <w:r w:rsidR="00CF0FB1" w:rsidRPr="00AF2689">
        <w:rPr>
          <w:sz w:val="24"/>
        </w:rPr>
        <w:t>.</w:t>
      </w:r>
      <w:r w:rsidRPr="00CF7500">
        <w:rPr>
          <w:sz w:val="24"/>
        </w:rPr>
        <w:t xml:space="preserve"> Larcker. 1996. “The financial performance of reverse leveraged buyouts”. </w:t>
      </w:r>
      <w:r w:rsidRPr="00CF7500">
        <w:rPr>
          <w:i/>
          <w:sz w:val="24"/>
        </w:rPr>
        <w:t>Journal of Financial Economics</w:t>
      </w:r>
      <w:r w:rsidR="00141273" w:rsidRPr="00AF2689">
        <w:rPr>
          <w:sz w:val="24"/>
        </w:rPr>
        <w:t>. 4</w:t>
      </w:r>
      <w:r w:rsidRPr="00CF7500">
        <w:rPr>
          <w:sz w:val="24"/>
        </w:rPr>
        <w:t>2</w:t>
      </w:r>
      <w:r w:rsidR="00CD1425" w:rsidRPr="00AF2689">
        <w:rPr>
          <w:sz w:val="24"/>
        </w:rPr>
        <w:t>(</w:t>
      </w:r>
      <w:r w:rsidRPr="00CF7500">
        <w:rPr>
          <w:sz w:val="24"/>
        </w:rPr>
        <w:t>3</w:t>
      </w:r>
      <w:r w:rsidR="00AA5369" w:rsidRPr="00AF2689">
        <w:rPr>
          <w:sz w:val="24"/>
        </w:rPr>
        <w:t>)</w:t>
      </w:r>
      <w:r w:rsidRPr="00CF7500">
        <w:rPr>
          <w:sz w:val="24"/>
        </w:rPr>
        <w:t>: 293</w:t>
      </w:r>
      <w:r w:rsidR="00744447" w:rsidRPr="00AF2689">
        <w:rPr>
          <w:sz w:val="24"/>
        </w:rPr>
        <w:t>-</w:t>
      </w:r>
      <w:r w:rsidRPr="00CF7500">
        <w:rPr>
          <w:sz w:val="24"/>
        </w:rPr>
        <w:t>332.</w:t>
      </w:r>
    </w:p>
    <w:p w14:paraId="5BFF86ED" w14:textId="684FB191"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Hoskisson, R. E. and </w:t>
      </w:r>
      <w:r w:rsidR="000503D7" w:rsidRPr="00AF2689">
        <w:rPr>
          <w:sz w:val="24"/>
        </w:rPr>
        <w:t>T. A.</w:t>
      </w:r>
      <w:r w:rsidRPr="00CF7500">
        <w:rPr>
          <w:sz w:val="24"/>
        </w:rPr>
        <w:t xml:space="preserve"> Turk. 1990. “Corporate restructuring: </w:t>
      </w:r>
      <w:r w:rsidR="003348D7" w:rsidRPr="00AF2689">
        <w:rPr>
          <w:sz w:val="24"/>
        </w:rPr>
        <w:t>G</w:t>
      </w:r>
      <w:r w:rsidRPr="00CF7500">
        <w:rPr>
          <w:sz w:val="24"/>
        </w:rPr>
        <w:t xml:space="preserve">overnance and control limits of the internal capital market”. </w:t>
      </w:r>
      <w:r w:rsidRPr="00CF7500">
        <w:rPr>
          <w:i/>
          <w:sz w:val="24"/>
        </w:rPr>
        <w:t>The Academy of Management Review</w:t>
      </w:r>
      <w:r w:rsidR="007648BD" w:rsidRPr="00AF2689">
        <w:rPr>
          <w:sz w:val="24"/>
        </w:rPr>
        <w:t>. 1</w:t>
      </w:r>
      <w:r w:rsidRPr="00CF7500">
        <w:rPr>
          <w:sz w:val="24"/>
        </w:rPr>
        <w:t>5</w:t>
      </w:r>
      <w:r w:rsidR="00CD1425" w:rsidRPr="00AF2689">
        <w:rPr>
          <w:sz w:val="24"/>
        </w:rPr>
        <w:t>(</w:t>
      </w:r>
      <w:r w:rsidRPr="00CF7500">
        <w:rPr>
          <w:sz w:val="24"/>
        </w:rPr>
        <w:t>3</w:t>
      </w:r>
      <w:r w:rsidR="00AA5369" w:rsidRPr="00AF2689">
        <w:rPr>
          <w:sz w:val="24"/>
        </w:rPr>
        <w:t>)</w:t>
      </w:r>
      <w:r w:rsidRPr="00CF7500">
        <w:rPr>
          <w:sz w:val="24"/>
        </w:rPr>
        <w:t>: 459</w:t>
      </w:r>
      <w:r w:rsidR="00744447" w:rsidRPr="00AF2689">
        <w:rPr>
          <w:sz w:val="24"/>
        </w:rPr>
        <w:t>-</w:t>
      </w:r>
      <w:r w:rsidRPr="00CF7500">
        <w:rPr>
          <w:sz w:val="24"/>
        </w:rPr>
        <w:t xml:space="preserve">477. </w:t>
      </w:r>
    </w:p>
    <w:p w14:paraId="74E8148B" w14:textId="1A93F732"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Hoskisson, R. E., </w:t>
      </w:r>
      <w:r w:rsidR="000503D7" w:rsidRPr="00AF2689">
        <w:rPr>
          <w:sz w:val="24"/>
        </w:rPr>
        <w:t xml:space="preserve">S. </w:t>
      </w:r>
      <w:r w:rsidRPr="00CF7500">
        <w:rPr>
          <w:sz w:val="24"/>
        </w:rPr>
        <w:t xml:space="preserve">Wei, </w:t>
      </w:r>
      <w:r w:rsidR="000503D7" w:rsidRPr="00AF2689">
        <w:rPr>
          <w:sz w:val="24"/>
        </w:rPr>
        <w:t xml:space="preserve">Y. </w:t>
      </w:r>
      <w:r w:rsidRPr="00CF7500">
        <w:rPr>
          <w:sz w:val="24"/>
        </w:rPr>
        <w:t xml:space="preserve">Xiwei, and </w:t>
      </w:r>
      <w:r w:rsidR="000503D7" w:rsidRPr="00AF2689">
        <w:rPr>
          <w:sz w:val="24"/>
        </w:rPr>
        <w:t>J.</w:t>
      </w:r>
      <w:r w:rsidRPr="00CF7500">
        <w:rPr>
          <w:sz w:val="24"/>
        </w:rPr>
        <w:t xml:space="preserve"> Jing. 2013. “The evolution and strategic positioning of private equity firms”. </w:t>
      </w:r>
      <w:r w:rsidRPr="00CF7500">
        <w:rPr>
          <w:i/>
          <w:sz w:val="24"/>
        </w:rPr>
        <w:t>Academy of Management Perspectives</w:t>
      </w:r>
      <w:r w:rsidR="007648BD" w:rsidRPr="00AF2689">
        <w:rPr>
          <w:sz w:val="24"/>
        </w:rPr>
        <w:t>. 2</w:t>
      </w:r>
      <w:r w:rsidRPr="00CF7500">
        <w:rPr>
          <w:sz w:val="24"/>
        </w:rPr>
        <w:t>7</w:t>
      </w:r>
      <w:r w:rsidR="00004BD7" w:rsidRPr="00AF2689">
        <w:rPr>
          <w:sz w:val="24"/>
        </w:rPr>
        <w:t>(1)</w:t>
      </w:r>
      <w:r w:rsidRPr="00CF7500">
        <w:rPr>
          <w:sz w:val="24"/>
        </w:rPr>
        <w:t>: 22-38.</w:t>
      </w:r>
    </w:p>
    <w:p w14:paraId="0668FCFB" w14:textId="2CAD1660"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Houlden, B. 1990. “Buyouts and beyond: </w:t>
      </w:r>
      <w:r w:rsidR="003348D7" w:rsidRPr="00AF2689">
        <w:rPr>
          <w:sz w:val="24"/>
        </w:rPr>
        <w:t>M</w:t>
      </w:r>
      <w:r w:rsidRPr="00CF7500">
        <w:rPr>
          <w:sz w:val="24"/>
        </w:rPr>
        <w:t xml:space="preserve">otivations, strategies and ownership changes”. </w:t>
      </w:r>
      <w:r w:rsidRPr="00CF7500">
        <w:rPr>
          <w:i/>
          <w:sz w:val="24"/>
        </w:rPr>
        <w:t>Long Range Planning</w:t>
      </w:r>
      <w:r w:rsidR="007648BD" w:rsidRPr="00AF2689">
        <w:rPr>
          <w:sz w:val="24"/>
        </w:rPr>
        <w:t>. 2</w:t>
      </w:r>
      <w:r w:rsidRPr="00CF7500">
        <w:rPr>
          <w:sz w:val="24"/>
        </w:rPr>
        <w:t>3</w:t>
      </w:r>
      <w:r w:rsidR="00004BD7" w:rsidRPr="00AF2689">
        <w:rPr>
          <w:sz w:val="24"/>
        </w:rPr>
        <w:t>(4)</w:t>
      </w:r>
      <w:r w:rsidRPr="00CF7500">
        <w:rPr>
          <w:sz w:val="24"/>
        </w:rPr>
        <w:t>: 73</w:t>
      </w:r>
      <w:r w:rsidR="00744447" w:rsidRPr="00AF2689">
        <w:rPr>
          <w:sz w:val="24"/>
        </w:rPr>
        <w:t>-</w:t>
      </w:r>
      <w:r w:rsidRPr="00CF7500">
        <w:rPr>
          <w:sz w:val="24"/>
        </w:rPr>
        <w:t>77.</w:t>
      </w:r>
    </w:p>
    <w:p w14:paraId="04BDCCA1" w14:textId="472E4905"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Howorth, C., </w:t>
      </w:r>
      <w:r w:rsidR="009A35A1" w:rsidRPr="00AF2689">
        <w:rPr>
          <w:sz w:val="24"/>
        </w:rPr>
        <w:t>P.</w:t>
      </w:r>
      <w:r w:rsidRPr="00CF7500">
        <w:rPr>
          <w:sz w:val="24"/>
        </w:rPr>
        <w:t xml:space="preserve"> Westhead, and </w:t>
      </w:r>
      <w:r w:rsidR="000503D7" w:rsidRPr="00AF2689">
        <w:rPr>
          <w:sz w:val="24"/>
        </w:rPr>
        <w:t>M.</w:t>
      </w:r>
      <w:r w:rsidRPr="00CF7500">
        <w:rPr>
          <w:sz w:val="24"/>
        </w:rPr>
        <w:t xml:space="preserve"> Wright. 2004. “Buyouts, information asymmetry and the family management dyad”. </w:t>
      </w:r>
      <w:r w:rsidRPr="00CF7500">
        <w:rPr>
          <w:i/>
          <w:sz w:val="24"/>
        </w:rPr>
        <w:t>Journal of Business Venturing</w:t>
      </w:r>
      <w:r w:rsidR="007648BD" w:rsidRPr="00AF2689">
        <w:rPr>
          <w:sz w:val="24"/>
        </w:rPr>
        <w:t>. 1</w:t>
      </w:r>
      <w:r w:rsidRPr="00CF7500">
        <w:rPr>
          <w:sz w:val="24"/>
        </w:rPr>
        <w:t>9</w:t>
      </w:r>
      <w:r w:rsidR="00004BD7" w:rsidRPr="00AF2689">
        <w:rPr>
          <w:sz w:val="24"/>
        </w:rPr>
        <w:t>(4)</w:t>
      </w:r>
      <w:r w:rsidRPr="00CF7500">
        <w:rPr>
          <w:sz w:val="24"/>
        </w:rPr>
        <w:t xml:space="preserve"> 509</w:t>
      </w:r>
      <w:r w:rsidR="00744447" w:rsidRPr="00AF2689">
        <w:rPr>
          <w:sz w:val="24"/>
        </w:rPr>
        <w:t>-</w:t>
      </w:r>
      <w:r w:rsidRPr="00CF7500">
        <w:rPr>
          <w:sz w:val="24"/>
        </w:rPr>
        <w:t xml:space="preserve">534. </w:t>
      </w:r>
    </w:p>
    <w:p w14:paraId="7B0A0DF6" w14:textId="071791AD" w:rsidR="00676F76" w:rsidRPr="00AF2689" w:rsidRDefault="008C31C9" w:rsidP="00CF7500">
      <w:pPr>
        <w:pStyle w:val="Refs"/>
        <w:numPr>
          <w:ilvl w:val="0"/>
          <w:numId w:val="0"/>
        </w:numPr>
        <w:tabs>
          <w:tab w:val="left" w:pos="709"/>
        </w:tabs>
        <w:ind w:left="170" w:hanging="425"/>
      </w:pPr>
      <w:r w:rsidRPr="00CF7500">
        <w:rPr>
          <w:sz w:val="24"/>
        </w:rPr>
        <w:t xml:space="preserve">Howorth, C., M. Wright, P. Westhead, and D. Allcock. 2016. “Company metamorphosis: Professionalization waves, family firms and management buyouts”. </w:t>
      </w:r>
      <w:r w:rsidRPr="00CF7500">
        <w:rPr>
          <w:i/>
          <w:sz w:val="24"/>
        </w:rPr>
        <w:t>Small Business Economics</w:t>
      </w:r>
      <w:r w:rsidRPr="00CF7500">
        <w:rPr>
          <w:sz w:val="24"/>
        </w:rPr>
        <w:t xml:space="preserve">. 47(3): 803-817. </w:t>
      </w:r>
    </w:p>
    <w:p w14:paraId="4BC68783" w14:textId="30D127F3" w:rsidR="00676F76" w:rsidRPr="00AF2689" w:rsidRDefault="008C31C9" w:rsidP="00CF7500">
      <w:pPr>
        <w:spacing w:before="120" w:line="240" w:lineRule="auto"/>
        <w:ind w:left="170" w:hanging="425"/>
      </w:pPr>
      <w:r w:rsidRPr="00CF7500">
        <w:t xml:space="preserve">Ivashina, V. and </w:t>
      </w:r>
      <w:r w:rsidR="009A35A1" w:rsidRPr="00AF2689">
        <w:t>A.</w:t>
      </w:r>
      <w:r w:rsidRPr="00CF7500">
        <w:t xml:space="preserve"> Kovner. 2011. “The private equity advantage: </w:t>
      </w:r>
      <w:r w:rsidR="003348D7" w:rsidRPr="00AF2689">
        <w:t>L</w:t>
      </w:r>
      <w:r w:rsidRPr="00CF7500">
        <w:t xml:space="preserve">everaged buyout firms and relationship banking”. </w:t>
      </w:r>
      <w:r w:rsidRPr="00CF7500">
        <w:rPr>
          <w:i/>
        </w:rPr>
        <w:t>Review of Financial Studies</w:t>
      </w:r>
      <w:r w:rsidR="007648BD" w:rsidRPr="00AF2689">
        <w:t>. 2</w:t>
      </w:r>
      <w:r w:rsidRPr="00CF7500">
        <w:t>4</w:t>
      </w:r>
      <w:r w:rsidR="003F37F7" w:rsidRPr="00AF2689">
        <w:t>(7)</w:t>
      </w:r>
      <w:r w:rsidRPr="00CF7500">
        <w:t>: 2462</w:t>
      </w:r>
      <w:r w:rsidR="00744447" w:rsidRPr="00AF2689">
        <w:t>-</w:t>
      </w:r>
      <w:r w:rsidR="003F37F7" w:rsidRPr="00AF2689">
        <w:t>24</w:t>
      </w:r>
      <w:r w:rsidRPr="00CF7500">
        <w:t>98.</w:t>
      </w:r>
    </w:p>
    <w:p w14:paraId="1A497918" w14:textId="5762D8FD" w:rsidR="00676F76" w:rsidRPr="00AF2689" w:rsidRDefault="008C31C9" w:rsidP="00CF7500">
      <w:pPr>
        <w:spacing w:before="120" w:line="240" w:lineRule="auto"/>
        <w:ind w:left="170" w:hanging="425"/>
      </w:pPr>
      <w:r w:rsidRPr="00CF7500">
        <w:rPr>
          <w:lang w:val="en-GB"/>
        </w:rPr>
        <w:t xml:space="preserve">Jelic, R. and </w:t>
      </w:r>
      <w:r w:rsidR="009A35A1" w:rsidRPr="00AF2689">
        <w:rPr>
          <w:lang w:val="en-GB"/>
        </w:rPr>
        <w:t>M.</w:t>
      </w:r>
      <w:r w:rsidRPr="00CF7500">
        <w:rPr>
          <w:lang w:val="en-GB"/>
        </w:rPr>
        <w:t xml:space="preserve"> Wright. 2011. “Exits, performance, and late stage private equity: </w:t>
      </w:r>
      <w:r w:rsidR="003348D7" w:rsidRPr="00AF2689">
        <w:rPr>
          <w:lang w:val="en-GB"/>
        </w:rPr>
        <w:t>T</w:t>
      </w:r>
      <w:r w:rsidRPr="00CF7500">
        <w:rPr>
          <w:lang w:val="en-GB"/>
        </w:rPr>
        <w:t xml:space="preserve">he case of </w:t>
      </w:r>
      <w:r w:rsidR="003348D7" w:rsidRPr="00AF2689">
        <w:rPr>
          <w:lang w:val="en-GB"/>
        </w:rPr>
        <w:t>UK</w:t>
      </w:r>
      <w:r w:rsidRPr="00CF7500">
        <w:rPr>
          <w:lang w:val="en-GB"/>
        </w:rPr>
        <w:t xml:space="preserve"> management buy</w:t>
      </w:r>
      <w:r w:rsidRPr="00CF7500">
        <w:rPr>
          <w:rFonts w:ascii="Cambria Math" w:hAnsi="Cambria Math" w:cs="Cambria Math"/>
          <w:lang w:val="en-GB"/>
        </w:rPr>
        <w:t>‐</w:t>
      </w:r>
      <w:r w:rsidRPr="00CF7500">
        <w:rPr>
          <w:lang w:val="en-GB"/>
        </w:rPr>
        <w:t xml:space="preserve">outs”. </w:t>
      </w:r>
      <w:r w:rsidRPr="00CF7500">
        <w:rPr>
          <w:i/>
          <w:iCs/>
          <w:lang w:val="en-GB"/>
        </w:rPr>
        <w:t>European Financial Management</w:t>
      </w:r>
      <w:r w:rsidR="007648BD" w:rsidRPr="00AF2689">
        <w:rPr>
          <w:lang w:val="en-GB"/>
        </w:rPr>
        <w:t>. 1</w:t>
      </w:r>
      <w:r w:rsidRPr="00CF7500">
        <w:rPr>
          <w:bCs/>
          <w:lang w:val="en-GB"/>
        </w:rPr>
        <w:t>7</w:t>
      </w:r>
      <w:r w:rsidR="003F37F7" w:rsidRPr="00AF2689">
        <w:rPr>
          <w:bCs/>
          <w:lang w:val="en-GB"/>
        </w:rPr>
        <w:t>(3)</w:t>
      </w:r>
      <w:r w:rsidR="00782990" w:rsidRPr="00AF2689">
        <w:rPr>
          <w:lang w:val="en-GB"/>
        </w:rPr>
        <w:t xml:space="preserve">: </w:t>
      </w:r>
      <w:r w:rsidRPr="00CF7500">
        <w:rPr>
          <w:lang w:val="en-GB"/>
        </w:rPr>
        <w:t>560-593.</w:t>
      </w:r>
    </w:p>
    <w:p w14:paraId="0FB752A8" w14:textId="456BFD32" w:rsidR="00676F76" w:rsidRPr="00CF7500" w:rsidRDefault="008C31C9" w:rsidP="00CF7500">
      <w:pPr>
        <w:spacing w:before="120" w:line="240" w:lineRule="auto"/>
        <w:ind w:left="170" w:hanging="425"/>
      </w:pPr>
      <w:r w:rsidRPr="00CF7500">
        <w:t xml:space="preserve">Jelic, R., Zhou, D., &amp; </w:t>
      </w:r>
      <w:r w:rsidR="009A35A1" w:rsidRPr="00AF2689">
        <w:t>M.</w:t>
      </w:r>
      <w:r w:rsidRPr="00CF7500">
        <w:t xml:space="preserve"> Wright. 2018. “Sustaining the buyout governance model: </w:t>
      </w:r>
      <w:r w:rsidR="006A1A94" w:rsidRPr="00AF2689">
        <w:t>I</w:t>
      </w:r>
      <w:r w:rsidRPr="00CF7500">
        <w:t xml:space="preserve">nside secondary management buyout boards”. </w:t>
      </w:r>
      <w:r w:rsidRPr="00CF7500">
        <w:rPr>
          <w:i/>
        </w:rPr>
        <w:t>British Journal of Management</w:t>
      </w:r>
      <w:r w:rsidRPr="00CF7500">
        <w:t>, forthcoming.</w:t>
      </w:r>
    </w:p>
    <w:p w14:paraId="06EAAEB5" w14:textId="236DF365"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Jenkinson, T., and </w:t>
      </w:r>
      <w:r w:rsidR="009A35A1" w:rsidRPr="00AF2689">
        <w:rPr>
          <w:sz w:val="24"/>
        </w:rPr>
        <w:t>R.</w:t>
      </w:r>
      <w:r w:rsidRPr="00CF7500">
        <w:rPr>
          <w:sz w:val="24"/>
        </w:rPr>
        <w:t xml:space="preserve"> Stucke. 2011. “Who benefits from the leverage in LBOs?”.</w:t>
      </w:r>
    </w:p>
    <w:p w14:paraId="743D07A7" w14:textId="168AE24F"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Jensen, M. C. 1986. “Agency costs of free cash flow, corporate finance, and takeovers”. </w:t>
      </w:r>
      <w:r w:rsidRPr="00CF7500">
        <w:rPr>
          <w:i/>
          <w:sz w:val="24"/>
        </w:rPr>
        <w:t>The American Economic Review</w:t>
      </w:r>
      <w:r w:rsidR="00994B38" w:rsidRPr="00AF2689">
        <w:rPr>
          <w:sz w:val="24"/>
        </w:rPr>
        <w:t>. 7</w:t>
      </w:r>
      <w:r w:rsidRPr="00CF7500">
        <w:rPr>
          <w:sz w:val="24"/>
        </w:rPr>
        <w:t>6</w:t>
      </w:r>
      <w:r w:rsidR="00CD1425" w:rsidRPr="00AF2689">
        <w:rPr>
          <w:sz w:val="24"/>
        </w:rPr>
        <w:t>(</w:t>
      </w:r>
      <w:r w:rsidRPr="00CF7500">
        <w:rPr>
          <w:sz w:val="24"/>
        </w:rPr>
        <w:t>2</w:t>
      </w:r>
      <w:r w:rsidR="00AA5369" w:rsidRPr="00AF2689">
        <w:rPr>
          <w:sz w:val="24"/>
        </w:rPr>
        <w:t>)</w:t>
      </w:r>
      <w:r w:rsidRPr="00CF7500">
        <w:rPr>
          <w:sz w:val="24"/>
        </w:rPr>
        <w:t>: 323</w:t>
      </w:r>
      <w:r w:rsidR="00744447" w:rsidRPr="00AF2689">
        <w:rPr>
          <w:sz w:val="24"/>
        </w:rPr>
        <w:t>-</w:t>
      </w:r>
      <w:r w:rsidRPr="00CF7500">
        <w:rPr>
          <w:sz w:val="24"/>
        </w:rPr>
        <w:t>329.</w:t>
      </w:r>
    </w:p>
    <w:p w14:paraId="645B90D2" w14:textId="0AA3127C"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Jensen, M. C. 1989a. “Active investors, </w:t>
      </w:r>
      <w:r w:rsidR="006A1A94" w:rsidRPr="00AF2689">
        <w:rPr>
          <w:sz w:val="24"/>
        </w:rPr>
        <w:t>LBO</w:t>
      </w:r>
      <w:r w:rsidRPr="00CF7500">
        <w:rPr>
          <w:sz w:val="24"/>
        </w:rPr>
        <w:t xml:space="preserve">s, and the privatization of bankruptcy”. </w:t>
      </w:r>
      <w:r w:rsidRPr="00CF7500">
        <w:rPr>
          <w:i/>
          <w:sz w:val="24"/>
        </w:rPr>
        <w:t>Journal of Applied Corporate Finance</w:t>
      </w:r>
      <w:r w:rsidR="007648BD" w:rsidRPr="00AF2689">
        <w:rPr>
          <w:sz w:val="24"/>
        </w:rPr>
        <w:t>. 2</w:t>
      </w:r>
      <w:r w:rsidR="00C36E45" w:rsidRPr="00AF2689">
        <w:rPr>
          <w:sz w:val="24"/>
        </w:rPr>
        <w:t>2(1)</w:t>
      </w:r>
      <w:r w:rsidRPr="00CF7500">
        <w:rPr>
          <w:sz w:val="24"/>
        </w:rPr>
        <w:t xml:space="preserve">: </w:t>
      </w:r>
      <w:r w:rsidR="00C36E45" w:rsidRPr="00AF2689">
        <w:rPr>
          <w:sz w:val="24"/>
        </w:rPr>
        <w:t>77-85</w:t>
      </w:r>
      <w:r w:rsidRPr="00CF7500">
        <w:rPr>
          <w:sz w:val="24"/>
        </w:rPr>
        <w:t>.</w:t>
      </w:r>
    </w:p>
    <w:p w14:paraId="27CFAB92" w14:textId="47F11FCC"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Jensen, M. C. 1989b. “Eclipse of the public corporation”. </w:t>
      </w:r>
      <w:r w:rsidRPr="00CF7500">
        <w:rPr>
          <w:i/>
          <w:sz w:val="24"/>
        </w:rPr>
        <w:t>Harvard Business Review</w:t>
      </w:r>
      <w:r w:rsidR="00994B38" w:rsidRPr="00AF2689">
        <w:rPr>
          <w:sz w:val="24"/>
        </w:rPr>
        <w:t>. 6</w:t>
      </w:r>
      <w:r w:rsidRPr="00CF7500">
        <w:rPr>
          <w:sz w:val="24"/>
        </w:rPr>
        <w:t>7</w:t>
      </w:r>
      <w:r w:rsidR="00C36E45" w:rsidRPr="00AF2689">
        <w:rPr>
          <w:sz w:val="24"/>
        </w:rPr>
        <w:t>(5)</w:t>
      </w:r>
      <w:r w:rsidRPr="00CF7500">
        <w:rPr>
          <w:sz w:val="24"/>
        </w:rPr>
        <w:t>: 61</w:t>
      </w:r>
      <w:r w:rsidR="00744447" w:rsidRPr="00AF2689">
        <w:rPr>
          <w:sz w:val="24"/>
        </w:rPr>
        <w:t>-</w:t>
      </w:r>
      <w:r w:rsidRPr="00CF7500">
        <w:rPr>
          <w:sz w:val="24"/>
        </w:rPr>
        <w:t>74.</w:t>
      </w:r>
    </w:p>
    <w:p w14:paraId="64F5CD5D" w14:textId="1C94ECF6"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Jensen, M. C., </w:t>
      </w:r>
      <w:r w:rsidR="009A35A1" w:rsidRPr="00AF2689">
        <w:rPr>
          <w:sz w:val="24"/>
        </w:rPr>
        <w:t>S. N.</w:t>
      </w:r>
      <w:r w:rsidRPr="00CF7500">
        <w:rPr>
          <w:sz w:val="24"/>
        </w:rPr>
        <w:t xml:space="preserve"> Kaplan, </w:t>
      </w:r>
      <w:r w:rsidR="009A35A1" w:rsidRPr="00AF2689">
        <w:rPr>
          <w:sz w:val="24"/>
        </w:rPr>
        <w:t xml:space="preserve">C. </w:t>
      </w:r>
      <w:r w:rsidRPr="00CF7500">
        <w:rPr>
          <w:sz w:val="24"/>
        </w:rPr>
        <w:t xml:space="preserve">Ferenbach, and </w:t>
      </w:r>
      <w:r w:rsidR="009A35A1" w:rsidRPr="00AF2689">
        <w:rPr>
          <w:sz w:val="24"/>
        </w:rPr>
        <w:t xml:space="preserve">M. </w:t>
      </w:r>
      <w:r w:rsidRPr="00CF7500">
        <w:rPr>
          <w:sz w:val="24"/>
        </w:rPr>
        <w:t>Feldberg</w:t>
      </w:r>
      <w:r w:rsidR="009A35A1" w:rsidRPr="00AF2689">
        <w:rPr>
          <w:sz w:val="24"/>
        </w:rPr>
        <w:t>.</w:t>
      </w:r>
      <w:r w:rsidRPr="00CF7500">
        <w:rPr>
          <w:sz w:val="24"/>
        </w:rPr>
        <w:t xml:space="preserve"> 2006. “Morgan Stanley roundtable on private equity and its import for public companies”. </w:t>
      </w:r>
      <w:r w:rsidRPr="00CF7500">
        <w:rPr>
          <w:i/>
          <w:sz w:val="24"/>
        </w:rPr>
        <w:t>Journal of Applied Corporate Finance</w:t>
      </w:r>
      <w:r w:rsidR="007648BD" w:rsidRPr="00AF2689">
        <w:rPr>
          <w:sz w:val="24"/>
        </w:rPr>
        <w:t>. 1</w:t>
      </w:r>
      <w:r w:rsidRPr="00CF7500">
        <w:rPr>
          <w:sz w:val="24"/>
        </w:rPr>
        <w:t>8</w:t>
      </w:r>
      <w:r w:rsidR="00CD1425" w:rsidRPr="00AF2689">
        <w:rPr>
          <w:sz w:val="24"/>
        </w:rPr>
        <w:t>(</w:t>
      </w:r>
      <w:r w:rsidRPr="00CF7500">
        <w:rPr>
          <w:sz w:val="24"/>
        </w:rPr>
        <w:t>3</w:t>
      </w:r>
      <w:r w:rsidR="00AA5369" w:rsidRPr="00AF2689">
        <w:rPr>
          <w:sz w:val="24"/>
        </w:rPr>
        <w:t>)</w:t>
      </w:r>
      <w:r w:rsidRPr="00CF7500">
        <w:rPr>
          <w:sz w:val="24"/>
        </w:rPr>
        <w:t>: 8</w:t>
      </w:r>
      <w:r w:rsidR="00744447" w:rsidRPr="00AF2689">
        <w:rPr>
          <w:sz w:val="24"/>
        </w:rPr>
        <w:t>-</w:t>
      </w:r>
      <w:r w:rsidRPr="00CF7500">
        <w:rPr>
          <w:sz w:val="24"/>
        </w:rPr>
        <w:t>37.</w:t>
      </w:r>
    </w:p>
    <w:p w14:paraId="44D45402" w14:textId="24EE512A"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Jensen, M. C. and </w:t>
      </w:r>
      <w:r w:rsidR="001331F0" w:rsidRPr="00AF2689">
        <w:rPr>
          <w:sz w:val="24"/>
        </w:rPr>
        <w:t>W. H.</w:t>
      </w:r>
      <w:r w:rsidRPr="00CF7500">
        <w:rPr>
          <w:sz w:val="24"/>
        </w:rPr>
        <w:t xml:space="preserve"> Meckling. 1976. “Theory of the firm: </w:t>
      </w:r>
      <w:r w:rsidR="00E67474" w:rsidRPr="00AF2689">
        <w:rPr>
          <w:sz w:val="24"/>
        </w:rPr>
        <w:t>M</w:t>
      </w:r>
      <w:r w:rsidRPr="00CF7500">
        <w:rPr>
          <w:sz w:val="24"/>
        </w:rPr>
        <w:t xml:space="preserve">anagerial behavior, agency costs and ownership structure”. </w:t>
      </w:r>
      <w:r w:rsidRPr="00CF7500">
        <w:rPr>
          <w:i/>
          <w:sz w:val="24"/>
        </w:rPr>
        <w:t>Journal of Financial Economics</w:t>
      </w:r>
      <w:r w:rsidR="007648BD" w:rsidRPr="00AF2689">
        <w:rPr>
          <w:sz w:val="24"/>
        </w:rPr>
        <w:t>. 3</w:t>
      </w:r>
      <w:r w:rsidR="006E7F8E" w:rsidRPr="00AF2689">
        <w:rPr>
          <w:sz w:val="24"/>
        </w:rPr>
        <w:t>(4)</w:t>
      </w:r>
      <w:r w:rsidRPr="00CF7500">
        <w:rPr>
          <w:sz w:val="24"/>
        </w:rPr>
        <w:t>: 305</w:t>
      </w:r>
      <w:r w:rsidR="00744447" w:rsidRPr="00AF2689">
        <w:rPr>
          <w:sz w:val="24"/>
        </w:rPr>
        <w:t>-</w:t>
      </w:r>
      <w:r w:rsidRPr="00CF7500">
        <w:rPr>
          <w:sz w:val="24"/>
        </w:rPr>
        <w:t>360.</w:t>
      </w:r>
    </w:p>
    <w:p w14:paraId="20A7A7CC" w14:textId="4ECAB8B9"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Jensen, M. C. and </w:t>
      </w:r>
      <w:r w:rsidR="001331F0" w:rsidRPr="00AF2689">
        <w:rPr>
          <w:sz w:val="24"/>
        </w:rPr>
        <w:t>K. J.</w:t>
      </w:r>
      <w:r w:rsidRPr="00CF7500">
        <w:rPr>
          <w:sz w:val="24"/>
        </w:rPr>
        <w:t xml:space="preserve"> Murphy. 1990. “Performance pay and top-management incentives”. </w:t>
      </w:r>
      <w:r w:rsidRPr="00CF7500">
        <w:rPr>
          <w:i/>
          <w:sz w:val="24"/>
        </w:rPr>
        <w:t>Journal of Political Economy</w:t>
      </w:r>
      <w:r w:rsidR="00994B38" w:rsidRPr="00AF2689">
        <w:rPr>
          <w:sz w:val="24"/>
        </w:rPr>
        <w:t>. 9</w:t>
      </w:r>
      <w:r w:rsidRPr="00CF7500">
        <w:rPr>
          <w:sz w:val="24"/>
        </w:rPr>
        <w:t>8</w:t>
      </w:r>
      <w:r w:rsidR="006E7F8E" w:rsidRPr="00AF2689">
        <w:rPr>
          <w:sz w:val="24"/>
        </w:rPr>
        <w:t>(2)</w:t>
      </w:r>
      <w:r w:rsidRPr="00CF7500">
        <w:rPr>
          <w:sz w:val="24"/>
        </w:rPr>
        <w:t>: 225</w:t>
      </w:r>
      <w:r w:rsidR="00744447" w:rsidRPr="00AF2689">
        <w:rPr>
          <w:sz w:val="24"/>
        </w:rPr>
        <w:t>-</w:t>
      </w:r>
      <w:r w:rsidRPr="00CF7500">
        <w:rPr>
          <w:sz w:val="24"/>
        </w:rPr>
        <w:t>264.</w:t>
      </w:r>
    </w:p>
    <w:p w14:paraId="5ADCF322" w14:textId="3C7C3EBC"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Jensen, M. C. and </w:t>
      </w:r>
      <w:r w:rsidR="001331F0" w:rsidRPr="00AF2689">
        <w:rPr>
          <w:sz w:val="24"/>
        </w:rPr>
        <w:t>R. S.</w:t>
      </w:r>
      <w:r w:rsidRPr="00CF7500">
        <w:rPr>
          <w:sz w:val="24"/>
        </w:rPr>
        <w:t xml:space="preserve"> Ruback. 1983. “The market for corporate control: </w:t>
      </w:r>
      <w:r w:rsidR="00E67474" w:rsidRPr="00AF2689">
        <w:rPr>
          <w:sz w:val="24"/>
        </w:rPr>
        <w:t>T</w:t>
      </w:r>
      <w:r w:rsidRPr="00CF7500">
        <w:rPr>
          <w:sz w:val="24"/>
        </w:rPr>
        <w:t xml:space="preserve">he scientific evidence”. </w:t>
      </w:r>
      <w:r w:rsidRPr="00CF7500">
        <w:rPr>
          <w:i/>
          <w:sz w:val="24"/>
        </w:rPr>
        <w:t>Journal of Financial Economics</w:t>
      </w:r>
      <w:r w:rsidRPr="00CF7500">
        <w:rPr>
          <w:sz w:val="24"/>
        </w:rPr>
        <w:t>. 11</w:t>
      </w:r>
      <w:r w:rsidR="006E7F8E" w:rsidRPr="00AF2689">
        <w:rPr>
          <w:sz w:val="24"/>
        </w:rPr>
        <w:t>(1-4</w:t>
      </w:r>
      <w:r w:rsidR="00AA5369" w:rsidRPr="00AF2689">
        <w:rPr>
          <w:sz w:val="24"/>
        </w:rPr>
        <w:t>)</w:t>
      </w:r>
      <w:r w:rsidRPr="00CF7500">
        <w:rPr>
          <w:sz w:val="24"/>
        </w:rPr>
        <w:t>: 5</w:t>
      </w:r>
      <w:r w:rsidR="00744447" w:rsidRPr="00AF2689">
        <w:rPr>
          <w:sz w:val="24"/>
        </w:rPr>
        <w:t>-</w:t>
      </w:r>
      <w:r w:rsidRPr="00CF7500">
        <w:rPr>
          <w:sz w:val="24"/>
        </w:rPr>
        <w:t>50.</w:t>
      </w:r>
    </w:p>
    <w:p w14:paraId="696837C4" w14:textId="001F4EA4" w:rsidR="00A453F0" w:rsidRPr="00AF2689" w:rsidRDefault="008C31C9">
      <w:pPr>
        <w:pStyle w:val="Refs"/>
        <w:numPr>
          <w:ilvl w:val="0"/>
          <w:numId w:val="0"/>
        </w:numPr>
        <w:tabs>
          <w:tab w:val="clear" w:pos="360"/>
          <w:tab w:val="left" w:pos="709"/>
        </w:tabs>
        <w:ind w:left="170" w:hanging="425"/>
        <w:rPr>
          <w:sz w:val="24"/>
        </w:rPr>
      </w:pPr>
      <w:r w:rsidRPr="00CF7500">
        <w:rPr>
          <w:sz w:val="24"/>
        </w:rPr>
        <w:t xml:space="preserve">Kaestner, R. and </w:t>
      </w:r>
      <w:r w:rsidR="001331F0" w:rsidRPr="00AF2689">
        <w:rPr>
          <w:sz w:val="24"/>
        </w:rPr>
        <w:t>F. Y.</w:t>
      </w:r>
      <w:r w:rsidRPr="00CF7500">
        <w:rPr>
          <w:sz w:val="24"/>
        </w:rPr>
        <w:t xml:space="preserve"> Liu. 1996. “Going private restructuring: </w:t>
      </w:r>
      <w:r w:rsidR="00E67474" w:rsidRPr="00AF2689">
        <w:rPr>
          <w:sz w:val="24"/>
        </w:rPr>
        <w:t>T</w:t>
      </w:r>
      <w:r w:rsidRPr="00CF7500">
        <w:rPr>
          <w:sz w:val="24"/>
        </w:rPr>
        <w:t xml:space="preserve">he role of insider trading”. </w:t>
      </w:r>
      <w:r w:rsidRPr="00CF7500">
        <w:rPr>
          <w:i/>
          <w:sz w:val="24"/>
        </w:rPr>
        <w:t>Journal of Business Finance and Accounting</w:t>
      </w:r>
      <w:r w:rsidR="007648BD" w:rsidRPr="00AF2689">
        <w:rPr>
          <w:sz w:val="24"/>
        </w:rPr>
        <w:t>. 2</w:t>
      </w:r>
      <w:r w:rsidRPr="00CF7500">
        <w:rPr>
          <w:sz w:val="24"/>
        </w:rPr>
        <w:t>3</w:t>
      </w:r>
      <w:r w:rsidR="001E6F38" w:rsidRPr="00AF2689">
        <w:rPr>
          <w:sz w:val="24"/>
        </w:rPr>
        <w:t>(5-6)</w:t>
      </w:r>
      <w:r w:rsidRPr="00CF7500">
        <w:rPr>
          <w:sz w:val="24"/>
        </w:rPr>
        <w:t>: 779</w:t>
      </w:r>
      <w:r w:rsidR="00744447" w:rsidRPr="00AF2689">
        <w:rPr>
          <w:sz w:val="24"/>
        </w:rPr>
        <w:t>-</w:t>
      </w:r>
      <w:r w:rsidRPr="00CF7500">
        <w:rPr>
          <w:sz w:val="24"/>
        </w:rPr>
        <w:t>806.</w:t>
      </w:r>
    </w:p>
    <w:p w14:paraId="5E3040EE" w14:textId="77777777" w:rsidR="00D87D77" w:rsidRPr="00AF2689" w:rsidRDefault="004678B3" w:rsidP="00D87D77">
      <w:pPr>
        <w:pStyle w:val="Refs"/>
        <w:numPr>
          <w:ilvl w:val="0"/>
          <w:numId w:val="0"/>
        </w:numPr>
        <w:tabs>
          <w:tab w:val="clear" w:pos="360"/>
          <w:tab w:val="left" w:pos="709"/>
        </w:tabs>
        <w:ind w:left="170" w:hanging="425"/>
        <w:rPr>
          <w:sz w:val="24"/>
        </w:rPr>
      </w:pPr>
      <w:r w:rsidRPr="00AF2689">
        <w:rPr>
          <w:sz w:val="24"/>
        </w:rPr>
        <w:t xml:space="preserve">Kahneman, D. 2011. </w:t>
      </w:r>
      <w:r w:rsidR="008C31C9" w:rsidRPr="00CF7500">
        <w:rPr>
          <w:i/>
          <w:sz w:val="24"/>
        </w:rPr>
        <w:t>Thinking, fast and slow</w:t>
      </w:r>
      <w:r w:rsidRPr="00AF2689">
        <w:rPr>
          <w:sz w:val="24"/>
        </w:rPr>
        <w:t>. New York: Farrar, Straus and Giroux</w:t>
      </w:r>
      <w:r w:rsidR="00D87D77" w:rsidRPr="00AF2689">
        <w:rPr>
          <w:sz w:val="24"/>
        </w:rPr>
        <w:t>.</w:t>
      </w:r>
    </w:p>
    <w:p w14:paraId="029DADB5" w14:textId="6736F4CB"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Kaplan, S. N. 1989. “The effects of management buyouts on operating performance and value”. </w:t>
      </w:r>
      <w:r w:rsidRPr="00CF7500">
        <w:rPr>
          <w:i/>
          <w:sz w:val="24"/>
        </w:rPr>
        <w:t>Journal of Financial Economics</w:t>
      </w:r>
      <w:r w:rsidR="007648BD" w:rsidRPr="00AF2689">
        <w:rPr>
          <w:sz w:val="24"/>
        </w:rPr>
        <w:t xml:space="preserve">. </w:t>
      </w:r>
      <w:r w:rsidR="0048610B" w:rsidRPr="00AF2689">
        <w:rPr>
          <w:sz w:val="24"/>
        </w:rPr>
        <w:t>24(2): 217-254</w:t>
      </w:r>
      <w:r w:rsidRPr="00CF7500">
        <w:rPr>
          <w:sz w:val="24"/>
        </w:rPr>
        <w:t>.</w:t>
      </w:r>
    </w:p>
    <w:p w14:paraId="761DBAC3" w14:textId="4259F221"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Kaplan, S. N. 1991. “The staying power of leveraged buyouts”. </w:t>
      </w:r>
      <w:r w:rsidRPr="00CF7500">
        <w:rPr>
          <w:i/>
          <w:sz w:val="24"/>
        </w:rPr>
        <w:t>Journal of Financial Economics</w:t>
      </w:r>
      <w:r w:rsidR="007648BD" w:rsidRPr="00AF2689">
        <w:rPr>
          <w:sz w:val="24"/>
        </w:rPr>
        <w:t>. 2</w:t>
      </w:r>
      <w:r w:rsidRPr="00CF7500">
        <w:rPr>
          <w:sz w:val="24"/>
        </w:rPr>
        <w:t>9</w:t>
      </w:r>
      <w:r w:rsidR="001E6F38" w:rsidRPr="00AF2689">
        <w:rPr>
          <w:sz w:val="24"/>
        </w:rPr>
        <w:t>(2)</w:t>
      </w:r>
      <w:r w:rsidRPr="00CF7500">
        <w:rPr>
          <w:sz w:val="24"/>
        </w:rPr>
        <w:t>: 287-313.</w:t>
      </w:r>
    </w:p>
    <w:p w14:paraId="6D92CC04" w14:textId="66904980"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Kaplan, S. N. and </w:t>
      </w:r>
      <w:r w:rsidR="00B938CB" w:rsidRPr="00AF2689">
        <w:rPr>
          <w:sz w:val="24"/>
        </w:rPr>
        <w:t>A.</w:t>
      </w:r>
      <w:r w:rsidRPr="00CF7500">
        <w:rPr>
          <w:sz w:val="24"/>
        </w:rPr>
        <w:t xml:space="preserve"> Schoar. 2005. “Private equity performance: </w:t>
      </w:r>
      <w:r w:rsidR="00E67474" w:rsidRPr="00AF2689">
        <w:rPr>
          <w:sz w:val="24"/>
        </w:rPr>
        <w:t>R</w:t>
      </w:r>
      <w:r w:rsidRPr="00CF7500">
        <w:rPr>
          <w:sz w:val="24"/>
        </w:rPr>
        <w:t xml:space="preserve">eturns, persistence, and capital flows”. </w:t>
      </w:r>
      <w:r w:rsidRPr="00CF7500">
        <w:rPr>
          <w:i/>
          <w:sz w:val="24"/>
        </w:rPr>
        <w:t>The Journal of Finance</w:t>
      </w:r>
      <w:r w:rsidR="00994B38" w:rsidRPr="00AF2689">
        <w:rPr>
          <w:sz w:val="24"/>
        </w:rPr>
        <w:t>. 6</w:t>
      </w:r>
      <w:r w:rsidRPr="00CF7500">
        <w:rPr>
          <w:sz w:val="24"/>
        </w:rPr>
        <w:t>0</w:t>
      </w:r>
      <w:r w:rsidR="001E6F38" w:rsidRPr="00AF2689">
        <w:rPr>
          <w:sz w:val="24"/>
        </w:rPr>
        <w:t>(4)</w:t>
      </w:r>
      <w:r w:rsidRPr="00CF7500">
        <w:rPr>
          <w:sz w:val="24"/>
        </w:rPr>
        <w:t>: 1791</w:t>
      </w:r>
      <w:r w:rsidR="00744447" w:rsidRPr="00AF2689">
        <w:rPr>
          <w:sz w:val="24"/>
        </w:rPr>
        <w:t>-</w:t>
      </w:r>
      <w:r w:rsidRPr="00CF7500">
        <w:rPr>
          <w:sz w:val="24"/>
        </w:rPr>
        <w:t>1823.</w:t>
      </w:r>
    </w:p>
    <w:p w14:paraId="33A9AC11" w14:textId="3E3190B7"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Kaplan, S. N. and </w:t>
      </w:r>
      <w:r w:rsidR="00B938CB" w:rsidRPr="00AF2689">
        <w:rPr>
          <w:sz w:val="24"/>
        </w:rPr>
        <w:t>J. C.</w:t>
      </w:r>
      <w:r w:rsidRPr="00CF7500">
        <w:rPr>
          <w:sz w:val="24"/>
        </w:rPr>
        <w:t xml:space="preserve"> Stein. 1993. “The evolution of buyout pricing and financial structure”. </w:t>
      </w:r>
      <w:r w:rsidRPr="00CF7500">
        <w:rPr>
          <w:i/>
          <w:sz w:val="24"/>
        </w:rPr>
        <w:t>Journal of Applied Corporate Finance</w:t>
      </w:r>
      <w:r w:rsidR="00077F70" w:rsidRPr="00AF2689">
        <w:rPr>
          <w:i/>
          <w:sz w:val="24"/>
        </w:rPr>
        <w:t>.</w:t>
      </w:r>
      <w:r w:rsidRPr="00CF7500">
        <w:rPr>
          <w:sz w:val="24"/>
        </w:rPr>
        <w:t xml:space="preserve"> 6(1): 72-88</w:t>
      </w:r>
      <w:r w:rsidR="00077F70" w:rsidRPr="00AF2689">
        <w:rPr>
          <w:sz w:val="24"/>
        </w:rPr>
        <w:t>.</w:t>
      </w:r>
    </w:p>
    <w:p w14:paraId="5E5723A5" w14:textId="6ABBC309"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Kaplan, S. N. and </w:t>
      </w:r>
      <w:r w:rsidR="00B938CB" w:rsidRPr="00AF2689">
        <w:rPr>
          <w:sz w:val="24"/>
        </w:rPr>
        <w:t>P.</w:t>
      </w:r>
      <w:r w:rsidRPr="00CF7500">
        <w:rPr>
          <w:sz w:val="24"/>
        </w:rPr>
        <w:t xml:space="preserve"> Str</w:t>
      </w:r>
      <w:r w:rsidR="00077F70" w:rsidRPr="00AF2689">
        <w:rPr>
          <w:sz w:val="24"/>
        </w:rPr>
        <w:t>ö</w:t>
      </w:r>
      <w:r w:rsidRPr="00CF7500">
        <w:rPr>
          <w:sz w:val="24"/>
        </w:rPr>
        <w:t>mberg. 2004. “</w:t>
      </w:r>
      <w:r w:rsidR="00077F70" w:rsidRPr="00AF2689">
        <w:rPr>
          <w:sz w:val="24"/>
        </w:rPr>
        <w:t>C</w:t>
      </w:r>
      <w:r w:rsidRPr="00CF7500">
        <w:rPr>
          <w:sz w:val="24"/>
        </w:rPr>
        <w:t xml:space="preserve">haracteristics, contracts, and actions: </w:t>
      </w:r>
      <w:r w:rsidR="008810DD" w:rsidRPr="00AF2689">
        <w:rPr>
          <w:sz w:val="24"/>
        </w:rPr>
        <w:t>E</w:t>
      </w:r>
      <w:r w:rsidRPr="00CF7500">
        <w:rPr>
          <w:sz w:val="24"/>
        </w:rPr>
        <w:t xml:space="preserve">vidence from venture capitalist analyses”. </w:t>
      </w:r>
      <w:r w:rsidRPr="00CF7500">
        <w:rPr>
          <w:i/>
          <w:sz w:val="24"/>
        </w:rPr>
        <w:t>The Journal of Finance</w:t>
      </w:r>
      <w:r w:rsidR="007648BD" w:rsidRPr="00AF2689">
        <w:rPr>
          <w:sz w:val="24"/>
        </w:rPr>
        <w:t>. 5</w:t>
      </w:r>
      <w:r w:rsidRPr="00CF7500">
        <w:rPr>
          <w:sz w:val="24"/>
        </w:rPr>
        <w:t>9</w:t>
      </w:r>
      <w:r w:rsidR="00077F70" w:rsidRPr="00AF2689">
        <w:rPr>
          <w:sz w:val="24"/>
        </w:rPr>
        <w:t>(5)</w:t>
      </w:r>
      <w:r w:rsidRPr="00CF7500">
        <w:rPr>
          <w:sz w:val="24"/>
        </w:rPr>
        <w:t>: 2177</w:t>
      </w:r>
      <w:r w:rsidR="00744447" w:rsidRPr="00AF2689">
        <w:rPr>
          <w:sz w:val="24"/>
        </w:rPr>
        <w:t>-</w:t>
      </w:r>
      <w:r w:rsidRPr="00CF7500">
        <w:rPr>
          <w:sz w:val="24"/>
        </w:rPr>
        <w:t>2210.</w:t>
      </w:r>
    </w:p>
    <w:p w14:paraId="4FFF57D1" w14:textId="471E2289"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Kaplan, S. N. and </w:t>
      </w:r>
      <w:r w:rsidR="00B938CB" w:rsidRPr="00AF2689">
        <w:rPr>
          <w:sz w:val="24"/>
        </w:rPr>
        <w:t>P.</w:t>
      </w:r>
      <w:r w:rsidRPr="00CF7500">
        <w:rPr>
          <w:sz w:val="24"/>
        </w:rPr>
        <w:t xml:space="preserve"> Strömberg. 2009. “Leveraged buyouts and private equity”. </w:t>
      </w:r>
      <w:r w:rsidRPr="00CF7500">
        <w:rPr>
          <w:i/>
          <w:sz w:val="24"/>
        </w:rPr>
        <w:t>The Journal of Economic Perspectives</w:t>
      </w:r>
      <w:r w:rsidR="007648BD" w:rsidRPr="00AF2689">
        <w:rPr>
          <w:sz w:val="24"/>
        </w:rPr>
        <w:t>. 2</w:t>
      </w:r>
      <w:r w:rsidRPr="00CF7500">
        <w:rPr>
          <w:sz w:val="24"/>
        </w:rPr>
        <w:t>3</w:t>
      </w:r>
      <w:r w:rsidR="00D23108" w:rsidRPr="00AF2689">
        <w:rPr>
          <w:sz w:val="24"/>
        </w:rPr>
        <w:t>(1)</w:t>
      </w:r>
      <w:r w:rsidRPr="00CF7500">
        <w:rPr>
          <w:sz w:val="24"/>
        </w:rPr>
        <w:t>: 121</w:t>
      </w:r>
      <w:r w:rsidR="00744447" w:rsidRPr="00AF2689">
        <w:rPr>
          <w:sz w:val="24"/>
        </w:rPr>
        <w:t>-</w:t>
      </w:r>
      <w:r w:rsidRPr="00CF7500">
        <w:rPr>
          <w:sz w:val="24"/>
        </w:rPr>
        <w:t>146.</w:t>
      </w:r>
    </w:p>
    <w:p w14:paraId="11D8D5D4" w14:textId="01EAC33D"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Kaplan, S. N. and </w:t>
      </w:r>
      <w:r w:rsidR="006A04E1" w:rsidRPr="00AF2689">
        <w:rPr>
          <w:sz w:val="24"/>
        </w:rPr>
        <w:t>M. S.</w:t>
      </w:r>
      <w:r w:rsidRPr="00CF7500">
        <w:rPr>
          <w:sz w:val="24"/>
        </w:rPr>
        <w:t xml:space="preserve"> Weisbach. 1992. “The success of acquisitions: </w:t>
      </w:r>
      <w:r w:rsidR="008810DD" w:rsidRPr="00AF2689">
        <w:rPr>
          <w:sz w:val="24"/>
        </w:rPr>
        <w:t>E</w:t>
      </w:r>
      <w:r w:rsidRPr="00CF7500">
        <w:rPr>
          <w:sz w:val="24"/>
        </w:rPr>
        <w:t xml:space="preserve">vidence from divestitures”. </w:t>
      </w:r>
      <w:r w:rsidRPr="00CF7500">
        <w:rPr>
          <w:i/>
          <w:sz w:val="24"/>
        </w:rPr>
        <w:t>The Journal of Finance</w:t>
      </w:r>
      <w:r w:rsidR="00077F70" w:rsidRPr="00AF2689">
        <w:rPr>
          <w:sz w:val="24"/>
        </w:rPr>
        <w:t>.</w:t>
      </w:r>
      <w:r w:rsidR="00141273" w:rsidRPr="00AF2689">
        <w:rPr>
          <w:sz w:val="24"/>
        </w:rPr>
        <w:t xml:space="preserve"> 4</w:t>
      </w:r>
      <w:r w:rsidRPr="00CF7500">
        <w:rPr>
          <w:sz w:val="24"/>
        </w:rPr>
        <w:t>7</w:t>
      </w:r>
      <w:r w:rsidR="00D23108" w:rsidRPr="00AF2689">
        <w:rPr>
          <w:sz w:val="24"/>
        </w:rPr>
        <w:t>(1)</w:t>
      </w:r>
      <w:r w:rsidRPr="00CF7500">
        <w:rPr>
          <w:sz w:val="24"/>
        </w:rPr>
        <w:t>: 107</w:t>
      </w:r>
      <w:r w:rsidR="00D23108" w:rsidRPr="00AF2689">
        <w:rPr>
          <w:sz w:val="24"/>
        </w:rPr>
        <w:t>-138</w:t>
      </w:r>
      <w:r w:rsidRPr="00CF7500">
        <w:rPr>
          <w:sz w:val="24"/>
        </w:rPr>
        <w:t>.</w:t>
      </w:r>
    </w:p>
    <w:p w14:paraId="468FE4E1" w14:textId="3B6AB65B"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Kaufman, A. and </w:t>
      </w:r>
      <w:r w:rsidR="006A04E1" w:rsidRPr="00AF2689">
        <w:rPr>
          <w:sz w:val="24"/>
        </w:rPr>
        <w:t>E.</w:t>
      </w:r>
      <w:r w:rsidRPr="00CF7500">
        <w:rPr>
          <w:sz w:val="24"/>
        </w:rPr>
        <w:t xml:space="preserve"> Englander. 1993. “Kohlberg, Kravis Roberts and Co. and the </w:t>
      </w:r>
      <w:r w:rsidR="008810DD" w:rsidRPr="00AF2689">
        <w:rPr>
          <w:sz w:val="24"/>
        </w:rPr>
        <w:t>r</w:t>
      </w:r>
      <w:r w:rsidRPr="00CF7500">
        <w:rPr>
          <w:sz w:val="24"/>
        </w:rPr>
        <w:t xml:space="preserve">estructuring of American </w:t>
      </w:r>
      <w:r w:rsidR="008810DD" w:rsidRPr="00AF2689">
        <w:rPr>
          <w:sz w:val="24"/>
        </w:rPr>
        <w:t>c</w:t>
      </w:r>
      <w:r w:rsidRPr="00CF7500">
        <w:rPr>
          <w:sz w:val="24"/>
        </w:rPr>
        <w:t xml:space="preserve">apitalism”. </w:t>
      </w:r>
      <w:r w:rsidRPr="00CF7500">
        <w:rPr>
          <w:i/>
          <w:sz w:val="24"/>
        </w:rPr>
        <w:t>Business History Review</w:t>
      </w:r>
      <w:r w:rsidR="00994B38" w:rsidRPr="00AF2689">
        <w:rPr>
          <w:sz w:val="24"/>
        </w:rPr>
        <w:t>. 6</w:t>
      </w:r>
      <w:r w:rsidRPr="00CF7500">
        <w:rPr>
          <w:sz w:val="24"/>
        </w:rPr>
        <w:t>7</w:t>
      </w:r>
      <w:r w:rsidR="00CD1425" w:rsidRPr="00AF2689">
        <w:rPr>
          <w:sz w:val="24"/>
        </w:rPr>
        <w:t>(</w:t>
      </w:r>
      <w:r w:rsidRPr="00CF7500">
        <w:rPr>
          <w:sz w:val="24"/>
        </w:rPr>
        <w:t>1</w:t>
      </w:r>
      <w:r w:rsidR="00AA5369" w:rsidRPr="00AF2689">
        <w:rPr>
          <w:sz w:val="24"/>
        </w:rPr>
        <w:t>)</w:t>
      </w:r>
      <w:r w:rsidRPr="00CF7500">
        <w:rPr>
          <w:sz w:val="24"/>
        </w:rPr>
        <w:t>: 52</w:t>
      </w:r>
      <w:r w:rsidR="00744447" w:rsidRPr="00AF2689">
        <w:rPr>
          <w:sz w:val="24"/>
        </w:rPr>
        <w:t>-</w:t>
      </w:r>
      <w:r w:rsidRPr="00CF7500">
        <w:rPr>
          <w:sz w:val="24"/>
        </w:rPr>
        <w:t>97.</w:t>
      </w:r>
    </w:p>
    <w:p w14:paraId="194C74CA" w14:textId="23B53E0D"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Kester, W. C. C. and </w:t>
      </w:r>
      <w:r w:rsidR="006A04E1" w:rsidRPr="00AF2689">
        <w:rPr>
          <w:sz w:val="24"/>
        </w:rPr>
        <w:t>T. A.</w:t>
      </w:r>
      <w:r w:rsidRPr="00CF7500">
        <w:rPr>
          <w:sz w:val="24"/>
        </w:rPr>
        <w:t xml:space="preserve"> Luehrman. 1995. “Rehabilitating the leveraged buyout”. </w:t>
      </w:r>
      <w:r w:rsidRPr="00CF7500">
        <w:rPr>
          <w:i/>
          <w:sz w:val="24"/>
        </w:rPr>
        <w:t>Harvard Business Review</w:t>
      </w:r>
      <w:r w:rsidR="00994B38" w:rsidRPr="00AF2689">
        <w:rPr>
          <w:sz w:val="24"/>
        </w:rPr>
        <w:t>. 7</w:t>
      </w:r>
      <w:r w:rsidRPr="00CF7500">
        <w:rPr>
          <w:sz w:val="24"/>
        </w:rPr>
        <w:t>3</w:t>
      </w:r>
      <w:r w:rsidR="00CD1425" w:rsidRPr="00AF2689">
        <w:rPr>
          <w:sz w:val="24"/>
        </w:rPr>
        <w:t>(</w:t>
      </w:r>
      <w:r w:rsidR="00077F70" w:rsidRPr="00AF2689">
        <w:rPr>
          <w:sz w:val="24"/>
        </w:rPr>
        <w:t>3</w:t>
      </w:r>
      <w:r w:rsidR="00AA5369" w:rsidRPr="00AF2689">
        <w:rPr>
          <w:sz w:val="24"/>
        </w:rPr>
        <w:t>)</w:t>
      </w:r>
      <w:r w:rsidRPr="00CF7500">
        <w:rPr>
          <w:sz w:val="24"/>
        </w:rPr>
        <w:t>: 119</w:t>
      </w:r>
      <w:r w:rsidR="00744447" w:rsidRPr="00AF2689">
        <w:rPr>
          <w:sz w:val="24"/>
        </w:rPr>
        <w:t>-</w:t>
      </w:r>
      <w:r w:rsidRPr="00CF7500">
        <w:rPr>
          <w:sz w:val="24"/>
        </w:rPr>
        <w:t>130.</w:t>
      </w:r>
    </w:p>
    <w:p w14:paraId="25293630" w14:textId="035BE77E"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Klein, G. 2007. “Performing a project premortem”. </w:t>
      </w:r>
      <w:r w:rsidRPr="00CF7500">
        <w:rPr>
          <w:i/>
          <w:sz w:val="24"/>
        </w:rPr>
        <w:t>Harvard Business Review</w:t>
      </w:r>
      <w:r w:rsidR="00994B38" w:rsidRPr="00AF2689">
        <w:rPr>
          <w:sz w:val="24"/>
        </w:rPr>
        <w:t>. 8</w:t>
      </w:r>
      <w:r w:rsidRPr="00CF7500">
        <w:rPr>
          <w:sz w:val="24"/>
        </w:rPr>
        <w:t>5</w:t>
      </w:r>
      <w:r w:rsidR="00CD1425" w:rsidRPr="00AF2689">
        <w:rPr>
          <w:sz w:val="24"/>
        </w:rPr>
        <w:t>(</w:t>
      </w:r>
      <w:r w:rsidRPr="00CF7500">
        <w:rPr>
          <w:sz w:val="24"/>
        </w:rPr>
        <w:t>9</w:t>
      </w:r>
      <w:r w:rsidR="00AA5369" w:rsidRPr="00AF2689">
        <w:rPr>
          <w:sz w:val="24"/>
        </w:rPr>
        <w:t>)</w:t>
      </w:r>
      <w:r w:rsidRPr="00CF7500">
        <w:rPr>
          <w:sz w:val="24"/>
        </w:rPr>
        <w:t>: 18</w:t>
      </w:r>
      <w:r w:rsidR="00744447" w:rsidRPr="00AF2689">
        <w:rPr>
          <w:sz w:val="24"/>
        </w:rPr>
        <w:t>-</w:t>
      </w:r>
      <w:r w:rsidRPr="00CF7500">
        <w:rPr>
          <w:sz w:val="24"/>
        </w:rPr>
        <w:t>19.</w:t>
      </w:r>
    </w:p>
    <w:p w14:paraId="391089E2" w14:textId="7DFBCAEA" w:rsidR="00676F76" w:rsidRPr="00CF7500" w:rsidRDefault="008C31C9" w:rsidP="00CF7500">
      <w:pPr>
        <w:pStyle w:val="Refs"/>
        <w:numPr>
          <w:ilvl w:val="0"/>
          <w:numId w:val="0"/>
        </w:numPr>
        <w:ind w:left="170" w:hanging="425"/>
        <w:rPr>
          <w:sz w:val="24"/>
        </w:rPr>
      </w:pPr>
      <w:r w:rsidRPr="00CF7500">
        <w:rPr>
          <w:sz w:val="24"/>
        </w:rPr>
        <w:t>Lerner, J</w:t>
      </w:r>
      <w:r w:rsidR="000C429E" w:rsidRPr="00AF2689">
        <w:rPr>
          <w:sz w:val="24"/>
        </w:rPr>
        <w:t>.</w:t>
      </w:r>
      <w:r w:rsidRPr="00CF7500">
        <w:rPr>
          <w:sz w:val="24"/>
        </w:rPr>
        <w:t xml:space="preserve">, A. Schoar, and W. Wongsunwai. 2007. “Smart institutions, foolish choices: </w:t>
      </w:r>
      <w:r w:rsidR="008810DD" w:rsidRPr="00AF2689">
        <w:rPr>
          <w:sz w:val="24"/>
        </w:rPr>
        <w:t>T</w:t>
      </w:r>
      <w:r w:rsidRPr="00CF7500">
        <w:rPr>
          <w:sz w:val="24"/>
        </w:rPr>
        <w:t xml:space="preserve">he limited partner performance puzzle”. </w:t>
      </w:r>
      <w:r w:rsidRPr="00CF7500">
        <w:rPr>
          <w:i/>
          <w:sz w:val="24"/>
        </w:rPr>
        <w:t>Journal of Finance</w:t>
      </w:r>
      <w:r w:rsidR="00C53879" w:rsidRPr="00AF2689">
        <w:rPr>
          <w:i/>
          <w:sz w:val="24"/>
        </w:rPr>
        <w:t>.</w:t>
      </w:r>
      <w:r w:rsidRPr="00CF7500">
        <w:rPr>
          <w:sz w:val="24"/>
        </w:rPr>
        <w:t xml:space="preserve"> 62</w:t>
      </w:r>
      <w:r w:rsidR="00DF719C" w:rsidRPr="00AF2689">
        <w:rPr>
          <w:sz w:val="24"/>
        </w:rPr>
        <w:t>(2)</w:t>
      </w:r>
      <w:r w:rsidRPr="00CF7500">
        <w:rPr>
          <w:sz w:val="24"/>
        </w:rPr>
        <w:t>: 731-764.</w:t>
      </w:r>
    </w:p>
    <w:p w14:paraId="4A8670A7" w14:textId="3C35A435" w:rsidR="00676F76" w:rsidRPr="00AF2689" w:rsidRDefault="008C31C9" w:rsidP="00CF7500">
      <w:pPr>
        <w:pStyle w:val="Refs"/>
        <w:numPr>
          <w:ilvl w:val="0"/>
          <w:numId w:val="0"/>
        </w:numPr>
        <w:tabs>
          <w:tab w:val="left" w:pos="709"/>
        </w:tabs>
        <w:ind w:left="170" w:hanging="425"/>
        <w:rPr>
          <w:sz w:val="24"/>
        </w:rPr>
      </w:pPr>
      <w:r w:rsidRPr="00CF7500">
        <w:rPr>
          <w:sz w:val="24"/>
        </w:rPr>
        <w:t xml:space="preserve">Lerner, J., M. Sorensen, and P. Stromberg. 2011. “Private equity and long-run investment: The case of innovation”. </w:t>
      </w:r>
      <w:r w:rsidRPr="00CF7500">
        <w:rPr>
          <w:i/>
          <w:sz w:val="24"/>
        </w:rPr>
        <w:t>Journal of Finance</w:t>
      </w:r>
      <w:r w:rsidRPr="00CF7500">
        <w:rPr>
          <w:sz w:val="24"/>
        </w:rPr>
        <w:t>. 66(2): 445</w:t>
      </w:r>
      <w:r w:rsidR="00744447" w:rsidRPr="00AF2689">
        <w:rPr>
          <w:sz w:val="24"/>
        </w:rPr>
        <w:t>-</w:t>
      </w:r>
      <w:r w:rsidRPr="00CF7500">
        <w:rPr>
          <w:sz w:val="24"/>
        </w:rPr>
        <w:t>477.</w:t>
      </w:r>
    </w:p>
    <w:p w14:paraId="229C906F" w14:textId="70E95CD8"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Lichtenberg, F. R., and Siegel, D. S. 1990. “The effects of leveraged buyouts on productivity and related aspects of firm behavior”. </w:t>
      </w:r>
      <w:r w:rsidRPr="00CF7500">
        <w:rPr>
          <w:i/>
          <w:sz w:val="24"/>
        </w:rPr>
        <w:t>Journal of Financial Economics</w:t>
      </w:r>
      <w:r w:rsidR="007648BD" w:rsidRPr="00AF2689">
        <w:rPr>
          <w:sz w:val="24"/>
        </w:rPr>
        <w:t>. 2</w:t>
      </w:r>
      <w:r w:rsidRPr="00CF7500">
        <w:rPr>
          <w:sz w:val="24"/>
        </w:rPr>
        <w:t>7(1): 165-194.</w:t>
      </w:r>
    </w:p>
    <w:p w14:paraId="6B5DBD07" w14:textId="7ADD70FC"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Lieber, D. 2004. </w:t>
      </w:r>
      <w:r w:rsidR="001C5FF4" w:rsidRPr="00AF2689">
        <w:rPr>
          <w:sz w:val="24"/>
        </w:rPr>
        <w:t>“</w:t>
      </w:r>
      <w:r w:rsidRPr="00CF7500">
        <w:rPr>
          <w:sz w:val="24"/>
        </w:rPr>
        <w:t xml:space="preserve">Proactive portfolio management: </w:t>
      </w:r>
      <w:r w:rsidR="00336EC2" w:rsidRPr="00AF2689">
        <w:rPr>
          <w:sz w:val="24"/>
        </w:rPr>
        <w:t>M</w:t>
      </w:r>
      <w:r w:rsidRPr="00CF7500">
        <w:rPr>
          <w:sz w:val="24"/>
        </w:rPr>
        <w:t>anage now to realize returns later</w:t>
      </w:r>
      <w:r w:rsidR="001C5FF4" w:rsidRPr="00AF2689">
        <w:rPr>
          <w:sz w:val="24"/>
        </w:rPr>
        <w:t>”</w:t>
      </w:r>
      <w:r w:rsidRPr="00CF7500">
        <w:rPr>
          <w:sz w:val="24"/>
        </w:rPr>
        <w:t xml:space="preserve">. </w:t>
      </w:r>
      <w:r w:rsidRPr="00CF7500">
        <w:rPr>
          <w:i/>
          <w:sz w:val="24"/>
        </w:rPr>
        <w:t>The Journal of Private Equity</w:t>
      </w:r>
      <w:r w:rsidR="00C53879" w:rsidRPr="00AF2689">
        <w:rPr>
          <w:sz w:val="24"/>
        </w:rPr>
        <w:t>.</w:t>
      </w:r>
      <w:r w:rsidRPr="00CF7500">
        <w:rPr>
          <w:sz w:val="24"/>
        </w:rPr>
        <w:t xml:space="preserve"> 72-82.</w:t>
      </w:r>
    </w:p>
    <w:p w14:paraId="0629930F" w14:textId="27DD8893"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Lockett, A., Murray, G., and Wright, M. 2002. </w:t>
      </w:r>
      <w:r w:rsidR="001C5FF4" w:rsidRPr="00AF2689">
        <w:rPr>
          <w:sz w:val="24"/>
        </w:rPr>
        <w:t>“</w:t>
      </w:r>
      <w:r w:rsidRPr="00CF7500">
        <w:rPr>
          <w:sz w:val="24"/>
        </w:rPr>
        <w:t>Do UK venture capitalists still have a bias against investment in new technology firms</w:t>
      </w:r>
      <w:r w:rsidR="001C5FF4" w:rsidRPr="00AF2689">
        <w:rPr>
          <w:sz w:val="24"/>
        </w:rPr>
        <w:t>”</w:t>
      </w:r>
      <w:r w:rsidRPr="00CF7500">
        <w:rPr>
          <w:sz w:val="24"/>
        </w:rPr>
        <w:t xml:space="preserve">. </w:t>
      </w:r>
      <w:r w:rsidRPr="00CF7500">
        <w:rPr>
          <w:i/>
          <w:sz w:val="24"/>
        </w:rPr>
        <w:t>Research Policy</w:t>
      </w:r>
      <w:r w:rsidR="007648BD" w:rsidRPr="00AF2689">
        <w:rPr>
          <w:sz w:val="24"/>
        </w:rPr>
        <w:t>. 3</w:t>
      </w:r>
      <w:r w:rsidRPr="00CF7500">
        <w:rPr>
          <w:sz w:val="24"/>
        </w:rPr>
        <w:t>1</w:t>
      </w:r>
      <w:r w:rsidR="00CD1425" w:rsidRPr="00AF2689">
        <w:rPr>
          <w:sz w:val="24"/>
        </w:rPr>
        <w:t>(</w:t>
      </w:r>
      <w:r w:rsidRPr="00CF7500">
        <w:rPr>
          <w:sz w:val="24"/>
        </w:rPr>
        <w:t>6</w:t>
      </w:r>
      <w:r w:rsidR="00AA5369" w:rsidRPr="00AF2689">
        <w:rPr>
          <w:sz w:val="24"/>
        </w:rPr>
        <w:t>)</w:t>
      </w:r>
      <w:r w:rsidRPr="00CF7500">
        <w:rPr>
          <w:sz w:val="24"/>
        </w:rPr>
        <w:t>: 1009</w:t>
      </w:r>
      <w:r w:rsidR="00744447" w:rsidRPr="00AF2689">
        <w:rPr>
          <w:sz w:val="24"/>
        </w:rPr>
        <w:t>-</w:t>
      </w:r>
      <w:r w:rsidRPr="00CF7500">
        <w:rPr>
          <w:sz w:val="24"/>
        </w:rPr>
        <w:t xml:space="preserve">1030. </w:t>
      </w:r>
    </w:p>
    <w:p w14:paraId="03FB4DF1" w14:textId="03911F06"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Lockett, A., </w:t>
      </w:r>
      <w:r w:rsidR="00275FAE" w:rsidRPr="00AF2689">
        <w:rPr>
          <w:sz w:val="24"/>
        </w:rPr>
        <w:t xml:space="preserve">M. </w:t>
      </w:r>
      <w:r w:rsidRPr="00CF7500">
        <w:rPr>
          <w:sz w:val="24"/>
        </w:rPr>
        <w:t xml:space="preserve">Wright, </w:t>
      </w:r>
      <w:r w:rsidR="00275FAE" w:rsidRPr="00AF2689">
        <w:rPr>
          <w:sz w:val="24"/>
        </w:rPr>
        <w:t xml:space="preserve">A. </w:t>
      </w:r>
      <w:r w:rsidRPr="00CF7500">
        <w:rPr>
          <w:sz w:val="24"/>
        </w:rPr>
        <w:t xml:space="preserve">Burrows, </w:t>
      </w:r>
      <w:r w:rsidR="00275FAE" w:rsidRPr="00AF2689">
        <w:rPr>
          <w:sz w:val="24"/>
        </w:rPr>
        <w:t xml:space="preserve">L. </w:t>
      </w:r>
      <w:r w:rsidRPr="00CF7500">
        <w:rPr>
          <w:sz w:val="24"/>
        </w:rPr>
        <w:t xml:space="preserve">Scholes, and </w:t>
      </w:r>
      <w:r w:rsidR="00275FAE" w:rsidRPr="00AF2689">
        <w:rPr>
          <w:sz w:val="24"/>
        </w:rPr>
        <w:t xml:space="preserve">D. </w:t>
      </w:r>
      <w:r w:rsidRPr="00CF7500">
        <w:rPr>
          <w:sz w:val="24"/>
        </w:rPr>
        <w:t xml:space="preserve">Paton. 2008. </w:t>
      </w:r>
      <w:r w:rsidR="001C5FF4" w:rsidRPr="00AF2689">
        <w:rPr>
          <w:sz w:val="24"/>
        </w:rPr>
        <w:t>“</w:t>
      </w:r>
      <w:r w:rsidRPr="00CF7500">
        <w:rPr>
          <w:sz w:val="24"/>
        </w:rPr>
        <w:t>Export intensity of venture capital backed companies</w:t>
      </w:r>
      <w:r w:rsidR="001C5FF4" w:rsidRPr="00AF2689">
        <w:rPr>
          <w:sz w:val="24"/>
        </w:rPr>
        <w:t>”</w:t>
      </w:r>
      <w:r w:rsidRPr="00CF7500">
        <w:rPr>
          <w:sz w:val="24"/>
        </w:rPr>
        <w:t xml:space="preserve">. </w:t>
      </w:r>
      <w:r w:rsidRPr="00CF7500">
        <w:rPr>
          <w:i/>
          <w:sz w:val="24"/>
        </w:rPr>
        <w:t>Small Business Economics</w:t>
      </w:r>
      <w:r w:rsidR="007648BD" w:rsidRPr="00AF2689">
        <w:rPr>
          <w:sz w:val="24"/>
        </w:rPr>
        <w:t>. 3</w:t>
      </w:r>
      <w:r w:rsidRPr="00CF7500">
        <w:rPr>
          <w:sz w:val="24"/>
        </w:rPr>
        <w:t>1(1)</w:t>
      </w:r>
      <w:r w:rsidR="007648BD" w:rsidRPr="00AF2689">
        <w:rPr>
          <w:sz w:val="24"/>
        </w:rPr>
        <w:t>:</w:t>
      </w:r>
      <w:r w:rsidRPr="00CF7500">
        <w:rPr>
          <w:sz w:val="24"/>
        </w:rPr>
        <w:t xml:space="preserve"> 39-58.</w:t>
      </w:r>
    </w:p>
    <w:p w14:paraId="5AE9BF76" w14:textId="77777777"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Loos, N. 2006. </w:t>
      </w:r>
      <w:r w:rsidRPr="00CF7500">
        <w:rPr>
          <w:i/>
          <w:sz w:val="24"/>
        </w:rPr>
        <w:t>Value creation in leveraged buyouts</w:t>
      </w:r>
      <w:r w:rsidRPr="00CF7500">
        <w:rPr>
          <w:sz w:val="24"/>
        </w:rPr>
        <w:t>. University of St. Gallen, Switzerland.</w:t>
      </w:r>
    </w:p>
    <w:p w14:paraId="5462F273" w14:textId="037343CC"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Lopez-de-Silanes, F., L. Phalippou, and O. Gottschalg. 2015. </w:t>
      </w:r>
      <w:r w:rsidR="001C5FF4" w:rsidRPr="00AF2689">
        <w:rPr>
          <w:sz w:val="24"/>
        </w:rPr>
        <w:t>“</w:t>
      </w:r>
      <w:r w:rsidRPr="00CF7500">
        <w:rPr>
          <w:sz w:val="24"/>
        </w:rPr>
        <w:t xml:space="preserve">Giants at the gate: </w:t>
      </w:r>
      <w:r w:rsidR="00336EC2" w:rsidRPr="00AF2689">
        <w:rPr>
          <w:sz w:val="24"/>
        </w:rPr>
        <w:t>I</w:t>
      </w:r>
      <w:r w:rsidRPr="00CF7500">
        <w:rPr>
          <w:sz w:val="24"/>
        </w:rPr>
        <w:t>nvestment returns and diseconomies of scale in private equity</w:t>
      </w:r>
      <w:r w:rsidR="001C5FF4" w:rsidRPr="00AF2689">
        <w:rPr>
          <w:sz w:val="24"/>
        </w:rPr>
        <w:t>”</w:t>
      </w:r>
      <w:r w:rsidRPr="00CF7500">
        <w:rPr>
          <w:sz w:val="24"/>
        </w:rPr>
        <w:t xml:space="preserve">. </w:t>
      </w:r>
      <w:r w:rsidRPr="00CF7500">
        <w:rPr>
          <w:i/>
          <w:sz w:val="24"/>
        </w:rPr>
        <w:t>Journal of Financial and Quantitative Analysis</w:t>
      </w:r>
      <w:r w:rsidR="00C53879" w:rsidRPr="00AF2689">
        <w:rPr>
          <w:i/>
          <w:sz w:val="24"/>
        </w:rPr>
        <w:t>.</w:t>
      </w:r>
      <w:r w:rsidRPr="00CF7500">
        <w:rPr>
          <w:sz w:val="24"/>
        </w:rPr>
        <w:t xml:space="preserve"> 50</w:t>
      </w:r>
      <w:r w:rsidR="00DF719C" w:rsidRPr="00AF2689">
        <w:rPr>
          <w:sz w:val="24"/>
        </w:rPr>
        <w:t>(3)</w:t>
      </w:r>
      <w:r w:rsidRPr="00CF7500">
        <w:rPr>
          <w:sz w:val="24"/>
        </w:rPr>
        <w:t>: 377</w:t>
      </w:r>
      <w:r w:rsidR="00744447" w:rsidRPr="00AF2689">
        <w:rPr>
          <w:sz w:val="24"/>
        </w:rPr>
        <w:t>-</w:t>
      </w:r>
      <w:r w:rsidRPr="00CF7500">
        <w:rPr>
          <w:sz w:val="24"/>
        </w:rPr>
        <w:t>411</w:t>
      </w:r>
      <w:r w:rsidR="00C53879" w:rsidRPr="00AF2689">
        <w:rPr>
          <w:sz w:val="24"/>
        </w:rPr>
        <w:t>.</w:t>
      </w:r>
    </w:p>
    <w:p w14:paraId="72FC04C9" w14:textId="3B934A78"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Lowenstein, L. 1985. </w:t>
      </w:r>
      <w:r w:rsidR="005A2D2A" w:rsidRPr="00AF2689">
        <w:rPr>
          <w:sz w:val="24"/>
        </w:rPr>
        <w:t>“</w:t>
      </w:r>
      <w:r w:rsidRPr="00CF7500">
        <w:rPr>
          <w:sz w:val="24"/>
        </w:rPr>
        <w:t>Management buyouts</w:t>
      </w:r>
      <w:r w:rsidR="005A2D2A" w:rsidRPr="00AF2689">
        <w:rPr>
          <w:sz w:val="24"/>
        </w:rPr>
        <w:t>”</w:t>
      </w:r>
      <w:r w:rsidRPr="00CF7500">
        <w:rPr>
          <w:sz w:val="24"/>
        </w:rPr>
        <w:t xml:space="preserve">. </w:t>
      </w:r>
      <w:r w:rsidRPr="00CF7500">
        <w:rPr>
          <w:i/>
          <w:sz w:val="24"/>
        </w:rPr>
        <w:t>Columbia Law Review</w:t>
      </w:r>
      <w:r w:rsidR="00994B38" w:rsidRPr="00AF2689">
        <w:rPr>
          <w:sz w:val="24"/>
        </w:rPr>
        <w:t>. 8</w:t>
      </w:r>
      <w:r w:rsidRPr="00CF7500">
        <w:rPr>
          <w:sz w:val="24"/>
        </w:rPr>
        <w:t>5</w:t>
      </w:r>
      <w:r w:rsidR="00CD1425" w:rsidRPr="00AF2689">
        <w:rPr>
          <w:sz w:val="24"/>
        </w:rPr>
        <w:t>(</w:t>
      </w:r>
      <w:r w:rsidRPr="00CF7500">
        <w:rPr>
          <w:sz w:val="24"/>
        </w:rPr>
        <w:t>4</w:t>
      </w:r>
      <w:r w:rsidR="00AA5369" w:rsidRPr="00AF2689">
        <w:rPr>
          <w:sz w:val="24"/>
        </w:rPr>
        <w:t>)</w:t>
      </w:r>
      <w:r w:rsidRPr="00CF7500">
        <w:rPr>
          <w:sz w:val="24"/>
        </w:rPr>
        <w:t>: 730</w:t>
      </w:r>
      <w:r w:rsidR="00744447" w:rsidRPr="00AF2689">
        <w:rPr>
          <w:sz w:val="24"/>
        </w:rPr>
        <w:t>-</w:t>
      </w:r>
      <w:r w:rsidRPr="00CF7500">
        <w:rPr>
          <w:sz w:val="24"/>
        </w:rPr>
        <w:t>784.</w:t>
      </w:r>
    </w:p>
    <w:p w14:paraId="49507926" w14:textId="3BB4A110"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Magowan, P. A. 1989. </w:t>
      </w:r>
      <w:r w:rsidR="001C326B" w:rsidRPr="00AF2689">
        <w:rPr>
          <w:sz w:val="24"/>
        </w:rPr>
        <w:t>“</w:t>
      </w:r>
      <w:r w:rsidRPr="00CF7500">
        <w:rPr>
          <w:sz w:val="24"/>
        </w:rPr>
        <w:t xml:space="preserve">The </w:t>
      </w:r>
      <w:r w:rsidR="00336EC2" w:rsidRPr="00AF2689">
        <w:rPr>
          <w:sz w:val="24"/>
        </w:rPr>
        <w:t>c</w:t>
      </w:r>
      <w:r w:rsidRPr="00CF7500">
        <w:rPr>
          <w:sz w:val="24"/>
        </w:rPr>
        <w:t xml:space="preserve">ase for LBOs: The Safeway </w:t>
      </w:r>
      <w:r w:rsidR="001F1763" w:rsidRPr="00AF2689">
        <w:rPr>
          <w:sz w:val="24"/>
        </w:rPr>
        <w:t>e</w:t>
      </w:r>
      <w:r w:rsidRPr="00CF7500">
        <w:rPr>
          <w:sz w:val="24"/>
        </w:rPr>
        <w:t>xperience</w:t>
      </w:r>
      <w:r w:rsidR="001C326B" w:rsidRPr="00AF2689">
        <w:rPr>
          <w:sz w:val="24"/>
        </w:rPr>
        <w:t>”</w:t>
      </w:r>
      <w:r w:rsidRPr="00CF7500">
        <w:rPr>
          <w:sz w:val="24"/>
        </w:rPr>
        <w:t xml:space="preserve">. </w:t>
      </w:r>
      <w:r w:rsidRPr="00CF7500">
        <w:rPr>
          <w:i/>
          <w:sz w:val="24"/>
        </w:rPr>
        <w:t>California Management Review</w:t>
      </w:r>
      <w:r w:rsidR="007648BD" w:rsidRPr="00AF2689">
        <w:rPr>
          <w:sz w:val="24"/>
        </w:rPr>
        <w:t>. 3</w:t>
      </w:r>
      <w:r w:rsidRPr="00CF7500">
        <w:rPr>
          <w:sz w:val="24"/>
        </w:rPr>
        <w:t>2</w:t>
      </w:r>
      <w:r w:rsidR="00DF719C" w:rsidRPr="00AF2689">
        <w:rPr>
          <w:sz w:val="24"/>
        </w:rPr>
        <w:t>(1)</w:t>
      </w:r>
      <w:r w:rsidRPr="00CF7500">
        <w:rPr>
          <w:sz w:val="24"/>
        </w:rPr>
        <w:t>: 9</w:t>
      </w:r>
      <w:r w:rsidR="00744447" w:rsidRPr="00AF2689">
        <w:rPr>
          <w:sz w:val="24"/>
        </w:rPr>
        <w:t>-</w:t>
      </w:r>
      <w:r w:rsidRPr="00CF7500">
        <w:rPr>
          <w:sz w:val="24"/>
        </w:rPr>
        <w:t>18.</w:t>
      </w:r>
    </w:p>
    <w:p w14:paraId="2F447076" w14:textId="0E6B5C53"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Malone, S. C. 1989. </w:t>
      </w:r>
      <w:r w:rsidR="001C326B" w:rsidRPr="00AF2689">
        <w:rPr>
          <w:sz w:val="24"/>
        </w:rPr>
        <w:t>“</w:t>
      </w:r>
      <w:r w:rsidRPr="00CF7500">
        <w:rPr>
          <w:sz w:val="24"/>
        </w:rPr>
        <w:t>Characteristics of smaller company leveraged buyouts</w:t>
      </w:r>
      <w:r w:rsidR="001C326B" w:rsidRPr="00AF2689">
        <w:rPr>
          <w:sz w:val="24"/>
        </w:rPr>
        <w:t>”</w:t>
      </w:r>
      <w:r w:rsidRPr="00CF7500">
        <w:rPr>
          <w:sz w:val="24"/>
        </w:rPr>
        <w:t xml:space="preserve">. </w:t>
      </w:r>
      <w:r w:rsidRPr="00CF7500">
        <w:rPr>
          <w:i/>
          <w:sz w:val="24"/>
        </w:rPr>
        <w:t>Journal of Business Venturing</w:t>
      </w:r>
      <w:r w:rsidR="00141273" w:rsidRPr="00AF2689">
        <w:rPr>
          <w:sz w:val="24"/>
        </w:rPr>
        <w:t>. 4</w:t>
      </w:r>
      <w:r w:rsidR="00843195" w:rsidRPr="00AF2689">
        <w:rPr>
          <w:sz w:val="24"/>
        </w:rPr>
        <w:t>(5)</w:t>
      </w:r>
      <w:r w:rsidRPr="00CF7500">
        <w:rPr>
          <w:sz w:val="24"/>
        </w:rPr>
        <w:t>: 345</w:t>
      </w:r>
      <w:r w:rsidR="00744447" w:rsidRPr="00AF2689">
        <w:rPr>
          <w:sz w:val="24"/>
        </w:rPr>
        <w:t>-</w:t>
      </w:r>
      <w:r w:rsidRPr="00CF7500">
        <w:rPr>
          <w:sz w:val="24"/>
        </w:rPr>
        <w:t>359.</w:t>
      </w:r>
    </w:p>
    <w:p w14:paraId="6F9B278C" w14:textId="0CF273D0"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Manne, H. G. 1965. </w:t>
      </w:r>
      <w:r w:rsidR="001C326B" w:rsidRPr="00AF2689">
        <w:rPr>
          <w:sz w:val="24"/>
        </w:rPr>
        <w:t>“</w:t>
      </w:r>
      <w:r w:rsidRPr="00CF7500">
        <w:rPr>
          <w:sz w:val="24"/>
        </w:rPr>
        <w:t>Mergers and the market for corporate control</w:t>
      </w:r>
      <w:r w:rsidR="001C326B" w:rsidRPr="00AF2689">
        <w:rPr>
          <w:sz w:val="24"/>
        </w:rPr>
        <w:t>”</w:t>
      </w:r>
      <w:r w:rsidRPr="00CF7500">
        <w:rPr>
          <w:sz w:val="24"/>
        </w:rPr>
        <w:t xml:space="preserve">. </w:t>
      </w:r>
      <w:r w:rsidRPr="00CF7500">
        <w:rPr>
          <w:i/>
          <w:sz w:val="24"/>
        </w:rPr>
        <w:t>Journal of Political Economy</w:t>
      </w:r>
      <w:r w:rsidR="00994B38" w:rsidRPr="00AF2689">
        <w:rPr>
          <w:sz w:val="24"/>
        </w:rPr>
        <w:t>. 7</w:t>
      </w:r>
      <w:r w:rsidRPr="00CF7500">
        <w:rPr>
          <w:sz w:val="24"/>
        </w:rPr>
        <w:t>3</w:t>
      </w:r>
      <w:r w:rsidR="00CD1425" w:rsidRPr="00AF2689">
        <w:rPr>
          <w:sz w:val="24"/>
        </w:rPr>
        <w:t>(</w:t>
      </w:r>
      <w:r w:rsidRPr="00CF7500">
        <w:rPr>
          <w:sz w:val="24"/>
        </w:rPr>
        <w:t>2</w:t>
      </w:r>
      <w:r w:rsidR="00AA5369" w:rsidRPr="00AF2689">
        <w:rPr>
          <w:sz w:val="24"/>
        </w:rPr>
        <w:t>)</w:t>
      </w:r>
      <w:r w:rsidRPr="00CF7500">
        <w:rPr>
          <w:sz w:val="24"/>
        </w:rPr>
        <w:t>: 110</w:t>
      </w:r>
      <w:r w:rsidR="00744447" w:rsidRPr="00AF2689">
        <w:rPr>
          <w:sz w:val="24"/>
        </w:rPr>
        <w:t>-</w:t>
      </w:r>
      <w:r w:rsidRPr="00CF7500">
        <w:rPr>
          <w:sz w:val="24"/>
        </w:rPr>
        <w:t>120.</w:t>
      </w:r>
    </w:p>
    <w:p w14:paraId="2E49070B" w14:textId="5918A80C"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Masulis, R. W. and </w:t>
      </w:r>
      <w:r w:rsidR="00DB264B" w:rsidRPr="00AF2689">
        <w:rPr>
          <w:sz w:val="24"/>
        </w:rPr>
        <w:t xml:space="preserve">R. S. </w:t>
      </w:r>
      <w:r w:rsidRPr="00CF7500">
        <w:rPr>
          <w:sz w:val="24"/>
        </w:rPr>
        <w:t xml:space="preserve">Thomas. 2009. </w:t>
      </w:r>
      <w:r w:rsidR="001C326B" w:rsidRPr="00AF2689">
        <w:rPr>
          <w:sz w:val="24"/>
        </w:rPr>
        <w:t>“</w:t>
      </w:r>
      <w:r w:rsidRPr="00CF7500">
        <w:rPr>
          <w:sz w:val="24"/>
        </w:rPr>
        <w:t>Does private equity create wealth? The effects of private equity and derivatives on corporate governance</w:t>
      </w:r>
      <w:r w:rsidR="001C326B" w:rsidRPr="00AF2689">
        <w:rPr>
          <w:sz w:val="24"/>
        </w:rPr>
        <w:t>”</w:t>
      </w:r>
      <w:r w:rsidRPr="00CF7500">
        <w:rPr>
          <w:sz w:val="24"/>
        </w:rPr>
        <w:t xml:space="preserve">. </w:t>
      </w:r>
      <w:r w:rsidRPr="00CF7500">
        <w:rPr>
          <w:i/>
          <w:sz w:val="24"/>
        </w:rPr>
        <w:t>The University of Chicago Law Review</w:t>
      </w:r>
      <w:r w:rsidR="00994B38" w:rsidRPr="00AF2689">
        <w:rPr>
          <w:sz w:val="24"/>
        </w:rPr>
        <w:t xml:space="preserve">. </w:t>
      </w:r>
      <w:r w:rsidRPr="00CF7500">
        <w:rPr>
          <w:sz w:val="24"/>
        </w:rPr>
        <w:t>219</w:t>
      </w:r>
      <w:r w:rsidR="00744447" w:rsidRPr="00AF2689">
        <w:rPr>
          <w:sz w:val="24"/>
        </w:rPr>
        <w:t>-</w:t>
      </w:r>
      <w:r w:rsidRPr="00CF7500">
        <w:rPr>
          <w:sz w:val="24"/>
        </w:rPr>
        <w:t>2</w:t>
      </w:r>
      <w:r w:rsidR="00843195" w:rsidRPr="00AF2689">
        <w:rPr>
          <w:sz w:val="24"/>
        </w:rPr>
        <w:t>59</w:t>
      </w:r>
      <w:r w:rsidRPr="00CF7500">
        <w:rPr>
          <w:sz w:val="24"/>
        </w:rPr>
        <w:t>.</w:t>
      </w:r>
    </w:p>
    <w:p w14:paraId="429FFB1A" w14:textId="6C4F5B0E"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Matthews, G., Bye, M., and </w:t>
      </w:r>
      <w:r w:rsidR="00936EF4" w:rsidRPr="00AF2689">
        <w:rPr>
          <w:sz w:val="24"/>
        </w:rPr>
        <w:t xml:space="preserve">J. </w:t>
      </w:r>
      <w:r w:rsidRPr="00CF7500">
        <w:rPr>
          <w:sz w:val="24"/>
        </w:rPr>
        <w:t>Howland</w:t>
      </w:r>
      <w:r w:rsidR="00936EF4" w:rsidRPr="00AF2689">
        <w:rPr>
          <w:sz w:val="24"/>
        </w:rPr>
        <w:t xml:space="preserve">. </w:t>
      </w:r>
      <w:r w:rsidRPr="00CF7500">
        <w:rPr>
          <w:sz w:val="24"/>
        </w:rPr>
        <w:t xml:space="preserve">2009. </w:t>
      </w:r>
      <w:r w:rsidR="001C326B" w:rsidRPr="00AF2689">
        <w:rPr>
          <w:sz w:val="24"/>
        </w:rPr>
        <w:t>“</w:t>
      </w:r>
      <w:r w:rsidRPr="00CF7500">
        <w:rPr>
          <w:sz w:val="24"/>
        </w:rPr>
        <w:t xml:space="preserve">Operational improvement: </w:t>
      </w:r>
      <w:r w:rsidR="001F1763" w:rsidRPr="00AF2689">
        <w:rPr>
          <w:sz w:val="24"/>
        </w:rPr>
        <w:t>T</w:t>
      </w:r>
      <w:r w:rsidRPr="00CF7500">
        <w:rPr>
          <w:sz w:val="24"/>
        </w:rPr>
        <w:t>he key to value creation in private equity</w:t>
      </w:r>
      <w:r w:rsidR="001C326B" w:rsidRPr="00AF2689">
        <w:rPr>
          <w:sz w:val="24"/>
        </w:rPr>
        <w:t>”</w:t>
      </w:r>
      <w:r w:rsidRPr="00CF7500">
        <w:rPr>
          <w:sz w:val="24"/>
        </w:rPr>
        <w:t xml:space="preserve">. </w:t>
      </w:r>
      <w:r w:rsidRPr="00CF7500">
        <w:rPr>
          <w:i/>
          <w:sz w:val="24"/>
        </w:rPr>
        <w:t>Journal of Applied Corporate Finance</w:t>
      </w:r>
      <w:r w:rsidR="007648BD" w:rsidRPr="00AF2689">
        <w:rPr>
          <w:sz w:val="24"/>
        </w:rPr>
        <w:t>. 2</w:t>
      </w:r>
      <w:r w:rsidRPr="00CF7500">
        <w:rPr>
          <w:sz w:val="24"/>
        </w:rPr>
        <w:t>1</w:t>
      </w:r>
      <w:r w:rsidR="00843195" w:rsidRPr="00AF2689">
        <w:rPr>
          <w:sz w:val="24"/>
        </w:rPr>
        <w:t>(3)</w:t>
      </w:r>
      <w:r w:rsidRPr="00CF7500">
        <w:rPr>
          <w:sz w:val="24"/>
        </w:rPr>
        <w:t>: 21</w:t>
      </w:r>
      <w:r w:rsidR="00744447" w:rsidRPr="00AF2689">
        <w:rPr>
          <w:sz w:val="24"/>
        </w:rPr>
        <w:t>-</w:t>
      </w:r>
      <w:r w:rsidRPr="00CF7500">
        <w:rPr>
          <w:sz w:val="24"/>
        </w:rPr>
        <w:t>27.</w:t>
      </w:r>
    </w:p>
    <w:p w14:paraId="0E70E093" w14:textId="3F8DB64B"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McGrath, R. G. and </w:t>
      </w:r>
      <w:r w:rsidR="00936EF4" w:rsidRPr="00AF2689">
        <w:rPr>
          <w:sz w:val="24"/>
        </w:rPr>
        <w:t xml:space="preserve">I. C. </w:t>
      </w:r>
      <w:r w:rsidRPr="00CF7500">
        <w:rPr>
          <w:sz w:val="24"/>
        </w:rPr>
        <w:t xml:space="preserve">MacMillan. 2005. </w:t>
      </w:r>
      <w:r w:rsidR="001C326B" w:rsidRPr="00AF2689">
        <w:rPr>
          <w:sz w:val="24"/>
        </w:rPr>
        <w:t>“</w:t>
      </w:r>
      <w:r w:rsidRPr="00CF7500">
        <w:rPr>
          <w:sz w:val="24"/>
        </w:rPr>
        <w:t xml:space="preserve">Market busting: </w:t>
      </w:r>
      <w:r w:rsidR="001F1763" w:rsidRPr="00AF2689">
        <w:rPr>
          <w:sz w:val="24"/>
        </w:rPr>
        <w:t>S</w:t>
      </w:r>
      <w:r w:rsidRPr="00CF7500">
        <w:rPr>
          <w:sz w:val="24"/>
        </w:rPr>
        <w:t>trategies for exceptional business growth</w:t>
      </w:r>
      <w:r w:rsidR="001C326B" w:rsidRPr="00AF2689">
        <w:rPr>
          <w:sz w:val="24"/>
        </w:rPr>
        <w:t>”</w:t>
      </w:r>
      <w:r w:rsidRPr="00CF7500">
        <w:rPr>
          <w:sz w:val="24"/>
        </w:rPr>
        <w:t xml:space="preserve">. </w:t>
      </w:r>
      <w:r w:rsidRPr="00CF7500">
        <w:rPr>
          <w:i/>
          <w:sz w:val="24"/>
        </w:rPr>
        <w:t>Harvard Business Review</w:t>
      </w:r>
      <w:r w:rsidR="00994B38" w:rsidRPr="00AF2689">
        <w:rPr>
          <w:sz w:val="24"/>
        </w:rPr>
        <w:t xml:space="preserve">. </w:t>
      </w:r>
      <w:r w:rsidR="007A44F1" w:rsidRPr="00AF2689">
        <w:rPr>
          <w:sz w:val="24"/>
        </w:rPr>
        <w:t>83(3):</w:t>
      </w:r>
      <w:r w:rsidR="00C53879" w:rsidRPr="00AF2689">
        <w:rPr>
          <w:sz w:val="24"/>
        </w:rPr>
        <w:t xml:space="preserve"> 80-89</w:t>
      </w:r>
      <w:r w:rsidRPr="00CF7500">
        <w:rPr>
          <w:sz w:val="24"/>
        </w:rPr>
        <w:t>.</w:t>
      </w:r>
    </w:p>
    <w:p w14:paraId="1B642FDC" w14:textId="163867EB"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Meerkatt, H., Rose, J.,</w:t>
      </w:r>
      <w:r w:rsidR="00B877DF" w:rsidRPr="00AF2689">
        <w:rPr>
          <w:sz w:val="24"/>
        </w:rPr>
        <w:t xml:space="preserve"> M. </w:t>
      </w:r>
      <w:r w:rsidRPr="00CF7500">
        <w:rPr>
          <w:sz w:val="24"/>
        </w:rPr>
        <w:t xml:space="preserve">Brigl, </w:t>
      </w:r>
      <w:r w:rsidR="00B877DF" w:rsidRPr="00AF2689">
        <w:rPr>
          <w:sz w:val="24"/>
        </w:rPr>
        <w:t>H</w:t>
      </w:r>
      <w:r w:rsidRPr="00CF7500">
        <w:rPr>
          <w:sz w:val="24"/>
        </w:rPr>
        <w:t xml:space="preserve">. Liechtenstein, </w:t>
      </w:r>
      <w:r w:rsidR="00936EF4" w:rsidRPr="00AF2689">
        <w:rPr>
          <w:sz w:val="24"/>
        </w:rPr>
        <w:t xml:space="preserve">M. J. </w:t>
      </w:r>
      <w:r w:rsidRPr="00CF7500">
        <w:rPr>
          <w:sz w:val="24"/>
        </w:rPr>
        <w:t xml:space="preserve">Prats. 2008. </w:t>
      </w:r>
      <w:r w:rsidR="001C326B" w:rsidRPr="00AF2689">
        <w:rPr>
          <w:sz w:val="24"/>
        </w:rPr>
        <w:t>“</w:t>
      </w:r>
      <w:r w:rsidRPr="00CF7500">
        <w:rPr>
          <w:sz w:val="24"/>
        </w:rPr>
        <w:t xml:space="preserve">The advantage of persistence: </w:t>
      </w:r>
      <w:r w:rsidR="001F1763" w:rsidRPr="00AF2689">
        <w:rPr>
          <w:sz w:val="24"/>
        </w:rPr>
        <w:t>H</w:t>
      </w:r>
      <w:r w:rsidRPr="00CF7500">
        <w:rPr>
          <w:sz w:val="24"/>
        </w:rPr>
        <w:t xml:space="preserve">ow the best private-equity firms </w:t>
      </w:r>
      <w:r w:rsidR="007437A0" w:rsidRPr="00AF2689">
        <w:rPr>
          <w:sz w:val="24"/>
        </w:rPr>
        <w:t>‘</w:t>
      </w:r>
      <w:r w:rsidRPr="00CF7500">
        <w:rPr>
          <w:sz w:val="24"/>
        </w:rPr>
        <w:t>beat the fade</w:t>
      </w:r>
      <w:r w:rsidR="007437A0" w:rsidRPr="00AF2689">
        <w:rPr>
          <w:sz w:val="24"/>
        </w:rPr>
        <w:t>’</w:t>
      </w:r>
      <w:r w:rsidR="003249E3" w:rsidRPr="00AF2689">
        <w:rPr>
          <w:sz w:val="24"/>
        </w:rPr>
        <w:t>”</w:t>
      </w:r>
      <w:r w:rsidR="007437A0" w:rsidRPr="00AF2689">
        <w:rPr>
          <w:sz w:val="24"/>
        </w:rPr>
        <w:t>.</w:t>
      </w:r>
      <w:r w:rsidRPr="00CF7500">
        <w:rPr>
          <w:sz w:val="24"/>
        </w:rPr>
        <w:t xml:space="preserve"> </w:t>
      </w:r>
      <w:r w:rsidRPr="00CF7500">
        <w:rPr>
          <w:i/>
          <w:sz w:val="24"/>
        </w:rPr>
        <w:t>IESE Insight and BCG Perspectives</w:t>
      </w:r>
      <w:r w:rsidRPr="00CF7500">
        <w:rPr>
          <w:sz w:val="24"/>
        </w:rPr>
        <w:t>.</w:t>
      </w:r>
    </w:p>
    <w:p w14:paraId="6D8CD732" w14:textId="3070BC4B"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Metrick, A. and </w:t>
      </w:r>
      <w:r w:rsidR="004D4EAB" w:rsidRPr="00AF2689">
        <w:rPr>
          <w:sz w:val="24"/>
        </w:rPr>
        <w:t>A.</w:t>
      </w:r>
      <w:r w:rsidRPr="00CF7500">
        <w:rPr>
          <w:sz w:val="24"/>
        </w:rPr>
        <w:t xml:space="preserve"> Yasuda. 2010. </w:t>
      </w:r>
      <w:r w:rsidR="003249E3" w:rsidRPr="00AF2689">
        <w:rPr>
          <w:sz w:val="24"/>
        </w:rPr>
        <w:t>“</w:t>
      </w:r>
      <w:r w:rsidR="008846F1" w:rsidRPr="00AF2689">
        <w:rPr>
          <w:sz w:val="24"/>
        </w:rPr>
        <w:t xml:space="preserve">The </w:t>
      </w:r>
      <w:r w:rsidRPr="00CF7500">
        <w:rPr>
          <w:sz w:val="24"/>
        </w:rPr>
        <w:t>economics of private equity funds</w:t>
      </w:r>
      <w:r w:rsidR="003249E3" w:rsidRPr="00AF2689">
        <w:rPr>
          <w:sz w:val="24"/>
        </w:rPr>
        <w:t>”</w:t>
      </w:r>
      <w:r w:rsidRPr="00CF7500">
        <w:rPr>
          <w:sz w:val="24"/>
        </w:rPr>
        <w:t xml:space="preserve">. </w:t>
      </w:r>
      <w:r w:rsidRPr="00CF7500">
        <w:rPr>
          <w:i/>
          <w:sz w:val="24"/>
        </w:rPr>
        <w:t>The Review of Financial Studies</w:t>
      </w:r>
      <w:r w:rsidR="007648BD" w:rsidRPr="00AF2689">
        <w:rPr>
          <w:sz w:val="24"/>
        </w:rPr>
        <w:t>. 2</w:t>
      </w:r>
      <w:r w:rsidRPr="00CF7500">
        <w:rPr>
          <w:sz w:val="24"/>
        </w:rPr>
        <w:t>3</w:t>
      </w:r>
      <w:r w:rsidR="00843195" w:rsidRPr="00AF2689">
        <w:rPr>
          <w:sz w:val="24"/>
        </w:rPr>
        <w:t>(6)</w:t>
      </w:r>
      <w:r w:rsidRPr="00CF7500">
        <w:rPr>
          <w:sz w:val="24"/>
        </w:rPr>
        <w:t>: 2303</w:t>
      </w:r>
      <w:r w:rsidR="00744447" w:rsidRPr="00AF2689">
        <w:rPr>
          <w:sz w:val="24"/>
        </w:rPr>
        <w:t>-</w:t>
      </w:r>
      <w:r w:rsidRPr="00CF7500">
        <w:rPr>
          <w:sz w:val="24"/>
        </w:rPr>
        <w:t>2341.</w:t>
      </w:r>
    </w:p>
    <w:p w14:paraId="4F2895EB" w14:textId="34C70090"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Meuleman, M., </w:t>
      </w:r>
      <w:r w:rsidR="004D4EAB" w:rsidRPr="00AF2689">
        <w:rPr>
          <w:sz w:val="24"/>
        </w:rPr>
        <w:t xml:space="preserve">K. </w:t>
      </w:r>
      <w:r w:rsidRPr="00CF7500">
        <w:rPr>
          <w:sz w:val="24"/>
        </w:rPr>
        <w:t xml:space="preserve">Amess, </w:t>
      </w:r>
      <w:r w:rsidR="004D4EAB" w:rsidRPr="00AF2689">
        <w:rPr>
          <w:sz w:val="24"/>
        </w:rPr>
        <w:t xml:space="preserve">M. </w:t>
      </w:r>
      <w:r w:rsidRPr="00CF7500">
        <w:rPr>
          <w:sz w:val="24"/>
        </w:rPr>
        <w:t xml:space="preserve">Wright, and </w:t>
      </w:r>
      <w:r w:rsidR="004D4EAB" w:rsidRPr="00AF2689">
        <w:rPr>
          <w:sz w:val="24"/>
        </w:rPr>
        <w:t>L.</w:t>
      </w:r>
      <w:r w:rsidRPr="00CF7500">
        <w:rPr>
          <w:sz w:val="24"/>
        </w:rPr>
        <w:t xml:space="preserve"> Scholes. 2009. </w:t>
      </w:r>
      <w:r w:rsidR="003249E3" w:rsidRPr="00AF2689">
        <w:rPr>
          <w:sz w:val="24"/>
        </w:rPr>
        <w:t>“</w:t>
      </w:r>
      <w:r w:rsidRPr="00CF7500">
        <w:rPr>
          <w:sz w:val="24"/>
        </w:rPr>
        <w:t>Agency, strategic entrepreneurship, and the performance of private equity-backed buyouts</w:t>
      </w:r>
      <w:r w:rsidR="003249E3" w:rsidRPr="00AF2689">
        <w:rPr>
          <w:sz w:val="24"/>
        </w:rPr>
        <w:t>”</w:t>
      </w:r>
      <w:r w:rsidRPr="00CF7500">
        <w:rPr>
          <w:sz w:val="24"/>
        </w:rPr>
        <w:t xml:space="preserve">. </w:t>
      </w:r>
      <w:r w:rsidRPr="00CF7500">
        <w:rPr>
          <w:i/>
          <w:sz w:val="24"/>
        </w:rPr>
        <w:t>Entrepreneurship Theory and Practice</w:t>
      </w:r>
      <w:r w:rsidR="007648BD" w:rsidRPr="00AF2689">
        <w:rPr>
          <w:sz w:val="24"/>
        </w:rPr>
        <w:t>. 3</w:t>
      </w:r>
      <w:r w:rsidRPr="00CF7500">
        <w:rPr>
          <w:sz w:val="24"/>
        </w:rPr>
        <w:t>3</w:t>
      </w:r>
      <w:r w:rsidR="008846F1" w:rsidRPr="00AF2689">
        <w:rPr>
          <w:sz w:val="24"/>
        </w:rPr>
        <w:t>(1)</w:t>
      </w:r>
      <w:r w:rsidRPr="00CF7500">
        <w:rPr>
          <w:sz w:val="24"/>
        </w:rPr>
        <w:t>: 213</w:t>
      </w:r>
      <w:r w:rsidR="00744447" w:rsidRPr="00AF2689">
        <w:rPr>
          <w:sz w:val="24"/>
        </w:rPr>
        <w:t>-</w:t>
      </w:r>
      <w:r w:rsidRPr="00CF7500">
        <w:rPr>
          <w:sz w:val="24"/>
        </w:rPr>
        <w:t>239.</w:t>
      </w:r>
    </w:p>
    <w:p w14:paraId="630C42D8" w14:textId="2F36F513"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Mills, R. 2006. </w:t>
      </w:r>
      <w:r w:rsidR="003249E3" w:rsidRPr="00AF2689">
        <w:rPr>
          <w:sz w:val="24"/>
        </w:rPr>
        <w:t>“</w:t>
      </w:r>
      <w:r w:rsidRPr="00CF7500">
        <w:rPr>
          <w:sz w:val="24"/>
        </w:rPr>
        <w:t>Emerging trends in mergers and acquisitions and the importance of private equity and hedge funds</w:t>
      </w:r>
      <w:r w:rsidR="003249E3" w:rsidRPr="00AF2689">
        <w:rPr>
          <w:sz w:val="24"/>
        </w:rPr>
        <w:t>”</w:t>
      </w:r>
      <w:r w:rsidRPr="00CF7500">
        <w:rPr>
          <w:sz w:val="24"/>
        </w:rPr>
        <w:t xml:space="preserve">. </w:t>
      </w:r>
      <w:r w:rsidRPr="00CF7500">
        <w:rPr>
          <w:i/>
          <w:sz w:val="24"/>
        </w:rPr>
        <w:t>Henley Manager Update</w:t>
      </w:r>
      <w:r w:rsidR="007648BD" w:rsidRPr="00AF2689">
        <w:rPr>
          <w:sz w:val="24"/>
        </w:rPr>
        <w:t>. 1</w:t>
      </w:r>
      <w:r w:rsidRPr="00CF7500">
        <w:rPr>
          <w:sz w:val="24"/>
        </w:rPr>
        <w:t>8</w:t>
      </w:r>
      <w:r w:rsidR="00CD1425" w:rsidRPr="00AF2689">
        <w:rPr>
          <w:sz w:val="24"/>
        </w:rPr>
        <w:t>(</w:t>
      </w:r>
      <w:r w:rsidRPr="00CF7500">
        <w:rPr>
          <w:sz w:val="24"/>
        </w:rPr>
        <w:t>1</w:t>
      </w:r>
      <w:r w:rsidR="00AA5369" w:rsidRPr="00AF2689">
        <w:rPr>
          <w:sz w:val="24"/>
        </w:rPr>
        <w:t>)</w:t>
      </w:r>
      <w:r w:rsidRPr="00CF7500">
        <w:rPr>
          <w:sz w:val="24"/>
        </w:rPr>
        <w:t>: 27</w:t>
      </w:r>
      <w:r w:rsidR="00744447" w:rsidRPr="00AF2689">
        <w:rPr>
          <w:sz w:val="24"/>
        </w:rPr>
        <w:t>-</w:t>
      </w:r>
      <w:r w:rsidRPr="00CF7500">
        <w:rPr>
          <w:sz w:val="24"/>
        </w:rPr>
        <w:t>38.</w:t>
      </w:r>
    </w:p>
    <w:p w14:paraId="686D3694" w14:textId="3CBA67CD"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Millson, R. and </w:t>
      </w:r>
      <w:r w:rsidR="00B877DF" w:rsidRPr="00AF2689">
        <w:rPr>
          <w:sz w:val="24"/>
        </w:rPr>
        <w:t xml:space="preserve">M. </w:t>
      </w:r>
      <w:r w:rsidRPr="00CF7500">
        <w:rPr>
          <w:sz w:val="24"/>
        </w:rPr>
        <w:t xml:space="preserve">Ward. 2005. </w:t>
      </w:r>
      <w:r w:rsidR="003249E3" w:rsidRPr="00AF2689">
        <w:rPr>
          <w:sz w:val="24"/>
        </w:rPr>
        <w:t>“</w:t>
      </w:r>
      <w:r w:rsidRPr="00CF7500">
        <w:rPr>
          <w:sz w:val="24"/>
        </w:rPr>
        <w:t>Corporate governance criteria as applied in private equity investments</w:t>
      </w:r>
      <w:r w:rsidR="003249E3" w:rsidRPr="00AF2689">
        <w:rPr>
          <w:sz w:val="24"/>
        </w:rPr>
        <w:t>”</w:t>
      </w:r>
      <w:r w:rsidRPr="00CF7500">
        <w:rPr>
          <w:sz w:val="24"/>
        </w:rPr>
        <w:t xml:space="preserve">. </w:t>
      </w:r>
      <w:r w:rsidRPr="00CF7500">
        <w:rPr>
          <w:i/>
          <w:sz w:val="24"/>
        </w:rPr>
        <w:t>South African Journal of Business Management</w:t>
      </w:r>
      <w:r w:rsidR="007648BD" w:rsidRPr="00AF2689">
        <w:rPr>
          <w:sz w:val="24"/>
        </w:rPr>
        <w:t>. 3</w:t>
      </w:r>
      <w:r w:rsidRPr="00CF7500">
        <w:rPr>
          <w:sz w:val="24"/>
        </w:rPr>
        <w:t>6</w:t>
      </w:r>
      <w:r w:rsidR="00CD1425" w:rsidRPr="00AF2689">
        <w:rPr>
          <w:sz w:val="24"/>
        </w:rPr>
        <w:t>(</w:t>
      </w:r>
      <w:r w:rsidRPr="00CF7500">
        <w:rPr>
          <w:sz w:val="24"/>
        </w:rPr>
        <w:t>1</w:t>
      </w:r>
      <w:r w:rsidR="00AA5369" w:rsidRPr="00AF2689">
        <w:rPr>
          <w:sz w:val="24"/>
        </w:rPr>
        <w:t>)</w:t>
      </w:r>
      <w:r w:rsidRPr="00CF7500">
        <w:rPr>
          <w:sz w:val="24"/>
        </w:rPr>
        <w:t>: 78</w:t>
      </w:r>
      <w:r w:rsidR="00744447" w:rsidRPr="00AF2689">
        <w:rPr>
          <w:sz w:val="24"/>
        </w:rPr>
        <w:t>-</w:t>
      </w:r>
      <w:r w:rsidRPr="00CF7500">
        <w:rPr>
          <w:sz w:val="24"/>
        </w:rPr>
        <w:t>83.</w:t>
      </w:r>
    </w:p>
    <w:p w14:paraId="40D3AB00" w14:textId="0A2E85D9"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Mishkin, F. S. and </w:t>
      </w:r>
      <w:r w:rsidR="00B877DF" w:rsidRPr="00AF2689">
        <w:rPr>
          <w:sz w:val="24"/>
        </w:rPr>
        <w:t xml:space="preserve">S. </w:t>
      </w:r>
      <w:r w:rsidRPr="00CF7500">
        <w:rPr>
          <w:sz w:val="24"/>
        </w:rPr>
        <w:t xml:space="preserve">Eakins. 2011. </w:t>
      </w:r>
      <w:r w:rsidRPr="00CF7500">
        <w:rPr>
          <w:i/>
          <w:sz w:val="24"/>
        </w:rPr>
        <w:t>Financial markets and institutions</w:t>
      </w:r>
      <w:r w:rsidRPr="00CF7500">
        <w:rPr>
          <w:sz w:val="24"/>
        </w:rPr>
        <w:t xml:space="preserve">. The Prentice Hall Series in Finance, </w:t>
      </w:r>
      <w:r w:rsidR="00994B38" w:rsidRPr="00AF2689">
        <w:rPr>
          <w:sz w:val="24"/>
        </w:rPr>
        <w:t>seven</w:t>
      </w:r>
      <w:r w:rsidRPr="00CF7500">
        <w:rPr>
          <w:sz w:val="24"/>
        </w:rPr>
        <w:t>th ed</w:t>
      </w:r>
      <w:r w:rsidR="00994B38" w:rsidRPr="00AF2689">
        <w:rPr>
          <w:sz w:val="24"/>
        </w:rPr>
        <w:t>ition</w:t>
      </w:r>
      <w:r w:rsidRPr="00CF7500">
        <w:rPr>
          <w:sz w:val="24"/>
        </w:rPr>
        <w:t>. Prentice Hall.</w:t>
      </w:r>
    </w:p>
    <w:p w14:paraId="1353F3AC" w14:textId="01CD0292"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Montgomery, C. A., </w:t>
      </w:r>
      <w:r w:rsidR="00B877DF" w:rsidRPr="00AF2689">
        <w:rPr>
          <w:sz w:val="24"/>
        </w:rPr>
        <w:t xml:space="preserve">A. B. </w:t>
      </w:r>
      <w:r w:rsidRPr="00CF7500">
        <w:rPr>
          <w:sz w:val="24"/>
        </w:rPr>
        <w:t xml:space="preserve">Thomas, and </w:t>
      </w:r>
      <w:r w:rsidR="00B877DF" w:rsidRPr="00AF2689">
        <w:rPr>
          <w:sz w:val="24"/>
        </w:rPr>
        <w:t xml:space="preserve">R. </w:t>
      </w:r>
      <w:r w:rsidRPr="00CF7500">
        <w:rPr>
          <w:sz w:val="24"/>
        </w:rPr>
        <w:t xml:space="preserve">Kamath. 1984. </w:t>
      </w:r>
      <w:r w:rsidR="003249E3" w:rsidRPr="00AF2689">
        <w:rPr>
          <w:sz w:val="24"/>
        </w:rPr>
        <w:t>“</w:t>
      </w:r>
      <w:r w:rsidRPr="00CF7500">
        <w:rPr>
          <w:sz w:val="24"/>
        </w:rPr>
        <w:t>Divestiture, market valuation, and strategy</w:t>
      </w:r>
      <w:r w:rsidR="003249E3" w:rsidRPr="00AF2689">
        <w:rPr>
          <w:sz w:val="24"/>
        </w:rPr>
        <w:t>”</w:t>
      </w:r>
      <w:r w:rsidRPr="00CF7500">
        <w:rPr>
          <w:sz w:val="24"/>
        </w:rPr>
        <w:t xml:space="preserve">. </w:t>
      </w:r>
      <w:r w:rsidRPr="00CF7500">
        <w:rPr>
          <w:i/>
          <w:sz w:val="24"/>
        </w:rPr>
        <w:t>The Academy of Management Journal</w:t>
      </w:r>
      <w:r w:rsidR="007648BD" w:rsidRPr="00AF2689">
        <w:rPr>
          <w:sz w:val="24"/>
        </w:rPr>
        <w:t>. 2</w:t>
      </w:r>
      <w:r w:rsidRPr="00CF7500">
        <w:rPr>
          <w:sz w:val="24"/>
        </w:rPr>
        <w:t>7</w:t>
      </w:r>
      <w:r w:rsidR="008846F1" w:rsidRPr="00AF2689">
        <w:rPr>
          <w:sz w:val="24"/>
        </w:rPr>
        <w:t>(4)</w:t>
      </w:r>
      <w:r w:rsidRPr="00CF7500">
        <w:rPr>
          <w:sz w:val="24"/>
        </w:rPr>
        <w:t>: 830</w:t>
      </w:r>
      <w:r w:rsidR="00744447" w:rsidRPr="00AF2689">
        <w:rPr>
          <w:sz w:val="24"/>
        </w:rPr>
        <w:t>-</w:t>
      </w:r>
      <w:r w:rsidRPr="00CF7500">
        <w:rPr>
          <w:sz w:val="24"/>
        </w:rPr>
        <w:t>840.</w:t>
      </w:r>
    </w:p>
    <w:p w14:paraId="16B7CAB4" w14:textId="53F9792A"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Muscarella, C. J. and </w:t>
      </w:r>
      <w:r w:rsidR="006E77C9" w:rsidRPr="00AF2689">
        <w:rPr>
          <w:sz w:val="24"/>
        </w:rPr>
        <w:t>M. R.</w:t>
      </w:r>
      <w:r w:rsidRPr="00CF7500">
        <w:rPr>
          <w:sz w:val="24"/>
        </w:rPr>
        <w:t xml:space="preserve"> Vetsuypens. 1990. </w:t>
      </w:r>
      <w:r w:rsidR="003249E3" w:rsidRPr="00AF2689">
        <w:rPr>
          <w:sz w:val="24"/>
        </w:rPr>
        <w:t>“</w:t>
      </w:r>
      <w:r w:rsidRPr="00CF7500">
        <w:rPr>
          <w:sz w:val="24"/>
        </w:rPr>
        <w:t xml:space="preserve">Efficiency and organizational structure: </w:t>
      </w:r>
      <w:r w:rsidR="00031A9C" w:rsidRPr="00AF2689">
        <w:rPr>
          <w:sz w:val="24"/>
        </w:rPr>
        <w:t>A</w:t>
      </w:r>
      <w:r w:rsidRPr="00CF7500">
        <w:rPr>
          <w:sz w:val="24"/>
        </w:rPr>
        <w:t xml:space="preserve"> study of reverse LBOs</w:t>
      </w:r>
      <w:r w:rsidR="003249E3" w:rsidRPr="00AF2689">
        <w:rPr>
          <w:sz w:val="24"/>
        </w:rPr>
        <w:t>”</w:t>
      </w:r>
      <w:r w:rsidRPr="00CF7500">
        <w:rPr>
          <w:sz w:val="24"/>
        </w:rPr>
        <w:t xml:space="preserve">. </w:t>
      </w:r>
      <w:r w:rsidRPr="00CF7500">
        <w:rPr>
          <w:i/>
          <w:sz w:val="24"/>
        </w:rPr>
        <w:t>The Journal of Finance</w:t>
      </w:r>
      <w:r w:rsidR="00141273" w:rsidRPr="00AF2689">
        <w:rPr>
          <w:sz w:val="24"/>
        </w:rPr>
        <w:t>. 4</w:t>
      </w:r>
      <w:r w:rsidRPr="00CF7500">
        <w:rPr>
          <w:sz w:val="24"/>
        </w:rPr>
        <w:t>5</w:t>
      </w:r>
      <w:r w:rsidR="008846F1" w:rsidRPr="00AF2689">
        <w:rPr>
          <w:sz w:val="24"/>
        </w:rPr>
        <w:t>(5)</w:t>
      </w:r>
      <w:r w:rsidRPr="00CF7500">
        <w:rPr>
          <w:sz w:val="24"/>
        </w:rPr>
        <w:t>: 1389</w:t>
      </w:r>
      <w:r w:rsidR="00744447" w:rsidRPr="00AF2689">
        <w:rPr>
          <w:sz w:val="24"/>
        </w:rPr>
        <w:t>-</w:t>
      </w:r>
      <w:r w:rsidRPr="00CF7500">
        <w:rPr>
          <w:sz w:val="24"/>
        </w:rPr>
        <w:t>1413.</w:t>
      </w:r>
    </w:p>
    <w:p w14:paraId="23E81E3B" w14:textId="515139A2"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Niemeyer, A. and </w:t>
      </w:r>
      <w:r w:rsidR="007A22B1" w:rsidRPr="00AF2689">
        <w:rPr>
          <w:sz w:val="24"/>
        </w:rPr>
        <w:t xml:space="preserve">B. </w:t>
      </w:r>
      <w:r w:rsidRPr="00CF7500">
        <w:rPr>
          <w:sz w:val="24"/>
        </w:rPr>
        <w:t xml:space="preserve">Simpson. 2008. </w:t>
      </w:r>
      <w:r w:rsidR="003249E3" w:rsidRPr="00AF2689">
        <w:rPr>
          <w:sz w:val="24"/>
        </w:rPr>
        <w:t>“</w:t>
      </w:r>
      <w:r w:rsidRPr="00CF7500">
        <w:rPr>
          <w:sz w:val="24"/>
        </w:rPr>
        <w:t>Freeing up cash from operations</w:t>
      </w:r>
      <w:r w:rsidR="003249E3" w:rsidRPr="00AF2689">
        <w:rPr>
          <w:sz w:val="24"/>
        </w:rPr>
        <w:t>”</w:t>
      </w:r>
      <w:r w:rsidRPr="00CF7500">
        <w:rPr>
          <w:sz w:val="24"/>
        </w:rPr>
        <w:t xml:space="preserve">. </w:t>
      </w:r>
      <w:r w:rsidRPr="00CF7500">
        <w:rPr>
          <w:i/>
          <w:sz w:val="24"/>
        </w:rPr>
        <w:t>The McKinsey Quarterly</w:t>
      </w:r>
      <w:r w:rsidR="00141273" w:rsidRPr="00AF2689">
        <w:rPr>
          <w:sz w:val="24"/>
        </w:rPr>
        <w:t>. 4</w:t>
      </w:r>
      <w:r w:rsidRPr="00CF7500">
        <w:rPr>
          <w:sz w:val="24"/>
        </w:rPr>
        <w:t>.</w:t>
      </w:r>
    </w:p>
    <w:p w14:paraId="1ADC71D0" w14:textId="18D70395" w:rsidR="00676F76" w:rsidRPr="00CF7500" w:rsidRDefault="008C31C9" w:rsidP="00CF7500">
      <w:pPr>
        <w:pStyle w:val="Refs"/>
        <w:numPr>
          <w:ilvl w:val="0"/>
          <w:numId w:val="0"/>
        </w:numPr>
        <w:tabs>
          <w:tab w:val="clear" w:pos="360"/>
          <w:tab w:val="left" w:pos="709"/>
        </w:tabs>
        <w:ind w:left="170" w:hanging="425"/>
        <w:rPr>
          <w:rFonts w:cs="AdvPTimes"/>
          <w:sz w:val="24"/>
          <w:szCs w:val="17"/>
          <w:lang w:val="en-GB" w:eastAsia="sv-SE"/>
        </w:rPr>
      </w:pPr>
      <w:r w:rsidRPr="00CF7500">
        <w:rPr>
          <w:sz w:val="24"/>
        </w:rPr>
        <w:t xml:space="preserve">Nikoskelainen, E. 2006. </w:t>
      </w:r>
      <w:r w:rsidR="003249E3" w:rsidRPr="00AF2689">
        <w:rPr>
          <w:sz w:val="24"/>
        </w:rPr>
        <w:t>“</w:t>
      </w:r>
      <w:r w:rsidRPr="00CF7500">
        <w:rPr>
          <w:sz w:val="24"/>
        </w:rPr>
        <w:t xml:space="preserve">The operating characteristics of leveraged buyouts: </w:t>
      </w:r>
      <w:r w:rsidR="00031A9C" w:rsidRPr="00AF2689">
        <w:rPr>
          <w:sz w:val="24"/>
        </w:rPr>
        <w:t>E</w:t>
      </w:r>
      <w:r w:rsidRPr="00CF7500">
        <w:rPr>
          <w:sz w:val="24"/>
        </w:rPr>
        <w:t>mpirical evidence from Europe</w:t>
      </w:r>
      <w:r w:rsidR="003249E3" w:rsidRPr="00AF2689">
        <w:rPr>
          <w:sz w:val="24"/>
        </w:rPr>
        <w:t>”</w:t>
      </w:r>
      <w:r w:rsidRPr="00CF7500">
        <w:rPr>
          <w:sz w:val="24"/>
        </w:rPr>
        <w:t xml:space="preserve">. </w:t>
      </w:r>
      <w:r w:rsidR="008846F1" w:rsidRPr="00AF2689">
        <w:rPr>
          <w:i/>
          <w:sz w:val="24"/>
        </w:rPr>
        <w:t>Liiketaloudellinen aikakauskirja</w:t>
      </w:r>
      <w:r w:rsidR="007648BD" w:rsidRPr="00AF2689">
        <w:rPr>
          <w:sz w:val="24"/>
        </w:rPr>
        <w:t xml:space="preserve">. </w:t>
      </w:r>
      <w:r w:rsidR="00AD132A" w:rsidRPr="00AF2689">
        <w:rPr>
          <w:sz w:val="24"/>
        </w:rPr>
        <w:t xml:space="preserve">3: </w:t>
      </w:r>
      <w:r w:rsidR="007648BD" w:rsidRPr="00AF2689">
        <w:rPr>
          <w:sz w:val="24"/>
        </w:rPr>
        <w:t>2</w:t>
      </w:r>
      <w:r w:rsidRPr="00CF7500">
        <w:rPr>
          <w:sz w:val="24"/>
        </w:rPr>
        <w:t>96</w:t>
      </w:r>
      <w:r w:rsidR="00744447" w:rsidRPr="00AF2689">
        <w:rPr>
          <w:sz w:val="24"/>
        </w:rPr>
        <w:t>-</w:t>
      </w:r>
      <w:r w:rsidRPr="00CF7500">
        <w:rPr>
          <w:sz w:val="24"/>
        </w:rPr>
        <w:t>335.</w:t>
      </w:r>
      <w:r w:rsidRPr="00CF7500">
        <w:rPr>
          <w:rFonts w:cs="AdvPTimes"/>
          <w:sz w:val="24"/>
          <w:szCs w:val="17"/>
          <w:lang w:val="en-GB" w:eastAsia="sv-SE"/>
        </w:rPr>
        <w:t xml:space="preserve"> </w:t>
      </w:r>
    </w:p>
    <w:p w14:paraId="1606EAC4" w14:textId="5B234351" w:rsidR="00676F76" w:rsidRPr="00AF2689" w:rsidRDefault="008C31C9" w:rsidP="00CF7500">
      <w:pPr>
        <w:pStyle w:val="Refs"/>
        <w:numPr>
          <w:ilvl w:val="0"/>
          <w:numId w:val="0"/>
        </w:numPr>
        <w:tabs>
          <w:tab w:val="clear" w:pos="360"/>
          <w:tab w:val="left" w:pos="709"/>
        </w:tabs>
        <w:ind w:left="170" w:hanging="425"/>
        <w:rPr>
          <w:sz w:val="24"/>
        </w:rPr>
      </w:pPr>
      <w:r w:rsidRPr="00CF7500">
        <w:rPr>
          <w:sz w:val="24"/>
          <w:lang w:val="en-GB"/>
        </w:rPr>
        <w:t xml:space="preserve">Nikoskelainen, E. and </w:t>
      </w:r>
      <w:r w:rsidR="004E798C" w:rsidRPr="00AF2689">
        <w:rPr>
          <w:sz w:val="24"/>
          <w:lang w:val="en-GB"/>
        </w:rPr>
        <w:t xml:space="preserve">M. </w:t>
      </w:r>
      <w:r w:rsidRPr="00CF7500">
        <w:rPr>
          <w:sz w:val="24"/>
          <w:lang w:val="en-GB"/>
        </w:rPr>
        <w:t xml:space="preserve">Wright. 2007. </w:t>
      </w:r>
      <w:r w:rsidR="003249E3" w:rsidRPr="00AF2689">
        <w:rPr>
          <w:sz w:val="24"/>
          <w:lang w:val="en-GB"/>
        </w:rPr>
        <w:t>“</w:t>
      </w:r>
      <w:r w:rsidRPr="00CF7500">
        <w:rPr>
          <w:sz w:val="24"/>
          <w:lang w:val="en-GB"/>
        </w:rPr>
        <w:t>The impact of corporate governance mechanisms on value increase in leveraged buyouts</w:t>
      </w:r>
      <w:r w:rsidR="003249E3" w:rsidRPr="00AF2689">
        <w:rPr>
          <w:sz w:val="24"/>
          <w:lang w:val="en-GB"/>
        </w:rPr>
        <w:t>”</w:t>
      </w:r>
      <w:r w:rsidRPr="00CF7500">
        <w:rPr>
          <w:sz w:val="24"/>
          <w:lang w:val="en-GB"/>
        </w:rPr>
        <w:t xml:space="preserve">. </w:t>
      </w:r>
      <w:r w:rsidRPr="00CF7500">
        <w:rPr>
          <w:i/>
          <w:sz w:val="24"/>
          <w:lang w:val="en-GB"/>
        </w:rPr>
        <w:t>Journal of Corporate Finance</w:t>
      </w:r>
      <w:r w:rsidR="007648BD" w:rsidRPr="00AF2689">
        <w:rPr>
          <w:sz w:val="24"/>
          <w:lang w:val="en-GB"/>
        </w:rPr>
        <w:t>. 1</w:t>
      </w:r>
      <w:r w:rsidRPr="00CF7500">
        <w:rPr>
          <w:sz w:val="24"/>
          <w:lang w:val="en-GB"/>
        </w:rPr>
        <w:t>3</w:t>
      </w:r>
      <w:r w:rsidR="00AD132A" w:rsidRPr="00AF2689">
        <w:rPr>
          <w:sz w:val="24"/>
          <w:lang w:val="en-GB"/>
        </w:rPr>
        <w:t>(3)</w:t>
      </w:r>
      <w:r w:rsidRPr="00CF7500">
        <w:rPr>
          <w:sz w:val="24"/>
          <w:lang w:val="en-GB"/>
        </w:rPr>
        <w:t>: 511</w:t>
      </w:r>
      <w:r w:rsidR="00744447" w:rsidRPr="00AF2689">
        <w:rPr>
          <w:sz w:val="24"/>
          <w:lang w:val="en-GB"/>
        </w:rPr>
        <w:t>-</w:t>
      </w:r>
      <w:r w:rsidRPr="00CF7500">
        <w:rPr>
          <w:sz w:val="24"/>
          <w:lang w:val="en-GB"/>
        </w:rPr>
        <w:t>537.</w:t>
      </w:r>
    </w:p>
    <w:p w14:paraId="22692F81" w14:textId="57551632"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Opler, T. C. and </w:t>
      </w:r>
      <w:r w:rsidR="004E798C" w:rsidRPr="00AF2689">
        <w:rPr>
          <w:sz w:val="24"/>
        </w:rPr>
        <w:t xml:space="preserve">S. </w:t>
      </w:r>
      <w:r w:rsidRPr="00CF7500">
        <w:rPr>
          <w:sz w:val="24"/>
        </w:rPr>
        <w:t xml:space="preserve">Titman. 1993. </w:t>
      </w:r>
      <w:r w:rsidR="003249E3" w:rsidRPr="00AF2689">
        <w:rPr>
          <w:sz w:val="24"/>
        </w:rPr>
        <w:t>“</w:t>
      </w:r>
      <w:r w:rsidRPr="00CF7500">
        <w:rPr>
          <w:sz w:val="24"/>
        </w:rPr>
        <w:t xml:space="preserve">The determinants of leveraged buyout activity: </w:t>
      </w:r>
      <w:r w:rsidR="008D5BF4" w:rsidRPr="00AF2689">
        <w:rPr>
          <w:sz w:val="24"/>
        </w:rPr>
        <w:t>F</w:t>
      </w:r>
      <w:r w:rsidRPr="00CF7500">
        <w:rPr>
          <w:sz w:val="24"/>
        </w:rPr>
        <w:t>ree cash flow vs. financial distress costs</w:t>
      </w:r>
      <w:r w:rsidR="003249E3" w:rsidRPr="00AF2689">
        <w:rPr>
          <w:sz w:val="24"/>
        </w:rPr>
        <w:t>”</w:t>
      </w:r>
      <w:r w:rsidRPr="00CF7500">
        <w:rPr>
          <w:sz w:val="24"/>
        </w:rPr>
        <w:t xml:space="preserve">. </w:t>
      </w:r>
      <w:r w:rsidRPr="00CF7500">
        <w:rPr>
          <w:i/>
          <w:sz w:val="24"/>
        </w:rPr>
        <w:t>The Journal of Finance</w:t>
      </w:r>
      <w:r w:rsidR="00141273" w:rsidRPr="00AF2689">
        <w:rPr>
          <w:sz w:val="24"/>
        </w:rPr>
        <w:t>. 4</w:t>
      </w:r>
      <w:r w:rsidRPr="00CF7500">
        <w:rPr>
          <w:sz w:val="24"/>
        </w:rPr>
        <w:t>8</w:t>
      </w:r>
      <w:r w:rsidR="00CD1425" w:rsidRPr="00AF2689">
        <w:rPr>
          <w:sz w:val="24"/>
        </w:rPr>
        <w:t>(</w:t>
      </w:r>
      <w:r w:rsidRPr="00CF7500">
        <w:rPr>
          <w:sz w:val="24"/>
        </w:rPr>
        <w:t>5</w:t>
      </w:r>
      <w:r w:rsidR="00AA5369" w:rsidRPr="00AF2689">
        <w:rPr>
          <w:sz w:val="24"/>
        </w:rPr>
        <w:t>)</w:t>
      </w:r>
      <w:r w:rsidRPr="00CF7500">
        <w:rPr>
          <w:sz w:val="24"/>
        </w:rPr>
        <w:t>: 1985</w:t>
      </w:r>
      <w:r w:rsidR="00744447" w:rsidRPr="00AF2689">
        <w:rPr>
          <w:sz w:val="24"/>
        </w:rPr>
        <w:t>-</w:t>
      </w:r>
      <w:r w:rsidRPr="00CF7500">
        <w:rPr>
          <w:sz w:val="24"/>
        </w:rPr>
        <w:t>1999.</w:t>
      </w:r>
    </w:p>
    <w:p w14:paraId="38503A96" w14:textId="090777DA"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Palepu, K. G. 1990. </w:t>
      </w:r>
      <w:r w:rsidR="003249E3" w:rsidRPr="00AF2689">
        <w:rPr>
          <w:sz w:val="24"/>
        </w:rPr>
        <w:t>“</w:t>
      </w:r>
      <w:r w:rsidRPr="00CF7500">
        <w:rPr>
          <w:sz w:val="24"/>
        </w:rPr>
        <w:t>Consequences of leveraged buyouts</w:t>
      </w:r>
      <w:r w:rsidR="003249E3" w:rsidRPr="00AF2689">
        <w:rPr>
          <w:sz w:val="24"/>
        </w:rPr>
        <w:t>”</w:t>
      </w:r>
      <w:r w:rsidRPr="00CF7500">
        <w:rPr>
          <w:sz w:val="24"/>
        </w:rPr>
        <w:t xml:space="preserve">. </w:t>
      </w:r>
      <w:r w:rsidRPr="00CF7500">
        <w:rPr>
          <w:i/>
          <w:sz w:val="24"/>
        </w:rPr>
        <w:t>Journal of Financial Economics</w:t>
      </w:r>
      <w:r w:rsidR="007648BD" w:rsidRPr="00AF2689">
        <w:rPr>
          <w:sz w:val="24"/>
        </w:rPr>
        <w:t>. 2</w:t>
      </w:r>
      <w:r w:rsidRPr="00CF7500">
        <w:rPr>
          <w:sz w:val="24"/>
        </w:rPr>
        <w:t>7</w:t>
      </w:r>
      <w:r w:rsidR="00CD1425" w:rsidRPr="00AF2689">
        <w:rPr>
          <w:sz w:val="24"/>
        </w:rPr>
        <w:t>(</w:t>
      </w:r>
      <w:r w:rsidRPr="00CF7500">
        <w:rPr>
          <w:sz w:val="24"/>
        </w:rPr>
        <w:t>1</w:t>
      </w:r>
      <w:r w:rsidR="00AA5369" w:rsidRPr="00AF2689">
        <w:rPr>
          <w:sz w:val="24"/>
        </w:rPr>
        <w:t>)</w:t>
      </w:r>
      <w:r w:rsidRPr="00CF7500">
        <w:rPr>
          <w:sz w:val="24"/>
        </w:rPr>
        <w:t>: 247</w:t>
      </w:r>
      <w:r w:rsidR="00744447" w:rsidRPr="00AF2689">
        <w:rPr>
          <w:sz w:val="24"/>
        </w:rPr>
        <w:t>-</w:t>
      </w:r>
      <w:r w:rsidRPr="00CF7500">
        <w:rPr>
          <w:sz w:val="24"/>
        </w:rPr>
        <w:t>262.</w:t>
      </w:r>
    </w:p>
    <w:p w14:paraId="78E45458" w14:textId="5318ADD7"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Phalippou, L. and </w:t>
      </w:r>
      <w:r w:rsidR="004E798C" w:rsidRPr="00AF2689">
        <w:rPr>
          <w:sz w:val="24"/>
        </w:rPr>
        <w:t xml:space="preserve">M. </w:t>
      </w:r>
      <w:r w:rsidRPr="00CF7500">
        <w:rPr>
          <w:sz w:val="24"/>
        </w:rPr>
        <w:t xml:space="preserve">Zollo. 2005a. </w:t>
      </w:r>
      <w:r w:rsidRPr="00CF7500">
        <w:rPr>
          <w:i/>
          <w:sz w:val="24"/>
        </w:rPr>
        <w:t>Performance of private equity funds: Another puzzle?</w:t>
      </w:r>
      <w:r w:rsidRPr="00CF7500">
        <w:rPr>
          <w:sz w:val="24"/>
        </w:rPr>
        <w:t xml:space="preserve"> INSEAD.</w:t>
      </w:r>
    </w:p>
    <w:p w14:paraId="6A84BB96" w14:textId="40CF700A"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Phalippou, L. and </w:t>
      </w:r>
      <w:r w:rsidR="004E798C" w:rsidRPr="00AF2689">
        <w:rPr>
          <w:sz w:val="24"/>
        </w:rPr>
        <w:t xml:space="preserve">M. </w:t>
      </w:r>
      <w:r w:rsidRPr="00CF7500">
        <w:rPr>
          <w:sz w:val="24"/>
        </w:rPr>
        <w:t xml:space="preserve">Zollo. 2005b. </w:t>
      </w:r>
      <w:r w:rsidR="003249E3" w:rsidRPr="00AF2689">
        <w:rPr>
          <w:sz w:val="24"/>
        </w:rPr>
        <w:t>“</w:t>
      </w:r>
      <w:r w:rsidRPr="00CF7500">
        <w:rPr>
          <w:sz w:val="24"/>
        </w:rPr>
        <w:t>What drives private equity fund performance?</w:t>
      </w:r>
      <w:r w:rsidR="003249E3" w:rsidRPr="00AF2689">
        <w:rPr>
          <w:sz w:val="24"/>
        </w:rPr>
        <w:t>”</w:t>
      </w:r>
      <w:r w:rsidR="00083F66" w:rsidRPr="00AF2689">
        <w:rPr>
          <w:sz w:val="24"/>
        </w:rPr>
        <w:t>.</w:t>
      </w:r>
      <w:r w:rsidRPr="00CF7500">
        <w:rPr>
          <w:sz w:val="24"/>
        </w:rPr>
        <w:t xml:space="preserve"> </w:t>
      </w:r>
      <w:r w:rsidR="00756CF0" w:rsidRPr="00AF2689">
        <w:rPr>
          <w:i/>
          <w:sz w:val="24"/>
        </w:rPr>
        <w:t>Unpublished working paper</w:t>
      </w:r>
      <w:r w:rsidRPr="00CF7500">
        <w:rPr>
          <w:sz w:val="24"/>
        </w:rPr>
        <w:t>.</w:t>
      </w:r>
    </w:p>
    <w:p w14:paraId="011D6102" w14:textId="0B0FFDC5"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Phan, P. H. and </w:t>
      </w:r>
      <w:r w:rsidR="004E798C" w:rsidRPr="00AF2689">
        <w:rPr>
          <w:sz w:val="24"/>
        </w:rPr>
        <w:t>C. W. L.</w:t>
      </w:r>
      <w:r w:rsidRPr="00CF7500">
        <w:rPr>
          <w:sz w:val="24"/>
        </w:rPr>
        <w:t xml:space="preserve"> Hill. 1995. </w:t>
      </w:r>
      <w:r w:rsidR="003249E3" w:rsidRPr="00AF2689">
        <w:rPr>
          <w:sz w:val="24"/>
        </w:rPr>
        <w:t>“</w:t>
      </w:r>
      <w:r w:rsidRPr="00CF7500">
        <w:rPr>
          <w:sz w:val="24"/>
        </w:rPr>
        <w:t xml:space="preserve">Organizational restructuring and economic performance in leveraged buyouts: </w:t>
      </w:r>
      <w:r w:rsidR="008D5BF4" w:rsidRPr="00AF2689">
        <w:rPr>
          <w:sz w:val="24"/>
        </w:rPr>
        <w:t>A</w:t>
      </w:r>
      <w:r w:rsidRPr="00CF7500">
        <w:rPr>
          <w:sz w:val="24"/>
        </w:rPr>
        <w:t>n ex post study</w:t>
      </w:r>
      <w:r w:rsidR="003249E3" w:rsidRPr="00AF2689">
        <w:rPr>
          <w:sz w:val="24"/>
        </w:rPr>
        <w:t>”</w:t>
      </w:r>
      <w:r w:rsidRPr="00CF7500">
        <w:rPr>
          <w:sz w:val="24"/>
        </w:rPr>
        <w:t xml:space="preserve">. </w:t>
      </w:r>
      <w:r w:rsidRPr="00CF7500">
        <w:rPr>
          <w:i/>
          <w:sz w:val="24"/>
        </w:rPr>
        <w:t>The Academy of Management Journal</w:t>
      </w:r>
      <w:r w:rsidR="007648BD" w:rsidRPr="00AF2689">
        <w:rPr>
          <w:sz w:val="24"/>
        </w:rPr>
        <w:t>. 3</w:t>
      </w:r>
      <w:r w:rsidRPr="00CF7500">
        <w:rPr>
          <w:sz w:val="24"/>
        </w:rPr>
        <w:t>8</w:t>
      </w:r>
      <w:r w:rsidR="00844D01" w:rsidRPr="00AF2689">
        <w:rPr>
          <w:sz w:val="24"/>
        </w:rPr>
        <w:t>(3)</w:t>
      </w:r>
      <w:r w:rsidRPr="00CF7500">
        <w:rPr>
          <w:sz w:val="24"/>
        </w:rPr>
        <w:t>: 704</w:t>
      </w:r>
      <w:r w:rsidR="00844D01" w:rsidRPr="00AF2689">
        <w:rPr>
          <w:sz w:val="24"/>
        </w:rPr>
        <w:t>-739</w:t>
      </w:r>
      <w:r w:rsidRPr="00CF7500">
        <w:rPr>
          <w:sz w:val="24"/>
        </w:rPr>
        <w:t>.</w:t>
      </w:r>
    </w:p>
    <w:p w14:paraId="5F1F3256" w14:textId="65FBD461" w:rsidR="00676F76" w:rsidRPr="00AF2689" w:rsidRDefault="008C31C9" w:rsidP="00CF7500">
      <w:pPr>
        <w:pStyle w:val="Refs"/>
        <w:numPr>
          <w:ilvl w:val="0"/>
          <w:numId w:val="0"/>
        </w:numPr>
        <w:tabs>
          <w:tab w:val="clear" w:pos="360"/>
          <w:tab w:val="left" w:pos="709"/>
        </w:tabs>
        <w:ind w:left="170" w:hanging="425"/>
        <w:rPr>
          <w:sz w:val="24"/>
          <w:highlight w:val="yellow"/>
        </w:rPr>
      </w:pPr>
      <w:r w:rsidRPr="00CF7500">
        <w:rPr>
          <w:sz w:val="24"/>
        </w:rPr>
        <w:t xml:space="preserve">Puche, B., </w:t>
      </w:r>
      <w:r w:rsidR="004E798C" w:rsidRPr="00AF2689">
        <w:rPr>
          <w:sz w:val="24"/>
        </w:rPr>
        <w:t xml:space="preserve">R. </w:t>
      </w:r>
      <w:r w:rsidRPr="00CF7500">
        <w:rPr>
          <w:sz w:val="24"/>
        </w:rPr>
        <w:t xml:space="preserve">Braun, and </w:t>
      </w:r>
      <w:r w:rsidR="004E798C" w:rsidRPr="00AF2689">
        <w:rPr>
          <w:sz w:val="24"/>
        </w:rPr>
        <w:t xml:space="preserve">A.-K. </w:t>
      </w:r>
      <w:r w:rsidRPr="00CF7500">
        <w:rPr>
          <w:sz w:val="24"/>
        </w:rPr>
        <w:t xml:space="preserve">Achleitner. 2015. </w:t>
      </w:r>
      <w:r w:rsidR="003249E3" w:rsidRPr="00AF2689">
        <w:rPr>
          <w:sz w:val="24"/>
        </w:rPr>
        <w:t>“</w:t>
      </w:r>
      <w:r w:rsidRPr="00CF7500">
        <w:rPr>
          <w:sz w:val="24"/>
        </w:rPr>
        <w:t>International evidence on value creation in private equity transactions</w:t>
      </w:r>
      <w:r w:rsidR="003249E3" w:rsidRPr="00AF2689">
        <w:rPr>
          <w:sz w:val="24"/>
        </w:rPr>
        <w:t>”</w:t>
      </w:r>
      <w:r w:rsidRPr="00CF7500">
        <w:rPr>
          <w:sz w:val="24"/>
        </w:rPr>
        <w:t xml:space="preserve">. </w:t>
      </w:r>
      <w:r w:rsidRPr="00CF7500">
        <w:rPr>
          <w:i/>
          <w:sz w:val="24"/>
        </w:rPr>
        <w:t>Journal of Applied Corporate Finance</w:t>
      </w:r>
      <w:r w:rsidR="007648BD" w:rsidRPr="00AF2689">
        <w:rPr>
          <w:sz w:val="24"/>
        </w:rPr>
        <w:t>. 2</w:t>
      </w:r>
      <w:r w:rsidRPr="00CF7500">
        <w:rPr>
          <w:sz w:val="24"/>
        </w:rPr>
        <w:t>7(4): 105-122</w:t>
      </w:r>
      <w:r w:rsidR="00083F66" w:rsidRPr="00AF2689">
        <w:rPr>
          <w:sz w:val="24"/>
        </w:rPr>
        <w:t>.</w:t>
      </w:r>
    </w:p>
    <w:p w14:paraId="4ADAF851" w14:textId="4EC0A328"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Renneboog, L. and </w:t>
      </w:r>
      <w:r w:rsidR="004E798C" w:rsidRPr="00AF2689">
        <w:rPr>
          <w:sz w:val="24"/>
        </w:rPr>
        <w:t xml:space="preserve">T. </w:t>
      </w:r>
      <w:r w:rsidRPr="00CF7500">
        <w:rPr>
          <w:sz w:val="24"/>
        </w:rPr>
        <w:t xml:space="preserve">Simons. 2005. </w:t>
      </w:r>
      <w:r w:rsidRPr="00CF7500">
        <w:rPr>
          <w:i/>
          <w:sz w:val="24"/>
        </w:rPr>
        <w:t>“Public-to-private transactions: LBOs, MBOs, MBIs and IBOs”</w:t>
      </w:r>
      <w:r w:rsidR="00083F66" w:rsidRPr="00AF2689">
        <w:rPr>
          <w:i/>
          <w:sz w:val="24"/>
        </w:rPr>
        <w:t>.</w:t>
      </w:r>
      <w:r w:rsidRPr="00CF7500">
        <w:rPr>
          <w:sz w:val="24"/>
        </w:rPr>
        <w:t xml:space="preserve"> Tilburg University.</w:t>
      </w:r>
    </w:p>
    <w:p w14:paraId="4D751005" w14:textId="57C52EF1"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Renneboog, L., </w:t>
      </w:r>
      <w:r w:rsidR="00266BDC" w:rsidRPr="00AF2689">
        <w:rPr>
          <w:sz w:val="24"/>
        </w:rPr>
        <w:t xml:space="preserve">T. </w:t>
      </w:r>
      <w:r w:rsidRPr="00CF7500">
        <w:rPr>
          <w:sz w:val="24"/>
        </w:rPr>
        <w:t xml:space="preserve">Simons, and </w:t>
      </w:r>
      <w:r w:rsidR="00266BDC" w:rsidRPr="00AF2689">
        <w:rPr>
          <w:sz w:val="24"/>
        </w:rPr>
        <w:t>M.</w:t>
      </w:r>
      <w:r w:rsidRPr="00CF7500">
        <w:rPr>
          <w:sz w:val="24"/>
        </w:rPr>
        <w:t xml:space="preserve"> Wright. 2007. </w:t>
      </w:r>
      <w:r w:rsidR="003249E3" w:rsidRPr="00AF2689">
        <w:rPr>
          <w:sz w:val="24"/>
        </w:rPr>
        <w:t>“</w:t>
      </w:r>
      <w:r w:rsidRPr="00CF7500">
        <w:rPr>
          <w:sz w:val="24"/>
        </w:rPr>
        <w:t>Why do firms go private in the UK?</w:t>
      </w:r>
      <w:r w:rsidR="003249E3" w:rsidRPr="00AF2689">
        <w:rPr>
          <w:sz w:val="24"/>
        </w:rPr>
        <w:t>”</w:t>
      </w:r>
      <w:r w:rsidR="00083F66" w:rsidRPr="00AF2689">
        <w:rPr>
          <w:sz w:val="24"/>
        </w:rPr>
        <w:t>.</w:t>
      </w:r>
      <w:r w:rsidRPr="00CF7500">
        <w:rPr>
          <w:sz w:val="24"/>
        </w:rPr>
        <w:t xml:space="preserve"> </w:t>
      </w:r>
      <w:r w:rsidRPr="00CF7500">
        <w:rPr>
          <w:i/>
          <w:sz w:val="24"/>
        </w:rPr>
        <w:t>Journal of Corporate Finance</w:t>
      </w:r>
      <w:r w:rsidR="007648BD" w:rsidRPr="00AF2689">
        <w:rPr>
          <w:sz w:val="24"/>
        </w:rPr>
        <w:t>. 1</w:t>
      </w:r>
      <w:r w:rsidRPr="00CF7500">
        <w:rPr>
          <w:sz w:val="24"/>
        </w:rPr>
        <w:t>3(4): 591-628.</w:t>
      </w:r>
    </w:p>
    <w:p w14:paraId="1EF46C6E" w14:textId="08D34B7E"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Renneboog, L. and </w:t>
      </w:r>
      <w:r w:rsidR="00266BDC" w:rsidRPr="00AF2689">
        <w:rPr>
          <w:sz w:val="24"/>
        </w:rPr>
        <w:t xml:space="preserve">C. </w:t>
      </w:r>
      <w:r w:rsidRPr="00CF7500">
        <w:rPr>
          <w:sz w:val="24"/>
        </w:rPr>
        <w:t xml:space="preserve">Vansteenkiste. 2017. </w:t>
      </w:r>
      <w:r w:rsidR="003249E3" w:rsidRPr="00AF2689">
        <w:rPr>
          <w:sz w:val="24"/>
        </w:rPr>
        <w:t>“</w:t>
      </w:r>
      <w:r w:rsidRPr="00CF7500">
        <w:rPr>
          <w:sz w:val="24"/>
        </w:rPr>
        <w:t xml:space="preserve">Leveraged buyouts: </w:t>
      </w:r>
      <w:r w:rsidR="00E7606C" w:rsidRPr="00AF2689">
        <w:rPr>
          <w:sz w:val="24"/>
        </w:rPr>
        <w:t>M</w:t>
      </w:r>
      <w:r w:rsidRPr="00CF7500">
        <w:rPr>
          <w:sz w:val="24"/>
        </w:rPr>
        <w:t>otives and sources of value</w:t>
      </w:r>
      <w:r w:rsidR="003249E3" w:rsidRPr="00AF2689">
        <w:rPr>
          <w:sz w:val="24"/>
        </w:rPr>
        <w:t>”</w:t>
      </w:r>
      <w:r w:rsidR="00083F66" w:rsidRPr="00AF2689">
        <w:rPr>
          <w:sz w:val="24"/>
        </w:rPr>
        <w:t>.</w:t>
      </w:r>
      <w:r w:rsidRPr="00CF7500">
        <w:rPr>
          <w:sz w:val="24"/>
        </w:rPr>
        <w:t xml:space="preserve"> </w:t>
      </w:r>
      <w:r w:rsidRPr="00CF7500">
        <w:rPr>
          <w:i/>
          <w:sz w:val="24"/>
        </w:rPr>
        <w:t>Annals of Corporate Governance</w:t>
      </w:r>
      <w:r w:rsidR="007648BD" w:rsidRPr="00AF2689">
        <w:rPr>
          <w:sz w:val="24"/>
        </w:rPr>
        <w:t>. 2</w:t>
      </w:r>
      <w:r w:rsidRPr="00CF7500">
        <w:rPr>
          <w:sz w:val="24"/>
        </w:rPr>
        <w:t>(4): 291</w:t>
      </w:r>
      <w:r w:rsidR="00744447" w:rsidRPr="00AF2689">
        <w:rPr>
          <w:sz w:val="24"/>
        </w:rPr>
        <w:t>-</w:t>
      </w:r>
      <w:r w:rsidRPr="00CF7500">
        <w:rPr>
          <w:sz w:val="24"/>
        </w:rPr>
        <w:t>389.</w:t>
      </w:r>
    </w:p>
    <w:p w14:paraId="2241D7BD" w14:textId="72FFE270"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Rogers, P., </w:t>
      </w:r>
      <w:r w:rsidR="00FF27F3" w:rsidRPr="00AF2689">
        <w:rPr>
          <w:sz w:val="24"/>
        </w:rPr>
        <w:t xml:space="preserve">T. </w:t>
      </w:r>
      <w:r w:rsidRPr="00CF7500">
        <w:rPr>
          <w:sz w:val="24"/>
        </w:rPr>
        <w:t xml:space="preserve">Holland, and </w:t>
      </w:r>
      <w:r w:rsidR="00266BDC" w:rsidRPr="00AF2689">
        <w:rPr>
          <w:sz w:val="24"/>
        </w:rPr>
        <w:t xml:space="preserve">D. </w:t>
      </w:r>
      <w:r w:rsidRPr="00CF7500">
        <w:rPr>
          <w:sz w:val="24"/>
        </w:rPr>
        <w:t xml:space="preserve">Haas. 2002. </w:t>
      </w:r>
      <w:r w:rsidR="003249E3" w:rsidRPr="00AF2689">
        <w:rPr>
          <w:sz w:val="24"/>
        </w:rPr>
        <w:t>“</w:t>
      </w:r>
      <w:r w:rsidRPr="00CF7500">
        <w:rPr>
          <w:sz w:val="24"/>
        </w:rPr>
        <w:t xml:space="preserve">Value acceleration: </w:t>
      </w:r>
      <w:r w:rsidR="006D418E" w:rsidRPr="00AF2689">
        <w:rPr>
          <w:sz w:val="24"/>
        </w:rPr>
        <w:t>L</w:t>
      </w:r>
      <w:r w:rsidRPr="00CF7500">
        <w:rPr>
          <w:sz w:val="24"/>
        </w:rPr>
        <w:t>essons from private-equity masters</w:t>
      </w:r>
      <w:r w:rsidR="003249E3" w:rsidRPr="00AF2689">
        <w:rPr>
          <w:sz w:val="24"/>
        </w:rPr>
        <w:t>”</w:t>
      </w:r>
      <w:r w:rsidRPr="00CF7500">
        <w:rPr>
          <w:sz w:val="24"/>
        </w:rPr>
        <w:t xml:space="preserve">. </w:t>
      </w:r>
      <w:r w:rsidRPr="00CF7500">
        <w:rPr>
          <w:i/>
          <w:sz w:val="24"/>
        </w:rPr>
        <w:t>Harvard Business Review</w:t>
      </w:r>
      <w:r w:rsidR="00994B38" w:rsidRPr="00AF2689">
        <w:rPr>
          <w:sz w:val="24"/>
        </w:rPr>
        <w:t>. 8</w:t>
      </w:r>
      <w:r w:rsidRPr="00CF7500">
        <w:rPr>
          <w:sz w:val="24"/>
        </w:rPr>
        <w:t>0</w:t>
      </w:r>
      <w:r w:rsidR="00844D01" w:rsidRPr="00AF2689">
        <w:rPr>
          <w:sz w:val="24"/>
        </w:rPr>
        <w:t>(6)</w:t>
      </w:r>
      <w:r w:rsidRPr="00CF7500">
        <w:rPr>
          <w:sz w:val="24"/>
        </w:rPr>
        <w:t>: 94</w:t>
      </w:r>
      <w:r w:rsidR="00744447" w:rsidRPr="00AF2689">
        <w:rPr>
          <w:sz w:val="24"/>
        </w:rPr>
        <w:t>-</w:t>
      </w:r>
      <w:r w:rsidRPr="00CF7500">
        <w:rPr>
          <w:sz w:val="24"/>
        </w:rPr>
        <w:t>10</w:t>
      </w:r>
      <w:r w:rsidR="00844D01" w:rsidRPr="00AF2689">
        <w:rPr>
          <w:sz w:val="24"/>
        </w:rPr>
        <w:t>1</w:t>
      </w:r>
      <w:r w:rsidRPr="00CF7500">
        <w:rPr>
          <w:sz w:val="24"/>
        </w:rPr>
        <w:t xml:space="preserve">. </w:t>
      </w:r>
    </w:p>
    <w:p w14:paraId="7AA04981" w14:textId="0C78DDB7" w:rsidR="00676F76" w:rsidRPr="00CF7500" w:rsidRDefault="008C31C9" w:rsidP="00CF7500">
      <w:pPr>
        <w:pStyle w:val="Refs"/>
        <w:numPr>
          <w:ilvl w:val="0"/>
          <w:numId w:val="0"/>
        </w:numPr>
        <w:tabs>
          <w:tab w:val="clear" w:pos="360"/>
          <w:tab w:val="left" w:pos="709"/>
        </w:tabs>
        <w:ind w:left="170" w:hanging="425"/>
      </w:pPr>
      <w:r w:rsidRPr="00CF7500">
        <w:t>R</w:t>
      </w:r>
      <w:r w:rsidRPr="00CF7500">
        <w:rPr>
          <w:sz w:val="24"/>
        </w:rPr>
        <w:t xml:space="preserve">umelt, R. P. 1982. “Diversification strategy and profitability”. </w:t>
      </w:r>
      <w:r w:rsidRPr="00CF7500">
        <w:rPr>
          <w:i/>
          <w:sz w:val="24"/>
        </w:rPr>
        <w:t>Strategic Management Journal</w:t>
      </w:r>
      <w:r w:rsidRPr="00CF7500">
        <w:rPr>
          <w:sz w:val="24"/>
        </w:rPr>
        <w:t xml:space="preserve">. 3(4): 359-369. </w:t>
      </w:r>
    </w:p>
    <w:p w14:paraId="55D19F71" w14:textId="301F0A59" w:rsidR="00676F76" w:rsidRPr="00CF7500" w:rsidRDefault="008C31C9" w:rsidP="00CF7500">
      <w:pPr>
        <w:pStyle w:val="Refs"/>
        <w:numPr>
          <w:ilvl w:val="0"/>
          <w:numId w:val="0"/>
        </w:numPr>
        <w:tabs>
          <w:tab w:val="left" w:pos="709"/>
        </w:tabs>
        <w:ind w:left="170" w:hanging="425"/>
        <w:rPr>
          <w:sz w:val="24"/>
        </w:rPr>
      </w:pPr>
      <w:r w:rsidRPr="00583051">
        <w:rPr>
          <w:sz w:val="24"/>
          <w:lang w:val="it-IT"/>
        </w:rPr>
        <w:t xml:space="preserve">Scellato, G and E. Ughetto. </w:t>
      </w:r>
      <w:r w:rsidRPr="00CF7500">
        <w:rPr>
          <w:sz w:val="24"/>
        </w:rPr>
        <w:t xml:space="preserve">2013. </w:t>
      </w:r>
      <w:r w:rsidR="000E1CF7" w:rsidRPr="00AF2689">
        <w:rPr>
          <w:sz w:val="24"/>
        </w:rPr>
        <w:t>“</w:t>
      </w:r>
      <w:r w:rsidR="008B01C4" w:rsidRPr="00AF2689">
        <w:rPr>
          <w:sz w:val="24"/>
        </w:rPr>
        <w:t>Real effects of private equity investments: Evidence from European buyouts</w:t>
      </w:r>
      <w:r w:rsidR="000E1CF7" w:rsidRPr="00AF2689">
        <w:rPr>
          <w:sz w:val="24"/>
        </w:rPr>
        <w:t>”</w:t>
      </w:r>
      <w:r w:rsidRPr="00CF7500">
        <w:rPr>
          <w:sz w:val="24"/>
        </w:rPr>
        <w:t xml:space="preserve">. </w:t>
      </w:r>
      <w:r w:rsidRPr="00CF7500">
        <w:rPr>
          <w:i/>
          <w:sz w:val="24"/>
        </w:rPr>
        <w:t>Journal of Business Research</w:t>
      </w:r>
      <w:r w:rsidR="00083F66" w:rsidRPr="00AF2689">
        <w:rPr>
          <w:i/>
          <w:sz w:val="24"/>
        </w:rPr>
        <w:t>.</w:t>
      </w:r>
      <w:r w:rsidRPr="00CF7500">
        <w:rPr>
          <w:sz w:val="24"/>
        </w:rPr>
        <w:t xml:space="preserve"> 66</w:t>
      </w:r>
      <w:r w:rsidR="008B01C4" w:rsidRPr="00AF2689">
        <w:rPr>
          <w:sz w:val="24"/>
        </w:rPr>
        <w:t>(12)</w:t>
      </w:r>
      <w:r w:rsidRPr="00CF7500">
        <w:rPr>
          <w:sz w:val="24"/>
        </w:rPr>
        <w:t>: 2642-2649.</w:t>
      </w:r>
    </w:p>
    <w:p w14:paraId="65DE8E49" w14:textId="31DCCB34"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Sensoy, B. A., Y. Wang, and M. S. Weisbach. 2014. </w:t>
      </w:r>
      <w:r w:rsidR="000E1CF7" w:rsidRPr="00AF2689">
        <w:rPr>
          <w:sz w:val="24"/>
        </w:rPr>
        <w:t>“</w:t>
      </w:r>
      <w:r w:rsidR="008709E4" w:rsidRPr="00AF2689">
        <w:rPr>
          <w:sz w:val="24"/>
        </w:rPr>
        <w:t>L</w:t>
      </w:r>
      <w:r w:rsidRPr="00CF7500">
        <w:rPr>
          <w:sz w:val="24"/>
        </w:rPr>
        <w:t>imited partner performance and the maturing of the private equity industry</w:t>
      </w:r>
      <w:r w:rsidR="000E1CF7" w:rsidRPr="00AF2689">
        <w:rPr>
          <w:sz w:val="24"/>
        </w:rPr>
        <w:t>”</w:t>
      </w:r>
      <w:r w:rsidRPr="00CF7500">
        <w:rPr>
          <w:sz w:val="24"/>
        </w:rPr>
        <w:t xml:space="preserve">. </w:t>
      </w:r>
      <w:r w:rsidRPr="00CF7500">
        <w:rPr>
          <w:i/>
          <w:sz w:val="24"/>
        </w:rPr>
        <w:t>Journal of Financial Economics</w:t>
      </w:r>
      <w:r w:rsidR="00083F66" w:rsidRPr="00AF2689">
        <w:rPr>
          <w:i/>
          <w:sz w:val="24"/>
        </w:rPr>
        <w:t>.</w:t>
      </w:r>
      <w:r w:rsidRPr="00CF7500">
        <w:rPr>
          <w:sz w:val="24"/>
        </w:rPr>
        <w:t xml:space="preserve"> 112</w:t>
      </w:r>
      <w:r w:rsidR="00AC09AE" w:rsidRPr="00AF2689">
        <w:rPr>
          <w:sz w:val="24"/>
        </w:rPr>
        <w:t>(3)</w:t>
      </w:r>
      <w:r w:rsidRPr="00CF7500">
        <w:rPr>
          <w:sz w:val="24"/>
        </w:rPr>
        <w:t>: 320-343.</w:t>
      </w:r>
    </w:p>
    <w:p w14:paraId="2605775D" w14:textId="2D653761"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Schmidt, D., </w:t>
      </w:r>
      <w:r w:rsidR="00FF27F3" w:rsidRPr="00AF2689">
        <w:rPr>
          <w:sz w:val="24"/>
        </w:rPr>
        <w:t xml:space="preserve">E. </w:t>
      </w:r>
      <w:r w:rsidRPr="00CF7500">
        <w:rPr>
          <w:sz w:val="24"/>
        </w:rPr>
        <w:t xml:space="preserve">Nowak, and </w:t>
      </w:r>
      <w:r w:rsidR="00FF27F3" w:rsidRPr="00AF2689">
        <w:rPr>
          <w:sz w:val="24"/>
        </w:rPr>
        <w:t xml:space="preserve">A. </w:t>
      </w:r>
      <w:r w:rsidRPr="00CF7500">
        <w:rPr>
          <w:sz w:val="24"/>
        </w:rPr>
        <w:t xml:space="preserve">Knigge. 2004. </w:t>
      </w:r>
      <w:r w:rsidR="000E1CF7" w:rsidRPr="00AF2689">
        <w:rPr>
          <w:sz w:val="24"/>
        </w:rPr>
        <w:t>“</w:t>
      </w:r>
      <w:r w:rsidRPr="00CF7500">
        <w:rPr>
          <w:sz w:val="24"/>
        </w:rPr>
        <w:t xml:space="preserve">On the performance of private equity investments: </w:t>
      </w:r>
      <w:r w:rsidR="00F57DE8" w:rsidRPr="00AF2689">
        <w:rPr>
          <w:sz w:val="24"/>
        </w:rPr>
        <w:t>D</w:t>
      </w:r>
      <w:r w:rsidRPr="00CF7500">
        <w:rPr>
          <w:sz w:val="24"/>
        </w:rPr>
        <w:t>oes market timing matter?</w:t>
      </w:r>
      <w:r w:rsidR="000E1CF7" w:rsidRPr="00AF2689">
        <w:rPr>
          <w:sz w:val="24"/>
        </w:rPr>
        <w:t>”</w:t>
      </w:r>
      <w:r w:rsidR="00411556" w:rsidRPr="00AF2689">
        <w:rPr>
          <w:sz w:val="24"/>
        </w:rPr>
        <w:t>.</w:t>
      </w:r>
    </w:p>
    <w:p w14:paraId="3AC0F364" w14:textId="4E6A48B3"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Schmidt, D., </w:t>
      </w:r>
      <w:r w:rsidR="00FF27F3" w:rsidRPr="00AF2689">
        <w:rPr>
          <w:sz w:val="24"/>
        </w:rPr>
        <w:t xml:space="preserve">S. </w:t>
      </w:r>
      <w:r w:rsidRPr="00CF7500">
        <w:rPr>
          <w:sz w:val="24"/>
        </w:rPr>
        <w:t xml:space="preserve">Steffen, and </w:t>
      </w:r>
      <w:r w:rsidR="00FF27F3" w:rsidRPr="00AF2689">
        <w:rPr>
          <w:sz w:val="24"/>
        </w:rPr>
        <w:t>F.</w:t>
      </w:r>
      <w:r w:rsidRPr="00CF7500">
        <w:rPr>
          <w:sz w:val="24"/>
        </w:rPr>
        <w:t xml:space="preserve"> Szabo. 2009. </w:t>
      </w:r>
      <w:r w:rsidR="000E1CF7" w:rsidRPr="00AF2689">
        <w:rPr>
          <w:sz w:val="24"/>
        </w:rPr>
        <w:t>“</w:t>
      </w:r>
      <w:r w:rsidRPr="00CF7500">
        <w:rPr>
          <w:sz w:val="24"/>
        </w:rPr>
        <w:t xml:space="preserve">Exit strategies of buyout investments – </w:t>
      </w:r>
      <w:r w:rsidR="00F57DE8" w:rsidRPr="00AF2689">
        <w:rPr>
          <w:sz w:val="24"/>
        </w:rPr>
        <w:t>A</w:t>
      </w:r>
      <w:r w:rsidRPr="00CF7500">
        <w:rPr>
          <w:sz w:val="24"/>
        </w:rPr>
        <w:t>n empirical analysis</w:t>
      </w:r>
      <w:r w:rsidR="000E1CF7" w:rsidRPr="00AF2689">
        <w:rPr>
          <w:sz w:val="24"/>
        </w:rPr>
        <w:t>”</w:t>
      </w:r>
      <w:r w:rsidRPr="00CF7500">
        <w:rPr>
          <w:sz w:val="24"/>
        </w:rPr>
        <w:t xml:space="preserve">. </w:t>
      </w:r>
      <w:r w:rsidRPr="00CF7500">
        <w:rPr>
          <w:i/>
          <w:sz w:val="24"/>
        </w:rPr>
        <w:t>Journal of Alternative Investments</w:t>
      </w:r>
      <w:r w:rsidR="004F68FD" w:rsidRPr="00AF2689">
        <w:rPr>
          <w:i/>
          <w:sz w:val="24"/>
        </w:rPr>
        <w:t>.</w:t>
      </w:r>
      <w:r w:rsidRPr="00CF7500">
        <w:rPr>
          <w:sz w:val="24"/>
        </w:rPr>
        <w:t xml:space="preserve"> 12(4): 58</w:t>
      </w:r>
      <w:r w:rsidR="00744447" w:rsidRPr="00AF2689">
        <w:rPr>
          <w:sz w:val="24"/>
        </w:rPr>
        <w:t>-</w:t>
      </w:r>
      <w:r w:rsidRPr="00CF7500">
        <w:rPr>
          <w:sz w:val="24"/>
        </w:rPr>
        <w:t>84.</w:t>
      </w:r>
    </w:p>
    <w:p w14:paraId="17461D8B" w14:textId="72D25501"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Scholes, L</w:t>
      </w:r>
      <w:r w:rsidR="00ED1737" w:rsidRPr="00AF2689">
        <w:rPr>
          <w:sz w:val="24"/>
        </w:rPr>
        <w:t xml:space="preserve">., M. </w:t>
      </w:r>
      <w:r w:rsidRPr="00CF7500">
        <w:rPr>
          <w:sz w:val="24"/>
        </w:rPr>
        <w:t>Wright</w:t>
      </w:r>
      <w:r w:rsidR="00ED1737" w:rsidRPr="00AF2689">
        <w:rPr>
          <w:sz w:val="24"/>
        </w:rPr>
        <w:t>, P.</w:t>
      </w:r>
      <w:r w:rsidRPr="00CF7500">
        <w:rPr>
          <w:sz w:val="24"/>
        </w:rPr>
        <w:t xml:space="preserve"> Westhead</w:t>
      </w:r>
      <w:r w:rsidR="00ED1737" w:rsidRPr="00AF2689">
        <w:rPr>
          <w:sz w:val="24"/>
        </w:rPr>
        <w:t>,</w:t>
      </w:r>
      <w:r w:rsidRPr="00CF7500">
        <w:rPr>
          <w:sz w:val="24"/>
        </w:rPr>
        <w:t xml:space="preserve"> </w:t>
      </w:r>
      <w:r w:rsidR="00ED1737" w:rsidRPr="00AF2689">
        <w:rPr>
          <w:sz w:val="24"/>
        </w:rPr>
        <w:t xml:space="preserve">A. </w:t>
      </w:r>
      <w:r w:rsidRPr="00CF7500">
        <w:rPr>
          <w:sz w:val="24"/>
        </w:rPr>
        <w:t xml:space="preserve">Burrows, and </w:t>
      </w:r>
      <w:r w:rsidR="00ED1737" w:rsidRPr="00AF2689">
        <w:rPr>
          <w:sz w:val="24"/>
        </w:rPr>
        <w:t xml:space="preserve">H. </w:t>
      </w:r>
      <w:r w:rsidRPr="00CF7500">
        <w:rPr>
          <w:sz w:val="24"/>
        </w:rPr>
        <w:t>Bruining</w:t>
      </w:r>
      <w:r w:rsidR="00ED1737" w:rsidRPr="00AF2689">
        <w:rPr>
          <w:sz w:val="24"/>
        </w:rPr>
        <w:t xml:space="preserve">. </w:t>
      </w:r>
      <w:r w:rsidRPr="00CF7500">
        <w:rPr>
          <w:sz w:val="24"/>
        </w:rPr>
        <w:t xml:space="preserve">2007. </w:t>
      </w:r>
      <w:r w:rsidR="000E1CF7" w:rsidRPr="00AF2689">
        <w:rPr>
          <w:sz w:val="24"/>
        </w:rPr>
        <w:t>“</w:t>
      </w:r>
      <w:r w:rsidRPr="00CF7500">
        <w:rPr>
          <w:sz w:val="24"/>
        </w:rPr>
        <w:t>Information sharing, price negotiation and management buy-outs of private family-owned firms</w:t>
      </w:r>
      <w:r w:rsidR="000E1CF7" w:rsidRPr="00AF2689">
        <w:rPr>
          <w:sz w:val="24"/>
        </w:rPr>
        <w:t>”</w:t>
      </w:r>
      <w:r w:rsidRPr="00CF7500">
        <w:rPr>
          <w:sz w:val="24"/>
        </w:rPr>
        <w:t xml:space="preserve">. </w:t>
      </w:r>
      <w:r w:rsidRPr="00CF7500">
        <w:rPr>
          <w:i/>
          <w:sz w:val="24"/>
        </w:rPr>
        <w:t>Small Business Economics</w:t>
      </w:r>
      <w:r w:rsidR="007648BD" w:rsidRPr="00AF2689">
        <w:rPr>
          <w:sz w:val="24"/>
        </w:rPr>
        <w:t>. 2</w:t>
      </w:r>
      <w:r w:rsidRPr="00CF7500">
        <w:rPr>
          <w:sz w:val="24"/>
        </w:rPr>
        <w:t>9(3)</w:t>
      </w:r>
      <w:r w:rsidR="007648BD" w:rsidRPr="00AF2689">
        <w:rPr>
          <w:sz w:val="24"/>
        </w:rPr>
        <w:t>:</w:t>
      </w:r>
      <w:r w:rsidRPr="00CF7500">
        <w:rPr>
          <w:sz w:val="24"/>
        </w:rPr>
        <w:t xml:space="preserve"> 329</w:t>
      </w:r>
      <w:r w:rsidR="00744447" w:rsidRPr="00AF2689">
        <w:rPr>
          <w:sz w:val="24"/>
        </w:rPr>
        <w:t>-</w:t>
      </w:r>
      <w:r w:rsidRPr="00CF7500">
        <w:rPr>
          <w:sz w:val="24"/>
        </w:rPr>
        <w:t>349</w:t>
      </w:r>
      <w:r w:rsidR="005B6E64" w:rsidRPr="00AF2689">
        <w:rPr>
          <w:sz w:val="24"/>
        </w:rPr>
        <w:t>.</w:t>
      </w:r>
    </w:p>
    <w:p w14:paraId="77E82BA5" w14:textId="4F4C062C"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Schulze, W. S., </w:t>
      </w:r>
      <w:r w:rsidR="00D16534" w:rsidRPr="00AF2689">
        <w:rPr>
          <w:sz w:val="24"/>
        </w:rPr>
        <w:t xml:space="preserve">M. H. </w:t>
      </w:r>
      <w:r w:rsidRPr="00CF7500">
        <w:rPr>
          <w:sz w:val="24"/>
        </w:rPr>
        <w:t xml:space="preserve">Lubatkin, </w:t>
      </w:r>
      <w:r w:rsidR="00D16534" w:rsidRPr="00AF2689">
        <w:rPr>
          <w:sz w:val="24"/>
        </w:rPr>
        <w:t xml:space="preserve">R. </w:t>
      </w:r>
      <w:r w:rsidRPr="00CF7500">
        <w:rPr>
          <w:sz w:val="24"/>
        </w:rPr>
        <w:t xml:space="preserve">Dino, and </w:t>
      </w:r>
      <w:r w:rsidR="00D16534" w:rsidRPr="00AF2689">
        <w:rPr>
          <w:sz w:val="24"/>
        </w:rPr>
        <w:t>A.</w:t>
      </w:r>
      <w:r w:rsidRPr="00CF7500">
        <w:rPr>
          <w:sz w:val="24"/>
        </w:rPr>
        <w:t xml:space="preserve"> Buchholtz. 2001. </w:t>
      </w:r>
      <w:r w:rsidR="000E1CF7" w:rsidRPr="00AF2689">
        <w:rPr>
          <w:sz w:val="24"/>
        </w:rPr>
        <w:t>“</w:t>
      </w:r>
      <w:r w:rsidRPr="00CF7500">
        <w:rPr>
          <w:sz w:val="24"/>
        </w:rPr>
        <w:t xml:space="preserve">Agency relationships in family firms: </w:t>
      </w:r>
      <w:r w:rsidR="00F57DE8" w:rsidRPr="00AF2689">
        <w:rPr>
          <w:sz w:val="24"/>
        </w:rPr>
        <w:t>T</w:t>
      </w:r>
      <w:r w:rsidRPr="00CF7500">
        <w:rPr>
          <w:sz w:val="24"/>
        </w:rPr>
        <w:t>heory and evidence</w:t>
      </w:r>
      <w:r w:rsidR="000E1CF7" w:rsidRPr="00AF2689">
        <w:rPr>
          <w:sz w:val="24"/>
        </w:rPr>
        <w:t>”</w:t>
      </w:r>
      <w:r w:rsidRPr="00CF7500">
        <w:rPr>
          <w:sz w:val="24"/>
        </w:rPr>
        <w:t xml:space="preserve">. </w:t>
      </w:r>
      <w:r w:rsidRPr="00CF7500">
        <w:rPr>
          <w:i/>
          <w:sz w:val="24"/>
        </w:rPr>
        <w:t>Organization Science</w:t>
      </w:r>
      <w:r w:rsidR="007648BD" w:rsidRPr="00AF2689">
        <w:rPr>
          <w:sz w:val="24"/>
        </w:rPr>
        <w:t>. 1</w:t>
      </w:r>
      <w:r w:rsidRPr="00CF7500">
        <w:rPr>
          <w:sz w:val="24"/>
        </w:rPr>
        <w:t>2</w:t>
      </w:r>
      <w:r w:rsidR="00CD1425" w:rsidRPr="00AF2689">
        <w:rPr>
          <w:sz w:val="24"/>
        </w:rPr>
        <w:t>(</w:t>
      </w:r>
      <w:r w:rsidRPr="00CF7500">
        <w:rPr>
          <w:sz w:val="24"/>
        </w:rPr>
        <w:t>2</w:t>
      </w:r>
      <w:r w:rsidR="00AA5369" w:rsidRPr="00AF2689">
        <w:rPr>
          <w:sz w:val="24"/>
        </w:rPr>
        <w:t>)</w:t>
      </w:r>
      <w:r w:rsidRPr="00CF7500">
        <w:rPr>
          <w:sz w:val="24"/>
        </w:rPr>
        <w:t>: 99</w:t>
      </w:r>
      <w:r w:rsidR="00744447" w:rsidRPr="00AF2689">
        <w:rPr>
          <w:sz w:val="24"/>
        </w:rPr>
        <w:t>-</w:t>
      </w:r>
      <w:r w:rsidRPr="00CF7500">
        <w:rPr>
          <w:sz w:val="24"/>
        </w:rPr>
        <w:t>116.</w:t>
      </w:r>
    </w:p>
    <w:p w14:paraId="20DF4417" w14:textId="3171AFB4" w:rsidR="005B6E64" w:rsidRDefault="008C31C9" w:rsidP="00DA489E">
      <w:pPr>
        <w:pStyle w:val="Refs"/>
        <w:numPr>
          <w:ilvl w:val="0"/>
          <w:numId w:val="0"/>
        </w:numPr>
        <w:tabs>
          <w:tab w:val="clear" w:pos="360"/>
          <w:tab w:val="left" w:pos="709"/>
        </w:tabs>
        <w:ind w:left="170" w:hanging="425"/>
        <w:rPr>
          <w:sz w:val="24"/>
        </w:rPr>
      </w:pPr>
      <w:r w:rsidRPr="00CF7500">
        <w:rPr>
          <w:sz w:val="24"/>
        </w:rPr>
        <w:t xml:space="preserve">Schwienbacher, A. 2005. </w:t>
      </w:r>
      <w:r w:rsidRPr="00CF7500">
        <w:rPr>
          <w:i/>
          <w:sz w:val="24"/>
        </w:rPr>
        <w:t>“An empirical analysis of venture capital exits in Europe and the United States”</w:t>
      </w:r>
      <w:r w:rsidRPr="00CF7500">
        <w:rPr>
          <w:sz w:val="24"/>
        </w:rPr>
        <w:t xml:space="preserve">. EFA 2002 Berlin Meetings Discussion Paper. Available at SSRN: </w:t>
      </w:r>
      <w:hyperlink r:id="rId12" w:history="1">
        <w:r w:rsidRPr="00CF7500">
          <w:rPr>
            <w:rStyle w:val="Hyperlink"/>
          </w:rPr>
          <w:t>https://ssrn.com/abstract=302001</w:t>
        </w:r>
      </w:hyperlink>
      <w:r w:rsidRPr="00CF7500">
        <w:rPr>
          <w:sz w:val="24"/>
        </w:rPr>
        <w:t xml:space="preserve"> or </w:t>
      </w:r>
      <w:hyperlink r:id="rId13" w:history="1">
        <w:r w:rsidRPr="00CF7500">
          <w:rPr>
            <w:rStyle w:val="Hyperlink"/>
          </w:rPr>
          <w:t>http://dx.doi.org/10.2139/ssrn.302001</w:t>
        </w:r>
      </w:hyperlink>
    </w:p>
    <w:p w14:paraId="3A586064" w14:textId="512F182D"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Siming, L. 2010. </w:t>
      </w:r>
      <w:r w:rsidRPr="00CF7500">
        <w:rPr>
          <w:i/>
          <w:sz w:val="24"/>
        </w:rPr>
        <w:t>“Private equity and advisors in mergers and acquisitions”</w:t>
      </w:r>
      <w:r w:rsidRPr="00CF7500">
        <w:rPr>
          <w:sz w:val="24"/>
        </w:rPr>
        <w:t>. EFI-Economic Research Institute.</w:t>
      </w:r>
    </w:p>
    <w:p w14:paraId="6B76AC20" w14:textId="269CDD8E" w:rsidR="00AD5EFF" w:rsidRPr="00AF2689" w:rsidRDefault="008C31C9" w:rsidP="00AD5EFF">
      <w:pPr>
        <w:pStyle w:val="Refs"/>
        <w:numPr>
          <w:ilvl w:val="0"/>
          <w:numId w:val="0"/>
        </w:numPr>
        <w:tabs>
          <w:tab w:val="clear" w:pos="360"/>
          <w:tab w:val="left" w:pos="709"/>
        </w:tabs>
        <w:ind w:left="170" w:hanging="425"/>
        <w:rPr>
          <w:sz w:val="24"/>
        </w:rPr>
      </w:pPr>
      <w:r w:rsidRPr="00CF7500">
        <w:rPr>
          <w:sz w:val="24"/>
        </w:rPr>
        <w:t xml:space="preserve">Singh, H. 1990. </w:t>
      </w:r>
      <w:r w:rsidR="000E1CF7" w:rsidRPr="00AF2689">
        <w:rPr>
          <w:sz w:val="24"/>
        </w:rPr>
        <w:t>“</w:t>
      </w:r>
      <w:r w:rsidRPr="00CF7500">
        <w:rPr>
          <w:sz w:val="24"/>
        </w:rPr>
        <w:t xml:space="preserve">Management buyouts: </w:t>
      </w:r>
      <w:r w:rsidR="00C73ACA" w:rsidRPr="00AF2689">
        <w:rPr>
          <w:sz w:val="24"/>
        </w:rPr>
        <w:t>D</w:t>
      </w:r>
      <w:r w:rsidRPr="00CF7500">
        <w:rPr>
          <w:sz w:val="24"/>
        </w:rPr>
        <w:t>istinguishing characteristics and operating changes prior to public offering</w:t>
      </w:r>
      <w:r w:rsidR="000E1CF7" w:rsidRPr="00AF2689">
        <w:rPr>
          <w:sz w:val="24"/>
        </w:rPr>
        <w:t>”</w:t>
      </w:r>
      <w:r w:rsidRPr="00CF7500">
        <w:rPr>
          <w:sz w:val="24"/>
        </w:rPr>
        <w:t xml:space="preserve">. </w:t>
      </w:r>
      <w:r w:rsidRPr="00CF7500">
        <w:rPr>
          <w:i/>
          <w:sz w:val="24"/>
        </w:rPr>
        <w:t>Strategic Management Journal</w:t>
      </w:r>
      <w:r w:rsidR="007648BD" w:rsidRPr="00AF2689">
        <w:rPr>
          <w:sz w:val="24"/>
        </w:rPr>
        <w:t xml:space="preserve">. </w:t>
      </w:r>
      <w:r w:rsidRPr="00CF7500">
        <w:rPr>
          <w:sz w:val="24"/>
        </w:rPr>
        <w:t>111</w:t>
      </w:r>
      <w:r w:rsidR="00744447" w:rsidRPr="00AF2689">
        <w:rPr>
          <w:sz w:val="24"/>
        </w:rPr>
        <w:t>-</w:t>
      </w:r>
      <w:r w:rsidRPr="00CF7500">
        <w:rPr>
          <w:sz w:val="24"/>
        </w:rPr>
        <w:t>129.</w:t>
      </w:r>
    </w:p>
    <w:p w14:paraId="42B6329F" w14:textId="77777777" w:rsidR="00AD5EFF" w:rsidRPr="00CF7500" w:rsidRDefault="008C31C9" w:rsidP="00AD5EFF">
      <w:pPr>
        <w:pStyle w:val="Refs"/>
        <w:numPr>
          <w:ilvl w:val="0"/>
          <w:numId w:val="0"/>
        </w:numPr>
        <w:tabs>
          <w:tab w:val="clear" w:pos="360"/>
          <w:tab w:val="left" w:pos="709"/>
        </w:tabs>
        <w:ind w:left="170" w:hanging="425"/>
        <w:rPr>
          <w:sz w:val="24"/>
        </w:rPr>
      </w:pPr>
      <w:r w:rsidRPr="00CF7500">
        <w:rPr>
          <w:sz w:val="24"/>
        </w:rPr>
        <w:t xml:space="preserve">Smith, A. 1776. </w:t>
      </w:r>
      <w:r w:rsidRPr="00CF7500">
        <w:rPr>
          <w:i/>
          <w:sz w:val="24"/>
        </w:rPr>
        <w:t>An inquiry into the nature and causes of the wealth of nations</w:t>
      </w:r>
      <w:r w:rsidRPr="00CF7500">
        <w:rPr>
          <w:sz w:val="24"/>
        </w:rPr>
        <w:t>. London, U.K.</w:t>
      </w:r>
    </w:p>
    <w:p w14:paraId="62C0E649" w14:textId="77777777" w:rsidR="00676F76" w:rsidRPr="00AF2689" w:rsidRDefault="008C31C9" w:rsidP="00CF7500">
      <w:pPr>
        <w:pStyle w:val="Refs"/>
        <w:numPr>
          <w:ilvl w:val="0"/>
          <w:numId w:val="0"/>
        </w:numPr>
        <w:tabs>
          <w:tab w:val="clear" w:pos="360"/>
          <w:tab w:val="left" w:pos="709"/>
        </w:tabs>
        <w:ind w:left="170" w:hanging="425"/>
      </w:pPr>
      <w:r w:rsidRPr="00CF7500">
        <w:rPr>
          <w:sz w:val="24"/>
        </w:rPr>
        <w:t xml:space="preserve">Smith, A. J. 1990. “Corporate ownership structure and performance: The case of management buyouts”. </w:t>
      </w:r>
      <w:r w:rsidRPr="00CF7500">
        <w:rPr>
          <w:i/>
          <w:sz w:val="24"/>
        </w:rPr>
        <w:t>Journal of Financial Economics</w:t>
      </w:r>
      <w:r w:rsidRPr="00CF7500">
        <w:rPr>
          <w:sz w:val="24"/>
        </w:rPr>
        <w:t>. 27(1): 143-164.</w:t>
      </w:r>
    </w:p>
    <w:p w14:paraId="19E82DC0" w14:textId="77777777" w:rsidR="00676F76" w:rsidRPr="00AF2689" w:rsidRDefault="008C31C9" w:rsidP="00CF7500">
      <w:pPr>
        <w:pStyle w:val="Refs"/>
        <w:numPr>
          <w:ilvl w:val="0"/>
          <w:numId w:val="0"/>
        </w:numPr>
        <w:tabs>
          <w:tab w:val="clear" w:pos="360"/>
          <w:tab w:val="left" w:pos="709"/>
        </w:tabs>
        <w:ind w:left="170" w:hanging="425"/>
        <w:rPr>
          <w:i/>
        </w:rPr>
      </w:pPr>
      <w:r w:rsidRPr="00CF7500">
        <w:rPr>
          <w:sz w:val="24"/>
        </w:rPr>
        <w:t xml:space="preserve">Strömberg, P. 2007. “The new demography of private equity”. </w:t>
      </w:r>
      <w:r w:rsidRPr="00CF7500">
        <w:rPr>
          <w:i/>
          <w:sz w:val="24"/>
        </w:rPr>
        <w:t>The global impact of private equity report</w:t>
      </w:r>
      <w:r w:rsidRPr="00CF7500">
        <w:rPr>
          <w:sz w:val="24"/>
        </w:rPr>
        <w:t>. 1: 3-26.</w:t>
      </w:r>
    </w:p>
    <w:p w14:paraId="0544CF0C" w14:textId="77777777" w:rsidR="001870A0" w:rsidRPr="001870A0" w:rsidRDefault="008C31C9">
      <w:pPr>
        <w:pStyle w:val="Refs"/>
        <w:numPr>
          <w:ilvl w:val="0"/>
          <w:numId w:val="0"/>
        </w:numPr>
        <w:tabs>
          <w:tab w:val="clear" w:pos="360"/>
          <w:tab w:val="left" w:pos="709"/>
        </w:tabs>
        <w:ind w:left="170" w:hanging="425"/>
        <w:rPr>
          <w:sz w:val="24"/>
        </w:rPr>
      </w:pPr>
      <w:r w:rsidRPr="001870A0">
        <w:rPr>
          <w:sz w:val="24"/>
        </w:rPr>
        <w:t xml:space="preserve">Taylor, W. 1992. </w:t>
      </w:r>
      <w:r w:rsidR="000E1CF7" w:rsidRPr="001870A0">
        <w:rPr>
          <w:sz w:val="24"/>
        </w:rPr>
        <w:t>“</w:t>
      </w:r>
      <w:r w:rsidRPr="001870A0">
        <w:rPr>
          <w:sz w:val="24"/>
        </w:rPr>
        <w:t xml:space="preserve">Crime? Greed? Big </w:t>
      </w:r>
      <w:r w:rsidR="00C73ACA" w:rsidRPr="001870A0">
        <w:rPr>
          <w:sz w:val="24"/>
        </w:rPr>
        <w:t>i</w:t>
      </w:r>
      <w:r w:rsidRPr="001870A0">
        <w:rPr>
          <w:sz w:val="24"/>
        </w:rPr>
        <w:t xml:space="preserve">deas? What </w:t>
      </w:r>
      <w:r w:rsidR="00C73ACA" w:rsidRPr="001870A0">
        <w:rPr>
          <w:sz w:val="24"/>
        </w:rPr>
        <w:t>w</w:t>
      </w:r>
      <w:r w:rsidRPr="001870A0">
        <w:rPr>
          <w:sz w:val="24"/>
        </w:rPr>
        <w:t xml:space="preserve">ere the ’80s </w:t>
      </w:r>
      <w:r w:rsidR="00C73ACA" w:rsidRPr="001870A0">
        <w:rPr>
          <w:sz w:val="24"/>
        </w:rPr>
        <w:t>a</w:t>
      </w:r>
      <w:r w:rsidRPr="001870A0">
        <w:rPr>
          <w:sz w:val="24"/>
        </w:rPr>
        <w:t>bout?</w:t>
      </w:r>
      <w:r w:rsidR="000E1CF7" w:rsidRPr="001870A0">
        <w:rPr>
          <w:sz w:val="24"/>
        </w:rPr>
        <w:t>”</w:t>
      </w:r>
      <w:r w:rsidR="0099660B" w:rsidRPr="001870A0">
        <w:rPr>
          <w:sz w:val="24"/>
        </w:rPr>
        <w:t>.</w:t>
      </w:r>
      <w:r w:rsidRPr="001870A0">
        <w:rPr>
          <w:sz w:val="24"/>
        </w:rPr>
        <w:t xml:space="preserve"> </w:t>
      </w:r>
      <w:r w:rsidRPr="001870A0">
        <w:rPr>
          <w:i/>
          <w:sz w:val="24"/>
        </w:rPr>
        <w:t>Harvard Business Review</w:t>
      </w:r>
      <w:r w:rsidR="007648BD" w:rsidRPr="001870A0">
        <w:rPr>
          <w:sz w:val="24"/>
        </w:rPr>
        <w:t>. 3</w:t>
      </w:r>
      <w:r w:rsidRPr="001870A0">
        <w:rPr>
          <w:sz w:val="24"/>
        </w:rPr>
        <w:t>2</w:t>
      </w:r>
      <w:r w:rsidR="00744447" w:rsidRPr="001870A0">
        <w:rPr>
          <w:sz w:val="24"/>
        </w:rPr>
        <w:t>-</w:t>
      </w:r>
      <w:r w:rsidRPr="001870A0">
        <w:rPr>
          <w:sz w:val="24"/>
        </w:rPr>
        <w:t>45.</w:t>
      </w:r>
    </w:p>
    <w:p w14:paraId="04B0BB82" w14:textId="6F8874AB" w:rsidR="001870A0" w:rsidRPr="001870A0" w:rsidRDefault="001870A0">
      <w:pPr>
        <w:pStyle w:val="Refs"/>
        <w:numPr>
          <w:ilvl w:val="0"/>
          <w:numId w:val="0"/>
        </w:numPr>
        <w:tabs>
          <w:tab w:val="clear" w:pos="360"/>
          <w:tab w:val="left" w:pos="709"/>
        </w:tabs>
        <w:ind w:left="170" w:hanging="425"/>
        <w:rPr>
          <w:sz w:val="24"/>
        </w:rPr>
      </w:pPr>
      <w:r w:rsidRPr="00583051">
        <w:rPr>
          <w:sz w:val="24"/>
        </w:rPr>
        <w:t xml:space="preserve">Thomsen, S., </w:t>
      </w:r>
      <w:r w:rsidR="00041398" w:rsidRPr="000E2197">
        <w:rPr>
          <w:sz w:val="24"/>
        </w:rPr>
        <w:t xml:space="preserve">F. C. </w:t>
      </w:r>
      <w:r w:rsidR="00041398">
        <w:rPr>
          <w:sz w:val="24"/>
        </w:rPr>
        <w:t>Vinten.</w:t>
      </w:r>
      <w:r w:rsidRPr="00583051">
        <w:rPr>
          <w:sz w:val="24"/>
        </w:rPr>
        <w:t xml:space="preserve"> 2007. Equity Market Timing and the Decision to Delist. Working Paper. Copenhagen Busin</w:t>
      </w:r>
      <w:r w:rsidR="00041398">
        <w:rPr>
          <w:sz w:val="24"/>
        </w:rPr>
        <w:t>ess School, Copenhagen, Denmark.</w:t>
      </w:r>
      <w:r w:rsidRPr="00583051">
        <w:rPr>
          <w:sz w:val="24"/>
        </w:rPr>
        <w:t xml:space="preserve"> 137–169.</w:t>
      </w:r>
    </w:p>
    <w:p w14:paraId="654AC80A" w14:textId="6CAE6A2A" w:rsidR="00676F76" w:rsidRPr="001870A0" w:rsidRDefault="008C31C9" w:rsidP="00CF7500">
      <w:pPr>
        <w:pStyle w:val="Refs"/>
        <w:numPr>
          <w:ilvl w:val="0"/>
          <w:numId w:val="0"/>
        </w:numPr>
        <w:tabs>
          <w:tab w:val="left" w:pos="709"/>
        </w:tabs>
        <w:ind w:left="170" w:hanging="425"/>
        <w:rPr>
          <w:sz w:val="24"/>
        </w:rPr>
      </w:pPr>
      <w:r w:rsidRPr="001870A0">
        <w:rPr>
          <w:sz w:val="24"/>
        </w:rPr>
        <w:t xml:space="preserve">Ughetto, E. 2016. </w:t>
      </w:r>
      <w:r w:rsidR="000E1CF7" w:rsidRPr="001870A0">
        <w:rPr>
          <w:sz w:val="24"/>
        </w:rPr>
        <w:t>“</w:t>
      </w:r>
      <w:r w:rsidRPr="001870A0">
        <w:rPr>
          <w:sz w:val="24"/>
        </w:rPr>
        <w:t xml:space="preserve">Investments, financing constraints and buyouts: </w:t>
      </w:r>
      <w:r w:rsidR="005306D0" w:rsidRPr="001870A0">
        <w:rPr>
          <w:sz w:val="24"/>
        </w:rPr>
        <w:t>T</w:t>
      </w:r>
      <w:r w:rsidRPr="001870A0">
        <w:rPr>
          <w:sz w:val="24"/>
        </w:rPr>
        <w:t>he effect of private equity investors on the sensitivity of investments to cash flow</w:t>
      </w:r>
      <w:r w:rsidR="00B61C53" w:rsidRPr="001870A0">
        <w:rPr>
          <w:sz w:val="24"/>
        </w:rPr>
        <w:t>”</w:t>
      </w:r>
      <w:r w:rsidRPr="001870A0">
        <w:rPr>
          <w:sz w:val="24"/>
        </w:rPr>
        <w:t xml:space="preserve">. </w:t>
      </w:r>
      <w:r w:rsidRPr="001870A0">
        <w:rPr>
          <w:i/>
          <w:sz w:val="24"/>
        </w:rPr>
        <w:t>The Manchester School</w:t>
      </w:r>
      <w:r w:rsidR="00672C62" w:rsidRPr="001870A0">
        <w:rPr>
          <w:i/>
          <w:sz w:val="24"/>
        </w:rPr>
        <w:t>.</w:t>
      </w:r>
      <w:r w:rsidRPr="001870A0">
        <w:rPr>
          <w:sz w:val="24"/>
        </w:rPr>
        <w:t xml:space="preserve"> 84</w:t>
      </w:r>
      <w:r w:rsidR="00AC09AE" w:rsidRPr="001870A0">
        <w:rPr>
          <w:sz w:val="24"/>
        </w:rPr>
        <w:t>(1)</w:t>
      </w:r>
      <w:r w:rsidRPr="001870A0">
        <w:rPr>
          <w:sz w:val="24"/>
        </w:rPr>
        <w:t>: 25-54.</w:t>
      </w:r>
    </w:p>
    <w:p w14:paraId="00E91C9A" w14:textId="7D1FBD7E" w:rsidR="00676F76" w:rsidRPr="00CF7500" w:rsidRDefault="008C31C9" w:rsidP="00CF7500">
      <w:pPr>
        <w:pStyle w:val="Refs"/>
        <w:numPr>
          <w:ilvl w:val="0"/>
          <w:numId w:val="0"/>
        </w:numPr>
        <w:tabs>
          <w:tab w:val="left" w:pos="709"/>
        </w:tabs>
        <w:ind w:left="170" w:hanging="425"/>
        <w:rPr>
          <w:sz w:val="24"/>
        </w:rPr>
      </w:pPr>
      <w:r w:rsidRPr="00CF7500">
        <w:rPr>
          <w:sz w:val="24"/>
        </w:rPr>
        <w:t xml:space="preserve">Ughetto, E. 2010. </w:t>
      </w:r>
      <w:r w:rsidR="00B61C53" w:rsidRPr="00AF2689">
        <w:rPr>
          <w:sz w:val="24"/>
        </w:rPr>
        <w:t>“</w:t>
      </w:r>
      <w:r w:rsidRPr="00CF7500">
        <w:rPr>
          <w:sz w:val="24"/>
        </w:rPr>
        <w:t xml:space="preserve">Assessing the contribution to innovation of private equity investors: </w:t>
      </w:r>
      <w:r w:rsidR="005306D0" w:rsidRPr="00AF2689">
        <w:rPr>
          <w:sz w:val="24"/>
        </w:rPr>
        <w:t>A</w:t>
      </w:r>
      <w:r w:rsidRPr="00CF7500">
        <w:rPr>
          <w:sz w:val="24"/>
        </w:rPr>
        <w:t xml:space="preserve"> study on </w:t>
      </w:r>
      <w:r w:rsidR="005306D0" w:rsidRPr="00AF2689">
        <w:rPr>
          <w:sz w:val="24"/>
        </w:rPr>
        <w:t>E</w:t>
      </w:r>
      <w:r w:rsidRPr="00CF7500">
        <w:rPr>
          <w:sz w:val="24"/>
        </w:rPr>
        <w:t>uropean buyouts</w:t>
      </w:r>
      <w:r w:rsidR="00B61C53" w:rsidRPr="00AF2689">
        <w:rPr>
          <w:sz w:val="24"/>
        </w:rPr>
        <w:t>”</w:t>
      </w:r>
      <w:r w:rsidRPr="00CF7500">
        <w:rPr>
          <w:sz w:val="24"/>
        </w:rPr>
        <w:t xml:space="preserve">. </w:t>
      </w:r>
      <w:r w:rsidRPr="00CF7500">
        <w:rPr>
          <w:i/>
          <w:sz w:val="24"/>
        </w:rPr>
        <w:t>Research Policy</w:t>
      </w:r>
      <w:r w:rsidR="0099660B" w:rsidRPr="00AF2689">
        <w:rPr>
          <w:i/>
          <w:sz w:val="24"/>
        </w:rPr>
        <w:t>.</w:t>
      </w:r>
      <w:r w:rsidRPr="00CF7500">
        <w:rPr>
          <w:sz w:val="24"/>
        </w:rPr>
        <w:t xml:space="preserve"> 39</w:t>
      </w:r>
      <w:r w:rsidR="00672C62" w:rsidRPr="00AF2689">
        <w:rPr>
          <w:sz w:val="24"/>
        </w:rPr>
        <w:t>(1)</w:t>
      </w:r>
      <w:r w:rsidRPr="00CF7500">
        <w:rPr>
          <w:sz w:val="24"/>
        </w:rPr>
        <w:t>: 126-140.</w:t>
      </w:r>
    </w:p>
    <w:p w14:paraId="09FAE1D1" w14:textId="223DE2EE"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Vafeas, N</w:t>
      </w:r>
      <w:r w:rsidR="00EC371C" w:rsidRPr="00AF2689">
        <w:rPr>
          <w:sz w:val="24"/>
        </w:rPr>
        <w:t xml:space="preserve">. </w:t>
      </w:r>
      <w:r w:rsidRPr="00CF7500">
        <w:rPr>
          <w:sz w:val="24"/>
        </w:rPr>
        <w:t xml:space="preserve">1999. </w:t>
      </w:r>
      <w:r w:rsidR="00B61C53" w:rsidRPr="00AF2689">
        <w:rPr>
          <w:sz w:val="24"/>
        </w:rPr>
        <w:t>“</w:t>
      </w:r>
      <w:r w:rsidRPr="00CF7500">
        <w:rPr>
          <w:sz w:val="24"/>
        </w:rPr>
        <w:t>Board meeting frequency and firm performance</w:t>
      </w:r>
      <w:r w:rsidR="00B61C53" w:rsidRPr="00AF2689">
        <w:rPr>
          <w:sz w:val="24"/>
        </w:rPr>
        <w:t>”</w:t>
      </w:r>
      <w:r w:rsidRPr="00CF7500">
        <w:rPr>
          <w:sz w:val="24"/>
        </w:rPr>
        <w:t xml:space="preserve">. </w:t>
      </w:r>
      <w:r w:rsidRPr="00CF7500">
        <w:rPr>
          <w:i/>
          <w:sz w:val="24"/>
        </w:rPr>
        <w:t>Journal of Financial Economics</w:t>
      </w:r>
      <w:r w:rsidR="007648BD" w:rsidRPr="00AF2689">
        <w:rPr>
          <w:sz w:val="24"/>
        </w:rPr>
        <w:t>. 5</w:t>
      </w:r>
      <w:r w:rsidRPr="00CF7500">
        <w:rPr>
          <w:sz w:val="24"/>
        </w:rPr>
        <w:t>3</w:t>
      </w:r>
      <w:r w:rsidR="00672C62" w:rsidRPr="00AF2689">
        <w:rPr>
          <w:sz w:val="24"/>
        </w:rPr>
        <w:t>(1)</w:t>
      </w:r>
      <w:r w:rsidRPr="00CF7500">
        <w:rPr>
          <w:sz w:val="24"/>
        </w:rPr>
        <w:t>: 113</w:t>
      </w:r>
      <w:r w:rsidR="00744447" w:rsidRPr="00AF2689">
        <w:rPr>
          <w:sz w:val="24"/>
        </w:rPr>
        <w:t>-</w:t>
      </w:r>
      <w:r w:rsidRPr="00CF7500">
        <w:rPr>
          <w:sz w:val="24"/>
        </w:rPr>
        <w:t>142.</w:t>
      </w:r>
    </w:p>
    <w:p w14:paraId="78B5C64C" w14:textId="53F59A40" w:rsidR="00676F76" w:rsidRPr="00CF7500" w:rsidRDefault="008C31C9" w:rsidP="00CF7500">
      <w:pPr>
        <w:pStyle w:val="Refs"/>
        <w:numPr>
          <w:ilvl w:val="0"/>
          <w:numId w:val="0"/>
        </w:numPr>
        <w:tabs>
          <w:tab w:val="clear" w:pos="360"/>
          <w:tab w:val="left" w:pos="709"/>
        </w:tabs>
        <w:ind w:left="170" w:hanging="425"/>
        <w:rPr>
          <w:sz w:val="24"/>
        </w:rPr>
      </w:pPr>
      <w:r w:rsidRPr="00CF7500">
        <w:rPr>
          <w:sz w:val="24"/>
        </w:rPr>
        <w:t xml:space="preserve">Valkama, P., </w:t>
      </w:r>
      <w:r w:rsidR="00EC371C" w:rsidRPr="00AF2689">
        <w:rPr>
          <w:sz w:val="24"/>
        </w:rPr>
        <w:t xml:space="preserve">M. </w:t>
      </w:r>
      <w:r w:rsidRPr="00CF7500">
        <w:rPr>
          <w:sz w:val="24"/>
        </w:rPr>
        <w:t xml:space="preserve">Maula, </w:t>
      </w:r>
      <w:r w:rsidR="00EC371C" w:rsidRPr="00AF2689">
        <w:rPr>
          <w:sz w:val="24"/>
        </w:rPr>
        <w:t xml:space="preserve">E. </w:t>
      </w:r>
      <w:r w:rsidRPr="00CF7500">
        <w:rPr>
          <w:sz w:val="24"/>
        </w:rPr>
        <w:t xml:space="preserve">Nikoskelainen, and </w:t>
      </w:r>
      <w:r w:rsidR="00EC371C" w:rsidRPr="00AF2689">
        <w:rPr>
          <w:sz w:val="24"/>
        </w:rPr>
        <w:t xml:space="preserve">M. </w:t>
      </w:r>
      <w:r w:rsidRPr="00CF7500">
        <w:rPr>
          <w:sz w:val="24"/>
        </w:rPr>
        <w:t xml:space="preserve">Wright. 2013. </w:t>
      </w:r>
      <w:r w:rsidR="00B61C53" w:rsidRPr="00AF2689">
        <w:rPr>
          <w:sz w:val="24"/>
        </w:rPr>
        <w:t>“</w:t>
      </w:r>
      <w:r w:rsidR="00672C62" w:rsidRPr="00AF2689">
        <w:rPr>
          <w:sz w:val="24"/>
        </w:rPr>
        <w:t>Drivers of holding period firm-level returns in private equity-backed buyouts</w:t>
      </w:r>
      <w:r w:rsidR="00B61C53" w:rsidRPr="00AF2689">
        <w:rPr>
          <w:sz w:val="24"/>
        </w:rPr>
        <w:t>”</w:t>
      </w:r>
      <w:r w:rsidRPr="00CF7500">
        <w:rPr>
          <w:sz w:val="24"/>
        </w:rPr>
        <w:t xml:space="preserve">. </w:t>
      </w:r>
      <w:r w:rsidRPr="00CF7500">
        <w:rPr>
          <w:i/>
          <w:sz w:val="24"/>
        </w:rPr>
        <w:t>Journal of Banking and Finance</w:t>
      </w:r>
      <w:r w:rsidR="007648BD" w:rsidRPr="00AF2689">
        <w:rPr>
          <w:sz w:val="24"/>
        </w:rPr>
        <w:t>. 3</w:t>
      </w:r>
      <w:r w:rsidRPr="00CF7500">
        <w:rPr>
          <w:sz w:val="24"/>
        </w:rPr>
        <w:t>7</w:t>
      </w:r>
      <w:r w:rsidR="00672C62" w:rsidRPr="00AF2689">
        <w:rPr>
          <w:sz w:val="24"/>
        </w:rPr>
        <w:t>(7)</w:t>
      </w:r>
      <w:r w:rsidRPr="00CF7500">
        <w:rPr>
          <w:sz w:val="24"/>
        </w:rPr>
        <w:t>: 2378-2391.</w:t>
      </w:r>
    </w:p>
    <w:p w14:paraId="70853FDD" w14:textId="18966663"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Wang, Y. 2012. </w:t>
      </w:r>
      <w:r w:rsidR="00B61C53" w:rsidRPr="00AF2689">
        <w:rPr>
          <w:sz w:val="24"/>
        </w:rPr>
        <w:t>“</w:t>
      </w:r>
      <w:r w:rsidRPr="00CF7500">
        <w:rPr>
          <w:sz w:val="24"/>
        </w:rPr>
        <w:t xml:space="preserve">Secondary buyouts: </w:t>
      </w:r>
      <w:r w:rsidR="00BF56F4" w:rsidRPr="00AF2689">
        <w:rPr>
          <w:sz w:val="24"/>
        </w:rPr>
        <w:t>W</w:t>
      </w:r>
      <w:r w:rsidRPr="00CF7500">
        <w:rPr>
          <w:sz w:val="24"/>
        </w:rPr>
        <w:t>hat buy and at what price</w:t>
      </w:r>
      <w:r w:rsidR="007A44F1" w:rsidRPr="00AF2689">
        <w:rPr>
          <w:sz w:val="24"/>
        </w:rPr>
        <w:t xml:space="preserve">?”. </w:t>
      </w:r>
      <w:r w:rsidRPr="00CF7500">
        <w:rPr>
          <w:i/>
          <w:sz w:val="24"/>
        </w:rPr>
        <w:t>Journal of Corporate Finance</w:t>
      </w:r>
      <w:r w:rsidR="007648BD" w:rsidRPr="00AF2689">
        <w:rPr>
          <w:sz w:val="24"/>
        </w:rPr>
        <w:t>. 1</w:t>
      </w:r>
      <w:r w:rsidRPr="00CF7500">
        <w:rPr>
          <w:sz w:val="24"/>
        </w:rPr>
        <w:t>8</w:t>
      </w:r>
      <w:r w:rsidR="00654FBD" w:rsidRPr="00AF2689">
        <w:rPr>
          <w:sz w:val="24"/>
        </w:rPr>
        <w:t>(5)</w:t>
      </w:r>
      <w:r w:rsidRPr="00CF7500">
        <w:rPr>
          <w:sz w:val="24"/>
        </w:rPr>
        <w:t>: 1306-1325.</w:t>
      </w:r>
    </w:p>
    <w:p w14:paraId="42EFF93F" w14:textId="3D85C6AC" w:rsidR="00833567" w:rsidRDefault="008C31C9" w:rsidP="00833567">
      <w:pPr>
        <w:pStyle w:val="Refs"/>
        <w:numPr>
          <w:ilvl w:val="0"/>
          <w:numId w:val="0"/>
        </w:numPr>
        <w:tabs>
          <w:tab w:val="clear" w:pos="360"/>
          <w:tab w:val="left" w:pos="709"/>
        </w:tabs>
        <w:ind w:left="170" w:hanging="425"/>
        <w:rPr>
          <w:sz w:val="24"/>
        </w:rPr>
      </w:pPr>
      <w:r w:rsidRPr="00CF7500">
        <w:rPr>
          <w:sz w:val="24"/>
        </w:rPr>
        <w:t xml:space="preserve">Weir, C. 1996. </w:t>
      </w:r>
      <w:r w:rsidR="00B61C53" w:rsidRPr="00AF2689">
        <w:rPr>
          <w:sz w:val="24"/>
        </w:rPr>
        <w:t>“</w:t>
      </w:r>
      <w:r w:rsidRPr="00CF7500">
        <w:rPr>
          <w:sz w:val="24"/>
        </w:rPr>
        <w:t>Management buyouts and entrepreneurial opportunities</w:t>
      </w:r>
      <w:r w:rsidR="00B61C53" w:rsidRPr="00AF2689">
        <w:rPr>
          <w:sz w:val="24"/>
        </w:rPr>
        <w:t>”</w:t>
      </w:r>
      <w:r w:rsidRPr="00CF7500">
        <w:rPr>
          <w:sz w:val="24"/>
        </w:rPr>
        <w:t xml:space="preserve">. </w:t>
      </w:r>
      <w:r w:rsidRPr="00CF7500">
        <w:rPr>
          <w:i/>
          <w:sz w:val="24"/>
        </w:rPr>
        <w:t>Management Decisions</w:t>
      </w:r>
      <w:r w:rsidR="007648BD" w:rsidRPr="00AF2689">
        <w:rPr>
          <w:sz w:val="24"/>
        </w:rPr>
        <w:t>. 3</w:t>
      </w:r>
      <w:r w:rsidRPr="00CF7500">
        <w:rPr>
          <w:sz w:val="24"/>
        </w:rPr>
        <w:t>4</w:t>
      </w:r>
      <w:r w:rsidR="00CD1425" w:rsidRPr="00AF2689">
        <w:rPr>
          <w:sz w:val="24"/>
        </w:rPr>
        <w:t>(</w:t>
      </w:r>
      <w:r w:rsidRPr="00CF7500">
        <w:rPr>
          <w:sz w:val="24"/>
        </w:rPr>
        <w:t>3</w:t>
      </w:r>
      <w:r w:rsidR="00AA5369" w:rsidRPr="00AF2689">
        <w:rPr>
          <w:sz w:val="24"/>
        </w:rPr>
        <w:t>)</w:t>
      </w:r>
      <w:r w:rsidRPr="00CF7500">
        <w:rPr>
          <w:sz w:val="24"/>
        </w:rPr>
        <w:t>: 23</w:t>
      </w:r>
      <w:r w:rsidR="00744447" w:rsidRPr="00AF2689">
        <w:rPr>
          <w:sz w:val="24"/>
        </w:rPr>
        <w:t>-</w:t>
      </w:r>
      <w:r w:rsidRPr="00CF7500">
        <w:rPr>
          <w:sz w:val="24"/>
        </w:rPr>
        <w:t>28.</w:t>
      </w:r>
      <w:r w:rsidR="00833567">
        <w:rPr>
          <w:sz w:val="24"/>
        </w:rPr>
        <w:t xml:space="preserve"> </w:t>
      </w:r>
    </w:p>
    <w:p w14:paraId="0B39B863" w14:textId="66A44899" w:rsidR="00833567" w:rsidRDefault="008C31C9" w:rsidP="00833567">
      <w:pPr>
        <w:pStyle w:val="Refs"/>
        <w:numPr>
          <w:ilvl w:val="0"/>
          <w:numId w:val="0"/>
        </w:numPr>
        <w:tabs>
          <w:tab w:val="clear" w:pos="360"/>
          <w:tab w:val="left" w:pos="709"/>
        </w:tabs>
        <w:ind w:left="170" w:hanging="425"/>
      </w:pPr>
      <w:r w:rsidRPr="00833567">
        <w:rPr>
          <w:sz w:val="24"/>
        </w:rPr>
        <w:t>W</w:t>
      </w:r>
      <w:r w:rsidRPr="00CF7500">
        <w:rPr>
          <w:sz w:val="24"/>
        </w:rPr>
        <w:t xml:space="preserve">ilson N. and </w:t>
      </w:r>
      <w:r w:rsidR="00ED42FB" w:rsidRPr="00AF2689">
        <w:rPr>
          <w:sz w:val="24"/>
        </w:rPr>
        <w:t>M.</w:t>
      </w:r>
      <w:r w:rsidRPr="00CF7500">
        <w:rPr>
          <w:sz w:val="24"/>
        </w:rPr>
        <w:t xml:space="preserve"> Wright. 2013. </w:t>
      </w:r>
      <w:r w:rsidR="00B61C53" w:rsidRPr="00AF2689">
        <w:rPr>
          <w:sz w:val="24"/>
        </w:rPr>
        <w:t>“</w:t>
      </w:r>
      <w:r w:rsidR="00AD0003" w:rsidRPr="00AF2689">
        <w:rPr>
          <w:sz w:val="24"/>
        </w:rPr>
        <w:t>Private Equity, Buy</w:t>
      </w:r>
      <w:r w:rsidR="00AD0003" w:rsidRPr="00AF2689">
        <w:rPr>
          <w:rFonts w:ascii="Noteworthy Light" w:hAnsi="Noteworthy Light" w:cs="Noteworthy Light"/>
          <w:sz w:val="24"/>
        </w:rPr>
        <w:t>‐</w:t>
      </w:r>
      <w:r w:rsidR="00AD0003" w:rsidRPr="00AF2689">
        <w:rPr>
          <w:sz w:val="24"/>
        </w:rPr>
        <w:t>outs and Insolvency Risk</w:t>
      </w:r>
      <w:r w:rsidR="00B61C53" w:rsidRPr="00AF2689">
        <w:rPr>
          <w:sz w:val="24"/>
        </w:rPr>
        <w:t>”</w:t>
      </w:r>
      <w:r w:rsidRPr="00CF7500">
        <w:rPr>
          <w:sz w:val="24"/>
        </w:rPr>
        <w:t xml:space="preserve">. </w:t>
      </w:r>
      <w:r w:rsidRPr="00CF7500">
        <w:rPr>
          <w:i/>
          <w:sz w:val="24"/>
        </w:rPr>
        <w:t>Journal of Business Finance and Accounting</w:t>
      </w:r>
      <w:r w:rsidR="00477DDB" w:rsidRPr="00AF2689">
        <w:rPr>
          <w:i/>
          <w:sz w:val="24"/>
        </w:rPr>
        <w:t>.</w:t>
      </w:r>
      <w:r w:rsidRPr="00CF7500">
        <w:rPr>
          <w:sz w:val="24"/>
        </w:rPr>
        <w:t xml:space="preserve"> 40</w:t>
      </w:r>
      <w:r w:rsidR="00AD0003" w:rsidRPr="00AF2689">
        <w:rPr>
          <w:sz w:val="24"/>
        </w:rPr>
        <w:t>(7-8)</w:t>
      </w:r>
      <w:r w:rsidRPr="00CF7500">
        <w:rPr>
          <w:sz w:val="24"/>
        </w:rPr>
        <w:t>: 949-900.</w:t>
      </w:r>
      <w:r w:rsidR="00833567" w:rsidRPr="00833567">
        <w:t xml:space="preserve"> </w:t>
      </w:r>
    </w:p>
    <w:p w14:paraId="406360EB" w14:textId="77777777" w:rsidR="00833567" w:rsidRPr="00833567" w:rsidRDefault="00833567" w:rsidP="00833567">
      <w:pPr>
        <w:pStyle w:val="Refs"/>
        <w:numPr>
          <w:ilvl w:val="0"/>
          <w:numId w:val="0"/>
        </w:numPr>
        <w:tabs>
          <w:tab w:val="clear" w:pos="360"/>
          <w:tab w:val="left" w:pos="709"/>
        </w:tabs>
        <w:ind w:left="170" w:hanging="425"/>
        <w:rPr>
          <w:sz w:val="24"/>
        </w:rPr>
      </w:pPr>
      <w:r w:rsidRPr="00833567">
        <w:rPr>
          <w:sz w:val="24"/>
        </w:rPr>
        <w:t xml:space="preserve">Wood, G. and </w:t>
      </w:r>
      <w:r>
        <w:rPr>
          <w:sz w:val="24"/>
        </w:rPr>
        <w:t xml:space="preserve">M. </w:t>
      </w:r>
      <w:r w:rsidRPr="00833567">
        <w:rPr>
          <w:sz w:val="24"/>
        </w:rPr>
        <w:t>Wright</w:t>
      </w:r>
      <w:r>
        <w:rPr>
          <w:sz w:val="24"/>
        </w:rPr>
        <w:t>.</w:t>
      </w:r>
      <w:r w:rsidRPr="00833567">
        <w:rPr>
          <w:sz w:val="24"/>
        </w:rPr>
        <w:t xml:space="preserve"> 2009. </w:t>
      </w:r>
      <w:r>
        <w:rPr>
          <w:sz w:val="24"/>
        </w:rPr>
        <w:t>“</w:t>
      </w:r>
      <w:r w:rsidRPr="00833567">
        <w:rPr>
          <w:sz w:val="24"/>
        </w:rPr>
        <w:t>Private equity: A review and synthesis</w:t>
      </w:r>
      <w:r>
        <w:rPr>
          <w:sz w:val="24"/>
        </w:rPr>
        <w:t>”</w:t>
      </w:r>
      <w:r w:rsidRPr="00833567">
        <w:rPr>
          <w:sz w:val="24"/>
        </w:rPr>
        <w:t xml:space="preserve">. </w:t>
      </w:r>
      <w:r w:rsidRPr="00833567">
        <w:rPr>
          <w:i/>
          <w:sz w:val="24"/>
        </w:rPr>
        <w:t>International Journal of Management Reviews</w:t>
      </w:r>
      <w:r w:rsidRPr="00833567">
        <w:rPr>
          <w:sz w:val="24"/>
        </w:rPr>
        <w:t>, 11(4): 361-380</w:t>
      </w:r>
      <w:r>
        <w:rPr>
          <w:sz w:val="24"/>
        </w:rPr>
        <w:t>.</w:t>
      </w:r>
    </w:p>
    <w:p w14:paraId="272E965D" w14:textId="61997393"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Wright, M. and </w:t>
      </w:r>
      <w:r w:rsidR="00ED42FB" w:rsidRPr="00AF2689">
        <w:rPr>
          <w:sz w:val="24"/>
        </w:rPr>
        <w:t>J.</w:t>
      </w:r>
      <w:r w:rsidRPr="00CF7500">
        <w:rPr>
          <w:sz w:val="24"/>
        </w:rPr>
        <w:t xml:space="preserve"> Coyne. 1985. </w:t>
      </w:r>
      <w:r w:rsidRPr="00CF7500">
        <w:rPr>
          <w:i/>
          <w:sz w:val="24"/>
        </w:rPr>
        <w:t>Management buy-outs</w:t>
      </w:r>
      <w:r w:rsidRPr="00CF7500">
        <w:rPr>
          <w:sz w:val="24"/>
        </w:rPr>
        <w:t>. London: Croom Helm.</w:t>
      </w:r>
    </w:p>
    <w:p w14:paraId="414B3963" w14:textId="1FCA040B"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Wright, M., </w:t>
      </w:r>
      <w:r w:rsidR="00ED42FB" w:rsidRPr="00AF2689">
        <w:rPr>
          <w:sz w:val="24"/>
        </w:rPr>
        <w:t xml:space="preserve">K. </w:t>
      </w:r>
      <w:r w:rsidRPr="00CF7500">
        <w:rPr>
          <w:sz w:val="24"/>
        </w:rPr>
        <w:t xml:space="preserve">Robbie, </w:t>
      </w:r>
      <w:r w:rsidR="00ED42FB" w:rsidRPr="00AF2689">
        <w:rPr>
          <w:sz w:val="24"/>
        </w:rPr>
        <w:t xml:space="preserve">S. </w:t>
      </w:r>
      <w:r w:rsidRPr="00CF7500">
        <w:rPr>
          <w:sz w:val="24"/>
        </w:rPr>
        <w:t>Thompson,</w:t>
      </w:r>
      <w:r w:rsidR="00ED42FB" w:rsidRPr="00AF2689">
        <w:rPr>
          <w:sz w:val="24"/>
        </w:rPr>
        <w:t xml:space="preserve"> </w:t>
      </w:r>
      <w:r w:rsidRPr="00CF7500">
        <w:rPr>
          <w:sz w:val="24"/>
        </w:rPr>
        <w:t xml:space="preserve">and </w:t>
      </w:r>
      <w:r w:rsidR="00ED42FB" w:rsidRPr="00AF2689">
        <w:rPr>
          <w:sz w:val="24"/>
        </w:rPr>
        <w:t>K.</w:t>
      </w:r>
      <w:r w:rsidRPr="00CF7500">
        <w:rPr>
          <w:sz w:val="24"/>
        </w:rPr>
        <w:t xml:space="preserve"> Starkey. 1994. </w:t>
      </w:r>
      <w:r w:rsidR="00B61C53" w:rsidRPr="00AF2689">
        <w:rPr>
          <w:sz w:val="24"/>
        </w:rPr>
        <w:t>“</w:t>
      </w:r>
      <w:r w:rsidRPr="00CF7500">
        <w:rPr>
          <w:sz w:val="24"/>
        </w:rPr>
        <w:t>Longevity and the life-cycle of management buyouts</w:t>
      </w:r>
      <w:r w:rsidR="00B61C53" w:rsidRPr="00AF2689">
        <w:rPr>
          <w:sz w:val="24"/>
        </w:rPr>
        <w:t>”</w:t>
      </w:r>
      <w:r w:rsidRPr="00CF7500">
        <w:rPr>
          <w:sz w:val="24"/>
        </w:rPr>
        <w:t xml:space="preserve">. </w:t>
      </w:r>
      <w:r w:rsidRPr="00CF7500">
        <w:rPr>
          <w:i/>
          <w:sz w:val="24"/>
        </w:rPr>
        <w:t>Strategic Management Journal</w:t>
      </w:r>
      <w:r w:rsidR="007648BD" w:rsidRPr="00AF2689">
        <w:rPr>
          <w:sz w:val="24"/>
        </w:rPr>
        <w:t>. 1</w:t>
      </w:r>
      <w:r w:rsidRPr="00CF7500">
        <w:rPr>
          <w:sz w:val="24"/>
        </w:rPr>
        <w:t>5</w:t>
      </w:r>
      <w:r w:rsidR="00AB1445" w:rsidRPr="00AF2689">
        <w:rPr>
          <w:sz w:val="24"/>
        </w:rPr>
        <w:t>(3)</w:t>
      </w:r>
      <w:r w:rsidRPr="00CF7500">
        <w:rPr>
          <w:sz w:val="24"/>
        </w:rPr>
        <w:t>:</w:t>
      </w:r>
      <w:r w:rsidR="00AB1445" w:rsidRPr="00AF2689">
        <w:rPr>
          <w:sz w:val="24"/>
        </w:rPr>
        <w:t xml:space="preserve"> </w:t>
      </w:r>
      <w:r w:rsidRPr="00CF7500">
        <w:rPr>
          <w:sz w:val="24"/>
        </w:rPr>
        <w:t>215</w:t>
      </w:r>
      <w:r w:rsidR="00744447" w:rsidRPr="00AF2689">
        <w:rPr>
          <w:sz w:val="24"/>
        </w:rPr>
        <w:t>-</w:t>
      </w:r>
      <w:r w:rsidRPr="00CF7500">
        <w:rPr>
          <w:sz w:val="24"/>
        </w:rPr>
        <w:t>227.</w:t>
      </w:r>
    </w:p>
    <w:p w14:paraId="7DE56F5E" w14:textId="45A177E3"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Wright, M., </w:t>
      </w:r>
      <w:r w:rsidR="002D601B" w:rsidRPr="00AF2689">
        <w:rPr>
          <w:sz w:val="24"/>
        </w:rPr>
        <w:t xml:space="preserve">S. </w:t>
      </w:r>
      <w:r w:rsidRPr="00CF7500">
        <w:rPr>
          <w:sz w:val="24"/>
        </w:rPr>
        <w:t xml:space="preserve">Thompson, </w:t>
      </w:r>
      <w:r w:rsidR="002D601B" w:rsidRPr="00AF2689">
        <w:rPr>
          <w:sz w:val="24"/>
        </w:rPr>
        <w:t xml:space="preserve">K. </w:t>
      </w:r>
      <w:r w:rsidRPr="00CF7500">
        <w:rPr>
          <w:sz w:val="24"/>
        </w:rPr>
        <w:t xml:space="preserve">Robbie, and </w:t>
      </w:r>
      <w:r w:rsidR="002D601B" w:rsidRPr="00AF2689">
        <w:rPr>
          <w:sz w:val="24"/>
        </w:rPr>
        <w:t xml:space="preserve">P. </w:t>
      </w:r>
      <w:r w:rsidRPr="00CF7500">
        <w:rPr>
          <w:sz w:val="24"/>
        </w:rPr>
        <w:t>Wong</w:t>
      </w:r>
      <w:r w:rsidR="002D601B" w:rsidRPr="00AF2689">
        <w:rPr>
          <w:sz w:val="24"/>
        </w:rPr>
        <w:t xml:space="preserve">. </w:t>
      </w:r>
      <w:r w:rsidRPr="00CF7500">
        <w:rPr>
          <w:sz w:val="24"/>
        </w:rPr>
        <w:t xml:space="preserve">1995. </w:t>
      </w:r>
      <w:r w:rsidR="00B61C53" w:rsidRPr="00AF2689">
        <w:rPr>
          <w:sz w:val="24"/>
        </w:rPr>
        <w:t>“</w:t>
      </w:r>
      <w:r w:rsidR="00ED42FB" w:rsidRPr="00AF2689">
        <w:rPr>
          <w:sz w:val="24"/>
        </w:rPr>
        <w:t>M</w:t>
      </w:r>
      <w:r w:rsidRPr="00CF7500">
        <w:rPr>
          <w:sz w:val="24"/>
        </w:rPr>
        <w:t>anagement buy-outs in the short and long term</w:t>
      </w:r>
      <w:r w:rsidR="00B61C53" w:rsidRPr="00AF2689">
        <w:rPr>
          <w:sz w:val="24"/>
        </w:rPr>
        <w:t>”.</w:t>
      </w:r>
      <w:r w:rsidRPr="00CF7500">
        <w:rPr>
          <w:sz w:val="24"/>
        </w:rPr>
        <w:t xml:space="preserve"> </w:t>
      </w:r>
      <w:r w:rsidRPr="00CF7500">
        <w:rPr>
          <w:i/>
          <w:sz w:val="24"/>
        </w:rPr>
        <w:t>Journal of Business Finance and Accounting</w:t>
      </w:r>
      <w:r w:rsidR="00477DDB" w:rsidRPr="00AF2689">
        <w:rPr>
          <w:sz w:val="24"/>
        </w:rPr>
        <w:t>.</w:t>
      </w:r>
      <w:r w:rsidRPr="00CF7500">
        <w:rPr>
          <w:sz w:val="24"/>
        </w:rPr>
        <w:t xml:space="preserve"> </w:t>
      </w:r>
      <w:r w:rsidR="00AB1445" w:rsidRPr="00AF2689">
        <w:rPr>
          <w:sz w:val="24"/>
        </w:rPr>
        <w:t>22(4):</w:t>
      </w:r>
      <w:r w:rsidR="00477DDB" w:rsidRPr="00AF2689">
        <w:rPr>
          <w:sz w:val="24"/>
        </w:rPr>
        <w:t xml:space="preserve"> 461</w:t>
      </w:r>
      <w:r w:rsidR="00744447" w:rsidRPr="00AF2689">
        <w:rPr>
          <w:sz w:val="24"/>
        </w:rPr>
        <w:t>-</w:t>
      </w:r>
      <w:r w:rsidR="00477DDB" w:rsidRPr="00AF2689">
        <w:rPr>
          <w:sz w:val="24"/>
        </w:rPr>
        <w:t>482.</w:t>
      </w:r>
    </w:p>
    <w:p w14:paraId="65EE5245" w14:textId="7DBC7031"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Wright, M., </w:t>
      </w:r>
      <w:r w:rsidR="002D601B" w:rsidRPr="00AF2689">
        <w:rPr>
          <w:sz w:val="24"/>
        </w:rPr>
        <w:t xml:space="preserve">J. </w:t>
      </w:r>
      <w:r w:rsidRPr="00CF7500">
        <w:rPr>
          <w:sz w:val="24"/>
        </w:rPr>
        <w:t xml:space="preserve">Gilligan, and </w:t>
      </w:r>
      <w:r w:rsidR="002D601B" w:rsidRPr="00AF2689">
        <w:rPr>
          <w:sz w:val="24"/>
        </w:rPr>
        <w:t>K.</w:t>
      </w:r>
      <w:r w:rsidRPr="00CF7500">
        <w:rPr>
          <w:sz w:val="24"/>
        </w:rPr>
        <w:t xml:space="preserve"> Amess</w:t>
      </w:r>
      <w:r w:rsidR="002D601B" w:rsidRPr="00AF2689">
        <w:rPr>
          <w:sz w:val="24"/>
        </w:rPr>
        <w:t>.</w:t>
      </w:r>
      <w:r w:rsidRPr="00CF7500">
        <w:rPr>
          <w:sz w:val="24"/>
        </w:rPr>
        <w:t xml:space="preserve"> 2009. </w:t>
      </w:r>
      <w:r w:rsidR="00B61C53" w:rsidRPr="00AF2689">
        <w:rPr>
          <w:sz w:val="24"/>
        </w:rPr>
        <w:t>“</w:t>
      </w:r>
      <w:r w:rsidRPr="00CF7500">
        <w:rPr>
          <w:sz w:val="24"/>
        </w:rPr>
        <w:t xml:space="preserve">The economic impact of private equity: </w:t>
      </w:r>
      <w:r w:rsidR="005C0F58" w:rsidRPr="00AF2689">
        <w:rPr>
          <w:sz w:val="24"/>
        </w:rPr>
        <w:t>W</w:t>
      </w:r>
      <w:r w:rsidRPr="00CF7500">
        <w:rPr>
          <w:sz w:val="24"/>
        </w:rPr>
        <w:t>hat we know and what we would like to know</w:t>
      </w:r>
      <w:r w:rsidR="00B61C53" w:rsidRPr="00AF2689">
        <w:rPr>
          <w:sz w:val="24"/>
        </w:rPr>
        <w:t>”</w:t>
      </w:r>
      <w:r w:rsidRPr="00CF7500">
        <w:rPr>
          <w:sz w:val="24"/>
        </w:rPr>
        <w:t xml:space="preserve">. </w:t>
      </w:r>
      <w:r w:rsidRPr="00CF7500">
        <w:rPr>
          <w:i/>
          <w:sz w:val="24"/>
        </w:rPr>
        <w:t>Venture Capital: An International Journal of Entrepreneurial Finance</w:t>
      </w:r>
      <w:r w:rsidR="007648BD" w:rsidRPr="00AF2689">
        <w:rPr>
          <w:sz w:val="24"/>
        </w:rPr>
        <w:t>. 1</w:t>
      </w:r>
      <w:r w:rsidRPr="00CF7500">
        <w:rPr>
          <w:sz w:val="24"/>
        </w:rPr>
        <w:t>1</w:t>
      </w:r>
      <w:r w:rsidR="00AB1445" w:rsidRPr="00AF2689">
        <w:rPr>
          <w:sz w:val="24"/>
        </w:rPr>
        <w:t>(1)</w:t>
      </w:r>
      <w:r w:rsidRPr="00CF7500">
        <w:rPr>
          <w:sz w:val="24"/>
        </w:rPr>
        <w:t>: 1</w:t>
      </w:r>
      <w:r w:rsidR="00744447" w:rsidRPr="00AF2689">
        <w:rPr>
          <w:sz w:val="24"/>
        </w:rPr>
        <w:t>-</w:t>
      </w:r>
      <w:r w:rsidRPr="00CF7500">
        <w:rPr>
          <w:sz w:val="24"/>
        </w:rPr>
        <w:t>21.</w:t>
      </w:r>
    </w:p>
    <w:p w14:paraId="02D71B47" w14:textId="623C3FA6" w:rsidR="00676F76" w:rsidRPr="00AF2689" w:rsidRDefault="007A5C2B" w:rsidP="00CF7500">
      <w:pPr>
        <w:pStyle w:val="Refs"/>
        <w:numPr>
          <w:ilvl w:val="0"/>
          <w:numId w:val="0"/>
        </w:numPr>
        <w:tabs>
          <w:tab w:val="clear" w:pos="360"/>
          <w:tab w:val="left" w:pos="709"/>
        </w:tabs>
        <w:ind w:left="170" w:hanging="425"/>
        <w:rPr>
          <w:sz w:val="24"/>
        </w:rPr>
      </w:pPr>
      <w:r w:rsidRPr="00AF2689">
        <w:rPr>
          <w:sz w:val="24"/>
        </w:rPr>
        <w:t>Wright, M., R.</w:t>
      </w:r>
      <w:r w:rsidR="009915D0" w:rsidRPr="00AF2689">
        <w:rPr>
          <w:sz w:val="24"/>
        </w:rPr>
        <w:t xml:space="preserve"> </w:t>
      </w:r>
      <w:r w:rsidRPr="00AF2689">
        <w:rPr>
          <w:sz w:val="24"/>
        </w:rPr>
        <w:t xml:space="preserve">E. Hoskisson, </w:t>
      </w:r>
      <w:r w:rsidR="00A16A91" w:rsidRPr="00AF2689">
        <w:rPr>
          <w:sz w:val="24"/>
        </w:rPr>
        <w:t xml:space="preserve">and </w:t>
      </w:r>
      <w:r w:rsidRPr="00AF2689">
        <w:rPr>
          <w:sz w:val="24"/>
        </w:rPr>
        <w:t>L.</w:t>
      </w:r>
      <w:r w:rsidR="009915D0" w:rsidRPr="00AF2689">
        <w:rPr>
          <w:sz w:val="24"/>
        </w:rPr>
        <w:t xml:space="preserve"> </w:t>
      </w:r>
      <w:r w:rsidRPr="00AF2689">
        <w:rPr>
          <w:sz w:val="24"/>
        </w:rPr>
        <w:t>W. Busenitz</w:t>
      </w:r>
      <w:r w:rsidR="00E37CB8" w:rsidRPr="00AF2689">
        <w:rPr>
          <w:sz w:val="24"/>
        </w:rPr>
        <w:t xml:space="preserve">. </w:t>
      </w:r>
      <w:r w:rsidR="008C31C9" w:rsidRPr="00CF7500">
        <w:rPr>
          <w:sz w:val="24"/>
        </w:rPr>
        <w:t xml:space="preserve">2001. </w:t>
      </w:r>
      <w:r w:rsidR="00B61C53" w:rsidRPr="00AF2689">
        <w:rPr>
          <w:sz w:val="24"/>
        </w:rPr>
        <w:t>“</w:t>
      </w:r>
      <w:r w:rsidR="008C31C9" w:rsidRPr="00CF7500">
        <w:rPr>
          <w:sz w:val="24"/>
        </w:rPr>
        <w:t xml:space="preserve">Firm rebirth: </w:t>
      </w:r>
      <w:r w:rsidR="005C0F58" w:rsidRPr="00AF2689">
        <w:rPr>
          <w:sz w:val="24"/>
        </w:rPr>
        <w:t>B</w:t>
      </w:r>
      <w:r w:rsidR="008C31C9" w:rsidRPr="00CF7500">
        <w:rPr>
          <w:sz w:val="24"/>
        </w:rPr>
        <w:t>uyouts as facilitators of strategic growth and entrepreneurship</w:t>
      </w:r>
      <w:r w:rsidR="00B61C53" w:rsidRPr="00AF2689">
        <w:rPr>
          <w:sz w:val="24"/>
        </w:rPr>
        <w:t>”</w:t>
      </w:r>
      <w:r w:rsidR="008C31C9" w:rsidRPr="00CF7500">
        <w:rPr>
          <w:sz w:val="24"/>
        </w:rPr>
        <w:t xml:space="preserve">. </w:t>
      </w:r>
      <w:r w:rsidR="008C31C9" w:rsidRPr="00CF7500">
        <w:rPr>
          <w:i/>
          <w:sz w:val="24"/>
        </w:rPr>
        <w:t>The Academy of Management Executive</w:t>
      </w:r>
      <w:r w:rsidR="007648BD" w:rsidRPr="00AF2689">
        <w:rPr>
          <w:sz w:val="24"/>
        </w:rPr>
        <w:t>. 1</w:t>
      </w:r>
      <w:r w:rsidR="008C31C9" w:rsidRPr="00CF7500">
        <w:rPr>
          <w:sz w:val="24"/>
        </w:rPr>
        <w:t>5</w:t>
      </w:r>
      <w:r w:rsidR="00AB1445" w:rsidRPr="00AF2689">
        <w:rPr>
          <w:sz w:val="24"/>
        </w:rPr>
        <w:t>(1)</w:t>
      </w:r>
      <w:r w:rsidR="008C31C9" w:rsidRPr="00CF7500">
        <w:rPr>
          <w:sz w:val="24"/>
        </w:rPr>
        <w:t>: 111</w:t>
      </w:r>
      <w:r w:rsidR="00744447" w:rsidRPr="00AF2689">
        <w:rPr>
          <w:sz w:val="24"/>
        </w:rPr>
        <w:t>-</w:t>
      </w:r>
      <w:r w:rsidR="008C31C9" w:rsidRPr="00CF7500">
        <w:rPr>
          <w:sz w:val="24"/>
        </w:rPr>
        <w:t>125.</w:t>
      </w:r>
    </w:p>
    <w:p w14:paraId="113E3016" w14:textId="39967720" w:rsidR="00676F76" w:rsidRPr="00AF2689" w:rsidRDefault="008C31C9" w:rsidP="00CF7500">
      <w:pPr>
        <w:pStyle w:val="Refs"/>
        <w:numPr>
          <w:ilvl w:val="0"/>
          <w:numId w:val="0"/>
        </w:numPr>
        <w:tabs>
          <w:tab w:val="clear" w:pos="360"/>
          <w:tab w:val="left" w:pos="709"/>
        </w:tabs>
        <w:ind w:left="170" w:hanging="425"/>
        <w:rPr>
          <w:sz w:val="24"/>
        </w:rPr>
      </w:pPr>
      <w:r w:rsidRPr="00CF7500">
        <w:rPr>
          <w:sz w:val="24"/>
        </w:rPr>
        <w:t xml:space="preserve">Wright, M., </w:t>
      </w:r>
      <w:r w:rsidR="007A5C2B" w:rsidRPr="00AF2689">
        <w:rPr>
          <w:sz w:val="24"/>
        </w:rPr>
        <w:t>R.</w:t>
      </w:r>
      <w:r w:rsidR="009915D0" w:rsidRPr="00AF2689">
        <w:rPr>
          <w:sz w:val="24"/>
        </w:rPr>
        <w:t xml:space="preserve"> </w:t>
      </w:r>
      <w:r w:rsidR="007A5C2B" w:rsidRPr="00AF2689">
        <w:rPr>
          <w:sz w:val="24"/>
        </w:rPr>
        <w:t xml:space="preserve">E. </w:t>
      </w:r>
      <w:r w:rsidRPr="00CF7500">
        <w:rPr>
          <w:sz w:val="24"/>
        </w:rPr>
        <w:t xml:space="preserve">Hoskisson, </w:t>
      </w:r>
      <w:r w:rsidR="007A5C2B" w:rsidRPr="00AF2689">
        <w:rPr>
          <w:sz w:val="24"/>
        </w:rPr>
        <w:t>L.</w:t>
      </w:r>
      <w:r w:rsidR="009915D0" w:rsidRPr="00AF2689">
        <w:rPr>
          <w:sz w:val="24"/>
        </w:rPr>
        <w:t xml:space="preserve"> </w:t>
      </w:r>
      <w:r w:rsidR="007A5C2B" w:rsidRPr="00AF2689">
        <w:rPr>
          <w:sz w:val="24"/>
        </w:rPr>
        <w:t xml:space="preserve">W. </w:t>
      </w:r>
      <w:r w:rsidRPr="00CF7500">
        <w:rPr>
          <w:sz w:val="24"/>
        </w:rPr>
        <w:t xml:space="preserve">Busenitz, and </w:t>
      </w:r>
      <w:r w:rsidR="007A5C2B" w:rsidRPr="00AF2689">
        <w:rPr>
          <w:sz w:val="24"/>
        </w:rPr>
        <w:t>J.</w:t>
      </w:r>
      <w:r w:rsidRPr="00CF7500">
        <w:rPr>
          <w:sz w:val="24"/>
        </w:rPr>
        <w:t xml:space="preserve"> Dia</w:t>
      </w:r>
      <w:r w:rsidR="007A5C2B" w:rsidRPr="00AF2689">
        <w:rPr>
          <w:sz w:val="24"/>
        </w:rPr>
        <w:t>l</w:t>
      </w:r>
      <w:r w:rsidRPr="00CF7500">
        <w:rPr>
          <w:sz w:val="24"/>
        </w:rPr>
        <w:t xml:space="preserve">. 2000. </w:t>
      </w:r>
      <w:r w:rsidR="00B61C53" w:rsidRPr="00AF2689">
        <w:rPr>
          <w:sz w:val="24"/>
        </w:rPr>
        <w:t>“</w:t>
      </w:r>
      <w:r w:rsidRPr="00CF7500">
        <w:rPr>
          <w:sz w:val="24"/>
        </w:rPr>
        <w:t xml:space="preserve">Entrepreneurial growth through privatization: </w:t>
      </w:r>
      <w:r w:rsidR="005C0F58" w:rsidRPr="00AF2689">
        <w:rPr>
          <w:sz w:val="24"/>
        </w:rPr>
        <w:t>T</w:t>
      </w:r>
      <w:r w:rsidRPr="00CF7500">
        <w:rPr>
          <w:sz w:val="24"/>
        </w:rPr>
        <w:t>he upside of management buyouts</w:t>
      </w:r>
      <w:r w:rsidR="00B61C53" w:rsidRPr="00AF2689">
        <w:rPr>
          <w:sz w:val="24"/>
        </w:rPr>
        <w:t>”</w:t>
      </w:r>
      <w:r w:rsidRPr="00CF7500">
        <w:rPr>
          <w:sz w:val="24"/>
        </w:rPr>
        <w:t xml:space="preserve">. </w:t>
      </w:r>
      <w:r w:rsidRPr="00CF7500">
        <w:rPr>
          <w:i/>
          <w:sz w:val="24"/>
        </w:rPr>
        <w:t>Academy of Management Review</w:t>
      </w:r>
      <w:r w:rsidR="007648BD" w:rsidRPr="00AF2689">
        <w:rPr>
          <w:sz w:val="24"/>
        </w:rPr>
        <w:t>. 2</w:t>
      </w:r>
      <w:r w:rsidRPr="00CF7500">
        <w:rPr>
          <w:sz w:val="24"/>
        </w:rPr>
        <w:t>5</w:t>
      </w:r>
      <w:r w:rsidR="00CD1425" w:rsidRPr="00AF2689">
        <w:rPr>
          <w:sz w:val="24"/>
        </w:rPr>
        <w:t>(</w:t>
      </w:r>
      <w:r w:rsidRPr="00CF7500">
        <w:rPr>
          <w:sz w:val="24"/>
        </w:rPr>
        <w:t>3</w:t>
      </w:r>
      <w:r w:rsidR="00AA5369" w:rsidRPr="00AF2689">
        <w:rPr>
          <w:sz w:val="24"/>
        </w:rPr>
        <w:t>)</w:t>
      </w:r>
      <w:r w:rsidRPr="00CF7500">
        <w:rPr>
          <w:sz w:val="24"/>
        </w:rPr>
        <w:t>: 591</w:t>
      </w:r>
      <w:r w:rsidR="00744447" w:rsidRPr="00AF2689">
        <w:rPr>
          <w:sz w:val="24"/>
        </w:rPr>
        <w:t>-</w:t>
      </w:r>
      <w:r w:rsidRPr="00CF7500">
        <w:rPr>
          <w:sz w:val="24"/>
        </w:rPr>
        <w:t>601.</w:t>
      </w:r>
    </w:p>
    <w:p w14:paraId="19C785CD" w14:textId="21BA8C4A" w:rsidR="009F790C" w:rsidRPr="00AF2689" w:rsidRDefault="008C31C9" w:rsidP="009F790C">
      <w:pPr>
        <w:pStyle w:val="Refs"/>
        <w:numPr>
          <w:ilvl w:val="0"/>
          <w:numId w:val="0"/>
        </w:numPr>
        <w:tabs>
          <w:tab w:val="clear" w:pos="360"/>
          <w:tab w:val="left" w:pos="709"/>
        </w:tabs>
        <w:ind w:left="170" w:hanging="425"/>
        <w:rPr>
          <w:sz w:val="24"/>
        </w:rPr>
      </w:pPr>
      <w:r w:rsidRPr="00CF7500">
        <w:rPr>
          <w:sz w:val="24"/>
        </w:rPr>
        <w:t xml:space="preserve">Wright, M., </w:t>
      </w:r>
      <w:r w:rsidR="003A0A50" w:rsidRPr="00AF2689">
        <w:rPr>
          <w:sz w:val="24"/>
        </w:rPr>
        <w:t>M. C.</w:t>
      </w:r>
      <w:r w:rsidRPr="00CF7500">
        <w:rPr>
          <w:sz w:val="24"/>
        </w:rPr>
        <w:t xml:space="preserve"> Jensen</w:t>
      </w:r>
      <w:r w:rsidR="003A0A50" w:rsidRPr="00AF2689">
        <w:rPr>
          <w:sz w:val="24"/>
        </w:rPr>
        <w:t>,</w:t>
      </w:r>
      <w:r w:rsidRPr="00CF7500">
        <w:rPr>
          <w:sz w:val="24"/>
        </w:rPr>
        <w:t xml:space="preserve"> </w:t>
      </w:r>
      <w:r w:rsidR="003A0A50" w:rsidRPr="00AF2689">
        <w:rPr>
          <w:sz w:val="24"/>
        </w:rPr>
        <w:t xml:space="preserve">D. </w:t>
      </w:r>
      <w:r w:rsidRPr="00CF7500">
        <w:rPr>
          <w:sz w:val="24"/>
        </w:rPr>
        <w:t xml:space="preserve">Cumming, and </w:t>
      </w:r>
      <w:r w:rsidR="007A5C2B" w:rsidRPr="00AF2689">
        <w:rPr>
          <w:sz w:val="24"/>
        </w:rPr>
        <w:t xml:space="preserve">D. S. </w:t>
      </w:r>
      <w:r w:rsidRPr="00CF7500">
        <w:rPr>
          <w:sz w:val="24"/>
        </w:rPr>
        <w:t>Siegel</w:t>
      </w:r>
      <w:r w:rsidR="003A0A50" w:rsidRPr="00AF2689">
        <w:rPr>
          <w:sz w:val="24"/>
        </w:rPr>
        <w:t>.</w:t>
      </w:r>
      <w:r w:rsidRPr="00CF7500">
        <w:rPr>
          <w:sz w:val="24"/>
        </w:rPr>
        <w:t xml:space="preserve"> 2007. </w:t>
      </w:r>
      <w:r w:rsidR="00B61C53" w:rsidRPr="00AF2689">
        <w:rPr>
          <w:sz w:val="24"/>
        </w:rPr>
        <w:t>“</w:t>
      </w:r>
      <w:r w:rsidRPr="00CF7500">
        <w:rPr>
          <w:sz w:val="24"/>
        </w:rPr>
        <w:t xml:space="preserve">The impact of private equity: </w:t>
      </w:r>
      <w:r w:rsidR="005C0F58" w:rsidRPr="00AF2689">
        <w:rPr>
          <w:sz w:val="24"/>
        </w:rPr>
        <w:t>S</w:t>
      </w:r>
      <w:r w:rsidRPr="00CF7500">
        <w:rPr>
          <w:sz w:val="24"/>
        </w:rPr>
        <w:t>etting the record straight</w:t>
      </w:r>
      <w:r w:rsidR="00B61C53" w:rsidRPr="00AF2689">
        <w:rPr>
          <w:sz w:val="24"/>
        </w:rPr>
        <w:t>”</w:t>
      </w:r>
      <w:r w:rsidRPr="00CF7500">
        <w:rPr>
          <w:sz w:val="24"/>
        </w:rPr>
        <w:t xml:space="preserve">. </w:t>
      </w:r>
      <w:r w:rsidRPr="00CF7500">
        <w:rPr>
          <w:i/>
          <w:sz w:val="24"/>
        </w:rPr>
        <w:t>CMBOR</w:t>
      </w:r>
      <w:r w:rsidR="001F3E6F" w:rsidRPr="00AF2689">
        <w:rPr>
          <w:i/>
          <w:sz w:val="24"/>
        </w:rPr>
        <w:t xml:space="preserve"> </w:t>
      </w:r>
      <w:r w:rsidRPr="00CF7500">
        <w:rPr>
          <w:i/>
          <w:sz w:val="24"/>
        </w:rPr>
        <w:t>University of Nottingham</w:t>
      </w:r>
      <w:r w:rsidR="00477DDB" w:rsidRPr="00AF2689">
        <w:rPr>
          <w:sz w:val="24"/>
        </w:rPr>
        <w:t>.</w:t>
      </w:r>
      <w:r w:rsidRPr="00CF7500">
        <w:rPr>
          <w:sz w:val="24"/>
        </w:rPr>
        <w:t xml:space="preserve"> 6.</w:t>
      </w:r>
    </w:p>
    <w:p w14:paraId="3B5681CD" w14:textId="71B90073" w:rsidR="009F790C" w:rsidRPr="00AF2689" w:rsidRDefault="008C31C9" w:rsidP="009F790C">
      <w:pPr>
        <w:pStyle w:val="Refs"/>
        <w:numPr>
          <w:ilvl w:val="0"/>
          <w:numId w:val="0"/>
        </w:numPr>
        <w:tabs>
          <w:tab w:val="clear" w:pos="360"/>
          <w:tab w:val="left" w:pos="709"/>
        </w:tabs>
        <w:ind w:left="170" w:hanging="425"/>
        <w:rPr>
          <w:sz w:val="24"/>
        </w:rPr>
      </w:pPr>
      <w:r w:rsidRPr="00CF7500">
        <w:rPr>
          <w:sz w:val="24"/>
        </w:rPr>
        <w:t>Wright M., R. Cressy, N. Wilson, and H.</w:t>
      </w:r>
      <w:r w:rsidR="005A2D2A" w:rsidRPr="00AF2689">
        <w:rPr>
          <w:sz w:val="24"/>
        </w:rPr>
        <w:t xml:space="preserve"> </w:t>
      </w:r>
      <w:r w:rsidRPr="00CF7500">
        <w:rPr>
          <w:sz w:val="24"/>
        </w:rPr>
        <w:t xml:space="preserve">Farag. 2014. </w:t>
      </w:r>
      <w:r w:rsidR="00B61C53" w:rsidRPr="00AF2689">
        <w:rPr>
          <w:sz w:val="24"/>
        </w:rPr>
        <w:t>“</w:t>
      </w:r>
      <w:r w:rsidRPr="00CF7500">
        <w:rPr>
          <w:sz w:val="24"/>
        </w:rPr>
        <w:t xml:space="preserve">Financial restructuring and recovery in private equity buyouts: </w:t>
      </w:r>
      <w:r w:rsidR="005C0F58" w:rsidRPr="00AF2689">
        <w:rPr>
          <w:sz w:val="24"/>
        </w:rPr>
        <w:t>T</w:t>
      </w:r>
      <w:r w:rsidRPr="00CF7500">
        <w:rPr>
          <w:sz w:val="24"/>
        </w:rPr>
        <w:t xml:space="preserve">he </w:t>
      </w:r>
      <w:r w:rsidR="005C0F58" w:rsidRPr="00AF2689">
        <w:rPr>
          <w:sz w:val="24"/>
        </w:rPr>
        <w:t>UK</w:t>
      </w:r>
      <w:r w:rsidRPr="00CF7500">
        <w:rPr>
          <w:sz w:val="24"/>
        </w:rPr>
        <w:t xml:space="preserve"> evidence</w:t>
      </w:r>
      <w:r w:rsidR="00B61C53" w:rsidRPr="00AF2689">
        <w:rPr>
          <w:sz w:val="24"/>
        </w:rPr>
        <w:t>”</w:t>
      </w:r>
      <w:r w:rsidRPr="00CF7500">
        <w:rPr>
          <w:sz w:val="24"/>
        </w:rPr>
        <w:t xml:space="preserve">. </w:t>
      </w:r>
      <w:r w:rsidRPr="00CF7500">
        <w:rPr>
          <w:i/>
          <w:sz w:val="24"/>
        </w:rPr>
        <w:t>Venture Capital: An International Journal</w:t>
      </w:r>
      <w:r w:rsidR="001F3E6F" w:rsidRPr="00AF2689">
        <w:rPr>
          <w:i/>
          <w:sz w:val="24"/>
        </w:rPr>
        <w:t>.</w:t>
      </w:r>
      <w:r w:rsidRPr="00CF7500">
        <w:rPr>
          <w:sz w:val="24"/>
        </w:rPr>
        <w:t xml:space="preserve"> </w:t>
      </w:r>
      <w:r w:rsidR="00AB1445" w:rsidRPr="00AF2689">
        <w:rPr>
          <w:sz w:val="24"/>
        </w:rPr>
        <w:t>1</w:t>
      </w:r>
      <w:r w:rsidRPr="00CF7500">
        <w:rPr>
          <w:sz w:val="24"/>
        </w:rPr>
        <w:t>6</w:t>
      </w:r>
      <w:r w:rsidR="00AB1445" w:rsidRPr="00AF2689">
        <w:rPr>
          <w:sz w:val="24"/>
        </w:rPr>
        <w:t>(2)</w:t>
      </w:r>
      <w:r w:rsidR="00796E21" w:rsidRPr="00AF2689">
        <w:rPr>
          <w:sz w:val="24"/>
        </w:rPr>
        <w:t>: 1</w:t>
      </w:r>
      <w:r w:rsidRPr="00CF7500">
        <w:rPr>
          <w:sz w:val="24"/>
        </w:rPr>
        <w:t>09-129.</w:t>
      </w:r>
    </w:p>
    <w:p w14:paraId="00BE79E1" w14:textId="4FC53EC0" w:rsidR="009F790C" w:rsidRPr="00AF2689" w:rsidRDefault="008C31C9" w:rsidP="009F790C">
      <w:pPr>
        <w:pStyle w:val="Refs"/>
        <w:numPr>
          <w:ilvl w:val="0"/>
          <w:numId w:val="0"/>
        </w:numPr>
        <w:tabs>
          <w:tab w:val="clear" w:pos="360"/>
          <w:tab w:val="left" w:pos="709"/>
        </w:tabs>
        <w:ind w:left="170" w:hanging="425"/>
        <w:rPr>
          <w:sz w:val="24"/>
        </w:rPr>
      </w:pPr>
      <w:r w:rsidRPr="00CF7500">
        <w:rPr>
          <w:sz w:val="24"/>
        </w:rPr>
        <w:t xml:space="preserve">Wright, M., </w:t>
      </w:r>
      <w:r w:rsidR="003A0A50" w:rsidRPr="00AF2689">
        <w:rPr>
          <w:sz w:val="24"/>
        </w:rPr>
        <w:t>L</w:t>
      </w:r>
      <w:r w:rsidR="009915D0" w:rsidRPr="00AF2689">
        <w:rPr>
          <w:sz w:val="24"/>
        </w:rPr>
        <w:t xml:space="preserve">. </w:t>
      </w:r>
      <w:r w:rsidRPr="00CF7500">
        <w:rPr>
          <w:sz w:val="24"/>
        </w:rPr>
        <w:t xml:space="preserve">Renneboog, </w:t>
      </w:r>
      <w:r w:rsidR="003A0A50" w:rsidRPr="00AF2689">
        <w:rPr>
          <w:sz w:val="24"/>
        </w:rPr>
        <w:t xml:space="preserve">T. </w:t>
      </w:r>
      <w:r w:rsidRPr="00CF7500">
        <w:rPr>
          <w:sz w:val="24"/>
        </w:rPr>
        <w:t xml:space="preserve">Simons, and </w:t>
      </w:r>
      <w:r w:rsidR="003A0A50" w:rsidRPr="00AF2689">
        <w:rPr>
          <w:sz w:val="24"/>
        </w:rPr>
        <w:t xml:space="preserve">L. </w:t>
      </w:r>
      <w:r w:rsidRPr="00CF7500">
        <w:rPr>
          <w:sz w:val="24"/>
        </w:rPr>
        <w:t>Scholes</w:t>
      </w:r>
      <w:r w:rsidR="003A0A50" w:rsidRPr="00AF2689">
        <w:rPr>
          <w:sz w:val="24"/>
        </w:rPr>
        <w:t xml:space="preserve">. </w:t>
      </w:r>
      <w:r w:rsidRPr="00CF7500">
        <w:rPr>
          <w:sz w:val="24"/>
        </w:rPr>
        <w:t xml:space="preserve">2006. </w:t>
      </w:r>
      <w:r w:rsidR="00B61C53" w:rsidRPr="00AF2689">
        <w:rPr>
          <w:sz w:val="24"/>
        </w:rPr>
        <w:t>“</w:t>
      </w:r>
      <w:r w:rsidRPr="00CF7500">
        <w:rPr>
          <w:sz w:val="24"/>
        </w:rPr>
        <w:t xml:space="preserve">Leveraged </w:t>
      </w:r>
      <w:r w:rsidR="005C0F58" w:rsidRPr="00AF2689">
        <w:rPr>
          <w:sz w:val="24"/>
        </w:rPr>
        <w:t>b</w:t>
      </w:r>
      <w:r w:rsidRPr="00CF7500">
        <w:rPr>
          <w:sz w:val="24"/>
        </w:rPr>
        <w:t xml:space="preserve">uyouts in the U.K. and Continental Europe: Retrospect and </w:t>
      </w:r>
      <w:r w:rsidR="005C0F58" w:rsidRPr="00AF2689">
        <w:rPr>
          <w:sz w:val="24"/>
        </w:rPr>
        <w:t>p</w:t>
      </w:r>
      <w:r w:rsidRPr="00CF7500">
        <w:rPr>
          <w:sz w:val="24"/>
        </w:rPr>
        <w:t>rospect</w:t>
      </w:r>
      <w:r w:rsidR="005B7638" w:rsidRPr="00AF2689">
        <w:rPr>
          <w:sz w:val="24"/>
        </w:rPr>
        <w:t>”</w:t>
      </w:r>
      <w:r w:rsidRPr="00CF7500">
        <w:rPr>
          <w:sz w:val="24"/>
        </w:rPr>
        <w:t xml:space="preserve">. </w:t>
      </w:r>
      <w:r w:rsidRPr="00CF7500">
        <w:rPr>
          <w:i/>
          <w:sz w:val="24"/>
        </w:rPr>
        <w:t>Journal of Applied Corporate Finance</w:t>
      </w:r>
      <w:r w:rsidR="007648BD" w:rsidRPr="00AF2689">
        <w:rPr>
          <w:sz w:val="24"/>
        </w:rPr>
        <w:t>. 1</w:t>
      </w:r>
      <w:r w:rsidRPr="00CF7500">
        <w:rPr>
          <w:sz w:val="24"/>
        </w:rPr>
        <w:t>8</w:t>
      </w:r>
      <w:r w:rsidR="00AA5369" w:rsidRPr="00AF2689">
        <w:rPr>
          <w:sz w:val="24"/>
        </w:rPr>
        <w:t>(</w:t>
      </w:r>
      <w:r w:rsidRPr="00CF7500">
        <w:rPr>
          <w:sz w:val="24"/>
        </w:rPr>
        <w:t>3</w:t>
      </w:r>
      <w:r w:rsidR="00AA5369" w:rsidRPr="00AF2689">
        <w:rPr>
          <w:sz w:val="24"/>
        </w:rPr>
        <w:t>)</w:t>
      </w:r>
      <w:r w:rsidRPr="00CF7500">
        <w:rPr>
          <w:sz w:val="24"/>
        </w:rPr>
        <w:t>: 38</w:t>
      </w:r>
      <w:r w:rsidR="00744447" w:rsidRPr="00AF2689">
        <w:rPr>
          <w:sz w:val="24"/>
        </w:rPr>
        <w:t>-</w:t>
      </w:r>
      <w:r w:rsidRPr="00CF7500">
        <w:rPr>
          <w:sz w:val="24"/>
        </w:rPr>
        <w:t>55.</w:t>
      </w:r>
    </w:p>
    <w:p w14:paraId="70D42040" w14:textId="0EA93ED2" w:rsidR="003147C3" w:rsidRPr="00AF2689" w:rsidRDefault="008C31C9" w:rsidP="003147C3">
      <w:pPr>
        <w:pStyle w:val="Refs"/>
        <w:numPr>
          <w:ilvl w:val="0"/>
          <w:numId w:val="0"/>
        </w:numPr>
        <w:tabs>
          <w:tab w:val="clear" w:pos="360"/>
          <w:tab w:val="left" w:pos="709"/>
        </w:tabs>
        <w:ind w:left="170" w:hanging="425"/>
        <w:rPr>
          <w:sz w:val="24"/>
        </w:rPr>
      </w:pPr>
      <w:r w:rsidRPr="00CF7500">
        <w:rPr>
          <w:sz w:val="24"/>
        </w:rPr>
        <w:t xml:space="preserve">Wright, M., </w:t>
      </w:r>
      <w:r w:rsidR="00DF5788" w:rsidRPr="00AF2689">
        <w:rPr>
          <w:sz w:val="24"/>
        </w:rPr>
        <w:t xml:space="preserve">S. </w:t>
      </w:r>
      <w:r w:rsidRPr="00CF7500">
        <w:rPr>
          <w:sz w:val="24"/>
        </w:rPr>
        <w:t xml:space="preserve">Thompson, and </w:t>
      </w:r>
      <w:r w:rsidR="00DF5788" w:rsidRPr="00AF2689">
        <w:rPr>
          <w:sz w:val="24"/>
        </w:rPr>
        <w:t xml:space="preserve">K. </w:t>
      </w:r>
      <w:r w:rsidRPr="00CF7500">
        <w:rPr>
          <w:sz w:val="24"/>
        </w:rPr>
        <w:t>Robbie</w:t>
      </w:r>
      <w:r w:rsidR="00DF5788" w:rsidRPr="00AF2689">
        <w:rPr>
          <w:sz w:val="24"/>
        </w:rPr>
        <w:t xml:space="preserve">. </w:t>
      </w:r>
      <w:r w:rsidRPr="00CF7500">
        <w:rPr>
          <w:sz w:val="24"/>
        </w:rPr>
        <w:t xml:space="preserve">1992. </w:t>
      </w:r>
      <w:r w:rsidR="005B7638" w:rsidRPr="00AF2689">
        <w:rPr>
          <w:sz w:val="24"/>
        </w:rPr>
        <w:t>“</w:t>
      </w:r>
      <w:r w:rsidRPr="00CF7500">
        <w:rPr>
          <w:sz w:val="24"/>
        </w:rPr>
        <w:t xml:space="preserve">Venture capital and management-led leveraged buy-outs: </w:t>
      </w:r>
      <w:r w:rsidR="002820CA" w:rsidRPr="00AF2689">
        <w:rPr>
          <w:sz w:val="24"/>
        </w:rPr>
        <w:t>A</w:t>
      </w:r>
      <w:r w:rsidRPr="00CF7500">
        <w:rPr>
          <w:sz w:val="24"/>
        </w:rPr>
        <w:t xml:space="preserve"> </w:t>
      </w:r>
      <w:r w:rsidR="002820CA" w:rsidRPr="00AF2689">
        <w:rPr>
          <w:sz w:val="24"/>
        </w:rPr>
        <w:t>E</w:t>
      </w:r>
      <w:r w:rsidRPr="00CF7500">
        <w:rPr>
          <w:sz w:val="24"/>
        </w:rPr>
        <w:t>uropean perspective</w:t>
      </w:r>
      <w:r w:rsidR="005B7638" w:rsidRPr="00AF2689">
        <w:rPr>
          <w:sz w:val="24"/>
        </w:rPr>
        <w:t>”</w:t>
      </w:r>
      <w:r w:rsidRPr="00CF7500">
        <w:rPr>
          <w:sz w:val="24"/>
        </w:rPr>
        <w:t xml:space="preserve">. </w:t>
      </w:r>
      <w:r w:rsidRPr="00CF7500">
        <w:rPr>
          <w:i/>
          <w:sz w:val="24"/>
        </w:rPr>
        <w:t>Journal of Business Venturing</w:t>
      </w:r>
      <w:r w:rsidR="00994B38" w:rsidRPr="00AF2689">
        <w:rPr>
          <w:sz w:val="24"/>
        </w:rPr>
        <w:t>. 7</w:t>
      </w:r>
      <w:r w:rsidR="00AA5369" w:rsidRPr="00AF2689">
        <w:rPr>
          <w:sz w:val="24"/>
        </w:rPr>
        <w:t>(</w:t>
      </w:r>
      <w:r w:rsidRPr="00CF7500">
        <w:rPr>
          <w:sz w:val="24"/>
        </w:rPr>
        <w:t>1</w:t>
      </w:r>
      <w:r w:rsidR="00AA5369" w:rsidRPr="00AF2689">
        <w:rPr>
          <w:sz w:val="24"/>
        </w:rPr>
        <w:t>)</w:t>
      </w:r>
      <w:r w:rsidRPr="00CF7500">
        <w:rPr>
          <w:sz w:val="24"/>
        </w:rPr>
        <w:t>: 47</w:t>
      </w:r>
      <w:r w:rsidR="00744447" w:rsidRPr="00AF2689">
        <w:rPr>
          <w:sz w:val="24"/>
        </w:rPr>
        <w:t>-</w:t>
      </w:r>
      <w:r w:rsidRPr="00CF7500">
        <w:rPr>
          <w:sz w:val="24"/>
        </w:rPr>
        <w:t>71.</w:t>
      </w:r>
    </w:p>
    <w:p w14:paraId="5F548A07" w14:textId="6D8867D2" w:rsidR="003147C3" w:rsidRPr="00AF2689" w:rsidRDefault="003147C3" w:rsidP="003147C3">
      <w:pPr>
        <w:pStyle w:val="Refs"/>
        <w:numPr>
          <w:ilvl w:val="0"/>
          <w:numId w:val="0"/>
        </w:numPr>
        <w:tabs>
          <w:tab w:val="clear" w:pos="360"/>
          <w:tab w:val="left" w:pos="709"/>
        </w:tabs>
        <w:ind w:left="170" w:hanging="425"/>
        <w:rPr>
          <w:sz w:val="24"/>
        </w:rPr>
      </w:pPr>
      <w:r w:rsidRPr="00AF2689">
        <w:rPr>
          <w:sz w:val="24"/>
        </w:rPr>
        <w:t>W</w:t>
      </w:r>
      <w:r w:rsidR="008C31C9" w:rsidRPr="00CF7500">
        <w:rPr>
          <w:sz w:val="24"/>
        </w:rPr>
        <w:t xml:space="preserve">right, M., </w:t>
      </w:r>
      <w:r w:rsidR="00C756A1" w:rsidRPr="00AF2689">
        <w:rPr>
          <w:sz w:val="24"/>
        </w:rPr>
        <w:t>N.</w:t>
      </w:r>
      <w:r w:rsidR="008C31C9" w:rsidRPr="00CF7500">
        <w:rPr>
          <w:sz w:val="24"/>
        </w:rPr>
        <w:t xml:space="preserve"> Wilson, </w:t>
      </w:r>
      <w:r w:rsidR="00C756A1" w:rsidRPr="00AF2689">
        <w:rPr>
          <w:sz w:val="24"/>
        </w:rPr>
        <w:t xml:space="preserve">K. </w:t>
      </w:r>
      <w:r w:rsidR="008C31C9" w:rsidRPr="00CF7500">
        <w:rPr>
          <w:sz w:val="24"/>
        </w:rPr>
        <w:t xml:space="preserve">Robbie, and </w:t>
      </w:r>
      <w:r w:rsidR="00C756A1" w:rsidRPr="00AF2689">
        <w:rPr>
          <w:sz w:val="24"/>
        </w:rPr>
        <w:t xml:space="preserve">C. </w:t>
      </w:r>
      <w:r w:rsidR="008C31C9" w:rsidRPr="00CF7500">
        <w:rPr>
          <w:sz w:val="24"/>
        </w:rPr>
        <w:t>Ennew</w:t>
      </w:r>
      <w:r w:rsidR="00C756A1" w:rsidRPr="00AF2689">
        <w:rPr>
          <w:sz w:val="24"/>
        </w:rPr>
        <w:t>.</w:t>
      </w:r>
      <w:r w:rsidR="008C31C9" w:rsidRPr="00CF7500">
        <w:rPr>
          <w:sz w:val="24"/>
        </w:rPr>
        <w:t xml:space="preserve"> 1996. </w:t>
      </w:r>
      <w:r w:rsidR="005B7638" w:rsidRPr="00AF2689">
        <w:rPr>
          <w:sz w:val="24"/>
        </w:rPr>
        <w:t>“</w:t>
      </w:r>
      <w:r w:rsidR="008C31C9" w:rsidRPr="00CF7500">
        <w:rPr>
          <w:sz w:val="24"/>
        </w:rPr>
        <w:t>An analysis of management buy-out failure</w:t>
      </w:r>
      <w:r w:rsidR="005B7638" w:rsidRPr="00AF2689">
        <w:rPr>
          <w:sz w:val="24"/>
        </w:rPr>
        <w:t>”</w:t>
      </w:r>
      <w:r w:rsidR="008C31C9" w:rsidRPr="00CF7500">
        <w:rPr>
          <w:sz w:val="24"/>
        </w:rPr>
        <w:t xml:space="preserve">. </w:t>
      </w:r>
      <w:r w:rsidR="008C31C9" w:rsidRPr="00CF7500">
        <w:rPr>
          <w:i/>
          <w:sz w:val="24"/>
        </w:rPr>
        <w:t>Managerial and Decision Economics</w:t>
      </w:r>
      <w:r w:rsidR="007648BD" w:rsidRPr="00AF2689">
        <w:rPr>
          <w:sz w:val="24"/>
        </w:rPr>
        <w:t xml:space="preserve">. </w:t>
      </w:r>
      <w:r w:rsidR="00D804B3" w:rsidRPr="00AF2689">
        <w:rPr>
          <w:sz w:val="24"/>
        </w:rPr>
        <w:t xml:space="preserve">17(1): </w:t>
      </w:r>
      <w:r w:rsidR="008C31C9" w:rsidRPr="00CF7500">
        <w:rPr>
          <w:sz w:val="24"/>
        </w:rPr>
        <w:t>57</w:t>
      </w:r>
      <w:r w:rsidR="00744447" w:rsidRPr="00AF2689">
        <w:rPr>
          <w:sz w:val="24"/>
        </w:rPr>
        <w:t>-</w:t>
      </w:r>
      <w:r w:rsidR="008C31C9" w:rsidRPr="00CF7500">
        <w:rPr>
          <w:sz w:val="24"/>
        </w:rPr>
        <w:t>70.</w:t>
      </w:r>
    </w:p>
    <w:p w14:paraId="38A2885E" w14:textId="3015043E" w:rsidR="003147C3" w:rsidRPr="00AF2689" w:rsidRDefault="003147C3" w:rsidP="003147C3">
      <w:pPr>
        <w:pStyle w:val="Refs"/>
        <w:numPr>
          <w:ilvl w:val="0"/>
          <w:numId w:val="0"/>
        </w:numPr>
        <w:tabs>
          <w:tab w:val="clear" w:pos="360"/>
          <w:tab w:val="left" w:pos="709"/>
        </w:tabs>
        <w:ind w:left="170" w:hanging="425"/>
        <w:rPr>
          <w:sz w:val="24"/>
        </w:rPr>
      </w:pPr>
      <w:r w:rsidRPr="00AF2689">
        <w:rPr>
          <w:sz w:val="24"/>
        </w:rPr>
        <w:t>Y</w:t>
      </w:r>
      <w:r w:rsidR="008C31C9" w:rsidRPr="00CF7500">
        <w:rPr>
          <w:sz w:val="24"/>
        </w:rPr>
        <w:t>ermack, D. 1996</w:t>
      </w:r>
      <w:r w:rsidR="00DF5788" w:rsidRPr="00AF2689">
        <w:rPr>
          <w:sz w:val="24"/>
        </w:rPr>
        <w:t>.</w:t>
      </w:r>
      <w:r w:rsidR="008C31C9" w:rsidRPr="00CF7500">
        <w:rPr>
          <w:sz w:val="24"/>
        </w:rPr>
        <w:t xml:space="preserve"> </w:t>
      </w:r>
      <w:r w:rsidR="005B7638" w:rsidRPr="00AF2689">
        <w:rPr>
          <w:sz w:val="24"/>
        </w:rPr>
        <w:t>“</w:t>
      </w:r>
      <w:r w:rsidR="008C31C9" w:rsidRPr="00CF7500">
        <w:rPr>
          <w:sz w:val="24"/>
        </w:rPr>
        <w:t>Higher market valuation of companies with a small board of directors</w:t>
      </w:r>
      <w:r w:rsidR="005B7638" w:rsidRPr="00AF2689">
        <w:rPr>
          <w:sz w:val="24"/>
        </w:rPr>
        <w:t>”</w:t>
      </w:r>
      <w:r w:rsidR="008C31C9" w:rsidRPr="00CF7500">
        <w:rPr>
          <w:sz w:val="24"/>
        </w:rPr>
        <w:t xml:space="preserve">. </w:t>
      </w:r>
      <w:r w:rsidR="008C31C9" w:rsidRPr="00CF7500">
        <w:rPr>
          <w:i/>
          <w:sz w:val="24"/>
        </w:rPr>
        <w:t>Journal of Financial Economics</w:t>
      </w:r>
      <w:r w:rsidR="00141273" w:rsidRPr="00AF2689">
        <w:rPr>
          <w:sz w:val="24"/>
        </w:rPr>
        <w:t>. 4</w:t>
      </w:r>
      <w:r w:rsidR="008C31C9" w:rsidRPr="00CF7500">
        <w:rPr>
          <w:sz w:val="24"/>
        </w:rPr>
        <w:t>0</w:t>
      </w:r>
      <w:r w:rsidR="00E372E3" w:rsidRPr="00AF2689">
        <w:rPr>
          <w:sz w:val="24"/>
        </w:rPr>
        <w:t>(2)</w:t>
      </w:r>
      <w:r w:rsidR="008C31C9" w:rsidRPr="00CF7500">
        <w:rPr>
          <w:sz w:val="24"/>
        </w:rPr>
        <w:t>: 185</w:t>
      </w:r>
      <w:r w:rsidR="00744447" w:rsidRPr="00AF2689">
        <w:rPr>
          <w:sz w:val="24"/>
        </w:rPr>
        <w:t>-</w:t>
      </w:r>
      <w:r w:rsidR="008C31C9" w:rsidRPr="00CF7500">
        <w:rPr>
          <w:sz w:val="24"/>
        </w:rPr>
        <w:t>211.</w:t>
      </w:r>
    </w:p>
    <w:p w14:paraId="62D626EF" w14:textId="775D2E38" w:rsidR="003147C3" w:rsidRPr="00AF2689" w:rsidRDefault="003147C3" w:rsidP="003147C3">
      <w:pPr>
        <w:pStyle w:val="Refs"/>
        <w:numPr>
          <w:ilvl w:val="0"/>
          <w:numId w:val="0"/>
        </w:numPr>
        <w:tabs>
          <w:tab w:val="clear" w:pos="360"/>
          <w:tab w:val="left" w:pos="709"/>
        </w:tabs>
        <w:ind w:left="170" w:hanging="425"/>
        <w:rPr>
          <w:sz w:val="24"/>
        </w:rPr>
      </w:pPr>
      <w:r w:rsidRPr="00AF2689">
        <w:rPr>
          <w:sz w:val="24"/>
        </w:rPr>
        <w:t>Z</w:t>
      </w:r>
      <w:r w:rsidR="008C31C9" w:rsidRPr="00CF7500">
        <w:rPr>
          <w:sz w:val="24"/>
        </w:rPr>
        <w:t xml:space="preserve">ahra, S. 1995. </w:t>
      </w:r>
      <w:r w:rsidR="005B7638" w:rsidRPr="00AF2689">
        <w:rPr>
          <w:sz w:val="24"/>
        </w:rPr>
        <w:t>“</w:t>
      </w:r>
      <w:r w:rsidR="008C31C9" w:rsidRPr="00CF7500">
        <w:rPr>
          <w:sz w:val="24"/>
        </w:rPr>
        <w:t xml:space="preserve">Corporate entrepreneurship and financial performance: </w:t>
      </w:r>
      <w:r w:rsidR="002820CA" w:rsidRPr="00AF2689">
        <w:rPr>
          <w:sz w:val="24"/>
        </w:rPr>
        <w:t>T</w:t>
      </w:r>
      <w:r w:rsidR="008C31C9" w:rsidRPr="00CF7500">
        <w:rPr>
          <w:sz w:val="24"/>
        </w:rPr>
        <w:t>he case of management leveraged buy-outs</w:t>
      </w:r>
      <w:r w:rsidR="005B7638" w:rsidRPr="00AF2689">
        <w:rPr>
          <w:sz w:val="24"/>
        </w:rPr>
        <w:t>”</w:t>
      </w:r>
      <w:r w:rsidR="008C31C9" w:rsidRPr="00CF7500">
        <w:rPr>
          <w:sz w:val="24"/>
        </w:rPr>
        <w:t xml:space="preserve">. </w:t>
      </w:r>
      <w:r w:rsidR="008C31C9" w:rsidRPr="00CF7500">
        <w:rPr>
          <w:i/>
          <w:sz w:val="24"/>
        </w:rPr>
        <w:t>Journal of Business Venturing</w:t>
      </w:r>
      <w:r w:rsidR="000C2683" w:rsidRPr="00AF2689">
        <w:rPr>
          <w:i/>
          <w:sz w:val="24"/>
        </w:rPr>
        <w:t>.</w:t>
      </w:r>
      <w:r w:rsidR="008C31C9" w:rsidRPr="00CF7500">
        <w:rPr>
          <w:sz w:val="24"/>
        </w:rPr>
        <w:t xml:space="preserve"> 10</w:t>
      </w:r>
      <w:r w:rsidR="00E372E3" w:rsidRPr="00AF2689">
        <w:rPr>
          <w:sz w:val="24"/>
        </w:rPr>
        <w:t>(3)</w:t>
      </w:r>
      <w:r w:rsidR="008C31C9" w:rsidRPr="00CF7500">
        <w:rPr>
          <w:sz w:val="24"/>
        </w:rPr>
        <w:t>: 225- 247.</w:t>
      </w:r>
    </w:p>
    <w:p w14:paraId="43338414" w14:textId="3512EAE2" w:rsidR="003147C3" w:rsidRPr="00AF2689" w:rsidRDefault="003147C3" w:rsidP="003147C3">
      <w:pPr>
        <w:pStyle w:val="Refs"/>
        <w:numPr>
          <w:ilvl w:val="0"/>
          <w:numId w:val="0"/>
        </w:numPr>
        <w:tabs>
          <w:tab w:val="clear" w:pos="360"/>
          <w:tab w:val="left" w:pos="709"/>
        </w:tabs>
        <w:ind w:left="170" w:hanging="425"/>
        <w:rPr>
          <w:sz w:val="24"/>
          <w:lang w:val="en-GB"/>
        </w:rPr>
      </w:pPr>
      <w:r w:rsidRPr="00AF2689">
        <w:rPr>
          <w:sz w:val="24"/>
        </w:rPr>
        <w:t>Z</w:t>
      </w:r>
      <w:r w:rsidR="008C31C9" w:rsidRPr="00CF7500">
        <w:rPr>
          <w:sz w:val="24"/>
        </w:rPr>
        <w:t xml:space="preserve">arutskie, R. 2010. </w:t>
      </w:r>
      <w:r w:rsidR="005B7638" w:rsidRPr="00AF2689">
        <w:rPr>
          <w:sz w:val="24"/>
        </w:rPr>
        <w:t>“</w:t>
      </w:r>
      <w:r w:rsidR="008C31C9" w:rsidRPr="00CF7500">
        <w:rPr>
          <w:sz w:val="24"/>
        </w:rPr>
        <w:t xml:space="preserve">The role of top management team human capital in venture capital markets: </w:t>
      </w:r>
      <w:r w:rsidR="002820CA" w:rsidRPr="00AF2689">
        <w:rPr>
          <w:sz w:val="24"/>
        </w:rPr>
        <w:t>E</w:t>
      </w:r>
      <w:r w:rsidR="008C31C9" w:rsidRPr="00CF7500">
        <w:rPr>
          <w:sz w:val="24"/>
        </w:rPr>
        <w:t>vidence from first-time funds</w:t>
      </w:r>
      <w:r w:rsidR="005B7638" w:rsidRPr="00AF2689">
        <w:rPr>
          <w:sz w:val="24"/>
        </w:rPr>
        <w:t>”</w:t>
      </w:r>
      <w:r w:rsidR="008C31C9" w:rsidRPr="00CF7500">
        <w:rPr>
          <w:sz w:val="24"/>
        </w:rPr>
        <w:t xml:space="preserve">. </w:t>
      </w:r>
      <w:r w:rsidR="008C31C9" w:rsidRPr="00CF7500">
        <w:rPr>
          <w:i/>
          <w:sz w:val="24"/>
        </w:rPr>
        <w:t>Journal of Business Venturing</w:t>
      </w:r>
      <w:r w:rsidR="007648BD" w:rsidRPr="00AF2689">
        <w:rPr>
          <w:sz w:val="24"/>
        </w:rPr>
        <w:t>. 2</w:t>
      </w:r>
      <w:r w:rsidR="008C31C9" w:rsidRPr="00CF7500">
        <w:rPr>
          <w:sz w:val="24"/>
        </w:rPr>
        <w:t>5</w:t>
      </w:r>
      <w:r w:rsidR="00AA5369" w:rsidRPr="00AF2689">
        <w:rPr>
          <w:sz w:val="24"/>
        </w:rPr>
        <w:t>(</w:t>
      </w:r>
      <w:r w:rsidR="008C31C9" w:rsidRPr="00CF7500">
        <w:rPr>
          <w:sz w:val="24"/>
        </w:rPr>
        <w:t>1</w:t>
      </w:r>
      <w:r w:rsidR="00AA5369" w:rsidRPr="00AF2689">
        <w:rPr>
          <w:sz w:val="24"/>
        </w:rPr>
        <w:t>)</w:t>
      </w:r>
      <w:r w:rsidR="008C31C9" w:rsidRPr="00CF7500">
        <w:rPr>
          <w:sz w:val="24"/>
        </w:rPr>
        <w:t>: 155</w:t>
      </w:r>
      <w:r w:rsidR="00744447" w:rsidRPr="00AF2689">
        <w:rPr>
          <w:sz w:val="24"/>
        </w:rPr>
        <w:t>-</w:t>
      </w:r>
      <w:r w:rsidR="008C31C9" w:rsidRPr="00CF7500">
        <w:rPr>
          <w:sz w:val="24"/>
        </w:rPr>
        <w:t>172.</w:t>
      </w:r>
    </w:p>
    <w:p w14:paraId="0F34D5E9" w14:textId="4F6BA483" w:rsidR="003147C3" w:rsidRPr="00AF2689" w:rsidRDefault="003147C3" w:rsidP="003147C3">
      <w:pPr>
        <w:pStyle w:val="Refs"/>
        <w:numPr>
          <w:ilvl w:val="0"/>
          <w:numId w:val="0"/>
        </w:numPr>
        <w:tabs>
          <w:tab w:val="clear" w:pos="360"/>
          <w:tab w:val="left" w:pos="709"/>
        </w:tabs>
        <w:ind w:left="170" w:hanging="425"/>
        <w:rPr>
          <w:sz w:val="24"/>
        </w:rPr>
      </w:pPr>
      <w:r w:rsidRPr="00AF2689">
        <w:rPr>
          <w:sz w:val="24"/>
          <w:lang w:val="en-GB"/>
        </w:rPr>
        <w:t>Z</w:t>
      </w:r>
      <w:r w:rsidR="008C31C9" w:rsidRPr="00CF7500">
        <w:rPr>
          <w:sz w:val="24"/>
          <w:lang w:val="en-GB"/>
        </w:rPr>
        <w:t xml:space="preserve">hou, D., </w:t>
      </w:r>
      <w:r w:rsidR="001308DA" w:rsidRPr="00AF2689">
        <w:rPr>
          <w:sz w:val="24"/>
          <w:lang w:val="en-GB"/>
        </w:rPr>
        <w:t xml:space="preserve">R. </w:t>
      </w:r>
      <w:r w:rsidR="008C31C9" w:rsidRPr="00CF7500">
        <w:rPr>
          <w:sz w:val="24"/>
          <w:lang w:val="en-GB"/>
        </w:rPr>
        <w:t>Jelic</w:t>
      </w:r>
      <w:r w:rsidR="001308DA" w:rsidRPr="00AF2689">
        <w:rPr>
          <w:sz w:val="24"/>
          <w:lang w:val="en-GB"/>
        </w:rPr>
        <w:t>,</w:t>
      </w:r>
      <w:r w:rsidR="008C31C9" w:rsidRPr="00CF7500">
        <w:rPr>
          <w:sz w:val="24"/>
          <w:lang w:val="en-GB"/>
        </w:rPr>
        <w:t xml:space="preserve"> and </w:t>
      </w:r>
      <w:r w:rsidR="001308DA" w:rsidRPr="00AF2689">
        <w:rPr>
          <w:sz w:val="24"/>
          <w:lang w:val="en-GB"/>
        </w:rPr>
        <w:t xml:space="preserve">M. </w:t>
      </w:r>
      <w:r w:rsidR="008C31C9" w:rsidRPr="00CF7500">
        <w:rPr>
          <w:sz w:val="24"/>
          <w:lang w:val="en-GB"/>
        </w:rPr>
        <w:t xml:space="preserve">Wright. 2014. </w:t>
      </w:r>
      <w:r w:rsidR="005B7638" w:rsidRPr="00AF2689">
        <w:rPr>
          <w:sz w:val="24"/>
          <w:lang w:val="en-GB"/>
        </w:rPr>
        <w:t>“</w:t>
      </w:r>
      <w:r w:rsidR="008C31C9" w:rsidRPr="00CF7500">
        <w:rPr>
          <w:sz w:val="24"/>
          <w:lang w:val="en-GB"/>
        </w:rPr>
        <w:t xml:space="preserve">SMBOs: </w:t>
      </w:r>
      <w:r w:rsidR="002820CA" w:rsidRPr="00AF2689">
        <w:rPr>
          <w:sz w:val="24"/>
          <w:lang w:val="en-GB"/>
        </w:rPr>
        <w:t>B</w:t>
      </w:r>
      <w:r w:rsidR="008C31C9" w:rsidRPr="00CF7500">
        <w:rPr>
          <w:sz w:val="24"/>
          <w:lang w:val="en-GB"/>
        </w:rPr>
        <w:t>uying time or improving performance</w:t>
      </w:r>
      <w:r w:rsidR="007A44F1" w:rsidRPr="00AF2689">
        <w:rPr>
          <w:sz w:val="24"/>
          <w:lang w:val="en-GB"/>
        </w:rPr>
        <w:t xml:space="preserve">?”. </w:t>
      </w:r>
      <w:r w:rsidR="008C31C9" w:rsidRPr="00CF7500">
        <w:rPr>
          <w:i/>
          <w:iCs/>
          <w:sz w:val="24"/>
          <w:lang w:val="en-GB"/>
        </w:rPr>
        <w:t>Managerial and Decision Economics</w:t>
      </w:r>
      <w:r w:rsidR="007648BD" w:rsidRPr="00AF2689">
        <w:rPr>
          <w:sz w:val="24"/>
          <w:lang w:val="en-GB"/>
        </w:rPr>
        <w:t>. 3</w:t>
      </w:r>
      <w:r w:rsidR="008C31C9" w:rsidRPr="00CF7500">
        <w:rPr>
          <w:bCs/>
          <w:sz w:val="24"/>
          <w:lang w:val="en-GB"/>
        </w:rPr>
        <w:t>5</w:t>
      </w:r>
      <w:r w:rsidR="001F3E6F" w:rsidRPr="00AF2689">
        <w:rPr>
          <w:bCs/>
          <w:sz w:val="24"/>
          <w:lang w:val="en-GB"/>
        </w:rPr>
        <w:t>(2)</w:t>
      </w:r>
      <w:r w:rsidR="000C2683" w:rsidRPr="00AF2689">
        <w:rPr>
          <w:sz w:val="24"/>
          <w:lang w:val="en-GB"/>
        </w:rPr>
        <w:t xml:space="preserve">: </w:t>
      </w:r>
      <w:r w:rsidR="008C31C9" w:rsidRPr="00CF7500">
        <w:rPr>
          <w:sz w:val="24"/>
          <w:lang w:val="en-GB"/>
        </w:rPr>
        <w:t>88-102.</w:t>
      </w:r>
    </w:p>
    <w:p w14:paraId="78FF02A4" w14:textId="77777777" w:rsidR="00676F76" w:rsidRPr="00AF2689" w:rsidRDefault="003147C3" w:rsidP="00CF7500">
      <w:pPr>
        <w:pStyle w:val="Refs"/>
        <w:numPr>
          <w:ilvl w:val="0"/>
          <w:numId w:val="0"/>
        </w:numPr>
        <w:tabs>
          <w:tab w:val="clear" w:pos="360"/>
          <w:tab w:val="left" w:pos="709"/>
        </w:tabs>
        <w:ind w:left="170" w:hanging="425"/>
        <w:rPr>
          <w:sz w:val="24"/>
        </w:rPr>
      </w:pPr>
      <w:r w:rsidRPr="00AF2689">
        <w:rPr>
          <w:sz w:val="24"/>
        </w:rPr>
        <w:t>Z</w:t>
      </w:r>
      <w:r w:rsidR="008C31C9" w:rsidRPr="00CF7500">
        <w:rPr>
          <w:sz w:val="24"/>
        </w:rPr>
        <w:t xml:space="preserve">ong, L. 2005. </w:t>
      </w:r>
      <w:r w:rsidR="005B7638" w:rsidRPr="00AF2689">
        <w:rPr>
          <w:sz w:val="24"/>
        </w:rPr>
        <w:t>“</w:t>
      </w:r>
      <w:r w:rsidR="008C31C9" w:rsidRPr="00CF7500">
        <w:rPr>
          <w:sz w:val="24"/>
        </w:rPr>
        <w:t>Governance lessons from the private equity industry</w:t>
      </w:r>
      <w:r w:rsidR="005B7638" w:rsidRPr="00AF2689">
        <w:rPr>
          <w:sz w:val="24"/>
        </w:rPr>
        <w:t>”</w:t>
      </w:r>
      <w:r w:rsidR="008C31C9" w:rsidRPr="00CF7500">
        <w:rPr>
          <w:sz w:val="24"/>
        </w:rPr>
        <w:t xml:space="preserve">. </w:t>
      </w:r>
      <w:r w:rsidR="000C2683" w:rsidRPr="00AF2689">
        <w:rPr>
          <w:i/>
          <w:sz w:val="24"/>
        </w:rPr>
        <w:t>The Journal of Private Equity</w:t>
      </w:r>
      <w:r w:rsidR="000C2683" w:rsidRPr="00AF2689">
        <w:rPr>
          <w:sz w:val="24"/>
        </w:rPr>
        <w:t xml:space="preserve">. </w:t>
      </w:r>
      <w:r w:rsidR="007A5386" w:rsidRPr="00AF2689">
        <w:rPr>
          <w:sz w:val="24"/>
        </w:rPr>
        <w:t xml:space="preserve">9(1): </w:t>
      </w:r>
      <w:r w:rsidR="000C2683" w:rsidRPr="00AF2689">
        <w:rPr>
          <w:sz w:val="24"/>
        </w:rPr>
        <w:t>63</w:t>
      </w:r>
      <w:r w:rsidR="00744447" w:rsidRPr="00AF2689">
        <w:rPr>
          <w:sz w:val="24"/>
        </w:rPr>
        <w:t>-</w:t>
      </w:r>
      <w:r w:rsidR="000C2683" w:rsidRPr="00AF2689">
        <w:rPr>
          <w:sz w:val="24"/>
        </w:rPr>
        <w:t>66.</w:t>
      </w:r>
    </w:p>
    <w:p w14:paraId="40523AB4" w14:textId="244CBEED" w:rsidR="00CD6E22" w:rsidRPr="00F024FD" w:rsidRDefault="00CD6E22" w:rsidP="000C2683">
      <w:pPr>
        <w:pStyle w:val="Refs"/>
        <w:numPr>
          <w:ilvl w:val="0"/>
          <w:numId w:val="0"/>
        </w:numPr>
        <w:tabs>
          <w:tab w:val="clear" w:pos="360"/>
          <w:tab w:val="left" w:pos="709"/>
        </w:tabs>
        <w:ind w:left="170"/>
        <w:rPr>
          <w:sz w:val="24"/>
        </w:rPr>
      </w:pPr>
    </w:p>
    <w:p w14:paraId="2DA2E109" w14:textId="77777777" w:rsidR="00CD6E22" w:rsidRPr="00CD6E22" w:rsidRDefault="00CD6E22" w:rsidP="00CF7500"/>
    <w:p w14:paraId="5C9FE159" w14:textId="77777777" w:rsidR="00CD6E22" w:rsidRPr="00CD6E22" w:rsidRDefault="00CD6E22" w:rsidP="00CF7500"/>
    <w:p w14:paraId="7C94ED51" w14:textId="77777777" w:rsidR="00CD6E22" w:rsidRPr="00CD6E22" w:rsidRDefault="00CD6E22" w:rsidP="00CF7500"/>
    <w:p w14:paraId="78614265" w14:textId="77777777" w:rsidR="00CD6E22" w:rsidRPr="00CD6E22" w:rsidRDefault="00CD6E22" w:rsidP="00CF7500"/>
    <w:p w14:paraId="463D1434" w14:textId="77777777" w:rsidR="00CD6E22" w:rsidRPr="00CD6E22" w:rsidRDefault="00CD6E22" w:rsidP="00CD6E22"/>
    <w:p w14:paraId="303CDDF1" w14:textId="77777777" w:rsidR="002F06E5" w:rsidRPr="00CD6E22" w:rsidRDefault="002F06E5" w:rsidP="00CF7500">
      <w:pPr>
        <w:jc w:val="right"/>
      </w:pPr>
    </w:p>
    <w:sectPr w:rsidR="002F06E5" w:rsidRPr="00CD6E22" w:rsidSect="00822091">
      <w:footerReference w:type="default" r:id="rId14"/>
      <w:footerReference w:type="first" r:id="rId15"/>
      <w:footnotePr>
        <w:numFmt w:val="chicago"/>
      </w:footnotePr>
      <w:pgSz w:w="12240" w:h="15840" w:code="1"/>
      <w:pgMar w:top="1304" w:right="1304" w:bottom="1304" w:left="1304" w:header="1077" w:footer="83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0593A" w14:textId="77777777" w:rsidR="00134660" w:rsidRDefault="00134660">
      <w:r>
        <w:separator/>
      </w:r>
    </w:p>
  </w:endnote>
  <w:endnote w:type="continuationSeparator" w:id="0">
    <w:p w14:paraId="6E132C2C" w14:textId="77777777" w:rsidR="00134660" w:rsidRDefault="0013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ravek ExtraLight">
    <w:charset w:val="00"/>
    <w:family w:val="auto"/>
    <w:pitch w:val="variable"/>
    <w:sig w:usb0="A00000EF" w:usb1="5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venir Medium">
    <w:altName w:val="Trebuchet MS"/>
    <w:charset w:val="00"/>
    <w:family w:val="auto"/>
    <w:pitch w:val="variable"/>
    <w:sig w:usb0="00000001" w:usb1="5000204A" w:usb2="00000000" w:usb3="00000000" w:csb0="0000009B" w:csb1="00000000"/>
  </w:font>
  <w:font w:name="Cambria Math">
    <w:panose1 w:val="02040503050406030204"/>
    <w:charset w:val="00"/>
    <w:family w:val="roman"/>
    <w:pitch w:val="variable"/>
    <w:sig w:usb0="E00002FF" w:usb1="420024FF" w:usb2="00000000" w:usb3="00000000" w:csb0="0000019F" w:csb1="00000000"/>
  </w:font>
  <w:font w:name="AdvPTimes">
    <w:panose1 w:val="00000000000000000000"/>
    <w:charset w:val="00"/>
    <w:family w:val="roman"/>
    <w:notTrueType/>
    <w:pitch w:val="default"/>
    <w:sig w:usb0="00000003" w:usb1="00000000" w:usb2="00000000" w:usb3="00000000" w:csb0="00000001" w:csb1="00000000"/>
  </w:font>
  <w:font w:name="Noteworthy Light">
    <w:altName w:val="Arial Unicode MS"/>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546877"/>
      <w:docPartObj>
        <w:docPartGallery w:val="Page Numbers (Bottom of Page)"/>
        <w:docPartUnique/>
      </w:docPartObj>
    </w:sdtPr>
    <w:sdtEndPr>
      <w:rPr>
        <w:noProof/>
      </w:rPr>
    </w:sdtEndPr>
    <w:sdtContent>
      <w:p w14:paraId="2CD29224" w14:textId="7FB411DD" w:rsidR="00393DD8" w:rsidRDefault="00393DD8" w:rsidP="00CF7500">
        <w:pPr>
          <w:pStyle w:val="Footer"/>
          <w:jc w:val="right"/>
        </w:pPr>
        <w:r>
          <w:fldChar w:fldCharType="begin"/>
        </w:r>
        <w:r>
          <w:instrText xml:space="preserve"> PAGE   \* MERGEFORMAT </w:instrText>
        </w:r>
        <w:r>
          <w:fldChar w:fldCharType="separate"/>
        </w:r>
        <w:r w:rsidR="00D20886">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B298" w14:textId="77777777" w:rsidR="00393DD8" w:rsidRDefault="00393DD8" w:rsidP="00DE7F3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CD5AF" w14:textId="77777777" w:rsidR="00134660" w:rsidRDefault="00134660">
      <w:r>
        <w:separator/>
      </w:r>
    </w:p>
  </w:footnote>
  <w:footnote w:type="continuationSeparator" w:id="0">
    <w:p w14:paraId="3FFEFD7B" w14:textId="77777777" w:rsidR="00134660" w:rsidRDefault="00134660">
      <w:r>
        <w:continuationSeparator/>
      </w:r>
    </w:p>
  </w:footnote>
  <w:footnote w:id="1">
    <w:p w14:paraId="29C78B6D" w14:textId="7CA36A78" w:rsidR="00393DD8" w:rsidRPr="00FE1294" w:rsidRDefault="00393DD8">
      <w:pPr>
        <w:pStyle w:val="FootnoteText"/>
        <w:rPr>
          <w:lang w:val="fi-FI"/>
        </w:rPr>
      </w:pPr>
      <w:r>
        <w:rPr>
          <w:rStyle w:val="FootnoteReference"/>
        </w:rPr>
        <w:footnoteRef/>
      </w:r>
      <w:r>
        <w:t xml:space="preserve"> V</w:t>
      </w:r>
      <w:r w:rsidRPr="006A022A">
        <w:t xml:space="preserve">alue </w:t>
      </w:r>
      <w:r>
        <w:t>generation</w:t>
      </w:r>
      <w:r w:rsidRPr="006A022A">
        <w:t xml:space="preserve"> </w:t>
      </w:r>
      <w:r>
        <w:t xml:space="preserve">is defined in economic terms </w:t>
      </w:r>
      <w:r w:rsidRPr="006A022A">
        <w:t xml:space="preserve">implicitly </w:t>
      </w:r>
      <w:r>
        <w:t>from</w:t>
      </w:r>
      <w:r w:rsidRPr="006A022A">
        <w:t xml:space="preserve"> </w:t>
      </w:r>
      <w:r>
        <w:t xml:space="preserve">any </w:t>
      </w:r>
      <w:r w:rsidRPr="006A022A">
        <w:t>positive NPV after subtracting the entry price from the exit price.</w:t>
      </w:r>
    </w:p>
  </w:footnote>
  <w:footnote w:id="2">
    <w:p w14:paraId="06A0F983" w14:textId="2481F127" w:rsidR="00393DD8" w:rsidRPr="00583051" w:rsidRDefault="00393DD8">
      <w:pPr>
        <w:pStyle w:val="FootnoteText"/>
        <w:rPr>
          <w:lang w:val="fi-FI"/>
        </w:rPr>
      </w:pPr>
      <w:r>
        <w:rPr>
          <w:rStyle w:val="FootnoteReference"/>
        </w:rPr>
        <w:footnoteRef/>
      </w:r>
      <w:r>
        <w:t xml:space="preserve"> </w:t>
      </w:r>
      <w:bookmarkStart w:id="1" w:name="OLE_LINK6"/>
      <w:bookmarkStart w:id="2" w:name="OLE_LINK7"/>
      <w:bookmarkStart w:id="3" w:name="OLE_LINK8"/>
      <w:r>
        <w:t xml:space="preserve">The </w:t>
      </w:r>
      <w:r w:rsidRPr="00D46648">
        <w:t>Internal Rate of Return</w:t>
      </w:r>
      <w:r>
        <w:t xml:space="preserve"> (IRR) is a typical </w:t>
      </w:r>
      <w:r w:rsidRPr="00D46648">
        <w:t xml:space="preserve">measure </w:t>
      </w:r>
      <w:r>
        <w:t xml:space="preserve">of fund </w:t>
      </w:r>
      <w:r w:rsidRPr="00D46648">
        <w:t xml:space="preserve">performance. </w:t>
      </w:r>
      <w:r>
        <w:t>T</w:t>
      </w:r>
      <w:r w:rsidRPr="00D46648">
        <w:t>echnically</w:t>
      </w:r>
      <w:r>
        <w:t>,</w:t>
      </w:r>
      <w:r w:rsidRPr="00D46648">
        <w:t xml:space="preserve"> </w:t>
      </w:r>
      <w:r>
        <w:t xml:space="preserve">it is </w:t>
      </w:r>
      <w:r w:rsidRPr="00D46648">
        <w:t xml:space="preserve">a discount rate: the rate at which the </w:t>
      </w:r>
      <w:r>
        <w:t xml:space="preserve">net </w:t>
      </w:r>
      <w:r w:rsidRPr="00D46648">
        <w:t xml:space="preserve">present value </w:t>
      </w:r>
      <w:r>
        <w:t xml:space="preserve">of </w:t>
      </w:r>
      <w:r w:rsidRPr="00D46648">
        <w:t xml:space="preserve">future cash flows from an investment </w:t>
      </w:r>
      <w:r>
        <w:t xml:space="preserve">is </w:t>
      </w:r>
      <w:r w:rsidRPr="00D46648">
        <w:t xml:space="preserve">equal </w:t>
      </w:r>
      <w:r>
        <w:t xml:space="preserve">to </w:t>
      </w:r>
      <w:r w:rsidRPr="00D46648">
        <w:t>zero.</w:t>
      </w:r>
      <w:bookmarkEnd w:id="1"/>
      <w:bookmarkEnd w:id="2"/>
      <w:bookmarkEnd w:id="3"/>
    </w:p>
  </w:footnote>
  <w:footnote w:id="3">
    <w:p w14:paraId="62878180" w14:textId="0C29F30B" w:rsidR="00393DD8" w:rsidRPr="00FC2176" w:rsidRDefault="00393DD8">
      <w:pPr>
        <w:pStyle w:val="FootnoteText"/>
      </w:pPr>
      <w:r w:rsidRPr="00FC2176">
        <w:rPr>
          <w:rStyle w:val="FootnoteReference"/>
        </w:rPr>
        <w:footnoteRef/>
      </w:r>
      <w:r w:rsidRPr="00FC2176">
        <w:t xml:space="preserve"> </w:t>
      </w:r>
      <w:r w:rsidRPr="00583051">
        <w:t>A</w:t>
      </w:r>
      <w:r>
        <w:t xml:space="preserve"> number of more recent studies find little or no performance persistence over time, aside from among the lowest performing quartile of buyout funds (Harris, Jenkinson, Kaplan, Stucke, 2014; Braun, </w:t>
      </w:r>
      <w:r w:rsidRPr="00596071">
        <w:t xml:space="preserve">Jenkinson, </w:t>
      </w:r>
      <w:r>
        <w:t>Stoff, 2017</w:t>
      </w:r>
      <w:r w:rsidRPr="00596071">
        <w:t>)</w:t>
      </w:r>
      <w:r>
        <w:t>.</w:t>
      </w:r>
    </w:p>
  </w:footnote>
  <w:footnote w:id="4">
    <w:p w14:paraId="21B32F60" w14:textId="4B907C87" w:rsidR="00393DD8" w:rsidRPr="00583051" w:rsidRDefault="00393DD8">
      <w:pPr>
        <w:pStyle w:val="FootnoteText"/>
        <w:rPr>
          <w:lang w:val="fi-FI"/>
        </w:rPr>
      </w:pPr>
      <w:r>
        <w:rPr>
          <w:rStyle w:val="FootnoteReference"/>
        </w:rPr>
        <w:footnoteRef/>
      </w:r>
      <w:r>
        <w:t xml:space="preserve"> </w:t>
      </w:r>
      <w:r w:rsidRPr="00FA4E97">
        <w:t xml:space="preserve">Loos sample concerns a specific sample of exited deals where the holding periods were merely 2.5 years. Returns eroded </w:t>
      </w:r>
      <w:r>
        <w:t xml:space="preserve">in more recent years and </w:t>
      </w:r>
      <w:r w:rsidRPr="00FA4E97">
        <w:t>turned negative (-3%) for unrealized deals</w:t>
      </w:r>
      <w:r>
        <w:t xml:space="preserve"> in 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828BCC8"/>
    <w:lvl w:ilvl="0">
      <w:start w:val="1"/>
      <w:numFmt w:val="decimal"/>
      <w:pStyle w:val="Numberedlist"/>
      <w:lvlText w:val="(%1)"/>
      <w:lvlJc w:val="left"/>
      <w:pPr>
        <w:tabs>
          <w:tab w:val="num" w:pos="1080"/>
        </w:tabs>
        <w:ind w:left="1080" w:hanging="720"/>
      </w:pPr>
      <w:rPr>
        <w:rFonts w:hint="default"/>
      </w:rPr>
    </w:lvl>
  </w:abstractNum>
  <w:abstractNum w:abstractNumId="1" w15:restartNumberingAfterBreak="0">
    <w:nsid w:val="08F41698"/>
    <w:multiLevelType w:val="hybridMultilevel"/>
    <w:tmpl w:val="D346A94E"/>
    <w:lvl w:ilvl="0" w:tplc="D6A65FD2">
      <w:start w:val="1"/>
      <w:numFmt w:val="upperRoman"/>
      <w:lvlText w:val="%1."/>
      <w:lvlJc w:val="right"/>
      <w:pPr>
        <w:ind w:left="-357" w:hanging="18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1845" w:hanging="360"/>
      </w:pPr>
    </w:lvl>
    <w:lvl w:ilvl="5" w:tplc="0409001B" w:tentative="1">
      <w:start w:val="1"/>
      <w:numFmt w:val="lowerRoman"/>
      <w:lvlText w:val="%6."/>
      <w:lvlJc w:val="right"/>
      <w:pPr>
        <w:ind w:left="-1125" w:hanging="180"/>
      </w:pPr>
    </w:lvl>
    <w:lvl w:ilvl="6" w:tplc="0409000F" w:tentative="1">
      <w:start w:val="1"/>
      <w:numFmt w:val="decimal"/>
      <w:lvlText w:val="%7."/>
      <w:lvlJc w:val="left"/>
      <w:pPr>
        <w:ind w:left="-405" w:hanging="360"/>
      </w:pPr>
    </w:lvl>
    <w:lvl w:ilvl="7" w:tplc="04090019" w:tentative="1">
      <w:start w:val="1"/>
      <w:numFmt w:val="lowerLetter"/>
      <w:lvlText w:val="%8."/>
      <w:lvlJc w:val="left"/>
      <w:pPr>
        <w:ind w:left="315" w:hanging="360"/>
      </w:pPr>
    </w:lvl>
    <w:lvl w:ilvl="8" w:tplc="0409001B" w:tentative="1">
      <w:start w:val="1"/>
      <w:numFmt w:val="lowerRoman"/>
      <w:lvlText w:val="%9."/>
      <w:lvlJc w:val="right"/>
      <w:pPr>
        <w:ind w:left="1035" w:hanging="180"/>
      </w:pPr>
    </w:lvl>
  </w:abstractNum>
  <w:abstractNum w:abstractNumId="2" w15:restartNumberingAfterBreak="0">
    <w:nsid w:val="0D0121E9"/>
    <w:multiLevelType w:val="multilevel"/>
    <w:tmpl w:val="A50EA7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737D34"/>
    <w:multiLevelType w:val="hybridMultilevel"/>
    <w:tmpl w:val="162262BA"/>
    <w:lvl w:ilvl="0" w:tplc="C53C1032">
      <w:start w:val="3"/>
      <w:numFmt w:val="upperRoman"/>
      <w:lvlText w:val="%1."/>
      <w:lvlJc w:val="left"/>
      <w:pPr>
        <w:ind w:left="1381"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 w15:restartNumberingAfterBreak="0">
    <w:nsid w:val="26CD2E07"/>
    <w:multiLevelType w:val="multilevel"/>
    <w:tmpl w:val="A50EA7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134555"/>
    <w:multiLevelType w:val="multilevel"/>
    <w:tmpl w:val="A50EA7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3B2DBD"/>
    <w:multiLevelType w:val="multilevel"/>
    <w:tmpl w:val="081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01E1FF1"/>
    <w:multiLevelType w:val="multilevel"/>
    <w:tmpl w:val="13423C2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F07DC7"/>
    <w:multiLevelType w:val="hybridMultilevel"/>
    <w:tmpl w:val="D078060E"/>
    <w:lvl w:ilvl="0" w:tplc="A7920B0C">
      <w:start w:val="1"/>
      <w:numFmt w:val="decimal"/>
      <w:pStyle w:val="References"/>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9" w15:restartNumberingAfterBreak="0">
    <w:nsid w:val="717A2EE1"/>
    <w:multiLevelType w:val="hybridMultilevel"/>
    <w:tmpl w:val="2EAAA402"/>
    <w:lvl w:ilvl="0" w:tplc="1AFA3D8A">
      <w:numFmt w:val="bullet"/>
      <w:lvlText w:val="-"/>
      <w:lvlJc w:val="left"/>
      <w:pPr>
        <w:ind w:left="530" w:hanging="360"/>
      </w:pPr>
      <w:rPr>
        <w:rFonts w:ascii="Times New Roman" w:eastAsia="Times New Roman" w:hAnsi="Times New Roman" w:cs="Times New Roman" w:hint="default"/>
      </w:rPr>
    </w:lvl>
    <w:lvl w:ilvl="1" w:tplc="08160003">
      <w:start w:val="1"/>
      <w:numFmt w:val="bullet"/>
      <w:lvlText w:val="o"/>
      <w:lvlJc w:val="left"/>
      <w:pPr>
        <w:ind w:left="1250" w:hanging="360"/>
      </w:pPr>
      <w:rPr>
        <w:rFonts w:ascii="Courier New" w:hAnsi="Courier New" w:cs="Arial" w:hint="default"/>
      </w:rPr>
    </w:lvl>
    <w:lvl w:ilvl="2" w:tplc="08160005" w:tentative="1">
      <w:start w:val="1"/>
      <w:numFmt w:val="bullet"/>
      <w:lvlText w:val=""/>
      <w:lvlJc w:val="left"/>
      <w:pPr>
        <w:ind w:left="1970" w:hanging="360"/>
      </w:pPr>
      <w:rPr>
        <w:rFonts w:ascii="Wingdings" w:hAnsi="Wingdings" w:hint="default"/>
      </w:rPr>
    </w:lvl>
    <w:lvl w:ilvl="3" w:tplc="08160001" w:tentative="1">
      <w:start w:val="1"/>
      <w:numFmt w:val="bullet"/>
      <w:lvlText w:val=""/>
      <w:lvlJc w:val="left"/>
      <w:pPr>
        <w:ind w:left="2690" w:hanging="360"/>
      </w:pPr>
      <w:rPr>
        <w:rFonts w:ascii="Symbol" w:hAnsi="Symbol" w:hint="default"/>
      </w:rPr>
    </w:lvl>
    <w:lvl w:ilvl="4" w:tplc="08160003" w:tentative="1">
      <w:start w:val="1"/>
      <w:numFmt w:val="bullet"/>
      <w:lvlText w:val="o"/>
      <w:lvlJc w:val="left"/>
      <w:pPr>
        <w:ind w:left="3410" w:hanging="360"/>
      </w:pPr>
      <w:rPr>
        <w:rFonts w:ascii="Courier New" w:hAnsi="Courier New" w:cs="Arial" w:hint="default"/>
      </w:rPr>
    </w:lvl>
    <w:lvl w:ilvl="5" w:tplc="08160005" w:tentative="1">
      <w:start w:val="1"/>
      <w:numFmt w:val="bullet"/>
      <w:lvlText w:val=""/>
      <w:lvlJc w:val="left"/>
      <w:pPr>
        <w:ind w:left="4130" w:hanging="360"/>
      </w:pPr>
      <w:rPr>
        <w:rFonts w:ascii="Wingdings" w:hAnsi="Wingdings" w:hint="default"/>
      </w:rPr>
    </w:lvl>
    <w:lvl w:ilvl="6" w:tplc="08160001" w:tentative="1">
      <w:start w:val="1"/>
      <w:numFmt w:val="bullet"/>
      <w:lvlText w:val=""/>
      <w:lvlJc w:val="left"/>
      <w:pPr>
        <w:ind w:left="4850" w:hanging="360"/>
      </w:pPr>
      <w:rPr>
        <w:rFonts w:ascii="Symbol" w:hAnsi="Symbol" w:hint="default"/>
      </w:rPr>
    </w:lvl>
    <w:lvl w:ilvl="7" w:tplc="08160003" w:tentative="1">
      <w:start w:val="1"/>
      <w:numFmt w:val="bullet"/>
      <w:lvlText w:val="o"/>
      <w:lvlJc w:val="left"/>
      <w:pPr>
        <w:ind w:left="5570" w:hanging="360"/>
      </w:pPr>
      <w:rPr>
        <w:rFonts w:ascii="Courier New" w:hAnsi="Courier New" w:cs="Arial" w:hint="default"/>
      </w:rPr>
    </w:lvl>
    <w:lvl w:ilvl="8" w:tplc="08160005" w:tentative="1">
      <w:start w:val="1"/>
      <w:numFmt w:val="bullet"/>
      <w:lvlText w:val=""/>
      <w:lvlJc w:val="left"/>
      <w:pPr>
        <w:ind w:left="6290" w:hanging="360"/>
      </w:pPr>
      <w:rPr>
        <w:rFonts w:ascii="Wingdings" w:hAnsi="Wingdings" w:hint="default"/>
      </w:rPr>
    </w:lvl>
  </w:abstractNum>
  <w:abstractNum w:abstractNumId="10" w15:restartNumberingAfterBreak="0">
    <w:nsid w:val="73623B3B"/>
    <w:multiLevelType w:val="multilevel"/>
    <w:tmpl w:val="A50EA7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4C327DE"/>
    <w:multiLevelType w:val="hybridMultilevel"/>
    <w:tmpl w:val="5BEE5748"/>
    <w:lvl w:ilvl="0" w:tplc="99420986">
      <w:start w:val="2"/>
      <w:numFmt w:val="upperRoman"/>
      <w:lvlText w:val="%1."/>
      <w:lvlJc w:val="left"/>
      <w:pPr>
        <w:ind w:left="1381"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2" w15:restartNumberingAfterBreak="0">
    <w:nsid w:val="7989567B"/>
    <w:multiLevelType w:val="multilevel"/>
    <w:tmpl w:val="A50EA7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A4449FE"/>
    <w:multiLevelType w:val="multilevel"/>
    <w:tmpl w:val="2CCA86FC"/>
    <w:lvl w:ilvl="0">
      <w:start w:val="1"/>
      <w:numFmt w:val="decimal"/>
      <w:pStyle w:val="Column-A"/>
      <w:suff w:val="nothing"/>
      <w:lvlText w:val="%1: "/>
      <w:lvlJc w:val="left"/>
      <w:pPr>
        <w:ind w:left="432" w:hanging="432"/>
      </w:pPr>
      <w:rPr>
        <w:rFonts w:ascii="Arial" w:hAnsi="Arial" w:hint="default"/>
        <w:b w:val="0"/>
        <w:i w:val="0"/>
        <w:sz w:val="16"/>
      </w:rPr>
    </w:lvl>
    <w:lvl w:ilvl="1">
      <w:start w:val="1"/>
      <w:numFmt w:val="decimal"/>
      <w:lvlText w:val=".%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BE42280"/>
    <w:multiLevelType w:val="multilevel"/>
    <w:tmpl w:val="8D0EB9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E252A97"/>
    <w:multiLevelType w:val="multilevel"/>
    <w:tmpl w:val="A50EA7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8"/>
  </w:num>
  <w:num w:numId="3">
    <w:abstractNumId w:val="5"/>
  </w:num>
  <w:num w:numId="4">
    <w:abstractNumId w:val="13"/>
  </w:num>
  <w:num w:numId="5">
    <w:abstractNumId w:val="12"/>
  </w:num>
  <w:num w:numId="6">
    <w:abstractNumId w:val="2"/>
  </w:num>
  <w:num w:numId="7">
    <w:abstractNumId w:val="15"/>
  </w:num>
  <w:num w:numId="8">
    <w:abstractNumId w:val="7"/>
  </w:num>
  <w:num w:numId="9">
    <w:abstractNumId w:val="4"/>
  </w:num>
  <w:num w:numId="10">
    <w:abstractNumId w:val="10"/>
  </w:num>
  <w:num w:numId="11">
    <w:abstractNumId w:val="1"/>
  </w:num>
  <w:num w:numId="12">
    <w:abstractNumId w:val="11"/>
  </w:num>
  <w:num w:numId="13">
    <w:abstractNumId w:val="3"/>
  </w:num>
  <w:num w:numId="14">
    <w:abstractNumId w:val="6"/>
  </w:num>
  <w:num w:numId="15">
    <w:abstractNumId w:val="9"/>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it-IT" w:vendorID="64" w:dllVersion="131078" w:nlCheck="1" w:checkStyle="0"/>
  <w:activeWritingStyle w:appName="MSWord" w:lang="fi-FI"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0"/>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F6"/>
    <w:rsid w:val="00000206"/>
    <w:rsid w:val="000005E1"/>
    <w:rsid w:val="00000895"/>
    <w:rsid w:val="000016E7"/>
    <w:rsid w:val="000024ED"/>
    <w:rsid w:val="000038E3"/>
    <w:rsid w:val="00004BD7"/>
    <w:rsid w:val="00005737"/>
    <w:rsid w:val="000074A4"/>
    <w:rsid w:val="0000761D"/>
    <w:rsid w:val="00012A71"/>
    <w:rsid w:val="00020565"/>
    <w:rsid w:val="00020B45"/>
    <w:rsid w:val="0002233B"/>
    <w:rsid w:val="00023908"/>
    <w:rsid w:val="00023A72"/>
    <w:rsid w:val="00026DCA"/>
    <w:rsid w:val="00030C2F"/>
    <w:rsid w:val="00031888"/>
    <w:rsid w:val="00031A9C"/>
    <w:rsid w:val="00031AF6"/>
    <w:rsid w:val="00032025"/>
    <w:rsid w:val="00034852"/>
    <w:rsid w:val="00034BFC"/>
    <w:rsid w:val="00036FBD"/>
    <w:rsid w:val="00040642"/>
    <w:rsid w:val="00040E8D"/>
    <w:rsid w:val="00041049"/>
    <w:rsid w:val="000412C4"/>
    <w:rsid w:val="00041398"/>
    <w:rsid w:val="00041E39"/>
    <w:rsid w:val="00042BB6"/>
    <w:rsid w:val="000437DB"/>
    <w:rsid w:val="00047535"/>
    <w:rsid w:val="00047D38"/>
    <w:rsid w:val="000503D7"/>
    <w:rsid w:val="00053D72"/>
    <w:rsid w:val="0005401C"/>
    <w:rsid w:val="00054396"/>
    <w:rsid w:val="000564C6"/>
    <w:rsid w:val="00061EDC"/>
    <w:rsid w:val="000622C8"/>
    <w:rsid w:val="0006295F"/>
    <w:rsid w:val="000636FB"/>
    <w:rsid w:val="000671F6"/>
    <w:rsid w:val="00070068"/>
    <w:rsid w:val="000702B6"/>
    <w:rsid w:val="00071175"/>
    <w:rsid w:val="00072F37"/>
    <w:rsid w:val="000761CF"/>
    <w:rsid w:val="0007633B"/>
    <w:rsid w:val="000765D4"/>
    <w:rsid w:val="00077F70"/>
    <w:rsid w:val="00082716"/>
    <w:rsid w:val="00083F66"/>
    <w:rsid w:val="00084887"/>
    <w:rsid w:val="00084924"/>
    <w:rsid w:val="00097DCC"/>
    <w:rsid w:val="000A09B6"/>
    <w:rsid w:val="000A4935"/>
    <w:rsid w:val="000A64C0"/>
    <w:rsid w:val="000A7ADC"/>
    <w:rsid w:val="000B12CA"/>
    <w:rsid w:val="000B3FBB"/>
    <w:rsid w:val="000B64D3"/>
    <w:rsid w:val="000C2683"/>
    <w:rsid w:val="000C3C60"/>
    <w:rsid w:val="000C429E"/>
    <w:rsid w:val="000C45C8"/>
    <w:rsid w:val="000C7BC6"/>
    <w:rsid w:val="000D3D49"/>
    <w:rsid w:val="000D3D5F"/>
    <w:rsid w:val="000D6BEF"/>
    <w:rsid w:val="000D6CC5"/>
    <w:rsid w:val="000E07D0"/>
    <w:rsid w:val="000E1CF7"/>
    <w:rsid w:val="000E4F91"/>
    <w:rsid w:val="000E73EB"/>
    <w:rsid w:val="000F254F"/>
    <w:rsid w:val="000F3D32"/>
    <w:rsid w:val="000F43C7"/>
    <w:rsid w:val="00103B21"/>
    <w:rsid w:val="0010428F"/>
    <w:rsid w:val="00104EA2"/>
    <w:rsid w:val="00115DCB"/>
    <w:rsid w:val="00116070"/>
    <w:rsid w:val="00116889"/>
    <w:rsid w:val="001168A1"/>
    <w:rsid w:val="00116CC7"/>
    <w:rsid w:val="001238C0"/>
    <w:rsid w:val="0012547C"/>
    <w:rsid w:val="001308DA"/>
    <w:rsid w:val="00131907"/>
    <w:rsid w:val="00131DAB"/>
    <w:rsid w:val="00132E4B"/>
    <w:rsid w:val="001331F0"/>
    <w:rsid w:val="00134660"/>
    <w:rsid w:val="00135901"/>
    <w:rsid w:val="00137C11"/>
    <w:rsid w:val="00140E31"/>
    <w:rsid w:val="00141273"/>
    <w:rsid w:val="00142CB5"/>
    <w:rsid w:val="00143448"/>
    <w:rsid w:val="00143DBF"/>
    <w:rsid w:val="00146214"/>
    <w:rsid w:val="0014650E"/>
    <w:rsid w:val="001478F2"/>
    <w:rsid w:val="0015075D"/>
    <w:rsid w:val="00150CFF"/>
    <w:rsid w:val="00154009"/>
    <w:rsid w:val="00156DC9"/>
    <w:rsid w:val="00161792"/>
    <w:rsid w:val="00162F52"/>
    <w:rsid w:val="001639B2"/>
    <w:rsid w:val="00165070"/>
    <w:rsid w:val="00166C92"/>
    <w:rsid w:val="00177161"/>
    <w:rsid w:val="0017798F"/>
    <w:rsid w:val="0018253E"/>
    <w:rsid w:val="00183902"/>
    <w:rsid w:val="00183A32"/>
    <w:rsid w:val="00184723"/>
    <w:rsid w:val="00184727"/>
    <w:rsid w:val="001866D5"/>
    <w:rsid w:val="001870A0"/>
    <w:rsid w:val="00187EFA"/>
    <w:rsid w:val="0019253A"/>
    <w:rsid w:val="001937FF"/>
    <w:rsid w:val="00196899"/>
    <w:rsid w:val="001A0178"/>
    <w:rsid w:val="001A5B69"/>
    <w:rsid w:val="001A70F7"/>
    <w:rsid w:val="001B2CF5"/>
    <w:rsid w:val="001B4512"/>
    <w:rsid w:val="001B53D2"/>
    <w:rsid w:val="001B69CC"/>
    <w:rsid w:val="001C1BA9"/>
    <w:rsid w:val="001C1CAC"/>
    <w:rsid w:val="001C326B"/>
    <w:rsid w:val="001C35FA"/>
    <w:rsid w:val="001C4F5B"/>
    <w:rsid w:val="001C5FF4"/>
    <w:rsid w:val="001D022C"/>
    <w:rsid w:val="001D02AD"/>
    <w:rsid w:val="001D0409"/>
    <w:rsid w:val="001D2592"/>
    <w:rsid w:val="001D2AEA"/>
    <w:rsid w:val="001D2D2A"/>
    <w:rsid w:val="001D3819"/>
    <w:rsid w:val="001D4582"/>
    <w:rsid w:val="001D7EC2"/>
    <w:rsid w:val="001D7FCE"/>
    <w:rsid w:val="001E188C"/>
    <w:rsid w:val="001E1A1E"/>
    <w:rsid w:val="001E6F38"/>
    <w:rsid w:val="001E7705"/>
    <w:rsid w:val="001E7F6B"/>
    <w:rsid w:val="001F111B"/>
    <w:rsid w:val="001F1763"/>
    <w:rsid w:val="001F199C"/>
    <w:rsid w:val="001F3E6F"/>
    <w:rsid w:val="001F4872"/>
    <w:rsid w:val="001F4D95"/>
    <w:rsid w:val="001F5153"/>
    <w:rsid w:val="001F59C0"/>
    <w:rsid w:val="001F5EBE"/>
    <w:rsid w:val="001F6016"/>
    <w:rsid w:val="001F65E0"/>
    <w:rsid w:val="001F772F"/>
    <w:rsid w:val="0020065D"/>
    <w:rsid w:val="00201D25"/>
    <w:rsid w:val="00202754"/>
    <w:rsid w:val="00206CB8"/>
    <w:rsid w:val="002079B5"/>
    <w:rsid w:val="002133AF"/>
    <w:rsid w:val="00216D4E"/>
    <w:rsid w:val="00221216"/>
    <w:rsid w:val="002217AF"/>
    <w:rsid w:val="002226AC"/>
    <w:rsid w:val="002237F3"/>
    <w:rsid w:val="00223E9D"/>
    <w:rsid w:val="00225A55"/>
    <w:rsid w:val="0023029B"/>
    <w:rsid w:val="00232910"/>
    <w:rsid w:val="00232D75"/>
    <w:rsid w:val="002361C2"/>
    <w:rsid w:val="002411F9"/>
    <w:rsid w:val="00241A8A"/>
    <w:rsid w:val="00242052"/>
    <w:rsid w:val="00244D43"/>
    <w:rsid w:val="00245CE7"/>
    <w:rsid w:val="00246278"/>
    <w:rsid w:val="0024732C"/>
    <w:rsid w:val="00247F78"/>
    <w:rsid w:val="0025011E"/>
    <w:rsid w:val="0025169F"/>
    <w:rsid w:val="002542A6"/>
    <w:rsid w:val="002558A1"/>
    <w:rsid w:val="00256733"/>
    <w:rsid w:val="00257455"/>
    <w:rsid w:val="0026015F"/>
    <w:rsid w:val="002610AE"/>
    <w:rsid w:val="00262106"/>
    <w:rsid w:val="00266BDC"/>
    <w:rsid w:val="0027206D"/>
    <w:rsid w:val="0027511F"/>
    <w:rsid w:val="00275D22"/>
    <w:rsid w:val="00275FAE"/>
    <w:rsid w:val="00276A58"/>
    <w:rsid w:val="0027722D"/>
    <w:rsid w:val="002773F4"/>
    <w:rsid w:val="00280091"/>
    <w:rsid w:val="002820CA"/>
    <w:rsid w:val="0028303C"/>
    <w:rsid w:val="00284E66"/>
    <w:rsid w:val="00286088"/>
    <w:rsid w:val="00291A51"/>
    <w:rsid w:val="00291BF3"/>
    <w:rsid w:val="00292D88"/>
    <w:rsid w:val="00293898"/>
    <w:rsid w:val="002939E1"/>
    <w:rsid w:val="00293EEB"/>
    <w:rsid w:val="002947A0"/>
    <w:rsid w:val="00294E18"/>
    <w:rsid w:val="0029569B"/>
    <w:rsid w:val="0029573C"/>
    <w:rsid w:val="00295B0E"/>
    <w:rsid w:val="00296C7F"/>
    <w:rsid w:val="00297D14"/>
    <w:rsid w:val="002A0938"/>
    <w:rsid w:val="002A0A15"/>
    <w:rsid w:val="002A0E3A"/>
    <w:rsid w:val="002A2979"/>
    <w:rsid w:val="002A39EE"/>
    <w:rsid w:val="002A3F77"/>
    <w:rsid w:val="002A5DC4"/>
    <w:rsid w:val="002A607D"/>
    <w:rsid w:val="002A60AF"/>
    <w:rsid w:val="002B0164"/>
    <w:rsid w:val="002B0193"/>
    <w:rsid w:val="002B1FB8"/>
    <w:rsid w:val="002B581E"/>
    <w:rsid w:val="002B7A82"/>
    <w:rsid w:val="002C0ED0"/>
    <w:rsid w:val="002C1B9F"/>
    <w:rsid w:val="002C324B"/>
    <w:rsid w:val="002C367B"/>
    <w:rsid w:val="002C57DD"/>
    <w:rsid w:val="002C65FB"/>
    <w:rsid w:val="002C7444"/>
    <w:rsid w:val="002D06F7"/>
    <w:rsid w:val="002D072F"/>
    <w:rsid w:val="002D1FBB"/>
    <w:rsid w:val="002D30F9"/>
    <w:rsid w:val="002D3297"/>
    <w:rsid w:val="002D3442"/>
    <w:rsid w:val="002D4CF1"/>
    <w:rsid w:val="002D601B"/>
    <w:rsid w:val="002E3B4D"/>
    <w:rsid w:val="002E3FAD"/>
    <w:rsid w:val="002F06E5"/>
    <w:rsid w:val="002F0B80"/>
    <w:rsid w:val="002F15B8"/>
    <w:rsid w:val="002F479A"/>
    <w:rsid w:val="002F63DD"/>
    <w:rsid w:val="002F6694"/>
    <w:rsid w:val="003002AA"/>
    <w:rsid w:val="00302B0F"/>
    <w:rsid w:val="00303860"/>
    <w:rsid w:val="00305068"/>
    <w:rsid w:val="00306471"/>
    <w:rsid w:val="00311F46"/>
    <w:rsid w:val="00313723"/>
    <w:rsid w:val="003147C3"/>
    <w:rsid w:val="00320E98"/>
    <w:rsid w:val="003219E1"/>
    <w:rsid w:val="00323093"/>
    <w:rsid w:val="003249E3"/>
    <w:rsid w:val="00325998"/>
    <w:rsid w:val="00330D10"/>
    <w:rsid w:val="00331170"/>
    <w:rsid w:val="00332926"/>
    <w:rsid w:val="00332EBF"/>
    <w:rsid w:val="003339D2"/>
    <w:rsid w:val="003348D7"/>
    <w:rsid w:val="00335B47"/>
    <w:rsid w:val="00336799"/>
    <w:rsid w:val="00336EC2"/>
    <w:rsid w:val="0034329E"/>
    <w:rsid w:val="0034346C"/>
    <w:rsid w:val="00344713"/>
    <w:rsid w:val="00344E5F"/>
    <w:rsid w:val="0035007E"/>
    <w:rsid w:val="0035341E"/>
    <w:rsid w:val="0036008B"/>
    <w:rsid w:val="00360ACA"/>
    <w:rsid w:val="00364124"/>
    <w:rsid w:val="00367474"/>
    <w:rsid w:val="00367854"/>
    <w:rsid w:val="00367946"/>
    <w:rsid w:val="00372BFE"/>
    <w:rsid w:val="00376770"/>
    <w:rsid w:val="0037737C"/>
    <w:rsid w:val="00377F52"/>
    <w:rsid w:val="0038140F"/>
    <w:rsid w:val="0038201A"/>
    <w:rsid w:val="00382478"/>
    <w:rsid w:val="003834AF"/>
    <w:rsid w:val="00386C95"/>
    <w:rsid w:val="003900C7"/>
    <w:rsid w:val="0039059D"/>
    <w:rsid w:val="00390A20"/>
    <w:rsid w:val="003924B8"/>
    <w:rsid w:val="00393DD8"/>
    <w:rsid w:val="0039401C"/>
    <w:rsid w:val="00394AF8"/>
    <w:rsid w:val="00395925"/>
    <w:rsid w:val="00396C36"/>
    <w:rsid w:val="00397149"/>
    <w:rsid w:val="003A0A50"/>
    <w:rsid w:val="003A2291"/>
    <w:rsid w:val="003A3A53"/>
    <w:rsid w:val="003B06CD"/>
    <w:rsid w:val="003B0E51"/>
    <w:rsid w:val="003B6350"/>
    <w:rsid w:val="003B7760"/>
    <w:rsid w:val="003C0B5E"/>
    <w:rsid w:val="003C153A"/>
    <w:rsid w:val="003C2E7F"/>
    <w:rsid w:val="003C3983"/>
    <w:rsid w:val="003C4AC2"/>
    <w:rsid w:val="003C4DD5"/>
    <w:rsid w:val="003C6EA3"/>
    <w:rsid w:val="003C7B46"/>
    <w:rsid w:val="003D1BC0"/>
    <w:rsid w:val="003D2E37"/>
    <w:rsid w:val="003D3368"/>
    <w:rsid w:val="003D37C4"/>
    <w:rsid w:val="003D394C"/>
    <w:rsid w:val="003D3D75"/>
    <w:rsid w:val="003D3EBE"/>
    <w:rsid w:val="003D5091"/>
    <w:rsid w:val="003D591A"/>
    <w:rsid w:val="003D5EF6"/>
    <w:rsid w:val="003E12B3"/>
    <w:rsid w:val="003E17F2"/>
    <w:rsid w:val="003E305D"/>
    <w:rsid w:val="003E3A1C"/>
    <w:rsid w:val="003E5B54"/>
    <w:rsid w:val="003F1DA5"/>
    <w:rsid w:val="003F240C"/>
    <w:rsid w:val="003F37F7"/>
    <w:rsid w:val="003F5A02"/>
    <w:rsid w:val="003F5BD6"/>
    <w:rsid w:val="003F60E2"/>
    <w:rsid w:val="003F7877"/>
    <w:rsid w:val="003F7985"/>
    <w:rsid w:val="00401874"/>
    <w:rsid w:val="00403E62"/>
    <w:rsid w:val="00404040"/>
    <w:rsid w:val="0040528E"/>
    <w:rsid w:val="00405533"/>
    <w:rsid w:val="00411556"/>
    <w:rsid w:val="00413380"/>
    <w:rsid w:val="00413FFF"/>
    <w:rsid w:val="00416088"/>
    <w:rsid w:val="00417A80"/>
    <w:rsid w:val="00417F07"/>
    <w:rsid w:val="00421B25"/>
    <w:rsid w:val="00421B62"/>
    <w:rsid w:val="00421D26"/>
    <w:rsid w:val="00422438"/>
    <w:rsid w:val="004229A7"/>
    <w:rsid w:val="004236AE"/>
    <w:rsid w:val="00424F41"/>
    <w:rsid w:val="0042599B"/>
    <w:rsid w:val="00426903"/>
    <w:rsid w:val="004277C5"/>
    <w:rsid w:val="00430BC4"/>
    <w:rsid w:val="00431933"/>
    <w:rsid w:val="004335F0"/>
    <w:rsid w:val="004341BF"/>
    <w:rsid w:val="004348A5"/>
    <w:rsid w:val="00435F41"/>
    <w:rsid w:val="00436352"/>
    <w:rsid w:val="004364A9"/>
    <w:rsid w:val="00443274"/>
    <w:rsid w:val="00444A40"/>
    <w:rsid w:val="00447827"/>
    <w:rsid w:val="00450EC8"/>
    <w:rsid w:val="00451CEA"/>
    <w:rsid w:val="004535DC"/>
    <w:rsid w:val="00453CAC"/>
    <w:rsid w:val="00453D58"/>
    <w:rsid w:val="004547AD"/>
    <w:rsid w:val="004549D7"/>
    <w:rsid w:val="004551DE"/>
    <w:rsid w:val="00455329"/>
    <w:rsid w:val="00455E5C"/>
    <w:rsid w:val="00456A3C"/>
    <w:rsid w:val="00460637"/>
    <w:rsid w:val="00460675"/>
    <w:rsid w:val="004620F3"/>
    <w:rsid w:val="004633FC"/>
    <w:rsid w:val="00463982"/>
    <w:rsid w:val="004640F1"/>
    <w:rsid w:val="00466602"/>
    <w:rsid w:val="004678B3"/>
    <w:rsid w:val="00470DC9"/>
    <w:rsid w:val="00470EC6"/>
    <w:rsid w:val="00472551"/>
    <w:rsid w:val="00474822"/>
    <w:rsid w:val="00476BEA"/>
    <w:rsid w:val="00477A4F"/>
    <w:rsid w:val="00477DDB"/>
    <w:rsid w:val="00477EAB"/>
    <w:rsid w:val="00481094"/>
    <w:rsid w:val="00481A25"/>
    <w:rsid w:val="00482D32"/>
    <w:rsid w:val="00485F8D"/>
    <w:rsid w:val="0048610B"/>
    <w:rsid w:val="00486DC1"/>
    <w:rsid w:val="00487034"/>
    <w:rsid w:val="00492552"/>
    <w:rsid w:val="00495B42"/>
    <w:rsid w:val="00496EB1"/>
    <w:rsid w:val="004A07D5"/>
    <w:rsid w:val="004A0C85"/>
    <w:rsid w:val="004A14A2"/>
    <w:rsid w:val="004A2966"/>
    <w:rsid w:val="004A43B1"/>
    <w:rsid w:val="004A5564"/>
    <w:rsid w:val="004A5596"/>
    <w:rsid w:val="004A56BE"/>
    <w:rsid w:val="004A5CDE"/>
    <w:rsid w:val="004A74CD"/>
    <w:rsid w:val="004B0F75"/>
    <w:rsid w:val="004B4703"/>
    <w:rsid w:val="004B473F"/>
    <w:rsid w:val="004B5590"/>
    <w:rsid w:val="004B65E7"/>
    <w:rsid w:val="004C0154"/>
    <w:rsid w:val="004C05EF"/>
    <w:rsid w:val="004C2D15"/>
    <w:rsid w:val="004C3B05"/>
    <w:rsid w:val="004C3F2E"/>
    <w:rsid w:val="004C52D6"/>
    <w:rsid w:val="004C6046"/>
    <w:rsid w:val="004C69A7"/>
    <w:rsid w:val="004D0B68"/>
    <w:rsid w:val="004D0BAF"/>
    <w:rsid w:val="004D18FA"/>
    <w:rsid w:val="004D43EC"/>
    <w:rsid w:val="004D47C0"/>
    <w:rsid w:val="004D4EAB"/>
    <w:rsid w:val="004D5F9B"/>
    <w:rsid w:val="004D65CE"/>
    <w:rsid w:val="004D6BF5"/>
    <w:rsid w:val="004E2946"/>
    <w:rsid w:val="004E3EC8"/>
    <w:rsid w:val="004E4C28"/>
    <w:rsid w:val="004E51C0"/>
    <w:rsid w:val="004E798C"/>
    <w:rsid w:val="004F1A6C"/>
    <w:rsid w:val="004F21E4"/>
    <w:rsid w:val="004F2CFF"/>
    <w:rsid w:val="004F53DB"/>
    <w:rsid w:val="004F5FE2"/>
    <w:rsid w:val="004F604A"/>
    <w:rsid w:val="004F68FD"/>
    <w:rsid w:val="004F76E2"/>
    <w:rsid w:val="004F7D04"/>
    <w:rsid w:val="00500511"/>
    <w:rsid w:val="00500D3E"/>
    <w:rsid w:val="00501233"/>
    <w:rsid w:val="0050169D"/>
    <w:rsid w:val="005027F1"/>
    <w:rsid w:val="00504419"/>
    <w:rsid w:val="005045B9"/>
    <w:rsid w:val="0050662B"/>
    <w:rsid w:val="00506653"/>
    <w:rsid w:val="00507244"/>
    <w:rsid w:val="005124CB"/>
    <w:rsid w:val="0051782F"/>
    <w:rsid w:val="005203EA"/>
    <w:rsid w:val="00520BE6"/>
    <w:rsid w:val="00523803"/>
    <w:rsid w:val="00525E06"/>
    <w:rsid w:val="005262FB"/>
    <w:rsid w:val="00527D4E"/>
    <w:rsid w:val="005306D0"/>
    <w:rsid w:val="005311D5"/>
    <w:rsid w:val="005350E4"/>
    <w:rsid w:val="005411E7"/>
    <w:rsid w:val="0054149C"/>
    <w:rsid w:val="00541AE0"/>
    <w:rsid w:val="005425C6"/>
    <w:rsid w:val="00546FAC"/>
    <w:rsid w:val="00551DC7"/>
    <w:rsid w:val="0055410A"/>
    <w:rsid w:val="005541A1"/>
    <w:rsid w:val="005548E8"/>
    <w:rsid w:val="0055777A"/>
    <w:rsid w:val="00560735"/>
    <w:rsid w:val="0056098E"/>
    <w:rsid w:val="0056191A"/>
    <w:rsid w:val="0056240F"/>
    <w:rsid w:val="00564FC1"/>
    <w:rsid w:val="005660A5"/>
    <w:rsid w:val="005663C9"/>
    <w:rsid w:val="00572229"/>
    <w:rsid w:val="0057406A"/>
    <w:rsid w:val="00574E5A"/>
    <w:rsid w:val="00575461"/>
    <w:rsid w:val="00580958"/>
    <w:rsid w:val="00580EAE"/>
    <w:rsid w:val="00581611"/>
    <w:rsid w:val="00583051"/>
    <w:rsid w:val="00583904"/>
    <w:rsid w:val="00583B3F"/>
    <w:rsid w:val="00584764"/>
    <w:rsid w:val="00587880"/>
    <w:rsid w:val="00593019"/>
    <w:rsid w:val="005949A2"/>
    <w:rsid w:val="00595045"/>
    <w:rsid w:val="00595C0F"/>
    <w:rsid w:val="00596071"/>
    <w:rsid w:val="005A194F"/>
    <w:rsid w:val="005A2D2A"/>
    <w:rsid w:val="005A58FF"/>
    <w:rsid w:val="005A5995"/>
    <w:rsid w:val="005A63CA"/>
    <w:rsid w:val="005B111B"/>
    <w:rsid w:val="005B42BF"/>
    <w:rsid w:val="005B519D"/>
    <w:rsid w:val="005B6BAA"/>
    <w:rsid w:val="005B6E64"/>
    <w:rsid w:val="005B7638"/>
    <w:rsid w:val="005C028F"/>
    <w:rsid w:val="005C0F58"/>
    <w:rsid w:val="005C1CE6"/>
    <w:rsid w:val="005C30A1"/>
    <w:rsid w:val="005C3943"/>
    <w:rsid w:val="005C535A"/>
    <w:rsid w:val="005C7F38"/>
    <w:rsid w:val="005D070C"/>
    <w:rsid w:val="005D0E83"/>
    <w:rsid w:val="005D11FF"/>
    <w:rsid w:val="005D174E"/>
    <w:rsid w:val="005D1DFB"/>
    <w:rsid w:val="005D2713"/>
    <w:rsid w:val="005D2A86"/>
    <w:rsid w:val="005D35AA"/>
    <w:rsid w:val="005D367B"/>
    <w:rsid w:val="005D3E97"/>
    <w:rsid w:val="005D5E92"/>
    <w:rsid w:val="005E0F60"/>
    <w:rsid w:val="005E15D4"/>
    <w:rsid w:val="005E28B7"/>
    <w:rsid w:val="005E6FFE"/>
    <w:rsid w:val="005E7E4C"/>
    <w:rsid w:val="005F120F"/>
    <w:rsid w:val="005F227D"/>
    <w:rsid w:val="005F3940"/>
    <w:rsid w:val="005F4731"/>
    <w:rsid w:val="005F4A68"/>
    <w:rsid w:val="005F7B38"/>
    <w:rsid w:val="005F7CEA"/>
    <w:rsid w:val="006003A5"/>
    <w:rsid w:val="00604826"/>
    <w:rsid w:val="0060514A"/>
    <w:rsid w:val="006065C2"/>
    <w:rsid w:val="0060678F"/>
    <w:rsid w:val="006070A1"/>
    <w:rsid w:val="006072D0"/>
    <w:rsid w:val="00607CF6"/>
    <w:rsid w:val="00607F9D"/>
    <w:rsid w:val="0061047D"/>
    <w:rsid w:val="00610A5F"/>
    <w:rsid w:val="00610F55"/>
    <w:rsid w:val="006137A7"/>
    <w:rsid w:val="0061436C"/>
    <w:rsid w:val="00614A22"/>
    <w:rsid w:val="00615676"/>
    <w:rsid w:val="00617623"/>
    <w:rsid w:val="0062253B"/>
    <w:rsid w:val="006236FF"/>
    <w:rsid w:val="0062391C"/>
    <w:rsid w:val="006262D8"/>
    <w:rsid w:val="006313E3"/>
    <w:rsid w:val="006314E3"/>
    <w:rsid w:val="00631DFD"/>
    <w:rsid w:val="00634EFF"/>
    <w:rsid w:val="0063563F"/>
    <w:rsid w:val="00635FBE"/>
    <w:rsid w:val="0064009A"/>
    <w:rsid w:val="00641966"/>
    <w:rsid w:val="006430EA"/>
    <w:rsid w:val="00643AF9"/>
    <w:rsid w:val="00643CD5"/>
    <w:rsid w:val="00647E57"/>
    <w:rsid w:val="00653041"/>
    <w:rsid w:val="00653F1E"/>
    <w:rsid w:val="006541D1"/>
    <w:rsid w:val="00654486"/>
    <w:rsid w:val="00654D19"/>
    <w:rsid w:val="00654FBD"/>
    <w:rsid w:val="006553AD"/>
    <w:rsid w:val="00660772"/>
    <w:rsid w:val="0066141F"/>
    <w:rsid w:val="0066289F"/>
    <w:rsid w:val="006629BC"/>
    <w:rsid w:val="00665DAD"/>
    <w:rsid w:val="00671D85"/>
    <w:rsid w:val="0067287A"/>
    <w:rsid w:val="00672C62"/>
    <w:rsid w:val="0067388A"/>
    <w:rsid w:val="00675B0E"/>
    <w:rsid w:val="006760FB"/>
    <w:rsid w:val="00676F76"/>
    <w:rsid w:val="00677B21"/>
    <w:rsid w:val="00677B6C"/>
    <w:rsid w:val="00680CCF"/>
    <w:rsid w:val="0068234F"/>
    <w:rsid w:val="00683FF9"/>
    <w:rsid w:val="00685840"/>
    <w:rsid w:val="006875A6"/>
    <w:rsid w:val="00694398"/>
    <w:rsid w:val="00694992"/>
    <w:rsid w:val="00695B2E"/>
    <w:rsid w:val="0069649A"/>
    <w:rsid w:val="00696A40"/>
    <w:rsid w:val="0069701A"/>
    <w:rsid w:val="006A002C"/>
    <w:rsid w:val="006A022A"/>
    <w:rsid w:val="006A04E1"/>
    <w:rsid w:val="006A1A94"/>
    <w:rsid w:val="006A1C2C"/>
    <w:rsid w:val="006A278D"/>
    <w:rsid w:val="006A4FDE"/>
    <w:rsid w:val="006A6B4E"/>
    <w:rsid w:val="006B2B1B"/>
    <w:rsid w:val="006B3037"/>
    <w:rsid w:val="006B3D4E"/>
    <w:rsid w:val="006B62E8"/>
    <w:rsid w:val="006B6C76"/>
    <w:rsid w:val="006B7251"/>
    <w:rsid w:val="006B7509"/>
    <w:rsid w:val="006C0E8D"/>
    <w:rsid w:val="006C16F8"/>
    <w:rsid w:val="006C3A50"/>
    <w:rsid w:val="006C50D8"/>
    <w:rsid w:val="006C73C0"/>
    <w:rsid w:val="006D1213"/>
    <w:rsid w:val="006D1A9A"/>
    <w:rsid w:val="006D418E"/>
    <w:rsid w:val="006D6D52"/>
    <w:rsid w:val="006D7509"/>
    <w:rsid w:val="006E3340"/>
    <w:rsid w:val="006E5515"/>
    <w:rsid w:val="006E6888"/>
    <w:rsid w:val="006E77C9"/>
    <w:rsid w:val="006E7EA1"/>
    <w:rsid w:val="006E7F8E"/>
    <w:rsid w:val="006F4FDF"/>
    <w:rsid w:val="006F5617"/>
    <w:rsid w:val="006F6FA1"/>
    <w:rsid w:val="0070002D"/>
    <w:rsid w:val="00702557"/>
    <w:rsid w:val="00702EFF"/>
    <w:rsid w:val="0070314C"/>
    <w:rsid w:val="00703AAE"/>
    <w:rsid w:val="00705624"/>
    <w:rsid w:val="00712FDE"/>
    <w:rsid w:val="00716802"/>
    <w:rsid w:val="00716AE5"/>
    <w:rsid w:val="00720517"/>
    <w:rsid w:val="00720808"/>
    <w:rsid w:val="00721564"/>
    <w:rsid w:val="007236CA"/>
    <w:rsid w:val="00725385"/>
    <w:rsid w:val="00730BD5"/>
    <w:rsid w:val="00733504"/>
    <w:rsid w:val="007336B0"/>
    <w:rsid w:val="00737360"/>
    <w:rsid w:val="00737D9D"/>
    <w:rsid w:val="007437A0"/>
    <w:rsid w:val="00744447"/>
    <w:rsid w:val="0074575B"/>
    <w:rsid w:val="00746062"/>
    <w:rsid w:val="00750410"/>
    <w:rsid w:val="007508E6"/>
    <w:rsid w:val="00751BE6"/>
    <w:rsid w:val="00756CF0"/>
    <w:rsid w:val="00756D5E"/>
    <w:rsid w:val="007619B3"/>
    <w:rsid w:val="00761B7E"/>
    <w:rsid w:val="00763DC6"/>
    <w:rsid w:val="00764806"/>
    <w:rsid w:val="007648BD"/>
    <w:rsid w:val="0076784A"/>
    <w:rsid w:val="00767F71"/>
    <w:rsid w:val="007703C9"/>
    <w:rsid w:val="00771871"/>
    <w:rsid w:val="007722C1"/>
    <w:rsid w:val="00772F86"/>
    <w:rsid w:val="00773C68"/>
    <w:rsid w:val="007753D0"/>
    <w:rsid w:val="00775D67"/>
    <w:rsid w:val="00782990"/>
    <w:rsid w:val="00785CDD"/>
    <w:rsid w:val="00785F9A"/>
    <w:rsid w:val="00787ADD"/>
    <w:rsid w:val="00790032"/>
    <w:rsid w:val="007909ED"/>
    <w:rsid w:val="00791E85"/>
    <w:rsid w:val="007962A9"/>
    <w:rsid w:val="00796E21"/>
    <w:rsid w:val="007973D4"/>
    <w:rsid w:val="00797F6F"/>
    <w:rsid w:val="007A22B1"/>
    <w:rsid w:val="007A3FCB"/>
    <w:rsid w:val="007A44F1"/>
    <w:rsid w:val="007A5386"/>
    <w:rsid w:val="007A5C2B"/>
    <w:rsid w:val="007A70AE"/>
    <w:rsid w:val="007B039F"/>
    <w:rsid w:val="007B16EB"/>
    <w:rsid w:val="007B2414"/>
    <w:rsid w:val="007B2E54"/>
    <w:rsid w:val="007B45B1"/>
    <w:rsid w:val="007C167D"/>
    <w:rsid w:val="007C1B06"/>
    <w:rsid w:val="007C4BDD"/>
    <w:rsid w:val="007C65D8"/>
    <w:rsid w:val="007D16FA"/>
    <w:rsid w:val="007D2C14"/>
    <w:rsid w:val="007D2FA5"/>
    <w:rsid w:val="007D321C"/>
    <w:rsid w:val="007D54F4"/>
    <w:rsid w:val="007E126E"/>
    <w:rsid w:val="007E2CB4"/>
    <w:rsid w:val="007E405D"/>
    <w:rsid w:val="007E5839"/>
    <w:rsid w:val="007E5BB8"/>
    <w:rsid w:val="007E6102"/>
    <w:rsid w:val="007E76E5"/>
    <w:rsid w:val="007E7873"/>
    <w:rsid w:val="007F1FCB"/>
    <w:rsid w:val="007F2FCF"/>
    <w:rsid w:val="007F4F6C"/>
    <w:rsid w:val="007F51D0"/>
    <w:rsid w:val="007F7209"/>
    <w:rsid w:val="00800529"/>
    <w:rsid w:val="008007C1"/>
    <w:rsid w:val="00801B6F"/>
    <w:rsid w:val="008042E0"/>
    <w:rsid w:val="00805095"/>
    <w:rsid w:val="00806AD3"/>
    <w:rsid w:val="00806F1E"/>
    <w:rsid w:val="008070CB"/>
    <w:rsid w:val="00807B15"/>
    <w:rsid w:val="00807C38"/>
    <w:rsid w:val="00807E84"/>
    <w:rsid w:val="0081096C"/>
    <w:rsid w:val="00813247"/>
    <w:rsid w:val="0081423C"/>
    <w:rsid w:val="008145C3"/>
    <w:rsid w:val="0081613C"/>
    <w:rsid w:val="00816420"/>
    <w:rsid w:val="00816CC5"/>
    <w:rsid w:val="00816E5C"/>
    <w:rsid w:val="00817147"/>
    <w:rsid w:val="00821D6D"/>
    <w:rsid w:val="00822091"/>
    <w:rsid w:val="00822FA4"/>
    <w:rsid w:val="0082319E"/>
    <w:rsid w:val="008233E8"/>
    <w:rsid w:val="008238DB"/>
    <w:rsid w:val="0082675C"/>
    <w:rsid w:val="00832FC7"/>
    <w:rsid w:val="00833567"/>
    <w:rsid w:val="00833D8D"/>
    <w:rsid w:val="00833DA7"/>
    <w:rsid w:val="0083569B"/>
    <w:rsid w:val="00837711"/>
    <w:rsid w:val="00837AB6"/>
    <w:rsid w:val="00840B62"/>
    <w:rsid w:val="00843195"/>
    <w:rsid w:val="00843FED"/>
    <w:rsid w:val="008441AA"/>
    <w:rsid w:val="008444DF"/>
    <w:rsid w:val="00844D01"/>
    <w:rsid w:val="00845598"/>
    <w:rsid w:val="008463E8"/>
    <w:rsid w:val="0084704A"/>
    <w:rsid w:val="00847CC8"/>
    <w:rsid w:val="008520C8"/>
    <w:rsid w:val="008530CE"/>
    <w:rsid w:val="00853610"/>
    <w:rsid w:val="00853C53"/>
    <w:rsid w:val="008550C1"/>
    <w:rsid w:val="00855FC5"/>
    <w:rsid w:val="008560E5"/>
    <w:rsid w:val="0085691F"/>
    <w:rsid w:val="00856D76"/>
    <w:rsid w:val="00857DF0"/>
    <w:rsid w:val="00861568"/>
    <w:rsid w:val="00862B0F"/>
    <w:rsid w:val="00862BBD"/>
    <w:rsid w:val="00863301"/>
    <w:rsid w:val="0086390D"/>
    <w:rsid w:val="008641A7"/>
    <w:rsid w:val="008641F0"/>
    <w:rsid w:val="008645BC"/>
    <w:rsid w:val="008664B2"/>
    <w:rsid w:val="008705F0"/>
    <w:rsid w:val="008709E4"/>
    <w:rsid w:val="00870B63"/>
    <w:rsid w:val="00871E6F"/>
    <w:rsid w:val="00873124"/>
    <w:rsid w:val="00874FC4"/>
    <w:rsid w:val="008751B5"/>
    <w:rsid w:val="00877494"/>
    <w:rsid w:val="00877604"/>
    <w:rsid w:val="0087771F"/>
    <w:rsid w:val="008807B3"/>
    <w:rsid w:val="00880DA8"/>
    <w:rsid w:val="008810DD"/>
    <w:rsid w:val="00881545"/>
    <w:rsid w:val="008825F3"/>
    <w:rsid w:val="008838AD"/>
    <w:rsid w:val="008846F1"/>
    <w:rsid w:val="008860C3"/>
    <w:rsid w:val="008903D1"/>
    <w:rsid w:val="00893D56"/>
    <w:rsid w:val="0089615F"/>
    <w:rsid w:val="008A151D"/>
    <w:rsid w:val="008A3575"/>
    <w:rsid w:val="008A6542"/>
    <w:rsid w:val="008B01C4"/>
    <w:rsid w:val="008B1122"/>
    <w:rsid w:val="008B3A3F"/>
    <w:rsid w:val="008B58A0"/>
    <w:rsid w:val="008B6BBE"/>
    <w:rsid w:val="008B7E8A"/>
    <w:rsid w:val="008C1952"/>
    <w:rsid w:val="008C31C9"/>
    <w:rsid w:val="008C3404"/>
    <w:rsid w:val="008C3C09"/>
    <w:rsid w:val="008C459C"/>
    <w:rsid w:val="008D4B6A"/>
    <w:rsid w:val="008D4E2E"/>
    <w:rsid w:val="008D5BF4"/>
    <w:rsid w:val="008D65A3"/>
    <w:rsid w:val="008D7D9F"/>
    <w:rsid w:val="008E1088"/>
    <w:rsid w:val="008E2243"/>
    <w:rsid w:val="008E3E66"/>
    <w:rsid w:val="008E43E1"/>
    <w:rsid w:val="008F2464"/>
    <w:rsid w:val="008F5483"/>
    <w:rsid w:val="008F7116"/>
    <w:rsid w:val="009004DF"/>
    <w:rsid w:val="0090111C"/>
    <w:rsid w:val="009016A8"/>
    <w:rsid w:val="00903015"/>
    <w:rsid w:val="00906EB7"/>
    <w:rsid w:val="009070A5"/>
    <w:rsid w:val="009073AC"/>
    <w:rsid w:val="00910536"/>
    <w:rsid w:val="00910A6D"/>
    <w:rsid w:val="009137DA"/>
    <w:rsid w:val="009138FE"/>
    <w:rsid w:val="0091583E"/>
    <w:rsid w:val="00916BA7"/>
    <w:rsid w:val="009170FB"/>
    <w:rsid w:val="00920A74"/>
    <w:rsid w:val="00921379"/>
    <w:rsid w:val="00922DB8"/>
    <w:rsid w:val="00923A1F"/>
    <w:rsid w:val="00924987"/>
    <w:rsid w:val="00924FCE"/>
    <w:rsid w:val="009258AC"/>
    <w:rsid w:val="00926E25"/>
    <w:rsid w:val="00930757"/>
    <w:rsid w:val="00930C12"/>
    <w:rsid w:val="0093143D"/>
    <w:rsid w:val="00931445"/>
    <w:rsid w:val="00932FAC"/>
    <w:rsid w:val="0093342C"/>
    <w:rsid w:val="00936AB2"/>
    <w:rsid w:val="00936EF4"/>
    <w:rsid w:val="00940227"/>
    <w:rsid w:val="00941F5D"/>
    <w:rsid w:val="00942C3B"/>
    <w:rsid w:val="00944881"/>
    <w:rsid w:val="00944E18"/>
    <w:rsid w:val="00954332"/>
    <w:rsid w:val="00954F72"/>
    <w:rsid w:val="00954F94"/>
    <w:rsid w:val="00961E2C"/>
    <w:rsid w:val="00963469"/>
    <w:rsid w:val="00964190"/>
    <w:rsid w:val="00964352"/>
    <w:rsid w:val="0096637F"/>
    <w:rsid w:val="00967A68"/>
    <w:rsid w:val="00971723"/>
    <w:rsid w:val="00971D29"/>
    <w:rsid w:val="00976F80"/>
    <w:rsid w:val="00976F82"/>
    <w:rsid w:val="0098096D"/>
    <w:rsid w:val="00983316"/>
    <w:rsid w:val="0098401E"/>
    <w:rsid w:val="00984FF1"/>
    <w:rsid w:val="0098513A"/>
    <w:rsid w:val="00990574"/>
    <w:rsid w:val="009905DC"/>
    <w:rsid w:val="00991160"/>
    <w:rsid w:val="009915D0"/>
    <w:rsid w:val="00992C23"/>
    <w:rsid w:val="00993517"/>
    <w:rsid w:val="009939CD"/>
    <w:rsid w:val="00994B38"/>
    <w:rsid w:val="009952E0"/>
    <w:rsid w:val="0099660B"/>
    <w:rsid w:val="009A029E"/>
    <w:rsid w:val="009A1618"/>
    <w:rsid w:val="009A35A1"/>
    <w:rsid w:val="009A53A1"/>
    <w:rsid w:val="009A62AE"/>
    <w:rsid w:val="009A723E"/>
    <w:rsid w:val="009B0CA0"/>
    <w:rsid w:val="009B544E"/>
    <w:rsid w:val="009B6E97"/>
    <w:rsid w:val="009C220B"/>
    <w:rsid w:val="009C3E39"/>
    <w:rsid w:val="009C54D5"/>
    <w:rsid w:val="009C5C6B"/>
    <w:rsid w:val="009C66CD"/>
    <w:rsid w:val="009C68F6"/>
    <w:rsid w:val="009D0731"/>
    <w:rsid w:val="009D2C0D"/>
    <w:rsid w:val="009E01E8"/>
    <w:rsid w:val="009E0594"/>
    <w:rsid w:val="009E0D26"/>
    <w:rsid w:val="009E1110"/>
    <w:rsid w:val="009E3E74"/>
    <w:rsid w:val="009E4F6D"/>
    <w:rsid w:val="009E74F9"/>
    <w:rsid w:val="009F01BA"/>
    <w:rsid w:val="009F39FA"/>
    <w:rsid w:val="009F43D1"/>
    <w:rsid w:val="009F46DE"/>
    <w:rsid w:val="009F46E0"/>
    <w:rsid w:val="009F790C"/>
    <w:rsid w:val="009F7C42"/>
    <w:rsid w:val="00A00065"/>
    <w:rsid w:val="00A01DF9"/>
    <w:rsid w:val="00A06481"/>
    <w:rsid w:val="00A0652A"/>
    <w:rsid w:val="00A07A8B"/>
    <w:rsid w:val="00A11BC8"/>
    <w:rsid w:val="00A1229B"/>
    <w:rsid w:val="00A12858"/>
    <w:rsid w:val="00A13EFA"/>
    <w:rsid w:val="00A144E9"/>
    <w:rsid w:val="00A1559C"/>
    <w:rsid w:val="00A16A91"/>
    <w:rsid w:val="00A2225A"/>
    <w:rsid w:val="00A22A77"/>
    <w:rsid w:val="00A245B9"/>
    <w:rsid w:val="00A25E94"/>
    <w:rsid w:val="00A31B6D"/>
    <w:rsid w:val="00A33F44"/>
    <w:rsid w:val="00A36009"/>
    <w:rsid w:val="00A363CF"/>
    <w:rsid w:val="00A41113"/>
    <w:rsid w:val="00A453F0"/>
    <w:rsid w:val="00A45DEF"/>
    <w:rsid w:val="00A5076C"/>
    <w:rsid w:val="00A52068"/>
    <w:rsid w:val="00A522AA"/>
    <w:rsid w:val="00A5398D"/>
    <w:rsid w:val="00A53C45"/>
    <w:rsid w:val="00A5484F"/>
    <w:rsid w:val="00A55AC7"/>
    <w:rsid w:val="00A56091"/>
    <w:rsid w:val="00A57A4E"/>
    <w:rsid w:val="00A620A1"/>
    <w:rsid w:val="00A7052A"/>
    <w:rsid w:val="00A707B9"/>
    <w:rsid w:val="00A70B53"/>
    <w:rsid w:val="00A70FD2"/>
    <w:rsid w:val="00A71256"/>
    <w:rsid w:val="00A7203B"/>
    <w:rsid w:val="00A72BCC"/>
    <w:rsid w:val="00A74403"/>
    <w:rsid w:val="00A7455F"/>
    <w:rsid w:val="00A762C6"/>
    <w:rsid w:val="00A81BAC"/>
    <w:rsid w:val="00A8292D"/>
    <w:rsid w:val="00A8391E"/>
    <w:rsid w:val="00A8639D"/>
    <w:rsid w:val="00A86F47"/>
    <w:rsid w:val="00A921EA"/>
    <w:rsid w:val="00A93C65"/>
    <w:rsid w:val="00A96E05"/>
    <w:rsid w:val="00A97FA2"/>
    <w:rsid w:val="00AA2015"/>
    <w:rsid w:val="00AA219F"/>
    <w:rsid w:val="00AA3A1F"/>
    <w:rsid w:val="00AA5369"/>
    <w:rsid w:val="00AA5805"/>
    <w:rsid w:val="00AB059B"/>
    <w:rsid w:val="00AB1445"/>
    <w:rsid w:val="00AB18B4"/>
    <w:rsid w:val="00AB2CAA"/>
    <w:rsid w:val="00AC09AE"/>
    <w:rsid w:val="00AC1699"/>
    <w:rsid w:val="00AC1752"/>
    <w:rsid w:val="00AC4731"/>
    <w:rsid w:val="00AD0003"/>
    <w:rsid w:val="00AD132A"/>
    <w:rsid w:val="00AD2694"/>
    <w:rsid w:val="00AD5AE8"/>
    <w:rsid w:val="00AD5EFF"/>
    <w:rsid w:val="00AE1D77"/>
    <w:rsid w:val="00AE2FC7"/>
    <w:rsid w:val="00AE69E1"/>
    <w:rsid w:val="00AF0513"/>
    <w:rsid w:val="00AF0FE9"/>
    <w:rsid w:val="00AF2689"/>
    <w:rsid w:val="00AF3647"/>
    <w:rsid w:val="00AF6CAB"/>
    <w:rsid w:val="00AF704A"/>
    <w:rsid w:val="00B00587"/>
    <w:rsid w:val="00B03DEA"/>
    <w:rsid w:val="00B100FD"/>
    <w:rsid w:val="00B102AF"/>
    <w:rsid w:val="00B10A60"/>
    <w:rsid w:val="00B154B1"/>
    <w:rsid w:val="00B15D3F"/>
    <w:rsid w:val="00B20918"/>
    <w:rsid w:val="00B218E0"/>
    <w:rsid w:val="00B23DBA"/>
    <w:rsid w:val="00B2540A"/>
    <w:rsid w:val="00B26AA4"/>
    <w:rsid w:val="00B27171"/>
    <w:rsid w:val="00B273B6"/>
    <w:rsid w:val="00B310D4"/>
    <w:rsid w:val="00B3168B"/>
    <w:rsid w:val="00B31802"/>
    <w:rsid w:val="00B32859"/>
    <w:rsid w:val="00B3600A"/>
    <w:rsid w:val="00B36508"/>
    <w:rsid w:val="00B371EB"/>
    <w:rsid w:val="00B42830"/>
    <w:rsid w:val="00B436A9"/>
    <w:rsid w:val="00B463D0"/>
    <w:rsid w:val="00B46F94"/>
    <w:rsid w:val="00B472F5"/>
    <w:rsid w:val="00B47E31"/>
    <w:rsid w:val="00B5022B"/>
    <w:rsid w:val="00B51486"/>
    <w:rsid w:val="00B51B58"/>
    <w:rsid w:val="00B524BF"/>
    <w:rsid w:val="00B53E0B"/>
    <w:rsid w:val="00B53E5C"/>
    <w:rsid w:val="00B564DE"/>
    <w:rsid w:val="00B57710"/>
    <w:rsid w:val="00B61C53"/>
    <w:rsid w:val="00B6346D"/>
    <w:rsid w:val="00B641BC"/>
    <w:rsid w:val="00B64246"/>
    <w:rsid w:val="00B64E4E"/>
    <w:rsid w:val="00B660E6"/>
    <w:rsid w:val="00B67999"/>
    <w:rsid w:val="00B706F0"/>
    <w:rsid w:val="00B707BD"/>
    <w:rsid w:val="00B759C8"/>
    <w:rsid w:val="00B82E37"/>
    <w:rsid w:val="00B87444"/>
    <w:rsid w:val="00B877DF"/>
    <w:rsid w:val="00B938CB"/>
    <w:rsid w:val="00B94089"/>
    <w:rsid w:val="00B94161"/>
    <w:rsid w:val="00B96253"/>
    <w:rsid w:val="00BA009E"/>
    <w:rsid w:val="00BA036F"/>
    <w:rsid w:val="00BA0E55"/>
    <w:rsid w:val="00BA1A64"/>
    <w:rsid w:val="00BA1DBE"/>
    <w:rsid w:val="00BA1E63"/>
    <w:rsid w:val="00BA2355"/>
    <w:rsid w:val="00BA4A6A"/>
    <w:rsid w:val="00BA529D"/>
    <w:rsid w:val="00BA5E2B"/>
    <w:rsid w:val="00BB1204"/>
    <w:rsid w:val="00BB1261"/>
    <w:rsid w:val="00BB27F5"/>
    <w:rsid w:val="00BB2CFE"/>
    <w:rsid w:val="00BB4067"/>
    <w:rsid w:val="00BB51BD"/>
    <w:rsid w:val="00BB57F3"/>
    <w:rsid w:val="00BB5898"/>
    <w:rsid w:val="00BB61AD"/>
    <w:rsid w:val="00BB7701"/>
    <w:rsid w:val="00BB7CF9"/>
    <w:rsid w:val="00BC3361"/>
    <w:rsid w:val="00BC3A1D"/>
    <w:rsid w:val="00BC63E6"/>
    <w:rsid w:val="00BC6DD7"/>
    <w:rsid w:val="00BD08BD"/>
    <w:rsid w:val="00BD1F8D"/>
    <w:rsid w:val="00BD25A6"/>
    <w:rsid w:val="00BD306F"/>
    <w:rsid w:val="00BD43A9"/>
    <w:rsid w:val="00BD5C37"/>
    <w:rsid w:val="00BD7735"/>
    <w:rsid w:val="00BD7E1D"/>
    <w:rsid w:val="00BE2F7B"/>
    <w:rsid w:val="00BE4BA9"/>
    <w:rsid w:val="00BE6B53"/>
    <w:rsid w:val="00BF0AB4"/>
    <w:rsid w:val="00BF1CEF"/>
    <w:rsid w:val="00BF277E"/>
    <w:rsid w:val="00BF5035"/>
    <w:rsid w:val="00BF56F4"/>
    <w:rsid w:val="00C0082D"/>
    <w:rsid w:val="00C00883"/>
    <w:rsid w:val="00C01571"/>
    <w:rsid w:val="00C02A49"/>
    <w:rsid w:val="00C031EE"/>
    <w:rsid w:val="00C04148"/>
    <w:rsid w:val="00C07531"/>
    <w:rsid w:val="00C077DD"/>
    <w:rsid w:val="00C07BD2"/>
    <w:rsid w:val="00C10FB3"/>
    <w:rsid w:val="00C11627"/>
    <w:rsid w:val="00C11CEA"/>
    <w:rsid w:val="00C122D8"/>
    <w:rsid w:val="00C12738"/>
    <w:rsid w:val="00C147BF"/>
    <w:rsid w:val="00C15651"/>
    <w:rsid w:val="00C20A39"/>
    <w:rsid w:val="00C23399"/>
    <w:rsid w:val="00C23E82"/>
    <w:rsid w:val="00C24783"/>
    <w:rsid w:val="00C24969"/>
    <w:rsid w:val="00C26D97"/>
    <w:rsid w:val="00C27DCE"/>
    <w:rsid w:val="00C32ED3"/>
    <w:rsid w:val="00C33B4D"/>
    <w:rsid w:val="00C36432"/>
    <w:rsid w:val="00C3689C"/>
    <w:rsid w:val="00C36E45"/>
    <w:rsid w:val="00C40853"/>
    <w:rsid w:val="00C43F4D"/>
    <w:rsid w:val="00C44D89"/>
    <w:rsid w:val="00C450FA"/>
    <w:rsid w:val="00C477C4"/>
    <w:rsid w:val="00C50E5E"/>
    <w:rsid w:val="00C51CCA"/>
    <w:rsid w:val="00C53038"/>
    <w:rsid w:val="00C53879"/>
    <w:rsid w:val="00C607F9"/>
    <w:rsid w:val="00C61C7D"/>
    <w:rsid w:val="00C61DD4"/>
    <w:rsid w:val="00C62F9C"/>
    <w:rsid w:val="00C63BC0"/>
    <w:rsid w:val="00C63F61"/>
    <w:rsid w:val="00C65944"/>
    <w:rsid w:val="00C70833"/>
    <w:rsid w:val="00C71DE4"/>
    <w:rsid w:val="00C7378C"/>
    <w:rsid w:val="00C738FC"/>
    <w:rsid w:val="00C73ACA"/>
    <w:rsid w:val="00C756A1"/>
    <w:rsid w:val="00C763F1"/>
    <w:rsid w:val="00C77CF3"/>
    <w:rsid w:val="00C86D1C"/>
    <w:rsid w:val="00C906B1"/>
    <w:rsid w:val="00C913FE"/>
    <w:rsid w:val="00C926E5"/>
    <w:rsid w:val="00C92DB7"/>
    <w:rsid w:val="00C95388"/>
    <w:rsid w:val="00C974E7"/>
    <w:rsid w:val="00CA1A64"/>
    <w:rsid w:val="00CA35AB"/>
    <w:rsid w:val="00CA3F02"/>
    <w:rsid w:val="00CA3F91"/>
    <w:rsid w:val="00CA416E"/>
    <w:rsid w:val="00CA7272"/>
    <w:rsid w:val="00CB1929"/>
    <w:rsid w:val="00CB1B7E"/>
    <w:rsid w:val="00CB291B"/>
    <w:rsid w:val="00CB384A"/>
    <w:rsid w:val="00CB66D9"/>
    <w:rsid w:val="00CB71F1"/>
    <w:rsid w:val="00CB7DFE"/>
    <w:rsid w:val="00CC2A26"/>
    <w:rsid w:val="00CC31DC"/>
    <w:rsid w:val="00CC35FD"/>
    <w:rsid w:val="00CC7139"/>
    <w:rsid w:val="00CD1425"/>
    <w:rsid w:val="00CD1672"/>
    <w:rsid w:val="00CD2F44"/>
    <w:rsid w:val="00CD4AF5"/>
    <w:rsid w:val="00CD4DE9"/>
    <w:rsid w:val="00CD6E22"/>
    <w:rsid w:val="00CE0704"/>
    <w:rsid w:val="00CE0F2F"/>
    <w:rsid w:val="00CE2EC1"/>
    <w:rsid w:val="00CE5002"/>
    <w:rsid w:val="00CF0530"/>
    <w:rsid w:val="00CF0C40"/>
    <w:rsid w:val="00CF0FB1"/>
    <w:rsid w:val="00CF2315"/>
    <w:rsid w:val="00CF2CA8"/>
    <w:rsid w:val="00CF3C2B"/>
    <w:rsid w:val="00CF3D57"/>
    <w:rsid w:val="00CF5364"/>
    <w:rsid w:val="00CF54FA"/>
    <w:rsid w:val="00CF7500"/>
    <w:rsid w:val="00D011DC"/>
    <w:rsid w:val="00D01882"/>
    <w:rsid w:val="00D01BA3"/>
    <w:rsid w:val="00D0203C"/>
    <w:rsid w:val="00D05BBE"/>
    <w:rsid w:val="00D106DD"/>
    <w:rsid w:val="00D10EAF"/>
    <w:rsid w:val="00D12E0A"/>
    <w:rsid w:val="00D13C9F"/>
    <w:rsid w:val="00D142E8"/>
    <w:rsid w:val="00D15843"/>
    <w:rsid w:val="00D1616F"/>
    <w:rsid w:val="00D16534"/>
    <w:rsid w:val="00D20886"/>
    <w:rsid w:val="00D2255C"/>
    <w:rsid w:val="00D23108"/>
    <w:rsid w:val="00D231E0"/>
    <w:rsid w:val="00D26967"/>
    <w:rsid w:val="00D30E35"/>
    <w:rsid w:val="00D3117A"/>
    <w:rsid w:val="00D33C08"/>
    <w:rsid w:val="00D36976"/>
    <w:rsid w:val="00D377AA"/>
    <w:rsid w:val="00D40E36"/>
    <w:rsid w:val="00D41B85"/>
    <w:rsid w:val="00D447AD"/>
    <w:rsid w:val="00D46648"/>
    <w:rsid w:val="00D479B7"/>
    <w:rsid w:val="00D52C69"/>
    <w:rsid w:val="00D559E0"/>
    <w:rsid w:val="00D56570"/>
    <w:rsid w:val="00D56755"/>
    <w:rsid w:val="00D57F8A"/>
    <w:rsid w:val="00D61B91"/>
    <w:rsid w:val="00D62810"/>
    <w:rsid w:val="00D6347C"/>
    <w:rsid w:val="00D65247"/>
    <w:rsid w:val="00D6616A"/>
    <w:rsid w:val="00D71FAF"/>
    <w:rsid w:val="00D742E3"/>
    <w:rsid w:val="00D7477E"/>
    <w:rsid w:val="00D77365"/>
    <w:rsid w:val="00D804B3"/>
    <w:rsid w:val="00D805C0"/>
    <w:rsid w:val="00D80D39"/>
    <w:rsid w:val="00D81400"/>
    <w:rsid w:val="00D827B2"/>
    <w:rsid w:val="00D834E9"/>
    <w:rsid w:val="00D84529"/>
    <w:rsid w:val="00D84DCA"/>
    <w:rsid w:val="00D85E3C"/>
    <w:rsid w:val="00D85EB5"/>
    <w:rsid w:val="00D87D77"/>
    <w:rsid w:val="00D92093"/>
    <w:rsid w:val="00D9361D"/>
    <w:rsid w:val="00D93BEB"/>
    <w:rsid w:val="00D94A36"/>
    <w:rsid w:val="00DA25C3"/>
    <w:rsid w:val="00DA489E"/>
    <w:rsid w:val="00DA6C76"/>
    <w:rsid w:val="00DB0743"/>
    <w:rsid w:val="00DB0EF6"/>
    <w:rsid w:val="00DB264B"/>
    <w:rsid w:val="00DB3687"/>
    <w:rsid w:val="00DB4ECE"/>
    <w:rsid w:val="00DB5691"/>
    <w:rsid w:val="00DB5711"/>
    <w:rsid w:val="00DB5948"/>
    <w:rsid w:val="00DB5BEA"/>
    <w:rsid w:val="00DB6F10"/>
    <w:rsid w:val="00DB77A9"/>
    <w:rsid w:val="00DC0908"/>
    <w:rsid w:val="00DC0992"/>
    <w:rsid w:val="00DC1931"/>
    <w:rsid w:val="00DC2FC4"/>
    <w:rsid w:val="00DC349A"/>
    <w:rsid w:val="00DC5F18"/>
    <w:rsid w:val="00DD26EB"/>
    <w:rsid w:val="00DD57C8"/>
    <w:rsid w:val="00DD7F74"/>
    <w:rsid w:val="00DE01F0"/>
    <w:rsid w:val="00DE2E39"/>
    <w:rsid w:val="00DE45FE"/>
    <w:rsid w:val="00DE4A24"/>
    <w:rsid w:val="00DE500A"/>
    <w:rsid w:val="00DE6FDC"/>
    <w:rsid w:val="00DE72D2"/>
    <w:rsid w:val="00DE7F32"/>
    <w:rsid w:val="00DF31D2"/>
    <w:rsid w:val="00DF4674"/>
    <w:rsid w:val="00DF4D28"/>
    <w:rsid w:val="00DF5124"/>
    <w:rsid w:val="00DF5788"/>
    <w:rsid w:val="00DF719C"/>
    <w:rsid w:val="00E00F01"/>
    <w:rsid w:val="00E013DB"/>
    <w:rsid w:val="00E02ABE"/>
    <w:rsid w:val="00E02AD8"/>
    <w:rsid w:val="00E03826"/>
    <w:rsid w:val="00E03C33"/>
    <w:rsid w:val="00E047DF"/>
    <w:rsid w:val="00E05D0F"/>
    <w:rsid w:val="00E07B09"/>
    <w:rsid w:val="00E118E5"/>
    <w:rsid w:val="00E12C3D"/>
    <w:rsid w:val="00E13550"/>
    <w:rsid w:val="00E1395F"/>
    <w:rsid w:val="00E15B00"/>
    <w:rsid w:val="00E1793E"/>
    <w:rsid w:val="00E207E6"/>
    <w:rsid w:val="00E2127C"/>
    <w:rsid w:val="00E23000"/>
    <w:rsid w:val="00E24A0D"/>
    <w:rsid w:val="00E24EB0"/>
    <w:rsid w:val="00E2589C"/>
    <w:rsid w:val="00E25931"/>
    <w:rsid w:val="00E25F80"/>
    <w:rsid w:val="00E2633A"/>
    <w:rsid w:val="00E328EC"/>
    <w:rsid w:val="00E33317"/>
    <w:rsid w:val="00E34644"/>
    <w:rsid w:val="00E372E3"/>
    <w:rsid w:val="00E37CB8"/>
    <w:rsid w:val="00E41707"/>
    <w:rsid w:val="00E42FBE"/>
    <w:rsid w:val="00E4570F"/>
    <w:rsid w:val="00E47698"/>
    <w:rsid w:val="00E50440"/>
    <w:rsid w:val="00E5223B"/>
    <w:rsid w:val="00E5353C"/>
    <w:rsid w:val="00E54B90"/>
    <w:rsid w:val="00E5541E"/>
    <w:rsid w:val="00E62A60"/>
    <w:rsid w:val="00E62FA0"/>
    <w:rsid w:val="00E63039"/>
    <w:rsid w:val="00E638B0"/>
    <w:rsid w:val="00E6392C"/>
    <w:rsid w:val="00E64F1F"/>
    <w:rsid w:val="00E65363"/>
    <w:rsid w:val="00E6662F"/>
    <w:rsid w:val="00E66AE9"/>
    <w:rsid w:val="00E67474"/>
    <w:rsid w:val="00E6782F"/>
    <w:rsid w:val="00E73F77"/>
    <w:rsid w:val="00E7560E"/>
    <w:rsid w:val="00E75747"/>
    <w:rsid w:val="00E7606C"/>
    <w:rsid w:val="00E7660C"/>
    <w:rsid w:val="00E774C4"/>
    <w:rsid w:val="00E80AA3"/>
    <w:rsid w:val="00E84176"/>
    <w:rsid w:val="00E84DAC"/>
    <w:rsid w:val="00E85B7D"/>
    <w:rsid w:val="00E8799E"/>
    <w:rsid w:val="00E92823"/>
    <w:rsid w:val="00E969F1"/>
    <w:rsid w:val="00EA0AA0"/>
    <w:rsid w:val="00EA2783"/>
    <w:rsid w:val="00EA2C40"/>
    <w:rsid w:val="00EA4DFB"/>
    <w:rsid w:val="00EA6D57"/>
    <w:rsid w:val="00EB0D59"/>
    <w:rsid w:val="00EB2BBD"/>
    <w:rsid w:val="00EB5534"/>
    <w:rsid w:val="00EB5B55"/>
    <w:rsid w:val="00EB5E2F"/>
    <w:rsid w:val="00EB693D"/>
    <w:rsid w:val="00EB71E2"/>
    <w:rsid w:val="00EB78C1"/>
    <w:rsid w:val="00EC371C"/>
    <w:rsid w:val="00EC427A"/>
    <w:rsid w:val="00EC4BE0"/>
    <w:rsid w:val="00EC6BFD"/>
    <w:rsid w:val="00ED00AB"/>
    <w:rsid w:val="00ED0442"/>
    <w:rsid w:val="00ED0F0B"/>
    <w:rsid w:val="00ED1737"/>
    <w:rsid w:val="00ED29B9"/>
    <w:rsid w:val="00ED42FB"/>
    <w:rsid w:val="00EE2BF8"/>
    <w:rsid w:val="00EE316F"/>
    <w:rsid w:val="00EE4830"/>
    <w:rsid w:val="00EE7792"/>
    <w:rsid w:val="00EF010D"/>
    <w:rsid w:val="00EF01F9"/>
    <w:rsid w:val="00EF0A96"/>
    <w:rsid w:val="00EF286D"/>
    <w:rsid w:val="00EF671C"/>
    <w:rsid w:val="00F00E3D"/>
    <w:rsid w:val="00F020F4"/>
    <w:rsid w:val="00F024FD"/>
    <w:rsid w:val="00F02B0E"/>
    <w:rsid w:val="00F0621E"/>
    <w:rsid w:val="00F11AFE"/>
    <w:rsid w:val="00F146AC"/>
    <w:rsid w:val="00F155F4"/>
    <w:rsid w:val="00F1799F"/>
    <w:rsid w:val="00F17A80"/>
    <w:rsid w:val="00F17DA2"/>
    <w:rsid w:val="00F22E54"/>
    <w:rsid w:val="00F25BCD"/>
    <w:rsid w:val="00F27B19"/>
    <w:rsid w:val="00F31A32"/>
    <w:rsid w:val="00F33333"/>
    <w:rsid w:val="00F367DB"/>
    <w:rsid w:val="00F36DF7"/>
    <w:rsid w:val="00F4039F"/>
    <w:rsid w:val="00F417F5"/>
    <w:rsid w:val="00F41DD4"/>
    <w:rsid w:val="00F4726C"/>
    <w:rsid w:val="00F47DDF"/>
    <w:rsid w:val="00F50861"/>
    <w:rsid w:val="00F50DB8"/>
    <w:rsid w:val="00F51C9F"/>
    <w:rsid w:val="00F55603"/>
    <w:rsid w:val="00F558CB"/>
    <w:rsid w:val="00F57DE8"/>
    <w:rsid w:val="00F60D8A"/>
    <w:rsid w:val="00F653F4"/>
    <w:rsid w:val="00F66EF8"/>
    <w:rsid w:val="00F671E1"/>
    <w:rsid w:val="00F6764B"/>
    <w:rsid w:val="00F70279"/>
    <w:rsid w:val="00F70497"/>
    <w:rsid w:val="00F732BD"/>
    <w:rsid w:val="00F73459"/>
    <w:rsid w:val="00F744C3"/>
    <w:rsid w:val="00F74B5A"/>
    <w:rsid w:val="00F752B7"/>
    <w:rsid w:val="00F76D9F"/>
    <w:rsid w:val="00F86E8D"/>
    <w:rsid w:val="00F86EDD"/>
    <w:rsid w:val="00F872B6"/>
    <w:rsid w:val="00F90416"/>
    <w:rsid w:val="00F91BBD"/>
    <w:rsid w:val="00F93C06"/>
    <w:rsid w:val="00F9436F"/>
    <w:rsid w:val="00F94F7E"/>
    <w:rsid w:val="00FA0D97"/>
    <w:rsid w:val="00FA3995"/>
    <w:rsid w:val="00FA403A"/>
    <w:rsid w:val="00FA4320"/>
    <w:rsid w:val="00FA4913"/>
    <w:rsid w:val="00FA4E97"/>
    <w:rsid w:val="00FA5204"/>
    <w:rsid w:val="00FA62A4"/>
    <w:rsid w:val="00FB2BD4"/>
    <w:rsid w:val="00FB337F"/>
    <w:rsid w:val="00FB4622"/>
    <w:rsid w:val="00FB4F44"/>
    <w:rsid w:val="00FC0557"/>
    <w:rsid w:val="00FC1A27"/>
    <w:rsid w:val="00FC2176"/>
    <w:rsid w:val="00FC31D3"/>
    <w:rsid w:val="00FC688B"/>
    <w:rsid w:val="00FC6CBD"/>
    <w:rsid w:val="00FC730E"/>
    <w:rsid w:val="00FD0407"/>
    <w:rsid w:val="00FD15BF"/>
    <w:rsid w:val="00FD24EA"/>
    <w:rsid w:val="00FD4431"/>
    <w:rsid w:val="00FD4597"/>
    <w:rsid w:val="00FE1294"/>
    <w:rsid w:val="00FE1597"/>
    <w:rsid w:val="00FE3E59"/>
    <w:rsid w:val="00FE510E"/>
    <w:rsid w:val="00FE6283"/>
    <w:rsid w:val="00FF27F3"/>
    <w:rsid w:val="00FF46B6"/>
    <w:rsid w:val="00FF4CC0"/>
    <w:rsid w:val="00FF62D2"/>
    <w:rsid w:val="00FF6368"/>
    <w:rsid w:val="00FF7479"/>
  </w:rsids>
  <m:mathPr>
    <m:mathFont m:val="Cambria Math"/>
    <m:brkBin m:val="before"/>
    <m:brkBinSub m:val="--"/>
    <m:smallFrac/>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B754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sv-FI" w:eastAsia="sv-SE"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1C2"/>
    <w:pPr>
      <w:spacing w:line="480" w:lineRule="auto"/>
      <w:ind w:firstLine="170"/>
      <w:jc w:val="both"/>
    </w:pPr>
    <w:rPr>
      <w:lang w:val="en-US" w:eastAsia="en-US"/>
    </w:rPr>
  </w:style>
  <w:style w:type="paragraph" w:styleId="Heading1">
    <w:name w:val="heading 1"/>
    <w:basedOn w:val="Normal"/>
    <w:next w:val="Normal"/>
    <w:link w:val="Heading1Char"/>
    <w:qFormat/>
    <w:rsid w:val="00CF2315"/>
    <w:pPr>
      <w:keepNext/>
      <w:numPr>
        <w:numId w:val="14"/>
      </w:numPr>
      <w:tabs>
        <w:tab w:val="left" w:pos="432"/>
        <w:tab w:val="left" w:pos="576"/>
        <w:tab w:val="left" w:pos="720"/>
      </w:tabs>
      <w:spacing w:before="240" w:after="120"/>
      <w:outlineLvl w:val="0"/>
    </w:pPr>
    <w:rPr>
      <w:b/>
      <w:bCs/>
      <w:iCs/>
      <w:szCs w:val="28"/>
    </w:rPr>
  </w:style>
  <w:style w:type="paragraph" w:styleId="Heading2">
    <w:name w:val="heading 2"/>
    <w:basedOn w:val="Heading1"/>
    <w:next w:val="Normal"/>
    <w:qFormat/>
    <w:rsid w:val="00472551"/>
    <w:pPr>
      <w:numPr>
        <w:ilvl w:val="1"/>
      </w:numPr>
      <w:tabs>
        <w:tab w:val="clear" w:pos="432"/>
        <w:tab w:val="left" w:pos="544"/>
      </w:tabs>
      <w:outlineLvl w:val="1"/>
    </w:pPr>
    <w:rPr>
      <w:bCs w:val="0"/>
      <w:iCs w:val="0"/>
      <w:szCs w:val="24"/>
    </w:rPr>
  </w:style>
  <w:style w:type="paragraph" w:styleId="Heading3">
    <w:name w:val="heading 3"/>
    <w:basedOn w:val="Heading2"/>
    <w:next w:val="Normal"/>
    <w:qFormat/>
    <w:rsid w:val="0000761D"/>
    <w:pPr>
      <w:numPr>
        <w:ilvl w:val="2"/>
      </w:numPr>
      <w:outlineLvl w:val="2"/>
    </w:pPr>
    <w:rPr>
      <w:bCs/>
      <w:szCs w:val="22"/>
    </w:rPr>
  </w:style>
  <w:style w:type="paragraph" w:styleId="Heading4">
    <w:name w:val="heading 4"/>
    <w:basedOn w:val="Normal"/>
    <w:next w:val="Normal"/>
    <w:link w:val="Heading4Char"/>
    <w:uiPriority w:val="9"/>
    <w:semiHidden/>
    <w:unhideWhenUsed/>
    <w:qFormat/>
    <w:rsid w:val="00293EEB"/>
    <w:pPr>
      <w:keepNext/>
      <w:keepLines/>
      <w:numPr>
        <w:ilvl w:val="3"/>
        <w:numId w:val="14"/>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93EEB"/>
    <w:pPr>
      <w:keepNext/>
      <w:keepLines/>
      <w:numPr>
        <w:ilvl w:val="4"/>
        <w:numId w:val="1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93EEB"/>
    <w:pPr>
      <w:keepNext/>
      <w:keepLines/>
      <w:numPr>
        <w:ilvl w:val="5"/>
        <w:numId w:val="1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93EEB"/>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93EEB"/>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EEB"/>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oremsandAlgorithms">
    <w:name w:val="Theorems and Algorithms"/>
    <w:basedOn w:val="BodyText"/>
    <w:qFormat/>
    <w:rsid w:val="005A5995"/>
    <w:rPr>
      <w:sz w:val="20"/>
      <w:szCs w:val="20"/>
    </w:rPr>
  </w:style>
  <w:style w:type="paragraph" w:styleId="BodyText">
    <w:name w:val="Body Text"/>
    <w:basedOn w:val="Normal"/>
    <w:link w:val="BodyTextChar"/>
    <w:rsid w:val="00B03DEA"/>
  </w:style>
  <w:style w:type="character" w:customStyle="1" w:styleId="BodyTextChar">
    <w:name w:val="Body Text Char"/>
    <w:link w:val="BodyText"/>
    <w:rsid w:val="00B03DEA"/>
    <w:rPr>
      <w:sz w:val="24"/>
      <w:szCs w:val="24"/>
    </w:rPr>
  </w:style>
  <w:style w:type="paragraph" w:styleId="Footer">
    <w:name w:val="footer"/>
    <w:basedOn w:val="Normal"/>
    <w:link w:val="FooterChar"/>
    <w:uiPriority w:val="99"/>
    <w:rsid w:val="00360ACA"/>
    <w:pPr>
      <w:tabs>
        <w:tab w:val="center" w:pos="4320"/>
        <w:tab w:val="right" w:pos="8640"/>
      </w:tabs>
      <w:ind w:left="144" w:hanging="144"/>
    </w:pPr>
    <w:rPr>
      <w:sz w:val="20"/>
    </w:rPr>
  </w:style>
  <w:style w:type="character" w:customStyle="1" w:styleId="FooterChar">
    <w:name w:val="Footer Char"/>
    <w:link w:val="Footer"/>
    <w:uiPriority w:val="99"/>
    <w:rsid w:val="00360ACA"/>
    <w:rPr>
      <w:szCs w:val="24"/>
      <w:lang w:val="en-US" w:eastAsia="en-US" w:bidi="ar-SA"/>
    </w:rPr>
  </w:style>
  <w:style w:type="paragraph" w:customStyle="1" w:styleId="Papertitle">
    <w:name w:val="Paper title"/>
    <w:basedOn w:val="Normal"/>
    <w:qFormat/>
    <w:rsid w:val="00B03DEA"/>
    <w:rPr>
      <w:rFonts w:ascii="Arial" w:hAnsi="Arial" w:cs="Arial"/>
      <w:b/>
      <w:sz w:val="28"/>
      <w:szCs w:val="28"/>
    </w:rPr>
  </w:style>
  <w:style w:type="character" w:styleId="FollowedHyperlink">
    <w:name w:val="FollowedHyperlink"/>
    <w:rsid w:val="002F06E5"/>
    <w:rPr>
      <w:color w:val="800080"/>
      <w:u w:val="single"/>
    </w:rPr>
  </w:style>
  <w:style w:type="paragraph" w:customStyle="1" w:styleId="CorrespondingAuthorFootnote">
    <w:name w:val="Corresponding Author Footnote"/>
    <w:basedOn w:val="Normal"/>
    <w:qFormat/>
    <w:rsid w:val="002361C2"/>
    <w:pPr>
      <w:ind w:firstLine="0"/>
    </w:pPr>
    <w:rPr>
      <w:sz w:val="20"/>
      <w:szCs w:val="20"/>
    </w:rPr>
  </w:style>
  <w:style w:type="paragraph" w:customStyle="1" w:styleId="Abstract">
    <w:name w:val="Abstract"/>
    <w:basedOn w:val="Normal"/>
    <w:next w:val="Normal"/>
    <w:rsid w:val="002361C2"/>
    <w:pPr>
      <w:spacing w:before="360"/>
      <w:ind w:firstLine="0"/>
    </w:pPr>
    <w:rPr>
      <w:sz w:val="20"/>
      <w:szCs w:val="20"/>
    </w:rPr>
  </w:style>
  <w:style w:type="paragraph" w:customStyle="1" w:styleId="ArticleTitle">
    <w:name w:val="Article Title"/>
    <w:basedOn w:val="Normal"/>
    <w:next w:val="Normal"/>
    <w:rsid w:val="002361C2"/>
    <w:pPr>
      <w:ind w:firstLine="0"/>
    </w:pPr>
    <w:rPr>
      <w:b/>
      <w:sz w:val="32"/>
    </w:rPr>
  </w:style>
  <w:style w:type="paragraph" w:customStyle="1" w:styleId="AuthorNames">
    <w:name w:val="Author Names"/>
    <w:basedOn w:val="Normal"/>
    <w:qFormat/>
    <w:rsid w:val="002361C2"/>
    <w:pPr>
      <w:ind w:firstLine="0"/>
    </w:pPr>
    <w:rPr>
      <w:b/>
    </w:rPr>
  </w:style>
  <w:style w:type="paragraph" w:customStyle="1" w:styleId="Figurenumber">
    <w:name w:val="Figure number"/>
    <w:basedOn w:val="Figurecaption"/>
    <w:link w:val="FigurenumberChar"/>
    <w:rsid w:val="00187EFA"/>
    <w:rPr>
      <w:b/>
    </w:rPr>
  </w:style>
  <w:style w:type="paragraph" w:customStyle="1" w:styleId="Figurecaption">
    <w:name w:val="Figure caption"/>
    <w:basedOn w:val="Caption"/>
    <w:link w:val="FigurecaptionChar"/>
    <w:rsid w:val="00187EFA"/>
    <w:pPr>
      <w:jc w:val="center"/>
    </w:pPr>
    <w:rPr>
      <w:b w:val="0"/>
    </w:rPr>
  </w:style>
  <w:style w:type="paragraph" w:styleId="Caption">
    <w:name w:val="caption"/>
    <w:basedOn w:val="Normal"/>
    <w:next w:val="Normal"/>
    <w:link w:val="CaptionChar"/>
    <w:qFormat/>
    <w:rsid w:val="00EF010D"/>
    <w:rPr>
      <w:b/>
      <w:bCs/>
      <w:sz w:val="20"/>
      <w:szCs w:val="20"/>
    </w:rPr>
  </w:style>
  <w:style w:type="character" w:customStyle="1" w:styleId="CaptionChar">
    <w:name w:val="Caption Char"/>
    <w:link w:val="Caption"/>
    <w:rsid w:val="008A151D"/>
    <w:rPr>
      <w:b/>
      <w:bCs/>
      <w:lang w:val="en-US" w:eastAsia="en-US" w:bidi="ar-SA"/>
    </w:rPr>
  </w:style>
  <w:style w:type="character" w:customStyle="1" w:styleId="FigurecaptionChar">
    <w:name w:val="Figure caption Char"/>
    <w:link w:val="Figurecaption"/>
    <w:rsid w:val="00187EFA"/>
    <w:rPr>
      <w:bCs/>
    </w:rPr>
  </w:style>
  <w:style w:type="character" w:customStyle="1" w:styleId="FigurenumberChar">
    <w:name w:val="Figure number Char"/>
    <w:link w:val="Figurenumber"/>
    <w:rsid w:val="00187EFA"/>
    <w:rPr>
      <w:b/>
      <w:bCs/>
    </w:rPr>
  </w:style>
  <w:style w:type="paragraph" w:customStyle="1" w:styleId="TableNumber">
    <w:name w:val="Table Number"/>
    <w:basedOn w:val="Tablecaption"/>
    <w:qFormat/>
    <w:rsid w:val="00241A8A"/>
    <w:rPr>
      <w:b/>
      <w:sz w:val="24"/>
    </w:rPr>
  </w:style>
  <w:style w:type="paragraph" w:customStyle="1" w:styleId="Tablecaption">
    <w:name w:val="Table caption"/>
    <w:basedOn w:val="Normal"/>
    <w:rsid w:val="00931445"/>
    <w:pPr>
      <w:spacing w:before="240" w:after="120"/>
      <w:jc w:val="center"/>
    </w:pPr>
    <w:rPr>
      <w:sz w:val="20"/>
      <w:szCs w:val="20"/>
    </w:rPr>
  </w:style>
  <w:style w:type="paragraph" w:customStyle="1" w:styleId="DisplayEquation">
    <w:name w:val="Display Equation"/>
    <w:basedOn w:val="Normal"/>
    <w:rsid w:val="00EF010D"/>
    <w:pPr>
      <w:tabs>
        <w:tab w:val="center" w:pos="3600"/>
        <w:tab w:val="right" w:pos="7200"/>
      </w:tabs>
    </w:pPr>
    <w:rPr>
      <w:sz w:val="22"/>
    </w:rPr>
  </w:style>
  <w:style w:type="paragraph" w:customStyle="1" w:styleId="AuthorAffiliations">
    <w:name w:val="Author Affiliations"/>
    <w:basedOn w:val="Normal"/>
    <w:qFormat/>
    <w:rsid w:val="002361C2"/>
    <w:pPr>
      <w:ind w:firstLine="0"/>
    </w:pPr>
    <w:rPr>
      <w:sz w:val="20"/>
      <w:szCs w:val="20"/>
      <w:vertAlign w:val="superscript"/>
    </w:rPr>
  </w:style>
  <w:style w:type="paragraph" w:customStyle="1" w:styleId="BodyTextIndented">
    <w:name w:val="Body Text Indented"/>
    <w:basedOn w:val="Normal"/>
    <w:link w:val="BodyTextIndentedChar"/>
    <w:rsid w:val="00B03DEA"/>
    <w:pPr>
      <w:ind w:firstLine="360"/>
    </w:pPr>
  </w:style>
  <w:style w:type="character" w:customStyle="1" w:styleId="BodyTextIndentedChar">
    <w:name w:val="Body Text Indented Char"/>
    <w:link w:val="BodyTextIndented"/>
    <w:rsid w:val="00B03DEA"/>
    <w:rPr>
      <w:sz w:val="24"/>
      <w:szCs w:val="24"/>
    </w:rPr>
  </w:style>
  <w:style w:type="paragraph" w:customStyle="1" w:styleId="References">
    <w:name w:val="References"/>
    <w:basedOn w:val="Normal"/>
    <w:rsid w:val="005A5995"/>
    <w:pPr>
      <w:numPr>
        <w:numId w:val="2"/>
      </w:numPr>
      <w:tabs>
        <w:tab w:val="left" w:pos="360"/>
      </w:tabs>
      <w:ind w:left="360"/>
    </w:pPr>
    <w:rPr>
      <w:sz w:val="22"/>
    </w:rPr>
  </w:style>
  <w:style w:type="paragraph" w:customStyle="1" w:styleId="Numberedlist">
    <w:name w:val="Numbered list"/>
    <w:basedOn w:val="Normal"/>
    <w:rsid w:val="00E13550"/>
    <w:pPr>
      <w:numPr>
        <w:numId w:val="1"/>
      </w:numPr>
      <w:tabs>
        <w:tab w:val="clear" w:pos="1080"/>
        <w:tab w:val="left" w:pos="720"/>
      </w:tabs>
      <w:ind w:left="720" w:hanging="360"/>
    </w:pPr>
    <w:rPr>
      <w:sz w:val="22"/>
    </w:rPr>
  </w:style>
  <w:style w:type="character" w:styleId="Hyperlink">
    <w:name w:val="Hyperlink"/>
    <w:rsid w:val="00C23399"/>
    <w:rPr>
      <w:color w:val="0000FF"/>
      <w:u w:val="single"/>
    </w:rPr>
  </w:style>
  <w:style w:type="paragraph" w:customStyle="1" w:styleId="Keywords">
    <w:name w:val="Keywords"/>
    <w:basedOn w:val="Normal"/>
    <w:qFormat/>
    <w:rsid w:val="002361C2"/>
    <w:pPr>
      <w:ind w:firstLine="0"/>
    </w:pPr>
    <w:rPr>
      <w:sz w:val="20"/>
      <w:szCs w:val="20"/>
    </w:rPr>
  </w:style>
  <w:style w:type="paragraph" w:styleId="Header">
    <w:name w:val="header"/>
    <w:basedOn w:val="Normal"/>
    <w:link w:val="HeaderChar"/>
    <w:rsid w:val="00DE7F32"/>
    <w:pPr>
      <w:tabs>
        <w:tab w:val="center" w:pos="4680"/>
        <w:tab w:val="right" w:pos="9360"/>
      </w:tabs>
    </w:pPr>
  </w:style>
  <w:style w:type="character" w:customStyle="1" w:styleId="HeaderChar">
    <w:name w:val="Header Char"/>
    <w:link w:val="Header"/>
    <w:rsid w:val="00DE7F32"/>
    <w:rPr>
      <w:sz w:val="24"/>
      <w:szCs w:val="24"/>
    </w:rPr>
  </w:style>
  <w:style w:type="character" w:styleId="PageNumber">
    <w:name w:val="page number"/>
    <w:rsid w:val="00DE7F32"/>
  </w:style>
  <w:style w:type="paragraph" w:customStyle="1" w:styleId="Rubrik4">
    <w:name w:val="Rubrik4"/>
    <w:basedOn w:val="Heading3"/>
    <w:autoRedefine/>
    <w:qFormat/>
    <w:rsid w:val="00280091"/>
    <w:pPr>
      <w:numPr>
        <w:ilvl w:val="0"/>
        <w:numId w:val="0"/>
      </w:numPr>
      <w:spacing w:before="0" w:after="0"/>
      <w:ind w:left="2"/>
    </w:pPr>
  </w:style>
  <w:style w:type="paragraph" w:styleId="ListParagraph">
    <w:name w:val="List Paragraph"/>
    <w:basedOn w:val="Normal"/>
    <w:rsid w:val="00EB5B55"/>
    <w:pPr>
      <w:widowControl w:val="0"/>
      <w:tabs>
        <w:tab w:val="left" w:pos="1134"/>
        <w:tab w:val="left" w:pos="2268"/>
        <w:tab w:val="left" w:pos="5670"/>
      </w:tabs>
      <w:suppressAutoHyphens/>
      <w:spacing w:before="220" w:line="360" w:lineRule="auto"/>
      <w:ind w:left="720" w:right="284" w:firstLine="284"/>
      <w:contextualSpacing/>
    </w:pPr>
    <w:rPr>
      <w:rFonts w:ascii="Seravek ExtraLight" w:eastAsiaTheme="minorHAnsi" w:hAnsi="Seravek ExtraLight" w:cstheme="minorBidi"/>
      <w:sz w:val="20"/>
    </w:rPr>
  </w:style>
  <w:style w:type="table" w:customStyle="1" w:styleId="MediumGrid31">
    <w:name w:val="Medium Grid 31"/>
    <w:basedOn w:val="TableNormal"/>
    <w:uiPriority w:val="69"/>
    <w:rsid w:val="00EB5B55"/>
    <w:rPr>
      <w:rFonts w:asciiTheme="minorHAnsi" w:eastAsia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TableText">
    <w:name w:val="TableText"/>
    <w:basedOn w:val="Normal"/>
    <w:qFormat/>
    <w:rsid w:val="00EB5B55"/>
    <w:pPr>
      <w:tabs>
        <w:tab w:val="left" w:pos="397"/>
      </w:tabs>
      <w:suppressAutoHyphens/>
      <w:spacing w:before="100" w:after="100"/>
      <w:ind w:left="114" w:right="57" w:hanging="57"/>
    </w:pPr>
    <w:rPr>
      <w:rFonts w:ascii="Arial" w:eastAsiaTheme="minorHAnsi" w:hAnsi="Arial" w:cstheme="minorBidi"/>
      <w:sz w:val="16"/>
      <w:szCs w:val="22"/>
      <w:lang w:eastAsia="ja-JP"/>
    </w:rPr>
  </w:style>
  <w:style w:type="paragraph" w:customStyle="1" w:styleId="Column-A">
    <w:name w:val="Column-A"/>
    <w:basedOn w:val="TableText"/>
    <w:qFormat/>
    <w:rsid w:val="00EB5B55"/>
    <w:pPr>
      <w:numPr>
        <w:numId w:val="4"/>
      </w:numPr>
    </w:pPr>
  </w:style>
  <w:style w:type="paragraph" w:customStyle="1" w:styleId="Rubrik2">
    <w:name w:val="Rubrik2"/>
    <w:basedOn w:val="Heading2"/>
    <w:next w:val="Normal"/>
    <w:qFormat/>
    <w:rsid w:val="002361C2"/>
    <w:pPr>
      <w:numPr>
        <w:ilvl w:val="0"/>
        <w:numId w:val="0"/>
      </w:numPr>
    </w:pPr>
    <w:rPr>
      <w:sz w:val="28"/>
    </w:rPr>
  </w:style>
  <w:style w:type="paragraph" w:customStyle="1" w:styleId="Rubrik1">
    <w:name w:val="Rubrik1"/>
    <w:basedOn w:val="Heading1"/>
    <w:next w:val="Normal"/>
    <w:qFormat/>
    <w:rsid w:val="002361C2"/>
    <w:pPr>
      <w:keepNext w:val="0"/>
      <w:numPr>
        <w:numId w:val="0"/>
      </w:numPr>
      <w:spacing w:before="60" w:after="100"/>
    </w:pPr>
    <w:rPr>
      <w:sz w:val="28"/>
    </w:rPr>
  </w:style>
  <w:style w:type="paragraph" w:customStyle="1" w:styleId="Rubrik3">
    <w:name w:val="Rubrik3"/>
    <w:basedOn w:val="Heading3"/>
    <w:next w:val="Normal"/>
    <w:qFormat/>
    <w:rsid w:val="002361C2"/>
    <w:pPr>
      <w:numPr>
        <w:ilvl w:val="0"/>
        <w:numId w:val="0"/>
      </w:numPr>
      <w:spacing w:before="60" w:after="100"/>
    </w:pPr>
    <w:rPr>
      <w:bCs w:val="0"/>
      <w:iCs/>
      <w:sz w:val="26"/>
      <w:szCs w:val="26"/>
    </w:rPr>
  </w:style>
  <w:style w:type="paragraph" w:customStyle="1" w:styleId="Refs">
    <w:name w:val="Refs"/>
    <w:basedOn w:val="References"/>
    <w:next w:val="Normal"/>
    <w:qFormat/>
    <w:rsid w:val="003D3368"/>
    <w:pPr>
      <w:spacing w:before="120" w:line="240" w:lineRule="auto"/>
      <w:ind w:left="3195"/>
    </w:pPr>
  </w:style>
  <w:style w:type="paragraph" w:styleId="NormalWeb">
    <w:name w:val="Normal (Web)"/>
    <w:basedOn w:val="Normal"/>
    <w:uiPriority w:val="99"/>
    <w:semiHidden/>
    <w:unhideWhenUsed/>
    <w:rsid w:val="00C70833"/>
    <w:pPr>
      <w:spacing w:before="100" w:beforeAutospacing="1" w:after="100" w:afterAutospacing="1" w:line="240" w:lineRule="auto"/>
      <w:ind w:firstLine="0"/>
      <w:jc w:val="left"/>
    </w:pPr>
    <w:rPr>
      <w:rFonts w:eastAsiaTheme="minorEastAsia"/>
      <w:lang w:val="sv-FI" w:eastAsia="sv-SE"/>
    </w:rPr>
  </w:style>
  <w:style w:type="paragraph" w:styleId="DocumentMap">
    <w:name w:val="Document Map"/>
    <w:basedOn w:val="Normal"/>
    <w:link w:val="DocumentMapChar"/>
    <w:uiPriority w:val="99"/>
    <w:semiHidden/>
    <w:unhideWhenUsed/>
    <w:rsid w:val="00477EAB"/>
    <w:pPr>
      <w:spacing w:line="240" w:lineRule="auto"/>
    </w:pPr>
    <w:rPr>
      <w:rFonts w:ascii="Helvetica" w:hAnsi="Helvetica"/>
    </w:rPr>
  </w:style>
  <w:style w:type="character" w:customStyle="1" w:styleId="DocumentMapChar">
    <w:name w:val="Document Map Char"/>
    <w:basedOn w:val="DefaultParagraphFont"/>
    <w:link w:val="DocumentMap"/>
    <w:uiPriority w:val="99"/>
    <w:semiHidden/>
    <w:rsid w:val="00477EAB"/>
    <w:rPr>
      <w:rFonts w:ascii="Helvetica" w:hAnsi="Helvetica"/>
      <w:sz w:val="24"/>
      <w:szCs w:val="24"/>
      <w:lang w:val="en-US" w:eastAsia="en-US"/>
    </w:rPr>
  </w:style>
  <w:style w:type="character" w:styleId="CommentReference">
    <w:name w:val="annotation reference"/>
    <w:basedOn w:val="DefaultParagraphFont"/>
    <w:uiPriority w:val="99"/>
    <w:semiHidden/>
    <w:unhideWhenUsed/>
    <w:rsid w:val="00BB51BD"/>
    <w:rPr>
      <w:sz w:val="16"/>
      <w:szCs w:val="16"/>
    </w:rPr>
  </w:style>
  <w:style w:type="paragraph" w:styleId="CommentText">
    <w:name w:val="annotation text"/>
    <w:basedOn w:val="Normal"/>
    <w:link w:val="CommentTextChar"/>
    <w:uiPriority w:val="99"/>
    <w:semiHidden/>
    <w:unhideWhenUsed/>
    <w:rsid w:val="00BB51BD"/>
    <w:pPr>
      <w:spacing w:line="240" w:lineRule="auto"/>
    </w:pPr>
    <w:rPr>
      <w:sz w:val="20"/>
      <w:szCs w:val="20"/>
    </w:rPr>
  </w:style>
  <w:style w:type="character" w:customStyle="1" w:styleId="CommentTextChar">
    <w:name w:val="Comment Text Char"/>
    <w:basedOn w:val="DefaultParagraphFont"/>
    <w:link w:val="CommentText"/>
    <w:uiPriority w:val="99"/>
    <w:semiHidden/>
    <w:rsid w:val="00BB51BD"/>
    <w:rPr>
      <w:lang w:val="en-US" w:eastAsia="en-US"/>
    </w:rPr>
  </w:style>
  <w:style w:type="paragraph" w:styleId="BalloonText">
    <w:name w:val="Balloon Text"/>
    <w:basedOn w:val="Normal"/>
    <w:link w:val="BalloonTextChar"/>
    <w:uiPriority w:val="99"/>
    <w:semiHidden/>
    <w:unhideWhenUsed/>
    <w:rsid w:val="00967A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68"/>
    <w:rPr>
      <w:rFonts w:ascii="Segoe UI" w:hAnsi="Segoe UI" w:cs="Segoe UI"/>
      <w:sz w:val="18"/>
      <w:szCs w:val="18"/>
      <w:lang w:val="en-US" w:eastAsia="en-US"/>
    </w:rPr>
  </w:style>
  <w:style w:type="character" w:customStyle="1" w:styleId="Heading4Char">
    <w:name w:val="Heading 4 Char"/>
    <w:basedOn w:val="DefaultParagraphFont"/>
    <w:link w:val="Heading4"/>
    <w:uiPriority w:val="9"/>
    <w:semiHidden/>
    <w:rsid w:val="00293EEB"/>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uiPriority w:val="9"/>
    <w:semiHidden/>
    <w:rsid w:val="00293EEB"/>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uiPriority w:val="9"/>
    <w:semiHidden/>
    <w:rsid w:val="00293EEB"/>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uiPriority w:val="9"/>
    <w:semiHidden/>
    <w:rsid w:val="00293EEB"/>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uiPriority w:val="9"/>
    <w:semiHidden/>
    <w:rsid w:val="00293EEB"/>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293EEB"/>
    <w:rPr>
      <w:rFonts w:asciiTheme="majorHAnsi" w:eastAsiaTheme="majorEastAsia" w:hAnsiTheme="majorHAnsi" w:cstheme="majorBidi"/>
      <w:i/>
      <w:iCs/>
      <w:color w:val="272727" w:themeColor="text1" w:themeTint="D8"/>
      <w:sz w:val="21"/>
      <w:szCs w:val="21"/>
      <w:lang w:val="en-US" w:eastAsia="en-US"/>
    </w:rPr>
  </w:style>
  <w:style w:type="paragraph" w:styleId="CommentSubject">
    <w:name w:val="annotation subject"/>
    <w:basedOn w:val="CommentText"/>
    <w:next w:val="CommentText"/>
    <w:link w:val="CommentSubjectChar"/>
    <w:uiPriority w:val="99"/>
    <w:semiHidden/>
    <w:unhideWhenUsed/>
    <w:rsid w:val="00202754"/>
    <w:rPr>
      <w:b/>
      <w:bCs/>
    </w:rPr>
  </w:style>
  <w:style w:type="character" w:customStyle="1" w:styleId="CommentSubjectChar">
    <w:name w:val="Comment Subject Char"/>
    <w:basedOn w:val="CommentTextChar"/>
    <w:link w:val="CommentSubject"/>
    <w:uiPriority w:val="99"/>
    <w:semiHidden/>
    <w:rsid w:val="00202754"/>
    <w:rPr>
      <w:b/>
      <w:bCs/>
      <w:lang w:val="en-US" w:eastAsia="en-US"/>
    </w:rPr>
  </w:style>
  <w:style w:type="paragraph" w:styleId="FootnoteText">
    <w:name w:val="footnote text"/>
    <w:basedOn w:val="Normal"/>
    <w:link w:val="FootnoteTextChar"/>
    <w:uiPriority w:val="99"/>
    <w:unhideWhenUsed/>
    <w:rsid w:val="004B65E7"/>
    <w:pPr>
      <w:spacing w:line="240" w:lineRule="auto"/>
    </w:pPr>
    <w:rPr>
      <w:sz w:val="20"/>
      <w:szCs w:val="20"/>
    </w:rPr>
  </w:style>
  <w:style w:type="character" w:customStyle="1" w:styleId="FootnoteTextChar">
    <w:name w:val="Footnote Text Char"/>
    <w:basedOn w:val="DefaultParagraphFont"/>
    <w:link w:val="FootnoteText"/>
    <w:uiPriority w:val="99"/>
    <w:rsid w:val="004B65E7"/>
    <w:rPr>
      <w:lang w:val="en-US" w:eastAsia="en-US"/>
    </w:rPr>
  </w:style>
  <w:style w:type="character" w:styleId="FootnoteReference">
    <w:name w:val="footnote reference"/>
    <w:rsid w:val="004B65E7"/>
    <w:rPr>
      <w:rFonts w:ascii="Avenir Medium" w:hAnsi="Avenir Medium"/>
      <w:i/>
      <w:sz w:val="20"/>
      <w:vertAlign w:val="superscript"/>
    </w:rPr>
  </w:style>
  <w:style w:type="paragraph" w:styleId="Revision">
    <w:name w:val="Revision"/>
    <w:hidden/>
    <w:uiPriority w:val="99"/>
    <w:semiHidden/>
    <w:rsid w:val="005425C6"/>
    <w:rPr>
      <w:lang w:val="en-US" w:eastAsia="en-US"/>
    </w:rPr>
  </w:style>
  <w:style w:type="character" w:customStyle="1" w:styleId="Heading1Char">
    <w:name w:val="Heading 1 Char"/>
    <w:basedOn w:val="DefaultParagraphFont"/>
    <w:link w:val="Heading1"/>
    <w:rsid w:val="00A86F47"/>
    <w:rPr>
      <w:b/>
      <w:bCs/>
      <w:iCs/>
      <w:sz w:val="24"/>
      <w:szCs w:val="28"/>
      <w:lang w:val="en-US" w:eastAsia="en-US"/>
    </w:rPr>
  </w:style>
  <w:style w:type="character" w:styleId="Emphasis">
    <w:name w:val="Emphasis"/>
    <w:basedOn w:val="DefaultParagraphFont"/>
    <w:uiPriority w:val="20"/>
    <w:qFormat/>
    <w:rsid w:val="003B63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617525">
      <w:bodyDiv w:val="1"/>
      <w:marLeft w:val="0"/>
      <w:marRight w:val="0"/>
      <w:marTop w:val="0"/>
      <w:marBottom w:val="0"/>
      <w:divBdr>
        <w:top w:val="none" w:sz="0" w:space="0" w:color="auto"/>
        <w:left w:val="none" w:sz="0" w:space="0" w:color="auto"/>
        <w:bottom w:val="none" w:sz="0" w:space="0" w:color="auto"/>
        <w:right w:val="none" w:sz="0" w:space="0" w:color="auto"/>
      </w:divBdr>
    </w:div>
    <w:div w:id="1644843969">
      <w:bodyDiv w:val="1"/>
      <w:marLeft w:val="0"/>
      <w:marRight w:val="0"/>
      <w:marTop w:val="0"/>
      <w:marBottom w:val="0"/>
      <w:divBdr>
        <w:top w:val="none" w:sz="0" w:space="0" w:color="auto"/>
        <w:left w:val="none" w:sz="0" w:space="0" w:color="auto"/>
        <w:bottom w:val="none" w:sz="0" w:space="0" w:color="auto"/>
        <w:right w:val="none" w:sz="0" w:space="0" w:color="auto"/>
      </w:divBdr>
    </w:div>
    <w:div w:id="178796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o.castellaneta@skema.edu" TargetMode="External"/><Relationship Id="rId13" Type="http://schemas.openxmlformats.org/officeDocument/2006/relationships/hyperlink" Target="http://dx.doi.org/10.2139/ssrn.302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srn.com/abstract=3020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oratefinanceinstitute.com/resources/knowledge/valuation/multiple-expans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ke.wright@imperial.ac.uk" TargetMode="External"/><Relationship Id="rId4" Type="http://schemas.openxmlformats.org/officeDocument/2006/relationships/settings" Target="settings.xml"/><Relationship Id="rId9" Type="http://schemas.openxmlformats.org/officeDocument/2006/relationships/hyperlink" Target="mailto:simon.hannus@gmail.comprevestor.fi"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olyn\Application%20Data\Microsoft\Templates\spie_ejnl_templat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D39-2DA7-4B9C-BE5A-3649DEE0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spie_ejnl_template</Template>
  <TotalTime>0</TotalTime>
  <Pages>52</Pages>
  <Words>16343</Words>
  <Characters>93160</Characters>
  <Application>Microsoft Office Word</Application>
  <DocSecurity>4</DocSecurity>
  <Lines>776</Lines>
  <Paragraphs>218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Manuscript</vt:lpstr>
      <vt:lpstr>Manuscript</vt:lpstr>
    </vt:vector>
  </TitlesOfParts>
  <Manager/>
  <Company/>
  <LinksUpToDate>false</LinksUpToDate>
  <CharactersWithSpaces>109285</CharactersWithSpaces>
  <SharedDoc>false</SharedDoc>
  <HyperlinkBase/>
  <HLinks>
    <vt:vector size="12" baseType="variant">
      <vt:variant>
        <vt:i4>131160</vt:i4>
      </vt:variant>
      <vt:variant>
        <vt:i4>3</vt:i4>
      </vt:variant>
      <vt:variant>
        <vt:i4>0</vt:i4>
      </vt:variant>
      <vt:variant>
        <vt:i4>5</vt:i4>
      </vt:variant>
      <vt:variant>
        <vt:lpwstr>http://spie.org/x85020.xml</vt:lpwstr>
      </vt:variant>
      <vt:variant>
        <vt:lpwstr>Components</vt:lpwstr>
      </vt:variant>
      <vt:variant>
        <vt:i4>5439517</vt:i4>
      </vt:variant>
      <vt:variant>
        <vt:i4>0</vt:i4>
      </vt:variant>
      <vt:variant>
        <vt:i4>0</vt:i4>
      </vt:variant>
      <vt:variant>
        <vt:i4>5</vt:i4>
      </vt:variant>
      <vt:variant>
        <vt:lpwstr>mailto:myemail@university.edu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dc:title>
  <dc:subject/>
  <dc:creator>simon hannus</dc:creator>
  <cp:keywords/>
  <dc:description/>
  <cp:lastModifiedBy>Wright, Mike</cp:lastModifiedBy>
  <cp:revision>2</cp:revision>
  <cp:lastPrinted>2018-02-15T11:36:00Z</cp:lastPrinted>
  <dcterms:created xsi:type="dcterms:W3CDTF">2018-11-06T20:27:00Z</dcterms:created>
  <dcterms:modified xsi:type="dcterms:W3CDTF">2018-11-06T20:27:00Z</dcterms:modified>
  <cp:category/>
</cp:coreProperties>
</file>