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8D2" w:rsidRDefault="004768D2" w:rsidP="004768D2">
      <w:pPr>
        <w:jc w:val="both"/>
      </w:pPr>
      <w:r>
        <w:rPr>
          <w:b/>
        </w:rPr>
        <w:t>Health outcomes after switching equivalent inhalers in respiratory patients for financial motivation</w:t>
      </w:r>
      <w:r>
        <w:t xml:space="preserve"> </w:t>
      </w:r>
    </w:p>
    <w:p w:rsidR="004768D2" w:rsidRDefault="004768D2" w:rsidP="004768D2">
      <w:pPr>
        <w:jc w:val="both"/>
      </w:pPr>
    </w:p>
    <w:p w:rsidR="004768D2" w:rsidRDefault="004768D2" w:rsidP="00403992">
      <w:pPr>
        <w:tabs>
          <w:tab w:val="left" w:pos="5295"/>
        </w:tabs>
        <w:jc w:val="both"/>
      </w:pPr>
      <w:r>
        <w:t>Corresponding author:</w:t>
      </w:r>
      <w:r w:rsidR="00403992">
        <w:tab/>
      </w:r>
    </w:p>
    <w:p w:rsidR="004768D2" w:rsidRDefault="004768D2" w:rsidP="004768D2">
      <w:pPr>
        <w:jc w:val="both"/>
      </w:pPr>
      <w:r w:rsidRPr="00345CE9">
        <w:t>CI Bloom,</w:t>
      </w:r>
      <w:r>
        <w:t xml:space="preserve"> </w:t>
      </w:r>
      <w:hyperlink r:id="rId8" w:history="1">
        <w:r w:rsidRPr="001B0C00">
          <w:rPr>
            <w:rStyle w:val="Hyperlink"/>
          </w:rPr>
          <w:t>chloe.bloom06@imperial.ac.uk</w:t>
        </w:r>
      </w:hyperlink>
      <w:r>
        <w:t>, Department of Respiratory Epidemiology, Occupational Medicine and Public Health, National Heart Lung Institute, Imperial College London, Emmanuel Kaye Building, 1b Manresa Road, London, SW3 6LR</w:t>
      </w:r>
      <w:r w:rsidR="00E33D61">
        <w:t xml:space="preserve">. Telephone </w:t>
      </w:r>
      <w:r w:rsidR="00E33D61" w:rsidRPr="00E33D61">
        <w:t>+44 (0)20 7594 8821</w:t>
      </w:r>
      <w:r w:rsidR="00E33D61">
        <w:t>.</w:t>
      </w:r>
    </w:p>
    <w:p w:rsidR="004768D2" w:rsidRDefault="004768D2" w:rsidP="004768D2">
      <w:pPr>
        <w:jc w:val="both"/>
      </w:pPr>
      <w:r>
        <w:t>All other authors:</w:t>
      </w:r>
    </w:p>
    <w:p w:rsidR="004768D2" w:rsidRDefault="004768D2" w:rsidP="004768D2">
      <w:pPr>
        <w:jc w:val="both"/>
      </w:pPr>
      <w:r w:rsidRPr="00345CE9">
        <w:t xml:space="preserve">I Douglas, </w:t>
      </w:r>
      <w:hyperlink r:id="rId9" w:history="1">
        <w:r w:rsidRPr="001B0C00">
          <w:rPr>
            <w:rStyle w:val="Hyperlink"/>
          </w:rPr>
          <w:t>ian.douglas@lshtm.ac.uk</w:t>
        </w:r>
      </w:hyperlink>
      <w:r>
        <w:t>, London School of Hygiene and Tropical Medicine, Epidemiology and Population Health, LSHTM Keppel Street, London, WC1E 7HT, UK.</w:t>
      </w:r>
    </w:p>
    <w:p w:rsidR="004768D2" w:rsidRDefault="004768D2" w:rsidP="004768D2">
      <w:pPr>
        <w:jc w:val="both"/>
      </w:pPr>
      <w:r>
        <w:t>J Olney,</w:t>
      </w:r>
      <w:r w:rsidRPr="00345CE9">
        <w:t xml:space="preserve"> </w:t>
      </w:r>
      <w:hyperlink r:id="rId10" w:history="1">
        <w:r w:rsidRPr="001B0C00">
          <w:rPr>
            <w:rStyle w:val="Hyperlink"/>
          </w:rPr>
          <w:t>jack.olney@imperial.ac.uk</w:t>
        </w:r>
      </w:hyperlink>
      <w:r>
        <w:t>, Centre for Health Economics &amp; Policy Innovation, Imperial College London, UK.</w:t>
      </w:r>
    </w:p>
    <w:p w:rsidR="004768D2" w:rsidRDefault="004768D2" w:rsidP="004768D2">
      <w:pPr>
        <w:jc w:val="both"/>
      </w:pPr>
      <w:r w:rsidRPr="00345CE9">
        <w:t>G d’Ancona,</w:t>
      </w:r>
      <w:r>
        <w:t xml:space="preserve"> </w:t>
      </w:r>
      <w:hyperlink r:id="rId11" w:history="1">
        <w:r w:rsidRPr="001B0C00">
          <w:rPr>
            <w:rStyle w:val="Hyperlink"/>
          </w:rPr>
          <w:t>grainne.dancona@gstt.nhs.uk</w:t>
        </w:r>
      </w:hyperlink>
      <w:r>
        <w:t>, Guy’s &amp; St Thomas’s NHS Trust, London, UK.</w:t>
      </w:r>
    </w:p>
    <w:p w:rsidR="004768D2" w:rsidRDefault="004768D2" w:rsidP="004768D2">
      <w:pPr>
        <w:jc w:val="both"/>
      </w:pPr>
      <w:r w:rsidRPr="00345CE9">
        <w:t xml:space="preserve">L Smeeth, </w:t>
      </w:r>
      <w:hyperlink r:id="rId12" w:history="1">
        <w:r w:rsidRPr="001B0C00">
          <w:rPr>
            <w:rStyle w:val="Hyperlink"/>
          </w:rPr>
          <w:t>liam.smeeth@lshtm.ac.uk</w:t>
        </w:r>
      </w:hyperlink>
      <w:r>
        <w:t>, London School of Hygiene and Tropical Medicine, Epidemiology and Population Health, LSHTM Keppel Street, London, WC1E 7HT, UK.</w:t>
      </w:r>
    </w:p>
    <w:p w:rsidR="004768D2" w:rsidRDefault="004768D2" w:rsidP="004768D2">
      <w:pPr>
        <w:jc w:val="both"/>
      </w:pPr>
      <w:r w:rsidRPr="00345CE9">
        <w:t>JK Quint</w:t>
      </w:r>
      <w:r>
        <w:t xml:space="preserve">, </w:t>
      </w:r>
      <w:hyperlink r:id="rId13" w:history="1">
        <w:r w:rsidRPr="001B0C00">
          <w:rPr>
            <w:rStyle w:val="Hyperlink"/>
          </w:rPr>
          <w:t>j.quint@imperial.ac.uk</w:t>
        </w:r>
      </w:hyperlink>
      <w:r>
        <w:t>, Department of Respiratory Epidemiology, Occupational Medicine and Public Health, NHLI, Imperial College London, London, UK.</w:t>
      </w:r>
    </w:p>
    <w:p w:rsidR="00E33D61" w:rsidRDefault="00E33D61">
      <w:pPr>
        <w:spacing w:after="160" w:line="259" w:lineRule="auto"/>
      </w:pPr>
    </w:p>
    <w:p w:rsidR="00E33D61" w:rsidRDefault="00E33D61">
      <w:pPr>
        <w:spacing w:after="160" w:line="259" w:lineRule="auto"/>
      </w:pPr>
      <w:r>
        <w:t>Key words: inhaler devices, asthma, COPD epidemiology</w:t>
      </w:r>
    </w:p>
    <w:p w:rsidR="00E33D61" w:rsidRDefault="00E33D61">
      <w:pPr>
        <w:spacing w:after="160" w:line="259" w:lineRule="auto"/>
      </w:pPr>
    </w:p>
    <w:p w:rsidR="00E34CAB" w:rsidRDefault="00E33D61">
      <w:pPr>
        <w:spacing w:after="160" w:line="259" w:lineRule="auto"/>
      </w:pPr>
      <w:r>
        <w:t xml:space="preserve">Word count: </w:t>
      </w:r>
      <w:r w:rsidR="00703CF6" w:rsidRPr="00703CF6">
        <w:t xml:space="preserve">3767 </w:t>
      </w:r>
      <w:r w:rsidR="00E34CAB">
        <w:br w:type="page"/>
      </w:r>
    </w:p>
    <w:p w:rsidR="0033035F" w:rsidRDefault="0033035F" w:rsidP="0033035F">
      <w:pPr>
        <w:rPr>
          <w:b/>
        </w:rPr>
      </w:pPr>
      <w:r w:rsidRPr="00B60B6C">
        <w:rPr>
          <w:b/>
        </w:rPr>
        <w:lastRenderedPageBreak/>
        <w:t>What is the key question?</w:t>
      </w:r>
    </w:p>
    <w:p w:rsidR="00B60B6C" w:rsidRPr="00D41703" w:rsidRDefault="00D41703" w:rsidP="0033035F">
      <w:r w:rsidRPr="00D41703">
        <w:t xml:space="preserve">Physicians and patients alike </w:t>
      </w:r>
      <w:r>
        <w:t xml:space="preserve">are often reticent to switch to an equivalent inhaler </w:t>
      </w:r>
      <w:r w:rsidR="004E76A6">
        <w:t>to reduce NHS costs</w:t>
      </w:r>
      <w:r>
        <w:t>, but it is a commonly encouraged local policy in the UK</w:t>
      </w:r>
      <w:r w:rsidR="00B11141">
        <w:t xml:space="preserve"> due to </w:t>
      </w:r>
      <w:r w:rsidR="004E76A6">
        <w:t xml:space="preserve">increasing </w:t>
      </w:r>
      <w:r w:rsidR="00CC4C5E">
        <w:t xml:space="preserve">NHS </w:t>
      </w:r>
      <w:r w:rsidR="004E76A6">
        <w:t>financial pressures</w:t>
      </w:r>
      <w:r>
        <w:t xml:space="preserve">; what is the impact of such a policy on </w:t>
      </w:r>
      <w:r w:rsidR="00173455">
        <w:t>patients’</w:t>
      </w:r>
      <w:r>
        <w:t xml:space="preserve"> health </w:t>
      </w:r>
      <w:r w:rsidR="00CC4C5E">
        <w:t xml:space="preserve">(exacerbations and symptoms) </w:t>
      </w:r>
      <w:r>
        <w:t xml:space="preserve">and healthcare </w:t>
      </w:r>
      <w:r w:rsidR="00173455">
        <w:t>utilisation</w:t>
      </w:r>
      <w:r w:rsidR="00CC4C5E">
        <w:t xml:space="preserve"> (GP consultations)</w:t>
      </w:r>
      <w:r w:rsidR="00173455">
        <w:t>?</w:t>
      </w:r>
    </w:p>
    <w:p w:rsidR="0033035F" w:rsidRDefault="0033035F" w:rsidP="0033035F">
      <w:pPr>
        <w:rPr>
          <w:b/>
        </w:rPr>
      </w:pPr>
      <w:r w:rsidRPr="00B60B6C">
        <w:rPr>
          <w:b/>
        </w:rPr>
        <w:t>What is the bottom line?</w:t>
      </w:r>
    </w:p>
    <w:p w:rsidR="00B60B6C" w:rsidRPr="00B60B6C" w:rsidRDefault="00DE758B" w:rsidP="0033035F">
      <w:pPr>
        <w:rPr>
          <w:b/>
        </w:rPr>
      </w:pPr>
      <w:r>
        <w:t>The findings</w:t>
      </w:r>
      <w:r w:rsidR="00D41703">
        <w:t xml:space="preserve"> from this real-world study</w:t>
      </w:r>
      <w:r>
        <w:t xml:space="preserve"> support th</w:t>
      </w:r>
      <w:r w:rsidR="00D41703">
        <w:t>e</w:t>
      </w:r>
      <w:r>
        <w:t xml:space="preserve"> </w:t>
      </w:r>
      <w:r w:rsidR="00D41703">
        <w:t xml:space="preserve">cost-saving </w:t>
      </w:r>
      <w:r>
        <w:t>clinical practice</w:t>
      </w:r>
      <w:r w:rsidR="00D41703">
        <w:t xml:space="preserve"> of switching to cheaper equivalent inhalers</w:t>
      </w:r>
      <w:r>
        <w:t>.</w:t>
      </w:r>
    </w:p>
    <w:p w:rsidR="0033035F" w:rsidRDefault="0033035F" w:rsidP="0033035F">
      <w:pPr>
        <w:rPr>
          <w:b/>
        </w:rPr>
      </w:pPr>
      <w:r w:rsidRPr="00B60B6C">
        <w:rPr>
          <w:b/>
        </w:rPr>
        <w:t>Why read on?</w:t>
      </w:r>
    </w:p>
    <w:p w:rsidR="00D41703" w:rsidRPr="00D41703" w:rsidRDefault="00173455" w:rsidP="0033035F">
      <w:r>
        <w:t>This study assessed f</w:t>
      </w:r>
      <w:r w:rsidR="00D41703" w:rsidRPr="00D41703">
        <w:t xml:space="preserve">our different </w:t>
      </w:r>
      <w:r w:rsidR="00D41703">
        <w:t xml:space="preserve">health </w:t>
      </w:r>
      <w:r w:rsidR="00D41703" w:rsidRPr="00D41703">
        <w:t xml:space="preserve">outcomes </w:t>
      </w:r>
      <w:r w:rsidR="00D41703">
        <w:t>(</w:t>
      </w:r>
      <w:r w:rsidR="00D41703" w:rsidRPr="00D41703">
        <w:t>exacerbations, GP consultations, non-specific respiratory events and adverse-medication events</w:t>
      </w:r>
      <w:r w:rsidR="00D41703">
        <w:t>)</w:t>
      </w:r>
      <w:r>
        <w:t>,</w:t>
      </w:r>
      <w:r w:rsidR="00D41703">
        <w:t xml:space="preserve"> </w:t>
      </w:r>
      <w:r>
        <w:t>and multiple factors (e.g. inhaler device, inhaler-technique checks) that could influence the impact of this clinical practice.</w:t>
      </w:r>
    </w:p>
    <w:p w:rsidR="00D9492E" w:rsidRDefault="00E34CAB" w:rsidP="004B3AA7">
      <w:pPr>
        <w:jc w:val="center"/>
        <w:rPr>
          <w:b/>
        </w:rPr>
      </w:pPr>
      <w:r>
        <w:br w:type="page"/>
      </w:r>
      <w:r w:rsidR="00D9492E" w:rsidRPr="00D9492E">
        <w:rPr>
          <w:b/>
        </w:rPr>
        <w:lastRenderedPageBreak/>
        <w:t>Abstract</w:t>
      </w:r>
    </w:p>
    <w:p w:rsidR="00D9492E" w:rsidRDefault="00D9492E" w:rsidP="00D9492E">
      <w:pPr>
        <w:rPr>
          <w:b/>
        </w:rPr>
      </w:pPr>
      <w:r>
        <w:rPr>
          <w:b/>
        </w:rPr>
        <w:t>Background</w:t>
      </w:r>
    </w:p>
    <w:p w:rsidR="00D9492E" w:rsidRPr="00D9492E" w:rsidRDefault="0033035F" w:rsidP="00BA3426">
      <w:pPr>
        <w:jc w:val="both"/>
      </w:pPr>
      <w:r>
        <w:t>S</w:t>
      </w:r>
      <w:r w:rsidR="00BA3426">
        <w:t>witching inhalers to cheaper equivalent products is often advocated as a necessary cost saving measure</w:t>
      </w:r>
      <w:r>
        <w:t>, yet t</w:t>
      </w:r>
      <w:r w:rsidR="00BA3426">
        <w:t>he</w:t>
      </w:r>
      <w:r>
        <w:t xml:space="preserve"> impact</w:t>
      </w:r>
      <w:r w:rsidR="00BA3426">
        <w:t xml:space="preserve"> on patient’s health and healthcare utilisation has not been </w:t>
      </w:r>
      <w:r>
        <w:t>measured</w:t>
      </w:r>
      <w:r w:rsidR="00BA3426">
        <w:t>.</w:t>
      </w:r>
    </w:p>
    <w:p w:rsidR="00D9492E" w:rsidRDefault="00D9492E" w:rsidP="00D9492E">
      <w:pPr>
        <w:rPr>
          <w:b/>
        </w:rPr>
      </w:pPr>
      <w:r>
        <w:rPr>
          <w:b/>
        </w:rPr>
        <w:t>Methods</w:t>
      </w:r>
    </w:p>
    <w:p w:rsidR="00D9492E" w:rsidRPr="00D73252" w:rsidRDefault="00D9492E" w:rsidP="00D9492E">
      <w:pPr>
        <w:jc w:val="both"/>
      </w:pPr>
      <w:r>
        <w:t>We identified asthma and chronic obstructive pulmonary disease (COPD) patients</w:t>
      </w:r>
      <w:r w:rsidR="0033035F">
        <w:t xml:space="preserve"> from UK primary care</w:t>
      </w:r>
      <w:r>
        <w:t xml:space="preserve"> electronic healthcare records</w:t>
      </w:r>
      <w:r w:rsidRPr="002B3D0D">
        <w:t xml:space="preserve"> </w:t>
      </w:r>
      <w:r>
        <w:t>between 2000 and 2016. A</w:t>
      </w:r>
      <w:r w:rsidRPr="000A31F8">
        <w:t xml:space="preserve"> self-controlled case series</w:t>
      </w:r>
      <w:r w:rsidR="00D97697">
        <w:t xml:space="preserve"> </w:t>
      </w:r>
      <w:r>
        <w:t>was used to</w:t>
      </w:r>
      <w:r w:rsidR="00D97697">
        <w:t xml:space="preserve"> estimate incidence rate ratios (IRR); comparing</w:t>
      </w:r>
      <w:r>
        <w:t xml:space="preserve"> outcome rates during the risk period, 3-months after the exposure (</w:t>
      </w:r>
      <w:r w:rsidR="0033035F">
        <w:t>f</w:t>
      </w:r>
      <w:r>
        <w:t>inancially-motivated switch), and control periods</w:t>
      </w:r>
      <w:r w:rsidR="0033035F">
        <w:t xml:space="preserve"> (pre-</w:t>
      </w:r>
      <w:r>
        <w:t>switch</w:t>
      </w:r>
      <w:r w:rsidR="00D97697">
        <w:t xml:space="preserve">, and </w:t>
      </w:r>
      <w:r w:rsidR="0033035F">
        <w:t>post-</w:t>
      </w:r>
      <w:r w:rsidR="00D97697">
        <w:t>risk period</w:t>
      </w:r>
      <w:r w:rsidR="0033035F">
        <w:t>)</w:t>
      </w:r>
      <w:r>
        <w:t>. Four</w:t>
      </w:r>
      <w:r w:rsidR="00D97697">
        <w:t xml:space="preserve"> </w:t>
      </w:r>
      <w:r w:rsidR="0033035F">
        <w:t xml:space="preserve">outcomes were </w:t>
      </w:r>
      <w:r w:rsidR="00D97697">
        <w:t>assess</w:t>
      </w:r>
      <w:r w:rsidR="0033035F">
        <w:t>ed</w:t>
      </w:r>
      <w:r>
        <w:t>: disease exacerbation, GP consultation, non-specific respiratory events and adverse-medication events. Medication possession ratio</w:t>
      </w:r>
      <w:r w:rsidR="00D97697">
        <w:t xml:space="preserve"> (MPR)</w:t>
      </w:r>
      <w:r>
        <w:t xml:space="preserve"> was calculated to assess adherence.</w:t>
      </w:r>
      <w:r w:rsidR="002665ED">
        <w:t xml:space="preserve"> </w:t>
      </w:r>
      <w:r w:rsidR="002665ED">
        <w:rPr>
          <w:rFonts w:cs="Arial"/>
        </w:rPr>
        <w:t>2017 NHS indicative prices were used to estimate cost differences per equivalent dose.</w:t>
      </w:r>
    </w:p>
    <w:p w:rsidR="00D9492E" w:rsidRDefault="00D9492E" w:rsidP="00D9492E">
      <w:pPr>
        <w:rPr>
          <w:b/>
        </w:rPr>
      </w:pPr>
      <w:r>
        <w:rPr>
          <w:b/>
        </w:rPr>
        <w:t>Results</w:t>
      </w:r>
    </w:p>
    <w:p w:rsidR="00D9492E" w:rsidRPr="00D9492E" w:rsidRDefault="00D9492E" w:rsidP="00D9492E">
      <w:pPr>
        <w:jc w:val="both"/>
      </w:pPr>
      <w:r>
        <w:t xml:space="preserve">We identified </w:t>
      </w:r>
      <w:r w:rsidR="004B3AA7">
        <w:t xml:space="preserve">a cohort of </w:t>
      </w:r>
      <w:r>
        <w:t xml:space="preserve">569,901 asthma and 171,231 COPD regular inhaler users, 2% and 6% had been switched, respectively. </w:t>
      </w:r>
      <w:r w:rsidR="004B3AA7">
        <w:t>Inhaler s</w:t>
      </w:r>
      <w:r>
        <w:t xml:space="preserve">witches between a brand-to-generic inhaler, and all other switches (brand-to-brand, generic-to-generic, generic-to-brand), were associated with </w:t>
      </w:r>
      <w:r w:rsidR="0033035F">
        <w:t>reduced exacerbations</w:t>
      </w:r>
      <w:r>
        <w:t xml:space="preserve"> (</w:t>
      </w:r>
      <w:r w:rsidR="0033035F">
        <w:t>brand-to-generic: IRR=0.75, 95% CI 0.64-0.88; all other: IRR=0.79, 95% CI 0.71-0.88</w:t>
      </w:r>
      <w:r>
        <w:t xml:space="preserve">). Gender, age, therapeutic class, inhaler device, </w:t>
      </w:r>
      <w:r w:rsidR="00097929">
        <w:t>and inhaler-</w:t>
      </w:r>
      <w:r>
        <w:t xml:space="preserve">technique checks did not significantly modify this association (p&lt;0.05). The rate of consultations, respiratory-events and adverse-medication events did not change significantly (consultations: IRR=1.00, 95% CI 0.99-1.01; respiratory-events: IRR=0.96, 95% CI 0.95-0.97; adverse-medication-events: IRR=1.05, 95% CI 0.96-1.15). Adherence significantly increased </w:t>
      </w:r>
      <w:r w:rsidR="00097929">
        <w:t>post-</w:t>
      </w:r>
      <w:r w:rsidR="0033035F">
        <w:t>switch (median MPR: pre-switch=54%, post-switch=62%</w:t>
      </w:r>
      <w:r>
        <w:t xml:space="preserve">; p&lt;0.001). Switching </w:t>
      </w:r>
      <w:r w:rsidR="00BA3426">
        <w:t>patients</w:t>
      </w:r>
      <w:r w:rsidR="00097929">
        <w:t>,</w:t>
      </w:r>
      <w:r w:rsidR="00BA3426">
        <w:t xml:space="preserve"> in the cohort of regular inhaler users</w:t>
      </w:r>
      <w:r w:rsidR="00097929">
        <w:t>,</w:t>
      </w:r>
      <w:r w:rsidR="00BA3426">
        <w:t xml:space="preserve"> to the cheapest equivalent inhaler</w:t>
      </w:r>
      <w:r w:rsidR="00097929">
        <w:t>,</w:t>
      </w:r>
      <w:r w:rsidR="00BA3426">
        <w:t xml:space="preserve"> c</w:t>
      </w:r>
      <w:r>
        <w:t>ould have saved around £</w:t>
      </w:r>
      <w:r w:rsidR="00BA3426">
        <w:t>6</w:t>
      </w:r>
      <w:r>
        <w:t xml:space="preserve"> million annually. </w:t>
      </w:r>
      <w:r w:rsidR="00D97697">
        <w:t xml:space="preserve"> </w:t>
      </w:r>
    </w:p>
    <w:p w:rsidR="00D9492E" w:rsidRDefault="00D9492E" w:rsidP="00D9492E">
      <w:pPr>
        <w:rPr>
          <w:b/>
        </w:rPr>
      </w:pPr>
      <w:r>
        <w:rPr>
          <w:b/>
        </w:rPr>
        <w:t>Conclusion</w:t>
      </w:r>
    </w:p>
    <w:p w:rsidR="00D9492E" w:rsidRDefault="00D9492E" w:rsidP="00D9492E">
      <w:pPr>
        <w:jc w:val="both"/>
      </w:pPr>
      <w:r>
        <w:t>Switching to an equivalent inhaler</w:t>
      </w:r>
      <w:r w:rsidR="004E76A6">
        <w:t xml:space="preserve"> in patients with asthma or COPD</w:t>
      </w:r>
      <w:r w:rsidR="00097929">
        <w:t xml:space="preserve"> </w:t>
      </w:r>
      <w:r w:rsidR="0033035F">
        <w:t>appeared</w:t>
      </w:r>
      <w:r>
        <w:t xml:space="preserve"> safe and did not negatively affect patient’s health or</w:t>
      </w:r>
      <w:r w:rsidR="00D97697">
        <w:t xml:space="preserve"> healthcare utilisation. </w:t>
      </w:r>
    </w:p>
    <w:p w:rsidR="00D9492E" w:rsidRPr="00D9492E" w:rsidRDefault="00D9492E" w:rsidP="00D9492E"/>
    <w:p w:rsidR="00E34CAB" w:rsidRDefault="00E34CAB">
      <w:pPr>
        <w:spacing w:after="160" w:line="259" w:lineRule="auto"/>
      </w:pPr>
    </w:p>
    <w:p w:rsidR="004B3AA7" w:rsidRDefault="004B3AA7">
      <w:pPr>
        <w:spacing w:after="160" w:line="259" w:lineRule="auto"/>
        <w:rPr>
          <w:b/>
        </w:rPr>
      </w:pPr>
      <w:r>
        <w:rPr>
          <w:b/>
        </w:rPr>
        <w:br w:type="page"/>
      </w:r>
    </w:p>
    <w:p w:rsidR="00E34CAB" w:rsidRPr="002218FE" w:rsidRDefault="00E34CAB" w:rsidP="00E34CAB">
      <w:pPr>
        <w:jc w:val="center"/>
        <w:rPr>
          <w:b/>
        </w:rPr>
      </w:pPr>
      <w:r w:rsidRPr="002218FE">
        <w:rPr>
          <w:b/>
        </w:rPr>
        <w:lastRenderedPageBreak/>
        <w:t>Introduction</w:t>
      </w:r>
    </w:p>
    <w:p w:rsidR="00E34CAB" w:rsidRPr="002218FE" w:rsidRDefault="00E34CAB" w:rsidP="00E34CAB">
      <w:pPr>
        <w:jc w:val="both"/>
        <w:rPr>
          <w:rFonts w:cs="Arial"/>
        </w:rPr>
      </w:pPr>
      <w:r w:rsidRPr="002218FE">
        <w:rPr>
          <w:rFonts w:cs="Arial"/>
        </w:rPr>
        <w:t>In the UK, over 5.4 million people rec</w:t>
      </w:r>
      <w:r>
        <w:rPr>
          <w:rFonts w:cs="Arial"/>
        </w:rPr>
        <w:t>eive asthma treatment</w:t>
      </w:r>
      <w:r w:rsidR="001A0AD4">
        <w:rPr>
          <w:rFonts w:cs="Arial"/>
        </w:rPr>
        <w:t xml:space="preserve"> (estimated in 2012)</w:t>
      </w:r>
      <w:r w:rsidRPr="002218FE">
        <w:rPr>
          <w:rFonts w:cs="Arial"/>
        </w:rPr>
        <w:t>, and over 1.2 million people have</w:t>
      </w:r>
      <w:r>
        <w:rPr>
          <w:rFonts w:cs="Arial"/>
        </w:rPr>
        <w:t xml:space="preserve"> a </w:t>
      </w:r>
      <w:r w:rsidRPr="002218FE">
        <w:rPr>
          <w:rFonts w:cs="Arial"/>
        </w:rPr>
        <w:t>COPD</w:t>
      </w:r>
      <w:r>
        <w:rPr>
          <w:rFonts w:cs="Arial"/>
        </w:rPr>
        <w:t xml:space="preserve"> diagnosis</w:t>
      </w:r>
      <w:r w:rsidRPr="002218FE">
        <w:rPr>
          <w:rFonts w:cs="Arial"/>
        </w:rPr>
        <w:fldChar w:fldCharType="begin" w:fldLock="1"/>
      </w:r>
      <w:r w:rsidR="00142535">
        <w:rPr>
          <w:rFonts w:cs="Arial"/>
        </w:rPr>
        <w:instrText xml:space="preserve">ADDIN CSL_CITATION {"citationItems":[{"id":"ITEM-1","itemData":{"DOI":"10.1136/thoraxjnl-2016-209333.38","ISSN":"0040-6376","abstract":"Background We performed an analysis of UK respiratory disease epidemiology covering 2004–2012. Findings pertaining to COPD are presented here. Methods Prevalence and incidence rates were estimated from The Health Intelligence Network database representing </w:instrText>
      </w:r>
      <w:r w:rsidR="00142535">
        <w:rPr>
          <w:rFonts w:ascii="Cambria Math" w:hAnsi="Cambria Math" w:cs="Cambria Math"/>
        </w:rPr>
        <w:instrText>∼</w:instrText>
      </w:r>
      <w:r w:rsidR="00142535">
        <w:rPr>
          <w:rFonts w:cs="Arial"/>
        </w:rPr>
        <w:instrText>5 per cent of the population. Mortality figures came from official government statistics. WHO data were used for international mortality comparisons and numbers of hospital admissions/inpatient bed-days. Results An estimated 1.2 million people (2% of the population) have diagnosed COPD – considerably more than the 835,000 estimated by the Department of Health in 2011 – making COPD the second most common lung disease in the UK, after asthma. Prevalence has increased by 27% in the last decade. Incidence fell 2004–2008 but has been stable since with just under 115,000 new diagnoses in 2012. Men are more likely to be diagnosed with COPD and to die from it than women. COPD is rare under 40 and becomes commoner with age, affecting 9% of those aged &gt;70. COPD prevalence, incidence and mortality rates are highest in Scotland and the north of England. Prevalence and incidence are over twice as great in the most deprived population quintile than in the least. Nearly 30,000 people die from COPD each year, making it the second greatest cause of death from lung disease and the UK’s fifth biggest killer. Mortality increased from 2004–2012. The UK COPD mortality rate ranks third in Europe. COPD accounts for over 140,000 hospital admissions and over a million bed days each year across the UK (1.7% of all hospital admissions and bed days). 97% of these admissions are for emergency care. London has notably more hospital admissions for COPD than other regions with similar prevalence. Conclusions Gender, location, and deprivation differences in COPD epidemiology probably largely reflect differences in smoking behaviour. COPD continues to represent an enormous burden on UK health services.","author":[{"dropping-particle":"","family":"Snell","given":"N","non-dropping-particle":"","parse-names":false,"suffix":""},{"dropping-particle":"","family":"Strachan","given":"D","non-dropping-particle":"","parse-names":false,"suffix":""},{"dropping-particle":"","family":"Hubbard","given":"R","non-dropping-particle":"","parse-names":false,"suffix":""},{"dropping-particle":"","family":"Gibson","given":"J","non-dropping-particle":"","parse-names":false,"suffix":""},{"dropping-particle":"","family":"Gruffydd-Jones","given":"K","non-dropping-particle":"","parse-names":false,"suffix":""},{"dropping-particle":"","family":"Jarrold","given":"I","non-dropping-particle":"","parse-names":false,"suffix":""}],"container-title":"Thorax","id":"ITEM-1","issue":"Suppl 3","issued":{"date-parts":[["2016","12","1"]]},"page":"A20.1-A20","publisher":"BMJ Publishing Group Ltd","title":"S32 Epidemiology of chronic obstructive pulmonary disease (COPD) in the uk: findings from the british lung foundation’s ‘respiratory health of the nation’ project","type":"article-journal","volume":"71"},"uris":["http://www.mendeley.com/documents/?uuid=56255fb8-d4b0-3535-ab67-14d09254763b"]},{"id":"ITEM-2","itemData":{"abstract":"NICE quality standard 25 guidance.nice.org.uk/qs25","author":[{"dropping-particle":"","family":"National Institute for Health and Care Excellence","given":"","non-dropping-particle":"","parse-names":false,"suffix":""}],"id":"ITEM-2","issued":{"date-parts":[["2013"]]},"title":"Quality standard for asthma","type":"report"},"uris":["http://www.mendeley.com/documents/?uuid=2033649f-23f8-300a-b023-675cf28005f7"]}],"mendeley":{"formattedCitation":"(1,2)","plainTextFormattedCitation":"(1,2)","previouslyFormattedCitation":"(1,2)"},"properties":{"noteIndex":0},"schema":"https://github.com/citation-style-language/schema/raw/master/csl-citation.json"}</w:instrText>
      </w:r>
      <w:r w:rsidRPr="002218FE">
        <w:rPr>
          <w:rFonts w:cs="Arial"/>
        </w:rPr>
        <w:fldChar w:fldCharType="separate"/>
      </w:r>
      <w:r w:rsidR="001A0AD4" w:rsidRPr="001A0AD4">
        <w:rPr>
          <w:rFonts w:cs="Arial"/>
          <w:noProof/>
        </w:rPr>
        <w:t>(1,2)</w:t>
      </w:r>
      <w:r w:rsidRPr="002218FE">
        <w:rPr>
          <w:rFonts w:cs="Arial"/>
        </w:rPr>
        <w:fldChar w:fldCharType="end"/>
      </w:r>
      <w:r w:rsidRPr="002218FE">
        <w:rPr>
          <w:rFonts w:cs="Arial"/>
        </w:rPr>
        <w:t xml:space="preserve">. </w:t>
      </w:r>
      <w:r>
        <w:rPr>
          <w:rFonts w:cs="Arial"/>
        </w:rPr>
        <w:t>I</w:t>
      </w:r>
      <w:r w:rsidRPr="002218FE">
        <w:rPr>
          <w:rFonts w:cs="Arial"/>
        </w:rPr>
        <w:t xml:space="preserve">nhalers incur a large healthcare cost; </w:t>
      </w:r>
      <w:r w:rsidR="00C53F88">
        <w:rPr>
          <w:rFonts w:cs="Arial"/>
        </w:rPr>
        <w:t xml:space="preserve">due to the prevalence of asthma, </w:t>
      </w:r>
      <w:r w:rsidRPr="002218FE">
        <w:rPr>
          <w:rFonts w:cs="Arial"/>
        </w:rPr>
        <w:t xml:space="preserve">three of the top five most expensive drugs in the </w:t>
      </w:r>
      <w:r>
        <w:rPr>
          <w:rFonts w:cs="Arial"/>
        </w:rPr>
        <w:t>National Health Service (</w:t>
      </w:r>
      <w:r w:rsidRPr="002218FE">
        <w:rPr>
          <w:rFonts w:cs="Arial"/>
        </w:rPr>
        <w:t>NHS</w:t>
      </w:r>
      <w:r>
        <w:rPr>
          <w:rFonts w:cs="Arial"/>
        </w:rPr>
        <w:t>)</w:t>
      </w:r>
      <w:r w:rsidRPr="002218FE">
        <w:rPr>
          <w:rFonts w:cs="Arial"/>
        </w:rPr>
        <w:t xml:space="preserve"> budget are inhalers. Over £1.1 billion of the NHS budg</w:t>
      </w:r>
      <w:r>
        <w:rPr>
          <w:rFonts w:cs="Arial"/>
        </w:rPr>
        <w:t>et is spent directly on asthma</w:t>
      </w:r>
      <w:r w:rsidRPr="002218FE">
        <w:rPr>
          <w:rFonts w:cs="Arial"/>
        </w:rPr>
        <w:t xml:space="preserve">, the majority of which is </w:t>
      </w:r>
      <w:r>
        <w:rPr>
          <w:rFonts w:cs="Arial"/>
        </w:rPr>
        <w:t>due</w:t>
      </w:r>
      <w:r w:rsidRPr="002218FE">
        <w:rPr>
          <w:rFonts w:cs="Arial"/>
        </w:rPr>
        <w:t xml:space="preserve"> to </w:t>
      </w:r>
      <w:r>
        <w:rPr>
          <w:rFonts w:cs="Arial"/>
        </w:rPr>
        <w:t>medication</w:t>
      </w:r>
      <w:r w:rsidRPr="002218FE">
        <w:rPr>
          <w:rFonts w:cs="Arial"/>
        </w:rPr>
        <w:t xml:space="preserve">; an additional </w:t>
      </w:r>
      <w:r>
        <w:rPr>
          <w:rFonts w:cs="Arial"/>
        </w:rPr>
        <w:t>£800 million</w:t>
      </w:r>
      <w:r w:rsidRPr="002218FE">
        <w:rPr>
          <w:rFonts w:cs="Arial"/>
        </w:rPr>
        <w:t xml:space="preserve"> is spent directly on COPD.</w:t>
      </w:r>
    </w:p>
    <w:p w:rsidR="00E34CAB" w:rsidRDefault="00E34CAB" w:rsidP="00E34CAB">
      <w:pPr>
        <w:jc w:val="both"/>
        <w:rPr>
          <w:rFonts w:cs="Arial"/>
        </w:rPr>
      </w:pPr>
      <w:r>
        <w:rPr>
          <w:rFonts w:cs="Arial"/>
        </w:rPr>
        <w:t>P</w:t>
      </w:r>
      <w:r w:rsidRPr="002218FE">
        <w:rPr>
          <w:rFonts w:cs="Arial"/>
        </w:rPr>
        <w:t>harmaceutical companies have made huge investments in the development of new inhaled medications, resulting in the availabilit</w:t>
      </w:r>
      <w:r>
        <w:rPr>
          <w:rFonts w:cs="Arial"/>
        </w:rPr>
        <w:t>y</w:t>
      </w:r>
      <w:r w:rsidR="00B11141">
        <w:rPr>
          <w:rFonts w:cs="Arial"/>
        </w:rPr>
        <w:t xml:space="preserve"> of over 200 different products;</w:t>
      </w:r>
      <w:r>
        <w:rPr>
          <w:rFonts w:cs="Arial"/>
        </w:rPr>
        <w:t xml:space="preserve"> expiration of many patents have led to the growth of generic products.</w:t>
      </w:r>
      <w:r w:rsidRPr="002218FE">
        <w:rPr>
          <w:rFonts w:cs="Arial"/>
        </w:rPr>
        <w:t xml:space="preserve"> </w:t>
      </w:r>
      <w:r>
        <w:rPr>
          <w:rFonts w:cs="Arial"/>
        </w:rPr>
        <w:t>Nonetheless,</w:t>
      </w:r>
      <w:r w:rsidRPr="002218FE">
        <w:rPr>
          <w:rFonts w:cs="Arial"/>
        </w:rPr>
        <w:t xml:space="preserve"> markets become dominated by only a few inhalers, even when</w:t>
      </w:r>
      <w:r>
        <w:rPr>
          <w:rFonts w:cs="Arial"/>
        </w:rPr>
        <w:t xml:space="preserve"> cheaper</w:t>
      </w:r>
      <w:r w:rsidRPr="002218FE">
        <w:rPr>
          <w:rFonts w:cs="Arial"/>
        </w:rPr>
        <w:t xml:space="preserve"> </w:t>
      </w:r>
      <w:r>
        <w:rPr>
          <w:rFonts w:cs="Arial"/>
        </w:rPr>
        <w:t>equivalent</w:t>
      </w:r>
      <w:r w:rsidRPr="002218FE">
        <w:rPr>
          <w:rFonts w:cs="Arial"/>
        </w:rPr>
        <w:t xml:space="preserve"> product</w:t>
      </w:r>
      <w:r>
        <w:rPr>
          <w:rFonts w:cs="Arial"/>
        </w:rPr>
        <w:t>s</w:t>
      </w:r>
      <w:r w:rsidRPr="002218FE">
        <w:rPr>
          <w:rFonts w:cs="Arial"/>
        </w:rPr>
        <w:t xml:space="preserve"> </w:t>
      </w:r>
      <w:r>
        <w:rPr>
          <w:rFonts w:cs="Arial"/>
        </w:rPr>
        <w:t>are available</w:t>
      </w:r>
      <w:r w:rsidRPr="002218FE">
        <w:rPr>
          <w:rFonts w:cs="Arial"/>
        </w:rPr>
        <w:t xml:space="preserve">. </w:t>
      </w:r>
      <w:r>
        <w:rPr>
          <w:rFonts w:cs="Arial"/>
        </w:rPr>
        <w:t>Randomised controlled trials</w:t>
      </w:r>
      <w:r w:rsidRPr="002218FE">
        <w:rPr>
          <w:rFonts w:cs="Arial"/>
        </w:rPr>
        <w:t xml:space="preserve"> have demonstrated that switching inhalers between specified equivalent products results in comparable</w:t>
      </w:r>
      <w:r>
        <w:rPr>
          <w:rFonts w:cs="Arial"/>
        </w:rPr>
        <w:t xml:space="preserve"> effectiveness</w:t>
      </w:r>
      <w:r w:rsidRPr="002218FE">
        <w:rPr>
          <w:rFonts w:cs="Arial"/>
        </w:rPr>
        <w:fldChar w:fldCharType="begin" w:fldLock="1"/>
      </w:r>
      <w:r w:rsidR="00142535">
        <w:rPr>
          <w:rFonts w:cs="Arial"/>
        </w:rPr>
        <w:instrText>ADDIN CSL_CITATION {"citationItems":[{"id":"ITEM-1","itemData":{"DOI":"10.1056/NEJMoa1303342","ISSN":"0028-4793","PMID":"23992515","abstract":"BACKGROUND Tiotropium delivered at a dose of 5 μg with the Respimat inhaler showed efficacy similar to that of 18 μg of tiotropium delivered with the HandiHaler inhalation device in placebo-controlled trials involving patients with chronic obstructive pulmonary disease (COPD). Although tiotropium HandiHaler was associated with reduced mortality, as compared with placebo, more deaths were reported with tiotropium Respimat than with placebo. METHODS In this randomized, double-blind, parallel-group trial involving 17,135 patients with COPD, we evaluated the safety and efficacy of tiotropium Respimat at a once-daily dose of 2.5 μg or 5 μg, as compared with tiotropium HandiHaler at a once-daily dose of 18 μg. Primary end points were the risk of death (noninferiority study, Respimat at a dose of 5 μg or 2.5 μg vs. HandiHaler) and the risk of the first COPD exacerbation (superiority study, Respimat at a dose of 5 μg vs. HandiHaler). We also assessed cardiovascular safety, including safety in patients with stable cardiac disease. RESULTS During a mean follow-up of 2.3 years, Respimat was noninferior to HandiHaler with respect to the risk of death (Respimat at a dose of 5 μg vs. HandiHaler: hazard ratio, 0.96; 95% confidence interval [CI], 0.84 to 1.09; Respimat at a dose of 2.5 μg vs. HandiHaler: hazard ratio, 1.00; 95% CI, 0.87 to 1.14) and not superior to HandiHaler with respect to the risk of the first exacerbation (Respimat at a dose of 5 μg vs. HandiHaler: hazard ratio, 0.98; 95% CI, 0.93 to 1.03). Causes of death and incidences of major cardiovascular adverse events were similar in the three groups. CONCLUSIONS Tiotropium Respimat at a dose of 5 μg or 2.5 μg had a safety profile and exacerbation efficacy similar to those of tiotropium HandiHaler at a dose of 18 μg in patients with COPD. (Funded by Boehringer Ingelheim; TIOSPIR ClinicalTrials.gov number, NCT01126437.).","author":[{"dropping-particle":"","family":"Wise","given":"Robert A.","non-dropping-particle":"","parse-names":false,"suffix":""},{"dropping-particle":"","family":"Anzueto","given":"Antonio","non-dropping-particle":"","parse-names":false,"suffix":""},{"dropping-particle":"","family":"Cotton","given":"Daniel","non-dropping-particle":"","parse-names":false,"suffix":""},{"dropping-particle":"","family":"Dahl","given":"Ronald","non-dropping-particle":"","parse-names":false,"suffix":""},{"dropping-particle":"","family":"Devins","given":"Theresa","non-dropping-particle":"","parse-names":false,"suffix":""},{"dropping-particle":"","family":"Disse","given":"Bernd","non-dropping-particle":"","parse-names":false,"suffix":""},{"dropping-particle":"","family":"Dusser","given":"Daniel","non-dropping-particle":"","parse-names":false,"suffix":""},{"dropping-particle":"","family":"Joseph","given":"Elizabeth","non-dropping-particle":"","parse-names":false,"suffix":""},{"dropping-particle":"","family":"Kattenbeck","given":"Sabine","non-dropping-particle":"","parse-names":false,"suffix":""},{"dropping-particle":"","family":"Koenen-Bergmann","given":"Michael","non-dropping-particle":"","parse-names":false,"suffix":""},{"dropping-particle":"","family":"Pledger","given":"Gordon","non-dropping-particle":"","parse-names":false,"suffix":""},{"dropping-particle":"","family":"Calverley","given":"Peter","non-dropping-particle":"","parse-names":false,"suffix":""},{"dropping-particle":"","family":"TIOSPIR Investigators","given":"","non-dropping-particle":"","parse-names":false,"suffix":""}],"container-title":"New England Journal of Medicine","id":"ITEM-1","issue":"16","issued":{"date-parts":[["2013","10","17"]]},"page":"1491-1501","title":"Tiotropium Respimat Inhaler and the Risk of Death in COPD","type":"article-journal","volume":"369"},"uris":["http://www.mendeley.com/documents/?uuid=86bdb971-4a0f-3035-b30a-8d1111536733"]},{"id":"ITEM-2","itemData":{"DOI":"10.1002/14651858.CD004106.pub4","ISSN":"1469-493X","PMID":"22161385","abstract":"BACKGROUND Long-acting beta-agonists are a common second line treatment in people with asthma inadequately controlled with inhaled corticosteroids. Single device inhalers combine a long-acting beta-agonist with an inhaled steroid delivering both drugs as a maintenance treatment regimen. This updated review compares two fixed-dose options, fluticasone/salmeterol FP/SALand budesonide/formoterol, since this comparison represents a common therapeutic choice. OBJECTIVES To assess the relative effects of fluticasone/salmeterol and budesonide/formoterol in people with asthma. SEARCH METHODS We searched the Cochrane Airways Group register of trials with prespecified terms. We performed additional hand searching of manufacturers' web sites and online trial registries. Search results are current to June 2011. SELECTION CRITERIA We included randomised studies comparing fixed dose fluticasone/salmeterol and budesonide/formoterol in adults or children with a diagnosis of asthma. Treatment in the studies had to last for a minimum of 12 weeks. DATA COLLECTION AND ANALYSIS Two authors independently assessed studies for inclusion in the review. We combined continuous data outcomes with a mean difference (MD), and dichotomous data outcomes with an odds ratio (OR). We assessed the quality of the evidence using the Grading of Recommendations Assessment, Development and Evaluation (GRADE) system. MAIN RESULTS Five studies met the review entry criteria (5537 adults). Study populations entered the studies having previously been treated with inhaled steroids and had moderate or mild airway obstruction (mean FEV(1) predicted between 65% and 84% at baseline). Most of the studies assessed treatment over a period of six months. The studies were at a low risk of selection and performance/detection bias, although we could not determine whether missing data had an impact on the results. Availablility of outcome data was satisfactory.Primary outcomesThe odds ratio for exacerbations requiring oral steroids was lower with fluticasone/salmeterol but did not reach statistical significance (OR 0.89, 95% confidence interval (CI) 0.74 to 1.07, four studies, N = 4949). With an assumed risk with budesonide/formoterol of 106/1000 participants requiring oral steroids, treatment with fluticasone/salmeterol would lead to between 25 fewer and seven more people per 1000 experiencing a course of oral steroids. Although the odds of hospital admission was higher with fluticasone/salmeterol, this did no…","author":[{"dropping-particle":"","family":"Lasserson","given":"Toby J","non-dropping-particle":"","parse-names":false,"suffix":""},{"dropping-particle":"","family":"Ferrara","given":"Giovanni","non-dropping-particle":"","parse-names":false,"suffix":""},{"dropping-particle":"","family":"Casali","given":"Lucio","non-dropping-particle":"","parse-names":false,"suffix":""}],"container-title":"The Cochrane database of systematic reviews","id":"ITEM-2","issue":"12","issued":{"date-parts":[["2011","12","7"]]},"page":"CD004106","title":"Combination fluticasone and salmeterol versus fixed dose combination budesonide and formoterol for chronic asthma in adults and children.","type":"article-journal"},"uris":["http://www.mendeley.com/documents/?uuid=12e2cedf-5fe1-3a96-8fc9-67dcb26b3634"]}],"mendeley":{"formattedCitation":"(3,4)","plainTextFormattedCitation":"(3,4)","previouslyFormattedCitation":"(3,4)"},"properties":{"noteIndex":0},"schema":"https://github.com/citation-style-language/schema/raw/master/csl-citation.json"}</w:instrText>
      </w:r>
      <w:r w:rsidRPr="002218FE">
        <w:rPr>
          <w:rFonts w:cs="Arial"/>
        </w:rPr>
        <w:fldChar w:fldCharType="separate"/>
      </w:r>
      <w:r w:rsidR="001A0AD4" w:rsidRPr="001A0AD4">
        <w:rPr>
          <w:rFonts w:cs="Arial"/>
          <w:noProof/>
        </w:rPr>
        <w:t>(3,4)</w:t>
      </w:r>
      <w:r w:rsidRPr="002218FE">
        <w:rPr>
          <w:rFonts w:cs="Arial"/>
        </w:rPr>
        <w:fldChar w:fldCharType="end"/>
      </w:r>
      <w:r>
        <w:rPr>
          <w:rFonts w:cs="Arial"/>
        </w:rPr>
        <w:t>. However</w:t>
      </w:r>
      <w:r w:rsidRPr="002218FE">
        <w:rPr>
          <w:rFonts w:cs="Arial"/>
        </w:rPr>
        <w:t>, trials have optimised participant’s inhaler technique and encourage</w:t>
      </w:r>
      <w:r>
        <w:rPr>
          <w:rFonts w:cs="Arial"/>
        </w:rPr>
        <w:t>d</w:t>
      </w:r>
      <w:r w:rsidRPr="002218FE">
        <w:rPr>
          <w:rFonts w:cs="Arial"/>
        </w:rPr>
        <w:t xml:space="preserve"> high levels of adherence, which does not reflect everyday clinical practice</w:t>
      </w:r>
      <w:r>
        <w:rPr>
          <w:rFonts w:cs="Arial"/>
        </w:rPr>
        <w:t xml:space="preserve"> and</w:t>
      </w:r>
      <w:r w:rsidRPr="002218FE">
        <w:rPr>
          <w:rFonts w:cs="Arial"/>
        </w:rPr>
        <w:t xml:space="preserve"> most </w:t>
      </w:r>
      <w:r>
        <w:rPr>
          <w:rFonts w:cs="Arial"/>
        </w:rPr>
        <w:t>respiratory pa</w:t>
      </w:r>
      <w:r w:rsidRPr="002218FE">
        <w:rPr>
          <w:rFonts w:cs="Arial"/>
        </w:rPr>
        <w:t>tients do not meet typical trial eligibility criteria</w:t>
      </w:r>
      <w:r w:rsidRPr="002218FE">
        <w:rPr>
          <w:rFonts w:cs="Arial"/>
        </w:rPr>
        <w:fldChar w:fldCharType="begin" w:fldLock="1"/>
      </w:r>
      <w:r w:rsidR="00142535">
        <w:rPr>
          <w:rFonts w:cs="Arial"/>
        </w:rPr>
        <w:instrText>ADDIN CSL_CITATION {"citationItems":[{"id":"ITEM-1","itemData":{"DOI":"10.1136/thx.2006.066837","ISSN":"0040-6376","PMID":"17105779","abstract":"BACKGROUND Asthma is a heterogeneous disease with a wide range of clinical phenotypes, not all of which may be encompassed in the subjects included in randomised controlled trials (RCTs). This makes it difficult for clinicians to know to what extent the evidence derived from RCTs applies to a given patient. AIM To calculate the proportion of individuals with asthma who would have been eligible for the major asthma RCTs from the data of a random community survey of respiratory health. METHODS A postal survey was sent to 3500 randomly selected individuals aged 25-75 years. Respondents were invited to complete a detailed respiratory questionnaire and pulmonary function testing. Participants with current asthma were assessed against the eligibility criteria of the 17 major asthma RCTs cited in the Global Initiative for Asthma (GINA) guidelines. FINDINGS A total of 749 participants completed the full survey, of whom 179 had current asthma. A median 4% of participants with current asthma (range 0-36%) met the eligibility criteria for the included RCTs. A median 6% (range 0-43%) of participants with current asthma on treatment met the eligibility criteria. INTERPRETATION This study shows that the major asthma RCTs on which the GINA guidelines are based may have limited external validity as they have been performed on highly selected patient populations. Most of the participants with current asthma on treatment in the community would not have been eligible for these RCTs.","author":[{"dropping-particle":"","family":"Travers","given":"Justin","non-dropping-particle":"","parse-names":false,"suffix":""},{"dropping-particle":"","family":"Marsh","given":"Suzanne","non-dropping-particle":"","parse-names":false,"suffix":""},{"dropping-particle":"","family":"Williams","given":"Mathew","non-dropping-particle":"","parse-names":false,"suffix":""},{"dropping-particle":"","family":"Weatherall","given":"Mark","non-dropping-particle":"","parse-names":false,"suffix":""},{"dropping-particle":"","family":"Caldwell","given":"Brent","non-dropping-particle":"","parse-names":false,"suffix":""},{"dropping-particle":"","family":"Shirtcliffe","given":"Philippa","non-dropping-particle":"","parse-names":false,"suffix":""},{"dropping-particle":"","family":"Aldington","given":"Sarah","non-dropping-particle":"","parse-names":false,"suffix":""},{"dropping-particle":"","family":"Beasley","given":"Richard","non-dropping-particle":"","parse-names":false,"suffix":""}],"container-title":"Thorax","id":"ITEM-1","issue":"3","issued":{"date-parts":[["2007","3"]]},"page":"219-23","title":"External validity of randomised controlled trials in asthma: to whom do the results of the trials apply?","type":"article-journal","volume":"62"},"uris":["http://www.mendeley.com/documents/?uuid=c76749c2-2133-3210-9b15-2db4bd974c2d"]},{"id":"ITEM-2","itemData":{"DOI":"10.1016/j.rmed.2006.10.011","ISSN":"09546111","PMID":"17113277","abstract":"BACKGROUND COPD is a heterogeneous disease comprising a wide range of clinical phenotypes, depending on the degree to which emphysema, chronic bronchitis, reversible bronchospasm and small airways inflammation are present. Not all of these phenotypes may be represented among the subjects included in randomized controlled drug trials (RCTs) in COPD, making it difficult for doctors to know to what extent RCT evidence applies to individual patients. From a respiratory health survey of adults randomly selected from the community, we have estimated the proportion of subjects with COPD who would have been eligible for inclusion in major COPD RCTs. METHODS A postal survey was sent to 3500 randomly selected individuals aged 25-75 years. Respondents were invited to complete a detailed respiratory questionnaire and pulmonary function tests. Subjects with COPD defined by post-bronchodilator spirometry were assessed against the eligibility criteria of 18 major RCTs cited in the Global Initiative for Chronic Obstructive Lung Disease (GOLD) guidelines. FINDINGS Of 749 subjects completing the full survey, 117 had COPD. Of these, a median of 5% (range 0-20%) of subjects met inclusion criteria for the major RCTs. Of 55 subjects with COPD receiving treatment, 0-9% (median 5%) met inclusion criteria for the major RCTs. INTERPRETATION The major COPD RCTs on which the GOLD treatment guidelines are based may have limited external validity. Over 90% of the COPD subjects in the community who were taking medication, did so on the basis of RCTs for which they would not have been eligible.","author":[{"dropping-particle":"","family":"Travers","given":"Justin","non-dropping-particle":"","parse-names":false,"suffix":""},{"dropping-particle":"","family":"Marsh","given":"Suzanne","non-dropping-particle":"","parse-names":false,"suffix":""},{"dropping-particle":"","family":"Caldwell","given":"Brent","non-dropping-particle":"","parse-names":false,"suffix":""},{"dropping-particle":"","family":"Williams","given":"Mathew","non-dropping-particle":"","parse-names":false,"suffix":""},{"dropping-particle":"","family":"Aldington","given":"Sarah","non-dropping-particle":"","parse-names":false,"suffix":""},{"dropping-particle":"","family":"Weatherall","given":"Mark","non-dropping-particle":"","parse-names":false,"suffix":""},{"dropping-particle":"","family":"Shirtcliffe","given":"Philippa","non-dropping-particle":"","parse-names":false,"suffix":""},{"dropping-particle":"","family":"Beasley","given":"Richard","non-dropping-particle":"","parse-names":false,"suffix":""}],"container-title":"Respiratory Medicine","id":"ITEM-2","issue":"6","issued":{"date-parts":[["2007","6"]]},"page":"1313-1320","title":"External validity of randomized controlled trials in COPD","type":"article-journal","volume":"101"},"uris":["http://www.mendeley.com/documents/?uuid=5b557d20-4a91-3fa6-b36f-c37d4512d0c6"]}],"mendeley":{"formattedCitation":"(5,6)","plainTextFormattedCitation":"(5,6)","previouslyFormattedCitation":"(5,6)"},"properties":{"noteIndex":0},"schema":"https://github.com/citation-style-language/schema/raw/master/csl-citation.json"}</w:instrText>
      </w:r>
      <w:r w:rsidRPr="002218FE">
        <w:rPr>
          <w:rFonts w:cs="Arial"/>
        </w:rPr>
        <w:fldChar w:fldCharType="separate"/>
      </w:r>
      <w:r w:rsidR="001A0AD4" w:rsidRPr="001A0AD4">
        <w:rPr>
          <w:rFonts w:cs="Arial"/>
          <w:noProof/>
        </w:rPr>
        <w:t>(5,6)</w:t>
      </w:r>
      <w:r w:rsidRPr="002218FE">
        <w:rPr>
          <w:rFonts w:cs="Arial"/>
        </w:rPr>
        <w:fldChar w:fldCharType="end"/>
      </w:r>
      <w:r w:rsidRPr="002218FE">
        <w:rPr>
          <w:rFonts w:cs="Arial"/>
        </w:rPr>
        <w:t xml:space="preserve">. </w:t>
      </w:r>
      <w:r>
        <w:rPr>
          <w:rFonts w:cs="Arial"/>
        </w:rPr>
        <w:t xml:space="preserve">There is a paucity of </w:t>
      </w:r>
      <w:r w:rsidRPr="002218FE">
        <w:rPr>
          <w:rFonts w:cs="Arial"/>
        </w:rPr>
        <w:t xml:space="preserve">real-world studies </w:t>
      </w:r>
      <w:r>
        <w:rPr>
          <w:rFonts w:cs="Arial"/>
        </w:rPr>
        <w:t>assessing health outcomes after switching patients to an equivalent inhaler, furthermore, no study has specifically addressed switching for financial gain</w:t>
      </w:r>
      <w:r w:rsidRPr="002218FE">
        <w:rPr>
          <w:rFonts w:cs="Arial"/>
        </w:rPr>
        <w:fldChar w:fldCharType="begin" w:fldLock="1"/>
      </w:r>
      <w:r w:rsidR="00142535">
        <w:rPr>
          <w:rFonts w:cs="Arial"/>
        </w:rPr>
        <w:instrText>ADDIN CSL_CITATION {"citationItems":[{"id":"ITEM-1","itemData":{"DOI":"10.1080/02770903.2017.1396468","ISSN":"0277-0903","abstract":"ABSTRACTBackground: The expiration of patents of brand inhalation medications and the ongoing pressure on healthcare budgets resulted in a growing market for generics. Aim: To study the use of brand and generic inhalation medication and the frequency of switching between brand and generic and between devices. In addition, we investigated whether switching affected adherence. Methods: From dispensing data from the Dutch PHARMO Database Network a cohort aged ≥ 5 years, using ≥ 1 year of inhalation medication between 2003 and 2012 was selected. Switching was defined as changing from brand to generic or vice versa. In addition, we studied change in aerosol delivery device type (e.g., DPI, pMDI, and nebulizers). Adherence was calculated using the medication possession ratio (MPR). Results: The total cohort comprised 70,053 patients with 1,604,488 dispensations. Per calendar year, 5% switched between brand and generic inhalation medication and 5% switched between devices. Median MPRs over the first 12 months ra...","author":[{"dropping-particle":"","family":"Engelkes","given":"Marjolein","non-dropping-particle":"","parse-names":false,"suffix":""},{"dropping-particle":"","family":"Blijderveen","given":"Jan C.","non-dropping-particle":"van","parse-names":false,"suffix":""},{"dropping-particle":"","family":"Overbeek","given":"Jetty A.","non-dropping-particle":"","parse-names":false,"suffix":""},{"dropping-particle":"","family":"Kuiper","given":"Josephine","non-dropping-particle":"","parse-names":false,"suffix":""},{"dropping-particle":"","family":"Herings","given":"Ron C. M.","non-dropping-particle":"","parse-names":false,"suffix":""},{"dropping-particle":"","family":"Sturkenboom","given":"Miriam C. J. M.","non-dropping-particle":"","parse-names":false,"suffix":""},{"dropping-particle":"","family":"Jongste","given":"Johan C.","non-dropping-particle":"de","parse-names":false,"suffix":""},{"dropping-particle":"","family":"Verhamme","given":"Katia M. C.","non-dropping-particle":"","parse-names":false,"suffix":""},{"dropping-particle":"","family":"Janssens","given":"Hettie M.","non-dropping-particle":"","parse-names":false,"suffix":""}],"container-title":"Journal of Asthma","id":"ITEM-1","issued":{"date-parts":[["2017","11","29"]]},"page":"1-9","publisher":"Taylor &amp; Francis","title":"Brand and generic use of inhalation medication and frequency of switching in children and adults: A population-based cohort study","type":"article-journal"},"uris":["http://www.mendeley.com/documents/?uuid=0080df15-d253-3852-a64b-d63990781591"]},{"id":"ITEM-2","itemData":{"DOI":"10.2147/JAA.S59386","ISSN":"1178-6965","PMID":"24748807","abstract":"PURPOSE To investigate the clinical and cost effectiveness of switching real-life asthma patients from other types of inhalers to the Easyhaler(®) (EH) for the administration of inhaled corticosteroids (ICS). PATIENTS AND METHODS Historical, matched-cohort study of 1,958 asthma patients (children and adults) treated in UK primary-care practices, using data obtained from the Optimum Patient Care Research Database and Clinical Practice Research Datalink. Other inhalers (OH) included pressurized metered-dose inhalers, breath-actuated inhalers, and dry-powder inhalers, delivering beclomethasone, budesonide, fluticasone, or ciclesonide. Patients remaining on OH unchanged (same drug, dosage, and device; n=979) were matched 1:1 with those switched to the EH (beclomethasone or budesonide) at the same or lower ICS dosage (n=979), based on age, sex, year of index patient review/switch, most recent ICS drug, dosage, and device, and the number of severe exacerbations and average daily short-acting β2 agonist (SABA) dosage in the preceding year. Clinical outcomes and health care costs were compared between groups for 12 months before and after the switch. Co-primary clinical outcomes were: 1) risk domain asthma control (RDAC) - no asthma-related hospitalization, acute oral steroid use, or lower respiratory tract infection (LRTI); 2) exacerbation rate (American Thoracic Society [ATS] definition) - where exacerbation is asthma-related hospitalization or acute oral steroid use; 3) exacerbation rate (clinical definition) - where exacerbation is ATS exacerbation or LRTI; and 4) overall asthma control (OAC) - RDAC plus average salbutamol-equivalent SABA dosage ≤200 μg/day. Non-inferiority (at least equivalence) of EH was tested against OH for the four co-primary outcomes in order (hierarchical approach) by comparing the difference in proportions of patients [EH-OH] achieving asthma control or having no exacerbations in the outcome year, using a limit of 10% difference. RESULTS Non-inferiority was shown for the EH for all four co-primary outcomes. There were no significant differences between groups for RDAC or exacerbation rates, but EH patients were significantly more likely to achieve OAC (adjusted odds ratio [95% confidence interval]: 1.26 [1.05, 1.52]), as significantly more EH than OH patients had an average SABA dosage of ≤200 μg/day (52% versus 47%, respectively; P&lt;0.001). Mean asthma-related health care costs increased from baseline to outcome years in both groups…","author":[{"dropping-particle":"","family":"King","given":"Christine","non-dropping-particle":"","parse-names":false,"suffix":""},{"dropping-particle":"","family":"Price","given":"David","non-dropping-particle":"","parse-names":false,"suffix":""},{"dropping-particle":"","family":"Thomas","given":"Vicky","non-dropping-particle":"","parse-names":false,"suffix":""},{"dropping-particle":"","family":"Ziegenweidt","given":"Julie","non-dropping-particle":"von","parse-names":false,"suffix":""},{"dropping-particle":"","family":"Gould","given":"Shuna","non-dropping-particle":"","parse-names":false,"suffix":""},{"dropping-particle":"","family":"Hutton","given":"Catherine","non-dropping-particle":"","parse-names":false,"suffix":""}],"container-title":"Journal of Asthma and Allergy","id":"ITEM-2","issued":{"date-parts":[["2014","4"]]},"page":"31","title":"Switching patients from other inhaled corticosteroid devices to the Easyhaler: historical, matched-cohort study of real-life asthma patients","type":"article-journal","volume":"7"},"uris":["http://www.mendeley.com/documents/?uuid=a9ffc512-ccf1-3dbd-aa53-1c8cbe8c488d"]},{"id":"ITEM-3","itemData":{"DOI":"10.2147/COPD.S73521","ISSN":"1178-2005","PMID":"25609941","abstract":"BACKGROUND Tiotropium (Spiriva) is an inhaled muscarinic antagonist for patients with chronic obstructive pulmonary disease (COPD), and is available in two forms: the HandiHaler and the Respimat inhaler. The aim of this study was to investigate the handling of and preference for each device immediately after switching from the HandiHaler to the Respimat and 2-3 years after the switch. MATERIALS AND METHODS The study comprised two surveys. A questionnaire was first administered to 57 patients with COPD (male:female 52:5, mean age 73.6±7.1 years) 8 weeks after switching from the HandiHaler (18 μg) to the Respimat (5 μg). A second similar but simplified questionnaire was administered to 39 of these patients who continued to use the Respimat and were available for follow-up after more than 2 years. Pulmonary function was also measured during each period. RESULTS In the first survey, 17.5% of patients preferred the HandiHaler, and 45.6% preferred the Respimat. There were no significant changes in pulmonary function or in the incidence of adverse events after the switch. In the second survey, performed 2-3 years later, the self-assessed handling of the Respimat had significantly improved, and the number of patients who preferred the Respimat had increased to 79.5%. CONCLUSION The efficacy of the Respimat was similar to that of the HandiHaler. This was clear immediately after the switch, even in elderly patients with COPD who were long-term users of the HandiHaler. The preference for the Respimat increased with continued use.","author":[{"dropping-particle":"","family":"Hanada","given":"Soichiro","non-dropping-particle":"","parse-names":false,"suffix":""},{"dropping-particle":"","family":"Wada","given":"Shota","non-dropping-particle":"","parse-names":false,"suffix":""},{"dropping-particle":"","family":"Ohno","given":"Takeshi","non-dropping-particle":"","parse-names":false,"suffix":""},{"dropping-particle":"","family":"Sawaguchi","given":"Hirochiyo","non-dropping-particle":"","parse-names":false,"suffix":""},{"dropping-particle":"","family":"Muraki","given":"Masato","non-dropping-particle":"","parse-names":false,"suffix":""},{"dropping-particle":"","family":"Tohda","given":"Yuji","non-dropping-particle":"","parse-names":false,"suffix":""}],"container-title":"International journal of chronic obstructive pulmonary disease","id":"ITEM-3","issued":{"date-parts":[["2015"]]},"page":"69-77","publisher":"Dove Press","title":"Questionnaire on switching from the tiotropium HandiHaler to the Respimat inhaler in patients with chronic obstructive pulmonary disease: changes in handling and preferences immediately and several years after the switch.","type":"article-journal","volume":"10"},"uris":["http://www.mendeley.com/documents/?uuid=e01c951b-9799-336a-a004-16db9a0cdf8b"]},{"id":"ITEM-4","itemData":{"DOI":"10.4104/pcrj.2013.00088","ISSN":"1475-1534","PMID":"24186700","abstract":"BACKGROUND Efficacy trials suggest that extra-fine particle beclometasone dipropionate-formoterol (efBDP-FOR) is comparable to fluticasone propionate-salmeterol (FP-SAL) in preventing asthma exacerbations at a clinically equivalent dosage. However, switching from FP-SAL to efBDP-FOR has not been evaluated in real-world asthma patients. AIMS The REACH (Real-world Effectiveness in Asthma therapy of Combination inHalers) study investigated the clinical and cost effectiveness of switching typical asthma patients from FP-SAL to efBDP-FOR. METHODS A retrospective matched (1:3) observational study of 1,528 asthma patients aged 18-80 years from clinical practice databases was performed. Patients remaining on FP-SAL (n=1,146) were compared with those switched to efBDP-FOR at an equivalent or lower inhaled corticosteroid (ICS) dosage (n=382). Clinical and economic outcomes were compared between groups for the year before and after the switch. Non-inferiority (at least equivalence) of efBDP-FOR was tested against FP-SAL by comparing exacerbation rates during the outcome year. RESULTS efBDP-FOR was non-inferior to FP-SAL (adjusted exacerbation rate ratio 1.01 (95% CI 0.74 to 1.37)). Switching to efBDP-FOR resulted in significantly better (p&lt;0.05) odds of achieving overall asthma control (no asthma-related hospitalisations, bronchial infections, or acute oral steroids; salbutamol ≤200μg/day) and lower daily short-acting β2-agonist usage at a lower daily ICS dosage (mean -130μg/day FP equivalents; p&lt;0.001). It also reduced mean asthma-related healthcare costs by £93.63/patient/year (p&lt;0.001). CONCLUSIONS Asthma patients may be switched from FP-SAL to efBDP-FOR at an equivalent or lower ICS dosage with no reduction in clinical effectiveness but a significant reduction in cost.","author":[{"dropping-particle":"","family":"Price","given":"David","non-dropping-particle":"","parse-names":false,"suffix":""},{"dropping-particle":"","family":"Small","given":"Iain","non-dropping-particle":"","parse-names":false,"suffix":""},{"dropping-particle":"","family":"Haughney","given":"John","non-dropping-particle":"","parse-names":false,"suffix":""},{"dropping-particle":"","family":"Ryan","given":"Dermot","non-dropping-particle":"","parse-names":false,"suffix":""},{"dropping-particle":"","family":"Gruffydd-Jones","given":"Kevin","non-dropping-particle":"","parse-names":false,"suffix":""},{"dropping-particle":"","family":"Lavorini","given":"Federico","non-dropping-particle":"","parse-names":false,"suffix":""},{"dropping-particle":"","family":"Harris","given":"Tim","non-dropping-particle":"","parse-names":false,"suffix":""},{"dropping-particle":"","family":"Burden","given":"Annie","non-dropping-particle":"","parse-names":false,"suffix":""},{"dropping-particle":"","family":"Brockman","given":"Jeremy","non-dropping-particle":"","parse-names":false,"suffix":""},{"dropping-particle":"","family":"King","given":"Christine","non-dropping-particle":"","parse-names":false,"suffix":""},{"dropping-particle":"","family":"Papi","given":"Alberto","non-dropping-particle":"","parse-names":false,"suffix":""}],"container-title":"Primary care respiratory journal : journal of the General Practice Airways Group","id":"ITEM-4","issue":"4","issued":{"date-parts":[["2013","12","2"]]},"page":"439-48","title":"Clinical and cost effectiveness of switching asthma patients from fluticasone-salmeterol to extra-fine particle beclometasone-formoterol: a retrospective matched observational study of real-world patients.","type":"article-journal","volume":"22"},"uris":["http://www.mendeley.com/documents/?uuid=fba3b1bc-5450-3358-9b2d-332c6c5ad25b"]},{"id":"ITEM-5","itemData":{"DOI":"10.1186/1471-2466-9-1","ISSN":"1471-2466","author":[{"dropping-particle":"","family":"Thomas","given":"Mike","non-dropping-particle":"","parse-names":false,"suffix":""},{"dropping-particle":"","family":"Price","given":"David","non-dropping-particle":"","parse-names":false,"suffix":""},{"dropping-particle":"","family":"Chrystyn","given":"Henry","non-dropping-particle":"","parse-names":false,"suffix":""},{"dropping-particle":"","family":"Lloyd","given":"Andrew","non-dropping-particle":"","parse-names":false,"suffix":""},{"dropping-particle":"","family":"Williams","given":"Angela E","non-dropping-particle":"","parse-names":false,"suffix":""},{"dropping-particle":"","family":"Ziegenweidt","given":"Julie","non-dropping-particle":"von","parse-names":false,"suffix":""}],"container-title":"BMC Pulmonary Medicine","id":"ITEM-5","issue":"1","issued":{"date-parts":[["2009","12","2"]]},"page":"1","title":"Inhaled corticosteroids for asthma: impact of practice level device switching on asthma control","type":"article-journal","volume":"9"},"uris":["http://www.mendeley.com/documents/?uuid=e2bc296c-aa5a-3e7b-87b6-62da486b7bae"]}],"mendeley":{"formattedCitation":"(7–11)","plainTextFormattedCitation":"(7–11)","previouslyFormattedCitation":"(7–11)"},"properties":{"noteIndex":0},"schema":"https://github.com/citation-style-language/schema/raw/master/csl-citation.json"}</w:instrText>
      </w:r>
      <w:r w:rsidRPr="002218FE">
        <w:rPr>
          <w:rFonts w:cs="Arial"/>
        </w:rPr>
        <w:fldChar w:fldCharType="separate"/>
      </w:r>
      <w:r w:rsidR="001A0AD4" w:rsidRPr="001A0AD4">
        <w:rPr>
          <w:rFonts w:cs="Arial"/>
          <w:noProof/>
        </w:rPr>
        <w:t>(7–11)</w:t>
      </w:r>
      <w:r w:rsidRPr="002218FE">
        <w:rPr>
          <w:rFonts w:cs="Arial"/>
        </w:rPr>
        <w:fldChar w:fldCharType="end"/>
      </w:r>
      <w:r w:rsidRPr="002218FE">
        <w:rPr>
          <w:rFonts w:cs="Arial"/>
        </w:rPr>
        <w:t>.</w:t>
      </w:r>
    </w:p>
    <w:p w:rsidR="00E34CAB" w:rsidRDefault="00E34CAB" w:rsidP="00E34CAB">
      <w:pPr>
        <w:jc w:val="both"/>
        <w:rPr>
          <w:rFonts w:cs="Arial"/>
        </w:rPr>
      </w:pPr>
      <w:r>
        <w:rPr>
          <w:rFonts w:cs="Arial"/>
        </w:rPr>
        <w:t>In many European countries regulations allow switching of inhalers to cheaper bioequivalent products, generic or branded, including UK, Germany, Italy,</w:t>
      </w:r>
      <w:r w:rsidRPr="00B75B58">
        <w:rPr>
          <w:rFonts w:cs="Arial"/>
        </w:rPr>
        <w:t xml:space="preserve"> </w:t>
      </w:r>
      <w:r>
        <w:rPr>
          <w:rFonts w:cs="Arial"/>
        </w:rPr>
        <w:t>Finland and</w:t>
      </w:r>
      <w:r w:rsidRPr="00B75B58">
        <w:rPr>
          <w:rFonts w:cs="Arial"/>
        </w:rPr>
        <w:t xml:space="preserve"> Netherlands</w:t>
      </w:r>
      <w:r>
        <w:rPr>
          <w:rFonts w:cs="Arial"/>
        </w:rPr>
        <w:t>; other countries, including Spain, Belgium and Sweden, regulate against it due to the speculated negative impact on patient’s health and healthcare utilisation</w:t>
      </w:r>
      <w:r w:rsidRPr="002218FE">
        <w:rPr>
          <w:rFonts w:cs="Arial"/>
        </w:rPr>
        <w:fldChar w:fldCharType="begin" w:fldLock="1"/>
      </w:r>
      <w:r w:rsidR="00142535">
        <w:rPr>
          <w:rFonts w:cs="Arial"/>
        </w:rPr>
        <w:instrText>ADDIN CSL_CITATION {"citationItems":[{"id":"ITEM-1","itemData":{"DOI":"10.1517/17425247.2013.852182","ISSN":"1742-5247","abstract":"Pressure on healthcare budgets is increasing, while at the same time patent protection for many branded inhaled medications has expired, leading to the development and growing availability of generic inhaled medicines. Generic inhaled drugs are therapeutically equivalent to original branded options but may differ in their formulation and inhalation device. This new situation raises questions about the potential impact of switching from branded to generic drug/inhaler combination products in patients with asthma or COPD, with or without their consent, in countries where this is permitted. Inhalation devices, particularly dry powder inhalers, vary markedly in their design, method of operation and drug delivery to the lungs. Current guidelines stress the importance of training patients how to use their inhalers but offer little or no guidance on how this should be achieved. Non-adherence to therapy and incorrect inhaler usage are recognised as major factors in poorly or uncontrolled asthma and COPD and switc...","author":[{"dropping-particle":"","family":"Lavorini","given":"Federico","non-dropping-particle":"","parse-names":false,"suffix":""},{"dropping-particle":"","family":"Ninane","given":"Vincent","non-dropping-particle":"","parse-names":false,"suffix":""},{"dropping-particle":"","family":"Haughney","given":"John","non-dropping-particle":"","parse-names":false,"suffix":""},{"dropping-particle":"","family":"Bjermer","given":"Leif","non-dropping-particle":"","parse-names":false,"suffix":""},{"dropping-particle":"","family":"Molimard","given":"Mathieu","non-dropping-particle":"","parse-names":false,"suffix":""},{"dropping-particle":"","family":"Dekhuijzen","given":"Richard PN","non-dropping-particle":"","parse-names":false,"suffix":""}],"container-title":"Expert Opinion on Drug Delivery","id":"ITEM-1","issue":"12","issued":{"date-parts":[["2013","12","14"]]},"page":"1597-1602","publisher":"Taylor &amp; Francis","title":"Switching from branded to generic inhaled medications: potential impact on asthma and COPD","type":"article-journal","volume":"10"},"uris":["http://www.mendeley.com/documents/?uuid=f0ec8279-28b2-310d-89f5-4e08e15e1007"]}],"mendeley":{"formattedCitation":"(12)","plainTextFormattedCitation":"(12)","previouslyFormattedCitation":"(12)"},"properties":{"noteIndex":0},"schema":"https://github.com/citation-style-language/schema/raw/master/csl-citation.json"}</w:instrText>
      </w:r>
      <w:r w:rsidRPr="002218FE">
        <w:rPr>
          <w:rFonts w:cs="Arial"/>
        </w:rPr>
        <w:fldChar w:fldCharType="separate"/>
      </w:r>
      <w:r w:rsidR="001A0AD4" w:rsidRPr="001A0AD4">
        <w:rPr>
          <w:rFonts w:cs="Arial"/>
          <w:noProof/>
        </w:rPr>
        <w:t>(12)</w:t>
      </w:r>
      <w:r w:rsidRPr="002218FE">
        <w:rPr>
          <w:rFonts w:cs="Arial"/>
        </w:rPr>
        <w:fldChar w:fldCharType="end"/>
      </w:r>
      <w:r>
        <w:rPr>
          <w:rFonts w:cs="Arial"/>
        </w:rPr>
        <w:t>. In the UK</w:t>
      </w:r>
      <w:r w:rsidR="00B11141">
        <w:rPr>
          <w:rFonts w:cs="Arial"/>
        </w:rPr>
        <w:t>,</w:t>
      </w:r>
      <w:r>
        <w:rPr>
          <w:rFonts w:cs="Arial"/>
        </w:rPr>
        <w:t xml:space="preserve"> </w:t>
      </w:r>
      <w:r w:rsidR="00582ED7">
        <w:rPr>
          <w:rFonts w:cs="Arial"/>
        </w:rPr>
        <w:t xml:space="preserve">many local governments strongly advocate </w:t>
      </w:r>
      <w:r>
        <w:rPr>
          <w:rFonts w:cs="Arial"/>
        </w:rPr>
        <w:t xml:space="preserve">switching to cheaper equivalent inhalers, but </w:t>
      </w:r>
      <w:r w:rsidR="00582ED7">
        <w:rPr>
          <w:rFonts w:cs="Arial"/>
        </w:rPr>
        <w:t xml:space="preserve">the effect of this clinical practice on patient’s health and their healthcare use </w:t>
      </w:r>
      <w:r w:rsidRPr="002218FE">
        <w:rPr>
          <w:rFonts w:cs="Arial"/>
        </w:rPr>
        <w:t xml:space="preserve">is </w:t>
      </w:r>
      <w:r>
        <w:rPr>
          <w:rFonts w:cs="Arial"/>
        </w:rPr>
        <w:t>unknown</w:t>
      </w:r>
      <w:r w:rsidRPr="002218FE">
        <w:rPr>
          <w:rFonts w:cs="Arial"/>
        </w:rPr>
        <w:t>.</w:t>
      </w:r>
      <w:r>
        <w:rPr>
          <w:rFonts w:cs="Arial"/>
        </w:rPr>
        <w:t xml:space="preserve"> Physician opinion appears often to be one of reticence, primarily due to apprehension of the interchangeability of inhalers, although the evidence to support this </w:t>
      </w:r>
      <w:r w:rsidR="00582ED7">
        <w:rPr>
          <w:rFonts w:cs="Arial"/>
        </w:rPr>
        <w:t xml:space="preserve">concern </w:t>
      </w:r>
      <w:r>
        <w:rPr>
          <w:rFonts w:cs="Arial"/>
        </w:rPr>
        <w:t>is marginal</w:t>
      </w:r>
      <w:r>
        <w:rPr>
          <w:rFonts w:cs="Arial"/>
        </w:rPr>
        <w:fldChar w:fldCharType="begin" w:fldLock="1"/>
      </w:r>
      <w:r w:rsidR="00142535">
        <w:rPr>
          <w:rFonts w:cs="Arial"/>
        </w:rPr>
        <w:instrText>ADDIN CSL_CITATION {"citationItems":[{"id":"ITEM-1","itemData":{"DOI":"10.1111/j.1368-504X.2005.00724.x","ISSN":"13685031","PMID":"16280000","abstract":"It is important to assess the attitudes of healthcare professionals to the interchangeable use of dry powder inhalers, as there is the potential for this to occur more frequently in the future. A survey of healthcare professionals in the UK found that 87% were concerned about potential problems arising from prescriptions that do not specify the device to be dispensed, and 46% were aware of actual incidents in which patients received an unfamiliar inhaler, including patient confusion, ineffective inhaler technique and the need to reissue prescriptions. In another survey conducted among 427 primary and secondary care physicians in Germany, Netherlands, UK and USA, one third of the physicians considered the device before considering the chemical entity within a class of treatments and over half the respondents reported problems with the device as one of the main reasons for switching inhaled therapy. In a survey conducted in Australia, Canada, France, Germany and UK, over 90% of the 726 physicians interviewed thought that interchangeable use of dry powder inhalers would have a negative impact on patient compliance and device handling and on willingness to use the inhaler if the patient was not involved in the choice. In total, 79% of physicians thought that substitution of a patient's regular dry powder inhaler with another could have a negative impact on asthma control. The majority of physicians (95%) were opposed to substitution of one dry powder inhaler for another if the pharmacist does not consult the patient or physician. A majority (86%) were concerned that switching between dry powder inhalers would have an adverse impact on workload. Only 9% of physicians thought that dry powder inhalers were interchangeable, with almost eight out of 10 (79%) considering that there should be official recognition that they are not interchangeable. In conclusion, a number of surveys among healthcare professionals have shown that they believe patient involvement in treatment choice to be essential for adherence to therapy. Dry powder inhalers were perceived as different and not interchangeable, with physicians opposed to substitution of one dry powder inhaler by another without consultation with the patient or physician. Consequently, physicians are in favour of official recognition that dry powder inhalers are not interchangeable, with any cost benefits likely to be outweighed by the need for additional consultations and prescriptions.","author":[{"dropping-particle":"","family":"Price","given":"D.","non-dropping-particle":"","parse-names":false,"suffix":""}],"container-title":"International Journal of Clinical Practice","id":"ITEM-1","issue":"149","issued":{"date-parts":[["2005","11","8"]]},"page":"26-29","title":"Do healthcare professionals think that dry powder inhalers can be used interchangeably?","type":"article-journal","volume":"59"},"uris":["http://www.mendeley.com/documents/?uuid=132f0831-423f-3f82-a993-6e83e10614b4"]},{"id":"ITEM-2","itemData":{"author":[{"dropping-particle":"","family":"Capstick","given":"T","non-dropping-particle":"","parse-names":false,"suffix":""},{"dropping-particle":"","family":"Khachi","given":"H","non-dropping-particle":"","parse-names":false,"suffix":""},{"dropping-particle":"","family":"Murphy","given":"A","non-dropping-particle":"","parse-names":false,"suffix":""},{"dropping-particle":"","family":"D'Ancona","given":"G","non-dropping-particle":"","parse-names":false,"suffix":""},{"dropping-particle":"","family":"Meynell","given":"H","non-dropping-particle":"","parse-names":false,"suffix":""},{"dropping-particle":"","family":"Wilson","given":"P","non-dropping-particle":"","parse-names":false,"suffix":""}],"container-title":"The Pharmaceutical Journal","id":"ITEM-2","issued":{"date-parts":[["2015"]]},"title":"Generic prescribing is not appropriate for inhaled drugs","type":"article-journal","volume":"8 Jan"},"uris":["http://www.mendeley.com/documents/?uuid=a6201dad-3c86-4052-87d5-0482e42f8a34"]},{"id":"ITEM-3","itemData":{"DOI":"10.2147/COPD.S79635","ISSN":"1178-2005","PMID":"26664108","abstract":"Inhaled therapy is key to the management of chronic obstructive pulmonary disease (COPD). New drugs and inhalers have recently been launched or will soon become available, and the expiry of patent protection covering several currently used inhaled bronchodilators and corticosteroids will be accompanied by the development of bioequivalent, generic inhaled drugs. Consequently, a broader availability of branded and generic compounds will increase prescription opportunities. Given the time course of COPD, patients are likely to switch drugs and inhalers in daily practice. Switching from one device to another, if not accompanied by appropriate training for the patient, can be associated with poor clinical outcomes and increased use of health care resources. In fact, while it seems reasonable to prescribe generic inhaled drugs to reduce costs, inadequate use of inhaler devices, which is often associated with a poor patient-physician or patient-pharmacist relationship, is one of the most common reasons for failure to achieve COPD treatment outcomes. Further research is needed to quantify, as in asthma, the impact of inappropriate switching of inhalers in patients with COPD and show the outcomes related to the effect of using the same device for delivering inhaled medications.","author":[{"dropping-particle":"","family":"Braido","given":"Fulvio","non-dropping-particle":"","parse-names":false,"suffix":""},{"dropping-particle":"","family":"Lavorini","given":"Federico","non-dropping-particle":"","parse-names":false,"suffix":""},{"dropping-particle":"","family":"Blasi","given":"Francesco","non-dropping-particle":"","parse-names":false,"suffix":""},{"dropping-particle":"","family":"Baiardini","given":"Ilaria","non-dropping-particle":"","parse-names":false,"suffix":""},{"dropping-particle":"","family":"Canonica","given":"Giorgio Walter","non-dropping-particle":"","parse-names":false,"suffix":""}],"container-title":"International journal of chronic obstructive pulmonary disease","id":"ITEM-3","issued":{"date-parts":[["2015"]]},"page":"2601-8","publisher":"Dove Press","title":"Switching treatments in COPD: implications for costs and treatment adherence.","type":"article-journal","volume":"10"},"uris":["http://www.mendeley.com/documents/?uuid=bd9da744-b0fa-3f28-8172-a0a4c0cc95c3"]},{"id":"ITEM-4","itemData":{"DOI":"10.1111/j.1368-504X.2005.00725.x","ISSN":"13685031","PMID":"16280001","abstract":"As recognised in management guidelines, patients are the most important group of people in any prescribing decision. Despite their importance, few studies have asked what patients think about being switched between different inhalers. This paper reports two such studies, one involving interviews of a sample of patients and the other consisting of a quantitative survey of patients across five countries. In the qualitative study, four of the five patients interviewed reported that they would be confused, worried and unhappy about a switch in their dry powder inhaler and would revisit their physician to be shown how to use the inhaler or to ask for a new prescription for their old inhaler. In the quantitative survey of 499 patients with asthma, more than half (51%) were opposed to their current dry powder inhaler being replaced by a substitute device, with 83% reporting concerns. There was considerable concern about training in use of the new device and confusion about the need for change. Almost a quarter of patients (23%) would want training, and 23% of patients thought they would need information about the new inhaler. From limited information, it appears that patients would be concerned about switching of their existing dry powder inhaler for another, with the potential for confusion, need for additional consultations and need for training in the new device.","author":[{"dropping-particle":"","family":"Booker","given":"R.","non-dropping-particle":"","parse-names":false,"suffix":""}],"container-title":"International Journal of Clinical Practice","id":"ITEM-4","issue":"149","issued":{"date-parts":[["2005","11","8"]]},"page":"30-32","title":"Do patients think that dry powder inhalers can be used interchangeably?","type":"article-journal","volume":"59"},"uris":["http://www.mendeley.com/documents/?uuid=58847323-fd98-3c6e-bf64-4d414c6dee13"]},{"id":"ITEM-5","itemData":{"DOI":"10.1159/000363771","ISSN":"1423-0356","PMID":"25195762","abstract":"Inhaled therapies are central to the treatment of asthma and chronic obstructive pulmonary disease. Physicians consider many factors when selecting the most appropriate inhaler device, including device efficacy and the cost to the health care system. This review aims to discuss the factors that are important when considering inhaler devices and the importance of continuity in the choice of inhaler device. A large number of factors can contribute to therapeutic outcomes with inhalation devices. The inhalation technique is critical to treatment success and differs substantially between inhaler devices. Misuse of an inhaler is common, and thorough training of patients and physicians is important to ensure correct utilization. Patient satisfaction is an important consideration because it is significantly correlated with compliance and better outcomes. Financial pressures contribute to decision making: although selecting the less expensive inhaler device might reduce direct treatment costs, it can have a large impact on disease control and the patient's well-being. Switching may be associated with a poor inhalation technique, reduced disease control and quality of life, increased use of other treatments and health care resources, and a greater chance of unsuccessful treatment. Nonconsensual switches can result in patient discontent, reduced confidence in the medication, and uncertainty regarding the degree of disease control. It is recommended that patients with stable disease remain on their current device. If a switch is considered, the patient should be consulted and the physician should take into account the patient's preference, their ability to correctly use the device, and the availability of the preferred drug in the preferred device.","author":[{"dropping-particle":"","family":"Bjermer","given":"Leif","non-dropping-particle":"","parse-names":false,"suffix":""}],"container-title":"Respiration; international review of thoracic diseases","id":"ITEM-5","issue":"4","issued":{"date-parts":[["2014"]]},"page":"346-52","title":"The importance of continuity in inhaler device choice for asthma and chronic obstructive pulmonary disease.","type":"article-journal","volume":"88"},"uris":["http://www.mendeley.com/documents/?uuid=81ce02d1-b982-3b2c-9034-c5d990e31a8e"]},{"id":"ITEM-6","itemData":{"DOI":"10.1111/ijcp.12202","ISSN":"1742-1241","PMID":"23773278","abstract":"BACKGROUND Asthma requires individually tailored and careful management to control and prevent symptoms and exacerbations. Selection of the most appropriate treatment is dependent on both the choice of drugs and inhaler device; however, financial pressures may result in patients being switched to alternative medications and devices in an attempt to reduce costs. AIM This review aimed to examine the published literature in order to ascertain whether switching a patient's asthma medications or device negatively impacts clinical and economic outcomes. MATERIALS AND METHODS A literature search of MEDLINE (2001-13 September 2011) was conducted to identify English-language articles focused on the direct impact of switching medications and inhaler devices and switching from fixed-dose combination to monocomponent therapy via separate inhalers in patients with asthma; the indirect impacts of switching were also assessed. RESULTS Evidence showed that non-consented switching of medications and inhalers in patients with asthma can be associated with a range of negative outcomes, at both individual and organisational levels. Factors that reduce adherence may lead to compromised symptom control resulting in increased healthcare resource utilisation and poorer patient quality of life. DISCUSSION The consequences of a non-consented switch should be weighed carefully against arguments supporting an inhaler switch without the patient's consent for non-medical/budgetary reasons, such as potential reductions in initial acquisition costs, which may be associated with subsequent additional healthcare needs. CONCLUSION Given the increasing pressure for reduced costs and efficient allocation of limited healthcare resources, an additional investment in ensuring high medication adherence may lead to greater savings due to a potentially decreased demand for healthcare services. In contrast, savings achieved in acquisition costs may result in a greater net loss due to increased healthcare consumption caused by decreased asthma control.","author":[{"dropping-particle":"","family":"Björnsdóttir","given":"U S","non-dropping-particle":"","parse-names":false,"suffix":""},{"dropping-particle":"","family":"Gizurarson","given":"S","non-dropping-particle":"","parse-names":false,"suffix":""},{"dropping-particle":"","family":"Sabale","given":"U","non-dropping-particle":"","parse-names":false,"suffix":""}],"container-title":"International journal of clinical practice","id":"ITEM-6","issue":"9","issued":{"date-parts":[["2013","9"]]},"page":"904-10","publisher":"Wiley-Blackwell","title":"Potential negative consequences of non-consented switch of inhaled medications and devices in asthma patients.","type":"article-journal","volume":"67"},"uris":["http://www.mendeley.com/documents/?uuid=5eef90eb-b433-32fb-a397-7a0cfa56113d"]}],"mendeley":{"formattedCitation":"(13–18)","plainTextFormattedCitation":"(13–18)","previouslyFormattedCitation":"(13–18)"},"properties":{"noteIndex":0},"schema":"https://github.com/citation-style-language/schema/raw/master/csl-citation.json"}</w:instrText>
      </w:r>
      <w:r>
        <w:rPr>
          <w:rFonts w:cs="Arial"/>
        </w:rPr>
        <w:fldChar w:fldCharType="separate"/>
      </w:r>
      <w:r w:rsidR="001A0AD4" w:rsidRPr="001A0AD4">
        <w:rPr>
          <w:rFonts w:cs="Arial"/>
          <w:noProof/>
        </w:rPr>
        <w:t>(13–18)</w:t>
      </w:r>
      <w:r>
        <w:rPr>
          <w:rFonts w:cs="Arial"/>
        </w:rPr>
        <w:fldChar w:fldCharType="end"/>
      </w:r>
      <w:r>
        <w:rPr>
          <w:rFonts w:cs="Arial"/>
        </w:rPr>
        <w:t>.</w:t>
      </w:r>
      <w:r w:rsidRPr="002218FE">
        <w:rPr>
          <w:rFonts w:cs="Arial"/>
        </w:rPr>
        <w:t xml:space="preserve"> This study aim</w:t>
      </w:r>
      <w:r>
        <w:rPr>
          <w:rFonts w:cs="Arial"/>
        </w:rPr>
        <w:t>ed</w:t>
      </w:r>
      <w:r w:rsidRPr="002218FE">
        <w:rPr>
          <w:rFonts w:cs="Arial"/>
        </w:rPr>
        <w:t xml:space="preserve"> to describe</w:t>
      </w:r>
      <w:r>
        <w:rPr>
          <w:rFonts w:cs="Arial"/>
        </w:rPr>
        <w:t xml:space="preserve"> the</w:t>
      </w:r>
      <w:r w:rsidR="00582ED7">
        <w:rPr>
          <w:rFonts w:cs="Arial"/>
        </w:rPr>
        <w:t xml:space="preserve"> prevalence and health impact </w:t>
      </w:r>
      <w:r>
        <w:rPr>
          <w:rFonts w:cs="Arial"/>
        </w:rPr>
        <w:t>of financially-motivated</w:t>
      </w:r>
      <w:r w:rsidR="00582ED7">
        <w:rPr>
          <w:rFonts w:cs="Arial"/>
        </w:rPr>
        <w:t xml:space="preserve"> </w:t>
      </w:r>
      <w:r w:rsidRPr="002218FE">
        <w:rPr>
          <w:rFonts w:cs="Arial"/>
        </w:rPr>
        <w:t>inhale</w:t>
      </w:r>
      <w:r>
        <w:rPr>
          <w:rFonts w:cs="Arial"/>
        </w:rPr>
        <w:t>r switching</w:t>
      </w:r>
      <w:r w:rsidR="00582ED7">
        <w:rPr>
          <w:rFonts w:cs="Arial"/>
        </w:rPr>
        <w:t>, for non-clinical motivation,</w:t>
      </w:r>
      <w:r>
        <w:rPr>
          <w:rFonts w:cs="Arial"/>
        </w:rPr>
        <w:t xml:space="preserve"> in the UK</w:t>
      </w:r>
      <w:r w:rsidRPr="002218FE">
        <w:rPr>
          <w:rFonts w:cs="Arial"/>
        </w:rPr>
        <w:t xml:space="preserve"> and the </w:t>
      </w:r>
      <w:r>
        <w:rPr>
          <w:rFonts w:cs="Arial"/>
        </w:rPr>
        <w:t xml:space="preserve">subsequent </w:t>
      </w:r>
      <w:r w:rsidRPr="002218FE">
        <w:rPr>
          <w:rFonts w:cs="Arial"/>
        </w:rPr>
        <w:t>health impact.</w:t>
      </w:r>
    </w:p>
    <w:p w:rsidR="00E34CAB" w:rsidRDefault="00E34CAB"/>
    <w:p w:rsidR="00E34CAB" w:rsidRPr="00E34CAB" w:rsidRDefault="00E34CAB" w:rsidP="00E34CAB">
      <w:pPr>
        <w:jc w:val="center"/>
        <w:rPr>
          <w:b/>
        </w:rPr>
      </w:pPr>
      <w:r w:rsidRPr="00E34CAB">
        <w:rPr>
          <w:b/>
        </w:rPr>
        <w:t>Methods</w:t>
      </w:r>
    </w:p>
    <w:p w:rsidR="00E34CAB" w:rsidRPr="00991A4F" w:rsidRDefault="00E34CAB" w:rsidP="00E34CAB">
      <w:pPr>
        <w:jc w:val="both"/>
        <w:rPr>
          <w:rFonts w:cs="Arial"/>
          <w:b/>
        </w:rPr>
      </w:pPr>
      <w:r w:rsidRPr="00991A4F">
        <w:rPr>
          <w:rFonts w:cs="Arial"/>
          <w:b/>
        </w:rPr>
        <w:t xml:space="preserve">Data source </w:t>
      </w:r>
    </w:p>
    <w:p w:rsidR="00E34CAB" w:rsidRPr="00BE6E40" w:rsidRDefault="00E34CAB" w:rsidP="00E34CAB">
      <w:pPr>
        <w:jc w:val="both"/>
        <w:rPr>
          <w:rFonts w:cstheme="minorHAnsi"/>
        </w:rPr>
      </w:pPr>
      <w:r>
        <w:rPr>
          <w:rFonts w:cs="Arial"/>
        </w:rPr>
        <w:t>We used the Clinical Practice Research Database (CPRD), a nationally representative database of de-identified electronic healthcare records. CPRD holds data on diagnoses, symptoms,  and prescriptions on more than 11 million patients across the UK</w:t>
      </w:r>
      <w:r>
        <w:rPr>
          <w:rFonts w:cs="Arial"/>
        </w:rPr>
        <w:fldChar w:fldCharType="begin" w:fldLock="1"/>
      </w:r>
      <w:r w:rsidR="00142535">
        <w:rPr>
          <w:rFonts w:cs="Arial"/>
        </w:rPr>
        <w:instrText>ADDIN CSL_CITATION {"citationItems":[{"id":"ITEM-1","itemData":{"DOI":"10.1093/ije/dyv098","ISBN":"0300-5771","ISSN":"14643685","PMID":"26050254","abstract":"The Clinical Practice Research Datalink (CPRD) is an ongoing primary care database of anonymised medical records from general practitioners, with coverage of over 11.3 million patients from 674 practices in the UK. With 4.4 million active (alive, currently registered) patients meeting quality criteria, approximately 6.9% of the UK population are included and patients are broadly representative of the UK general population in terms of age, sex and ethnicity. General practitioners are the gatekeepers of primary care and specialist referrals in the UK. The CPRD primary care database is therefore a rich source of health data for research, including data on demographics, symptoms, tests, diagnoses, therapies, health-related behaviours and referrals to secondary care. For over half of patients, linkage with datasets from secondary care, disease-specific cohorts and mortality records enhance the range of data available for research. The CPRD is very widely used internationally for epidemiological research and has been used to produce over 1000 research studies, published in peer-reviewed journals across a broad range of health outcomes. However, researchers must be aware of the complexity of routinely collected electronic health records, including ways to manage variable completeness, misclassification and development of disease definitions for research.","author":[{"dropping-particle":"","family":"Herrett","given":"Emily","non-dropping-particle":"","parse-names":false,"suffix":""},{"dropping-particle":"","family":"Gallagher","given":"Arlene M.","non-dropping-particle":"","parse-names":false,"suffix":""},{"dropping-particle":"","family":"Bhaskaran","given":"Krishnan","non-dropping-particle":"","parse-names":false,"suffix":""},{"dropping-particle":"","family":"Forbes","given":"Harriet","non-dropping-particle":"","parse-names":false,"suffix":""},{"dropping-particle":"","family":"Mathur","given":"Rohini","non-dropping-particle":"","parse-names":false,"suffix":""},{"dropping-particle":"van","family":"Staa","given":"Tjeerd","non-dropping-particle":"","parse-names":false,"suffix":""},{"dropping-particle":"","family":"Smeeth","given":"Liam","non-dropping-particle":"","parse-names":false,"suffix":""}],"container-title":"International Journal of Epidemiology","id":"ITEM-1","issue":"3","issued":{"date-parts":[["2015"]]},"page":"827-836","title":"Data Resource Profile: Clinical Practice Research Datalink (CPRD)","type":"article-journal","volume":"44"},"uris":["http://www.mendeley.com/documents/?uuid=6af46a6f-4a61-46ac-9cf7-0f73922276ba"]}],"mendeley":{"formattedCitation":"(19)","plainTextFormattedCitation":"(19)","previouslyFormattedCitation":"(19)"},"properties":{"noteIndex":0},"schema":"https://github.com/citation-style-language/schema/raw/master/csl-citation.json"}</w:instrText>
      </w:r>
      <w:r>
        <w:rPr>
          <w:rFonts w:cs="Arial"/>
        </w:rPr>
        <w:fldChar w:fldCharType="separate"/>
      </w:r>
      <w:r w:rsidR="001A0AD4" w:rsidRPr="001A0AD4">
        <w:rPr>
          <w:rFonts w:cs="Arial"/>
          <w:noProof/>
        </w:rPr>
        <w:t>(19)</w:t>
      </w:r>
      <w:r>
        <w:rPr>
          <w:rFonts w:cs="Arial"/>
        </w:rPr>
        <w:fldChar w:fldCharType="end"/>
      </w:r>
      <w:r>
        <w:rPr>
          <w:rFonts w:cs="Arial"/>
        </w:rPr>
        <w:t>. Globally, it is one of the largest longitudinal  healthcare databases, and has been extensively validated</w:t>
      </w:r>
      <w:r>
        <w:rPr>
          <w:rFonts w:cs="Arial"/>
        </w:rPr>
        <w:fldChar w:fldCharType="begin" w:fldLock="1"/>
      </w:r>
      <w:r w:rsidR="00142535">
        <w:rPr>
          <w:rFonts w:cs="Arial"/>
        </w:rPr>
        <w:instrText>ADDIN CSL_CITATION {"citationItems":[{"id":"ITEM-1","itemData":{"DOI":"10.1093/ije/dyv098","ISBN":"0300-5771","ISSN":"14643685","PMID":"26050254","abstract":"The Clinical Practice Research Datalink (CPRD) is an ongoing primary care database of anonymised medical records from general practitioners, with coverage of over 11.3 million patients from 674 practices in the UK. With 4.4 million active (alive, currently registered) patients meeting quality criteria, approximately 6.9% of the UK population are included and patients are broadly representative of the UK general population in terms of age, sex and ethnicity. General practitioners are the gatekeepers of primary care and specialist referrals in the UK. The CPRD primary care database is therefore a rich source of health data for research, including data on demographics, symptoms, tests, diagnoses, therapies, health-related behaviours and referrals to secondary care. For over half of patients, linkage with datasets from secondary care, disease-specific cohorts and mortality records enhance the range of data available for research. The CPRD is very widely used internationally for epidemiological research and has been used to produce over 1000 research studies, published in peer-reviewed journals across a broad range of health outcomes. However, researchers must be aware of the complexity of routinely collected electronic health records, including ways to manage variable completeness, misclassification and development of disease definitions for research.","author":[{"dropping-particle":"","family":"Herrett","given":"Emily","non-dropping-particle":"","parse-names":false,"suffix":""},{"dropping-particle":"","family":"Gallagher","given":"Arlene M.","non-dropping-particle":"","parse-names":false,"suffix":""},{"dropping-particle":"","family":"Bhaskaran","given":"Krishnan","non-dropping-particle":"","parse-names":false,"suffix":""},{"dropping-particle":"","family":"Forbes","given":"Harriet","non-dropping-particle":"","parse-names":false,"suffix":""},{"dropping-particle":"","family":"Mathur","given":"Rohini","non-dropping-particle":"","parse-names":false,"suffix":""},{"dropping-particle":"van","family":"Staa","given":"Tjeerd","non-dropping-particle":"","parse-names":false,"suffix":""},{"dropping-particle":"","family":"Smeeth","given":"Liam","non-dropping-particle":"","parse-names":false,"suffix":""}],"container-title":"International Journal of Epidemiology","id":"ITEM-1","issue":"3","issued":{"date-parts":[["2015"]]},"page":"827-836","title":"Data Resource Profile: Clinical Practice Research Datalink (CPRD)","type":"article-journal","volume":"44"},"uris":["http://www.mendeley.com/documents/?uuid=6af46a6f-4a61-46ac-9cf7-0f73922276ba"]}],"mendeley":{"formattedCitation":"(19)","plainTextFormattedCitation":"(19)","previouslyFormattedCitation":"(19)"},"properties":{"noteIndex":0},"schema":"https://github.com/citation-style-language/schema/raw/master/csl-citation.json"}</w:instrText>
      </w:r>
      <w:r>
        <w:rPr>
          <w:rFonts w:cs="Arial"/>
        </w:rPr>
        <w:fldChar w:fldCharType="separate"/>
      </w:r>
      <w:r w:rsidR="001A0AD4" w:rsidRPr="001A0AD4">
        <w:rPr>
          <w:rFonts w:cs="Arial"/>
          <w:noProof/>
        </w:rPr>
        <w:t>(19)</w:t>
      </w:r>
      <w:r>
        <w:rPr>
          <w:rFonts w:cs="Arial"/>
        </w:rPr>
        <w:fldChar w:fldCharType="end"/>
      </w:r>
      <w:r>
        <w:rPr>
          <w:rFonts w:cs="Arial"/>
        </w:rPr>
        <w:t xml:space="preserve">. </w:t>
      </w:r>
      <w:r>
        <w:t>S</w:t>
      </w:r>
      <w:r w:rsidRPr="00BE6E40">
        <w:t xml:space="preserve">econdary care </w:t>
      </w:r>
      <w:r>
        <w:t>and</w:t>
      </w:r>
      <w:r w:rsidRPr="00BE6E40">
        <w:t xml:space="preserve"> mortality information was </w:t>
      </w:r>
      <w:r>
        <w:t>obtained from</w:t>
      </w:r>
      <w:r w:rsidRPr="00BE6E40">
        <w:t xml:space="preserve"> the Hospital Episode Statistics (HES) database and Office of National Statistics (ONS), respectively. HES contains inform</w:t>
      </w:r>
      <w:r>
        <w:t xml:space="preserve">ation on all admissions to English NHS </w:t>
      </w:r>
      <w:r w:rsidRPr="00BE6E40">
        <w:t xml:space="preserve">hospitals. Approximately 60% of practices in CPRD have individual level linkage to HES and ONS, and to socioeconomic data (Index of Multiple Deprivation). </w:t>
      </w:r>
    </w:p>
    <w:p w:rsidR="00E34CAB" w:rsidRPr="00E05BF0" w:rsidRDefault="00E34CAB" w:rsidP="00E34CAB">
      <w:pPr>
        <w:jc w:val="both"/>
        <w:rPr>
          <w:rFonts w:cs="Arial"/>
          <w:b/>
        </w:rPr>
      </w:pPr>
      <w:r w:rsidRPr="00E05BF0">
        <w:rPr>
          <w:rFonts w:cs="Arial"/>
          <w:b/>
        </w:rPr>
        <w:t>Study design</w:t>
      </w:r>
    </w:p>
    <w:p w:rsidR="00E34CAB" w:rsidRDefault="00E34CAB" w:rsidP="00E34CAB">
      <w:pPr>
        <w:jc w:val="both"/>
        <w:rPr>
          <w:rFonts w:cs="Arial"/>
        </w:rPr>
      </w:pPr>
      <w:r>
        <w:rPr>
          <w:rFonts w:cs="Arial"/>
        </w:rPr>
        <w:t>We conducted a self-</w:t>
      </w:r>
      <w:r w:rsidRPr="00896795">
        <w:rPr>
          <w:rFonts w:cs="Arial"/>
        </w:rPr>
        <w:t xml:space="preserve">controlled case series </w:t>
      </w:r>
      <w:r>
        <w:rPr>
          <w:rFonts w:cs="Arial"/>
        </w:rPr>
        <w:t xml:space="preserve">(SCCS) </w:t>
      </w:r>
      <w:r w:rsidRPr="00896795">
        <w:rPr>
          <w:rFonts w:cs="Arial"/>
        </w:rPr>
        <w:t>analys</w:t>
      </w:r>
      <w:r>
        <w:rPr>
          <w:rFonts w:cs="Arial"/>
        </w:rPr>
        <w:t>e</w:t>
      </w:r>
      <w:r w:rsidRPr="00896795">
        <w:rPr>
          <w:rFonts w:cs="Arial"/>
        </w:rPr>
        <w:t>s</w:t>
      </w:r>
      <w:r>
        <w:rPr>
          <w:rFonts w:cs="Arial"/>
        </w:rPr>
        <w:t xml:space="preserve"> (Figure 1)</w:t>
      </w:r>
      <w:r w:rsidR="00487F46">
        <w:rPr>
          <w:rFonts w:cs="Arial"/>
        </w:rPr>
        <w:t>. SSCS is</w:t>
      </w:r>
      <w:r>
        <w:rPr>
          <w:rFonts w:cs="Arial"/>
        </w:rPr>
        <w:t xml:space="preserve"> an increasingly popular </w:t>
      </w:r>
      <w:r w:rsidR="00487F46">
        <w:rPr>
          <w:rFonts w:cs="Arial"/>
        </w:rPr>
        <w:t xml:space="preserve">study </w:t>
      </w:r>
      <w:r>
        <w:rPr>
          <w:rFonts w:cs="Arial"/>
        </w:rPr>
        <w:t>design</w:t>
      </w:r>
      <w:r w:rsidR="00263514">
        <w:rPr>
          <w:rFonts w:cs="Arial"/>
        </w:rPr>
        <w:fldChar w:fldCharType="begin" w:fldLock="1"/>
      </w:r>
      <w:r w:rsidR="00142535">
        <w:rPr>
          <w:rFonts w:cs="Arial"/>
        </w:rPr>
        <w:instrText>ADDIN CSL_CITATION {"citationItems":[{"id":"ITEM-1","itemData":{"DOI":"10.1136/bmj.i2550","ISSN":"1756-1833","PMID":"27245699","abstract":"OBJECTIVE  To determine whether treatment with methylphenidate in children and young people with attention-deficit/hyperactivity disorder (ADHD) was associated with cardiovascular events. DESIGN  Self controlled case series analysis. SETTING  Nationwide health insurance database, 1 January 2008 to 31 December 2011, in South Korea. PARTICIPANTS  1224 patients aged ≤17 who had experienced an incident cardiovascular event and had had at least one incident prescription for methylphenidate. MAIN OUTCOME MEASURES  A recorded diagnosis (either a primary or secondary cause) of any of the following cardiovascular adverse events: arrhythmias (ICD-10 (international classification of diseases, 10th revision) codes I44, I45, I47, I48, I49), hypertension (codes I10-I15), myocardial infarction (code I21), ischemic stroke (code I63), or heart failure (code I50). Incidence rate ratios were calculated with conditional Poisson regression and adjusted for time varying comorbidity and comedication. RESULTS  Increased risk of arrhythmia was observed in all exposed time periods-that is, periods of treatment with methylphenidate-(incidence rate ratio 1.61, 95% confidence interval 1.48 to 1.74), and the risk was highest in the children who had congenital heart disease. No significant risk of myocardial infarction was observed for all exposed time periods (1.33, 0.90 to 1.98), though risk was higher in the early risk periods between eight and 56 days after the start of treatment with methylphenidate. No significant increased risk was observed for hypertension, ischemic stroke, or heart failure. CONCLUSION  The relative risk of myocardial infarction and arrhythmias is increased in the early period after the start of methylphenidate treatment for ADHD in children and young people. Though the absolute risk is likely to be low, the risk-benefit balance of methylphenidate should be carefully considered, particularly in children with mild ADHD.","author":[{"dropping-particle":"","family":"Shin","given":"Ju-Young","non-dropping-particle":"","parse-names":false,"suffix":""},{"dropping-particle":"","family":"Roughead","given":"Elizabeth E","non-dropping-particle":"","parse-names":false,"suffix":""},{"dropping-particle":"","family":"Park","given":"Byung-Joo","non-dropping-particle":"","parse-names":false,"suffix":""},{"dropping-particle":"","family":"Pratt","given":"Nicole L","non-dropping-particle":"","parse-names":false,"suffix":""}],"container-title":"BMJ","id":"ITEM-1","issued":{"date-parts":[["2016","5","31"]]},"page":"i2550","title":"Cardiovascular safety of methylphenidate among children and young people with attention-deficit/hyperactivity disorder (ADHD): nationwide self controlled case series study","type":"article-journal","volume":"353"},"uris":["http://www.mendeley.com/documents/?uuid=6f5991de-563d-3b44-8146-3d32ebfb306a"]},{"id":"ITEM-2","itemData":{"DOI":"10.1016/S0140-6736(17)30497-X","ISSN":"01406736","abstract":"&lt;h2&gt;Abstract&lt;/h2&gt;&lt;h3&gt;Background&lt;/h3&gt;&lt;p&gt;Infections can trigger acute vascular events but the differential effect of specific respiratory pathogens is unknown. We aimed to quantify the association between laboratory-confirmed respiratory bacterial or viral infections and first myocardial infarction or stroke to inform intervention development and targeting.&lt;/p&gt;&lt;h3&gt;Methods&lt;/h3&gt;&lt;p&gt;Scottish Morbidity Record data on first myocardial infarction or stroke (International Classification of Diseases, 10th revision, codes) were linked to records of &lt;i&gt;Streptococcus pneumoniae&lt;/i&gt;, influenza, rhinovirus, parainfluenza, respiratory syncytial virus, or human metapneumovirus from the Electronic Communication of Surveillance in Scotland (National Services Scotland) dataset on individuals aged 40 years or older from Jan 1, 2004, to Dec 31, 2014. We analysed incidence ratios for myocardial infarction or stroke in the 28 days after infection compared with baseline using self-controlled case series.&lt;/p&gt;&lt;h3&gt;Findings&lt;/h3&gt;&lt;p&gt;There were 1227 individuals with myocardial infarction (751 men [61%]) and 762 with stroke (392 men [51%]). Median age was 68 years (IQR 59–77). The relative incidence of myocardial infarction was markedly raised in the first 1–3 days after both bacterial and viral infections (incidence ratio 5·98, 95% CI 2·47–14·4 [p&lt;0·0001] and 5·59, 1·77–17·6 [p=0·003], respectively) and persisted for about 1 week. For stroke, the respective relative incidence after respiratory infection was even higher for days 1–3 (12·3, 5·48–27·7 [p&lt;0·0001] and 6·79, 1·67–27·50 [p=0·007]). Elevated stroke risks after both bacterial and viral infections persisted to 28 days (p&lt;0·0001).&lt;/p&gt;&lt;h3&gt;Interpretation&lt;/h3&gt;&lt;p&gt;Our findings suggest that respiratory bacterial and viral infections act as vascular triggers. For stroke, the incidence ratio remained elevated a month after the date of respiratory sampling but for myocardial infarction the raised incidence ratio appeared to be more transient, suggesting potentially different mechanisms. This study highlights the need to ensure adequate uptake of influenza and pneumococcal vaccines as well as appropriate treatment during infections to reduce vascular risk.&lt;/p&gt;&lt;h3&gt;Funding&lt;/h3&gt;&lt;p&gt;Academy of Medical Sciences.&lt;/p&gt;","author":[{"dropping-particle":"","family":"Warren-Gash","given":"Charlotte","non-dropping-particle":"","parse-names":false,"suffix":""},{"dropping-particle":"","family":"Blackburn","given":"Ruth","non-dropping-particle":"","parse-names":false,"suffix":""},{"dropping-particle":"","family":"Whitaker","given":"Heather","non-dropping-particle":"","parse-names":false,"suffix":""},{"dropping-particle":"","family":"Hayward","given":"Andrew","non-dropping-particle":"","parse-names":false,"suffix":""}],"container-title":"The Lancet","id":"ITEM-2","issued":{"date-parts":[["2017","2","23"]]},"page":"S101","publisher":"Elsevier","title":"Respiratory infections as vascular triggers: self-controlled case series analysis of linked Scottish data","type":"article-journal","volume":"389"},"uris":["http://www.mendeley.com/documents/?uuid=da51d182-47ab-3613-a3f9-31045641e449"]},{"id":"ITEM-3","itemData":{"DOI":"10.1056/NEJMoa1702090","ISSN":"0028-4793","PMID":"29365305","abstract":"BACKGROUND Acute myocardial infarction can be triggered by acute respiratory infections. Previous studies have suggested an association between influenza and acute myocardial infarction, but those studies used nonspecific measures of influenza infection or study designs that were susceptible to bias. We evaluated the association between laboratory-confirmed influenza infection and acute myocardial infarction. METHODS We used the self-controlled case-series design to evaluate the association between laboratory-confirmed influenza infection and hospitalization for acute myocardial infarction. We used various high-specificity laboratory methods to confirm influenza infection in respiratory specimens, and we ascertained hospitalization for acute myocardial infarction from administrative data. We defined the \"risk interval\" as the first 7 days after respiratory specimen collection and the \"control interval\" as 1 year before and 1 year after the risk interval. RESULTS We identified 364 hospitalizations for acute myocardial infarction that occurred within 1 year before and 1 year after a positive test result for influenza. Of these, 20 (20.0 admissions per week) occurred during the risk interval and 344 (3.3 admissions per week) occurred during the control interval. The incidence ratio of an admission for acute myocardial infarction during the risk interval as compared with the control interval was 6.05 (95% confidence interval [CI], 3.86 to 9.50). No increased incidence was observed after day 7. Incidence ratios for acute myocardial infarction within 7 days after detection of influenza B, influenza A, respiratory syncytial virus, and other viruses were 10.11 (95% CI, 4.37 to 23.38), 5.17 (95% CI, 3.02 to 8.84), 3.51 (95% CI, 1.11 to 11.12), and 2.77 (95% CI, 1.23 to 6.24), respectively. CONCLUSIONS We found a significant association between respiratory infections, especially influenza, and acute myocardial infarction. (Funded by the Canadian Institutes of Health Research and others.).","author":[{"dropping-particle":"","family":"Kwong","given":"Jeffrey C.","non-dropping-particle":"","parse-names":false,"suffix":""},{"dropping-particle":"","family":"Schwartz","given":"Kevin L.","non-dropping-particle":"","parse-names":false,"suffix":""},{"dropping-particle":"","family":"Campitelli","given":"Michael A.","non-dropping-particle":"","parse-names":false,"suffix":""},{"dropping-particle":"","family":"Chung","given":"Hannah","non-dropping-particle":"","parse-names":false,"suffix":""},{"dropping-particle":"","family":"Crowcroft","given":"Natasha S.","non-dropping-particle":"","parse-names":false,"suffix":""},{"dropping-particle":"","family":"Karnauchow","given":"Timothy","non-dropping-particle":"","parse-names":false,"suffix":""},{"dropping-particle":"","family":"Katz","given":"Kevin","non-dropping-particle":"","parse-names":false,"suffix":""},{"dropping-particle":"","family":"Ko","given":"Dennis T.","non-dropping-particle":"","parse-names":false,"suffix":""},{"dropping-particle":"","family":"McGeer","given":"Allison J.","non-dropping-particle":"","parse-names":false,"suffix":""},{"dropping-particle":"","family":"McNally","given":"Dayre","non-dropping-particle":"","parse-names":false,"suffix":""},{"dropping-particle":"","family":"Richardson","given":"David C.","non-dropping-particle":"","parse-names":false,"suffix":""},{"dropping-particle":"","family":"Rosella","given":"Laura C.","non-dropping-particle":"","parse-names":false,"suffix":""},{"dropping-particle":"","family":"Simor","given":"Andrew","non-dropping-particle":"","parse-names":false,"suffix":""},{"dropping-particle":"","family":"Smieja","given":"Marek","non-dropping-particle":"","parse-names":false,"suffix":""},{"dropping-particle":"","family":"Zahariadis","given":"George","non-dropping-particle":"","parse-names":false,"suffix":""},{"dropping-particle":"","family":"Gubbay","given":"Jonathan B.","non-dropping-particle":"","parse-names":false,"suffix":""}],"container-title":"New England Journal of Medicine","id":"ITEM-3","issue":"4","issued":{"date-parts":[["2018","1","25"]]},"page":"345-353","title":"Acute Myocardial Infarction after Laboratory-Confirmed Influenza Infection","type":"article-journal","volume":"378"},"uris":["http://www.mendeley.com/documents/?uuid=3b8b4666-71b3-3bbb-8aac-cf7bdd401faa"]}],"mendeley":{"formattedCitation":"(20–22)","plainTextFormattedCitation":"(20–22)","previouslyFormattedCitation":"(20–22)"},"properties":{"noteIndex":0},"schema":"https://github.com/citation-style-language/schema/raw/master/csl-citation.json"}</w:instrText>
      </w:r>
      <w:r w:rsidR="00263514">
        <w:rPr>
          <w:rFonts w:cs="Arial"/>
        </w:rPr>
        <w:fldChar w:fldCharType="separate"/>
      </w:r>
      <w:r w:rsidR="001A0AD4" w:rsidRPr="001A0AD4">
        <w:rPr>
          <w:rFonts w:cs="Arial"/>
          <w:noProof/>
        </w:rPr>
        <w:t>(20–22)</w:t>
      </w:r>
      <w:r w:rsidR="00263514">
        <w:rPr>
          <w:rFonts w:cs="Arial"/>
        </w:rPr>
        <w:fldChar w:fldCharType="end"/>
      </w:r>
      <w:r w:rsidR="00487F46">
        <w:rPr>
          <w:rFonts w:cs="Arial"/>
        </w:rPr>
        <w:t>,</w:t>
      </w:r>
      <w:r>
        <w:rPr>
          <w:rFonts w:cs="Arial"/>
        </w:rPr>
        <w:t xml:space="preserve"> </w:t>
      </w:r>
      <w:r w:rsidR="00487F46">
        <w:rPr>
          <w:rFonts w:cs="Arial"/>
        </w:rPr>
        <w:t>it</w:t>
      </w:r>
      <w:r>
        <w:rPr>
          <w:rFonts w:cs="Arial"/>
        </w:rPr>
        <w:t xml:space="preserve"> allows each individual to act as their own control (</w:t>
      </w:r>
      <w:r w:rsidR="00487F46">
        <w:rPr>
          <w:rFonts w:cs="Arial"/>
        </w:rPr>
        <w:t xml:space="preserve">comparing outcome rates </w:t>
      </w:r>
      <w:r w:rsidR="00487F46">
        <w:rPr>
          <w:rFonts w:cs="Arial"/>
        </w:rPr>
        <w:lastRenderedPageBreak/>
        <w:t xml:space="preserve">during periods of exposure to periods of </w:t>
      </w:r>
      <w:r>
        <w:rPr>
          <w:rFonts w:cs="Arial"/>
        </w:rPr>
        <w:t>non-exposure) to therefore implicitly control for confounding factors that do not vary with time</w:t>
      </w:r>
      <w:r w:rsidR="00487F46">
        <w:rPr>
          <w:rFonts w:cs="Arial"/>
        </w:rPr>
        <w:t>. This approach</w:t>
      </w:r>
      <w:r>
        <w:rPr>
          <w:rFonts w:cs="Arial"/>
        </w:rPr>
        <w:t xml:space="preserve"> significantly reduc</w:t>
      </w:r>
      <w:r w:rsidR="00A112AB">
        <w:rPr>
          <w:rFonts w:cs="Arial"/>
        </w:rPr>
        <w:t>es</w:t>
      </w:r>
      <w:r>
        <w:rPr>
          <w:rFonts w:cs="Arial"/>
        </w:rPr>
        <w:t xml:space="preserve"> </w:t>
      </w:r>
      <w:r w:rsidR="00487F46">
        <w:rPr>
          <w:rFonts w:cs="Arial"/>
        </w:rPr>
        <w:t xml:space="preserve">the </w:t>
      </w:r>
      <w:r>
        <w:rPr>
          <w:rFonts w:cs="Arial"/>
        </w:rPr>
        <w:t>bias that can occur in observational studies</w:t>
      </w:r>
      <w:r w:rsidR="00E31F7B">
        <w:rPr>
          <w:rFonts w:cs="Arial"/>
        </w:rPr>
        <w:t xml:space="preserve">; for example a cohort or case-control could suffer from confounding by indication which would be an issue with this research question. </w:t>
      </w:r>
      <w:r w:rsidR="00E31F7B">
        <w:t xml:space="preserve">SCCS is also statistically more efficient than traditional cohort and case-control designs. </w:t>
      </w:r>
      <w:r w:rsidR="00E31F7B">
        <w:rPr>
          <w:rFonts w:cs="Arial"/>
        </w:rPr>
        <w:t xml:space="preserve">The SCCS method is most suitable when there are acute outcomes (e.g. </w:t>
      </w:r>
      <w:r w:rsidR="007D1B86">
        <w:rPr>
          <w:rFonts w:cs="Arial"/>
        </w:rPr>
        <w:t>exacerbation</w:t>
      </w:r>
      <w:r w:rsidR="00E31F7B">
        <w:rPr>
          <w:rFonts w:cs="Arial"/>
        </w:rPr>
        <w:t>) and transient exposures (e.g. inhaler switch), and that exact timings of these are available</w:t>
      </w:r>
      <w:r>
        <w:rPr>
          <w:rFonts w:cs="Arial"/>
        </w:rPr>
        <w:fldChar w:fldCharType="begin" w:fldLock="1"/>
      </w:r>
      <w:r w:rsidR="00142535">
        <w:rPr>
          <w:rFonts w:cs="Arial"/>
        </w:rPr>
        <w:instrText>ADDIN CSL_CITATION {"citationItems":[{"id":"ITEM-1","itemData":{"DOI":"10.1002/sim.2302","ISSN":"0277-6715","PMID":"16220518","abstract":"The self-controlled case series method was developed to investigate associations between acute outcomes and transient exposures, using only data on cases, that is, on individuals who have experienced the outcome of interest. Inference is within individuals, and hence fixed covariates effects are implicitly controlled for within a proportional incidence framework. We describe the origins, assumptions, limitations, and uses of the method. The rationale for the model and the derivation of the likelihood are explained in detail using a worked example on vaccine safety. Code for fitting the model in the statistical package STATA is described. Two further vaccine safety data sets are used to illustrate a range of modelling issues and extensions of the basic model. Some brief pointers on the design of case series studies are provided. The data sets, STATA code, and further implementation details in SAS, GENSTAT and GLIM are available from an associated website.","author":[{"dropping-particle":"","family":"Whitaker","given":"Heather J","non-dropping-particle":"","parse-names":false,"suffix":""},{"dropping-particle":"","family":"Farrington","given":"C Paddy","non-dropping-particle":"","parse-names":false,"suffix":""},{"dropping-particle":"","family":"Spiessens","given":"Bart","non-dropping-particle":"","parse-names":false,"suffix":""},{"dropping-particle":"","family":"Musonda","given":"Patrick","non-dropping-particle":"","parse-names":false,"suffix":""}],"container-title":"Statistics in medicine","id":"ITEM-1","issue":"10","issued":{"date-parts":[["2006","5","30"]]},"page":"1768-97","title":"Tutorial in biostatistics: the self-controlled case series method.","type":"article-journal","volume":"25"},"uris":["http://www.mendeley.com/documents/?uuid=3ef7ced0-2471-3cdf-a794-e259b8521aef"]}],"mendeley":{"formattedCitation":"(23)","plainTextFormattedCitation":"(23)","previouslyFormattedCitation":"(23)"},"properties":{"noteIndex":0},"schema":"https://github.com/citation-style-language/schema/raw/master/csl-citation.json"}</w:instrText>
      </w:r>
      <w:r>
        <w:rPr>
          <w:rFonts w:cs="Arial"/>
        </w:rPr>
        <w:fldChar w:fldCharType="separate"/>
      </w:r>
      <w:r w:rsidR="001A0AD4" w:rsidRPr="001A0AD4">
        <w:rPr>
          <w:rFonts w:cs="Arial"/>
          <w:noProof/>
        </w:rPr>
        <w:t>(23)</w:t>
      </w:r>
      <w:r>
        <w:rPr>
          <w:rFonts w:cs="Arial"/>
        </w:rPr>
        <w:fldChar w:fldCharType="end"/>
      </w:r>
      <w:r>
        <w:rPr>
          <w:rFonts w:cs="Arial"/>
        </w:rPr>
        <w:t>. Incidence rate ratios (IRR) are</w:t>
      </w:r>
      <w:r w:rsidRPr="00896795">
        <w:rPr>
          <w:rFonts w:cs="Arial"/>
        </w:rPr>
        <w:t xml:space="preserve"> </w:t>
      </w:r>
      <w:r>
        <w:rPr>
          <w:rFonts w:cs="Arial"/>
        </w:rPr>
        <w:t>calculated</w:t>
      </w:r>
      <w:r w:rsidRPr="00896795">
        <w:rPr>
          <w:rFonts w:cs="Arial"/>
        </w:rPr>
        <w:t xml:space="preserve">, comparing the rate of events during exposed periods </w:t>
      </w:r>
      <w:r>
        <w:rPr>
          <w:rFonts w:cs="Arial"/>
        </w:rPr>
        <w:t xml:space="preserve">(defined as the ‘risk period’) </w:t>
      </w:r>
      <w:r w:rsidRPr="00896795">
        <w:rPr>
          <w:rFonts w:cs="Arial"/>
        </w:rPr>
        <w:t>with that during all other observed periods</w:t>
      </w:r>
      <w:r>
        <w:rPr>
          <w:rFonts w:cs="Arial"/>
        </w:rPr>
        <w:t xml:space="preserve"> (defined as the ‘</w:t>
      </w:r>
      <w:r w:rsidR="00134C5E">
        <w:rPr>
          <w:rFonts w:cs="Arial"/>
        </w:rPr>
        <w:t xml:space="preserve">control </w:t>
      </w:r>
      <w:r>
        <w:rPr>
          <w:rFonts w:cs="Arial"/>
        </w:rPr>
        <w:t>period’)</w:t>
      </w:r>
      <w:r w:rsidRPr="00896795">
        <w:rPr>
          <w:rFonts w:cs="Arial"/>
        </w:rPr>
        <w:t xml:space="preserve">. </w:t>
      </w:r>
      <w:r>
        <w:rPr>
          <w:rFonts w:cs="Arial"/>
        </w:rPr>
        <w:t>To ensure valid and unbiased estimates, certain assumptions should be met</w:t>
      </w:r>
      <w:r>
        <w:rPr>
          <w:rFonts w:cs="Arial"/>
        </w:rPr>
        <w:fldChar w:fldCharType="begin" w:fldLock="1"/>
      </w:r>
      <w:r w:rsidR="00142535">
        <w:rPr>
          <w:rFonts w:cs="Arial"/>
        </w:rPr>
        <w:instrText>ADDIN CSL_CITATION {"citationItems":[{"id":"ITEM-1","itemData":{"DOI":"10.1136/bmj.i4515","ISSN":"1756-1833","author":[{"dropping-particle":"","family":"Petersen","given":"Irene","non-dropping-particle":"","parse-names":false,"suffix":""},{"dropping-particle":"","family":"Douglas","given":"Ian","non-dropping-particle":"","parse-names":false,"suffix":""},{"dropping-particle":"","family":"Whitaker","given":"Heather","non-dropping-particle":"","parse-names":false,"suffix":""}],"container-title":"BMJ","id":"ITEM-1","issued":{"date-parts":[["2016","9","12"]]},"page":"i4515","title":"Self controlled case series methods: an alternative to standard epidemiological study designs","type":"article-journal"},"uris":["http://www.mendeley.com/documents/?uuid=c67905d8-19b0-3e8d-a196-9f9f18fdd483"]}],"mendeley":{"formattedCitation":"(24)","plainTextFormattedCitation":"(24)","previouslyFormattedCitation":"(24)"},"properties":{"noteIndex":0},"schema":"https://github.com/citation-style-language/schema/raw/master/csl-citation.json"}</w:instrText>
      </w:r>
      <w:r>
        <w:rPr>
          <w:rFonts w:cs="Arial"/>
        </w:rPr>
        <w:fldChar w:fldCharType="separate"/>
      </w:r>
      <w:r w:rsidR="001A0AD4" w:rsidRPr="001A0AD4">
        <w:rPr>
          <w:rFonts w:cs="Arial"/>
          <w:noProof/>
        </w:rPr>
        <w:t>(24)</w:t>
      </w:r>
      <w:r>
        <w:rPr>
          <w:rFonts w:cs="Arial"/>
        </w:rPr>
        <w:fldChar w:fldCharType="end"/>
      </w:r>
      <w:r>
        <w:rPr>
          <w:rFonts w:cs="Arial"/>
        </w:rPr>
        <w:t>. Firstly, the outcome should not affect the occurrence of a further outcome event. As exacerbations are not independent we studied only the first exacerbation outcome</w:t>
      </w:r>
      <w:r>
        <w:rPr>
          <w:rFonts w:cs="Arial"/>
        </w:rPr>
        <w:fldChar w:fldCharType="begin" w:fldLock="1"/>
      </w:r>
      <w:r w:rsidR="00142535">
        <w:rPr>
          <w:rFonts w:cs="Arial"/>
        </w:rPr>
        <w:instrText>ADDIN CSL_CITATION {"citationItems":[{"id":"ITEM-1","itemData":{"DOI":"10.1136/bmj.i4515","ISSN":"1756-1833","author":[{"dropping-particle":"","family":"Petersen","given":"Irene","non-dropping-particle":"","parse-names":false,"suffix":""},{"dropping-particle":"","family":"Douglas","given":"Ian","non-dropping-particle":"","parse-names":false,"suffix":""},{"dropping-particle":"","family":"Whitaker","given":"Heather","non-dropping-particle":"","parse-names":false,"suffix":""}],"container-title":"BMJ","id":"ITEM-1","issued":{"date-parts":[["2016","9","12"]]},"page":"i4515","title":"Self controlled case series methods: an alternative to standard epidemiological study designs","type":"article-journal"},"uris":["http://www.mendeley.com/documents/?uuid=c67905d8-19b0-3e8d-a196-9f9f18fdd483"]}],"mendeley":{"formattedCitation":"(24)","plainTextFormattedCitation":"(24)","previouslyFormattedCitation":"(24)"},"properties":{"noteIndex":0},"schema":"https://github.com/citation-style-language/schema/raw/master/csl-citation.json"}</w:instrText>
      </w:r>
      <w:r>
        <w:rPr>
          <w:rFonts w:cs="Arial"/>
        </w:rPr>
        <w:fldChar w:fldCharType="separate"/>
      </w:r>
      <w:r w:rsidR="001A0AD4" w:rsidRPr="001A0AD4">
        <w:rPr>
          <w:rFonts w:cs="Arial"/>
          <w:noProof/>
        </w:rPr>
        <w:t>(24)</w:t>
      </w:r>
      <w:r>
        <w:rPr>
          <w:rFonts w:cs="Arial"/>
        </w:rPr>
        <w:fldChar w:fldCharType="end"/>
      </w:r>
      <w:r>
        <w:rPr>
          <w:rFonts w:cs="Arial"/>
        </w:rPr>
        <w:t>; therefore, all patients had to have a 12-month exacerbation-free period before entering the SCCS-exacerbation cohort</w:t>
      </w:r>
      <w:r w:rsidR="00E76C2A">
        <w:rPr>
          <w:rFonts w:cs="Arial"/>
        </w:rPr>
        <w:t xml:space="preserve"> (</w:t>
      </w:r>
      <w:r w:rsidR="009F7751">
        <w:rPr>
          <w:rFonts w:cs="Arial"/>
        </w:rPr>
        <w:t>prior to</w:t>
      </w:r>
      <w:r w:rsidR="00E76C2A">
        <w:rPr>
          <w:rFonts w:cs="Arial"/>
        </w:rPr>
        <w:t xml:space="preserve"> the control period)</w:t>
      </w:r>
      <w:r>
        <w:rPr>
          <w:rFonts w:cs="Arial"/>
        </w:rPr>
        <w:t>. The other outcomes were considered to be independent. A second assumption is that the</w:t>
      </w:r>
      <w:r w:rsidRPr="00896795">
        <w:rPr>
          <w:rFonts w:cs="Arial"/>
        </w:rPr>
        <w:t xml:space="preserve"> </w:t>
      </w:r>
      <w:r>
        <w:rPr>
          <w:rFonts w:cs="Arial"/>
        </w:rPr>
        <w:t>outcome does not affect the probability of exposure. T</w:t>
      </w:r>
      <w:r w:rsidRPr="00896795">
        <w:rPr>
          <w:rFonts w:cs="Arial"/>
        </w:rPr>
        <w:t xml:space="preserve">his potential bias </w:t>
      </w:r>
      <w:r w:rsidR="00487F46">
        <w:rPr>
          <w:rFonts w:cs="Arial"/>
        </w:rPr>
        <w:t xml:space="preserve">is common and simply </w:t>
      </w:r>
      <w:r>
        <w:rPr>
          <w:rFonts w:cs="Arial"/>
        </w:rPr>
        <w:t xml:space="preserve">reduced </w:t>
      </w:r>
      <w:r w:rsidR="00487F46">
        <w:rPr>
          <w:rFonts w:cs="Arial"/>
        </w:rPr>
        <w:t xml:space="preserve">by </w:t>
      </w:r>
      <w:r>
        <w:rPr>
          <w:rFonts w:cs="Arial"/>
        </w:rPr>
        <w:t xml:space="preserve">using a pre-exposure period that is </w:t>
      </w:r>
      <w:r w:rsidR="00487F46">
        <w:rPr>
          <w:rFonts w:cs="Arial"/>
        </w:rPr>
        <w:t xml:space="preserve">then </w:t>
      </w:r>
      <w:r>
        <w:rPr>
          <w:rFonts w:cs="Arial"/>
        </w:rPr>
        <w:t>not included in the analysis</w:t>
      </w:r>
      <w:r>
        <w:rPr>
          <w:rFonts w:cs="Arial"/>
        </w:rPr>
        <w:fldChar w:fldCharType="begin" w:fldLock="1"/>
      </w:r>
      <w:r w:rsidR="00142535">
        <w:rPr>
          <w:rFonts w:cs="Arial"/>
        </w:rPr>
        <w:instrText>ADDIN CSL_CITATION {"citationItems":[{"id":"ITEM-1","itemData":{"DOI":"10.1136/bmj.i4515","ISSN":"1756-1833","author":[{"dropping-particle":"","family":"Petersen","given":"Irene","non-dropping-particle":"","parse-names":false,"suffix":""},{"dropping-particle":"","family":"Douglas","given":"Ian","non-dropping-particle":"","parse-names":false,"suffix":""},{"dropping-particle":"","family":"Whitaker","given":"Heather","non-dropping-particle":"","parse-names":false,"suffix":""}],"container-title":"BMJ","id":"ITEM-1","issued":{"date-parts":[["2016","9","12"]]},"page":"i4515","title":"Self controlled case series methods: an alternative to standard epidemiological study designs","type":"article-journal"},"uris":["http://www.mendeley.com/documents/?uuid=c67905d8-19b0-3e8d-a196-9f9f18fdd483"]}],"mendeley":{"formattedCitation":"(24)","plainTextFormattedCitation":"(24)","previouslyFormattedCitation":"(24)"},"properties":{"noteIndex":0},"schema":"https://github.com/citation-style-language/schema/raw/master/csl-citation.json"}</w:instrText>
      </w:r>
      <w:r>
        <w:rPr>
          <w:rFonts w:cs="Arial"/>
        </w:rPr>
        <w:fldChar w:fldCharType="separate"/>
      </w:r>
      <w:r w:rsidR="001A0AD4" w:rsidRPr="001A0AD4">
        <w:rPr>
          <w:rFonts w:cs="Arial"/>
          <w:noProof/>
        </w:rPr>
        <w:t>(24)</w:t>
      </w:r>
      <w:r>
        <w:rPr>
          <w:rFonts w:cs="Arial"/>
        </w:rPr>
        <w:fldChar w:fldCharType="end"/>
      </w:r>
      <w:r>
        <w:rPr>
          <w:rFonts w:cs="Arial"/>
        </w:rPr>
        <w:t>. Thirdly, the outcome should not increase the probability of death</w:t>
      </w:r>
      <w:r w:rsidR="00487F46">
        <w:rPr>
          <w:rFonts w:cs="Arial"/>
        </w:rPr>
        <w:t>; the typical</w:t>
      </w:r>
      <w:r>
        <w:rPr>
          <w:rFonts w:cs="Arial"/>
        </w:rPr>
        <w:t xml:space="preserve"> approach to deal with this is to carry out a sensitivity analysis excluding patients that died</w:t>
      </w:r>
      <w:r>
        <w:rPr>
          <w:rFonts w:cs="Arial"/>
        </w:rPr>
        <w:fldChar w:fldCharType="begin" w:fldLock="1"/>
      </w:r>
      <w:r w:rsidR="00142535">
        <w:rPr>
          <w:rFonts w:cs="Arial"/>
        </w:rPr>
        <w:instrText>ADDIN CSL_CITATION {"citationItems":[{"id":"ITEM-1","itemData":{"DOI":"10.1136/bmj.i4515","ISSN":"1756-1833","author":[{"dropping-particle":"","family":"Petersen","given":"Irene","non-dropping-particle":"","parse-names":false,"suffix":""},{"dropping-particle":"","family":"Douglas","given":"Ian","non-dropping-particle":"","parse-names":false,"suffix":""},{"dropping-particle":"","family":"Whitaker","given":"Heather","non-dropping-particle":"","parse-names":false,"suffix":""}],"container-title":"BMJ","id":"ITEM-1","issued":{"date-parts":[["2016","9","12"]]},"page":"i4515","title":"Self controlled case series methods: an alternative to standard epidemiological study designs","type":"article-journal"},"uris":["http://www.mendeley.com/documents/?uuid=c67905d8-19b0-3e8d-a196-9f9f18fdd483"]}],"mendeley":{"formattedCitation":"(24)","plainTextFormattedCitation":"(24)","previouslyFormattedCitation":"(24)"},"properties":{"noteIndex":0},"schema":"https://github.com/citation-style-language/schema/raw/master/csl-citation.json"}</w:instrText>
      </w:r>
      <w:r>
        <w:rPr>
          <w:rFonts w:cs="Arial"/>
        </w:rPr>
        <w:fldChar w:fldCharType="separate"/>
      </w:r>
      <w:r w:rsidR="001A0AD4" w:rsidRPr="001A0AD4">
        <w:rPr>
          <w:rFonts w:cs="Arial"/>
          <w:noProof/>
        </w:rPr>
        <w:t>(24)</w:t>
      </w:r>
      <w:r>
        <w:rPr>
          <w:rFonts w:cs="Arial"/>
        </w:rPr>
        <w:fldChar w:fldCharType="end"/>
      </w:r>
      <w:r>
        <w:rPr>
          <w:rFonts w:cs="Arial"/>
        </w:rPr>
        <w:t xml:space="preserve">. </w:t>
      </w:r>
    </w:p>
    <w:p w:rsidR="00E34CAB" w:rsidRDefault="00E34CAB" w:rsidP="00E34CAB">
      <w:pPr>
        <w:jc w:val="both"/>
        <w:rPr>
          <w:rFonts w:cs="Arial"/>
          <w:b/>
        </w:rPr>
      </w:pPr>
      <w:r w:rsidRPr="00E778EC">
        <w:rPr>
          <w:rFonts w:cs="Arial"/>
          <w:b/>
        </w:rPr>
        <w:t>Study population</w:t>
      </w:r>
      <w:r>
        <w:rPr>
          <w:rFonts w:cs="Arial"/>
          <w:b/>
        </w:rPr>
        <w:t xml:space="preserve"> </w:t>
      </w:r>
    </w:p>
    <w:p w:rsidR="00E34CAB" w:rsidRDefault="00E34CAB" w:rsidP="00E34CAB">
      <w:pPr>
        <w:jc w:val="both"/>
        <w:rPr>
          <w:rFonts w:cs="Arial"/>
        </w:rPr>
      </w:pPr>
      <w:r>
        <w:rPr>
          <w:rFonts w:cs="Arial"/>
        </w:rPr>
        <w:t xml:space="preserve">Patients were identified as having asthma or COPD </w:t>
      </w:r>
      <w:r w:rsidRPr="00187E42">
        <w:rPr>
          <w:rFonts w:cs="Arial"/>
        </w:rPr>
        <w:t>using validated algorithms</w:t>
      </w:r>
      <w:r>
        <w:rPr>
          <w:rFonts w:cs="Arial"/>
        </w:rPr>
        <w:fldChar w:fldCharType="begin" w:fldLock="1"/>
      </w:r>
      <w:r w:rsidR="00142535">
        <w:rPr>
          <w:rFonts w:cs="Arial"/>
        </w:rPr>
        <w:instrText>ADDIN CSL_CITATION {"citationItems":[{"id":"ITEM-1","itemData":{"DOI":"10.1136/bmjopen-2017-017474","ISSN":"2044-6055","PMID":"28801439","abstract":"OBJECTIVES The optimal method of identifying people with asthma from electronic health records in primary care is not known. The aim of this study is to determine the positive predictive value (PPV) of different algorithms using clinical codes and prescription data to identify people with asthma in the United Kingdom Clinical Practice Research Datalink (CPRD). METHODS 684 participants registered with a general practitioner (GP) practice contributing to CPRD between 1 December 2013 and 30 November 2015 were selected according to one of eight predefined potential asthma identification algorithms. A questionnaire was sent to the GPs to confirm asthma status and provide additional information to support an asthma diagnosis. Two study physicians independently reviewed and adjudicated the questionnaires and additional information to form a gold standard for asthma diagnosis. The PPV was calculated for each algorithm. RESULTS 684 questionnaires were sent, of which 494 (72%) were returned and 475 (69%) were complete and analysed. All five algorithms including a specific Read code indicating asthma or non-specific Read code accompanied by additional conditions performed well. The PPV for asthma diagnosis using only a specific asthma code was 86.4% (95% CI 77.4% to 95.4%). Extra information on asthma medication prescription (PPV 83.3%), evidence of reversibility testing (PPV 86.0%) or a combination of all three selection criteria (PPV 86.4%) did not result in a higher PPV. The algorithm using non-specific asthma codes, information on reversibility testing and respiratory medication use scored highest (PPV 90.7%, 95% CI (82.8% to 98.7%), but had a much lower identifiable population. Algorithms based on asthma symptom codes had low PPVs (43.1% to 57.8%)%). CONCLUSIONS People with asthma can be accurately identified from UK primary care records using specific Read codes. The inclusion of spirometry or asthma medications in the algorithm did not clearly improve accuracy. ETHICS AND DISSEMINATION The protocol for this research was approved by the Independent Scientific Advisory Committee (ISAC) for MHRA Database Research (protocol number15_257) and the approved protocol was made available to the journal and reviewers during peer review. Generic ethical approval for observational research using the CPRD with approval from ISAC has been granted by a Health Research Authority Research Ethics Committee (East Midlands-Derby, REC reference number 05/MRE04/87).The results wi…","author":[{"dropping-particle":"","family":"Nissen","given":"Francis","non-dropping-particle":"","parse-names":false,"suffix":""},{"dropping-particle":"","family":"Morales","given":"Daniel R","non-dropping-particle":"","parse-names":false,"suffix":""},{"dropping-particle":"","family":"Mullerova","given":"Hana","non-dropping-particle":"","parse-names":false,"suffix":""},{"dropping-particle":"","family":"Smeeth","given":"Liam","non-dropping-particle":"","parse-names":false,"suffix":""},{"dropping-particle":"","family":"Douglas","given":"Ian J","non-dropping-particle":"","parse-names":false,"suffix":""},{"dropping-particle":"","family":"Quint","given":"Jennifer K","non-dropping-particle":"","parse-names":false,"suffix":""}],"container-title":"BMJ Open","id":"ITEM-1","issue":"8","issued":{"date-parts":[["2017","8","11"]]},"page":"e017474","title":"Validation of asthma recording in the Clinical Practice Research Datalink (CPRD)","type":"article-journal","volume":"7"},"uris":["http://www.mendeley.com/documents/?uuid=575641da-c6fe-391c-a5d8-a284041adaa8"]},{"id":"ITEM-2","itemData":{"DOI":"10.1136/bmjopen-2014-005540","ISSN":"2044-6055","PMID":"25056980","abstract":"OBJECTIVES The optimal method of identifying people with chronic obstructive pulmonary disease (COPD) from electronic primary care records is not known. We assessed the accuracy of different approaches using the Clinical Practice Research Datalink, a UK electronic health record database. SETTING 951 participants registered with a CPRD practice in the UK between 1 January 2004 and 31 December 2012. Individuals were selected for ≥1 of 8 algorithms to identify people with COPD. General practitioners were sent a brief questionnaire and additional evidence to support a COPD diagnosis was requested. All information received was reviewed independently by two respiratory physicians whose opinion was taken as the gold standard. PRIMARY OUTCOME MEASURE The primary measure of accuracy was the positive predictive value (PPV), the proportion of people identified by each algorithm for whom COPD was confirmed. RESULTS 951 questionnaires were sent and 738 (78%) returned. After quality control, 696 (73.2%) patients were included in the final analysis. All four algorithms including a specific COPD diagnostic code performed well. Using a diagnostic code alone, the PPV was 86.5% (77.5-92.3%) while requiring a diagnosis plus spirometry plus specific medication; the PPV was slightly higher at 89.4% (80.7-94.5%) but reduced case numbers by 10%. Algorithms without specific diagnostic codes had low PPVs (range 12.2-44.4%). CONCLUSIONS Patients with COPD can be accurately identified from UK primary care records using specific diagnostic codes. Requiring spirometry or COPD medications only marginally improved accuracy. The high accuracy applies since the introduction of an incentivised disease register for COPD as part of Quality and Outcomes Framework in 2004.","author":[{"dropping-particle":"","family":"Quint","given":"J. K.","non-dropping-particle":"","parse-names":false,"suffix":""},{"dropping-particle":"","family":"Mullerova","given":"H.","non-dropping-particle":"","parse-names":false,"suffix":""},{"dropping-particle":"","family":"DiSantostefano","given":"R. L.","non-dropping-particle":"","parse-names":false,"suffix":""},{"dropping-particle":"","family":"Forbes","given":"H.","non-dropping-particle":"","parse-names":false,"suffix":""},{"dropping-particle":"","family":"Eaton","given":"S.","non-dropping-particle":"","parse-names":false,"suffix":""},{"dropping-particle":"","family":"Hurst","given":"J. R.","non-dropping-particle":"","parse-names":false,"suffix":""},{"dropping-particle":"","family":"Davis","given":"K.","non-dropping-particle":"","parse-names":false,"suffix":""},{"dropping-particle":"","family":"Smeeth","given":"L.","non-dropping-particle":"","parse-names":false,"suffix":""}],"container-title":"BMJ Open","id":"ITEM-2","issue":"7","issued":{"date-parts":[["2014","7","23"]]},"page":"e005540-e005540","title":"Validation of chronic obstructive pulmonary disease recording in the Clinical Practice Research Datalink (CPRD-GOLD)","type":"article-journal","volume":"4"},"uris":["http://www.mendeley.com/documents/?uuid=1c31b8e5-a593-36d2-afa3-107a954e271f"]}],"mendeley":{"formattedCitation":"(25,26)","plainTextFormattedCitation":"(25,26)","previouslyFormattedCitation":"(25,26)"},"properties":{"noteIndex":0},"schema":"https://github.com/citation-style-language/schema/raw/master/csl-citation.json"}</w:instrText>
      </w:r>
      <w:r>
        <w:rPr>
          <w:rFonts w:cs="Arial"/>
        </w:rPr>
        <w:fldChar w:fldCharType="separate"/>
      </w:r>
      <w:r w:rsidR="001A0AD4" w:rsidRPr="001A0AD4">
        <w:rPr>
          <w:rFonts w:cs="Arial"/>
          <w:noProof/>
        </w:rPr>
        <w:t>(25,26)</w:t>
      </w:r>
      <w:r>
        <w:rPr>
          <w:rFonts w:cs="Arial"/>
        </w:rPr>
        <w:fldChar w:fldCharType="end"/>
      </w:r>
      <w:r>
        <w:rPr>
          <w:rFonts w:cs="Arial"/>
        </w:rPr>
        <w:t>.</w:t>
      </w:r>
    </w:p>
    <w:p w:rsidR="00E34CAB" w:rsidRPr="00187E42" w:rsidRDefault="00E34CAB" w:rsidP="00E34CAB">
      <w:pPr>
        <w:jc w:val="both"/>
        <w:rPr>
          <w:rFonts w:cs="Arial"/>
          <w:i/>
        </w:rPr>
      </w:pPr>
      <w:r>
        <w:rPr>
          <w:rFonts w:cs="Arial"/>
          <w:i/>
        </w:rPr>
        <w:t>Study population: regular inhaler users</w:t>
      </w:r>
    </w:p>
    <w:p w:rsidR="00E34CAB" w:rsidRDefault="00E34CAB" w:rsidP="00E34CAB">
      <w:pPr>
        <w:jc w:val="both"/>
        <w:rPr>
          <w:rFonts w:cs="Arial"/>
        </w:rPr>
      </w:pPr>
      <w:r>
        <w:rPr>
          <w:rFonts w:cs="Arial"/>
        </w:rPr>
        <w:t>Only patients that were on a regular maintenance inhaler were included; this was defined as ≥3 consecutive prescriptions of the same inhaler class, each within 3 months of the next one. Maintenance inhaler classes were inhaled corticosteroid (ICS), long-acting beta agonist (LABA), combination LABA-ICS, long-acting muscarinic antagonist (LAMA), or combination LAMA-LABA. Prescription data was included from the latest date of the following: 1</w:t>
      </w:r>
      <w:r w:rsidRPr="00203545">
        <w:rPr>
          <w:rFonts w:cs="Arial"/>
          <w:vertAlign w:val="superscript"/>
        </w:rPr>
        <w:t>st</w:t>
      </w:r>
      <w:r>
        <w:rPr>
          <w:rFonts w:cs="Arial"/>
        </w:rPr>
        <w:t xml:space="preserve"> January 2000, patient’s data was research acceptable (CPRD quality control), patient started a continuous CPRD record, 18</w:t>
      </w:r>
      <w:r w:rsidRPr="00DD6779">
        <w:rPr>
          <w:rFonts w:cs="Arial"/>
          <w:vertAlign w:val="superscript"/>
        </w:rPr>
        <w:t>th</w:t>
      </w:r>
      <w:r>
        <w:rPr>
          <w:rFonts w:cs="Arial"/>
        </w:rPr>
        <w:t xml:space="preserve"> birthday (asthma) or 35</w:t>
      </w:r>
      <w:r w:rsidRPr="00DD6779">
        <w:rPr>
          <w:rFonts w:cs="Arial"/>
          <w:vertAlign w:val="superscript"/>
        </w:rPr>
        <w:t>th</w:t>
      </w:r>
      <w:r>
        <w:rPr>
          <w:rFonts w:cs="Arial"/>
        </w:rPr>
        <w:t xml:space="preserve"> birthday (COPD), or first validated asthma/COPD Read code. Follow-up was censored at the earliest date of the following: patient transferred out of CPRD, death, last data collection date, or 31</w:t>
      </w:r>
      <w:r w:rsidRPr="00023108">
        <w:rPr>
          <w:rFonts w:cs="Arial"/>
          <w:vertAlign w:val="superscript"/>
        </w:rPr>
        <w:t>st</w:t>
      </w:r>
      <w:r>
        <w:rPr>
          <w:rFonts w:cs="Arial"/>
        </w:rPr>
        <w:t xml:space="preserve"> December 2016. </w:t>
      </w:r>
    </w:p>
    <w:p w:rsidR="00E34CAB" w:rsidRDefault="00E34CAB" w:rsidP="00E34CAB">
      <w:pPr>
        <w:jc w:val="both"/>
        <w:rPr>
          <w:rFonts w:cs="Arial"/>
          <w:b/>
        </w:rPr>
      </w:pPr>
      <w:r>
        <w:rPr>
          <w:rFonts w:cs="Arial"/>
          <w:b/>
        </w:rPr>
        <w:t>Main exposure and the four outcomes</w:t>
      </w:r>
    </w:p>
    <w:p w:rsidR="00E34CAB" w:rsidRPr="00FD4406" w:rsidRDefault="004B3AA7" w:rsidP="00E34CAB">
      <w:pPr>
        <w:jc w:val="both"/>
        <w:rPr>
          <w:rFonts w:cs="Arial"/>
          <w:i/>
        </w:rPr>
      </w:pPr>
      <w:r>
        <w:rPr>
          <w:rFonts w:cs="Arial"/>
          <w:i/>
        </w:rPr>
        <w:t>Financially-motivated i</w:t>
      </w:r>
      <w:r w:rsidR="00E34CAB" w:rsidRPr="00FD4406">
        <w:rPr>
          <w:rFonts w:cs="Arial"/>
          <w:i/>
        </w:rPr>
        <w:t>nhaler switch</w:t>
      </w:r>
      <w:r w:rsidR="00E34CAB">
        <w:rPr>
          <w:rFonts w:cs="Arial"/>
          <w:i/>
        </w:rPr>
        <w:t xml:space="preserve"> </w:t>
      </w:r>
      <w:r w:rsidR="00582ED7">
        <w:rPr>
          <w:rFonts w:cs="Arial"/>
          <w:i/>
        </w:rPr>
        <w:t>(main exposure)</w:t>
      </w:r>
    </w:p>
    <w:p w:rsidR="00E34CAB" w:rsidRDefault="00E34CAB" w:rsidP="00E34CAB">
      <w:pPr>
        <w:jc w:val="both"/>
        <w:rPr>
          <w:rFonts w:cs="Arial"/>
        </w:rPr>
      </w:pPr>
      <w:r>
        <w:rPr>
          <w:rFonts w:cs="Arial"/>
        </w:rPr>
        <w:t xml:space="preserve">An </w:t>
      </w:r>
      <w:r w:rsidR="00115965">
        <w:rPr>
          <w:rFonts w:cs="Arial"/>
        </w:rPr>
        <w:t xml:space="preserve">inhaler switch was defined as at least </w:t>
      </w:r>
      <w:r>
        <w:rPr>
          <w:rFonts w:cs="Arial"/>
        </w:rPr>
        <w:t>3 consecutive prescriptions of the same inhaler</w:t>
      </w:r>
      <w:r w:rsidR="00115965">
        <w:rPr>
          <w:rFonts w:cs="Arial"/>
        </w:rPr>
        <w:t>,</w:t>
      </w:r>
      <w:r>
        <w:rPr>
          <w:rFonts w:cs="Arial"/>
        </w:rPr>
        <w:t xml:space="preserve"> followed by a subsequent prescription of a different inhaler</w:t>
      </w:r>
      <w:r w:rsidR="00115965">
        <w:rPr>
          <w:rFonts w:cs="Arial"/>
        </w:rPr>
        <w:t>,</w:t>
      </w:r>
      <w:r>
        <w:rPr>
          <w:rFonts w:cs="Arial"/>
        </w:rPr>
        <w:t xml:space="preserve"> in the same therapeutic class</w:t>
      </w:r>
      <w:r w:rsidR="00115965">
        <w:rPr>
          <w:rFonts w:cs="Arial"/>
        </w:rPr>
        <w:t>, each</w:t>
      </w:r>
      <w:r>
        <w:rPr>
          <w:rFonts w:cs="Arial"/>
        </w:rPr>
        <w:t xml:space="preserve"> within 3 months</w:t>
      </w:r>
      <w:r w:rsidR="00115965">
        <w:rPr>
          <w:rFonts w:cs="Arial"/>
        </w:rPr>
        <w:t xml:space="preserve"> of the previous</w:t>
      </w:r>
      <w:r w:rsidR="007A26A0">
        <w:rPr>
          <w:rFonts w:cs="Arial"/>
        </w:rPr>
        <w:t>.</w:t>
      </w:r>
      <w:r>
        <w:rPr>
          <w:rFonts w:cs="Arial"/>
        </w:rPr>
        <w:t xml:space="preserve"> </w:t>
      </w:r>
      <w:r w:rsidR="00115965">
        <w:rPr>
          <w:rFonts w:cs="Arial"/>
        </w:rPr>
        <w:t>For the switch to be defined as</w:t>
      </w:r>
      <w:r w:rsidR="007A26A0">
        <w:rPr>
          <w:rFonts w:cs="Arial"/>
        </w:rPr>
        <w:t xml:space="preserve"> fina</w:t>
      </w:r>
      <w:r w:rsidR="005E6004">
        <w:rPr>
          <w:rFonts w:cs="Arial"/>
        </w:rPr>
        <w:t>ncially-motivated</w:t>
      </w:r>
      <w:r>
        <w:rPr>
          <w:rFonts w:cs="Arial"/>
        </w:rPr>
        <w:t xml:space="preserve"> </w:t>
      </w:r>
      <w:r w:rsidR="005E6004">
        <w:rPr>
          <w:rFonts w:cs="Arial"/>
        </w:rPr>
        <w:t xml:space="preserve">it must </w:t>
      </w:r>
      <w:r w:rsidR="00115965">
        <w:rPr>
          <w:rFonts w:cs="Arial"/>
        </w:rPr>
        <w:t>be</w:t>
      </w:r>
      <w:r>
        <w:rPr>
          <w:rFonts w:cs="Arial"/>
        </w:rPr>
        <w:t xml:space="preserve"> (a) between the same bioequivalent dosage, (b) </w:t>
      </w:r>
      <w:r w:rsidR="005E6004">
        <w:rPr>
          <w:rFonts w:cs="Arial"/>
        </w:rPr>
        <w:t>occurred on a day without a respiratory symptom or adverse-medication symptom/event</w:t>
      </w:r>
      <w:r w:rsidR="00115965">
        <w:rPr>
          <w:rFonts w:cs="Arial"/>
        </w:rPr>
        <w:t xml:space="preserve">, and (c) </w:t>
      </w:r>
      <w:r>
        <w:rPr>
          <w:rFonts w:cs="Arial"/>
        </w:rPr>
        <w:t>not on the day of another new in</w:t>
      </w:r>
      <w:r w:rsidR="005660E2">
        <w:rPr>
          <w:rFonts w:cs="Arial"/>
        </w:rPr>
        <w:t>haler</w:t>
      </w:r>
      <w:r>
        <w:rPr>
          <w:rFonts w:cs="Arial"/>
        </w:rPr>
        <w:t xml:space="preserve">. </w:t>
      </w:r>
      <w:r w:rsidR="004B3AA7">
        <w:rPr>
          <w:rFonts w:cs="Arial"/>
        </w:rPr>
        <w:t xml:space="preserve">Switches were further broken down into those between brand-to-generic inhaler (financial motivation was the only objective), all other switches (financial motivation was highly likely). </w:t>
      </w:r>
      <w:r w:rsidR="00115965">
        <w:rPr>
          <w:rFonts w:cs="Arial"/>
        </w:rPr>
        <w:t>Three months use was arbitrarily defi</w:t>
      </w:r>
      <w:r w:rsidR="004514F2">
        <w:rPr>
          <w:rFonts w:cs="Arial"/>
        </w:rPr>
        <w:t>ned as the time point by which the switch itself</w:t>
      </w:r>
      <w:r w:rsidR="00115965">
        <w:rPr>
          <w:rFonts w:cs="Arial"/>
        </w:rPr>
        <w:t xml:space="preserve"> would have impacted on the patient’s health</w:t>
      </w:r>
      <w:r w:rsidR="00E76C2A">
        <w:rPr>
          <w:rFonts w:cs="Arial"/>
        </w:rPr>
        <w:t xml:space="preserve"> as it expected the effect </w:t>
      </w:r>
      <w:r w:rsidR="00E76C2A">
        <w:rPr>
          <w:rFonts w:cs="Arial"/>
        </w:rPr>
        <w:lastRenderedPageBreak/>
        <w:t xml:space="preserve">of the ‘switch’ would be </w:t>
      </w:r>
      <w:r w:rsidR="003B0666">
        <w:rPr>
          <w:rFonts w:cs="Arial"/>
        </w:rPr>
        <w:t>reasonably immediate</w:t>
      </w:r>
      <w:r w:rsidR="00115965">
        <w:rPr>
          <w:rFonts w:cs="Arial"/>
        </w:rPr>
        <w:t>. This was also further broken down by 1-monthly periods to look for any dose affect over time.</w:t>
      </w:r>
    </w:p>
    <w:p w:rsidR="00E34CAB" w:rsidRPr="00FD4406" w:rsidRDefault="00E34CAB" w:rsidP="00E34CAB">
      <w:pPr>
        <w:jc w:val="both"/>
        <w:rPr>
          <w:rFonts w:cs="Arial"/>
          <w:i/>
        </w:rPr>
      </w:pPr>
      <w:r>
        <w:rPr>
          <w:rFonts w:cs="Arial"/>
          <w:i/>
        </w:rPr>
        <w:t>O</w:t>
      </w:r>
      <w:r w:rsidRPr="00FD4406">
        <w:rPr>
          <w:rFonts w:cs="Arial"/>
          <w:i/>
        </w:rPr>
        <w:t>utcomes</w:t>
      </w:r>
    </w:p>
    <w:p w:rsidR="00E34CAB" w:rsidRDefault="00E34CAB" w:rsidP="00E34CAB">
      <w:pPr>
        <w:jc w:val="both"/>
        <w:rPr>
          <w:rFonts w:cs="Arial"/>
        </w:rPr>
      </w:pPr>
      <w:r>
        <w:rPr>
          <w:rFonts w:cs="Arial"/>
        </w:rPr>
        <w:t>The main outcome of interest was exacerbations. COPD exacerbations were identified using a validated algorithm</w:t>
      </w:r>
      <w:r w:rsidR="003A5A14">
        <w:rPr>
          <w:rFonts w:cs="Arial"/>
        </w:rPr>
        <w:t xml:space="preserve"> for CPRD data</w:t>
      </w:r>
      <w:r>
        <w:rPr>
          <w:rFonts w:cs="Arial"/>
        </w:rPr>
        <w:fldChar w:fldCharType="begin" w:fldLock="1"/>
      </w:r>
      <w:r w:rsidR="00142535">
        <w:rPr>
          <w:rFonts w:cs="Arial"/>
        </w:rPr>
        <w:instrText>ADDIN CSL_CITATION {"citationItems":[{"id":"ITEM-1","itemData":{"DOI":"10.1371/journal.pone.0151357","ISSN":"1932-6203","PMID":"26959820","abstract":"Background Acute Exacerbations of COPD (AECOPD) identified from electronic healthcare records (EHR) are important for research, public health and to inform healthcare utilisation and ser- vice provision. However, there is no standardised method of identifying AECOPD in UK EHR. We aimed to validate the recording of AECOPD in UK EHR. Methods We randomly selected 1385 patients with COPD from the Clinical Practice Research Data- link.Weselected dates of possible AECOPDbased on 15 different algorithms between Jan- uary 2004 and August 2013. Questionnaires were sent to GPs asking for confirmation of their patients’ AECOPD on the dates identified and for any additional relevant information. Responses were reviewed independently by two respiratory physicians. Positive predictive value (PPV) and sensitivity were calculated. Results The response rate was 71.3%. AECOPD diagnostic codes, lower respiratory tract infection (LRTI) codes, and prescriptions of antibiotics and oral corticosteroids (OCS) together for 5–14 days had a high PPV (&gt;75%) for identifying AECOPD. Symptom-based algorithms and prescription of antibiotics or OCS alone had lower PPVs (60–75%). A combined strat- egy of antibiotic and OCS prescriptions for 5–14 days, or LRTI or AECOPD code resulted in a PPV of 85.5% (95% CI, 82.7–88.3%) and a sensitivity of 62.9%(55.4–70.4%). Conclusion","author":[{"dropping-particle":"","family":"Rothnie","given":"Kieran J","non-dropping-particle":"","parse-names":false,"suffix":""},{"dropping-particle":"","family":"Müllerová","given":"Hana","non-dropping-particle":"","parse-names":false,"suffix":""},{"dropping-particle":"","family":"Hurst","given":"John R","non-dropping-particle":"","parse-names":false,"suffix":""},{"dropping-particle":"","family":"Smeeth","given":"Liam","non-dropping-particle":"","parse-names":false,"suffix":""},{"dropping-particle":"","family":"Davis","given":"Kourtney","non-dropping-particle":"","parse-names":false,"suffix":""},{"dropping-particle":"","family":"Thomas","given":"Sara L","non-dropping-particle":"","parse-names":false,"suffix":""},{"dropping-particle":"","family":"Quint","given":"Jennifer K","non-dropping-particle":"","parse-names":false,"suffix":""}],"container-title":"Plos One","id":"ITEM-1","issue":"3","issued":{"date-parts":[["2016"]]},"page":"e0151357","title":"Validation of the Recording of Acute Exacerbations of COPD in UK Primary Care Electronic Healthcare Records","type":"article-journal","volume":"11"},"uris":["http://www.mendeley.com/documents/?uuid=6fa1d7ce-2240-460a-a4a8-fac7a73e1614"]},{"id":"ITEM-2","itemData":{"DOI":"10.2147/CLEP.S117867","ISSN":"1179-1349","PMID":"27920578","abstract":"BACKGROUND Accurate identification of hospitalizations for acute exacerbations of chronic obstructive pulmonary disease (AECOPD) within electronic health care records is important for research, public health, and to inform health care utilization and service provision. We aimed to develop a strategy to identify hospitalizations for AECOPD in secondary care data and to investigate the validity of strategies to identify hospitalizations for AECOPD in primary care data. METHODS We identified patients with chronic obstructive pulmonary disease (COPD) in the Clinical Practice Research Datalink (CPRD) with linked Hospital Episodes Statistics (HES) data. We used discharge summaries for recent hospitalizations for AECOPD to develop a strategy to identify the recording of hospitalizations for AECOPD in HES. We then used the HES strategy as a reference standard to investigate the positive predictive value (PPV) and sensitivity of strategies for identifying AECOPD using general practice CPRD data. We tested two strategies: 1) codes for hospitalization for AECOPD and 2) a code for AECOPD other than hospitalization on the same day as a code for hospitalization due to unspecified reason. RESULTS In total, 27,182 patients with COPD were included. Our strategy to identify hospitalizations for AECOPD in HES had a sensitivity of 87.5%. When compared with HES, using a code suggesting hospitalization for AECOPD in CPRD resulted in a PPV of 50.2% (95% confidence interval [CI] 48.5%-51.8%) and a sensitivity of 4.1% (95% CI 3.9%-4.3%). Using a code for AECOPD and a code for hospitalization due to unspecified reason resulted in a PPV of 43.3% (95% CI 42.3%-44.2%) and a sensitivity of 5.4% (95% CI 5.1%-5.7%). CONCLUSION Hospitalization for AECOPD can be identified with high sensitivity in the HES database. The PPV and sensitivity of strategies to identify hospitalizations for AECOPD in primary care data alone are very poor. Primary care data alone should not be used to identify hospitalizations for AECOPD. Instead, researchers should use data that are linked to data from secondary care.","author":[{"dropping-particle":"","family":"Rothnie","given":"Kieran J","non-dropping-particle":"","parse-names":false,"suffix":""},{"dropping-particle":"","family":"Müllerová","given":"Hana","non-dropping-particle":"","parse-names":false,"suffix":""},{"dropping-particle":"","family":"Thomas","given":"Sara L","non-dropping-particle":"","parse-names":false,"suffix":""},{"dropping-particle":"","family":"Chandan","given":"Joht S","non-dropping-particle":"","parse-names":false,"suffix":""},{"dropping-particle":"","family":"Smeeth","given":"Liam","non-dropping-particle":"","parse-names":false,"suffix":""},{"dropping-particle":"","family":"Hurst","given":"John R","non-dropping-particle":"","parse-names":false,"suffix":""},{"dropping-particle":"","family":"Davis","given":"Kourtney","non-dropping-particle":"","parse-names":false,"suffix":""},{"dropping-particle":"","family":"Quint","given":"Jennifer K","non-dropping-particle":"","parse-names":false,"suffix":""}],"container-title":"Clinical epidemiology","id":"ITEM-2","issued":{"date-parts":[["2016","11"]]},"page":"771-782","title":"Recording of hospitalizations for acute exacerbations of COPD in UK electronic health care records.","type":"article-journal","volume":"8"},"uris":["http://www.mendeley.com/documents/?uuid=54a59c97-4510-37ac-8f78-45360f5ab06a"]}],"mendeley":{"formattedCitation":"(27,28)","plainTextFormattedCitation":"(27,28)","previouslyFormattedCitation":"(27,28)"},"properties":{"noteIndex":0},"schema":"https://github.com/citation-style-language/schema/raw/master/csl-citation.json"}</w:instrText>
      </w:r>
      <w:r>
        <w:rPr>
          <w:rFonts w:cs="Arial"/>
        </w:rPr>
        <w:fldChar w:fldCharType="separate"/>
      </w:r>
      <w:r w:rsidR="001A0AD4" w:rsidRPr="001A0AD4">
        <w:rPr>
          <w:rFonts w:cs="Arial"/>
          <w:noProof/>
        </w:rPr>
        <w:t>(27,28)</w:t>
      </w:r>
      <w:r>
        <w:rPr>
          <w:rFonts w:cs="Arial"/>
        </w:rPr>
        <w:fldChar w:fldCharType="end"/>
      </w:r>
      <w:r>
        <w:rPr>
          <w:rFonts w:cs="Arial"/>
        </w:rPr>
        <w:t>. Asthma exacerbations were identified as previously defined</w:t>
      </w:r>
      <w:r>
        <w:rPr>
          <w:rFonts w:cs="Arial"/>
        </w:rPr>
        <w:fldChar w:fldCharType="begin" w:fldLock="1"/>
      </w:r>
      <w:r w:rsidR="00142535">
        <w:rPr>
          <w:rFonts w:cs="Arial"/>
        </w:rPr>
        <w:instrText>ADDIN CSL_CITATION {"citationItems":[{"id":"ITEM-1","itemData":{"ISSN":"0040-6376","PMID":"29074814","abstract":"BACKGROUND Few studies have examined the characteristics of a general asthma population; most have focused on more severe patients or severe exacerbations. METHODS This population-based cohort study, from April 2007 to September 2015, used linked primary and secondary care electronic healthcare records (Clinical Practice Research Datalink, Hospital Episode Statistics). Characteristics of four age cohorts, 'Under 5s', '5 to 17s', '18 to 54s', '55+', were described. Exacerbation risk factors, including asthma severity (measured by the British Thoracic Society (BTS) stepwise approach), were assessed using Poisson regression. RESULTS 424 326 patients with current asthma were eligible (n, median follow-up: 'Under 5s'=17 320, 1 year; '5 to 17s'=82 707, 3.3 years; '18 to 54s'=210 724, 4 years; '55+'=113 575, 5.1 years). Over 60% of the total study population had mild asthma (BTS steps 1/2). There were differences between the cohort's characteristics, including by gender, disease severity and exacerbation pattern. The rate of exacerbations was highest in the oldest cohort and lowest in the '5 to 17s' cohort (rate per 10 person-years (95% CI), 'Under 5s'=4.27 (4.18 to 4.38), '5 to 17s'=1.48 (1.47 to 1.50), '18 to 54s'=3.22 (3.21 to 3.24), '55+'=9.40 (9.37 to 9.42)). In all cohorts, exacerbation rates increased with increasing asthma severity, after adjusting for confounders including gender, socioeconomic status, smoking, body mass index, atopy, rhinitis, gastro-oesophageal reflux, anxiety, depression and COPD. CONCLUSION The majority of UK patients with asthma had mild asthma and did not experience an exacerbation during follow-up. Patients aged ≥55 years had the lowest proportion with mild asthma and highest rate of exacerbations; the opposite was found in patients aged between 5 and 18 years.","author":[{"dropping-particle":"","family":"Bloom","given":"Chloe I","non-dropping-particle":"","parse-names":false,"suffix":""},{"dropping-particle":"","family":"Nissen","given":"Francis","non-dropping-particle":"","parse-names":false,"suffix":""},{"dropping-particle":"","family":"Douglas","given":"Ian J","non-dropping-particle":"","parse-names":false,"suffix":""},{"dropping-particle":"","family":"Smeeth","given":"Liam","non-dropping-particle":"","parse-names":false,"suffix":""},{"dropping-particle":"","family":"Cullinan","given":"Paul","non-dropping-particle":"","parse-names":false,"suffix":""},{"dropping-particle":"","family":"Quint","given":"Jennifer K","non-dropping-particle":"","parse-names":false,"suffix":""}],"container-title":"Thorax","id":"ITEM-1","issued":{"date-parts":[["2017","10","26"]]},"page":"thoraxjnl-2017-210650","title":"Exacerbation risk and characterisation of the UK’s asthma population from infants to old age","type":"article-journal"},"uris":["http://www.mendeley.com/documents/?uuid=49e060fc-c8d6-3680-bce8-45b3afed5eb4"]}],"mendeley":{"formattedCitation":"(29)","plainTextFormattedCitation":"(29)","previouslyFormattedCitation":"(29)"},"properties":{"noteIndex":0},"schema":"https://github.com/citation-style-language/schema/raw/master/csl-citation.json"}</w:instrText>
      </w:r>
      <w:r>
        <w:rPr>
          <w:rFonts w:cs="Arial"/>
        </w:rPr>
        <w:fldChar w:fldCharType="separate"/>
      </w:r>
      <w:r w:rsidR="001A0AD4" w:rsidRPr="001A0AD4">
        <w:rPr>
          <w:rFonts w:cs="Arial"/>
          <w:noProof/>
        </w:rPr>
        <w:t>(29)</w:t>
      </w:r>
      <w:r>
        <w:rPr>
          <w:rFonts w:cs="Arial"/>
        </w:rPr>
        <w:fldChar w:fldCharType="end"/>
      </w:r>
      <w:r>
        <w:rPr>
          <w:rFonts w:cs="Arial"/>
        </w:rPr>
        <w:t>, a short course of oral corticosteroids,</w:t>
      </w:r>
      <w:r w:rsidRPr="00FD4406">
        <w:rPr>
          <w:rFonts w:cs="Arial"/>
        </w:rPr>
        <w:t xml:space="preserve"> </w:t>
      </w:r>
      <w:r>
        <w:rPr>
          <w:rFonts w:cs="Arial"/>
        </w:rPr>
        <w:t xml:space="preserve">a </w:t>
      </w:r>
      <w:r w:rsidRPr="00FD4406">
        <w:rPr>
          <w:rFonts w:cs="Arial"/>
        </w:rPr>
        <w:t>hospital admission</w:t>
      </w:r>
      <w:r>
        <w:rPr>
          <w:rFonts w:cs="Arial"/>
        </w:rPr>
        <w:t xml:space="preserve"> for asthma or death secondary to asthma</w:t>
      </w:r>
      <w:r w:rsidRPr="00FD4406">
        <w:rPr>
          <w:rFonts w:cs="Arial"/>
        </w:rPr>
        <w:t>.</w:t>
      </w:r>
      <w:r>
        <w:rPr>
          <w:rFonts w:cs="Arial"/>
        </w:rPr>
        <w:t xml:space="preserve"> The other three outcomes were primary care consultations, </w:t>
      </w:r>
      <w:r w:rsidR="00925A2E">
        <w:rPr>
          <w:rFonts w:cs="Arial"/>
        </w:rPr>
        <w:t>non-specific</w:t>
      </w:r>
      <w:r>
        <w:rPr>
          <w:rFonts w:cs="Arial"/>
        </w:rPr>
        <w:t xml:space="preserve"> respiratory events (including respiratory symptoms, inhaler technique, and other asthma and COPD specific events; Supplementary Table 1), and adverse-medication events (Supplementary Table 2). </w:t>
      </w:r>
    </w:p>
    <w:p w:rsidR="00E34CAB" w:rsidRPr="00500DB8" w:rsidRDefault="00E34CAB" w:rsidP="00E34CAB">
      <w:pPr>
        <w:jc w:val="both"/>
        <w:rPr>
          <w:rFonts w:cs="Arial"/>
          <w:b/>
        </w:rPr>
      </w:pPr>
      <w:r w:rsidRPr="00500DB8">
        <w:rPr>
          <w:rFonts w:cs="Arial"/>
          <w:b/>
        </w:rPr>
        <w:t>Population</w:t>
      </w:r>
      <w:r>
        <w:rPr>
          <w:rFonts w:cs="Arial"/>
          <w:b/>
        </w:rPr>
        <w:t>s</w:t>
      </w:r>
      <w:r w:rsidRPr="00500DB8">
        <w:rPr>
          <w:rFonts w:cs="Arial"/>
          <w:b/>
        </w:rPr>
        <w:t xml:space="preserve"> used in the SCCS</w:t>
      </w:r>
      <w:r>
        <w:rPr>
          <w:rFonts w:cs="Arial"/>
          <w:b/>
        </w:rPr>
        <w:t>-</w:t>
      </w:r>
      <w:r w:rsidRPr="00500DB8">
        <w:rPr>
          <w:rFonts w:cs="Arial"/>
          <w:b/>
        </w:rPr>
        <w:t>cohorts</w:t>
      </w:r>
    </w:p>
    <w:p w:rsidR="00E34CAB" w:rsidRDefault="003A5A14" w:rsidP="00E34CAB">
      <w:pPr>
        <w:jc w:val="both"/>
        <w:rPr>
          <w:rFonts w:cs="Arial"/>
        </w:rPr>
      </w:pPr>
      <w:r>
        <w:rPr>
          <w:rFonts w:cs="Arial"/>
        </w:rPr>
        <w:t xml:space="preserve">The </w:t>
      </w:r>
      <w:r w:rsidR="00E34CAB">
        <w:rPr>
          <w:rFonts w:cs="Arial"/>
        </w:rPr>
        <w:t xml:space="preserve">SCCS </w:t>
      </w:r>
      <w:r>
        <w:rPr>
          <w:rFonts w:cs="Arial"/>
        </w:rPr>
        <w:t>analysis requires that each included patient should have the outcome</w:t>
      </w:r>
      <w:r w:rsidR="00303DCE">
        <w:rPr>
          <w:rFonts w:cs="Arial"/>
        </w:rPr>
        <w:t xml:space="preserve"> (</w:t>
      </w:r>
      <w:r>
        <w:rPr>
          <w:rFonts w:cs="Arial"/>
        </w:rPr>
        <w:t xml:space="preserve">at some point during </w:t>
      </w:r>
      <w:r w:rsidR="00303DCE">
        <w:rPr>
          <w:rFonts w:cs="Arial"/>
        </w:rPr>
        <w:t>either the risk or control period), and</w:t>
      </w:r>
      <w:r>
        <w:rPr>
          <w:rFonts w:cs="Arial"/>
        </w:rPr>
        <w:t xml:space="preserve"> the exposure </w:t>
      </w:r>
      <w:r w:rsidR="00303DCE">
        <w:rPr>
          <w:rFonts w:cs="Arial"/>
        </w:rPr>
        <w:t xml:space="preserve">– as </w:t>
      </w:r>
      <w:r>
        <w:rPr>
          <w:rFonts w:cs="Arial"/>
        </w:rPr>
        <w:t>those without both would not contribute to</w:t>
      </w:r>
      <w:r w:rsidR="00303DCE">
        <w:rPr>
          <w:rFonts w:cs="Arial"/>
        </w:rPr>
        <w:t>wards</w:t>
      </w:r>
      <w:r>
        <w:rPr>
          <w:rFonts w:cs="Arial"/>
        </w:rPr>
        <w:t xml:space="preserve"> the rate ratio estimate</w:t>
      </w:r>
      <w:r w:rsidR="00E76C2A">
        <w:rPr>
          <w:rFonts w:cs="Arial"/>
        </w:rPr>
        <w:t xml:space="preserve"> (patient exposed but without an outcome would have a rate of zero</w:t>
      </w:r>
      <w:r w:rsidR="00F95EA8">
        <w:rPr>
          <w:rFonts w:cs="Arial"/>
        </w:rPr>
        <w:t xml:space="preserve"> in all time periods</w:t>
      </w:r>
      <w:r w:rsidR="00E76C2A">
        <w:rPr>
          <w:rFonts w:cs="Arial"/>
        </w:rPr>
        <w:t>)</w:t>
      </w:r>
      <w:r w:rsidR="00303DCE">
        <w:rPr>
          <w:rFonts w:cs="Arial"/>
        </w:rPr>
        <w:t>;</w:t>
      </w:r>
      <w:r>
        <w:rPr>
          <w:rFonts w:cs="Arial"/>
        </w:rPr>
        <w:t xml:space="preserve"> therefore, four different </w:t>
      </w:r>
      <w:r w:rsidR="00E34CAB">
        <w:rPr>
          <w:rFonts w:cs="Arial"/>
        </w:rPr>
        <w:t xml:space="preserve">cohorts were </w:t>
      </w:r>
      <w:r>
        <w:rPr>
          <w:rFonts w:cs="Arial"/>
        </w:rPr>
        <w:t>identified</w:t>
      </w:r>
      <w:r w:rsidR="00E34CAB">
        <w:rPr>
          <w:rFonts w:cs="Arial"/>
        </w:rPr>
        <w:t xml:space="preserve"> </w:t>
      </w:r>
      <w:r>
        <w:rPr>
          <w:rFonts w:cs="Arial"/>
        </w:rPr>
        <w:t>for the four different outcomes</w:t>
      </w:r>
      <w:r w:rsidR="00925A2E">
        <w:rPr>
          <w:rFonts w:cs="Arial"/>
        </w:rPr>
        <w:t xml:space="preserve"> described above</w:t>
      </w:r>
      <w:r w:rsidR="005E6004">
        <w:rPr>
          <w:rFonts w:cs="Arial"/>
        </w:rPr>
        <w:t xml:space="preserve"> (</w:t>
      </w:r>
      <w:r w:rsidR="00E34CAB">
        <w:rPr>
          <w:rFonts w:cs="Arial"/>
        </w:rPr>
        <w:t xml:space="preserve">Figure 2). </w:t>
      </w:r>
      <w:r>
        <w:rPr>
          <w:rFonts w:cs="Arial"/>
        </w:rPr>
        <w:t>The</w:t>
      </w:r>
      <w:r w:rsidR="00E34CAB">
        <w:rPr>
          <w:rFonts w:cs="Arial"/>
        </w:rPr>
        <w:t xml:space="preserve"> SCCS cohorts</w:t>
      </w:r>
      <w:r>
        <w:rPr>
          <w:rFonts w:cs="Arial"/>
        </w:rPr>
        <w:t xml:space="preserve"> were</w:t>
      </w:r>
      <w:r w:rsidR="00E34CAB">
        <w:rPr>
          <w:rFonts w:cs="Arial"/>
        </w:rPr>
        <w:t xml:space="preserve">: (1) exacerbations, (2) GP consultations, (3) </w:t>
      </w:r>
      <w:r w:rsidR="00925A2E">
        <w:rPr>
          <w:rFonts w:cs="Arial"/>
        </w:rPr>
        <w:t>non-specific</w:t>
      </w:r>
      <w:r>
        <w:rPr>
          <w:rFonts w:cs="Arial"/>
        </w:rPr>
        <w:t xml:space="preserve"> </w:t>
      </w:r>
      <w:r w:rsidR="00E34CAB">
        <w:rPr>
          <w:rFonts w:cs="Arial"/>
        </w:rPr>
        <w:t xml:space="preserve">respiratory events and (4) adverse-medication events. </w:t>
      </w:r>
      <w:r>
        <w:rPr>
          <w:rFonts w:cs="Arial"/>
        </w:rPr>
        <w:t>Study</w:t>
      </w:r>
      <w:r w:rsidR="00E34CAB">
        <w:rPr>
          <w:rFonts w:cs="Arial"/>
        </w:rPr>
        <w:t xml:space="preserve"> </w:t>
      </w:r>
      <w:r>
        <w:rPr>
          <w:rFonts w:cs="Arial"/>
        </w:rPr>
        <w:t xml:space="preserve">follow-up was a maximum of 2 years. All patients </w:t>
      </w:r>
      <w:r w:rsidR="00E34CAB">
        <w:rPr>
          <w:rFonts w:cs="Arial"/>
        </w:rPr>
        <w:t>entered the SCCS analysis 12-months before the non-</w:t>
      </w:r>
      <w:r>
        <w:rPr>
          <w:rFonts w:cs="Arial"/>
        </w:rPr>
        <w:t>clinical inhaler switch, and</w:t>
      </w:r>
      <w:r w:rsidR="00E34CAB">
        <w:rPr>
          <w:rFonts w:cs="Arial"/>
        </w:rPr>
        <w:t xml:space="preserve"> were censored at the earliest date of: 12-months after the inhaler switch, death, transferred out of CPRD, or last data collection. The exacerbation SCCS-cohort only comprised of patien</w:t>
      </w:r>
      <w:r>
        <w:rPr>
          <w:rFonts w:cs="Arial"/>
        </w:rPr>
        <w:t>ts with linked HES</w:t>
      </w:r>
      <w:r w:rsidR="00303DCE">
        <w:rPr>
          <w:rFonts w:cs="Arial"/>
        </w:rPr>
        <w:t>/</w:t>
      </w:r>
      <w:r>
        <w:rPr>
          <w:rFonts w:cs="Arial"/>
        </w:rPr>
        <w:t>ONS</w:t>
      </w:r>
      <w:r w:rsidR="00303DCE">
        <w:rPr>
          <w:rFonts w:cs="Arial"/>
        </w:rPr>
        <w:t xml:space="preserve"> data</w:t>
      </w:r>
      <w:r>
        <w:rPr>
          <w:rFonts w:cs="Arial"/>
        </w:rPr>
        <w:t xml:space="preserve"> (to ensure inclusion of hospital treated exacerbations).</w:t>
      </w:r>
      <w:r w:rsidR="00E34CAB">
        <w:rPr>
          <w:rFonts w:cs="Arial"/>
        </w:rPr>
        <w:t xml:space="preserve"> </w:t>
      </w:r>
    </w:p>
    <w:p w:rsidR="00E34CAB" w:rsidRPr="00421849" w:rsidRDefault="00E34CAB" w:rsidP="00E34CAB">
      <w:pPr>
        <w:jc w:val="both"/>
        <w:rPr>
          <w:rFonts w:cs="Arial"/>
          <w:b/>
        </w:rPr>
      </w:pPr>
      <w:r w:rsidRPr="00421849">
        <w:rPr>
          <w:rFonts w:cs="Arial"/>
          <w:b/>
        </w:rPr>
        <w:t>Measuring adherence</w:t>
      </w:r>
    </w:p>
    <w:p w:rsidR="00E34CAB" w:rsidRDefault="00E34CAB" w:rsidP="00E34CAB">
      <w:pPr>
        <w:jc w:val="both"/>
        <w:rPr>
          <w:rFonts w:cs="Arial"/>
        </w:rPr>
      </w:pPr>
      <w:r>
        <w:rPr>
          <w:rFonts w:cs="Arial"/>
        </w:rPr>
        <w:t>Adherence was calculated using the medication possession ratio (MPR); the sum of the days medication was prescribed, divided by the total number of days between the first and the last prescription plus the duration of the last prescription; this number is then expressed as a percentage.</w:t>
      </w:r>
      <w:r w:rsidR="00C843F4">
        <w:rPr>
          <w:rFonts w:cs="Arial"/>
        </w:rPr>
        <w:t xml:space="preserve"> MPR was compared between </w:t>
      </w:r>
      <w:r w:rsidR="001464DC">
        <w:rPr>
          <w:rFonts w:cs="Arial"/>
        </w:rPr>
        <w:t>pre-switch (1</w:t>
      </w:r>
      <w:r w:rsidR="00C843F4">
        <w:rPr>
          <w:rFonts w:cs="Arial"/>
        </w:rPr>
        <w:t>2-months before the switch</w:t>
      </w:r>
      <w:r w:rsidR="001464DC">
        <w:rPr>
          <w:rFonts w:cs="Arial"/>
        </w:rPr>
        <w:t>)</w:t>
      </w:r>
      <w:r w:rsidR="00C843F4">
        <w:rPr>
          <w:rFonts w:cs="Arial"/>
        </w:rPr>
        <w:t xml:space="preserve"> and </w:t>
      </w:r>
      <w:r w:rsidR="001464DC">
        <w:rPr>
          <w:rFonts w:cs="Arial"/>
        </w:rPr>
        <w:t>post-switch (</w:t>
      </w:r>
      <w:r w:rsidR="00C843F4">
        <w:rPr>
          <w:rFonts w:cs="Arial"/>
        </w:rPr>
        <w:t>from the switch until follow-up ended</w:t>
      </w:r>
      <w:r w:rsidR="001464DC">
        <w:rPr>
          <w:rFonts w:cs="Arial"/>
        </w:rPr>
        <w:t>)</w:t>
      </w:r>
      <w:r w:rsidR="00C843F4">
        <w:rPr>
          <w:rFonts w:cs="Arial"/>
        </w:rPr>
        <w:t>.</w:t>
      </w:r>
    </w:p>
    <w:p w:rsidR="00E34CAB" w:rsidRPr="001775A8" w:rsidRDefault="00E34CAB" w:rsidP="00E34CAB">
      <w:pPr>
        <w:jc w:val="both"/>
        <w:rPr>
          <w:rFonts w:cs="Arial"/>
          <w:b/>
        </w:rPr>
      </w:pPr>
      <w:r w:rsidRPr="00220D20">
        <w:rPr>
          <w:rFonts w:cs="Arial"/>
          <w:b/>
        </w:rPr>
        <w:t xml:space="preserve">Statistical </w:t>
      </w:r>
      <w:r>
        <w:rPr>
          <w:rFonts w:cs="Arial"/>
          <w:b/>
        </w:rPr>
        <w:t>and sensitivity analyses</w:t>
      </w:r>
    </w:p>
    <w:p w:rsidR="00E34CAB" w:rsidRDefault="00E34CAB" w:rsidP="00E34CAB">
      <w:pPr>
        <w:jc w:val="both"/>
        <w:rPr>
          <w:rFonts w:cs="Arial"/>
        </w:rPr>
      </w:pPr>
      <w:r>
        <w:rPr>
          <w:rFonts w:cs="Arial"/>
        </w:rPr>
        <w:t xml:space="preserve">Event rates were compared during the risk period (for 3-months after exposure) and the </w:t>
      </w:r>
      <w:r w:rsidR="00134C5E">
        <w:rPr>
          <w:rFonts w:cs="Arial"/>
        </w:rPr>
        <w:t>control</w:t>
      </w:r>
      <w:r>
        <w:rPr>
          <w:rFonts w:cs="Arial"/>
        </w:rPr>
        <w:t xml:space="preserve"> period</w:t>
      </w:r>
      <w:r w:rsidR="00134C5E">
        <w:rPr>
          <w:rFonts w:cs="Arial"/>
        </w:rPr>
        <w:t>s</w:t>
      </w:r>
      <w:r>
        <w:rPr>
          <w:rFonts w:cs="Arial"/>
        </w:rPr>
        <w:t xml:space="preserve"> (11-months before the pre-exposure 1-month period, and from the end of the risk period until censored) (Figure 1). IRRs were also measured for each consecutive 1-month period during the 3-month risk period. </w:t>
      </w:r>
      <w:r w:rsidR="00134C5E">
        <w:rPr>
          <w:rFonts w:cs="Arial"/>
        </w:rPr>
        <w:t xml:space="preserve">The exacerbation analysis was stratified by the type of inhaler that was switched between; switches from a branded to a generic inhaler were analysed separately, as these should only be carried out for financial gain. Other scenarios (switches between: generic to branded, branded to branded, or generic to generic) were analysed separately as it is possible some of these switches may have been carried out for an undocumented clinical reason. </w:t>
      </w:r>
      <w:r>
        <w:rPr>
          <w:rFonts w:cs="Arial"/>
        </w:rPr>
        <w:t xml:space="preserve">IRRs were estimated using fixed effects conditional Poisson regression models. The effect was adjusted for age using age bands (years: 18-45, 45-55, 55-65, 65-75, 75-85, 85-110). Evidence of interaction was assessed using likelihood ratio tests for several time-invariant variables: respiratory condition, gender, therapeutic class, generic/brand switch, device switch, kept/not kept on same inhaler. The effects were reported by stratifying the analysis for each variable. </w:t>
      </w:r>
      <w:r w:rsidR="00115965">
        <w:rPr>
          <w:rFonts w:cs="Arial"/>
        </w:rPr>
        <w:t>A</w:t>
      </w:r>
      <w:r w:rsidR="006708AF">
        <w:rPr>
          <w:rFonts w:cs="Arial"/>
        </w:rPr>
        <w:t xml:space="preserve"> negative control analys</w:t>
      </w:r>
      <w:r w:rsidR="00C53F88">
        <w:rPr>
          <w:rFonts w:cs="Arial"/>
        </w:rPr>
        <w:t>i</w:t>
      </w:r>
      <w:r w:rsidR="006708AF">
        <w:rPr>
          <w:rFonts w:cs="Arial"/>
        </w:rPr>
        <w:t xml:space="preserve">s was also carried out, such that the ‘exposure’ </w:t>
      </w:r>
      <w:r w:rsidR="006708AF">
        <w:rPr>
          <w:rFonts w:cs="Arial"/>
        </w:rPr>
        <w:lastRenderedPageBreak/>
        <w:t xml:space="preserve">date was a random consecutive inhaler prescription; patients also had to fulfil all </w:t>
      </w:r>
      <w:r>
        <w:rPr>
          <w:rFonts w:cs="Arial"/>
        </w:rPr>
        <w:t>eligibility criteria of the SCCS cohort. Stata 14</w:t>
      </w:r>
      <w:r w:rsidRPr="003542E0">
        <w:rPr>
          <w:rFonts w:cs="Arial"/>
        </w:rPr>
        <w:t xml:space="preserve">.0 was used for </w:t>
      </w:r>
      <w:r>
        <w:rPr>
          <w:rFonts w:cs="Arial"/>
        </w:rPr>
        <w:t xml:space="preserve">all </w:t>
      </w:r>
      <w:r w:rsidRPr="003542E0">
        <w:rPr>
          <w:rFonts w:cs="Arial"/>
        </w:rPr>
        <w:t>analysis.</w:t>
      </w:r>
    </w:p>
    <w:p w:rsidR="00E34CAB" w:rsidRPr="00C048D1" w:rsidRDefault="00E34CAB" w:rsidP="00E34CAB">
      <w:pPr>
        <w:jc w:val="both"/>
        <w:rPr>
          <w:rFonts w:cs="Arial"/>
          <w:b/>
        </w:rPr>
      </w:pPr>
      <w:r w:rsidRPr="00100168">
        <w:rPr>
          <w:rFonts w:cs="Arial"/>
          <w:b/>
        </w:rPr>
        <w:t>Cost analysis of switching inhalers</w:t>
      </w:r>
    </w:p>
    <w:p w:rsidR="00E34CAB" w:rsidRDefault="00E34CAB" w:rsidP="00E34CAB">
      <w:pPr>
        <w:jc w:val="both"/>
        <w:rPr>
          <w:rFonts w:cs="Arial"/>
        </w:rPr>
      </w:pPr>
      <w:r>
        <w:rPr>
          <w:rFonts w:cs="Arial"/>
        </w:rPr>
        <w:t xml:space="preserve">Inhaler prices were obtained using 2017 NHS indicative prices from the </w:t>
      </w:r>
      <w:r w:rsidRPr="005A665A">
        <w:rPr>
          <w:rFonts w:cs="Arial"/>
        </w:rPr>
        <w:t>NHS Dictionary of Medicines and Devices (dm+d)</w:t>
      </w:r>
      <w:r>
        <w:rPr>
          <w:rFonts w:cs="Arial"/>
        </w:rPr>
        <w:t xml:space="preserve">. </w:t>
      </w:r>
      <w:r w:rsidR="001F788B">
        <w:rPr>
          <w:rFonts w:cs="Arial"/>
        </w:rPr>
        <w:t xml:space="preserve">All costs were calculated per bioequivalent medication dose. Assumptions about how many inhalers could be switched to generic inhalers used NHS product availability in 2017. </w:t>
      </w:r>
      <w:r>
        <w:rPr>
          <w:rFonts w:cs="Arial"/>
        </w:rPr>
        <w:t xml:space="preserve">Cost differences were based on the inhaler cost only. </w:t>
      </w:r>
    </w:p>
    <w:p w:rsidR="00E34CAB" w:rsidRDefault="00E34CAB" w:rsidP="00E34CAB">
      <w:pPr>
        <w:jc w:val="both"/>
        <w:rPr>
          <w:rFonts w:cs="Arial"/>
          <w:b/>
        </w:rPr>
      </w:pPr>
      <w:r>
        <w:rPr>
          <w:rFonts w:cs="Arial"/>
          <w:b/>
        </w:rPr>
        <w:t>Ethical approval</w:t>
      </w:r>
    </w:p>
    <w:p w:rsidR="00E34CAB" w:rsidRPr="00803E50" w:rsidRDefault="00E34CAB" w:rsidP="00E34CAB">
      <w:pPr>
        <w:jc w:val="both"/>
        <w:rPr>
          <w:rFonts w:cs="Arial"/>
        </w:rPr>
      </w:pPr>
      <w:r w:rsidRPr="00803E50">
        <w:rPr>
          <w:rFonts w:cs="Arial"/>
        </w:rPr>
        <w:t>The protocol for this research was approved by the Independent Scientific Advisory Committee (ISAC) for MHRA Database Research (protoc</w:t>
      </w:r>
      <w:r>
        <w:rPr>
          <w:rFonts w:cs="Arial"/>
        </w:rPr>
        <w:t>ol number 17_090RAR</w:t>
      </w:r>
      <w:r w:rsidRPr="00803E50">
        <w:rPr>
          <w:rFonts w:cs="Arial"/>
        </w:rPr>
        <w:t>) and the approved protocol was made available to the journal and reviewers during peer review. Generic ethical approval for o</w:t>
      </w:r>
      <w:r>
        <w:rPr>
          <w:rFonts w:cs="Arial"/>
        </w:rPr>
        <w:t xml:space="preserve">bservational research using </w:t>
      </w:r>
      <w:r w:rsidRPr="00803E50">
        <w:rPr>
          <w:rFonts w:cs="Arial"/>
        </w:rPr>
        <w:t>CPRD with approval from ISAC has been granted by a Health Research Authority (HRA) Research Ethics Committee (East Midlands – Derby, REC reference number 05/MRE04/87).</w:t>
      </w:r>
      <w:r>
        <w:rPr>
          <w:rFonts w:cs="Arial"/>
        </w:rPr>
        <w:t xml:space="preserve"> </w:t>
      </w:r>
      <w:r w:rsidRPr="00BE6E40">
        <w:rPr>
          <w:rFonts w:cstheme="minorHAnsi"/>
        </w:rPr>
        <w:t>Linked pseudonymised data was provided for this study by CPRD. Data is linked by NHS Digital, the statutory trusted third party for linking data, using identifiable data held only by NHS Digital. Select practices consent to this process at a practice level with individual patients having the right to opt-out.</w:t>
      </w:r>
    </w:p>
    <w:p w:rsidR="001027A4" w:rsidRDefault="001027A4" w:rsidP="001027A4">
      <w:pPr>
        <w:jc w:val="center"/>
        <w:rPr>
          <w:rFonts w:cs="Arial"/>
          <w:b/>
          <w:szCs w:val="18"/>
        </w:rPr>
      </w:pPr>
    </w:p>
    <w:p w:rsidR="001027A4" w:rsidRPr="002218FE" w:rsidRDefault="001027A4" w:rsidP="001027A4">
      <w:pPr>
        <w:jc w:val="center"/>
        <w:rPr>
          <w:rFonts w:cs="Arial"/>
          <w:b/>
          <w:szCs w:val="18"/>
        </w:rPr>
      </w:pPr>
      <w:r w:rsidRPr="002218FE">
        <w:rPr>
          <w:rFonts w:cs="Arial"/>
          <w:b/>
          <w:szCs w:val="18"/>
        </w:rPr>
        <w:t>Results</w:t>
      </w:r>
    </w:p>
    <w:p w:rsidR="001027A4" w:rsidRPr="002218FE" w:rsidRDefault="001027A4" w:rsidP="001027A4">
      <w:pPr>
        <w:jc w:val="both"/>
        <w:rPr>
          <w:rFonts w:cs="Arial"/>
          <w:b/>
          <w:szCs w:val="18"/>
        </w:rPr>
      </w:pPr>
      <w:r>
        <w:rPr>
          <w:rFonts w:cs="Arial"/>
          <w:b/>
          <w:szCs w:val="18"/>
        </w:rPr>
        <w:t xml:space="preserve">Temporal changes in </w:t>
      </w:r>
      <w:r w:rsidRPr="002218FE">
        <w:rPr>
          <w:rFonts w:cs="Arial"/>
          <w:b/>
          <w:szCs w:val="18"/>
        </w:rPr>
        <w:t>UK</w:t>
      </w:r>
      <w:r>
        <w:rPr>
          <w:rFonts w:cs="Arial"/>
          <w:b/>
          <w:szCs w:val="18"/>
        </w:rPr>
        <w:t xml:space="preserve"> generic and device </w:t>
      </w:r>
      <w:r w:rsidRPr="002218FE">
        <w:rPr>
          <w:rFonts w:cs="Arial"/>
          <w:b/>
          <w:szCs w:val="18"/>
        </w:rPr>
        <w:t>prescriptions</w:t>
      </w:r>
      <w:r>
        <w:rPr>
          <w:rFonts w:cs="Arial"/>
          <w:b/>
          <w:szCs w:val="18"/>
        </w:rPr>
        <w:t xml:space="preserve"> </w:t>
      </w:r>
    </w:p>
    <w:p w:rsidR="001027A4" w:rsidRPr="00147088" w:rsidRDefault="001027A4" w:rsidP="001027A4">
      <w:pPr>
        <w:jc w:val="both"/>
        <w:rPr>
          <w:rFonts w:cs="Arial"/>
          <w:szCs w:val="18"/>
        </w:rPr>
      </w:pPr>
      <w:r>
        <w:rPr>
          <w:rFonts w:cs="Arial"/>
          <w:szCs w:val="18"/>
        </w:rPr>
        <w:t xml:space="preserve">There has been a fall in the proportion of generic prescriptions for all </w:t>
      </w:r>
      <w:r>
        <w:rPr>
          <w:rFonts w:cs="Arial"/>
        </w:rPr>
        <w:t>therapeutic</w:t>
      </w:r>
      <w:r>
        <w:rPr>
          <w:rFonts w:cs="Arial"/>
          <w:szCs w:val="18"/>
        </w:rPr>
        <w:t xml:space="preserve"> classes in asthma and COPD; most notable in ICS prescriptions (Supplementary Figure </w:t>
      </w:r>
      <w:r w:rsidR="00E23AED">
        <w:rPr>
          <w:rFonts w:cs="Arial"/>
          <w:szCs w:val="18"/>
        </w:rPr>
        <w:t>1</w:t>
      </w:r>
      <w:r>
        <w:rPr>
          <w:rFonts w:cs="Arial"/>
          <w:szCs w:val="18"/>
        </w:rPr>
        <w:t xml:space="preserve">). The proportion of dry powder inhaler (DPI) </w:t>
      </w:r>
      <w:r w:rsidR="00C53F88">
        <w:rPr>
          <w:rFonts w:cs="Arial"/>
          <w:szCs w:val="18"/>
        </w:rPr>
        <w:t>used</w:t>
      </w:r>
      <w:r>
        <w:rPr>
          <w:rFonts w:cs="Arial"/>
          <w:szCs w:val="18"/>
        </w:rPr>
        <w:t xml:space="preserve"> in asthma </w:t>
      </w:r>
      <w:r w:rsidR="00C53F88">
        <w:rPr>
          <w:rFonts w:cs="Arial"/>
          <w:szCs w:val="18"/>
        </w:rPr>
        <w:t xml:space="preserve">dropped from 50% in 2000 </w:t>
      </w:r>
      <w:r>
        <w:rPr>
          <w:rFonts w:cs="Arial"/>
          <w:szCs w:val="18"/>
        </w:rPr>
        <w:t>to 30% in 2016, but remained around 50%</w:t>
      </w:r>
      <w:r w:rsidR="00E23AED">
        <w:rPr>
          <w:rFonts w:cs="Arial"/>
          <w:szCs w:val="18"/>
        </w:rPr>
        <w:t xml:space="preserve"> in COPD (Supplementary Figure 2</w:t>
      </w:r>
      <w:r>
        <w:rPr>
          <w:rFonts w:cs="Arial"/>
          <w:szCs w:val="18"/>
        </w:rPr>
        <w:t xml:space="preserve">). </w:t>
      </w:r>
    </w:p>
    <w:p w:rsidR="001027A4" w:rsidRPr="001F77B0" w:rsidRDefault="001027A4" w:rsidP="001027A4">
      <w:pPr>
        <w:jc w:val="both"/>
        <w:rPr>
          <w:b/>
        </w:rPr>
      </w:pPr>
      <w:r>
        <w:rPr>
          <w:b/>
        </w:rPr>
        <w:t>Low p</w:t>
      </w:r>
      <w:r w:rsidRPr="00DD6779">
        <w:rPr>
          <w:b/>
        </w:rPr>
        <w:t>revalence of inhaler switching</w:t>
      </w:r>
      <w:r>
        <w:rPr>
          <w:b/>
        </w:rPr>
        <w:t xml:space="preserve"> </w:t>
      </w:r>
    </w:p>
    <w:p w:rsidR="001027A4" w:rsidRDefault="001027A4" w:rsidP="001027A4">
      <w:pPr>
        <w:jc w:val="both"/>
      </w:pPr>
      <w:r>
        <w:t xml:space="preserve">Over the last decade the proportion of patient’s that had their inhalers switched within the same </w:t>
      </w:r>
      <w:r>
        <w:rPr>
          <w:rFonts w:cs="Arial"/>
        </w:rPr>
        <w:t>therapeutic</w:t>
      </w:r>
      <w:r>
        <w:t xml:space="preserve"> class was low, although it slightly increased over time (2006-2016: asthma N=569,901, 2% to 6% switched; COPD N=171,32</w:t>
      </w:r>
      <w:r w:rsidR="00E23AED">
        <w:t>1, 3% to 10% switched) (Supplementary Figure 3</w:t>
      </w:r>
      <w:r>
        <w:t>). Around two-thirds of switches were for non-clinical reasons, the majority were between branded and generic products</w:t>
      </w:r>
      <w:r w:rsidR="006A1B7C">
        <w:t>,</w:t>
      </w:r>
      <w:r>
        <w:t xml:space="preserve"> </w:t>
      </w:r>
      <w:r w:rsidR="006A1B7C">
        <w:t>and around</w:t>
      </w:r>
      <w:r>
        <w:t xml:space="preserve"> one-third were for increases in medication dose or adverse-medication effects. Inhaler switching peaks were in 2001 (Becotide, a phased out ICS), 2007/8 (chlorofluorocarbons, phased out MDIs), and 2014 onwards (LAMA and combination LABA-ICS inhalers). </w:t>
      </w:r>
    </w:p>
    <w:p w:rsidR="001027A4" w:rsidRPr="00C75A15" w:rsidRDefault="001027A4" w:rsidP="001027A4">
      <w:pPr>
        <w:jc w:val="both"/>
        <w:rPr>
          <w:b/>
        </w:rPr>
      </w:pPr>
      <w:r>
        <w:rPr>
          <w:b/>
        </w:rPr>
        <w:t>SCCS-</w:t>
      </w:r>
      <w:r w:rsidRPr="00E778EC">
        <w:rPr>
          <w:b/>
        </w:rPr>
        <w:t>cohort</w:t>
      </w:r>
      <w:r>
        <w:rPr>
          <w:b/>
        </w:rPr>
        <w:t>s were similar to the regular inhaler users</w:t>
      </w:r>
    </w:p>
    <w:p w:rsidR="001027A4" w:rsidRDefault="001027A4" w:rsidP="001027A4">
      <w:pPr>
        <w:jc w:val="both"/>
      </w:pPr>
      <w:r>
        <w:t>Of those with a non-clinical inhaler switch, 5,242 patients met eligibility criteria for the exacerbation SCCS-cohort, 50,289 for the consultations SCCS-cohort, 51,659 for the respiratory events SCCS-cohort and 3,258 for the adverse-medication events SCCS-co</w:t>
      </w:r>
      <w:r w:rsidR="00E23AED">
        <w:t>hort (Figure 2</w:t>
      </w:r>
      <w:r>
        <w:t xml:space="preserve">). The four SCCS-cohorts were broadly similar in characteristics to the populations they were derived from (Table 1). The SCCS-cohorts were also </w:t>
      </w:r>
      <w:r w:rsidR="001F788B">
        <w:t>similar</w:t>
      </w:r>
      <w:r>
        <w:t xml:space="preserve"> to the much large</w:t>
      </w:r>
      <w:r w:rsidR="00E2109E">
        <w:t>r</w:t>
      </w:r>
      <w:r>
        <w:t xml:space="preserve"> population of regular inhaler users (Supplementary Table </w:t>
      </w:r>
      <w:r>
        <w:lastRenderedPageBreak/>
        <w:t>3). The SCCS-cohorts were equivalent in terms of inhalers prescribed, frequency of inhaler technique checks (around 40%) and proportion that had experienced adverse-medicati</w:t>
      </w:r>
      <w:r w:rsidR="00925A2E">
        <w:t>on events (around 2%) (Table 1</w:t>
      </w:r>
      <w:r>
        <w:t xml:space="preserve">); except for the adverse-medication events SCCS-cohort, as would be expected. </w:t>
      </w:r>
    </w:p>
    <w:p w:rsidR="001027A4" w:rsidRDefault="001027A4" w:rsidP="001027A4">
      <w:pPr>
        <w:jc w:val="both"/>
      </w:pPr>
      <w:r>
        <w:t>Most non-clinical inhaler switches occurred with ICS and LABA-ICS. Around 90% were between an identical drug (Table 1), approximately three-quarters were between the same device type, and around 80% were between generic and brand. Around 95% of patients kept the inhaler that they were switched to.</w:t>
      </w:r>
    </w:p>
    <w:p w:rsidR="001027A4" w:rsidRPr="00C75A15" w:rsidRDefault="001027A4" w:rsidP="001027A4">
      <w:pPr>
        <w:jc w:val="both"/>
        <w:rPr>
          <w:b/>
        </w:rPr>
      </w:pPr>
      <w:r w:rsidRPr="00C75A15">
        <w:rPr>
          <w:b/>
        </w:rPr>
        <w:t>Health impact of non-clinical inhaler switching</w:t>
      </w:r>
    </w:p>
    <w:p w:rsidR="001027A4" w:rsidRDefault="002211D0" w:rsidP="001027A4">
      <w:pPr>
        <w:jc w:val="both"/>
      </w:pPr>
      <w:r>
        <w:t>T</w:t>
      </w:r>
      <w:r w:rsidR="001027A4">
        <w:t>he IRR of an exacer</w:t>
      </w:r>
      <w:r w:rsidR="006A1B7C">
        <w:t xml:space="preserve">bation was significantly lower </w:t>
      </w:r>
      <w:r w:rsidR="001027A4">
        <w:t>after switching (</w:t>
      </w:r>
      <w:r w:rsidR="006A1B7C">
        <w:t>brand-to-generic</w:t>
      </w:r>
      <w:r w:rsidR="00097929">
        <w:t>: crude IRR= 0.74, 95% CI 0.63-0.87, age-adjusted IRR</w:t>
      </w:r>
      <w:r w:rsidR="001027A4">
        <w:t>=0.7</w:t>
      </w:r>
      <w:r w:rsidR="002B1A43">
        <w:t>5, 95% CI 0.64</w:t>
      </w:r>
      <w:r w:rsidR="001027A4">
        <w:t>-0.8</w:t>
      </w:r>
      <w:r w:rsidR="002B1A43">
        <w:t>8</w:t>
      </w:r>
      <w:r w:rsidR="00097929">
        <w:t>;</w:t>
      </w:r>
      <w:r w:rsidR="006A1B7C">
        <w:t xml:space="preserve"> all other switches</w:t>
      </w:r>
      <w:r w:rsidR="00097929">
        <w:t>: crude IRR=</w:t>
      </w:r>
      <w:r w:rsidR="00E96E29">
        <w:t>0.78</w:t>
      </w:r>
      <w:r w:rsidR="00097929">
        <w:t>, 95% CI</w:t>
      </w:r>
      <w:r w:rsidR="00E96E29">
        <w:t xml:space="preserve"> 0.70-0.87</w:t>
      </w:r>
      <w:r w:rsidR="00097929">
        <w:t>, age-adjusted</w:t>
      </w:r>
      <w:r w:rsidR="006A1B7C">
        <w:t>=</w:t>
      </w:r>
      <w:r w:rsidR="00097929">
        <w:t>0.79, 95% CI 0.71-0.88</w:t>
      </w:r>
      <w:r w:rsidR="00B46A33">
        <w:t>). Differences in p</w:t>
      </w:r>
      <w:r>
        <w:t>atient characteristics</w:t>
      </w:r>
      <w:r w:rsidR="00B46A33">
        <w:t>,</w:t>
      </w:r>
      <w:r>
        <w:t xml:space="preserve"> </w:t>
      </w:r>
      <w:r w:rsidR="00B46A33">
        <w:t>or differences in measured factors related to the inhalers,</w:t>
      </w:r>
      <w:r>
        <w:t xml:space="preserve"> did not </w:t>
      </w:r>
      <w:r w:rsidR="00B46A33">
        <w:t>significantly</w:t>
      </w:r>
      <w:r w:rsidR="001027A4">
        <w:t xml:space="preserve"> </w:t>
      </w:r>
      <w:r w:rsidR="00B46A33">
        <w:t>modify</w:t>
      </w:r>
      <w:r w:rsidR="001027A4">
        <w:t xml:space="preserve"> </w:t>
      </w:r>
      <w:r>
        <w:t>the rate of exacerbations; these</w:t>
      </w:r>
      <w:r w:rsidR="00B46A33">
        <w:t xml:space="preserve"> characteristics</w:t>
      </w:r>
      <w:r>
        <w:t xml:space="preserve"> </w:t>
      </w:r>
      <w:r w:rsidR="009B141B">
        <w:t>were</w:t>
      </w:r>
      <w:r>
        <w:t xml:space="preserve"> </w:t>
      </w:r>
      <w:r w:rsidR="00B46A33">
        <w:t xml:space="preserve">differences in </w:t>
      </w:r>
      <w:r w:rsidR="001027A4">
        <w:t xml:space="preserve">patient condition (COPD/asthma), gender, </w:t>
      </w:r>
      <w:r w:rsidR="001027A4">
        <w:rPr>
          <w:rFonts w:cs="Arial"/>
        </w:rPr>
        <w:t>therapeutic</w:t>
      </w:r>
      <w:r w:rsidR="001027A4">
        <w:t xml:space="preserve"> class (ICS, LABA-ICS, LABA, LAMA), device switc</w:t>
      </w:r>
      <w:r w:rsidR="009B141B">
        <w:t xml:space="preserve">h (MDI/DPI) and inhaler technique check </w:t>
      </w:r>
      <w:r w:rsidR="00097929">
        <w:t>(LRT p&gt;0.05, Tables 2 &amp; 3</w:t>
      </w:r>
      <w:r w:rsidR="001027A4">
        <w:t>).</w:t>
      </w:r>
      <w:r w:rsidR="00B46A33">
        <w:t xml:space="preserve"> </w:t>
      </w:r>
      <w:r>
        <w:t xml:space="preserve">Exacerbation rates </w:t>
      </w:r>
      <w:r w:rsidR="002B1A43">
        <w:t xml:space="preserve">were not significantly different </w:t>
      </w:r>
      <w:r w:rsidR="0031494A">
        <w:t>each</w:t>
      </w:r>
      <w:r w:rsidR="00DF33CE">
        <w:t xml:space="preserve"> consecutive</w:t>
      </w:r>
      <w:r w:rsidR="0031494A">
        <w:t xml:space="preserve"> month of </w:t>
      </w:r>
      <w:r w:rsidR="002B1A43">
        <w:t xml:space="preserve"> the three months after the inhaler switch </w:t>
      </w:r>
      <w:r>
        <w:t>(</w:t>
      </w:r>
      <w:r w:rsidR="002B1A43">
        <w:t xml:space="preserve">p&lt;0.05, Supplementary </w:t>
      </w:r>
      <w:r>
        <w:t>Table</w:t>
      </w:r>
      <w:r w:rsidR="002B1A43">
        <w:t>s</w:t>
      </w:r>
      <w:r>
        <w:t xml:space="preserve"> </w:t>
      </w:r>
      <w:r w:rsidR="001D342E">
        <w:t>4 &amp; 5</w:t>
      </w:r>
      <w:r>
        <w:t>).</w:t>
      </w:r>
      <w:r w:rsidR="002B1A43">
        <w:t xml:space="preserve"> </w:t>
      </w:r>
      <w:r w:rsidR="001027A4">
        <w:t>A sensitivity analysis excluding patients who died (N=80) sh</w:t>
      </w:r>
      <w:r w:rsidR="002B1A43">
        <w:t>owed negligible difference in the IRRs.</w:t>
      </w:r>
      <w:r w:rsidR="001027A4">
        <w:t xml:space="preserve"> </w:t>
      </w:r>
    </w:p>
    <w:p w:rsidR="001027A4" w:rsidRDefault="001027A4" w:rsidP="001027A4">
      <w:pPr>
        <w:jc w:val="both"/>
      </w:pPr>
      <w:r>
        <w:t>There was no significant association between the rate of consultations and switching (age-adjusted IRR=1.00, 95% CI 0.99-1.01</w:t>
      </w:r>
      <w:r w:rsidR="002C37D3">
        <w:t>; Table 4</w:t>
      </w:r>
      <w:r>
        <w:t>. There was a very slight reduction in respiratory events (age-adjusted IRR=0.96, 95% CI 0.94-0.97). There was a non-significant minor increase in the risk of adverse events (age-adjusted IRR=1.05, 95% CI 0.96-1.15</w:t>
      </w:r>
      <w:r w:rsidR="00200DB8">
        <w:t xml:space="preserve">); </w:t>
      </w:r>
      <w:r w:rsidR="00200DB8" w:rsidRPr="00200DB8">
        <w:t>t</w:t>
      </w:r>
      <w:r w:rsidRPr="00200DB8">
        <w:t>he risk decreased with each consecutive month, during t</w:t>
      </w:r>
      <w:r w:rsidR="00200DB8" w:rsidRPr="00200DB8">
        <w:t xml:space="preserve">he 3-month risk period (Supplementary </w:t>
      </w:r>
      <w:r w:rsidR="00200DB8">
        <w:t xml:space="preserve">Table </w:t>
      </w:r>
      <w:r w:rsidR="001D342E">
        <w:t>6</w:t>
      </w:r>
      <w:r w:rsidRPr="00200DB8">
        <w:t>).</w:t>
      </w:r>
    </w:p>
    <w:p w:rsidR="001027A4" w:rsidRDefault="006A1B7C" w:rsidP="001027A4">
      <w:pPr>
        <w:jc w:val="both"/>
      </w:pPr>
      <w:r>
        <w:t xml:space="preserve">The negative control analyses </w:t>
      </w:r>
      <w:r w:rsidR="001027A4">
        <w:t>found no effect on exacerbations (age-adjusted IRR=0.99, 95% CI 0.96-1.02).</w:t>
      </w:r>
    </w:p>
    <w:p w:rsidR="00EF5333" w:rsidRPr="00C52465" w:rsidRDefault="00EF5333" w:rsidP="00EF5333">
      <w:pPr>
        <w:jc w:val="both"/>
        <w:rPr>
          <w:b/>
        </w:rPr>
      </w:pPr>
      <w:r w:rsidRPr="00C52465">
        <w:rPr>
          <w:b/>
        </w:rPr>
        <w:t xml:space="preserve">Impact of switching on adherence </w:t>
      </w:r>
    </w:p>
    <w:p w:rsidR="00EF5333" w:rsidRDefault="00EF5333" w:rsidP="001027A4">
      <w:pPr>
        <w:jc w:val="both"/>
      </w:pPr>
      <w:r w:rsidRPr="00C52465">
        <w:t>Inhaler adherence improved after</w:t>
      </w:r>
      <w:r>
        <w:t xml:space="preserve"> the inhaler switch. The median MPR (IQR) for the 12 months pre-inhaler switch was 54.8% (39.1-78.2), compared to 62.6% post-inhaler switch </w:t>
      </w:r>
      <w:r w:rsidR="00EF03F1">
        <w:t>(47.0-93.9</w:t>
      </w:r>
      <w:r>
        <w:t>) (p&lt;0.001).</w:t>
      </w:r>
      <w:r w:rsidR="00BA3C28">
        <w:t xml:space="preserve"> </w:t>
      </w:r>
      <w:r w:rsidR="009D1A2E">
        <w:t>Post-inhaler switch a</w:t>
      </w:r>
      <w:r w:rsidR="00BA3C28">
        <w:t>dherence was not different between patients that were switched on the day of a GP consultation or not (</w:t>
      </w:r>
      <w:r w:rsidR="009D1A2E">
        <w:t xml:space="preserve">median MPR=62.6%, </w:t>
      </w:r>
      <w:r w:rsidR="00BA3C28">
        <w:t>p</w:t>
      </w:r>
      <w:r w:rsidR="009E3FCB">
        <w:t>&gt;</w:t>
      </w:r>
      <w:r w:rsidR="00BA3C28">
        <w:t>0.05).</w:t>
      </w:r>
    </w:p>
    <w:p w:rsidR="001027A4" w:rsidRDefault="001027A4" w:rsidP="001027A4">
      <w:pPr>
        <w:jc w:val="both"/>
        <w:rPr>
          <w:b/>
        </w:rPr>
      </w:pPr>
      <w:r w:rsidRPr="00602C2E">
        <w:rPr>
          <w:b/>
        </w:rPr>
        <w:t xml:space="preserve">Potential cost saving of switching </w:t>
      </w:r>
      <w:r>
        <w:rPr>
          <w:b/>
        </w:rPr>
        <w:t>to cheaper inhalers</w:t>
      </w:r>
    </w:p>
    <w:p w:rsidR="001027A4" w:rsidRDefault="001027A4" w:rsidP="001027A4">
      <w:pPr>
        <w:jc w:val="both"/>
      </w:pPr>
      <w:r>
        <w:t>In the exacerbation SCCS cohort, 1,184 of the 5,242 switches (23%) could have been switched to a cheaper equivalent generic product in 2017. This could have saved an estimated £14,308, or annual saving of around £172,000 (assuming an inhaler prescribed p</w:t>
      </w:r>
      <w:r w:rsidR="001D342E">
        <w:t xml:space="preserve">er month) (Supplementary Table </w:t>
      </w:r>
      <w:r w:rsidR="00D4591E">
        <w:t>7</w:t>
      </w:r>
      <w:r>
        <w:t xml:space="preserve">). In the same cohort, 2,125 of the 5,242 switches (41%) could have been switched to a cheaper bioequivalent branded product (same </w:t>
      </w:r>
      <w:r>
        <w:rPr>
          <w:rFonts w:cs="Arial"/>
        </w:rPr>
        <w:t>therapeutic</w:t>
      </w:r>
      <w:r>
        <w:t xml:space="preserve"> class and bioequivalent dose, although drug may </w:t>
      </w:r>
      <w:bookmarkStart w:id="0" w:name="_GoBack"/>
      <w:bookmarkEnd w:id="0"/>
      <w:r>
        <w:t>differ). This could have saved £28,231, or annual saving of around</w:t>
      </w:r>
      <w:r w:rsidR="001D342E">
        <w:t xml:space="preserve"> £339,000 (Supplementary Table 8</w:t>
      </w:r>
      <w:r>
        <w:t>).</w:t>
      </w:r>
    </w:p>
    <w:p w:rsidR="001027A4" w:rsidRDefault="001027A4" w:rsidP="001027A4">
      <w:pPr>
        <w:jc w:val="both"/>
        <w:rPr>
          <w:rFonts w:ascii="Calibri" w:eastAsia="Times New Roman" w:hAnsi="Calibri" w:cs="Times New Roman"/>
          <w:color w:val="000000"/>
          <w:lang w:eastAsia="en-GB"/>
        </w:rPr>
      </w:pPr>
      <w:r>
        <w:t xml:space="preserve">In the total cohort of 665,105 regular inhaler users, </w:t>
      </w:r>
      <w:r>
        <w:rPr>
          <w:rFonts w:ascii="Calibri" w:eastAsia="Times New Roman" w:hAnsi="Calibri" w:cs="Times New Roman"/>
          <w:color w:val="000000"/>
          <w:lang w:eastAsia="en-GB"/>
        </w:rPr>
        <w:t xml:space="preserve">there was an alternative cheaper equivalent generic inhaler available for 28% of prescriptions (LABA-ICS or LAMA) in 2016; switching to these could </w:t>
      </w:r>
      <w:r>
        <w:rPr>
          <w:rFonts w:ascii="Calibri" w:eastAsia="Times New Roman" w:hAnsi="Calibri" w:cs="Times New Roman"/>
          <w:color w:val="000000"/>
          <w:lang w:eastAsia="en-GB"/>
        </w:rPr>
        <w:lastRenderedPageBreak/>
        <w:t>have saved approximately £1.97 million. An estimated additional £4.1 million could have been saved if all inhalers had been switched to the cheapest bioequivalent product (including generic or branded products), assuming all patients were suitable for switching to the alternative.</w:t>
      </w:r>
    </w:p>
    <w:p w:rsidR="001027A4" w:rsidRDefault="001027A4" w:rsidP="001027A4">
      <w:pPr>
        <w:jc w:val="both"/>
        <w:rPr>
          <w:rFonts w:cs="Arial"/>
        </w:rPr>
      </w:pPr>
      <w:r>
        <w:rPr>
          <w:rFonts w:cs="Arial"/>
        </w:rPr>
        <w:t>CPRD represents at least 5% of the UK population, extrapolating our findings indicates that, if implemented across the UK, switching to the cheapest available bioequivalent product (generic or branded), could have saved the NHS approximately £112 million (1.5% of the total primary care annual prescribing costs).</w:t>
      </w:r>
    </w:p>
    <w:p w:rsidR="00582ED7" w:rsidRDefault="00582ED7">
      <w:pPr>
        <w:spacing w:after="160" w:line="259" w:lineRule="auto"/>
        <w:rPr>
          <w:b/>
        </w:rPr>
      </w:pPr>
      <w:r>
        <w:rPr>
          <w:b/>
        </w:rPr>
        <w:br w:type="page"/>
      </w:r>
    </w:p>
    <w:p w:rsidR="00373E5B" w:rsidRDefault="00373E5B" w:rsidP="00373E5B">
      <w:pPr>
        <w:jc w:val="center"/>
        <w:rPr>
          <w:b/>
        </w:rPr>
      </w:pPr>
      <w:r w:rsidRPr="00CA2DE5">
        <w:rPr>
          <w:b/>
        </w:rPr>
        <w:lastRenderedPageBreak/>
        <w:t>Discussion</w:t>
      </w:r>
    </w:p>
    <w:p w:rsidR="00373E5B" w:rsidRPr="00373E5B" w:rsidRDefault="00373E5B" w:rsidP="00373E5B">
      <w:pPr>
        <w:jc w:val="both"/>
        <w:rPr>
          <w:rFonts w:cs="Arial"/>
          <w:b/>
          <w:i/>
        </w:rPr>
      </w:pPr>
      <w:r w:rsidRPr="00373E5B">
        <w:rPr>
          <w:rStyle w:val="Emphasis"/>
          <w:b/>
          <w:i w:val="0"/>
        </w:rPr>
        <w:t>Principal findings</w:t>
      </w:r>
    </w:p>
    <w:p w:rsidR="00B11141" w:rsidRDefault="00373E5B" w:rsidP="00373E5B">
      <w:pPr>
        <w:jc w:val="both"/>
        <w:rPr>
          <w:rFonts w:cs="Arial"/>
        </w:rPr>
      </w:pPr>
      <w:r>
        <w:rPr>
          <w:rFonts w:cs="Arial"/>
        </w:rPr>
        <w:t xml:space="preserve">From this study of over 0.65 million </w:t>
      </w:r>
      <w:r>
        <w:rPr>
          <w:rFonts w:cs="Arial"/>
          <w:szCs w:val="18"/>
        </w:rPr>
        <w:t>asthma patients and just under 0.2 million COPD patients</w:t>
      </w:r>
      <w:r>
        <w:rPr>
          <w:rFonts w:cs="Arial"/>
        </w:rPr>
        <w:t>, it was observed that inhaler switching for financial-motivation was uncommon; in keeping with the only other nationally representative study of inhaler switching</w:t>
      </w:r>
      <w:r>
        <w:rPr>
          <w:rFonts w:cs="Arial"/>
        </w:rPr>
        <w:fldChar w:fldCharType="begin" w:fldLock="1"/>
      </w:r>
      <w:r w:rsidR="00142535">
        <w:rPr>
          <w:rFonts w:cs="Arial"/>
        </w:rPr>
        <w:instrText>ADDIN CSL_CITATION {"citationItems":[{"id":"ITEM-1","itemData":{"DOI":"10.1080/02770903.2017.1396468","ISSN":"0277-0903","abstract":"ABSTRACTBackground: The expiration of patents of brand inhalation medications and the ongoing pressure on healthcare budgets resulted in a growing market for generics. Aim: To study the use of brand and generic inhalation medication and the frequency of switching between brand and generic and between devices. In addition, we investigated whether switching affected adherence. Methods: From dispensing data from the Dutch PHARMO Database Network a cohort aged ≥ 5 years, using ≥ 1 year of inhalation medication between 2003 and 2012 was selected. Switching was defined as changing from brand to generic or vice versa. In addition, we studied change in aerosol delivery device type (e.g., DPI, pMDI, and nebulizers). Adherence was calculated using the medication possession ratio (MPR). Results: The total cohort comprised 70,053 patients with 1,604,488 dispensations. Per calendar year, 5% switched between brand and generic inhalation medication and 5% switched between devices. Median MPRs over the first 12 months ra...","author":[{"dropping-particle":"","family":"Engelkes","given":"Marjolein","non-dropping-particle":"","parse-names":false,"suffix":""},{"dropping-particle":"","family":"Blijderveen","given":"Jan C.","non-dropping-particle":"van","parse-names":false,"suffix":""},{"dropping-particle":"","family":"Overbeek","given":"Jetty A.","non-dropping-particle":"","parse-names":false,"suffix":""},{"dropping-particle":"","family":"Kuiper","given":"Josephine","non-dropping-particle":"","parse-names":false,"suffix":""},{"dropping-particle":"","family":"Herings","given":"Ron C. M.","non-dropping-particle":"","parse-names":false,"suffix":""},{"dropping-particle":"","family":"Sturkenboom","given":"Miriam C. J. M.","non-dropping-particle":"","parse-names":false,"suffix":""},{"dropping-particle":"","family":"Jongste","given":"Johan C.","non-dropping-particle":"de","parse-names":false,"suffix":""},{"dropping-particle":"","family":"Verhamme","given":"Katia M. C.","non-dropping-particle":"","parse-names":false,"suffix":""},{"dropping-particle":"","family":"Janssens","given":"Hettie M.","non-dropping-particle":"","parse-names":false,"suffix":""}],"container-title":"Journal of Asthma","id":"ITEM-1","issued":{"date-parts":[["2017","11","29"]]},"page":"1-9","publisher":"Taylor &amp; Francis","title":"Brand and generic use of inhalation medication and frequency of switching in children and adults: A population-based cohort study","type":"article-journal"},"uris":["http://www.mendeley.com/documents/?uuid=0080df15-d253-3852-a64b-d63990781591"]}],"mendeley":{"formattedCitation":"(7)","plainTextFormattedCitation":"(7)","previouslyFormattedCitation":"(7)"},"properties":{"noteIndex":0},"schema":"https://github.com/citation-style-language/schema/raw/master/csl-citation.json"}</w:instrText>
      </w:r>
      <w:r>
        <w:rPr>
          <w:rFonts w:cs="Arial"/>
        </w:rPr>
        <w:fldChar w:fldCharType="separate"/>
      </w:r>
      <w:r w:rsidR="001A0AD4" w:rsidRPr="001A0AD4">
        <w:rPr>
          <w:rFonts w:cs="Arial"/>
          <w:noProof/>
        </w:rPr>
        <w:t>(7)</w:t>
      </w:r>
      <w:r>
        <w:rPr>
          <w:rFonts w:cs="Arial"/>
        </w:rPr>
        <w:fldChar w:fldCharType="end"/>
      </w:r>
      <w:r>
        <w:rPr>
          <w:rFonts w:cs="Arial"/>
        </w:rPr>
        <w:t xml:space="preserve">. The increase in switches from generic to branded inhalers is likely due to the increase in the availability of cheaper branded inhalers in the UK; the cheapest LABA-ICS in 2017 was a branded inhaler. We found that switching slightly reduced the risk of an exacerbation. This risk was not significantly affected by the patient’s age, gender, </w:t>
      </w:r>
      <w:r w:rsidR="00AE4147">
        <w:rPr>
          <w:rFonts w:cs="Arial"/>
        </w:rPr>
        <w:t xml:space="preserve">type of </w:t>
      </w:r>
      <w:r>
        <w:rPr>
          <w:rFonts w:cs="Arial"/>
        </w:rPr>
        <w:t xml:space="preserve">respiratory disease, whether the switch was between MDI/DPI devices or not, whether the patient had a documented inhaler check that year, or the medication class that was switched. </w:t>
      </w:r>
      <w:r w:rsidR="00AE4147">
        <w:rPr>
          <w:rFonts w:cs="Arial"/>
        </w:rPr>
        <w:t xml:space="preserve">Around 95% of the patients remained on their switched inhaler. Interestingly, adherence to the switched inhaler was significantly higher than </w:t>
      </w:r>
      <w:r w:rsidR="00200DB8">
        <w:rPr>
          <w:rFonts w:cs="Arial"/>
        </w:rPr>
        <w:t xml:space="preserve">adherence </w:t>
      </w:r>
      <w:r w:rsidR="00AE4147">
        <w:rPr>
          <w:rFonts w:cs="Arial"/>
        </w:rPr>
        <w:t>to the pre-switch equivalent inhaler</w:t>
      </w:r>
      <w:r w:rsidR="002551E2">
        <w:rPr>
          <w:rFonts w:cs="Arial"/>
        </w:rPr>
        <w:t>. T</w:t>
      </w:r>
      <w:r w:rsidR="00AE4147">
        <w:rPr>
          <w:rFonts w:cs="Arial"/>
        </w:rPr>
        <w:t>his may partially explain the observed reduction in exacerbations</w:t>
      </w:r>
      <w:r w:rsidR="00C50F9B">
        <w:rPr>
          <w:rFonts w:cs="Arial"/>
        </w:rPr>
        <w:t xml:space="preserve"> as</w:t>
      </w:r>
      <w:r w:rsidR="002551E2">
        <w:rPr>
          <w:rFonts w:cs="Arial"/>
        </w:rPr>
        <w:t>,</w:t>
      </w:r>
      <w:r w:rsidR="00C50F9B">
        <w:rPr>
          <w:rFonts w:cs="Arial"/>
        </w:rPr>
        <w:t xml:space="preserve"> </w:t>
      </w:r>
      <w:r w:rsidR="004F1C20">
        <w:rPr>
          <w:rFonts w:cs="Arial"/>
        </w:rPr>
        <w:t xml:space="preserve">although </w:t>
      </w:r>
      <w:r w:rsidR="002551E2">
        <w:rPr>
          <w:rFonts w:cs="Arial"/>
        </w:rPr>
        <w:t xml:space="preserve">the study was not designed to measure </w:t>
      </w:r>
      <w:r w:rsidR="004F1C20">
        <w:rPr>
          <w:rFonts w:cs="Arial"/>
        </w:rPr>
        <w:t xml:space="preserve">adherence </w:t>
      </w:r>
      <w:r w:rsidR="002551E2">
        <w:rPr>
          <w:rFonts w:cs="Arial"/>
        </w:rPr>
        <w:t>as</w:t>
      </w:r>
      <w:r w:rsidR="004F1C20">
        <w:rPr>
          <w:rFonts w:cs="Arial"/>
        </w:rPr>
        <w:t xml:space="preserve"> a primary outcome</w:t>
      </w:r>
      <w:r w:rsidR="002551E2">
        <w:rPr>
          <w:rFonts w:cs="Arial"/>
        </w:rPr>
        <w:t>,</w:t>
      </w:r>
      <w:r w:rsidR="004F1C20">
        <w:rPr>
          <w:rFonts w:cs="Arial"/>
        </w:rPr>
        <w:t xml:space="preserve"> the increase </w:t>
      </w:r>
      <w:r w:rsidR="00C50F9B">
        <w:rPr>
          <w:rFonts w:cs="Arial"/>
        </w:rPr>
        <w:t>was only slightly below the considered clinically minimal important difference</w:t>
      </w:r>
      <w:r w:rsidR="002551E2">
        <w:rPr>
          <w:rFonts w:cs="Arial"/>
        </w:rPr>
        <w:t xml:space="preserve"> of 10%</w:t>
      </w:r>
      <w:r w:rsidR="00C50F9B">
        <w:rPr>
          <w:rFonts w:cs="Arial"/>
        </w:rPr>
        <w:t xml:space="preserve"> </w:t>
      </w:r>
      <w:r w:rsidR="0021467E">
        <w:rPr>
          <w:rFonts w:cs="Arial"/>
        </w:rPr>
        <w:fldChar w:fldCharType="begin" w:fldLock="1"/>
      </w:r>
      <w:r w:rsidR="00313768">
        <w:rPr>
          <w:rFonts w:cs="Arial"/>
        </w:rPr>
        <w:instrText>ADDIN CSL_CITATION {"citationItems":[{"id":"ITEM-1","itemData":{"DOI":"10.1345/aph.1H018","ISSN":"1060-0280","PMID":"16868217","abstract":"BACKGROUND A variety of measures have been developed to calculate refill adherence from administrative data such as pharmacy claims databases. These measures have focused on improving the accuracy of adherence measures or clarifying the evaluation time frame. As a result, there are many measures used to assess adherence that may or may not be comparable or accurate. OBJECTIVE To compare available refill adherence measures. METHODS A systematic literature review was conducted to identify current or recently used measures of calculating adherence from administrative data. A MEDLINE search (January 1990-March 2006) was undertaken using the search terms adherence or compliance in the title combined with administrative, pharmacy, or records in any field, including subheadings medical, nursing, and hospital records. Non-English articles were excluded. Seven hundred fifteen articles were available for review. Review articles and letters were excluded from measure selection, but were included in the search terms and used to identify additional research articles. Adherence measures were excluded if they were incompletely described, produced non-numeric values, or were duplicates. Eleven refill adherence measures were identified and compared using data from the LOSE Weight (Long-term Outcomes of Sibutramine Effectiveness on Weight) study. Measures compared include Continuous Measure of Medication Acquisition (CMA); Continuous Multiple Interval Measure of Oversupply (CMOS); Medication Possession Ratio (MPR); Medication Refill Adherence (MRA); Continuous Measure of Medication Gaps (CMG); Continuous, Single Interval Measure of Medication Aquisition (CSA); Proportion of Days Covered (PDC); Refill Compliance Rate (RCR); Medication Possession Ratio, modified (MPRm); Dates Between Fills Adherence Rate (DBR); and Compliance Rate (CR). RESULTS The results suggest that the CMA, CMOS, MPR, and MRA are identical in terms of measuring adherence to prescription refills throughout the study period, each with a value of 63.5%; CMG and PDC are slightly lower (63.0%) and are equivalent to MRA when oversupply is truncated. CR, MPRm, RCR, and CSA result in higher adherence values of 84.4%, 86.6%, 104.8%, and 109.7%, respectively. CONCLUSIONS Five measures produce equivalent results for measuring prescription refill adherence over the evaluation period. Of these, MRA has the fewest calculations, is easily truncated if one desires to exclude surplus medication issues, and requires the…","author":[{"dropping-particle":"","family":"Hess","given":"Lisa M","non-dropping-particle":"","parse-names":false,"suffix":""},{"dropping-particle":"","family":"Raebel","given":"Marsha A","non-dropping-particle":"","parse-names":false,"suffix":""},{"dropping-particle":"","family":"Conner","given":"Douglas A","non-dropping-particle":"","parse-names":false,"suffix":""},{"dropping-particle":"","family":"Malone","given":"Daniel C","non-dropping-particle":"","parse-names":false,"suffix":""}],"container-title":"Annals of Pharmacotherapy","id":"ITEM-1","issue":"7-8","issued":{"date-parts":[["2006","7","4"]]},"page":"1280-1288","title":"Measurement of Adherence in Pharmacy Administrative Databases: A Proposal for Standard Definitions and Preferred Measures","type":"article-journal","volume":"40"},"uris":["http://www.mendeley.com/documents/?uuid=d21ea6cb-e0ab-3320-9b36-a238f4780012"]}],"mendeley":{"formattedCitation":"(30)","plainTextFormattedCitation":"(30)","previouslyFormattedCitation":"(30)"},"properties":{"noteIndex":0},"schema":"https://github.com/citation-style-language/schema/raw/master/csl-citation.json"}</w:instrText>
      </w:r>
      <w:r w:rsidR="0021467E">
        <w:rPr>
          <w:rFonts w:cs="Arial"/>
        </w:rPr>
        <w:fldChar w:fldCharType="separate"/>
      </w:r>
      <w:r w:rsidR="001A0AD4" w:rsidRPr="001A0AD4">
        <w:rPr>
          <w:rFonts w:cs="Arial"/>
          <w:noProof/>
        </w:rPr>
        <w:t>(30)</w:t>
      </w:r>
      <w:r w:rsidR="0021467E">
        <w:rPr>
          <w:rFonts w:cs="Arial"/>
        </w:rPr>
        <w:fldChar w:fldCharType="end"/>
      </w:r>
      <w:r w:rsidR="00AE4147">
        <w:rPr>
          <w:rFonts w:cs="Arial"/>
        </w:rPr>
        <w:t xml:space="preserve">. Further analyses, of over 50,000 patients, showed that non-clinical inhaler switching did not affect the rate of GP consultations, </w:t>
      </w:r>
      <w:r w:rsidR="00AE4147" w:rsidRPr="002C37D3">
        <w:rPr>
          <w:rFonts w:cs="Arial"/>
        </w:rPr>
        <w:t>but slightly decreased the rate of non-specific respiratory events (including symptoms) and slightly increased</w:t>
      </w:r>
      <w:r w:rsidR="00AE4147">
        <w:rPr>
          <w:rFonts w:cs="Arial"/>
        </w:rPr>
        <w:t xml:space="preserve"> the rate of adverse medication events, however, these effects were</w:t>
      </w:r>
      <w:r w:rsidR="00200DB8">
        <w:rPr>
          <w:rFonts w:cs="Arial"/>
        </w:rPr>
        <w:t xml:space="preserve"> not statistically significant. </w:t>
      </w:r>
      <w:r w:rsidR="00AE4147">
        <w:rPr>
          <w:rFonts w:cs="Arial"/>
        </w:rPr>
        <w:t>Overall this clinical practice appears to occur infrequently in the UK. The</w:t>
      </w:r>
      <w:r>
        <w:rPr>
          <w:rFonts w:cs="Arial"/>
        </w:rPr>
        <w:t xml:space="preserve"> cost analyses estimated significant savings could potentially be gained from switching expensive popular inhalers to bioequivalent cheaper (generic or branded) ones. </w:t>
      </w:r>
    </w:p>
    <w:p w:rsidR="00373E5B" w:rsidRDefault="00B11141" w:rsidP="00373E5B">
      <w:pPr>
        <w:jc w:val="both"/>
        <w:rPr>
          <w:rFonts w:cs="Arial"/>
        </w:rPr>
      </w:pPr>
      <w:r>
        <w:rPr>
          <w:rFonts w:cs="Arial"/>
        </w:rPr>
        <w:t xml:space="preserve">A less commonly advocated, but arguably as important, reason to switch an inhaler, is to reduce the large environmental impact that MDI inhalers produce </w:t>
      </w:r>
      <w:r>
        <w:rPr>
          <w:rFonts w:cs="Arial"/>
        </w:rPr>
        <w:fldChar w:fldCharType="begin" w:fldLock="1"/>
      </w:r>
      <w:r w:rsidR="00142535">
        <w:rPr>
          <w:rFonts w:cs="Arial"/>
        </w:rPr>
        <w:instrText>ADDIN CSL_CITATION {"citationItems":[{"id":"ITEM-1","itemData":{"DOI":"10.1136/bmj.f3359","ISSN":"1756-1833","PMID":"23714412","abstract":"Propellants in metered dose inhalers are powerful greenhouse gases \n\nIt is five years since the Climate Change Act (2008) was introduced to ensure that by 2050 the United Kingdom cuts its carbon emissions by 80%. Despite this, atmospheric carbon dioxide levels have recently increased, passing the 400 parts per million mark. Although the potential impact of climate change on respiratory health is widely appreciated,1 it is less well known that respiratory drugs may be making a sizeable contribution to global warming because of the propellant gases used in metered dose inhalers.\n\nThe NHS has an annual global warming potential of about 20 million tonnes of carbon dioxide equivalent (1 million tonnes of carbon dioxide is equivalent to 1000 kg or 55.6 billion L of carbon dioxide),2 which is about the same as that of Estonia. This constitutes about 3% of total UK emissions, which were 590 million tonnes of carbon dioxide equivalent in 2010. Of this, only 35% is accounted for by heating, lighting, and transport, with 65% being due to procurement—the delivery of healthcare, including drugs.2 Respiratory inhalers are some of the …","author":[{"dropping-particle":"","family":"Hillman","given":"Toby","non-dropping-particle":"","parse-names":false,"suffix":""},{"dropping-particle":"","family":"Mortimer","given":"Frances","non-dropping-particle":"","parse-names":false,"suffix":""},{"dropping-particle":"","family":"Hopkinson","given":"Nicholas S","non-dropping-particle":"","parse-names":false,"suffix":""}],"container-title":"BMJ (Clinical research ed.)","id":"ITEM-1","issued":{"date-parts":[["2013","5","28"]]},"page":"f3359","publisher":"British Medical Journal Publishing Group","title":"Inhaled drugs and global warming: time to shift to dry powder inhalers.","type":"article-journal","volume":"346"},"uris":["http://www.mendeley.com/documents/?uuid=9ed94ae3-1abb-367c-bd74-474c5e03ab26"]}],"mendeley":{"formattedCitation":"(31)","plainTextFormattedCitation":"(31)","previouslyFormattedCitation":"(31)"},"properties":{"noteIndex":0},"schema":"https://github.com/citation-style-language/schema/raw/master/csl-citation.json"}</w:instrText>
      </w:r>
      <w:r>
        <w:rPr>
          <w:rFonts w:cs="Arial"/>
        </w:rPr>
        <w:fldChar w:fldCharType="separate"/>
      </w:r>
      <w:r w:rsidR="001A0AD4" w:rsidRPr="001A0AD4">
        <w:rPr>
          <w:rFonts w:cs="Arial"/>
          <w:noProof/>
        </w:rPr>
        <w:t>(31)</w:t>
      </w:r>
      <w:r>
        <w:rPr>
          <w:rFonts w:cs="Arial"/>
        </w:rPr>
        <w:fldChar w:fldCharType="end"/>
      </w:r>
      <w:r>
        <w:rPr>
          <w:rFonts w:cs="Arial"/>
        </w:rPr>
        <w:t xml:space="preserve">. Hydrofluorocarbon inhalers are estimated to contribute 4% of the NHS’s entire carbon footprint, with MDIs identified as a ‘carbon hotspot’ in the NHS </w:t>
      </w:r>
      <w:r>
        <w:rPr>
          <w:rFonts w:cs="Arial"/>
        </w:rPr>
        <w:fldChar w:fldCharType="begin" w:fldLock="1"/>
      </w:r>
      <w:r w:rsidR="00142535">
        <w:rPr>
          <w:rFonts w:cs="Arial"/>
        </w:rPr>
        <w:instrText>ADDIN CSL_CITATION {"citationItems":[{"id":"ITEM-1","itemData":{"container-title":"Parliamentary Business","id":"ITEM-1","issued":{"date-parts":[["2018"]]},"title":"UK Progress on reducing F-gas Emissions - Environmental Audit Committee - House of Commons","type":"webpage"},"uris":["http://www.mendeley.com/documents/?uuid=faa0ed30-4d0e-3de7-92bf-24adec69dde7"]}],"mendeley":{"formattedCitation":"(32)","plainTextFormattedCitation":"(32)","previouslyFormattedCitation":"(32)"},"properties":{"noteIndex":0},"schema":"https://github.com/citation-style-language/schema/raw/master/csl-citation.json"}</w:instrText>
      </w:r>
      <w:r>
        <w:rPr>
          <w:rFonts w:cs="Arial"/>
        </w:rPr>
        <w:fldChar w:fldCharType="separate"/>
      </w:r>
      <w:r w:rsidR="001A0AD4" w:rsidRPr="001A0AD4">
        <w:rPr>
          <w:rFonts w:cs="Arial"/>
          <w:noProof/>
        </w:rPr>
        <w:t>(32)</w:t>
      </w:r>
      <w:r>
        <w:rPr>
          <w:rFonts w:cs="Arial"/>
        </w:rPr>
        <w:fldChar w:fldCharType="end"/>
      </w:r>
      <w:r>
        <w:rPr>
          <w:rFonts w:cs="Arial"/>
        </w:rPr>
        <w:t>. Switching from a MDI to a DPI is thought to decrease the carbon footprint by a factor of 18</w:t>
      </w:r>
      <w:r w:rsidR="00A83BC5">
        <w:rPr>
          <w:rFonts w:cs="Arial"/>
        </w:rPr>
        <w:t xml:space="preserve"> </w:t>
      </w:r>
      <w:r w:rsidR="00A83BC5">
        <w:rPr>
          <w:rFonts w:cs="Arial"/>
        </w:rPr>
        <w:fldChar w:fldCharType="begin" w:fldLock="1"/>
      </w:r>
      <w:r w:rsidR="00142535">
        <w:rPr>
          <w:rFonts w:cs="Arial"/>
        </w:rPr>
        <w:instrText>ADDIN CSL_CITATION {"citationItems":[{"id":"ITEM-1","itemData":{"DOI":"10.1136/bmj.f3359","ISSN":"1756-1833","PMID":"23714412","abstract":"Propellants in metered dose inhalers are powerful greenhouse gases \n\nIt is five years since the Climate Change Act (2008) was introduced to ensure that by 2050 the United Kingdom cuts its carbon emissions by 80%. Despite this, atmospheric carbon dioxide levels have recently increased, passing the 400 parts per million mark. Although the potential impact of climate change on respiratory health is widely appreciated,1 it is less well known that respiratory drugs may be making a sizeable contribution to global warming because of the propellant gases used in metered dose inhalers.\n\nThe NHS has an annual global warming potential of about 20 million tonnes of carbon dioxide equivalent (1 million tonnes of carbon dioxide is equivalent to 1000 kg or 55.6 billion L of carbon dioxide),2 which is about the same as that of Estonia. This constitutes about 3% of total UK emissions, which were 590 million tonnes of carbon dioxide equivalent in 2010. Of this, only 35% is accounted for by heating, lighting, and transport, with 65% being due to procurement—the delivery of healthcare, including drugs.2 Respiratory inhalers are some of the …","author":[{"dropping-particle":"","family":"Hillman","given":"Toby","non-dropping-particle":"","parse-names":false,"suffix":""},{"dropping-particle":"","family":"Mortimer","given":"Frances","non-dropping-particle":"","parse-names":false,"suffix":""},{"dropping-particle":"","family":"Hopkinson","given":"Nicholas S","non-dropping-particle":"","parse-names":false,"suffix":""}],"container-title":"BMJ (Clinical research ed.)","id":"ITEM-1","issued":{"date-parts":[["2013","5","28"]]},"page":"f3359","publisher":"British Medical Journal Publishing Group","title":"Inhaled drugs and global warming: time to shift to dry powder inhalers.","type":"article-journal","volume":"346"},"uris":["http://www.mendeley.com/documents/?uuid=9ed94ae3-1abb-367c-bd74-474c5e03ab26"]}],"mendeley":{"formattedCitation":"(31)","plainTextFormattedCitation":"(31)","previouslyFormattedCitation":"(31)"},"properties":{"noteIndex":0},"schema":"https://github.com/citation-style-language/schema/raw/master/csl-citation.json"}</w:instrText>
      </w:r>
      <w:r w:rsidR="00A83BC5">
        <w:rPr>
          <w:rFonts w:cs="Arial"/>
        </w:rPr>
        <w:fldChar w:fldCharType="separate"/>
      </w:r>
      <w:r w:rsidR="001A0AD4" w:rsidRPr="001A0AD4">
        <w:rPr>
          <w:rFonts w:cs="Arial"/>
          <w:noProof/>
        </w:rPr>
        <w:t>(31)</w:t>
      </w:r>
      <w:r w:rsidR="00A83BC5">
        <w:rPr>
          <w:rFonts w:cs="Arial"/>
        </w:rPr>
        <w:fldChar w:fldCharType="end"/>
      </w:r>
      <w:r w:rsidR="00A83BC5">
        <w:rPr>
          <w:rFonts w:cs="Arial"/>
        </w:rPr>
        <w:t>.</w:t>
      </w:r>
      <w:r>
        <w:rPr>
          <w:rFonts w:cs="Arial"/>
        </w:rPr>
        <w:t xml:space="preserve"> Discerningly, our observations suggest only around a third of inhalers prescribed for asthma patients, and half of those prescribed for COPD patients, are DPIs; yet switching between MDIs and DPIs did not seemingly impact on </w:t>
      </w:r>
      <w:r w:rsidR="00C769D9">
        <w:rPr>
          <w:rFonts w:cs="Arial"/>
        </w:rPr>
        <w:t>exacerbations, adverse medication events or respiratory events</w:t>
      </w:r>
      <w:r>
        <w:rPr>
          <w:rFonts w:cs="Arial"/>
        </w:rPr>
        <w:t>.</w:t>
      </w:r>
    </w:p>
    <w:p w:rsidR="00373E5B" w:rsidRDefault="00373E5B" w:rsidP="00373E5B">
      <w:pPr>
        <w:rPr>
          <w:b/>
        </w:rPr>
      </w:pPr>
      <w:r>
        <w:rPr>
          <w:b/>
        </w:rPr>
        <w:t>Comparison to previous studies</w:t>
      </w:r>
    </w:p>
    <w:p w:rsidR="00AE4147" w:rsidRDefault="00AE4147" w:rsidP="00AE4147">
      <w:pPr>
        <w:jc w:val="both"/>
      </w:pPr>
      <w:r w:rsidRPr="00435094">
        <w:t>The</w:t>
      </w:r>
      <w:r>
        <w:t xml:space="preserve">re have been </w:t>
      </w:r>
      <w:r w:rsidRPr="00435094">
        <w:t xml:space="preserve">few </w:t>
      </w:r>
      <w:r>
        <w:t>real-world</w:t>
      </w:r>
      <w:r w:rsidRPr="00435094">
        <w:t xml:space="preserve"> studies </w:t>
      </w:r>
      <w:r>
        <w:t>addressing switching inhaler therapy of equivalent medication and dose</w:t>
      </w:r>
      <w:r w:rsidRPr="00435094">
        <w:t>.</w:t>
      </w:r>
      <w:r>
        <w:t xml:space="preserve"> A small UK asthma study, 1993-2003, looked at ICS switching of 824 patients, at GP practice-level, not individual-level; they found no change in exacerbations </w:t>
      </w:r>
      <w:r>
        <w:fldChar w:fldCharType="begin" w:fldLock="1"/>
      </w:r>
      <w:r w:rsidR="00142535">
        <w:instrText>ADDIN CSL_CITATION {"citationItems":[{"id":"ITEM-1","itemData":{"DOI":"10.1186/1471-2466-9-1","ISSN":"1471-2466","author":[{"dropping-particle":"","family":"Thomas","given":"Mike","non-dropping-particle":"","parse-names":false,"suffix":""},{"dropping-particle":"","family":"Price","given":"David","non-dropping-particle":"","parse-names":false,"suffix":""},{"dropping-particle":"","family":"Chrystyn","given":"Henry","non-dropping-particle":"","parse-names":false,"suffix":""},{"dropping-particle":"","family":"Lloyd","given":"Andrew","non-dropping-particle":"","parse-names":false,"suffix":""},{"dropping-particle":"","family":"Williams","given":"Angela E","non-dropping-particle":"","parse-names":false,"suffix":""},{"dropping-particle":"","family":"Ziegenweidt","given":"Julie","non-dropping-particle":"von","parse-names":false,"suffix":""}],"container-title":"BMC Pulmonary Medicine","id":"ITEM-1","issue":"1","issued":{"date-parts":[["2009","12","2"]]},"page":"1","title":"Inhaled corticosteroids for asthma: impact of practice level device switching on asthma control","type":"article-journal","volume":"9"},"uris":["http://www.mendeley.com/documents/?uuid=e2bc296c-aa5a-3e7b-87b6-62da486b7bae"]}],"mendeley":{"formattedCitation":"(11)","plainTextFormattedCitation":"(11)","previouslyFormattedCitation":"(11)"},"properties":{"noteIndex":0},"schema":"https://github.com/citation-style-language/schema/raw/master/csl-citation.json"}</w:instrText>
      </w:r>
      <w:r>
        <w:fldChar w:fldCharType="separate"/>
      </w:r>
      <w:r w:rsidR="001A0AD4" w:rsidRPr="001A0AD4">
        <w:rPr>
          <w:noProof/>
        </w:rPr>
        <w:t>(11)</w:t>
      </w:r>
      <w:r>
        <w:fldChar w:fldCharType="end"/>
      </w:r>
      <w:r>
        <w:t xml:space="preserve">. Another UK study, considered 979 asthma patients, switching from any ICS to a particular inhaler, the reason was not reported and may have often been clinical; they found no worsening of clinical outcomes </w:t>
      </w:r>
      <w:r>
        <w:fldChar w:fldCharType="begin" w:fldLock="1"/>
      </w:r>
      <w:r w:rsidR="00142535">
        <w:instrText>ADDIN CSL_CITATION {"citationItems":[{"id":"ITEM-1","itemData":{"DOI":"10.2147/JAA.S59386","ISSN":"1178-6965","PMID":"24748807","abstract":"PURPOSE To investigate the clinical and cost effectiveness of switching real-life asthma patients from other types of inhalers to the Easyhaler(®) (EH) for the administration of inhaled corticosteroids (ICS). PATIENTS AND METHODS Historical, matched-cohort study of 1,958 asthma patients (children and adults) treated in UK primary-care practices, using data obtained from the Optimum Patient Care Research Database and Clinical Practice Research Datalink. Other inhalers (OH) included pressurized metered-dose inhalers, breath-actuated inhalers, and dry-powder inhalers, delivering beclomethasone, budesonide, fluticasone, or ciclesonide. Patients remaining on OH unchanged (same drug, dosage, and device; n=979) were matched 1:1 with those switched to the EH (beclomethasone or budesonide) at the same or lower ICS dosage (n=979), based on age, sex, year of index patient review/switch, most recent ICS drug, dosage, and device, and the number of severe exacerbations and average daily short-acting β2 agonist (SABA) dosage in the preceding year. Clinical outcomes and health care costs were compared between groups for 12 months before and after the switch. Co-primary clinical outcomes were: 1) risk domain asthma control (RDAC) - no asthma-related hospitalization, acute oral steroid use, or lower respiratory tract infection (LRTI); 2) exacerbation rate (American Thoracic Society [ATS] definition) - where exacerbation is asthma-related hospitalization or acute oral steroid use; 3) exacerbation rate (clinical definition) - where exacerbation is ATS exacerbation or LRTI; and 4) overall asthma control (OAC) - RDAC plus average salbutamol-equivalent SABA dosage ≤200 μg/day. Non-inferiority (at least equivalence) of EH was tested against OH for the four co-primary outcomes in order (hierarchical approach) by comparing the difference in proportions of patients [EH-OH] achieving asthma control or having no exacerbations in the outcome year, using a limit of 10% difference. RESULTS Non-inferiority was shown for the EH for all four co-primary outcomes. There were no significant differences between groups for RDAC or exacerbation rates, but EH patients were significantly more likely to achieve OAC (adjusted odds ratio [95% confidence interval]: 1.26 [1.05, 1.52]), as significantly more EH than OH patients had an average SABA dosage of ≤200 μg/day (52% versus 47%, respectively; P&lt;0.001). Mean asthma-related health care costs increased from baseline to outcome years in both groups…","author":[{"dropping-particle":"","family":"King","given":"Christine","non-dropping-particle":"","parse-names":false,"suffix":""},{"dropping-particle":"","family":"Price","given":"David","non-dropping-particle":"","parse-names":false,"suffix":""},{"dropping-particle":"","family":"Thomas","given":"Vicky","non-dropping-particle":"","parse-names":false,"suffix":""},{"dropping-particle":"","family":"Ziegenweidt","given":"Julie","non-dropping-particle":"von","parse-names":false,"suffix":""},{"dropping-particle":"","family":"Gould","given":"Shuna","non-dropping-particle":"","parse-names":false,"suffix":""},{"dropping-particle":"","family":"Hutton","given":"Catherine","non-dropping-particle":"","parse-names":false,"suffix":""}],"container-title":"Journal of Asthma and Allergy","id":"ITEM-1","issued":{"date-parts":[["2014","4"]]},"page":"31","title":"Switching patients from other inhaled corticosteroid devices to the Easyhaler: historical, matched-cohort study of real-life asthma patients","type":"article-journal","volume":"7"},"uris":["http://www.mendeley.com/documents/?uuid=a9ffc512-ccf1-3dbd-aa53-1c8cbe8c488d"]}],"mendeley":{"formattedCitation":"(8)","plainTextFormattedCitation":"(8)","previouslyFormattedCitation":"(8)"},"properties":{"noteIndex":0},"schema":"https://github.com/citation-style-language/schema/raw/master/csl-citation.json"}</w:instrText>
      </w:r>
      <w:r>
        <w:fldChar w:fldCharType="separate"/>
      </w:r>
      <w:r w:rsidR="001A0AD4" w:rsidRPr="001A0AD4">
        <w:rPr>
          <w:noProof/>
        </w:rPr>
        <w:t>(8)</w:t>
      </w:r>
      <w:r>
        <w:fldChar w:fldCharType="end"/>
      </w:r>
      <w:r>
        <w:t xml:space="preserve">. A more recent observational UK study addressed switching of 382 asthma patients from one commonly used LABA-ICS inhaler to the cheapest one </w:t>
      </w:r>
      <w:r>
        <w:fldChar w:fldCharType="begin" w:fldLock="1"/>
      </w:r>
      <w:r w:rsidR="00142535">
        <w:instrText>ADDIN CSL_CITATION {"citationItems":[{"id":"ITEM-1","itemData":{"DOI":"10.4104/pcrj.2013.00088","ISSN":"1475-1534","PMID":"24186700","abstract":"BACKGROUND Efficacy trials suggest that extra-fine particle beclometasone dipropionate-formoterol (efBDP-FOR) is comparable to fluticasone propionate-salmeterol (FP-SAL) in preventing asthma exacerbations at a clinically equivalent dosage. However, switching from FP-SAL to efBDP-FOR has not been evaluated in real-world asthma patients. AIMS The REACH (Real-world Effectiveness in Asthma therapy of Combination inHalers) study investigated the clinical and cost effectiveness of switching typical asthma patients from FP-SAL to efBDP-FOR. METHODS A retrospective matched (1:3) observational study of 1,528 asthma patients aged 18-80 years from clinical practice databases was performed. Patients remaining on FP-SAL (n=1,146) were compared with those switched to efBDP-FOR at an equivalent or lower inhaled corticosteroid (ICS) dosage (n=382). Clinical and economic outcomes were compared between groups for the year before and after the switch. Non-inferiority (at least equivalence) of efBDP-FOR was tested against FP-SAL by comparing exacerbation rates during the outcome year. RESULTS efBDP-FOR was non-inferior to FP-SAL (adjusted exacerbation rate ratio 1.01 (95% CI 0.74 to 1.37)). Switching to efBDP-FOR resulted in significantly better (p&lt;0.05) odds of achieving overall asthma control (no asthma-related hospitalisations, bronchial infections, or acute oral steroids; salbutamol ≤200μg/day) and lower daily short-acting β2-agonist usage at a lower daily ICS dosage (mean -130μg/day FP equivalents; p&lt;0.001). It also reduced mean asthma-related healthcare costs by £93.63/patient/year (p&lt;0.001). CONCLUSIONS Asthma patients may be switched from FP-SAL to efBDP-FOR at an equivalent or lower ICS dosage with no reduction in clinical effectiveness but a significant reduction in cost.","author":[{"dropping-particle":"","family":"Price","given":"David","non-dropping-particle":"","parse-names":false,"suffix":""},{"dropping-particle":"","family":"Small","given":"Iain","non-dropping-particle":"","parse-names":false,"suffix":""},{"dropping-particle":"","family":"Haughney","given":"John","non-dropping-particle":"","parse-names":false,"suffix":""},{"dropping-particle":"","family":"Ryan","given":"Dermot","non-dropping-particle":"","parse-names":false,"suffix":""},{"dropping-particle":"","family":"Gruffydd-Jones","given":"Kevin","non-dropping-particle":"","parse-names":false,"suffix":""},{"dropping-particle":"","family":"Lavorini","given":"Federico","non-dropping-particle":"","parse-names":false,"suffix":""},{"dropping-particle":"","family":"Harris","given":"Tim","non-dropping-particle":"","parse-names":false,"suffix":""},{"dropping-particle":"","family":"Burden","given":"Annie","non-dropping-particle":"","parse-names":false,"suffix":""},{"dropping-particle":"","family":"Brockman","given":"Jeremy","non-dropping-particle":"","parse-names":false,"suffix":""},{"dropping-particle":"","family":"King","given":"Christine","non-dropping-particle":"","parse-names":false,"suffix":""},{"dropping-particle":"","family":"Papi","given":"Alberto","non-dropping-particle":"","parse-names":false,"suffix":""}],"container-title":"Primary care respiratory journal : journal of the General Practice Airways Group","id":"ITEM-1","issue":"4","issued":{"date-parts":[["2013","12","2"]]},"page":"439-48","title":"Clinical and cost effectiveness of switching asthma patients from fluticasone-salmeterol to extra-fine particle beclometasone-formoterol: a retrospective matched observational study of real-world patients.","type":"article-journal","volume":"22"},"uris":["http://www.mendeley.com/documents/?uuid=fba3b1bc-5450-3358-9b2d-332c6c5ad25b"]}],"mendeley":{"formattedCitation":"(10)","plainTextFormattedCitation":"(10)","previouslyFormattedCitation":"(10)"},"properties":{"noteIndex":0},"schema":"https://github.com/citation-style-language/schema/raw/master/csl-citation.json"}</w:instrText>
      </w:r>
      <w:r>
        <w:fldChar w:fldCharType="separate"/>
      </w:r>
      <w:r w:rsidR="001A0AD4" w:rsidRPr="001A0AD4">
        <w:rPr>
          <w:noProof/>
        </w:rPr>
        <w:t>(10)</w:t>
      </w:r>
      <w:r>
        <w:fldChar w:fldCharType="end"/>
      </w:r>
      <w:r>
        <w:t xml:space="preserve">. Although the product drugs differed, the study found a decline in exacerbations, improvement in asthma control, and reduction in healthcare costs; however, the reason for the switches was not described, and due to the design there may have been confounding by indication. One large Dutch study, including 70,053 patients, investigated adherence to inhaler medication after switching to generic products; this study found an increase in adherence in patients switched between a branded to a generic inhaler </w:t>
      </w:r>
      <w:r>
        <w:fldChar w:fldCharType="begin" w:fldLock="1"/>
      </w:r>
      <w:r w:rsidR="00142535">
        <w:instrText>ADDIN CSL_CITATION {"citationItems":[{"id":"ITEM-1","itemData":{"DOI":"10.1080/02770903.2017.1396468","ISSN":"0277-0903","abstract":"ABSTRACTBackground: The expiration of patents of brand inhalation medications and the ongoing pressure on healthcare budgets resulted in a growing market for generics. Aim: To study the use of brand and generic inhalation medication and the frequency of switching between brand and generic and between devices. In addition, we investigated whether switching affected adherence. Methods: From dispensing data from the Dutch PHARMO Database Network a cohort aged ≥ 5 years, using ≥ 1 year of inhalation medication between 2003 and 2012 was selected. Switching was defined as changing from brand to generic or vice versa. In addition, we studied change in aerosol delivery device type (e.g., DPI, pMDI, and nebulizers). Adherence was calculated using the medication possession ratio (MPR). Results: The total cohort comprised 70,053 patients with 1,604,488 dispensations. Per calendar year, 5% switched between brand and generic inhalation medication and 5% switched between devices. Median MPRs over the first 12 months ra...","author":[{"dropping-particle":"","family":"Engelkes","given":"Marjolein","non-dropping-particle":"","parse-names":false,"suffix":""},{"dropping-particle":"","family":"Blijderveen","given":"Jan C.","non-dropping-particle":"van","parse-names":false,"suffix":""},{"dropping-particle":"","family":"Overbeek","given":"Jetty A.","non-dropping-particle":"","parse-names":false,"suffix":""},{"dropping-particle":"","family":"Kuiper","given":"Josephine","non-dropping-particle":"","parse-names":false,"suffix":""},{"dropping-particle":"","family":"Herings","given":"Ron C. M.","non-dropping-particle":"","parse-names":false,"suffix":""},{"dropping-particle":"","family":"Sturkenboom","given":"Miriam C. J. M.","non-dropping-particle":"","parse-names":false,"suffix":""},{"dropping-particle":"","family":"Jongste","given":"Johan C.","non-dropping-particle":"de","parse-names":false,"suffix":""},{"dropping-particle":"","family":"Verhamme","given":"Katia M. C.","non-dropping-particle":"","parse-names":false,"suffix":""},{"dropping-particle":"","family":"Janssens","given":"Hettie M.","non-dropping-particle":"","parse-names":false,"suffix":""}],"container-title":"Journal of Asthma","id":"ITEM-1","issued":{"date-parts":[["2017","11","29"]]},"page":"1-9","publisher":"Taylor &amp; Francis","title":"Brand and generic use of inhalation medication and frequency of switching in children and adults: A population-based cohort study","type":"article-journal"},"uris":["http://www.mendeley.com/documents/?uuid=0080df15-d253-3852-a64b-d63990781591"]}],"mendeley":{"formattedCitation":"(7)","plainTextFormattedCitation":"(7)","previouslyFormattedCitation":"(7)"},"properties":{"noteIndex":0},"schema":"https://github.com/citation-style-language/schema/raw/master/csl-citation.json"}</w:instrText>
      </w:r>
      <w:r>
        <w:fldChar w:fldCharType="separate"/>
      </w:r>
      <w:r w:rsidR="001A0AD4" w:rsidRPr="001A0AD4">
        <w:rPr>
          <w:noProof/>
        </w:rPr>
        <w:t>(7)</w:t>
      </w:r>
      <w:r>
        <w:fldChar w:fldCharType="end"/>
      </w:r>
      <w:r>
        <w:t xml:space="preserve">. </w:t>
      </w:r>
      <w:r w:rsidR="004E5D43">
        <w:t xml:space="preserve">Our findings in respect to adherence levels are </w:t>
      </w:r>
      <w:r w:rsidR="004F1C20">
        <w:t xml:space="preserve"> also in keeping with </w:t>
      </w:r>
      <w:r w:rsidR="004E5D43">
        <w:t>previous studies</w:t>
      </w:r>
      <w:r w:rsidR="00AF3CC2">
        <w:t xml:space="preserve"> </w:t>
      </w:r>
      <w:r w:rsidR="004F1C20">
        <w:fldChar w:fldCharType="begin" w:fldLock="1"/>
      </w:r>
      <w:r w:rsidR="00142535">
        <w:instrText>ADDIN CSL_CITATION {"citationItems":[{"id":"ITEM-1","itemData":{"DOI":"10.1183/09031936.00075614","abstract":"The benefits of drug therapy for asthma have been well established, but adherence to treatment is poor, and this might be associated with an increased risk of asthma exacerbations. The aim of this study was to review the literature on the association between adherence to asthma controller treatment and risk of severe asthma exacerbations in children and adults. A systematic literature search was performed in PubMed, Embase and Web of Science, from inception until January 2014. Studies were included if data on the association between medication adherence and severe asthma exacerbations were presented. Quality was assessed using a modified version of the Newcastle-Ottawa Scale. The search yielded 2319 unique publications, of which 23 met the inclusion criteria and underwent data extraction and quality scoring. High levels of heterogeneity across studies with regard to adherence and exacerbation measurements, designs and analysis precluded a formal meta-analysis. Although effect measures varied widely, good adherence was associated with fewer severe asthma exacerbations in high-quality studies. Good adherence tended to be associated with lower risk of severe asthma exacerbations. Future studies should use standardised methodology to assess adherence and exacerbations, and should consider inhaler competence. @ERSpublications High-quality studies indicated that better adherence is associated with fewer severe asthma exacerbations","author":[{"dropping-particle":"","family":"Engelkes","given":"Marjolein","non-dropping-particle":"","parse-names":false,"suffix":""},{"dropping-particle":"","family":"Janssens","given":"Hettie M","non-dropping-particle":"","parse-names":false,"suffix":""},{"dropping-particle":"","family":"Jongste","given":"Johan C","non-dropping-particle":"De","parse-names":false,"suffix":""},{"dropping-particle":"","family":"Sturkenboom","given":"Miriam C J M","non-dropping-particle":"","parse-names":false,"suffix":""},{"dropping-particle":"","family":"Verhamme","given":"Katia M C","non-dropping-particle":"","parse-names":false,"suffix":""},{"dropping-particle":"","family":"Respir","given":"Eur","non-dropping-particle":"","parse-names":false,"suffix":""}],"container-title":"European Respiratory Journal","id":"ITEM-1","issued":{"date-parts":[["2014"]]},"title":"Medication adherence and the risk of severe asthma exacerbations: a systematic review","type":"article-journal"},"uris":["http://www.mendeley.com/documents/?uuid=23ca534d-a69a-33f0-a4d7-270397bd02a5"]},{"id":"ITEM-2","itemData":{"DOI":"10.1080/02770903.2017.1396468","ISSN":"0277-0903","abstract":"ABSTRACTBackground: The expiration of patents of brand inhalation medications and the ongoing pressure on healthcare budgets resulted in a growing market for generics. Aim: To study the use of brand and generic inhalation medication and the frequency of switching between brand and generic and between devices. In addition, we investigated whether switching affected adherence. Methods: From dispensing data from the Dutch PHARMO Database Network a cohort aged ≥ 5 years, using ≥ 1 year of inhalation medication between 2003 and 2012 was selected. Switching was defined as changing from brand to generic or vice versa. In addition, we studied change in aerosol delivery device type (e.g., DPI, pMDI, and nebulizers). Adherence was calculated using the medication possession ratio (MPR). Results: The total cohort comprised 70,053 patients with 1,604,488 dispensations. Per calendar year, 5% switched between brand and generic inhalation medication and 5% switched between devices. Median MPRs over the first 12 months ra...","author":[{"dropping-particle":"","family":"Engelkes","given":"Marjolein","non-dropping-particle":"","parse-names":false,"suffix":""},{"dropping-particle":"","family":"Blijderveen","given":"Jan C.","non-dropping-particle":"van","parse-names":false,"suffix":""},{"dropping-particle":"","family":"Overbeek","given":"Jetty A.","non-dropping-particle":"","parse-names":false,"suffix":""},{"dropping-particle":"","family":"Kuiper","given":"Josephine","non-dropping-particle":"","parse-names":false,"suffix":""},{"dropping-particle":"","family":"Herings","given":"Ron C. M.","non-dropping-particle":"","parse-names":false,"suffix":""},{"dropping-particle":"","family":"Sturkenboom","given":"Miriam C. J. M.","non-dropping-particle":"","parse-names":false,"suffix":""},{"dropping-particle":"","family":"Jongste","given":"Johan C.","non-dropping-particle":"de","parse-names":false,"suffix":""},{"dropping-particle":"","family":"Verhamme","given":"Katia M. C.","non-dropping-particle":"","parse-names":false,"suffix":""},{"dropping-particle":"","family":"Janssens","given":"Hettie M.","non-dropping-particle":"","parse-names":false,"suffix":""}],"container-title":"Journal of Asthma","id":"ITEM-2","issued":{"date-parts":[["2017","11","29"]]},"page":"1-9","publisher":"Taylor &amp; Francis","title":"Brand and generic use of inhalation medication and frequency of switching in children and adults: A population-based cohort study","type":"article-journal"},"uris":["http://www.mendeley.com/documents/?uuid=0080df15-d253-3852-a64b-d63990781591"]}],"mendeley":{"formattedCitation":"(7,33)","plainTextFormattedCitation":"(7,33)","previouslyFormattedCitation":"(7,33)"},"properties":{"noteIndex":0},"schema":"https://github.com/citation-style-language/schema/raw/master/csl-citation.json"}</w:instrText>
      </w:r>
      <w:r w:rsidR="004F1C20">
        <w:fldChar w:fldCharType="separate"/>
      </w:r>
      <w:r w:rsidR="001A0AD4" w:rsidRPr="001A0AD4">
        <w:rPr>
          <w:noProof/>
        </w:rPr>
        <w:t>(7,33)</w:t>
      </w:r>
      <w:r w:rsidR="004F1C20">
        <w:fldChar w:fldCharType="end"/>
      </w:r>
      <w:r w:rsidR="004E5D43">
        <w:t xml:space="preserve">. </w:t>
      </w:r>
      <w:r>
        <w:t xml:space="preserve">Evidence is even sparser for COPD patients </w:t>
      </w:r>
      <w:r>
        <w:fldChar w:fldCharType="begin" w:fldLock="1"/>
      </w:r>
      <w:r w:rsidR="00142535">
        <w:instrText>ADDIN CSL_CITATION {"citationItems":[{"id":"ITEM-1","itemData":{"DOI":"10.2147/COPD.S79635","ISSN":"1178-2005","PMID":"26664108","abstract":"Inhaled therapy is key to the management of chronic obstructive pulmonary disease (COPD). New drugs and inhalers have recently been launched or will soon become available, and the expiry of patent protection covering several currently used inhaled bronchodilators and corticosteroids will be accompanied by the development of bioequivalent, generic inhaled drugs. Consequently, a broader availability of branded and generic compounds will increase prescription opportunities. Given the time course of COPD, patients are likely to switch drugs and inhalers in daily practice. Switching from one device to another, if not accompanied by appropriate training for the patient, can be associated with poor clinical outcomes and increased use of health care resources. In fact, while it seems reasonable to prescribe generic inhaled drugs to reduce costs, inadequate use of inhaler devices, which is often associated with a poor patient-physician or patient-pharmacist relationship, is one of the most common reasons for failure to achieve COPD treatment outcomes. Further research is needed to quantify, as in asthma, the impact of inappropriate switching of inhalers in patients with COPD and show the outcomes related to the effect of using the same device for delivering inhaled medications.","author":[{"dropping-particle":"","family":"Braido","given":"Fulvio","non-dropping-particle":"","parse-names":false,"suffix":""},{"dropping-particle":"","family":"Lavorini","given":"Federico","non-dropping-particle":"","parse-names":false,"suffix":""},{"dropping-particle":"","family":"Blasi","given":"Francesco","non-dropping-particle":"","parse-names":false,"suffix":""},{"dropping-particle":"","family":"Baiardini","given":"Ilaria","non-dropping-particle":"","parse-names":false,"suffix":""},{"dropping-particle":"","family":"Canonica","given":"Giorgio Walter","non-dropping-particle":"","parse-names":false,"suffix":""}],"container-title":"International journal of chronic obstructive pulmonary disease","id":"ITEM-1","issued":{"date-parts":[["2015"]]},"page":"2601-8","publisher":"Dove Press","title":"Switching treatments in COPD: implications for costs and treatment adherence.","type":"article-journal","volume":"10"},"uris":["http://www.mendeley.com/documents/?uuid=bd9da744-b0fa-3f28-8172-a0a4c0cc95c3"]}],"mendeley":{"formattedCitation":"(15)","plainTextFormattedCitation":"(15)","previouslyFormattedCitation":"(15)"},"properties":{"noteIndex":0},"schema":"https://github.com/citation-style-language/schema/raw/master/csl-citation.json"}</w:instrText>
      </w:r>
      <w:r>
        <w:fldChar w:fldCharType="separate"/>
      </w:r>
      <w:r w:rsidR="001A0AD4" w:rsidRPr="001A0AD4">
        <w:rPr>
          <w:noProof/>
        </w:rPr>
        <w:t>(15)</w:t>
      </w:r>
      <w:r>
        <w:fldChar w:fldCharType="end"/>
      </w:r>
      <w:r>
        <w:t xml:space="preserve">, with only a small retrospective Japanese observational study of 57 patients that had switched between specific </w:t>
      </w:r>
      <w:r>
        <w:lastRenderedPageBreak/>
        <w:t xml:space="preserve">LAMA inhalers </w:t>
      </w:r>
      <w:r>
        <w:fldChar w:fldCharType="begin" w:fldLock="1"/>
      </w:r>
      <w:r w:rsidR="00142535">
        <w:instrText>ADDIN CSL_CITATION {"citationItems":[{"id":"ITEM-1","itemData":{"DOI":"10.2147/COPD.S73521","ISSN":"1178-2005","PMID":"25609941","abstract":"BACKGROUND Tiotropium (Spiriva) is an inhaled muscarinic antagonist for patients with chronic obstructive pulmonary disease (COPD), and is available in two forms: the HandiHaler and the Respimat inhaler. The aim of this study was to investigate the handling of and preference for each device immediately after switching from the HandiHaler to the Respimat and 2-3 years after the switch. MATERIALS AND METHODS The study comprised two surveys. A questionnaire was first administered to 57 patients with COPD (male:female 52:5, mean age 73.6±7.1 years) 8 weeks after switching from the HandiHaler (18 μg) to the Respimat (5 μg). A second similar but simplified questionnaire was administered to 39 of these patients who continued to use the Respimat and were available for follow-up after more than 2 years. Pulmonary function was also measured during each period. RESULTS In the first survey, 17.5% of patients preferred the HandiHaler, and 45.6% preferred the Respimat. There were no significant changes in pulmonary function or in the incidence of adverse events after the switch. In the second survey, performed 2-3 years later, the self-assessed handling of the Respimat had significantly improved, and the number of patients who preferred the Respimat had increased to 79.5%. CONCLUSION The efficacy of the Respimat was similar to that of the HandiHaler. This was clear immediately after the switch, even in elderly patients with COPD who were long-term users of the HandiHaler. The preference for the Respimat increased with continued use.","author":[{"dropping-particle":"","family":"Hanada","given":"Soichiro","non-dropping-particle":"","parse-names":false,"suffix":""},{"dropping-particle":"","family":"Wada","given":"Shota","non-dropping-particle":"","parse-names":false,"suffix":""},{"dropping-particle":"","family":"Ohno","given":"Takeshi","non-dropping-particle":"","parse-names":false,"suffix":""},{"dropping-particle":"","family":"Sawaguchi","given":"Hirochiyo","non-dropping-particle":"","parse-names":false,"suffix":""},{"dropping-particle":"","family":"Muraki","given":"Masato","non-dropping-particle":"","parse-names":false,"suffix":""},{"dropping-particle":"","family":"Tohda","given":"Yuji","non-dropping-particle":"","parse-names":false,"suffix":""}],"container-title":"International journal of chronic obstructive pulmonary disease","id":"ITEM-1","issued":{"date-parts":[["2015"]]},"page":"69-77","publisher":"Dove Press","title":"Questionnaire on switching from the tiotropium HandiHaler to the Respimat inhaler in patients with chronic obstructive pulmonary disease: changes in handling and preferences immediately and several years after the switch.","type":"article-journal","volume":"10"},"uris":["http://www.mendeley.com/documents/?uuid=e01c951b-9799-336a-a004-16db9a0cdf8b"]}],"mendeley":{"formattedCitation":"(9)","plainTextFormattedCitation":"(9)","previouslyFormattedCitation":"(9)"},"properties":{"noteIndex":0},"schema":"https://github.com/citation-style-language/schema/raw/master/csl-citation.json"}</w:instrText>
      </w:r>
      <w:r>
        <w:fldChar w:fldCharType="separate"/>
      </w:r>
      <w:r w:rsidR="001A0AD4" w:rsidRPr="001A0AD4">
        <w:rPr>
          <w:noProof/>
        </w:rPr>
        <w:t>(9)</w:t>
      </w:r>
      <w:r>
        <w:fldChar w:fldCharType="end"/>
      </w:r>
      <w:r>
        <w:t>. None of these studies comprehensively addressed the overall impact of non-clinical inhaler switching, nor directly examin</w:t>
      </w:r>
      <w:r w:rsidR="00AA354B">
        <w:t>ed</w:t>
      </w:r>
      <w:r>
        <w:t xml:space="preserve"> the impact of switching from a branded to a generic inhaler.</w:t>
      </w:r>
    </w:p>
    <w:p w:rsidR="00373E5B" w:rsidRDefault="00373E5B" w:rsidP="00373E5B">
      <w:pPr>
        <w:jc w:val="both"/>
        <w:rPr>
          <w:b/>
        </w:rPr>
      </w:pPr>
      <w:r>
        <w:rPr>
          <w:b/>
        </w:rPr>
        <w:t>Strengths and weaknesses of the study</w:t>
      </w:r>
    </w:p>
    <w:p w:rsidR="00AE4147" w:rsidRDefault="00373E5B" w:rsidP="00373E5B">
      <w:pPr>
        <w:jc w:val="both"/>
      </w:pPr>
      <w:r>
        <w:t xml:space="preserve">One advantage was the use of real-world data; whereas in most trials, inhaler technique is optimised, and adherence is encouraged. The SCCS cohorts were similar to the large nationally representative population that they were drawn from. Therefore, these two features provide results likely to be generalisable to the UK, and other similar populations. </w:t>
      </w:r>
      <w:r w:rsidR="00AE4147">
        <w:t>However, it is also probable that most patients were only switched if deemed appropriate by their GP practice, therefore, the</w:t>
      </w:r>
      <w:r w:rsidR="00C53F88">
        <w:t>se results would only be generalisable to such patients</w:t>
      </w:r>
      <w:r w:rsidR="00AE4147">
        <w:t>.</w:t>
      </w:r>
      <w:r w:rsidR="009D430F">
        <w:t xml:space="preserve"> Switching may also have led to i</w:t>
      </w:r>
      <w:r w:rsidR="00142535">
        <w:t>mproved</w:t>
      </w:r>
      <w:r w:rsidR="009D430F">
        <w:t xml:space="preserve"> adherence and</w:t>
      </w:r>
      <w:r w:rsidR="00142535">
        <w:t>/or</w:t>
      </w:r>
      <w:r w:rsidR="009D430F">
        <w:t xml:space="preserve"> inhaler </w:t>
      </w:r>
      <w:r w:rsidR="00142535">
        <w:t>technique</w:t>
      </w:r>
      <w:r w:rsidR="009D430F">
        <w:t xml:space="preserve"> if the GP practice or patient’s pharmacist </w:t>
      </w:r>
      <w:r w:rsidR="00142535">
        <w:t>provided education at the time of the switch.</w:t>
      </w:r>
    </w:p>
    <w:p w:rsidR="00373E5B" w:rsidRDefault="00373E5B" w:rsidP="00373E5B">
      <w:pPr>
        <w:jc w:val="both"/>
      </w:pPr>
      <w:r>
        <w:t>Another advantage was that the SCCS design is less prone to confounding and statistically more efficient than traditional cohort designs. To prevent violation of the SCCS assumptions, in the exacerbation cohort alone, an eligibility criteria of a 12-month period of no exacerbations prior to the observation period was set. This could have reduced generalisability</w:t>
      </w:r>
      <w:r w:rsidR="00C53F88">
        <w:t xml:space="preserve"> (as a patient must have 1-year exacerbation-free period)</w:t>
      </w:r>
      <w:r>
        <w:t>, but, the SCCS-exacerbation cohort was very similar to the reference population and analyses with the three other outcomes, which did not have this eligibility stipulation, showed comparable findings.</w:t>
      </w:r>
      <w:r w:rsidR="00AE4147">
        <w:t xml:space="preserve"> </w:t>
      </w:r>
      <w:r w:rsidR="00AE6AA3">
        <w:t>It</w:t>
      </w:r>
      <w:r w:rsidR="00E2109E">
        <w:t>’s</w:t>
      </w:r>
      <w:r w:rsidR="00AE6AA3">
        <w:t xml:space="preserve"> also possible that </w:t>
      </w:r>
      <w:r w:rsidR="00AA354B">
        <w:t>the effect of inhaler switching had a</w:t>
      </w:r>
      <w:r w:rsidR="00F56174">
        <w:t xml:space="preserve"> shorter or</w:t>
      </w:r>
      <w:r w:rsidR="00AA354B">
        <w:t xml:space="preserve"> more prolonged affect than 3 months</w:t>
      </w:r>
      <w:r w:rsidR="00F56174">
        <w:t>, however,</w:t>
      </w:r>
      <w:r w:rsidR="00AA354B">
        <w:t xml:space="preserve"> this would only have </w:t>
      </w:r>
      <w:r w:rsidR="00F56174">
        <w:t>underestimated the relative risk</w:t>
      </w:r>
      <w:r w:rsidR="00AA354B">
        <w:t xml:space="preserve">. </w:t>
      </w:r>
      <w:r>
        <w:t xml:space="preserve">Although the prescription data quality was high, we did not know if the prescription was dispensed or </w:t>
      </w:r>
      <w:r w:rsidR="00AE4147">
        <w:t>taken</w:t>
      </w:r>
      <w:r>
        <w:t xml:space="preserve">. However, a very low proportion did not stay on the switched prescription (suggesting the medication was dispensed). </w:t>
      </w:r>
      <w:r w:rsidR="00AE4147">
        <w:t>T</w:t>
      </w:r>
      <w:r>
        <w:t xml:space="preserve">he respiratory and adverse-medication events measured were only those that were recorded, potentially some were not. If such under recording was equally likely throughout follow-up, this would only lead to reduced power, rather than generating a biased estimate. Mild exacerbations were not included as an outcome as identifying these from the data would not have been accurate. However, the assessment of symptom changes, should have identified milder clinical effects. The potential cost savings, depended on the assumption that all patients were suitable; but, we recognize this is unlikely as not all inhaler devices suit everyone. </w:t>
      </w:r>
      <w:r w:rsidR="00D97697">
        <w:t>The cost analysis did not take into account savings from reductions in exacerbations.</w:t>
      </w:r>
      <w:r w:rsidR="00144FBE">
        <w:t xml:space="preserve"> Since 2016 </w:t>
      </w:r>
      <w:r w:rsidR="001A3C82">
        <w:t>it is possible switching prevalence has changed, although this would not affect the effect estimates from switching.</w:t>
      </w:r>
    </w:p>
    <w:p w:rsidR="00373E5B" w:rsidRDefault="00373E5B" w:rsidP="00373E5B">
      <w:pPr>
        <w:rPr>
          <w:b/>
        </w:rPr>
      </w:pPr>
      <w:r>
        <w:rPr>
          <w:b/>
        </w:rPr>
        <w:t>Implications of these findings</w:t>
      </w:r>
    </w:p>
    <w:p w:rsidR="00373E5B" w:rsidRPr="00ED344F" w:rsidRDefault="00373E5B" w:rsidP="00373E5B">
      <w:pPr>
        <w:jc w:val="both"/>
      </w:pPr>
      <w:r>
        <w:t>Treatment with combination inhalers is increasing; as these are some of the most expensive products, this will continue the escalation in respiratory spending. Our findings suggest that financially-driven inhaler switching occurs infrequently. This is likely due to physician reticence, related to concern that switching is detrimental to a patient’s health. This apprehension has been discussed in several reviews, and questionnaires found that doctors across Europe believe that inhalers are not interchangeable</w:t>
      </w:r>
      <w:r>
        <w:fldChar w:fldCharType="begin" w:fldLock="1"/>
      </w:r>
      <w:r w:rsidR="00142535">
        <w:instrText>ADDIN CSL_CITATION {"citationItems":[{"id":"ITEM-1","itemData":{"DOI":"10.1159/000363771","ISSN":"1423-0356","PMID":"25195762","abstract":"Inhaled therapies are central to the treatment of asthma and chronic obstructive pulmonary disease. Physicians consider many factors when selecting the most appropriate inhaler device, including device efficacy and the cost to the health care system. This review aims to discuss the factors that are important when considering inhaler devices and the importance of continuity in the choice of inhaler device. A large number of factors can contribute to therapeutic outcomes with inhalation devices. The inhalation technique is critical to treatment success and differs substantially between inhaler devices. Misuse of an inhaler is common, and thorough training of patients and physicians is important to ensure correct utilization. Patient satisfaction is an important consideration because it is significantly correlated with compliance and better outcomes. Financial pressures contribute to decision making: although selecting the less expensive inhaler device might reduce direct treatment costs, it can have a large impact on disease control and the patient's well-being. Switching may be associated with a poor inhalation technique, reduced disease control and quality of life, increased use of other treatments and health care resources, and a greater chance of unsuccessful treatment. Nonconsensual switches can result in patient discontent, reduced confidence in the medication, and uncertainty regarding the degree of disease control. It is recommended that patients with stable disease remain on their current device. If a switch is considered, the patient should be consulted and the physician should take into account the patient's preference, their ability to correctly use the device, and the availability of the preferred drug in the preferred device.","author":[{"dropping-particle":"","family":"Bjermer","given":"Leif","non-dropping-particle":"","parse-names":false,"suffix":""}],"container-title":"Respiration; international review of thoracic diseases","id":"ITEM-1","issue":"4","issued":{"date-parts":[["2014"]]},"page":"346-52","title":"The importance of continuity in inhaler device choice for asthma and chronic obstructive pulmonary disease.","type":"article-journal","volume":"88"},"uris":["http://www.mendeley.com/documents/?uuid=81ce02d1-b982-3b2c-9034-c5d990e31a8e"]},{"id":"ITEM-2","itemData":{"author":[{"dropping-particle":"","family":"Capstick","given":"T","non-dropping-particle":"","parse-names":false,"suffix":""},{"dropping-particle":"","family":"Khachi","given":"H","non-dropping-particle":"","parse-names":false,"suffix":""},{"dropping-particle":"","family":"Murphy","given":"A","non-dropping-particle":"","parse-names":false,"suffix":""},{"dropping-particle":"","family":"D'Ancona","given":"G","non-dropping-particle":"","parse-names":false,"suffix":""},{"dropping-particle":"","family":"Meynell","given":"H","non-dropping-particle":"","parse-names":false,"suffix":""},{"dropping-particle":"","family":"Wilson","given":"P","non-dropping-particle":"","parse-names":false,"suffix":""}],"container-title":"The Pharmaceutical Journal","id":"ITEM-2","issued":{"date-parts":[["2015"]]},"title":"Generic prescribing is not appropriate for inhaled drugs","type":"article-journal","volume":"8 Jan"},"uris":["http://www.mendeley.com/documents/?uuid=a6201dad-3c86-4052-87d5-0482e42f8a34"]},{"id":"ITEM-3","itemData":{"DOI":"10.1007/s11096-006-9079-6","ISSN":"0928-1231","author":[{"dropping-particle":"","family":"Williams","given":"Angela E.","non-dropping-particle":"","parse-names":false,"suffix":""},{"dropping-particle":"","family":"Chrystyn","given":"Henry","non-dropping-particle":"","parse-names":false,"suffix":""}],"container-title":"Pharmacy World &amp; Science","id":"ITEM-3","issue":"3","issued":{"date-parts":[["2007","5","23"]]},"page":"221-227","publisher":"Kluwer Academic Publishers","title":"Survey of pharmacists’ attitudes towards interchangeable use of dry powder inhalers","type":"article-journal","volume":"29"},"uris":["http://www.mendeley.com/documents/?uuid=c1907f73-9dec-3372-98bd-e43feaa820fa"]},{"id":"ITEM-4","itemData":{"DOI":"10.1111/j.1368-504X.2005.00724.x","ISSN":"13685031","PMID":"16280000","abstract":"It is important to assess the attitudes of healthcare professionals to the interchangeable use of dry powder inhalers, as there is the potential for this to occur more frequently in the future. A survey of healthcare professionals in the UK found that 87% were concerned about potential problems arising from prescriptions that do not specify the device to be dispensed, and 46% were aware of actual incidents in which patients received an unfamiliar inhaler, including patient confusion, ineffective inhaler technique and the need to reissue prescriptions. In another survey conducted among 427 primary and secondary care physicians in Germany, Netherlands, UK and USA, one third of the physicians considered the device before considering the chemical entity within a class of treatments and over half the respondents reported problems with the device as one of the main reasons for switching inhaled therapy. In a survey conducted in Australia, Canada, France, Germany and UK, over 90% of the 726 physicians interviewed thought that interchangeable use of dry powder inhalers would have a negative impact on patient compliance and device handling and on willingness to use the inhaler if the patient was not involved in the choice. In total, 79% of physicians thought that substitution of a patient's regular dry powder inhaler with another could have a negative impact on asthma control. The majority of physicians (95%) were opposed to substitution of one dry powder inhaler for another if the pharmacist does not consult the patient or physician. A majority (86%) were concerned that switching between dry powder inhalers would have an adverse impact on workload. Only 9% of physicians thought that dry powder inhalers were interchangeable, with almost eight out of 10 (79%) considering that there should be official recognition that they are not interchangeable. In conclusion, a number of surveys among healthcare professionals have shown that they believe patient involvement in treatment choice to be essential for adherence to therapy. Dry powder inhalers were perceived as different and not interchangeable, with physicians opposed to substitution of one dry powder inhaler by another without consultation with the patient or physician. Consequently, physicians are in favour of official recognition that dry powder inhalers are not interchangeable, with any cost benefits likely to be outweighed by the need for additional consultations and prescriptions.","author":[{"dropping-particle":"","family":"Price","given":"D.","non-dropping-particle":"","parse-names":false,"suffix":""}],"container-title":"International Journal of Clinical Practice","id":"ITEM-4","issue":"149","issued":{"date-parts":[["2005","11","8"]]},"page":"26-29","title":"Do healthcare professionals think that dry powder inhalers can be used interchangeably?","type":"article-journal","volume":"59"},"uris":["http://www.mendeley.com/documents/?uuid=132f0831-423f-3f82-a993-6e83e10614b4"]},{"id":"ITEM-5","itemData":{"DOI":"10.1111/j.1368-504X.2005.00725.x","ISSN":"13685031","PMID":"16280001","abstract":"As recognised in management guidelines, patients are the most important group of people in any prescribing decision. Despite their importance, few studies have asked what patients think about being switched between different inhalers. This paper reports two such studies, one involving interviews of a sample of patients and the other consisting of a quantitative survey of patients across five countries. In the qualitative study, four of the five patients interviewed reported that they would be confused, worried and unhappy about a switch in their dry powder inhaler and would revisit their physician to be shown how to use the inhaler or to ask for a new prescription for their old inhaler. In the quantitative survey of 499 patients with asthma, more than half (51%) were opposed to their current dry powder inhaler being replaced by a substitute device, with 83% reporting concerns. There was considerable concern about training in use of the new device and confusion about the need for change. Almost a quarter of patients (23%) would want training, and 23% of patients thought they would need information about the new inhaler. From limited information, it appears that patients would be concerned about switching of their existing dry powder inhaler for another, with the potential for confusion, need for additional consultations and need for training in the new device.","author":[{"dropping-particle":"","family":"Booker","given":"R.","non-dropping-particle":"","parse-names":false,"suffix":""}],"container-title":"International Journal of Clinical Practice","id":"ITEM-5","issue":"149","issued":{"date-parts":[["2005","11","8"]]},"page":"30-32","title":"Do patients think that dry powder inhalers can be used interchangeably?","type":"article-journal","volume":"59"},"uris":["http://www.mendeley.com/documents/?uuid=58847323-fd98-3c6e-bf64-4d414c6dee13"]},{"id":"ITEM-6","itemData":{"DOI":"10.1517/17425247.2013.852182","ISSN":"1742-5247","abstract":"Pressure on healthcare budgets is increasing, while at the same time patent protection for many branded inhaled medications has expired, leading to the development and growing availability of generic inhaled medicines. Generic inhaled drugs are therapeutically equivalent to original branded options but may differ in their formulation and inhalation device. This new situation raises questions about the potential impact of switching from branded to generic drug/inhaler combination products in patients with asthma or COPD, with or without their consent, in countries where this is permitted. Inhalation devices, particularly dry powder inhalers, vary markedly in their design, method of operation and drug delivery to the lungs. Current guidelines stress the importance of training patients how to use their inhalers but offer little or no guidance on how this should be achieved. Non-adherence to therapy and incorrect inhaler usage are recognised as major factors in poorly or uncontrolled asthma and COPD and switc...","author":[{"dropping-particle":"","family":"Lavorini","given":"Federico","non-dropping-particle":"","parse-names":false,"suffix":""},{"dropping-particle":"","family":"Ninane","given":"Vincent","non-dropping-particle":"","parse-names":false,"suffix":""},{"dropping-particle":"","family":"Haughney","given":"John","non-dropping-particle":"","parse-names":false,"suffix":""},{"dropping-particle":"","family":"Bjermer","given":"Leif","non-dropping-particle":"","parse-names":false,"suffix":""},{"dropping-particle":"","family":"Molimard","given":"Mathieu","non-dropping-particle":"","parse-names":false,"suffix":""},{"dropping-particle":"","family":"Dekhuijzen","given":"Richard PN","non-dropping-particle":"","parse-names":false,"suffix":""}],"container-title":"Expert Opinion on Drug Delivery","id":"ITEM-6","issue":"12","issued":{"date-parts":[["2013","12","14"]]},"page":"1597-1602","publisher":"Taylor &amp; Francis","title":"Switching from branded to generic inhaled medications: potential impact on asthma and COPD","type":"article-journal","volume":"10"},"uris":["http://www.mendeley.com/documents/?uuid=f0ec8279-28b2-310d-89f5-4e08e15e1007"]},{"id":"ITEM-7","itemData":{"DOI":"10.1136/BMJ.K1180","ISSN":"1756-1833","PMID":"29615391","abstract":"OBJECTIVES To compare rates of switchbacks to branded drug products for patients switched from branded to authorized generic drug products, which have the same active ingredients, appearance, and excipients as the branded product, with patients switched from branded to generic drug products, which have the same active ingredients as the branded product but may differ in appearance and excipients. DESIGN Observational cohort study. SETTING Private (a large commercial health plan) and public (Medicaid) insurance programs in the US. PARTICIPANTS Beneficiaries of a large US commercial health insurer between 2004 and 2013 (primary cohort) and Medicaid beneficiaries between 2000 and 2010 (replication cohort). MAIN OUTCOME MEASURES Patients taking branded products for one of the study drugs (alendronate tablets, amlodipine tablets, amlodipine-benazepril capsules, calcitonin salmon nasal spray, escitalopram tablets, glipizide extended release tablets, quinapril tablets, and sertraline tablets) were identified when they switched to an authorized generic or a generic drug product after the date of market entry of generic drug products. These patients were followed for switchbacks to the branded drug product in the year after their switch to an authorized generic or a generic drug product. Cox proportional hazard models were used to estimate hazard ratios and 95% confidence intervals after adjusting for demographics, including age, sex, and calendar year. Inverse variance meta-analysis was used to pool adjusted hazard ratios across all drug products. RESULTS A total of 94 909 patients switched from branded to authorized generic drug products and 116 017 patients switched from branded to generic drug products and contributed to the switchback analysis. Unadjusted incidence rates of switchback varied across drug products, ranging from a low of 3.8 per 100 person years (for alendronate tablets) to a high of 17.8 per 100 person years (for amlodipine-benazepril capsules), with an overall rate of 8.2 per 100 person years across all drug products. Adjusted switchback rates were consistently lower for patients who switched from branded to authorized generic drug products compared with branded to generic drug products in the primary cohort (pooled hazard ratio 0.72, 95% confidence interval 0.64 to 0.81). Similar results (0.75, 0.62 to 0.91) were observed in the replication cohort. CONCLUSION Switching from branded to authorized generic drug products was associated with low…","author":[{"dropping-particle":"","family":"Desai","given":"Rishi J","non-dropping-particle":"","parse-names":false,"suffix":""},{"dropping-particle":"","family":"Sarpatwari","given":"Ameet","non-dropping-particle":"","parse-names":false,"suffix":""},{"dropping-particle":"","family":"Dejene","given":"Sara","non-dropping-particle":"","parse-names":false,"suffix":""},{"dropping-particle":"","family":"Khan","given":"Nazleen F","non-dropping-particle":"","parse-names":false,"suffix":""},{"dropping-particle":"","family":"Lii","given":"Joyce","non-dropping-particle":"","parse-names":false,"suffix":""},{"dropping-particle":"","family":"Rogers","given":"James R","non-dropping-particle":"","parse-names":false,"suffix":""},{"dropping-particle":"","family":"Dutcher","given":"Sarah K","non-dropping-particle":"","parse-names":false,"suffix":""},{"dropping-particle":"","family":"Raofi","given":"Saeid","non-dropping-particle":"","parse-names":false,"suffix":""},{"dropping-particle":"","family":"Bohn","given":"Justin","non-dropping-particle":"","parse-names":false,"suffix":""},{"dropping-particle":"","family":"Connolly","given":"John","non-dropping-particle":"","parse-names":false,"suffix":""},{"dropping-particle":"","family":"Fischer","given":"Michael A","non-dropping-particle":"","parse-names":false,"suffix":""},{"dropping-particle":"","family":"Kesselheim","given":"Aaron S","non-dropping-particle":"","parse-names":false,"suffix":""},{"dropping-particle":"","family":"Gagne","given":"Joshua J","non-dropping-particle":"","parse-names":false,"suffix":""}],"container-title":"BMJ (Clinical research ed.)","id":"ITEM-7","issued":{"date-parts":[["2018","4","3"]]},"page":"k1180","publisher":"British Medical Journal Publishing Group","title":"Differences in rates of switchbacks after switching from branded to authorized generic and branded to generic drug products: cohort study.","type":"article-journal","volume":"361"},"uris":["http://www.mendeley.com/documents/?uuid=285672ee-384a-30f1-ac29-7f6926ee9190"]},{"id":"ITEM-8","itemData":{"DOI":"10.2147/COPD.S79635","abstract":"Inhaled therapy is key to the management of chronic obstructive pulmonary disease (COPD). New drugs and inhalers have recently been launched or will soon become available, and the expiry of patent protection covering several currently used inhaled bronchodilators and corticosteroids will be accompanied by the development of bioequivalent, generic inhaled drugs. Consequently, a broader availability of branded and generic compounds will increase prescription opportunities. Given the time course of COPD, patients are likely to switch drugs and inhalers in daily practice. Switching from one device to another, if not accompanied by appropriate training for the patient, can be associated with poor clinical outcomes and increased use of health care resources. In fact, while it seems reasonable to prescribe generic inhaled drugs to reduce costs, inadequate use of inhaler devices, which is often associated with a poor patient– physician or patient–pharmacist relationship, is one of the most common reasons for failure to achieve COPD treatment outcomes. Further research is needed to quantify, as in asthma, the impact of inappropriate switching of inhalers in patients with COPD and show the outcomes related to the effect of using the same device for delivering inhaled medications.","author":[{"dropping-particle":"","family":"Braido","given":"Fulvio","non-dropping-particle":"","parse-names":false,"suffix":""},{"dropping-particle":"","family":"Lavorini","given":"Federico","non-dropping-particle":"","parse-names":false,"suffix":""},{"dropping-particle":"","family":"Blasi","given":"Francesco","non-dropping-particle":"","parse-names":false,"suffix":""},{"dropping-particle":"","family":"Baiardini","given":"Ilaria","non-dropping-particle":"","parse-names":false,"suffix":""},{"dropping-particle":"","family":"Walter Canonica","given":"Giorgio","non-dropping-particle":"","parse-names":false,"suffix":""}],"container-title":"International Journal of COPD","id":"ITEM-8","issued":{"date-parts":[["2015"]]},"page":"2601-2608","title":"Switching treatments in COPD: implications for costs and treatment adherence","type":"article-journal","volume":"10"},"uris":["http://www.mendeley.com/documents/?uuid=79782ed7-4347-3ba5-be00-f46d4864b418"]},{"id":"ITEM-9","itemData":{"DOI":"10.4104/pcrj.2010.00009","ISSN":"1471-4418","PMID":"20174771","abstract":"AIMS To identify asthma patients who have experienced a non-consented switch (NCS) of their inhaler device and to explore the circumstances and impact of these switches. METHODS Nineteen asthma patients who had experienced an NCS of their inhaler device were recruited to participate in qualitative, semistructured one-to-one interviews. RESULTS All 19 participants reported a switch in their asthma inhaler without consultation or approval. There was deterioration in asthma control reported by some participants, many remained unchanged, and two reported better outcomes. Regardless of any change in asthma control, all patients expressed discontent with the NCS. Many felt it had damaged their relationship with their doctor, their confidence in their asthma medication, and their perception of control over their disease. CONCLUSIONS These qualitative interviews highlight the need to maintain clear and open communication with patients. Switching of patients' inhalers without their consent may diminish the self-control associated with good asthma management, leave the doctor-patient relationship damaged, increase resource utilisation, and waste medication.","author":[{"dropping-particle":"","family":"Doyle","given":"Scott","non-dropping-particle":"","parse-names":false,"suffix":""},{"dropping-particle":"","family":"Lloyd","given":"Andrew","non-dropping-particle":"","parse-names":false,"suffix":""},{"dropping-particle":"","family":"Williams","given":"Angela","non-dropping-particle":"","parse-names":false,"suffix":""},{"dropping-particle":"","family":"Chrystyn","given":"Henry","non-dropping-particle":"","parse-names":false,"suffix":""},{"dropping-particle":"","family":"Moffat","given":"Mandy","non-dropping-particle":"","parse-names":false,"suffix":""},{"dropping-particle":"","family":"Thomas","given":"Mike","non-dropping-particle":"","parse-names":false,"suffix":""},{"dropping-particle":"","family":"Price","given":"David","non-dropping-particle":"","parse-names":false,"suffix":""}],"container-title":"Primary Care Respiratory Journal","id":"ITEM-9","issue":"2","issued":{"date-parts":[["2010","2","19"]]},"page":"131-139","title":"What happens to patients who have their asthma device switched without their consent?","type":"article-journal","volume":"19"},"uris":["http://www.mendeley.com/documents/?uuid=cf78b099-9024-3ad1-836f-15ea26d5c4be"]},{"id":"ITEM-10","itemData":{"DOI":"10.1111/ijcp.12202","ISSN":"1742-1241","PMID":"23773278","abstract":"BACKGROUND Asthma requires individually tailored and careful management to control and prevent symptoms and exacerbations. Selection of the most appropriate treatment is dependent on both the choice of drugs and inhaler device; however, financial pressures may result in patients being switched to alternative medications and devices in an attempt to reduce costs. AIM This review aimed to examine the published literature in order to ascertain whether switching a patient's asthma medications or device negatively impacts clinical and economic outcomes. MATERIALS AND METHODS A literature search of MEDLINE (2001-13 September 2011) was conducted to identify English-language articles focused on the direct impact of switching medications and inhaler devices and switching from fixed-dose combination to monocomponent therapy via separate inhalers in patients with asthma; the indirect impacts of switching were also assessed. RESULTS Evidence showed that non-consented switching of medications and inhalers in patients with asthma can be associated with a range of negative outcomes, at both individual and organisational levels. Factors that reduce adherence may lead to compromised symptom control resulting in increased healthcare resource utilisation and poorer patient quality of life. DISCUSSION The consequences of a non-consented switch should be weighed carefully against arguments supporting an inhaler switch without the patient's consent for non-medical/budgetary reasons, such as potential reductions in initial acquisition costs, which may be associated with subsequent additional healthcare needs. CONCLUSION Given the increasing pressure for reduced costs and efficient allocation of limited healthcare resources, an additional investment in ensuring high medication adherence may lead to greater savings due to a potentially decreased demand for healthcare services. In contrast, savings achieved in acquisition costs may result in a greater net loss due to increased healthcare consumption caused by decreased asthma control.","author":[{"dropping-particle":"","family":"Björnsdóttir","given":"U S","non-dropping-particle":"","parse-names":false,"suffix":""},{"dropping-particle":"","family":"Gizurarson","given":"S","non-dropping-particle":"","parse-names":false,"suffix":""},{"dropping-particle":"","family":"Sabale","given":"U","non-dropping-particle":"","parse-names":false,"suffix":""}],"container-title":"International journal of clinical practice","id":"ITEM-10","issue":"9","issued":{"date-parts":[["2013","9"]]},"page":"904-10","publisher":"Wiley-Blackwell","title":"Potential negative consequences of non-consented switch of inhaled medications and devices in asthma patients.","type":"article-journal","volume":"67"},"uris":["http://www.mendeley.com/documents/?uuid=5eef90eb-b433-32fb-a397-7a0cfa56113d"]}],"mendeley":{"formattedCitation":"(12–14,16–18,34–37)","plainTextFormattedCitation":"(12–14,16–18,34–37)","previouslyFormattedCitation":"(12–14,16–18,34–37)"},"properties":{"noteIndex":0},"schema":"https://github.com/citation-style-language/schema/raw/master/csl-citation.json"}</w:instrText>
      </w:r>
      <w:r>
        <w:fldChar w:fldCharType="separate"/>
      </w:r>
      <w:r w:rsidR="001A0AD4" w:rsidRPr="001A0AD4">
        <w:rPr>
          <w:noProof/>
        </w:rPr>
        <w:t>(12–14,16–18,34–37)</w:t>
      </w:r>
      <w:r>
        <w:fldChar w:fldCharType="end"/>
      </w:r>
      <w:r>
        <w:t>.</w:t>
      </w:r>
      <w:r w:rsidR="00AE4147">
        <w:t xml:space="preserve"> </w:t>
      </w:r>
      <w:r>
        <w:t>Reassuringly, we have shown here, that exacerbations, respiratory symptoms, and adverse-medication events did not increase; in fact, only 5% of patients did not stay on their new inhaler.</w:t>
      </w:r>
      <w:r w:rsidRPr="00F53138">
        <w:t xml:space="preserve"> </w:t>
      </w:r>
      <w:r>
        <w:t>We propose that the temporary decrease in exacerbations could be related to a temporary increase in inhaler adherence, due to intensified medication awareness</w:t>
      </w:r>
      <w:r w:rsidR="009D430F">
        <w:t xml:space="preserve"> or related to adherence discussion at the time of the inhaler switch</w:t>
      </w:r>
      <w:r>
        <w:t>. There may have been, predictable or unpredictable, reasons why inhaler switching was successful in these patients, but the parameters we were able to consider did not reveal any influencing characteristics.</w:t>
      </w:r>
      <w:r w:rsidR="002B1A43">
        <w:t xml:space="preserve"> Further studies are therefore </w:t>
      </w:r>
      <w:r w:rsidR="002B1A43">
        <w:lastRenderedPageBreak/>
        <w:t>needed to determine the factors that will ensure a successful outcome, and which patients and circumstances are not suitable</w:t>
      </w:r>
      <w:r w:rsidR="002B1A43" w:rsidRPr="00ED344F">
        <w:t xml:space="preserve">. </w:t>
      </w:r>
      <w:r w:rsidRPr="00ED344F">
        <w:t xml:space="preserve"> </w:t>
      </w:r>
    </w:p>
    <w:p w:rsidR="00373E5B" w:rsidRDefault="00373E5B" w:rsidP="00373E5B">
      <w:pPr>
        <w:jc w:val="both"/>
        <w:rPr>
          <w:b/>
        </w:rPr>
      </w:pPr>
      <w:r>
        <w:t>These findings have important implications and could help inform national policy; they suggest that switching inhalers is safe, if implemented correctly (</w:t>
      </w:r>
      <w:r w:rsidR="00EE322B">
        <w:t xml:space="preserve">which should </w:t>
      </w:r>
      <w:r>
        <w:t>includ</w:t>
      </w:r>
      <w:r w:rsidR="00EE322B">
        <w:t>e</w:t>
      </w:r>
      <w:r>
        <w:t xml:space="preserve"> appropriate patient selection and mandating the importance of providing inhaler education), and could help to re-direct the respiratory healthcare budget towards more effective use. </w:t>
      </w:r>
    </w:p>
    <w:p w:rsidR="00622673" w:rsidRDefault="00622673" w:rsidP="00582ED7">
      <w:pPr>
        <w:jc w:val="center"/>
        <w:rPr>
          <w:b/>
        </w:rPr>
      </w:pPr>
    </w:p>
    <w:p w:rsidR="002B1A43" w:rsidRDefault="00E33D61" w:rsidP="006138F1">
      <w:pPr>
        <w:jc w:val="center"/>
        <w:rPr>
          <w:b/>
        </w:rPr>
      </w:pPr>
      <w:r>
        <w:rPr>
          <w:b/>
        </w:rPr>
        <w:t>Statements</w:t>
      </w:r>
    </w:p>
    <w:p w:rsidR="00E33D61" w:rsidRDefault="00E33D61" w:rsidP="00E33D61">
      <w:pPr>
        <w:rPr>
          <w:b/>
        </w:rPr>
      </w:pPr>
      <w:r>
        <w:rPr>
          <w:b/>
        </w:rPr>
        <w:t>Funding</w:t>
      </w:r>
    </w:p>
    <w:p w:rsidR="00E33D61" w:rsidRDefault="00E33D61" w:rsidP="00E33D61">
      <w:r>
        <w:t>There is no funding to report.</w:t>
      </w:r>
    </w:p>
    <w:p w:rsidR="00E33D61" w:rsidRPr="00E33D61" w:rsidRDefault="00E33D61" w:rsidP="00E33D61">
      <w:pPr>
        <w:rPr>
          <w:b/>
        </w:rPr>
      </w:pPr>
      <w:r w:rsidRPr="00E33D61">
        <w:rPr>
          <w:b/>
        </w:rPr>
        <w:t xml:space="preserve">Contributors </w:t>
      </w:r>
    </w:p>
    <w:p w:rsidR="00E33D61" w:rsidRDefault="00E33D61" w:rsidP="00E33D61">
      <w:r>
        <w:t>All authors provided substantial contributions to the work. CID, ID, LS and JKQ devised the study. CIB analysed</w:t>
      </w:r>
      <w:r w:rsidR="006138F1">
        <w:t>,</w:t>
      </w:r>
      <w:r>
        <w:t xml:space="preserve"> interpreted the data and produced draft manuscripts. </w:t>
      </w:r>
      <w:r w:rsidR="006138F1">
        <w:t xml:space="preserve">ID, </w:t>
      </w:r>
      <w:r>
        <w:t xml:space="preserve">JO and DG provided </w:t>
      </w:r>
      <w:r w:rsidR="006138F1">
        <w:t xml:space="preserve">specific </w:t>
      </w:r>
      <w:r>
        <w:t xml:space="preserve">input for the analysis and interpretation. All authors </w:t>
      </w:r>
      <w:r w:rsidR="006138F1">
        <w:t>reviewed and edited the manuscript</w:t>
      </w:r>
      <w:r>
        <w:t>. All were happy with the final version and approved it for submission for publication.</w:t>
      </w:r>
    </w:p>
    <w:p w:rsidR="006138F1" w:rsidRPr="006138F1" w:rsidRDefault="006138F1" w:rsidP="00E33D61">
      <w:pPr>
        <w:rPr>
          <w:b/>
        </w:rPr>
      </w:pPr>
      <w:r w:rsidRPr="006138F1">
        <w:rPr>
          <w:b/>
        </w:rPr>
        <w:t>Exclusive licence</w:t>
      </w:r>
    </w:p>
    <w:p w:rsidR="006138F1" w:rsidRDefault="006138F1" w:rsidP="006138F1">
      <w:r>
        <w:t>I, the Submitting Author has the right to grant and does grant on behalf of all authors of the Work (as defined in the below author licence), an exclusive licence and/or a non-exclusive licence for contributions from authors who are: i) UK Crown employees; ii) where BMJ has agreed a CC-BY licence shall apply, and/or iii) in accordance with the terms applicable for US Federal Government officers or employees acting as part of their official duties; on a worldwide, perpetual, irrevocable, royalty-free basis to BMJ Publishing Group Ltd (“BMJ”) its licensees and where the relevant Journal is co-owned by BMJ to the co-owners of the Journal, to publish the Work in Thorax and any other BMJ products and to exploit all rights, as set out in our licence.</w:t>
      </w:r>
    </w:p>
    <w:p w:rsidR="006138F1" w:rsidRDefault="006138F1" w:rsidP="006138F1">
      <w:r>
        <w:t>The Submitting Author accepts and understands that any supply made under these terms is made by BMJ to the Submitting Author unless you are acting as an employee on behalf of your employer or a postgraduate student of an affiliated institution which is paying any applicable article publishing charge (“APC”) for Open Access articles. Where the Submitting Author wishes to make the Work available on an Open Access basis (and intends to pay the relevant APC), the terms of reuse of such Open Access shall be governed by a Creative Commons licence – details of these licences and which Creative Commons licence will apply to this Work are set out in our licence referred to above.</w:t>
      </w:r>
    </w:p>
    <w:p w:rsidR="006138F1" w:rsidRDefault="006138F1" w:rsidP="006138F1">
      <w:r>
        <w:t>I am one author signing on behalf of all co-authors of the Work.</w:t>
      </w:r>
    </w:p>
    <w:p w:rsidR="006138F1" w:rsidRPr="000A504C" w:rsidRDefault="006138F1" w:rsidP="00E33D61">
      <w:pPr>
        <w:rPr>
          <w:b/>
        </w:rPr>
      </w:pPr>
      <w:r w:rsidRPr="000A504C">
        <w:rPr>
          <w:b/>
        </w:rPr>
        <w:t>Competing interests</w:t>
      </w:r>
    </w:p>
    <w:p w:rsidR="006138F1" w:rsidRPr="000A504C" w:rsidRDefault="000A504C" w:rsidP="00E33D61">
      <w:r>
        <w:t xml:space="preserve">CIB reports from outside the submitted work grants from </w:t>
      </w:r>
      <w:r w:rsidRPr="000A504C">
        <w:t>AstraZeneca, Chiesi</w:t>
      </w:r>
      <w:r>
        <w:t xml:space="preserve"> and Asthma UK. </w:t>
      </w:r>
      <w:r w:rsidRPr="000A504C">
        <w:t>ID reports grants from GlaxoSmithKline and British Pharmaceutical Industry outside the submitted work. GD</w:t>
      </w:r>
      <w:r w:rsidR="006138F1" w:rsidRPr="000A504C">
        <w:t xml:space="preserve"> reports personal fees from </w:t>
      </w:r>
      <w:r w:rsidRPr="000A504C">
        <w:t xml:space="preserve">outside the submitted work from </w:t>
      </w:r>
      <w:r w:rsidR="006138F1" w:rsidRPr="000A504C">
        <w:t xml:space="preserve">AstraZeneca, Boehringer </w:t>
      </w:r>
      <w:r w:rsidR="006138F1" w:rsidRPr="000A504C">
        <w:lastRenderedPageBreak/>
        <w:t xml:space="preserve">Ingelheim, Chiesi, GSK, Pfizer, Napp, </w:t>
      </w:r>
      <w:r w:rsidRPr="000A504C">
        <w:t xml:space="preserve">Novartis and </w:t>
      </w:r>
      <w:r w:rsidR="006138F1" w:rsidRPr="000A504C">
        <w:t>Teva.</w:t>
      </w:r>
      <w:r w:rsidRPr="000A504C">
        <w:t xml:space="preserve"> JKQ reports from outside the submitted work: grants from The Health Foundation, MRC, British Lung Foundation</w:t>
      </w:r>
      <w:r>
        <w:t xml:space="preserve"> and Asthma UK</w:t>
      </w:r>
      <w:r w:rsidRPr="000A504C">
        <w:t>; grants and personal fees from GSK, AstraZeneca, Boehringer Ingelheim, Insmed, Bayer, Chiesi and IQVIA; personal fees from Teva. LS reports outside the submitted work, grants from Wellcome, MRC, NIHR, British Heart Foundation, Diabetes UK, grants and personal fees from GSK, and is a Trustee of the British Heart Foundation.</w:t>
      </w:r>
      <w:r>
        <w:t xml:space="preserve"> JO does not report any competing interests.</w:t>
      </w:r>
    </w:p>
    <w:p w:rsidR="002B1A43" w:rsidRDefault="002B1A43" w:rsidP="00582ED7">
      <w:pPr>
        <w:jc w:val="center"/>
        <w:rPr>
          <w:b/>
        </w:rPr>
      </w:pPr>
    </w:p>
    <w:p w:rsidR="00C24E3B" w:rsidRDefault="00C24E3B" w:rsidP="00582ED7">
      <w:pPr>
        <w:jc w:val="center"/>
        <w:rPr>
          <w:b/>
        </w:rPr>
      </w:pPr>
    </w:p>
    <w:p w:rsidR="002B1A43" w:rsidRDefault="00C24E3B" w:rsidP="00582ED7">
      <w:pPr>
        <w:jc w:val="center"/>
        <w:rPr>
          <w:b/>
        </w:rPr>
      </w:pPr>
      <w:r>
        <w:rPr>
          <w:b/>
        </w:rPr>
        <w:t>References</w:t>
      </w:r>
    </w:p>
    <w:p w:rsidR="00313768" w:rsidRPr="00313768" w:rsidRDefault="00C24E3B" w:rsidP="00313768">
      <w:pPr>
        <w:widowControl w:val="0"/>
        <w:autoSpaceDE w:val="0"/>
        <w:autoSpaceDN w:val="0"/>
        <w:adjustRightInd w:val="0"/>
        <w:spacing w:line="240" w:lineRule="auto"/>
        <w:ind w:left="640" w:hanging="640"/>
        <w:rPr>
          <w:rFonts w:ascii="Calibri" w:hAnsi="Calibri" w:cs="Times New Roman"/>
          <w:noProof/>
          <w:szCs w:val="24"/>
        </w:rPr>
      </w:pPr>
      <w:r>
        <w:fldChar w:fldCharType="begin" w:fldLock="1"/>
      </w:r>
      <w:r>
        <w:instrText xml:space="preserve">ADDIN Mendeley Bibliography CSL_BIBLIOGRAPHY </w:instrText>
      </w:r>
      <w:r>
        <w:fldChar w:fldCharType="separate"/>
      </w:r>
      <w:r w:rsidR="00313768" w:rsidRPr="00313768">
        <w:rPr>
          <w:rFonts w:ascii="Calibri" w:hAnsi="Calibri" w:cs="Times New Roman"/>
          <w:noProof/>
          <w:szCs w:val="24"/>
        </w:rPr>
        <w:t xml:space="preserve">1. </w:t>
      </w:r>
      <w:r w:rsidR="00313768" w:rsidRPr="00313768">
        <w:rPr>
          <w:rFonts w:ascii="Calibri" w:hAnsi="Calibri" w:cs="Times New Roman"/>
          <w:noProof/>
          <w:szCs w:val="24"/>
        </w:rPr>
        <w:tab/>
        <w:t xml:space="preserve">Snell N, Strachan D, Hubbard R, Gibson J, Gruffydd-Jones K, Jarrold I. S32 Epidemiology of chronic obstructive pulmonary disease (COPD) in the uk: findings from the british lung foundation’s ‘respiratory health of the nation’ project. Thorax. 2016 Dec 1;71(Suppl 3):A20.1-A20. </w:t>
      </w:r>
    </w:p>
    <w:p w:rsidR="00313768" w:rsidRPr="00313768" w:rsidRDefault="00313768" w:rsidP="00313768">
      <w:pPr>
        <w:widowControl w:val="0"/>
        <w:autoSpaceDE w:val="0"/>
        <w:autoSpaceDN w:val="0"/>
        <w:adjustRightInd w:val="0"/>
        <w:spacing w:line="240" w:lineRule="auto"/>
        <w:ind w:left="640" w:hanging="640"/>
        <w:rPr>
          <w:rFonts w:ascii="Calibri" w:hAnsi="Calibri" w:cs="Times New Roman"/>
          <w:noProof/>
          <w:szCs w:val="24"/>
        </w:rPr>
      </w:pPr>
      <w:r w:rsidRPr="00313768">
        <w:rPr>
          <w:rFonts w:ascii="Calibri" w:hAnsi="Calibri" w:cs="Times New Roman"/>
          <w:noProof/>
          <w:szCs w:val="24"/>
        </w:rPr>
        <w:t xml:space="preserve">2. </w:t>
      </w:r>
      <w:r w:rsidRPr="00313768">
        <w:rPr>
          <w:rFonts w:ascii="Calibri" w:hAnsi="Calibri" w:cs="Times New Roman"/>
          <w:noProof/>
          <w:szCs w:val="24"/>
        </w:rPr>
        <w:tab/>
        <w:t xml:space="preserve">National Institute for Health and Care Excellence. Quality standard for asthma. 2013. </w:t>
      </w:r>
    </w:p>
    <w:p w:rsidR="00313768" w:rsidRPr="00313768" w:rsidRDefault="00313768" w:rsidP="00313768">
      <w:pPr>
        <w:widowControl w:val="0"/>
        <w:autoSpaceDE w:val="0"/>
        <w:autoSpaceDN w:val="0"/>
        <w:adjustRightInd w:val="0"/>
        <w:spacing w:line="240" w:lineRule="auto"/>
        <w:ind w:left="640" w:hanging="640"/>
        <w:rPr>
          <w:rFonts w:ascii="Calibri" w:hAnsi="Calibri" w:cs="Times New Roman"/>
          <w:noProof/>
          <w:szCs w:val="24"/>
        </w:rPr>
      </w:pPr>
      <w:r w:rsidRPr="00313768">
        <w:rPr>
          <w:rFonts w:ascii="Calibri" w:hAnsi="Calibri" w:cs="Times New Roman"/>
          <w:noProof/>
          <w:szCs w:val="24"/>
        </w:rPr>
        <w:t xml:space="preserve">3. </w:t>
      </w:r>
      <w:r w:rsidRPr="00313768">
        <w:rPr>
          <w:rFonts w:ascii="Calibri" w:hAnsi="Calibri" w:cs="Times New Roman"/>
          <w:noProof/>
          <w:szCs w:val="24"/>
        </w:rPr>
        <w:tab/>
        <w:t xml:space="preserve">Wise RA, Anzueto A, Cotton D, Dahl R, Devins T, Disse B, et al. Tiotropium Respimat Inhaler and the Risk of Death in COPD. N Engl J Med. 2013 Oct 17;369(16):1491–501. </w:t>
      </w:r>
    </w:p>
    <w:p w:rsidR="00313768" w:rsidRPr="00313768" w:rsidRDefault="00313768" w:rsidP="00313768">
      <w:pPr>
        <w:widowControl w:val="0"/>
        <w:autoSpaceDE w:val="0"/>
        <w:autoSpaceDN w:val="0"/>
        <w:adjustRightInd w:val="0"/>
        <w:spacing w:line="240" w:lineRule="auto"/>
        <w:ind w:left="640" w:hanging="640"/>
        <w:rPr>
          <w:rFonts w:ascii="Calibri" w:hAnsi="Calibri" w:cs="Times New Roman"/>
          <w:noProof/>
          <w:szCs w:val="24"/>
        </w:rPr>
      </w:pPr>
      <w:r w:rsidRPr="00313768">
        <w:rPr>
          <w:rFonts w:ascii="Calibri" w:hAnsi="Calibri" w:cs="Times New Roman"/>
          <w:noProof/>
          <w:szCs w:val="24"/>
        </w:rPr>
        <w:t xml:space="preserve">4. </w:t>
      </w:r>
      <w:r w:rsidRPr="00313768">
        <w:rPr>
          <w:rFonts w:ascii="Calibri" w:hAnsi="Calibri" w:cs="Times New Roman"/>
          <w:noProof/>
          <w:szCs w:val="24"/>
        </w:rPr>
        <w:tab/>
        <w:t xml:space="preserve">Lasserson TJ, Ferrara G, Casali L. Combination fluticasone and salmeterol versus fixed dose combination budesonide and formoterol for chronic asthma in adults and children. Cochrane database Syst Rev. 2011 Dec 7;(12):CD004106. </w:t>
      </w:r>
    </w:p>
    <w:p w:rsidR="00313768" w:rsidRPr="00313768" w:rsidRDefault="00313768" w:rsidP="00313768">
      <w:pPr>
        <w:widowControl w:val="0"/>
        <w:autoSpaceDE w:val="0"/>
        <w:autoSpaceDN w:val="0"/>
        <w:adjustRightInd w:val="0"/>
        <w:spacing w:line="240" w:lineRule="auto"/>
        <w:ind w:left="640" w:hanging="640"/>
        <w:rPr>
          <w:rFonts w:ascii="Calibri" w:hAnsi="Calibri" w:cs="Times New Roman"/>
          <w:noProof/>
          <w:szCs w:val="24"/>
        </w:rPr>
      </w:pPr>
      <w:r w:rsidRPr="00313768">
        <w:rPr>
          <w:rFonts w:ascii="Calibri" w:hAnsi="Calibri" w:cs="Times New Roman"/>
          <w:noProof/>
          <w:szCs w:val="24"/>
        </w:rPr>
        <w:t xml:space="preserve">5. </w:t>
      </w:r>
      <w:r w:rsidRPr="00313768">
        <w:rPr>
          <w:rFonts w:ascii="Calibri" w:hAnsi="Calibri" w:cs="Times New Roman"/>
          <w:noProof/>
          <w:szCs w:val="24"/>
        </w:rPr>
        <w:tab/>
        <w:t xml:space="preserve">Travers J, Marsh S, Williams M, Weatherall M, Caldwell B, Shirtcliffe P, et al. External validity of randomised controlled trials in asthma: to whom do the results of the trials apply? Thorax. 2007 Mar;62(3):219–23. </w:t>
      </w:r>
    </w:p>
    <w:p w:rsidR="00313768" w:rsidRPr="00313768" w:rsidRDefault="00313768" w:rsidP="00313768">
      <w:pPr>
        <w:widowControl w:val="0"/>
        <w:autoSpaceDE w:val="0"/>
        <w:autoSpaceDN w:val="0"/>
        <w:adjustRightInd w:val="0"/>
        <w:spacing w:line="240" w:lineRule="auto"/>
        <w:ind w:left="640" w:hanging="640"/>
        <w:rPr>
          <w:rFonts w:ascii="Calibri" w:hAnsi="Calibri" w:cs="Times New Roman"/>
          <w:noProof/>
          <w:szCs w:val="24"/>
        </w:rPr>
      </w:pPr>
      <w:r w:rsidRPr="00313768">
        <w:rPr>
          <w:rFonts w:ascii="Calibri" w:hAnsi="Calibri" w:cs="Times New Roman"/>
          <w:noProof/>
          <w:szCs w:val="24"/>
        </w:rPr>
        <w:t xml:space="preserve">6. </w:t>
      </w:r>
      <w:r w:rsidRPr="00313768">
        <w:rPr>
          <w:rFonts w:ascii="Calibri" w:hAnsi="Calibri" w:cs="Times New Roman"/>
          <w:noProof/>
          <w:szCs w:val="24"/>
        </w:rPr>
        <w:tab/>
        <w:t xml:space="preserve">Travers J, Marsh S, Caldwell B, Williams M, Aldington S, Weatherall M, et al. External validity of randomized controlled trials in COPD. Respir Med. 2007 Jun;101(6):1313–20. </w:t>
      </w:r>
    </w:p>
    <w:p w:rsidR="00313768" w:rsidRPr="00313768" w:rsidRDefault="00313768" w:rsidP="00313768">
      <w:pPr>
        <w:widowControl w:val="0"/>
        <w:autoSpaceDE w:val="0"/>
        <w:autoSpaceDN w:val="0"/>
        <w:adjustRightInd w:val="0"/>
        <w:spacing w:line="240" w:lineRule="auto"/>
        <w:ind w:left="640" w:hanging="640"/>
        <w:rPr>
          <w:rFonts w:ascii="Calibri" w:hAnsi="Calibri" w:cs="Times New Roman"/>
          <w:noProof/>
          <w:szCs w:val="24"/>
        </w:rPr>
      </w:pPr>
      <w:r w:rsidRPr="00313768">
        <w:rPr>
          <w:rFonts w:ascii="Calibri" w:hAnsi="Calibri" w:cs="Times New Roman"/>
          <w:noProof/>
          <w:szCs w:val="24"/>
        </w:rPr>
        <w:t xml:space="preserve">7. </w:t>
      </w:r>
      <w:r w:rsidRPr="00313768">
        <w:rPr>
          <w:rFonts w:ascii="Calibri" w:hAnsi="Calibri" w:cs="Times New Roman"/>
          <w:noProof/>
          <w:szCs w:val="24"/>
        </w:rPr>
        <w:tab/>
        <w:t xml:space="preserve">Engelkes M, van Blijderveen JC, Overbeek JA, Kuiper J, Herings RCM, Sturkenboom MCJM, et al. Brand and generic use of inhalation medication and frequency of switching in children and adults: A population-based cohort study. J Asthma. 2017 Nov 29;1–9. </w:t>
      </w:r>
    </w:p>
    <w:p w:rsidR="00313768" w:rsidRPr="00313768" w:rsidRDefault="00313768" w:rsidP="00313768">
      <w:pPr>
        <w:widowControl w:val="0"/>
        <w:autoSpaceDE w:val="0"/>
        <w:autoSpaceDN w:val="0"/>
        <w:adjustRightInd w:val="0"/>
        <w:spacing w:line="240" w:lineRule="auto"/>
        <w:ind w:left="640" w:hanging="640"/>
        <w:rPr>
          <w:rFonts w:ascii="Calibri" w:hAnsi="Calibri" w:cs="Times New Roman"/>
          <w:noProof/>
          <w:szCs w:val="24"/>
        </w:rPr>
      </w:pPr>
      <w:r w:rsidRPr="00313768">
        <w:rPr>
          <w:rFonts w:ascii="Calibri" w:hAnsi="Calibri" w:cs="Times New Roman"/>
          <w:noProof/>
          <w:szCs w:val="24"/>
        </w:rPr>
        <w:t xml:space="preserve">8. </w:t>
      </w:r>
      <w:r w:rsidRPr="00313768">
        <w:rPr>
          <w:rFonts w:ascii="Calibri" w:hAnsi="Calibri" w:cs="Times New Roman"/>
          <w:noProof/>
          <w:szCs w:val="24"/>
        </w:rPr>
        <w:tab/>
        <w:t xml:space="preserve">King C, Price D, Thomas V, von Ziegenweidt J, Gould S, Hutton C. Switching patients from other inhaled corticosteroid devices to the Easyhaler: historical, matched-cohort study of real-life asthma patients. J Asthma Allergy. 2014 Apr;7:31. </w:t>
      </w:r>
    </w:p>
    <w:p w:rsidR="00313768" w:rsidRPr="00313768" w:rsidRDefault="00313768" w:rsidP="00313768">
      <w:pPr>
        <w:widowControl w:val="0"/>
        <w:autoSpaceDE w:val="0"/>
        <w:autoSpaceDN w:val="0"/>
        <w:adjustRightInd w:val="0"/>
        <w:spacing w:line="240" w:lineRule="auto"/>
        <w:ind w:left="640" w:hanging="640"/>
        <w:rPr>
          <w:rFonts w:ascii="Calibri" w:hAnsi="Calibri" w:cs="Times New Roman"/>
          <w:noProof/>
          <w:szCs w:val="24"/>
        </w:rPr>
      </w:pPr>
      <w:r w:rsidRPr="00313768">
        <w:rPr>
          <w:rFonts w:ascii="Calibri" w:hAnsi="Calibri" w:cs="Times New Roman"/>
          <w:noProof/>
          <w:szCs w:val="24"/>
        </w:rPr>
        <w:t xml:space="preserve">9. </w:t>
      </w:r>
      <w:r w:rsidRPr="00313768">
        <w:rPr>
          <w:rFonts w:ascii="Calibri" w:hAnsi="Calibri" w:cs="Times New Roman"/>
          <w:noProof/>
          <w:szCs w:val="24"/>
        </w:rPr>
        <w:tab/>
        <w:t xml:space="preserve">Hanada S, Wada S, Ohno T, Sawaguchi H, Muraki M, Tohda Y. Questionnaire on switching from the tiotropium HandiHaler to the Respimat inhaler in patients with chronic obstructive pulmonary disease: changes in handling and preferences immediately and several years after the switch. Int J Chron Obstruct Pulmon Dis. 2015;10:69–77. </w:t>
      </w:r>
    </w:p>
    <w:p w:rsidR="00313768" w:rsidRPr="00313768" w:rsidRDefault="00313768" w:rsidP="00313768">
      <w:pPr>
        <w:widowControl w:val="0"/>
        <w:autoSpaceDE w:val="0"/>
        <w:autoSpaceDN w:val="0"/>
        <w:adjustRightInd w:val="0"/>
        <w:spacing w:line="240" w:lineRule="auto"/>
        <w:ind w:left="640" w:hanging="640"/>
        <w:rPr>
          <w:rFonts w:ascii="Calibri" w:hAnsi="Calibri" w:cs="Times New Roman"/>
          <w:noProof/>
          <w:szCs w:val="24"/>
        </w:rPr>
      </w:pPr>
      <w:r w:rsidRPr="00313768">
        <w:rPr>
          <w:rFonts w:ascii="Calibri" w:hAnsi="Calibri" w:cs="Times New Roman"/>
          <w:noProof/>
          <w:szCs w:val="24"/>
        </w:rPr>
        <w:t xml:space="preserve">10. </w:t>
      </w:r>
      <w:r w:rsidRPr="00313768">
        <w:rPr>
          <w:rFonts w:ascii="Calibri" w:hAnsi="Calibri" w:cs="Times New Roman"/>
          <w:noProof/>
          <w:szCs w:val="24"/>
        </w:rPr>
        <w:tab/>
        <w:t xml:space="preserve">Price D, Small I, Haughney J, Ryan D, Gruffydd-Jones K, Lavorini F, et al. Clinical and cost effectiveness of switching asthma patients from fluticasone-salmeterol to extra-fine particle beclometasone-formoterol: a retrospective matched observational study of real-world patients. Prim Care Respir J. 2013 Dec 2;22(4):439–48. </w:t>
      </w:r>
    </w:p>
    <w:p w:rsidR="00313768" w:rsidRPr="00313768" w:rsidRDefault="00313768" w:rsidP="00313768">
      <w:pPr>
        <w:widowControl w:val="0"/>
        <w:autoSpaceDE w:val="0"/>
        <w:autoSpaceDN w:val="0"/>
        <w:adjustRightInd w:val="0"/>
        <w:spacing w:line="240" w:lineRule="auto"/>
        <w:ind w:left="640" w:hanging="640"/>
        <w:rPr>
          <w:rFonts w:ascii="Calibri" w:hAnsi="Calibri" w:cs="Times New Roman"/>
          <w:noProof/>
          <w:szCs w:val="24"/>
        </w:rPr>
      </w:pPr>
      <w:r w:rsidRPr="00313768">
        <w:rPr>
          <w:rFonts w:ascii="Calibri" w:hAnsi="Calibri" w:cs="Times New Roman"/>
          <w:noProof/>
          <w:szCs w:val="24"/>
        </w:rPr>
        <w:t xml:space="preserve">11. </w:t>
      </w:r>
      <w:r w:rsidRPr="00313768">
        <w:rPr>
          <w:rFonts w:ascii="Calibri" w:hAnsi="Calibri" w:cs="Times New Roman"/>
          <w:noProof/>
          <w:szCs w:val="24"/>
        </w:rPr>
        <w:tab/>
        <w:t xml:space="preserve">Thomas M, Price D, Chrystyn H, Lloyd A, Williams AE, von Ziegenweidt J. Inhaled corticosteroids for asthma: impact of practice level device switching on asthma control. BMC </w:t>
      </w:r>
      <w:r w:rsidRPr="00313768">
        <w:rPr>
          <w:rFonts w:ascii="Calibri" w:hAnsi="Calibri" w:cs="Times New Roman"/>
          <w:noProof/>
          <w:szCs w:val="24"/>
        </w:rPr>
        <w:lastRenderedPageBreak/>
        <w:t xml:space="preserve">Pulm Med. 2009 Dec 2;9(1):1. </w:t>
      </w:r>
    </w:p>
    <w:p w:rsidR="00313768" w:rsidRPr="00313768" w:rsidRDefault="00313768" w:rsidP="00313768">
      <w:pPr>
        <w:widowControl w:val="0"/>
        <w:autoSpaceDE w:val="0"/>
        <w:autoSpaceDN w:val="0"/>
        <w:adjustRightInd w:val="0"/>
        <w:spacing w:line="240" w:lineRule="auto"/>
        <w:ind w:left="640" w:hanging="640"/>
        <w:rPr>
          <w:rFonts w:ascii="Calibri" w:hAnsi="Calibri" w:cs="Times New Roman"/>
          <w:noProof/>
          <w:szCs w:val="24"/>
        </w:rPr>
      </w:pPr>
      <w:r w:rsidRPr="00313768">
        <w:rPr>
          <w:rFonts w:ascii="Calibri" w:hAnsi="Calibri" w:cs="Times New Roman"/>
          <w:noProof/>
          <w:szCs w:val="24"/>
        </w:rPr>
        <w:t xml:space="preserve">12. </w:t>
      </w:r>
      <w:r w:rsidRPr="00313768">
        <w:rPr>
          <w:rFonts w:ascii="Calibri" w:hAnsi="Calibri" w:cs="Times New Roman"/>
          <w:noProof/>
          <w:szCs w:val="24"/>
        </w:rPr>
        <w:tab/>
        <w:t xml:space="preserve">Lavorini F, Ninane V, Haughney J, Bjermer L, Molimard M, Dekhuijzen RP. Switching from branded to generic inhaled medications: potential impact on asthma and COPD. Expert Opin Drug Deliv. 2013 Dec 14;10(12):1597–602. </w:t>
      </w:r>
    </w:p>
    <w:p w:rsidR="00313768" w:rsidRPr="00313768" w:rsidRDefault="00313768" w:rsidP="00313768">
      <w:pPr>
        <w:widowControl w:val="0"/>
        <w:autoSpaceDE w:val="0"/>
        <w:autoSpaceDN w:val="0"/>
        <w:adjustRightInd w:val="0"/>
        <w:spacing w:line="240" w:lineRule="auto"/>
        <w:ind w:left="640" w:hanging="640"/>
        <w:rPr>
          <w:rFonts w:ascii="Calibri" w:hAnsi="Calibri" w:cs="Times New Roman"/>
          <w:noProof/>
          <w:szCs w:val="24"/>
        </w:rPr>
      </w:pPr>
      <w:r w:rsidRPr="00313768">
        <w:rPr>
          <w:rFonts w:ascii="Calibri" w:hAnsi="Calibri" w:cs="Times New Roman"/>
          <w:noProof/>
          <w:szCs w:val="24"/>
        </w:rPr>
        <w:t xml:space="preserve">13. </w:t>
      </w:r>
      <w:r w:rsidRPr="00313768">
        <w:rPr>
          <w:rFonts w:ascii="Calibri" w:hAnsi="Calibri" w:cs="Times New Roman"/>
          <w:noProof/>
          <w:szCs w:val="24"/>
        </w:rPr>
        <w:tab/>
        <w:t xml:space="preserve">Price D. Do healthcare professionals think that dry powder inhalers can be used interchangeably? Int J Clin Pract. 2005 Nov 8;59(149):26–9. </w:t>
      </w:r>
    </w:p>
    <w:p w:rsidR="00313768" w:rsidRPr="00313768" w:rsidRDefault="00313768" w:rsidP="00313768">
      <w:pPr>
        <w:widowControl w:val="0"/>
        <w:autoSpaceDE w:val="0"/>
        <w:autoSpaceDN w:val="0"/>
        <w:adjustRightInd w:val="0"/>
        <w:spacing w:line="240" w:lineRule="auto"/>
        <w:ind w:left="640" w:hanging="640"/>
        <w:rPr>
          <w:rFonts w:ascii="Calibri" w:hAnsi="Calibri" w:cs="Times New Roman"/>
          <w:noProof/>
          <w:szCs w:val="24"/>
        </w:rPr>
      </w:pPr>
      <w:r w:rsidRPr="00313768">
        <w:rPr>
          <w:rFonts w:ascii="Calibri" w:hAnsi="Calibri" w:cs="Times New Roman"/>
          <w:noProof/>
          <w:szCs w:val="24"/>
        </w:rPr>
        <w:t xml:space="preserve">14. </w:t>
      </w:r>
      <w:r w:rsidRPr="00313768">
        <w:rPr>
          <w:rFonts w:ascii="Calibri" w:hAnsi="Calibri" w:cs="Times New Roman"/>
          <w:noProof/>
          <w:szCs w:val="24"/>
        </w:rPr>
        <w:tab/>
        <w:t xml:space="preserve">Capstick T, Khachi H, Murphy A, D’Ancona G, Meynell H, Wilson P. Generic prescribing is not appropriate for inhaled drugs. Pharm J. 2015;8 Jan. </w:t>
      </w:r>
    </w:p>
    <w:p w:rsidR="00313768" w:rsidRPr="00313768" w:rsidRDefault="00313768" w:rsidP="00313768">
      <w:pPr>
        <w:widowControl w:val="0"/>
        <w:autoSpaceDE w:val="0"/>
        <w:autoSpaceDN w:val="0"/>
        <w:adjustRightInd w:val="0"/>
        <w:spacing w:line="240" w:lineRule="auto"/>
        <w:ind w:left="640" w:hanging="640"/>
        <w:rPr>
          <w:rFonts w:ascii="Calibri" w:hAnsi="Calibri" w:cs="Times New Roman"/>
          <w:noProof/>
          <w:szCs w:val="24"/>
        </w:rPr>
      </w:pPr>
      <w:r w:rsidRPr="00313768">
        <w:rPr>
          <w:rFonts w:ascii="Calibri" w:hAnsi="Calibri" w:cs="Times New Roman"/>
          <w:noProof/>
          <w:szCs w:val="24"/>
        </w:rPr>
        <w:t xml:space="preserve">15. </w:t>
      </w:r>
      <w:r w:rsidRPr="00313768">
        <w:rPr>
          <w:rFonts w:ascii="Calibri" w:hAnsi="Calibri" w:cs="Times New Roman"/>
          <w:noProof/>
          <w:szCs w:val="24"/>
        </w:rPr>
        <w:tab/>
        <w:t xml:space="preserve">Braido F, Lavorini F, Blasi F, Baiardini I, Canonica GW. Switching treatments in COPD: implications for costs and treatment adherence. Int J Chron Obstruct Pulmon Dis. 2015;10:2601–8. </w:t>
      </w:r>
    </w:p>
    <w:p w:rsidR="00313768" w:rsidRPr="00313768" w:rsidRDefault="00313768" w:rsidP="00313768">
      <w:pPr>
        <w:widowControl w:val="0"/>
        <w:autoSpaceDE w:val="0"/>
        <w:autoSpaceDN w:val="0"/>
        <w:adjustRightInd w:val="0"/>
        <w:spacing w:line="240" w:lineRule="auto"/>
        <w:ind w:left="640" w:hanging="640"/>
        <w:rPr>
          <w:rFonts w:ascii="Calibri" w:hAnsi="Calibri" w:cs="Times New Roman"/>
          <w:noProof/>
          <w:szCs w:val="24"/>
        </w:rPr>
      </w:pPr>
      <w:r w:rsidRPr="00313768">
        <w:rPr>
          <w:rFonts w:ascii="Calibri" w:hAnsi="Calibri" w:cs="Times New Roman"/>
          <w:noProof/>
          <w:szCs w:val="24"/>
        </w:rPr>
        <w:t xml:space="preserve">16. </w:t>
      </w:r>
      <w:r w:rsidRPr="00313768">
        <w:rPr>
          <w:rFonts w:ascii="Calibri" w:hAnsi="Calibri" w:cs="Times New Roman"/>
          <w:noProof/>
          <w:szCs w:val="24"/>
        </w:rPr>
        <w:tab/>
        <w:t xml:space="preserve">Booker R. Do patients think that dry powder inhalers can be used interchangeably? Int J Clin Pract. 2005 Nov 8;59(149):30–2. </w:t>
      </w:r>
    </w:p>
    <w:p w:rsidR="00313768" w:rsidRPr="00313768" w:rsidRDefault="00313768" w:rsidP="00313768">
      <w:pPr>
        <w:widowControl w:val="0"/>
        <w:autoSpaceDE w:val="0"/>
        <w:autoSpaceDN w:val="0"/>
        <w:adjustRightInd w:val="0"/>
        <w:spacing w:line="240" w:lineRule="auto"/>
        <w:ind w:left="640" w:hanging="640"/>
        <w:rPr>
          <w:rFonts w:ascii="Calibri" w:hAnsi="Calibri" w:cs="Times New Roman"/>
          <w:noProof/>
          <w:szCs w:val="24"/>
        </w:rPr>
      </w:pPr>
      <w:r w:rsidRPr="00313768">
        <w:rPr>
          <w:rFonts w:ascii="Calibri" w:hAnsi="Calibri" w:cs="Times New Roman"/>
          <w:noProof/>
          <w:szCs w:val="24"/>
        </w:rPr>
        <w:t xml:space="preserve">17. </w:t>
      </w:r>
      <w:r w:rsidRPr="00313768">
        <w:rPr>
          <w:rFonts w:ascii="Calibri" w:hAnsi="Calibri" w:cs="Times New Roman"/>
          <w:noProof/>
          <w:szCs w:val="24"/>
        </w:rPr>
        <w:tab/>
        <w:t xml:space="preserve">Bjermer L. The importance of continuity in inhaler device choice for asthma and chronic obstructive pulmonary disease. Respiration. 2014;88(4):346–52. </w:t>
      </w:r>
    </w:p>
    <w:p w:rsidR="00313768" w:rsidRPr="00313768" w:rsidRDefault="00313768" w:rsidP="00313768">
      <w:pPr>
        <w:widowControl w:val="0"/>
        <w:autoSpaceDE w:val="0"/>
        <w:autoSpaceDN w:val="0"/>
        <w:adjustRightInd w:val="0"/>
        <w:spacing w:line="240" w:lineRule="auto"/>
        <w:ind w:left="640" w:hanging="640"/>
        <w:rPr>
          <w:rFonts w:ascii="Calibri" w:hAnsi="Calibri" w:cs="Times New Roman"/>
          <w:noProof/>
          <w:szCs w:val="24"/>
        </w:rPr>
      </w:pPr>
      <w:r w:rsidRPr="00313768">
        <w:rPr>
          <w:rFonts w:ascii="Calibri" w:hAnsi="Calibri" w:cs="Times New Roman"/>
          <w:noProof/>
          <w:szCs w:val="24"/>
        </w:rPr>
        <w:t xml:space="preserve">18. </w:t>
      </w:r>
      <w:r w:rsidRPr="00313768">
        <w:rPr>
          <w:rFonts w:ascii="Calibri" w:hAnsi="Calibri" w:cs="Times New Roman"/>
          <w:noProof/>
          <w:szCs w:val="24"/>
        </w:rPr>
        <w:tab/>
        <w:t xml:space="preserve">Björnsdóttir US, Gizurarson S, Sabale U. Potential negative consequences of non-consented switch of inhaled medications and devices in asthma patients. Int J Clin Pract. 2013 Sep;67(9):904–10. </w:t>
      </w:r>
    </w:p>
    <w:p w:rsidR="00313768" w:rsidRPr="00313768" w:rsidRDefault="00313768" w:rsidP="00313768">
      <w:pPr>
        <w:widowControl w:val="0"/>
        <w:autoSpaceDE w:val="0"/>
        <w:autoSpaceDN w:val="0"/>
        <w:adjustRightInd w:val="0"/>
        <w:spacing w:line="240" w:lineRule="auto"/>
        <w:ind w:left="640" w:hanging="640"/>
        <w:rPr>
          <w:rFonts w:ascii="Calibri" w:hAnsi="Calibri" w:cs="Times New Roman"/>
          <w:noProof/>
          <w:szCs w:val="24"/>
        </w:rPr>
      </w:pPr>
      <w:r w:rsidRPr="00313768">
        <w:rPr>
          <w:rFonts w:ascii="Calibri" w:hAnsi="Calibri" w:cs="Times New Roman"/>
          <w:noProof/>
          <w:szCs w:val="24"/>
        </w:rPr>
        <w:t xml:space="preserve">19. </w:t>
      </w:r>
      <w:r w:rsidRPr="00313768">
        <w:rPr>
          <w:rFonts w:ascii="Calibri" w:hAnsi="Calibri" w:cs="Times New Roman"/>
          <w:noProof/>
          <w:szCs w:val="24"/>
        </w:rPr>
        <w:tab/>
        <w:t xml:space="preserve">Herrett E, Gallagher AM, Bhaskaran K, Forbes H, Mathur R, Staa T van, et al. Data Resource Profile: Clinical Practice Research Datalink (CPRD). Int J Epidemiol. 2015;44(3):827–36. </w:t>
      </w:r>
    </w:p>
    <w:p w:rsidR="00313768" w:rsidRPr="00313768" w:rsidRDefault="00313768" w:rsidP="00313768">
      <w:pPr>
        <w:widowControl w:val="0"/>
        <w:autoSpaceDE w:val="0"/>
        <w:autoSpaceDN w:val="0"/>
        <w:adjustRightInd w:val="0"/>
        <w:spacing w:line="240" w:lineRule="auto"/>
        <w:ind w:left="640" w:hanging="640"/>
        <w:rPr>
          <w:rFonts w:ascii="Calibri" w:hAnsi="Calibri" w:cs="Times New Roman"/>
          <w:noProof/>
          <w:szCs w:val="24"/>
        </w:rPr>
      </w:pPr>
      <w:r w:rsidRPr="00313768">
        <w:rPr>
          <w:rFonts w:ascii="Calibri" w:hAnsi="Calibri" w:cs="Times New Roman"/>
          <w:noProof/>
          <w:szCs w:val="24"/>
        </w:rPr>
        <w:t xml:space="preserve">20. </w:t>
      </w:r>
      <w:r w:rsidRPr="00313768">
        <w:rPr>
          <w:rFonts w:ascii="Calibri" w:hAnsi="Calibri" w:cs="Times New Roman"/>
          <w:noProof/>
          <w:szCs w:val="24"/>
        </w:rPr>
        <w:tab/>
        <w:t xml:space="preserve">Shin J-Y, Roughead EE, Park B-J, Pratt NL. Cardiovascular safety of methylphenidate among children and young people with attention-deficit/hyperactivity disorder (ADHD): nationwide self controlled case series study. BMJ. 2016 May 31;353:i2550. </w:t>
      </w:r>
    </w:p>
    <w:p w:rsidR="00313768" w:rsidRPr="00313768" w:rsidRDefault="00313768" w:rsidP="00313768">
      <w:pPr>
        <w:widowControl w:val="0"/>
        <w:autoSpaceDE w:val="0"/>
        <w:autoSpaceDN w:val="0"/>
        <w:adjustRightInd w:val="0"/>
        <w:spacing w:line="240" w:lineRule="auto"/>
        <w:ind w:left="640" w:hanging="640"/>
        <w:rPr>
          <w:rFonts w:ascii="Calibri" w:hAnsi="Calibri" w:cs="Times New Roman"/>
          <w:noProof/>
          <w:szCs w:val="24"/>
        </w:rPr>
      </w:pPr>
      <w:r w:rsidRPr="00313768">
        <w:rPr>
          <w:rFonts w:ascii="Calibri" w:hAnsi="Calibri" w:cs="Times New Roman"/>
          <w:noProof/>
          <w:szCs w:val="24"/>
        </w:rPr>
        <w:t xml:space="preserve">21. </w:t>
      </w:r>
      <w:r w:rsidRPr="00313768">
        <w:rPr>
          <w:rFonts w:ascii="Calibri" w:hAnsi="Calibri" w:cs="Times New Roman"/>
          <w:noProof/>
          <w:szCs w:val="24"/>
        </w:rPr>
        <w:tab/>
        <w:t xml:space="preserve">Warren-Gash C, Blackburn R, Whitaker H, Hayward A. Respiratory infections as vascular triggers: self-controlled case series analysis of linked Scottish data. Lancet. 2017 Feb 23;389:S101. </w:t>
      </w:r>
    </w:p>
    <w:p w:rsidR="00313768" w:rsidRPr="00313768" w:rsidRDefault="00313768" w:rsidP="00313768">
      <w:pPr>
        <w:widowControl w:val="0"/>
        <w:autoSpaceDE w:val="0"/>
        <w:autoSpaceDN w:val="0"/>
        <w:adjustRightInd w:val="0"/>
        <w:spacing w:line="240" w:lineRule="auto"/>
        <w:ind w:left="640" w:hanging="640"/>
        <w:rPr>
          <w:rFonts w:ascii="Calibri" w:hAnsi="Calibri" w:cs="Times New Roman"/>
          <w:noProof/>
          <w:szCs w:val="24"/>
        </w:rPr>
      </w:pPr>
      <w:r w:rsidRPr="00313768">
        <w:rPr>
          <w:rFonts w:ascii="Calibri" w:hAnsi="Calibri" w:cs="Times New Roman"/>
          <w:noProof/>
          <w:szCs w:val="24"/>
        </w:rPr>
        <w:t xml:space="preserve">22. </w:t>
      </w:r>
      <w:r w:rsidRPr="00313768">
        <w:rPr>
          <w:rFonts w:ascii="Calibri" w:hAnsi="Calibri" w:cs="Times New Roman"/>
          <w:noProof/>
          <w:szCs w:val="24"/>
        </w:rPr>
        <w:tab/>
        <w:t xml:space="preserve">Kwong JC, Schwartz KL, Campitelli MA, Chung H, Crowcroft NS, Karnauchow T, et al. Acute Myocardial Infarction after Laboratory-Confirmed Influenza Infection. N Engl J Med. 2018 Jan 25;378(4):345–53. </w:t>
      </w:r>
    </w:p>
    <w:p w:rsidR="00313768" w:rsidRPr="00313768" w:rsidRDefault="00313768" w:rsidP="00313768">
      <w:pPr>
        <w:widowControl w:val="0"/>
        <w:autoSpaceDE w:val="0"/>
        <w:autoSpaceDN w:val="0"/>
        <w:adjustRightInd w:val="0"/>
        <w:spacing w:line="240" w:lineRule="auto"/>
        <w:ind w:left="640" w:hanging="640"/>
        <w:rPr>
          <w:rFonts w:ascii="Calibri" w:hAnsi="Calibri" w:cs="Times New Roman"/>
          <w:noProof/>
          <w:szCs w:val="24"/>
        </w:rPr>
      </w:pPr>
      <w:r w:rsidRPr="00313768">
        <w:rPr>
          <w:rFonts w:ascii="Calibri" w:hAnsi="Calibri" w:cs="Times New Roman"/>
          <w:noProof/>
          <w:szCs w:val="24"/>
        </w:rPr>
        <w:t xml:space="preserve">23. </w:t>
      </w:r>
      <w:r w:rsidRPr="00313768">
        <w:rPr>
          <w:rFonts w:ascii="Calibri" w:hAnsi="Calibri" w:cs="Times New Roman"/>
          <w:noProof/>
          <w:szCs w:val="24"/>
        </w:rPr>
        <w:tab/>
        <w:t xml:space="preserve">Whitaker HJ, Farrington CP, Spiessens B, Musonda P. Tutorial in biostatistics: the self-controlled case series method. Stat Med. 2006 May 30;25(10):1768–97. </w:t>
      </w:r>
    </w:p>
    <w:p w:rsidR="00313768" w:rsidRPr="00313768" w:rsidRDefault="00313768" w:rsidP="00313768">
      <w:pPr>
        <w:widowControl w:val="0"/>
        <w:autoSpaceDE w:val="0"/>
        <w:autoSpaceDN w:val="0"/>
        <w:adjustRightInd w:val="0"/>
        <w:spacing w:line="240" w:lineRule="auto"/>
        <w:ind w:left="640" w:hanging="640"/>
        <w:rPr>
          <w:rFonts w:ascii="Calibri" w:hAnsi="Calibri" w:cs="Times New Roman"/>
          <w:noProof/>
          <w:szCs w:val="24"/>
        </w:rPr>
      </w:pPr>
      <w:r w:rsidRPr="00313768">
        <w:rPr>
          <w:rFonts w:ascii="Calibri" w:hAnsi="Calibri" w:cs="Times New Roman"/>
          <w:noProof/>
          <w:szCs w:val="24"/>
        </w:rPr>
        <w:t xml:space="preserve">24. </w:t>
      </w:r>
      <w:r w:rsidRPr="00313768">
        <w:rPr>
          <w:rFonts w:ascii="Calibri" w:hAnsi="Calibri" w:cs="Times New Roman"/>
          <w:noProof/>
          <w:szCs w:val="24"/>
        </w:rPr>
        <w:tab/>
        <w:t xml:space="preserve">Petersen I, Douglas I, Whitaker H. Self controlled case series methods: an alternative to standard epidemiological study designs. BMJ. 2016 Sep 12;i4515. </w:t>
      </w:r>
    </w:p>
    <w:p w:rsidR="00313768" w:rsidRPr="00313768" w:rsidRDefault="00313768" w:rsidP="00313768">
      <w:pPr>
        <w:widowControl w:val="0"/>
        <w:autoSpaceDE w:val="0"/>
        <w:autoSpaceDN w:val="0"/>
        <w:adjustRightInd w:val="0"/>
        <w:spacing w:line="240" w:lineRule="auto"/>
        <w:ind w:left="640" w:hanging="640"/>
        <w:rPr>
          <w:rFonts w:ascii="Calibri" w:hAnsi="Calibri" w:cs="Times New Roman"/>
          <w:noProof/>
          <w:szCs w:val="24"/>
        </w:rPr>
      </w:pPr>
      <w:r w:rsidRPr="00313768">
        <w:rPr>
          <w:rFonts w:ascii="Calibri" w:hAnsi="Calibri" w:cs="Times New Roman"/>
          <w:noProof/>
          <w:szCs w:val="24"/>
        </w:rPr>
        <w:t xml:space="preserve">25. </w:t>
      </w:r>
      <w:r w:rsidRPr="00313768">
        <w:rPr>
          <w:rFonts w:ascii="Calibri" w:hAnsi="Calibri" w:cs="Times New Roman"/>
          <w:noProof/>
          <w:szCs w:val="24"/>
        </w:rPr>
        <w:tab/>
        <w:t xml:space="preserve">Nissen F, Morales DR, Mullerova H, Smeeth L, Douglas IJ, Quint JK. Validation of asthma recording in the Clinical Practice Research Datalink (CPRD). BMJ Open. 2017 Aug 11;7(8):e017474. </w:t>
      </w:r>
    </w:p>
    <w:p w:rsidR="00313768" w:rsidRPr="00313768" w:rsidRDefault="00313768" w:rsidP="00313768">
      <w:pPr>
        <w:widowControl w:val="0"/>
        <w:autoSpaceDE w:val="0"/>
        <w:autoSpaceDN w:val="0"/>
        <w:adjustRightInd w:val="0"/>
        <w:spacing w:line="240" w:lineRule="auto"/>
        <w:ind w:left="640" w:hanging="640"/>
        <w:rPr>
          <w:rFonts w:ascii="Calibri" w:hAnsi="Calibri" w:cs="Times New Roman"/>
          <w:noProof/>
          <w:szCs w:val="24"/>
        </w:rPr>
      </w:pPr>
      <w:r w:rsidRPr="00313768">
        <w:rPr>
          <w:rFonts w:ascii="Calibri" w:hAnsi="Calibri" w:cs="Times New Roman"/>
          <w:noProof/>
          <w:szCs w:val="24"/>
        </w:rPr>
        <w:t xml:space="preserve">26. </w:t>
      </w:r>
      <w:r w:rsidRPr="00313768">
        <w:rPr>
          <w:rFonts w:ascii="Calibri" w:hAnsi="Calibri" w:cs="Times New Roman"/>
          <w:noProof/>
          <w:szCs w:val="24"/>
        </w:rPr>
        <w:tab/>
        <w:t xml:space="preserve">Quint JK, Mullerova H, DiSantostefano RL, Forbes H, Eaton S, Hurst JR, et al. Validation of chronic obstructive pulmonary disease recording in the Clinical Practice Research Datalink (CPRD-GOLD). BMJ Open. 2014 Jul 23;4(7):e005540–e005540. </w:t>
      </w:r>
    </w:p>
    <w:p w:rsidR="00313768" w:rsidRPr="00313768" w:rsidRDefault="00313768" w:rsidP="00313768">
      <w:pPr>
        <w:widowControl w:val="0"/>
        <w:autoSpaceDE w:val="0"/>
        <w:autoSpaceDN w:val="0"/>
        <w:adjustRightInd w:val="0"/>
        <w:spacing w:line="240" w:lineRule="auto"/>
        <w:ind w:left="640" w:hanging="640"/>
        <w:rPr>
          <w:rFonts w:ascii="Calibri" w:hAnsi="Calibri" w:cs="Times New Roman"/>
          <w:noProof/>
          <w:szCs w:val="24"/>
        </w:rPr>
      </w:pPr>
      <w:r w:rsidRPr="00313768">
        <w:rPr>
          <w:rFonts w:ascii="Calibri" w:hAnsi="Calibri" w:cs="Times New Roman"/>
          <w:noProof/>
          <w:szCs w:val="24"/>
        </w:rPr>
        <w:t xml:space="preserve">27. </w:t>
      </w:r>
      <w:r w:rsidRPr="00313768">
        <w:rPr>
          <w:rFonts w:ascii="Calibri" w:hAnsi="Calibri" w:cs="Times New Roman"/>
          <w:noProof/>
          <w:szCs w:val="24"/>
        </w:rPr>
        <w:tab/>
        <w:t xml:space="preserve">Rothnie KJ, Müllerová H, Hurst JR, Smeeth L, Davis K, Thomas SL, et al. Validation of the </w:t>
      </w:r>
      <w:r w:rsidRPr="00313768">
        <w:rPr>
          <w:rFonts w:ascii="Calibri" w:hAnsi="Calibri" w:cs="Times New Roman"/>
          <w:noProof/>
          <w:szCs w:val="24"/>
        </w:rPr>
        <w:lastRenderedPageBreak/>
        <w:t xml:space="preserve">Recording of Acute Exacerbations of COPD in UK Primary Care Electronic Healthcare Records. PLoS One. 2016;11(3):e0151357. </w:t>
      </w:r>
    </w:p>
    <w:p w:rsidR="00313768" w:rsidRPr="00313768" w:rsidRDefault="00313768" w:rsidP="00313768">
      <w:pPr>
        <w:widowControl w:val="0"/>
        <w:autoSpaceDE w:val="0"/>
        <w:autoSpaceDN w:val="0"/>
        <w:adjustRightInd w:val="0"/>
        <w:spacing w:line="240" w:lineRule="auto"/>
        <w:ind w:left="640" w:hanging="640"/>
        <w:rPr>
          <w:rFonts w:ascii="Calibri" w:hAnsi="Calibri" w:cs="Times New Roman"/>
          <w:noProof/>
          <w:szCs w:val="24"/>
        </w:rPr>
      </w:pPr>
      <w:r w:rsidRPr="00313768">
        <w:rPr>
          <w:rFonts w:ascii="Calibri" w:hAnsi="Calibri" w:cs="Times New Roman"/>
          <w:noProof/>
          <w:szCs w:val="24"/>
        </w:rPr>
        <w:t xml:space="preserve">28. </w:t>
      </w:r>
      <w:r w:rsidRPr="00313768">
        <w:rPr>
          <w:rFonts w:ascii="Calibri" w:hAnsi="Calibri" w:cs="Times New Roman"/>
          <w:noProof/>
          <w:szCs w:val="24"/>
        </w:rPr>
        <w:tab/>
        <w:t xml:space="preserve">Rothnie KJ, Müllerová H, Thomas SL, Chandan JS, Smeeth L, Hurst JR, et al. Recording of hospitalizations for acute exacerbations of COPD in UK electronic health care records. Clin Epidemiol. 2016 Nov;8:771–82. </w:t>
      </w:r>
    </w:p>
    <w:p w:rsidR="00313768" w:rsidRPr="00313768" w:rsidRDefault="00313768" w:rsidP="00313768">
      <w:pPr>
        <w:widowControl w:val="0"/>
        <w:autoSpaceDE w:val="0"/>
        <w:autoSpaceDN w:val="0"/>
        <w:adjustRightInd w:val="0"/>
        <w:spacing w:line="240" w:lineRule="auto"/>
        <w:ind w:left="640" w:hanging="640"/>
        <w:rPr>
          <w:rFonts w:ascii="Calibri" w:hAnsi="Calibri" w:cs="Times New Roman"/>
          <w:noProof/>
          <w:szCs w:val="24"/>
        </w:rPr>
      </w:pPr>
      <w:r w:rsidRPr="00313768">
        <w:rPr>
          <w:rFonts w:ascii="Calibri" w:hAnsi="Calibri" w:cs="Times New Roman"/>
          <w:noProof/>
          <w:szCs w:val="24"/>
        </w:rPr>
        <w:t xml:space="preserve">29. </w:t>
      </w:r>
      <w:r w:rsidRPr="00313768">
        <w:rPr>
          <w:rFonts w:ascii="Calibri" w:hAnsi="Calibri" w:cs="Times New Roman"/>
          <w:noProof/>
          <w:szCs w:val="24"/>
        </w:rPr>
        <w:tab/>
        <w:t xml:space="preserve">Bloom CI, Nissen F, Douglas IJ, Smeeth L, Cullinan P, Quint JK. Exacerbation risk and characterisation of the UK’s asthma population from infants to old age. Thorax. 2017 Oct 26;thoraxjnl-2017-210650. </w:t>
      </w:r>
    </w:p>
    <w:p w:rsidR="00313768" w:rsidRPr="00313768" w:rsidRDefault="00313768" w:rsidP="00313768">
      <w:pPr>
        <w:widowControl w:val="0"/>
        <w:autoSpaceDE w:val="0"/>
        <w:autoSpaceDN w:val="0"/>
        <w:adjustRightInd w:val="0"/>
        <w:spacing w:line="240" w:lineRule="auto"/>
        <w:ind w:left="640" w:hanging="640"/>
        <w:rPr>
          <w:rFonts w:ascii="Calibri" w:hAnsi="Calibri" w:cs="Times New Roman"/>
          <w:noProof/>
          <w:szCs w:val="24"/>
        </w:rPr>
      </w:pPr>
      <w:r w:rsidRPr="00313768">
        <w:rPr>
          <w:rFonts w:ascii="Calibri" w:hAnsi="Calibri" w:cs="Times New Roman"/>
          <w:noProof/>
          <w:szCs w:val="24"/>
        </w:rPr>
        <w:t xml:space="preserve">30. </w:t>
      </w:r>
      <w:r w:rsidRPr="00313768">
        <w:rPr>
          <w:rFonts w:ascii="Calibri" w:hAnsi="Calibri" w:cs="Times New Roman"/>
          <w:noProof/>
          <w:szCs w:val="24"/>
        </w:rPr>
        <w:tab/>
        <w:t xml:space="preserve">Hess LM, Raebel MA, Conner DA, Malone DC. Measurement of Adherence in Pharmacy Administrative Databases: A Proposal for Standard Definitions and Preferred Measures. Ann Pharmacother. 2006 Jul 4;40(7–8):1280–8. </w:t>
      </w:r>
    </w:p>
    <w:p w:rsidR="00313768" w:rsidRPr="00313768" w:rsidRDefault="00313768" w:rsidP="00313768">
      <w:pPr>
        <w:widowControl w:val="0"/>
        <w:autoSpaceDE w:val="0"/>
        <w:autoSpaceDN w:val="0"/>
        <w:adjustRightInd w:val="0"/>
        <w:spacing w:line="240" w:lineRule="auto"/>
        <w:ind w:left="640" w:hanging="640"/>
        <w:rPr>
          <w:rFonts w:ascii="Calibri" w:hAnsi="Calibri" w:cs="Times New Roman"/>
          <w:noProof/>
          <w:szCs w:val="24"/>
        </w:rPr>
      </w:pPr>
      <w:r w:rsidRPr="00313768">
        <w:rPr>
          <w:rFonts w:ascii="Calibri" w:hAnsi="Calibri" w:cs="Times New Roman"/>
          <w:noProof/>
          <w:szCs w:val="24"/>
        </w:rPr>
        <w:t xml:space="preserve">31. </w:t>
      </w:r>
      <w:r w:rsidRPr="00313768">
        <w:rPr>
          <w:rFonts w:ascii="Calibri" w:hAnsi="Calibri" w:cs="Times New Roman"/>
          <w:noProof/>
          <w:szCs w:val="24"/>
        </w:rPr>
        <w:tab/>
        <w:t xml:space="preserve">Hillman T, Mortimer F, Hopkinson NS. Inhaled drugs and global warming: time to shift to dry powder inhalers. BMJ. 2013 May 28;346:f3359. </w:t>
      </w:r>
    </w:p>
    <w:p w:rsidR="00313768" w:rsidRPr="00313768" w:rsidRDefault="00313768" w:rsidP="00313768">
      <w:pPr>
        <w:widowControl w:val="0"/>
        <w:autoSpaceDE w:val="0"/>
        <w:autoSpaceDN w:val="0"/>
        <w:adjustRightInd w:val="0"/>
        <w:spacing w:line="240" w:lineRule="auto"/>
        <w:ind w:left="640" w:hanging="640"/>
        <w:rPr>
          <w:rFonts w:ascii="Calibri" w:hAnsi="Calibri" w:cs="Times New Roman"/>
          <w:noProof/>
          <w:szCs w:val="24"/>
        </w:rPr>
      </w:pPr>
      <w:r w:rsidRPr="00313768">
        <w:rPr>
          <w:rFonts w:ascii="Calibri" w:hAnsi="Calibri" w:cs="Times New Roman"/>
          <w:noProof/>
          <w:szCs w:val="24"/>
        </w:rPr>
        <w:t xml:space="preserve">32. </w:t>
      </w:r>
      <w:r w:rsidRPr="00313768">
        <w:rPr>
          <w:rFonts w:ascii="Calibri" w:hAnsi="Calibri" w:cs="Times New Roman"/>
          <w:noProof/>
          <w:szCs w:val="24"/>
        </w:rPr>
        <w:tab/>
        <w:t xml:space="preserve">UK Progress on reducing F-gas Emissions - Environmental Audit Committee - House of Commons. Parliamentary Business. 2018. </w:t>
      </w:r>
    </w:p>
    <w:p w:rsidR="00313768" w:rsidRPr="00313768" w:rsidRDefault="00313768" w:rsidP="00313768">
      <w:pPr>
        <w:widowControl w:val="0"/>
        <w:autoSpaceDE w:val="0"/>
        <w:autoSpaceDN w:val="0"/>
        <w:adjustRightInd w:val="0"/>
        <w:spacing w:line="240" w:lineRule="auto"/>
        <w:ind w:left="640" w:hanging="640"/>
        <w:rPr>
          <w:rFonts w:ascii="Calibri" w:hAnsi="Calibri" w:cs="Times New Roman"/>
          <w:noProof/>
          <w:szCs w:val="24"/>
        </w:rPr>
      </w:pPr>
      <w:r w:rsidRPr="00313768">
        <w:rPr>
          <w:rFonts w:ascii="Calibri" w:hAnsi="Calibri" w:cs="Times New Roman"/>
          <w:noProof/>
          <w:szCs w:val="24"/>
        </w:rPr>
        <w:t xml:space="preserve">33. </w:t>
      </w:r>
      <w:r w:rsidRPr="00313768">
        <w:rPr>
          <w:rFonts w:ascii="Calibri" w:hAnsi="Calibri" w:cs="Times New Roman"/>
          <w:noProof/>
          <w:szCs w:val="24"/>
        </w:rPr>
        <w:tab/>
        <w:t xml:space="preserve">Engelkes M, Janssens HM, De Jongste JC, Sturkenboom MCJM, Verhamme KMC, Respir E. Medication adherence and the risk of severe asthma exacerbations: a systematic review. Eur Respir J. 2014; </w:t>
      </w:r>
    </w:p>
    <w:p w:rsidR="00313768" w:rsidRPr="00313768" w:rsidRDefault="00313768" w:rsidP="00313768">
      <w:pPr>
        <w:widowControl w:val="0"/>
        <w:autoSpaceDE w:val="0"/>
        <w:autoSpaceDN w:val="0"/>
        <w:adjustRightInd w:val="0"/>
        <w:spacing w:line="240" w:lineRule="auto"/>
        <w:ind w:left="640" w:hanging="640"/>
        <w:rPr>
          <w:rFonts w:ascii="Calibri" w:hAnsi="Calibri" w:cs="Times New Roman"/>
          <w:noProof/>
          <w:szCs w:val="24"/>
        </w:rPr>
      </w:pPr>
      <w:r w:rsidRPr="00313768">
        <w:rPr>
          <w:rFonts w:ascii="Calibri" w:hAnsi="Calibri" w:cs="Times New Roman"/>
          <w:noProof/>
          <w:szCs w:val="24"/>
        </w:rPr>
        <w:t xml:space="preserve">34. </w:t>
      </w:r>
      <w:r w:rsidRPr="00313768">
        <w:rPr>
          <w:rFonts w:ascii="Calibri" w:hAnsi="Calibri" w:cs="Times New Roman"/>
          <w:noProof/>
          <w:szCs w:val="24"/>
        </w:rPr>
        <w:tab/>
        <w:t xml:space="preserve">Williams AE, Chrystyn H. Survey of pharmacists’ attitudes towards interchangeable use of dry powder inhalers. Pharm World Sci. 2007 May 23;29(3):221–7. </w:t>
      </w:r>
    </w:p>
    <w:p w:rsidR="00313768" w:rsidRPr="00313768" w:rsidRDefault="00313768" w:rsidP="00313768">
      <w:pPr>
        <w:widowControl w:val="0"/>
        <w:autoSpaceDE w:val="0"/>
        <w:autoSpaceDN w:val="0"/>
        <w:adjustRightInd w:val="0"/>
        <w:spacing w:line="240" w:lineRule="auto"/>
        <w:ind w:left="640" w:hanging="640"/>
        <w:rPr>
          <w:rFonts w:ascii="Calibri" w:hAnsi="Calibri" w:cs="Times New Roman"/>
          <w:noProof/>
          <w:szCs w:val="24"/>
        </w:rPr>
      </w:pPr>
      <w:r w:rsidRPr="00313768">
        <w:rPr>
          <w:rFonts w:ascii="Calibri" w:hAnsi="Calibri" w:cs="Times New Roman"/>
          <w:noProof/>
          <w:szCs w:val="24"/>
        </w:rPr>
        <w:t xml:space="preserve">35. </w:t>
      </w:r>
      <w:r w:rsidRPr="00313768">
        <w:rPr>
          <w:rFonts w:ascii="Calibri" w:hAnsi="Calibri" w:cs="Times New Roman"/>
          <w:noProof/>
          <w:szCs w:val="24"/>
        </w:rPr>
        <w:tab/>
        <w:t xml:space="preserve">Desai RJ, Sarpatwari A, Dejene S, Khan NF, Lii J, Rogers JR, et al. Differences in rates of switchbacks after switching from branded to authorized generic and branded to generic drug products: cohort study. BMJ. 2018 Apr 3;361:k1180. </w:t>
      </w:r>
    </w:p>
    <w:p w:rsidR="00313768" w:rsidRPr="00313768" w:rsidRDefault="00313768" w:rsidP="00313768">
      <w:pPr>
        <w:widowControl w:val="0"/>
        <w:autoSpaceDE w:val="0"/>
        <w:autoSpaceDN w:val="0"/>
        <w:adjustRightInd w:val="0"/>
        <w:spacing w:line="240" w:lineRule="auto"/>
        <w:ind w:left="640" w:hanging="640"/>
        <w:rPr>
          <w:rFonts w:ascii="Calibri" w:hAnsi="Calibri" w:cs="Times New Roman"/>
          <w:noProof/>
          <w:szCs w:val="24"/>
        </w:rPr>
      </w:pPr>
      <w:r w:rsidRPr="00313768">
        <w:rPr>
          <w:rFonts w:ascii="Calibri" w:hAnsi="Calibri" w:cs="Times New Roman"/>
          <w:noProof/>
          <w:szCs w:val="24"/>
        </w:rPr>
        <w:t xml:space="preserve">36. </w:t>
      </w:r>
      <w:r w:rsidRPr="00313768">
        <w:rPr>
          <w:rFonts w:ascii="Calibri" w:hAnsi="Calibri" w:cs="Times New Roman"/>
          <w:noProof/>
          <w:szCs w:val="24"/>
        </w:rPr>
        <w:tab/>
        <w:t xml:space="preserve">Braido F, Lavorini F, Blasi F, Baiardini I, Walter Canonica G. Switching treatments in COPD: implications for costs and treatment adherence. Int J COPD. 2015;10:2601–8. </w:t>
      </w:r>
    </w:p>
    <w:p w:rsidR="00313768" w:rsidRPr="00313768" w:rsidRDefault="00313768" w:rsidP="00313768">
      <w:pPr>
        <w:widowControl w:val="0"/>
        <w:autoSpaceDE w:val="0"/>
        <w:autoSpaceDN w:val="0"/>
        <w:adjustRightInd w:val="0"/>
        <w:spacing w:line="240" w:lineRule="auto"/>
        <w:ind w:left="640" w:hanging="640"/>
        <w:rPr>
          <w:rFonts w:ascii="Calibri" w:hAnsi="Calibri"/>
          <w:noProof/>
        </w:rPr>
      </w:pPr>
      <w:r w:rsidRPr="00313768">
        <w:rPr>
          <w:rFonts w:ascii="Calibri" w:hAnsi="Calibri" w:cs="Times New Roman"/>
          <w:noProof/>
          <w:szCs w:val="24"/>
        </w:rPr>
        <w:t xml:space="preserve">37. </w:t>
      </w:r>
      <w:r w:rsidRPr="00313768">
        <w:rPr>
          <w:rFonts w:ascii="Calibri" w:hAnsi="Calibri" w:cs="Times New Roman"/>
          <w:noProof/>
          <w:szCs w:val="24"/>
        </w:rPr>
        <w:tab/>
        <w:t xml:space="preserve">Doyle S, Lloyd A, Williams A, Chrystyn H, Moffat M, Thomas M, et al. What happens to patients who have their asthma device switched without their consent? Prim Care Respir J. 2010 Feb 19;19(2):131–9. </w:t>
      </w:r>
    </w:p>
    <w:p w:rsidR="00C24E3B" w:rsidRDefault="00C24E3B" w:rsidP="00547A95">
      <w:r>
        <w:fldChar w:fldCharType="end"/>
      </w:r>
    </w:p>
    <w:p w:rsidR="00C24E3B" w:rsidRDefault="00C24E3B">
      <w:pPr>
        <w:spacing w:after="160" w:line="259" w:lineRule="auto"/>
      </w:pPr>
      <w:r>
        <w:br w:type="page"/>
      </w:r>
    </w:p>
    <w:p w:rsidR="00EB6B13" w:rsidRDefault="00B442A9" w:rsidP="0064500E">
      <w:r w:rsidRPr="00B442A9">
        <w:lastRenderedPageBreak/>
        <w:t>Table 1. Description of the demographics and characteristics of each of the SCCS cohorts, and th</w:t>
      </w:r>
      <w:r>
        <w:t xml:space="preserve">e study population of patients </w:t>
      </w:r>
      <w:r w:rsidRPr="00B442A9">
        <w:t>that they were drawn from.</w:t>
      </w:r>
      <w:r>
        <w:fldChar w:fldCharType="begin"/>
      </w:r>
      <w:r w:rsidRPr="00B442A9">
        <w:instrText xml:space="preserve"> LINK </w:instrText>
      </w:r>
      <w:r w:rsidR="00D4591E">
        <w:instrText xml:space="preserve">Excel.Sheet.12 C:\\Users\\cib06\\Documents\\STUDIES\\InhalerSCCS\\Results\\SCCS_BOTH.xlsx Descriptive!R2C2:R63C14 </w:instrText>
      </w:r>
      <w:r w:rsidRPr="00B442A9">
        <w:instrText xml:space="preserve">\a \f 4 \h  \* MERGEFORMAT </w:instrText>
      </w:r>
      <w:r>
        <w:fldChar w:fldCharType="separate"/>
      </w:r>
    </w:p>
    <w:tbl>
      <w:tblPr>
        <w:tblW w:w="9849" w:type="dxa"/>
        <w:tblLook w:val="04A0" w:firstRow="1" w:lastRow="0" w:firstColumn="1" w:lastColumn="0" w:noHBand="0" w:noVBand="1"/>
      </w:tblPr>
      <w:tblGrid>
        <w:gridCol w:w="2258"/>
        <w:gridCol w:w="709"/>
        <w:gridCol w:w="567"/>
        <w:gridCol w:w="709"/>
        <w:gridCol w:w="567"/>
        <w:gridCol w:w="709"/>
        <w:gridCol w:w="567"/>
        <w:gridCol w:w="811"/>
        <w:gridCol w:w="536"/>
        <w:gridCol w:w="626"/>
        <w:gridCol w:w="536"/>
        <w:gridCol w:w="718"/>
        <w:gridCol w:w="536"/>
      </w:tblGrid>
      <w:tr w:rsidR="00EB6B13" w:rsidRPr="00EB6B13" w:rsidTr="00EB6B13">
        <w:trPr>
          <w:divId w:val="1657495372"/>
          <w:trHeight w:val="870"/>
        </w:trPr>
        <w:tc>
          <w:tcPr>
            <w:tcW w:w="2258" w:type="dxa"/>
            <w:tcBorders>
              <w:top w:val="single" w:sz="8" w:space="0" w:color="auto"/>
              <w:left w:val="single" w:sz="8" w:space="0" w:color="auto"/>
              <w:bottom w:val="single" w:sz="4" w:space="0" w:color="auto"/>
              <w:right w:val="nil"/>
            </w:tcBorders>
            <w:shd w:val="clear" w:color="auto" w:fill="auto"/>
            <w:noWrap/>
            <w:vAlign w:val="center"/>
            <w:hideMark/>
          </w:tcPr>
          <w:p w:rsidR="00EB6B13" w:rsidRPr="00EB6B13" w:rsidRDefault="00EB6B13" w:rsidP="00EB6B13">
            <w:pPr>
              <w:spacing w:after="0" w:line="240" w:lineRule="auto"/>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1276" w:type="dxa"/>
            <w:gridSpan w:val="2"/>
            <w:tcBorders>
              <w:top w:val="single" w:sz="8" w:space="0" w:color="auto"/>
              <w:left w:val="single" w:sz="4" w:space="0" w:color="auto"/>
              <w:bottom w:val="single" w:sz="4" w:space="0" w:color="auto"/>
              <w:right w:val="single" w:sz="4" w:space="0" w:color="000000"/>
            </w:tcBorders>
            <w:shd w:val="clear" w:color="000000" w:fill="D9D9D9"/>
            <w:vAlign w:val="center"/>
            <w:hideMark/>
          </w:tcPr>
          <w:p w:rsidR="00EB6B13" w:rsidRPr="00EB6B13" w:rsidRDefault="00EB6B13" w:rsidP="00EB6B13">
            <w:pPr>
              <w:spacing w:after="0" w:line="240" w:lineRule="auto"/>
              <w:jc w:val="center"/>
              <w:rPr>
                <w:rFonts w:ascii="Calibri" w:eastAsia="Times New Roman" w:hAnsi="Calibri" w:cs="Times New Roman"/>
                <w:b/>
                <w:bCs/>
                <w:color w:val="000000"/>
                <w:sz w:val="16"/>
                <w:szCs w:val="18"/>
                <w:lang w:eastAsia="en-GB"/>
              </w:rPr>
            </w:pPr>
            <w:r w:rsidRPr="00EB6B13">
              <w:rPr>
                <w:rFonts w:ascii="Calibri" w:eastAsia="Times New Roman" w:hAnsi="Calibri" w:cs="Times New Roman"/>
                <w:b/>
                <w:bCs/>
                <w:color w:val="000000"/>
                <w:sz w:val="16"/>
                <w:szCs w:val="18"/>
                <w:lang w:eastAsia="en-GB"/>
              </w:rPr>
              <w:t>Exacerbation</w:t>
            </w:r>
            <w:r w:rsidRPr="00EB6B13">
              <w:rPr>
                <w:rFonts w:ascii="Calibri" w:eastAsia="Times New Roman" w:hAnsi="Calibri" w:cs="Times New Roman"/>
                <w:b/>
                <w:bCs/>
                <w:color w:val="000000"/>
                <w:sz w:val="16"/>
                <w:szCs w:val="18"/>
                <w:lang w:eastAsia="en-GB"/>
              </w:rPr>
              <w:br/>
              <w:t>cohort</w:t>
            </w:r>
          </w:p>
        </w:tc>
        <w:tc>
          <w:tcPr>
            <w:tcW w:w="1276" w:type="dxa"/>
            <w:gridSpan w:val="2"/>
            <w:tcBorders>
              <w:top w:val="single" w:sz="8" w:space="0" w:color="auto"/>
              <w:left w:val="nil"/>
              <w:bottom w:val="single" w:sz="4" w:space="0" w:color="auto"/>
              <w:right w:val="nil"/>
            </w:tcBorders>
            <w:shd w:val="clear" w:color="auto" w:fill="auto"/>
            <w:vAlign w:val="center"/>
            <w:hideMark/>
          </w:tcPr>
          <w:p w:rsidR="00EB6B13" w:rsidRPr="00EB6B13" w:rsidRDefault="00EB6B13" w:rsidP="00EB6B13">
            <w:pPr>
              <w:spacing w:after="0" w:line="240" w:lineRule="auto"/>
              <w:jc w:val="center"/>
              <w:rPr>
                <w:rFonts w:ascii="Calibri" w:eastAsia="Times New Roman" w:hAnsi="Calibri" w:cs="Times New Roman"/>
                <w:b/>
                <w:bCs/>
                <w:color w:val="000000"/>
                <w:sz w:val="16"/>
                <w:szCs w:val="18"/>
                <w:lang w:eastAsia="en-GB"/>
              </w:rPr>
            </w:pPr>
            <w:r w:rsidRPr="00EB6B13">
              <w:rPr>
                <w:rFonts w:ascii="Calibri" w:eastAsia="Times New Roman" w:hAnsi="Calibri" w:cs="Times New Roman"/>
                <w:b/>
                <w:bCs/>
                <w:color w:val="000000"/>
                <w:sz w:val="16"/>
                <w:szCs w:val="18"/>
                <w:lang w:eastAsia="en-GB"/>
              </w:rPr>
              <w:t>All non-clinical switchers</w:t>
            </w:r>
            <w:r w:rsidRPr="00EB6B13">
              <w:rPr>
                <w:rFonts w:ascii="Calibri" w:eastAsia="Times New Roman" w:hAnsi="Calibri" w:cs="Times New Roman"/>
                <w:b/>
                <w:bCs/>
                <w:color w:val="000000"/>
                <w:sz w:val="16"/>
                <w:szCs w:val="18"/>
                <w:lang w:eastAsia="en-GB"/>
              </w:rPr>
              <w:br/>
              <w:t>HES linked</w:t>
            </w:r>
          </w:p>
        </w:tc>
        <w:tc>
          <w:tcPr>
            <w:tcW w:w="1276" w:type="dxa"/>
            <w:gridSpan w:val="2"/>
            <w:tcBorders>
              <w:top w:val="single" w:sz="8" w:space="0" w:color="auto"/>
              <w:left w:val="single" w:sz="4" w:space="0" w:color="auto"/>
              <w:bottom w:val="single" w:sz="4" w:space="0" w:color="auto"/>
              <w:right w:val="nil"/>
            </w:tcBorders>
            <w:shd w:val="clear" w:color="000000" w:fill="D9D9D9"/>
            <w:vAlign w:val="center"/>
            <w:hideMark/>
          </w:tcPr>
          <w:p w:rsidR="00EB6B13" w:rsidRPr="00EB6B13" w:rsidRDefault="00EB6B13" w:rsidP="00EB6B13">
            <w:pPr>
              <w:spacing w:after="0" w:line="240" w:lineRule="auto"/>
              <w:jc w:val="center"/>
              <w:rPr>
                <w:rFonts w:ascii="Calibri" w:eastAsia="Times New Roman" w:hAnsi="Calibri" w:cs="Times New Roman"/>
                <w:b/>
                <w:bCs/>
                <w:color w:val="000000"/>
                <w:sz w:val="16"/>
                <w:szCs w:val="18"/>
                <w:lang w:eastAsia="en-GB"/>
              </w:rPr>
            </w:pPr>
            <w:r w:rsidRPr="00EB6B13">
              <w:rPr>
                <w:rFonts w:ascii="Calibri" w:eastAsia="Times New Roman" w:hAnsi="Calibri" w:cs="Times New Roman"/>
                <w:b/>
                <w:bCs/>
                <w:color w:val="000000"/>
                <w:sz w:val="16"/>
                <w:szCs w:val="18"/>
                <w:lang w:eastAsia="en-GB"/>
              </w:rPr>
              <w:t xml:space="preserve">Non-urgent </w:t>
            </w:r>
            <w:r w:rsidRPr="00EB6B13">
              <w:rPr>
                <w:rFonts w:ascii="Calibri" w:eastAsia="Times New Roman" w:hAnsi="Calibri" w:cs="Times New Roman"/>
                <w:b/>
                <w:bCs/>
                <w:color w:val="000000"/>
                <w:sz w:val="16"/>
                <w:szCs w:val="18"/>
                <w:lang w:eastAsia="en-GB"/>
              </w:rPr>
              <w:br/>
              <w:t>GP consults</w:t>
            </w:r>
            <w:r w:rsidRPr="00EB6B13">
              <w:rPr>
                <w:rFonts w:ascii="Calibri" w:eastAsia="Times New Roman" w:hAnsi="Calibri" w:cs="Times New Roman"/>
                <w:b/>
                <w:bCs/>
                <w:color w:val="000000"/>
                <w:sz w:val="16"/>
                <w:szCs w:val="18"/>
                <w:lang w:eastAsia="en-GB"/>
              </w:rPr>
              <w:br/>
              <w:t>cohort</w:t>
            </w:r>
          </w:p>
        </w:tc>
        <w:tc>
          <w:tcPr>
            <w:tcW w:w="1347" w:type="dxa"/>
            <w:gridSpan w:val="2"/>
            <w:tcBorders>
              <w:top w:val="single" w:sz="8" w:space="0" w:color="auto"/>
              <w:left w:val="single" w:sz="4" w:space="0" w:color="auto"/>
              <w:bottom w:val="single" w:sz="4" w:space="0" w:color="auto"/>
              <w:right w:val="single" w:sz="4" w:space="0" w:color="000000"/>
            </w:tcBorders>
            <w:shd w:val="clear" w:color="000000" w:fill="D9D9D9"/>
            <w:vAlign w:val="center"/>
            <w:hideMark/>
          </w:tcPr>
          <w:p w:rsidR="00EB6B13" w:rsidRPr="00EB6B13" w:rsidRDefault="00EB6B13" w:rsidP="00EB6B13">
            <w:pPr>
              <w:spacing w:after="0" w:line="240" w:lineRule="auto"/>
              <w:jc w:val="center"/>
              <w:rPr>
                <w:rFonts w:ascii="Calibri" w:eastAsia="Times New Roman" w:hAnsi="Calibri" w:cs="Times New Roman"/>
                <w:b/>
                <w:bCs/>
                <w:color w:val="000000"/>
                <w:sz w:val="16"/>
                <w:szCs w:val="18"/>
                <w:lang w:eastAsia="en-GB"/>
              </w:rPr>
            </w:pPr>
            <w:r w:rsidRPr="00EB6B13">
              <w:rPr>
                <w:rFonts w:ascii="Calibri" w:eastAsia="Times New Roman" w:hAnsi="Calibri" w:cs="Times New Roman"/>
                <w:b/>
                <w:bCs/>
                <w:color w:val="000000"/>
                <w:sz w:val="16"/>
                <w:szCs w:val="18"/>
                <w:lang w:eastAsia="en-GB"/>
              </w:rPr>
              <w:t>Respiratory events cohort</w:t>
            </w:r>
          </w:p>
        </w:tc>
        <w:tc>
          <w:tcPr>
            <w:tcW w:w="1162" w:type="dxa"/>
            <w:gridSpan w:val="2"/>
            <w:tcBorders>
              <w:top w:val="single" w:sz="8" w:space="0" w:color="auto"/>
              <w:left w:val="nil"/>
              <w:bottom w:val="single" w:sz="4" w:space="0" w:color="auto"/>
              <w:right w:val="single" w:sz="4" w:space="0" w:color="000000"/>
            </w:tcBorders>
            <w:shd w:val="clear" w:color="000000" w:fill="D9D9D9"/>
            <w:vAlign w:val="center"/>
            <w:hideMark/>
          </w:tcPr>
          <w:p w:rsidR="00EB6B13" w:rsidRPr="00EB6B13" w:rsidRDefault="00EB6B13" w:rsidP="00EB6B13">
            <w:pPr>
              <w:spacing w:after="0" w:line="240" w:lineRule="auto"/>
              <w:jc w:val="center"/>
              <w:rPr>
                <w:rFonts w:ascii="Calibri" w:eastAsia="Times New Roman" w:hAnsi="Calibri" w:cs="Times New Roman"/>
                <w:b/>
                <w:bCs/>
                <w:color w:val="000000"/>
                <w:sz w:val="16"/>
                <w:szCs w:val="18"/>
                <w:lang w:eastAsia="en-GB"/>
              </w:rPr>
            </w:pPr>
            <w:r w:rsidRPr="00EB6B13">
              <w:rPr>
                <w:rFonts w:ascii="Calibri" w:eastAsia="Times New Roman" w:hAnsi="Calibri" w:cs="Times New Roman"/>
                <w:b/>
                <w:bCs/>
                <w:color w:val="000000"/>
                <w:sz w:val="16"/>
                <w:szCs w:val="18"/>
                <w:lang w:eastAsia="en-GB"/>
              </w:rPr>
              <w:t>Adverse inhaler events cohort</w:t>
            </w:r>
          </w:p>
        </w:tc>
        <w:tc>
          <w:tcPr>
            <w:tcW w:w="1254" w:type="dxa"/>
            <w:gridSpan w:val="2"/>
            <w:tcBorders>
              <w:top w:val="single" w:sz="8" w:space="0" w:color="auto"/>
              <w:left w:val="nil"/>
              <w:bottom w:val="single" w:sz="4" w:space="0" w:color="auto"/>
              <w:right w:val="single" w:sz="8" w:space="0" w:color="000000"/>
            </w:tcBorders>
            <w:shd w:val="clear" w:color="auto" w:fill="auto"/>
            <w:vAlign w:val="center"/>
            <w:hideMark/>
          </w:tcPr>
          <w:p w:rsidR="00EB6B13" w:rsidRPr="00EB6B13" w:rsidRDefault="00EB6B13" w:rsidP="00EB6B13">
            <w:pPr>
              <w:spacing w:after="0" w:line="240" w:lineRule="auto"/>
              <w:jc w:val="center"/>
              <w:rPr>
                <w:rFonts w:ascii="Calibri" w:eastAsia="Times New Roman" w:hAnsi="Calibri" w:cs="Times New Roman"/>
                <w:b/>
                <w:bCs/>
                <w:color w:val="000000"/>
                <w:sz w:val="16"/>
                <w:szCs w:val="18"/>
                <w:lang w:eastAsia="en-GB"/>
              </w:rPr>
            </w:pPr>
            <w:r w:rsidRPr="00EB6B13">
              <w:rPr>
                <w:rFonts w:ascii="Calibri" w:eastAsia="Times New Roman" w:hAnsi="Calibri" w:cs="Times New Roman"/>
                <w:b/>
                <w:bCs/>
                <w:color w:val="000000"/>
                <w:sz w:val="16"/>
                <w:szCs w:val="18"/>
                <w:lang w:eastAsia="en-GB"/>
              </w:rPr>
              <w:t>All non-clinical switchers</w:t>
            </w:r>
          </w:p>
        </w:tc>
      </w:tr>
      <w:tr w:rsidR="00EB6B13" w:rsidRPr="00EB6B13" w:rsidTr="00EB6B13">
        <w:trPr>
          <w:divId w:val="1657495372"/>
          <w:trHeight w:val="300"/>
        </w:trPr>
        <w:tc>
          <w:tcPr>
            <w:tcW w:w="2258" w:type="dxa"/>
            <w:tcBorders>
              <w:top w:val="nil"/>
              <w:left w:val="single" w:sz="8" w:space="0" w:color="auto"/>
              <w:bottom w:val="single" w:sz="4" w:space="0" w:color="auto"/>
              <w:right w:val="nil"/>
            </w:tcBorders>
            <w:shd w:val="clear" w:color="auto" w:fill="auto"/>
            <w:noWrap/>
            <w:vAlign w:val="bottom"/>
            <w:hideMark/>
          </w:tcPr>
          <w:p w:rsidR="00EB6B13" w:rsidRPr="00EB6B13" w:rsidRDefault="00EB6B13" w:rsidP="00EB6B13">
            <w:pPr>
              <w:spacing w:after="0" w:line="240" w:lineRule="auto"/>
              <w:rPr>
                <w:rFonts w:ascii="Calibri" w:eastAsia="Times New Roman" w:hAnsi="Calibri" w:cs="Times New Roman"/>
                <w:b/>
                <w:bCs/>
                <w:color w:val="000000"/>
                <w:sz w:val="16"/>
                <w:szCs w:val="18"/>
                <w:lang w:eastAsia="en-GB"/>
              </w:rPr>
            </w:pPr>
            <w:r w:rsidRPr="00EB6B13">
              <w:rPr>
                <w:rFonts w:ascii="Calibri" w:eastAsia="Times New Roman" w:hAnsi="Calibri" w:cs="Times New Roman"/>
                <w:b/>
                <w:bCs/>
                <w:color w:val="000000"/>
                <w:sz w:val="16"/>
                <w:szCs w:val="18"/>
                <w:lang w:eastAsia="en-GB"/>
              </w:rPr>
              <w:t> </w:t>
            </w:r>
          </w:p>
        </w:tc>
        <w:tc>
          <w:tcPr>
            <w:tcW w:w="709" w:type="dxa"/>
            <w:tcBorders>
              <w:top w:val="nil"/>
              <w:left w:val="single" w:sz="4" w:space="0" w:color="auto"/>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b/>
                <w:bCs/>
                <w:color w:val="000000"/>
                <w:sz w:val="16"/>
                <w:szCs w:val="18"/>
                <w:lang w:eastAsia="en-GB"/>
              </w:rPr>
            </w:pPr>
            <w:r w:rsidRPr="00EB6B13">
              <w:rPr>
                <w:rFonts w:ascii="Calibri" w:eastAsia="Times New Roman" w:hAnsi="Calibri" w:cs="Times New Roman"/>
                <w:b/>
                <w:bCs/>
                <w:color w:val="000000"/>
                <w:sz w:val="16"/>
                <w:szCs w:val="18"/>
                <w:lang w:eastAsia="en-GB"/>
              </w:rPr>
              <w:t>N</w:t>
            </w:r>
          </w:p>
        </w:tc>
        <w:tc>
          <w:tcPr>
            <w:tcW w:w="567" w:type="dxa"/>
            <w:tcBorders>
              <w:top w:val="nil"/>
              <w:left w:val="nil"/>
              <w:bottom w:val="single" w:sz="4"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b/>
                <w:bCs/>
                <w:color w:val="000000"/>
                <w:sz w:val="16"/>
                <w:szCs w:val="18"/>
                <w:lang w:eastAsia="en-GB"/>
              </w:rPr>
            </w:pPr>
            <w:r w:rsidRPr="00EB6B13">
              <w:rPr>
                <w:rFonts w:ascii="Calibri" w:eastAsia="Times New Roman" w:hAnsi="Calibri" w:cs="Times New Roman"/>
                <w:b/>
                <w:bCs/>
                <w:color w:val="000000"/>
                <w:sz w:val="16"/>
                <w:szCs w:val="18"/>
                <w:lang w:eastAsia="en-GB"/>
              </w:rPr>
              <w:t>%</w:t>
            </w:r>
          </w:p>
        </w:tc>
        <w:tc>
          <w:tcPr>
            <w:tcW w:w="709"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b/>
                <w:bCs/>
                <w:color w:val="000000"/>
                <w:sz w:val="16"/>
                <w:szCs w:val="18"/>
                <w:lang w:eastAsia="en-GB"/>
              </w:rPr>
            </w:pPr>
            <w:r w:rsidRPr="00EB6B13">
              <w:rPr>
                <w:rFonts w:ascii="Calibri" w:eastAsia="Times New Roman" w:hAnsi="Calibri" w:cs="Times New Roman"/>
                <w:b/>
                <w:bCs/>
                <w:color w:val="000000"/>
                <w:sz w:val="16"/>
                <w:szCs w:val="18"/>
                <w:lang w:eastAsia="en-GB"/>
              </w:rPr>
              <w:t>N</w:t>
            </w:r>
          </w:p>
        </w:tc>
        <w:tc>
          <w:tcPr>
            <w:tcW w:w="567"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b/>
                <w:bCs/>
                <w:color w:val="000000"/>
                <w:sz w:val="16"/>
                <w:szCs w:val="18"/>
                <w:lang w:eastAsia="en-GB"/>
              </w:rPr>
            </w:pPr>
            <w:r w:rsidRPr="00EB6B13">
              <w:rPr>
                <w:rFonts w:ascii="Calibri" w:eastAsia="Times New Roman" w:hAnsi="Calibri" w:cs="Times New Roman"/>
                <w:b/>
                <w:bCs/>
                <w:color w:val="000000"/>
                <w:sz w:val="16"/>
                <w:szCs w:val="18"/>
                <w:lang w:eastAsia="en-GB"/>
              </w:rPr>
              <w:t>%</w:t>
            </w:r>
          </w:p>
        </w:tc>
        <w:tc>
          <w:tcPr>
            <w:tcW w:w="709" w:type="dxa"/>
            <w:tcBorders>
              <w:top w:val="nil"/>
              <w:left w:val="single" w:sz="4" w:space="0" w:color="auto"/>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b/>
                <w:bCs/>
                <w:color w:val="000000"/>
                <w:sz w:val="16"/>
                <w:szCs w:val="18"/>
                <w:lang w:eastAsia="en-GB"/>
              </w:rPr>
            </w:pPr>
            <w:r w:rsidRPr="00EB6B13">
              <w:rPr>
                <w:rFonts w:ascii="Calibri" w:eastAsia="Times New Roman" w:hAnsi="Calibri" w:cs="Times New Roman"/>
                <w:b/>
                <w:bCs/>
                <w:color w:val="000000"/>
                <w:sz w:val="16"/>
                <w:szCs w:val="18"/>
                <w:lang w:eastAsia="en-GB"/>
              </w:rPr>
              <w:t>N</w:t>
            </w:r>
          </w:p>
        </w:tc>
        <w:tc>
          <w:tcPr>
            <w:tcW w:w="567"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b/>
                <w:bCs/>
                <w:color w:val="000000"/>
                <w:sz w:val="16"/>
                <w:szCs w:val="18"/>
                <w:lang w:eastAsia="en-GB"/>
              </w:rPr>
            </w:pPr>
            <w:r w:rsidRPr="00EB6B13">
              <w:rPr>
                <w:rFonts w:ascii="Calibri" w:eastAsia="Times New Roman" w:hAnsi="Calibri" w:cs="Times New Roman"/>
                <w:b/>
                <w:bCs/>
                <w:color w:val="000000"/>
                <w:sz w:val="16"/>
                <w:szCs w:val="18"/>
                <w:lang w:eastAsia="en-GB"/>
              </w:rPr>
              <w:t>%</w:t>
            </w:r>
          </w:p>
        </w:tc>
        <w:tc>
          <w:tcPr>
            <w:tcW w:w="811" w:type="dxa"/>
            <w:tcBorders>
              <w:top w:val="nil"/>
              <w:left w:val="single" w:sz="4" w:space="0" w:color="auto"/>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b/>
                <w:bCs/>
                <w:color w:val="000000"/>
                <w:sz w:val="16"/>
                <w:szCs w:val="18"/>
                <w:lang w:eastAsia="en-GB"/>
              </w:rPr>
            </w:pPr>
            <w:r w:rsidRPr="00EB6B13">
              <w:rPr>
                <w:rFonts w:ascii="Calibri" w:eastAsia="Times New Roman" w:hAnsi="Calibri" w:cs="Times New Roman"/>
                <w:b/>
                <w:bCs/>
                <w:color w:val="000000"/>
                <w:sz w:val="16"/>
                <w:szCs w:val="18"/>
                <w:lang w:eastAsia="en-GB"/>
              </w:rPr>
              <w:t>N</w:t>
            </w:r>
          </w:p>
        </w:tc>
        <w:tc>
          <w:tcPr>
            <w:tcW w:w="536" w:type="dxa"/>
            <w:tcBorders>
              <w:top w:val="nil"/>
              <w:left w:val="nil"/>
              <w:bottom w:val="single" w:sz="4"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b/>
                <w:bCs/>
                <w:color w:val="000000"/>
                <w:sz w:val="16"/>
                <w:szCs w:val="18"/>
                <w:lang w:eastAsia="en-GB"/>
              </w:rPr>
            </w:pPr>
            <w:r w:rsidRPr="00EB6B13">
              <w:rPr>
                <w:rFonts w:ascii="Calibri" w:eastAsia="Times New Roman" w:hAnsi="Calibri" w:cs="Times New Roman"/>
                <w:b/>
                <w:bCs/>
                <w:color w:val="000000"/>
                <w:sz w:val="16"/>
                <w:szCs w:val="18"/>
                <w:lang w:eastAsia="en-GB"/>
              </w:rPr>
              <w:t>%</w:t>
            </w:r>
          </w:p>
        </w:tc>
        <w:tc>
          <w:tcPr>
            <w:tcW w:w="626"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b/>
                <w:bCs/>
                <w:color w:val="000000"/>
                <w:sz w:val="16"/>
                <w:szCs w:val="18"/>
                <w:lang w:eastAsia="en-GB"/>
              </w:rPr>
            </w:pPr>
            <w:r w:rsidRPr="00EB6B13">
              <w:rPr>
                <w:rFonts w:ascii="Calibri" w:eastAsia="Times New Roman" w:hAnsi="Calibri" w:cs="Times New Roman"/>
                <w:b/>
                <w:bCs/>
                <w:color w:val="000000"/>
                <w:sz w:val="16"/>
                <w:szCs w:val="18"/>
                <w:lang w:eastAsia="en-GB"/>
              </w:rPr>
              <w:t>N</w:t>
            </w:r>
          </w:p>
        </w:tc>
        <w:tc>
          <w:tcPr>
            <w:tcW w:w="536" w:type="dxa"/>
            <w:tcBorders>
              <w:top w:val="nil"/>
              <w:left w:val="nil"/>
              <w:bottom w:val="single" w:sz="4"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b/>
                <w:bCs/>
                <w:color w:val="000000"/>
                <w:sz w:val="16"/>
                <w:szCs w:val="18"/>
                <w:lang w:eastAsia="en-GB"/>
              </w:rPr>
            </w:pPr>
            <w:r w:rsidRPr="00EB6B13">
              <w:rPr>
                <w:rFonts w:ascii="Calibri" w:eastAsia="Times New Roman" w:hAnsi="Calibri" w:cs="Times New Roman"/>
                <w:b/>
                <w:bCs/>
                <w:color w:val="000000"/>
                <w:sz w:val="16"/>
                <w:szCs w:val="18"/>
                <w:lang w:eastAsia="en-GB"/>
              </w:rPr>
              <w:t>%</w:t>
            </w:r>
          </w:p>
        </w:tc>
        <w:tc>
          <w:tcPr>
            <w:tcW w:w="718"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b/>
                <w:bCs/>
                <w:color w:val="000000"/>
                <w:sz w:val="16"/>
                <w:szCs w:val="18"/>
                <w:lang w:eastAsia="en-GB"/>
              </w:rPr>
            </w:pPr>
            <w:r w:rsidRPr="00EB6B13">
              <w:rPr>
                <w:rFonts w:ascii="Calibri" w:eastAsia="Times New Roman" w:hAnsi="Calibri" w:cs="Times New Roman"/>
                <w:b/>
                <w:bCs/>
                <w:color w:val="000000"/>
                <w:sz w:val="16"/>
                <w:szCs w:val="18"/>
                <w:lang w:eastAsia="en-GB"/>
              </w:rPr>
              <w:t>N</w:t>
            </w:r>
          </w:p>
        </w:tc>
        <w:tc>
          <w:tcPr>
            <w:tcW w:w="536" w:type="dxa"/>
            <w:tcBorders>
              <w:top w:val="nil"/>
              <w:left w:val="nil"/>
              <w:bottom w:val="single" w:sz="4" w:space="0" w:color="auto"/>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b/>
                <w:bCs/>
                <w:color w:val="000000"/>
                <w:sz w:val="16"/>
                <w:szCs w:val="18"/>
                <w:lang w:eastAsia="en-GB"/>
              </w:rPr>
            </w:pPr>
            <w:r w:rsidRPr="00EB6B13">
              <w:rPr>
                <w:rFonts w:ascii="Calibri" w:eastAsia="Times New Roman" w:hAnsi="Calibri" w:cs="Times New Roman"/>
                <w:b/>
                <w:bCs/>
                <w:color w:val="000000"/>
                <w:sz w:val="16"/>
                <w:szCs w:val="18"/>
                <w:lang w:eastAsia="en-GB"/>
              </w:rPr>
              <w:t>%</w:t>
            </w:r>
          </w:p>
        </w:tc>
      </w:tr>
      <w:tr w:rsidR="00EB6B13" w:rsidRPr="00EB6B13" w:rsidTr="00EB6B13">
        <w:trPr>
          <w:divId w:val="1657495372"/>
          <w:trHeight w:val="300"/>
        </w:trPr>
        <w:tc>
          <w:tcPr>
            <w:tcW w:w="2258" w:type="dxa"/>
            <w:tcBorders>
              <w:top w:val="nil"/>
              <w:left w:val="single" w:sz="8" w:space="0" w:color="auto"/>
              <w:bottom w:val="single" w:sz="4" w:space="0" w:color="auto"/>
              <w:right w:val="nil"/>
            </w:tcBorders>
            <w:shd w:val="clear" w:color="auto" w:fill="auto"/>
            <w:noWrap/>
            <w:vAlign w:val="bottom"/>
            <w:hideMark/>
          </w:tcPr>
          <w:p w:rsidR="00EB6B13" w:rsidRPr="00EB6B13" w:rsidRDefault="00EB6B13" w:rsidP="00EB6B13">
            <w:pPr>
              <w:spacing w:after="0" w:line="240" w:lineRule="auto"/>
              <w:rPr>
                <w:rFonts w:ascii="Calibri" w:eastAsia="Times New Roman" w:hAnsi="Calibri" w:cs="Times New Roman"/>
                <w:b/>
                <w:bCs/>
                <w:color w:val="000000"/>
                <w:sz w:val="16"/>
                <w:szCs w:val="18"/>
                <w:lang w:eastAsia="en-GB"/>
              </w:rPr>
            </w:pPr>
            <w:r w:rsidRPr="00EB6B13">
              <w:rPr>
                <w:rFonts w:ascii="Calibri" w:eastAsia="Times New Roman" w:hAnsi="Calibri" w:cs="Times New Roman"/>
                <w:b/>
                <w:bCs/>
                <w:color w:val="000000"/>
                <w:sz w:val="16"/>
                <w:szCs w:val="18"/>
                <w:lang w:eastAsia="en-GB"/>
              </w:rPr>
              <w:t xml:space="preserve">Total </w:t>
            </w:r>
          </w:p>
        </w:tc>
        <w:tc>
          <w:tcPr>
            <w:tcW w:w="709" w:type="dxa"/>
            <w:tcBorders>
              <w:top w:val="nil"/>
              <w:left w:val="single" w:sz="4" w:space="0" w:color="auto"/>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5,242</w:t>
            </w:r>
          </w:p>
        </w:tc>
        <w:tc>
          <w:tcPr>
            <w:tcW w:w="567" w:type="dxa"/>
            <w:tcBorders>
              <w:top w:val="nil"/>
              <w:left w:val="nil"/>
              <w:bottom w:val="single" w:sz="4"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100</w:t>
            </w:r>
          </w:p>
        </w:tc>
        <w:tc>
          <w:tcPr>
            <w:tcW w:w="709"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23,488</w:t>
            </w:r>
          </w:p>
        </w:tc>
        <w:tc>
          <w:tcPr>
            <w:tcW w:w="567" w:type="dxa"/>
            <w:tcBorders>
              <w:top w:val="nil"/>
              <w:left w:val="nil"/>
              <w:bottom w:val="single" w:sz="4"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100</w:t>
            </w:r>
          </w:p>
        </w:tc>
        <w:tc>
          <w:tcPr>
            <w:tcW w:w="709"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50,289</w:t>
            </w:r>
          </w:p>
        </w:tc>
        <w:tc>
          <w:tcPr>
            <w:tcW w:w="567" w:type="dxa"/>
            <w:tcBorders>
              <w:top w:val="nil"/>
              <w:left w:val="nil"/>
              <w:bottom w:val="single" w:sz="4"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100</w:t>
            </w:r>
          </w:p>
        </w:tc>
        <w:tc>
          <w:tcPr>
            <w:tcW w:w="811"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51,659</w:t>
            </w:r>
          </w:p>
        </w:tc>
        <w:tc>
          <w:tcPr>
            <w:tcW w:w="536" w:type="dxa"/>
            <w:tcBorders>
              <w:top w:val="nil"/>
              <w:left w:val="nil"/>
              <w:bottom w:val="single" w:sz="4"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100</w:t>
            </w:r>
          </w:p>
        </w:tc>
        <w:tc>
          <w:tcPr>
            <w:tcW w:w="626"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3,258</w:t>
            </w:r>
          </w:p>
        </w:tc>
        <w:tc>
          <w:tcPr>
            <w:tcW w:w="536" w:type="dxa"/>
            <w:tcBorders>
              <w:top w:val="nil"/>
              <w:left w:val="nil"/>
              <w:bottom w:val="single" w:sz="4"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100</w:t>
            </w:r>
          </w:p>
        </w:tc>
        <w:tc>
          <w:tcPr>
            <w:tcW w:w="718"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69,812</w:t>
            </w:r>
          </w:p>
        </w:tc>
        <w:tc>
          <w:tcPr>
            <w:tcW w:w="536" w:type="dxa"/>
            <w:tcBorders>
              <w:top w:val="nil"/>
              <w:left w:val="nil"/>
              <w:bottom w:val="single" w:sz="4"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100</w:t>
            </w:r>
          </w:p>
        </w:tc>
      </w:tr>
      <w:tr w:rsidR="00EB6B13" w:rsidRPr="00EB6B13" w:rsidTr="00EB6B13">
        <w:trPr>
          <w:divId w:val="1657495372"/>
          <w:trHeight w:val="360"/>
        </w:trPr>
        <w:tc>
          <w:tcPr>
            <w:tcW w:w="2258" w:type="dxa"/>
            <w:tcBorders>
              <w:top w:val="nil"/>
              <w:left w:val="single" w:sz="8" w:space="0" w:color="auto"/>
              <w:bottom w:val="single" w:sz="4" w:space="0" w:color="auto"/>
              <w:right w:val="nil"/>
            </w:tcBorders>
            <w:shd w:val="clear" w:color="000000" w:fill="F2F2F2"/>
            <w:noWrap/>
            <w:vAlign w:val="center"/>
            <w:hideMark/>
          </w:tcPr>
          <w:p w:rsidR="00EB6B13" w:rsidRPr="00EB6B13" w:rsidRDefault="00EB6B13" w:rsidP="00EB6B13">
            <w:pPr>
              <w:spacing w:after="0" w:line="240" w:lineRule="auto"/>
              <w:rPr>
                <w:rFonts w:ascii="Calibri" w:eastAsia="Times New Roman" w:hAnsi="Calibri" w:cs="Times New Roman"/>
                <w:b/>
                <w:bCs/>
                <w:color w:val="000000"/>
                <w:sz w:val="16"/>
                <w:szCs w:val="18"/>
                <w:lang w:eastAsia="en-GB"/>
              </w:rPr>
            </w:pPr>
            <w:r w:rsidRPr="00EB6B13">
              <w:rPr>
                <w:rFonts w:ascii="Calibri" w:eastAsia="Times New Roman" w:hAnsi="Calibri" w:cs="Times New Roman"/>
                <w:b/>
                <w:bCs/>
                <w:color w:val="000000"/>
                <w:sz w:val="16"/>
                <w:szCs w:val="18"/>
                <w:lang w:eastAsia="en-GB"/>
              </w:rPr>
              <w:t>Patient Characteristics</w:t>
            </w:r>
          </w:p>
        </w:tc>
        <w:tc>
          <w:tcPr>
            <w:tcW w:w="709" w:type="dxa"/>
            <w:tcBorders>
              <w:top w:val="nil"/>
              <w:left w:val="single" w:sz="4" w:space="0" w:color="auto"/>
              <w:bottom w:val="single" w:sz="4" w:space="0" w:color="auto"/>
              <w:right w:val="nil"/>
            </w:tcBorders>
            <w:shd w:val="clear" w:color="000000" w:fill="F2F2F2"/>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67" w:type="dxa"/>
            <w:tcBorders>
              <w:top w:val="nil"/>
              <w:left w:val="nil"/>
              <w:bottom w:val="single" w:sz="4" w:space="0" w:color="auto"/>
              <w:right w:val="single" w:sz="4" w:space="0" w:color="auto"/>
            </w:tcBorders>
            <w:shd w:val="clear" w:color="000000" w:fill="F2F2F2"/>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709" w:type="dxa"/>
            <w:tcBorders>
              <w:top w:val="nil"/>
              <w:left w:val="nil"/>
              <w:bottom w:val="single" w:sz="4" w:space="0" w:color="auto"/>
              <w:right w:val="nil"/>
            </w:tcBorders>
            <w:shd w:val="clear" w:color="000000" w:fill="F2F2F2"/>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67" w:type="dxa"/>
            <w:tcBorders>
              <w:top w:val="nil"/>
              <w:left w:val="nil"/>
              <w:bottom w:val="single" w:sz="4" w:space="0" w:color="auto"/>
              <w:right w:val="nil"/>
            </w:tcBorders>
            <w:shd w:val="clear" w:color="000000" w:fill="F2F2F2"/>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709" w:type="dxa"/>
            <w:tcBorders>
              <w:top w:val="nil"/>
              <w:left w:val="single" w:sz="4" w:space="0" w:color="auto"/>
              <w:bottom w:val="single" w:sz="4" w:space="0" w:color="auto"/>
              <w:right w:val="nil"/>
            </w:tcBorders>
            <w:shd w:val="clear" w:color="000000" w:fill="F2F2F2"/>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67" w:type="dxa"/>
            <w:tcBorders>
              <w:top w:val="nil"/>
              <w:left w:val="nil"/>
              <w:bottom w:val="single" w:sz="4" w:space="0" w:color="auto"/>
              <w:right w:val="nil"/>
            </w:tcBorders>
            <w:shd w:val="clear" w:color="000000" w:fill="F2F2F2"/>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811" w:type="dxa"/>
            <w:tcBorders>
              <w:top w:val="nil"/>
              <w:left w:val="single" w:sz="4" w:space="0" w:color="auto"/>
              <w:bottom w:val="single" w:sz="4" w:space="0" w:color="auto"/>
              <w:right w:val="nil"/>
            </w:tcBorders>
            <w:shd w:val="clear" w:color="000000" w:fill="F2F2F2"/>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36" w:type="dxa"/>
            <w:tcBorders>
              <w:top w:val="nil"/>
              <w:left w:val="nil"/>
              <w:bottom w:val="single" w:sz="4" w:space="0" w:color="auto"/>
              <w:right w:val="single" w:sz="4" w:space="0" w:color="auto"/>
            </w:tcBorders>
            <w:shd w:val="clear" w:color="000000" w:fill="F2F2F2"/>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626" w:type="dxa"/>
            <w:tcBorders>
              <w:top w:val="nil"/>
              <w:left w:val="nil"/>
              <w:bottom w:val="single" w:sz="4" w:space="0" w:color="auto"/>
              <w:right w:val="nil"/>
            </w:tcBorders>
            <w:shd w:val="clear" w:color="000000" w:fill="F2F2F2"/>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36" w:type="dxa"/>
            <w:tcBorders>
              <w:top w:val="nil"/>
              <w:left w:val="nil"/>
              <w:bottom w:val="single" w:sz="4" w:space="0" w:color="auto"/>
              <w:right w:val="single" w:sz="4" w:space="0" w:color="auto"/>
            </w:tcBorders>
            <w:shd w:val="clear" w:color="000000" w:fill="F2F2F2"/>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718" w:type="dxa"/>
            <w:tcBorders>
              <w:top w:val="nil"/>
              <w:left w:val="nil"/>
              <w:bottom w:val="single" w:sz="4" w:space="0" w:color="auto"/>
              <w:right w:val="nil"/>
            </w:tcBorders>
            <w:shd w:val="clear" w:color="000000" w:fill="F2F2F2"/>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36" w:type="dxa"/>
            <w:tcBorders>
              <w:top w:val="nil"/>
              <w:left w:val="nil"/>
              <w:bottom w:val="single" w:sz="4" w:space="0" w:color="auto"/>
              <w:right w:val="single" w:sz="8" w:space="0" w:color="auto"/>
            </w:tcBorders>
            <w:shd w:val="clear" w:color="000000" w:fill="F2F2F2"/>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r>
      <w:tr w:rsidR="00EB6B13" w:rsidRPr="00EB6B13" w:rsidTr="00EB6B13">
        <w:trPr>
          <w:divId w:val="1657495372"/>
          <w:trHeight w:val="300"/>
        </w:trPr>
        <w:tc>
          <w:tcPr>
            <w:tcW w:w="2258" w:type="dxa"/>
            <w:tcBorders>
              <w:top w:val="nil"/>
              <w:left w:val="single" w:sz="8" w:space="0" w:color="auto"/>
              <w:bottom w:val="nil"/>
              <w:right w:val="nil"/>
            </w:tcBorders>
            <w:shd w:val="clear" w:color="auto" w:fill="auto"/>
            <w:noWrap/>
            <w:vAlign w:val="bottom"/>
            <w:hideMark/>
          </w:tcPr>
          <w:p w:rsidR="00EB6B13" w:rsidRPr="00EB6B13" w:rsidRDefault="00EB6B13" w:rsidP="00EB6B13">
            <w:pPr>
              <w:spacing w:after="0" w:line="240" w:lineRule="auto"/>
              <w:rPr>
                <w:rFonts w:ascii="Calibri" w:eastAsia="Times New Roman" w:hAnsi="Calibri" w:cs="Times New Roman"/>
                <w:b/>
                <w:bCs/>
                <w:color w:val="000000"/>
                <w:sz w:val="16"/>
                <w:szCs w:val="18"/>
                <w:lang w:eastAsia="en-GB"/>
              </w:rPr>
            </w:pPr>
            <w:r w:rsidRPr="00EB6B13">
              <w:rPr>
                <w:rFonts w:ascii="Calibri" w:eastAsia="Times New Roman" w:hAnsi="Calibri" w:cs="Times New Roman"/>
                <w:b/>
                <w:bCs/>
                <w:color w:val="000000"/>
                <w:sz w:val="16"/>
                <w:szCs w:val="18"/>
                <w:lang w:eastAsia="en-GB"/>
              </w:rPr>
              <w:t>Respiratory condition</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709"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p>
        </w:tc>
        <w:tc>
          <w:tcPr>
            <w:tcW w:w="811"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626"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718"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36" w:type="dxa"/>
            <w:tcBorders>
              <w:top w:val="nil"/>
              <w:left w:val="nil"/>
              <w:bottom w:val="nil"/>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r>
      <w:tr w:rsidR="00EB6B13" w:rsidRPr="00EB6B13" w:rsidTr="00EB6B13">
        <w:trPr>
          <w:divId w:val="1657495372"/>
          <w:trHeight w:val="300"/>
        </w:trPr>
        <w:tc>
          <w:tcPr>
            <w:tcW w:w="2258" w:type="dxa"/>
            <w:tcBorders>
              <w:top w:val="nil"/>
              <w:left w:val="single" w:sz="8" w:space="0" w:color="auto"/>
              <w:bottom w:val="nil"/>
              <w:right w:val="nil"/>
            </w:tcBorders>
            <w:shd w:val="clear" w:color="auto" w:fill="auto"/>
            <w:noWrap/>
            <w:vAlign w:val="bottom"/>
            <w:hideMark/>
          </w:tcPr>
          <w:p w:rsidR="00EB6B13" w:rsidRPr="00EB6B13" w:rsidRDefault="00EB6B13" w:rsidP="00EB6B13">
            <w:pPr>
              <w:spacing w:after="0" w:line="240" w:lineRule="auto"/>
              <w:ind w:firstLineChars="200" w:firstLine="320"/>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Asthma</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4,232</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80.7</w:t>
            </w:r>
          </w:p>
        </w:tc>
        <w:tc>
          <w:tcPr>
            <w:tcW w:w="709"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18,185</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77.4</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43,653</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86.8</w:t>
            </w:r>
          </w:p>
        </w:tc>
        <w:tc>
          <w:tcPr>
            <w:tcW w:w="811"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45,318</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87.7</w:t>
            </w:r>
          </w:p>
        </w:tc>
        <w:tc>
          <w:tcPr>
            <w:tcW w:w="626"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2821</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86.6</w:t>
            </w:r>
          </w:p>
        </w:tc>
        <w:tc>
          <w:tcPr>
            <w:tcW w:w="718"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59,909</w:t>
            </w:r>
          </w:p>
        </w:tc>
        <w:tc>
          <w:tcPr>
            <w:tcW w:w="536" w:type="dxa"/>
            <w:tcBorders>
              <w:top w:val="nil"/>
              <w:left w:val="nil"/>
              <w:bottom w:val="nil"/>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85.8</w:t>
            </w:r>
          </w:p>
        </w:tc>
      </w:tr>
      <w:tr w:rsidR="00EB6B13" w:rsidRPr="00EB6B13" w:rsidTr="00EB6B13">
        <w:trPr>
          <w:divId w:val="1657495372"/>
          <w:trHeight w:val="300"/>
        </w:trPr>
        <w:tc>
          <w:tcPr>
            <w:tcW w:w="2258" w:type="dxa"/>
            <w:tcBorders>
              <w:top w:val="nil"/>
              <w:left w:val="single" w:sz="8" w:space="0" w:color="auto"/>
              <w:bottom w:val="single" w:sz="4" w:space="0" w:color="auto"/>
              <w:right w:val="nil"/>
            </w:tcBorders>
            <w:shd w:val="clear" w:color="auto" w:fill="auto"/>
            <w:noWrap/>
            <w:vAlign w:val="bottom"/>
            <w:hideMark/>
          </w:tcPr>
          <w:p w:rsidR="00EB6B13" w:rsidRPr="00EB6B13" w:rsidRDefault="00EB6B13" w:rsidP="00EB6B13">
            <w:pPr>
              <w:spacing w:after="0" w:line="240" w:lineRule="auto"/>
              <w:ind w:firstLineChars="200" w:firstLine="320"/>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COPD</w:t>
            </w:r>
          </w:p>
        </w:tc>
        <w:tc>
          <w:tcPr>
            <w:tcW w:w="709" w:type="dxa"/>
            <w:tcBorders>
              <w:top w:val="nil"/>
              <w:left w:val="single" w:sz="4" w:space="0" w:color="auto"/>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1,010</w:t>
            </w:r>
          </w:p>
        </w:tc>
        <w:tc>
          <w:tcPr>
            <w:tcW w:w="567" w:type="dxa"/>
            <w:tcBorders>
              <w:top w:val="nil"/>
              <w:left w:val="nil"/>
              <w:bottom w:val="single" w:sz="4"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19.3</w:t>
            </w:r>
          </w:p>
        </w:tc>
        <w:tc>
          <w:tcPr>
            <w:tcW w:w="709"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5,303</w:t>
            </w:r>
          </w:p>
        </w:tc>
        <w:tc>
          <w:tcPr>
            <w:tcW w:w="567"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22.6</w:t>
            </w:r>
          </w:p>
        </w:tc>
        <w:tc>
          <w:tcPr>
            <w:tcW w:w="709" w:type="dxa"/>
            <w:tcBorders>
              <w:top w:val="nil"/>
              <w:left w:val="single" w:sz="4" w:space="0" w:color="auto"/>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6,636</w:t>
            </w:r>
          </w:p>
        </w:tc>
        <w:tc>
          <w:tcPr>
            <w:tcW w:w="567" w:type="dxa"/>
            <w:tcBorders>
              <w:top w:val="nil"/>
              <w:left w:val="nil"/>
              <w:bottom w:val="single" w:sz="4"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13.2</w:t>
            </w:r>
          </w:p>
        </w:tc>
        <w:tc>
          <w:tcPr>
            <w:tcW w:w="811"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6,341</w:t>
            </w:r>
          </w:p>
        </w:tc>
        <w:tc>
          <w:tcPr>
            <w:tcW w:w="536" w:type="dxa"/>
            <w:tcBorders>
              <w:top w:val="nil"/>
              <w:left w:val="nil"/>
              <w:bottom w:val="single" w:sz="4"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12.3</w:t>
            </w:r>
          </w:p>
        </w:tc>
        <w:tc>
          <w:tcPr>
            <w:tcW w:w="626"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437</w:t>
            </w:r>
          </w:p>
        </w:tc>
        <w:tc>
          <w:tcPr>
            <w:tcW w:w="536" w:type="dxa"/>
            <w:tcBorders>
              <w:top w:val="nil"/>
              <w:left w:val="nil"/>
              <w:bottom w:val="single" w:sz="4"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13.4</w:t>
            </w:r>
          </w:p>
        </w:tc>
        <w:tc>
          <w:tcPr>
            <w:tcW w:w="718"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9,903</w:t>
            </w:r>
          </w:p>
        </w:tc>
        <w:tc>
          <w:tcPr>
            <w:tcW w:w="536" w:type="dxa"/>
            <w:tcBorders>
              <w:top w:val="nil"/>
              <w:left w:val="nil"/>
              <w:bottom w:val="single" w:sz="4" w:space="0" w:color="auto"/>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14.2</w:t>
            </w:r>
          </w:p>
        </w:tc>
      </w:tr>
      <w:tr w:rsidR="00EB6B13" w:rsidRPr="00EB6B13" w:rsidTr="00EB6B13">
        <w:trPr>
          <w:divId w:val="1657495372"/>
          <w:trHeight w:val="300"/>
        </w:trPr>
        <w:tc>
          <w:tcPr>
            <w:tcW w:w="2258" w:type="dxa"/>
            <w:tcBorders>
              <w:top w:val="nil"/>
              <w:left w:val="single" w:sz="8" w:space="0" w:color="auto"/>
              <w:bottom w:val="nil"/>
              <w:right w:val="nil"/>
            </w:tcBorders>
            <w:shd w:val="clear" w:color="auto" w:fill="auto"/>
            <w:noWrap/>
            <w:vAlign w:val="bottom"/>
            <w:hideMark/>
          </w:tcPr>
          <w:p w:rsidR="00EB6B13" w:rsidRPr="00EB6B13" w:rsidRDefault="00EB6B13" w:rsidP="00EB6B13">
            <w:pPr>
              <w:spacing w:after="0" w:line="240" w:lineRule="auto"/>
              <w:rPr>
                <w:rFonts w:ascii="Calibri" w:eastAsia="Times New Roman" w:hAnsi="Calibri" w:cs="Times New Roman"/>
                <w:b/>
                <w:bCs/>
                <w:color w:val="000000"/>
                <w:sz w:val="16"/>
                <w:szCs w:val="18"/>
                <w:lang w:eastAsia="en-GB"/>
              </w:rPr>
            </w:pPr>
            <w:r w:rsidRPr="00EB6B13">
              <w:rPr>
                <w:rFonts w:ascii="Calibri" w:eastAsia="Times New Roman" w:hAnsi="Calibri" w:cs="Times New Roman"/>
                <w:b/>
                <w:bCs/>
                <w:color w:val="000000"/>
                <w:sz w:val="16"/>
                <w:szCs w:val="18"/>
                <w:lang w:eastAsia="en-GB"/>
              </w:rPr>
              <w:t>Gender</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709"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p>
        </w:tc>
        <w:tc>
          <w:tcPr>
            <w:tcW w:w="811"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626"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718"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36" w:type="dxa"/>
            <w:tcBorders>
              <w:top w:val="nil"/>
              <w:left w:val="nil"/>
              <w:bottom w:val="nil"/>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r>
      <w:tr w:rsidR="00EB6B13" w:rsidRPr="00EB6B13" w:rsidTr="00EB6B13">
        <w:trPr>
          <w:divId w:val="1657495372"/>
          <w:trHeight w:val="300"/>
        </w:trPr>
        <w:tc>
          <w:tcPr>
            <w:tcW w:w="2258" w:type="dxa"/>
            <w:tcBorders>
              <w:top w:val="nil"/>
              <w:left w:val="single" w:sz="8" w:space="0" w:color="auto"/>
              <w:bottom w:val="nil"/>
              <w:right w:val="nil"/>
            </w:tcBorders>
            <w:shd w:val="clear" w:color="auto" w:fill="auto"/>
            <w:noWrap/>
            <w:vAlign w:val="bottom"/>
            <w:hideMark/>
          </w:tcPr>
          <w:p w:rsidR="00EB6B13" w:rsidRPr="00EB6B13" w:rsidRDefault="00EB6B13" w:rsidP="00EB6B13">
            <w:pPr>
              <w:spacing w:after="0" w:line="240" w:lineRule="auto"/>
              <w:ind w:firstLineChars="200" w:firstLine="320"/>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Male</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2,377</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45.3</w:t>
            </w:r>
          </w:p>
        </w:tc>
        <w:tc>
          <w:tcPr>
            <w:tcW w:w="709"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10,663</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45.4</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21,613</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43.0</w:t>
            </w:r>
          </w:p>
        </w:tc>
        <w:tc>
          <w:tcPr>
            <w:tcW w:w="811"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21,848</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42.3</w:t>
            </w:r>
          </w:p>
        </w:tc>
        <w:tc>
          <w:tcPr>
            <w:tcW w:w="626"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1190</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36.5</w:t>
            </w:r>
          </w:p>
        </w:tc>
        <w:tc>
          <w:tcPr>
            <w:tcW w:w="718"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29,925</w:t>
            </w:r>
          </w:p>
        </w:tc>
        <w:tc>
          <w:tcPr>
            <w:tcW w:w="536" w:type="dxa"/>
            <w:tcBorders>
              <w:top w:val="nil"/>
              <w:left w:val="nil"/>
              <w:bottom w:val="nil"/>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42.9</w:t>
            </w:r>
          </w:p>
        </w:tc>
      </w:tr>
      <w:tr w:rsidR="00EB6B13" w:rsidRPr="00EB6B13" w:rsidTr="00EB6B13">
        <w:trPr>
          <w:divId w:val="1657495372"/>
          <w:trHeight w:val="510"/>
        </w:trPr>
        <w:tc>
          <w:tcPr>
            <w:tcW w:w="2258" w:type="dxa"/>
            <w:tcBorders>
              <w:top w:val="nil"/>
              <w:left w:val="single" w:sz="8" w:space="0" w:color="auto"/>
              <w:bottom w:val="single" w:sz="4" w:space="0" w:color="auto"/>
              <w:right w:val="nil"/>
            </w:tcBorders>
            <w:shd w:val="clear" w:color="auto" w:fill="auto"/>
            <w:noWrap/>
            <w:vAlign w:val="bottom"/>
            <w:hideMark/>
          </w:tcPr>
          <w:p w:rsidR="00EB6B13" w:rsidRPr="00EB6B13" w:rsidRDefault="00EB6B13" w:rsidP="00EB6B13">
            <w:pPr>
              <w:spacing w:after="0" w:line="240" w:lineRule="auto"/>
              <w:ind w:firstLineChars="200" w:firstLine="320"/>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Female</w:t>
            </w:r>
          </w:p>
        </w:tc>
        <w:tc>
          <w:tcPr>
            <w:tcW w:w="709" w:type="dxa"/>
            <w:tcBorders>
              <w:top w:val="nil"/>
              <w:left w:val="single" w:sz="4" w:space="0" w:color="auto"/>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2,865</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54.7</w:t>
            </w:r>
          </w:p>
        </w:tc>
        <w:tc>
          <w:tcPr>
            <w:tcW w:w="709"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12,825</w:t>
            </w:r>
          </w:p>
        </w:tc>
        <w:tc>
          <w:tcPr>
            <w:tcW w:w="567"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54.6</w:t>
            </w:r>
          </w:p>
        </w:tc>
        <w:tc>
          <w:tcPr>
            <w:tcW w:w="709" w:type="dxa"/>
            <w:tcBorders>
              <w:top w:val="nil"/>
              <w:left w:val="single" w:sz="4" w:space="0" w:color="auto"/>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28,676</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57.0</w:t>
            </w:r>
          </w:p>
        </w:tc>
        <w:tc>
          <w:tcPr>
            <w:tcW w:w="811"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29,811</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57.7</w:t>
            </w:r>
          </w:p>
        </w:tc>
        <w:tc>
          <w:tcPr>
            <w:tcW w:w="626"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2068</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63.5</w:t>
            </w:r>
          </w:p>
        </w:tc>
        <w:tc>
          <w:tcPr>
            <w:tcW w:w="718"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39,887</w:t>
            </w:r>
          </w:p>
        </w:tc>
        <w:tc>
          <w:tcPr>
            <w:tcW w:w="536" w:type="dxa"/>
            <w:tcBorders>
              <w:top w:val="nil"/>
              <w:left w:val="nil"/>
              <w:bottom w:val="nil"/>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57.1</w:t>
            </w:r>
          </w:p>
        </w:tc>
      </w:tr>
      <w:tr w:rsidR="00EB6B13" w:rsidRPr="00EB6B13" w:rsidTr="00EB6B13">
        <w:trPr>
          <w:divId w:val="1657495372"/>
          <w:trHeight w:val="480"/>
        </w:trPr>
        <w:tc>
          <w:tcPr>
            <w:tcW w:w="2258" w:type="dxa"/>
            <w:tcBorders>
              <w:top w:val="nil"/>
              <w:left w:val="single" w:sz="8" w:space="0" w:color="auto"/>
              <w:bottom w:val="single" w:sz="4" w:space="0" w:color="auto"/>
              <w:right w:val="nil"/>
            </w:tcBorders>
            <w:shd w:val="clear" w:color="auto" w:fill="auto"/>
            <w:vAlign w:val="center"/>
            <w:hideMark/>
          </w:tcPr>
          <w:p w:rsidR="00EB6B13" w:rsidRPr="00EB6B13" w:rsidRDefault="00EB6B13" w:rsidP="00EB6B13">
            <w:pPr>
              <w:spacing w:after="0" w:line="240" w:lineRule="auto"/>
              <w:rPr>
                <w:rFonts w:ascii="Calibri" w:eastAsia="Times New Roman" w:hAnsi="Calibri" w:cs="Times New Roman"/>
                <w:b/>
                <w:bCs/>
                <w:color w:val="000000"/>
                <w:sz w:val="16"/>
                <w:szCs w:val="18"/>
                <w:lang w:eastAsia="en-GB"/>
              </w:rPr>
            </w:pPr>
            <w:r w:rsidRPr="00EB6B13">
              <w:rPr>
                <w:rFonts w:ascii="Calibri" w:eastAsia="Times New Roman" w:hAnsi="Calibri" w:cs="Times New Roman"/>
                <w:b/>
                <w:bCs/>
                <w:color w:val="000000"/>
                <w:sz w:val="16"/>
                <w:szCs w:val="18"/>
                <w:lang w:eastAsia="en-GB"/>
              </w:rPr>
              <w:t xml:space="preserve">Age at switch, </w:t>
            </w:r>
            <w:r w:rsidRPr="00EB6B13">
              <w:rPr>
                <w:rFonts w:ascii="Calibri" w:eastAsia="Times New Roman" w:hAnsi="Calibri" w:cs="Times New Roman"/>
                <w:b/>
                <w:bCs/>
                <w:color w:val="000000"/>
                <w:sz w:val="16"/>
                <w:szCs w:val="18"/>
                <w:lang w:eastAsia="en-GB"/>
              </w:rPr>
              <w:br/>
              <w:t>years (median, IQR)</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68.2 (58-76)</w:t>
            </w:r>
          </w:p>
        </w:tc>
        <w:tc>
          <w:tcPr>
            <w:tcW w:w="1276" w:type="dxa"/>
            <w:gridSpan w:val="2"/>
            <w:tcBorders>
              <w:top w:val="single" w:sz="4" w:space="0" w:color="auto"/>
              <w:left w:val="nil"/>
              <w:bottom w:val="single" w:sz="4" w:space="0" w:color="auto"/>
              <w:right w:val="nil"/>
            </w:tcBorders>
            <w:shd w:val="clear" w:color="auto" w:fill="auto"/>
            <w:noWrap/>
            <w:vAlign w:val="center"/>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69.6 (62-77)</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63.6 (50-73)</w:t>
            </w:r>
          </w:p>
        </w:tc>
        <w:tc>
          <w:tcPr>
            <w:tcW w:w="134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63.4 (50-73)</w:t>
            </w:r>
          </w:p>
        </w:tc>
        <w:tc>
          <w:tcPr>
            <w:tcW w:w="11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67.0 (57-75)</w:t>
            </w:r>
          </w:p>
        </w:tc>
        <w:tc>
          <w:tcPr>
            <w:tcW w:w="1254" w:type="dxa"/>
            <w:gridSpan w:val="2"/>
            <w:tcBorders>
              <w:top w:val="single" w:sz="4" w:space="0" w:color="auto"/>
              <w:left w:val="nil"/>
              <w:bottom w:val="single" w:sz="4" w:space="0" w:color="auto"/>
              <w:right w:val="single" w:sz="8" w:space="0" w:color="000000"/>
            </w:tcBorders>
            <w:shd w:val="clear" w:color="auto" w:fill="auto"/>
            <w:noWrap/>
            <w:vAlign w:val="center"/>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62.7 (49-73)</w:t>
            </w:r>
          </w:p>
        </w:tc>
      </w:tr>
      <w:tr w:rsidR="00EB6B13" w:rsidRPr="00EB6B13" w:rsidTr="00EB6B13">
        <w:trPr>
          <w:divId w:val="1657495372"/>
          <w:trHeight w:val="300"/>
        </w:trPr>
        <w:tc>
          <w:tcPr>
            <w:tcW w:w="2258" w:type="dxa"/>
            <w:tcBorders>
              <w:top w:val="nil"/>
              <w:left w:val="single" w:sz="8" w:space="0" w:color="auto"/>
              <w:bottom w:val="nil"/>
              <w:right w:val="nil"/>
            </w:tcBorders>
            <w:shd w:val="clear" w:color="auto" w:fill="auto"/>
            <w:noWrap/>
            <w:vAlign w:val="bottom"/>
            <w:hideMark/>
          </w:tcPr>
          <w:p w:rsidR="00EB6B13" w:rsidRPr="00EB6B13" w:rsidRDefault="00EB6B13" w:rsidP="00EB6B13">
            <w:pPr>
              <w:spacing w:after="0" w:line="240" w:lineRule="auto"/>
              <w:rPr>
                <w:rFonts w:ascii="Calibri" w:eastAsia="Times New Roman" w:hAnsi="Calibri" w:cs="Times New Roman"/>
                <w:b/>
                <w:bCs/>
                <w:color w:val="000000"/>
                <w:sz w:val="16"/>
                <w:szCs w:val="18"/>
                <w:lang w:eastAsia="en-GB"/>
              </w:rPr>
            </w:pPr>
            <w:r w:rsidRPr="00EB6B13">
              <w:rPr>
                <w:rFonts w:ascii="Calibri" w:eastAsia="Times New Roman" w:hAnsi="Calibri" w:cs="Times New Roman"/>
                <w:b/>
                <w:bCs/>
                <w:color w:val="000000"/>
                <w:sz w:val="16"/>
                <w:szCs w:val="18"/>
                <w:lang w:eastAsia="en-GB"/>
              </w:rPr>
              <w:t xml:space="preserve">IMD </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709"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p>
        </w:tc>
        <w:tc>
          <w:tcPr>
            <w:tcW w:w="811"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626"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718"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36" w:type="dxa"/>
            <w:tcBorders>
              <w:top w:val="nil"/>
              <w:left w:val="nil"/>
              <w:bottom w:val="nil"/>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r>
      <w:tr w:rsidR="00EB6B13" w:rsidRPr="00EB6B13" w:rsidTr="00EB6B13">
        <w:trPr>
          <w:divId w:val="1657495372"/>
          <w:trHeight w:val="300"/>
        </w:trPr>
        <w:tc>
          <w:tcPr>
            <w:tcW w:w="2258" w:type="dxa"/>
            <w:tcBorders>
              <w:top w:val="nil"/>
              <w:left w:val="single" w:sz="8" w:space="0" w:color="auto"/>
              <w:bottom w:val="nil"/>
              <w:right w:val="nil"/>
            </w:tcBorders>
            <w:shd w:val="clear" w:color="auto" w:fill="auto"/>
            <w:noWrap/>
            <w:vAlign w:val="bottom"/>
            <w:hideMark/>
          </w:tcPr>
          <w:p w:rsidR="00EB6B13" w:rsidRPr="00EB6B13" w:rsidRDefault="00EB6B13" w:rsidP="00EB6B13">
            <w:pPr>
              <w:spacing w:after="0" w:line="240" w:lineRule="auto"/>
              <w:ind w:firstLineChars="200" w:firstLine="320"/>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 (least deprived)</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597</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11.4</w:t>
            </w:r>
          </w:p>
        </w:tc>
        <w:tc>
          <w:tcPr>
            <w:tcW w:w="709"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2,663</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11.3</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3,829</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13.6</w:t>
            </w:r>
          </w:p>
        </w:tc>
        <w:tc>
          <w:tcPr>
            <w:tcW w:w="811"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3,733</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13.3</w:t>
            </w:r>
          </w:p>
        </w:tc>
        <w:tc>
          <w:tcPr>
            <w:tcW w:w="626"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177</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10.2</w:t>
            </w:r>
          </w:p>
        </w:tc>
        <w:tc>
          <w:tcPr>
            <w:tcW w:w="718"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5,085</w:t>
            </w:r>
          </w:p>
        </w:tc>
        <w:tc>
          <w:tcPr>
            <w:tcW w:w="536" w:type="dxa"/>
            <w:tcBorders>
              <w:top w:val="nil"/>
              <w:left w:val="nil"/>
              <w:bottom w:val="nil"/>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13.5</w:t>
            </w:r>
          </w:p>
        </w:tc>
      </w:tr>
      <w:tr w:rsidR="00EB6B13" w:rsidRPr="00EB6B13" w:rsidTr="00EB6B13">
        <w:trPr>
          <w:divId w:val="1657495372"/>
          <w:trHeight w:val="300"/>
        </w:trPr>
        <w:tc>
          <w:tcPr>
            <w:tcW w:w="2258" w:type="dxa"/>
            <w:tcBorders>
              <w:top w:val="nil"/>
              <w:left w:val="single" w:sz="8" w:space="0" w:color="auto"/>
              <w:bottom w:val="nil"/>
              <w:right w:val="nil"/>
            </w:tcBorders>
            <w:shd w:val="clear" w:color="auto" w:fill="auto"/>
            <w:noWrap/>
            <w:vAlign w:val="bottom"/>
            <w:hideMark/>
          </w:tcPr>
          <w:p w:rsidR="00EB6B13" w:rsidRPr="00EB6B13" w:rsidRDefault="00EB6B13" w:rsidP="00EB6B13">
            <w:pPr>
              <w:spacing w:after="0" w:line="240" w:lineRule="auto"/>
              <w:ind w:firstLineChars="200" w:firstLine="320"/>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1,018</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19.4</w:t>
            </w:r>
          </w:p>
        </w:tc>
        <w:tc>
          <w:tcPr>
            <w:tcW w:w="709"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4,557</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19.4</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5,010</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17.8</w:t>
            </w:r>
          </w:p>
        </w:tc>
        <w:tc>
          <w:tcPr>
            <w:tcW w:w="811"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5,184</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18.5</w:t>
            </w:r>
          </w:p>
        </w:tc>
        <w:tc>
          <w:tcPr>
            <w:tcW w:w="626"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372</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21.4</w:t>
            </w:r>
          </w:p>
        </w:tc>
        <w:tc>
          <w:tcPr>
            <w:tcW w:w="718"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7,114</w:t>
            </w:r>
          </w:p>
        </w:tc>
        <w:tc>
          <w:tcPr>
            <w:tcW w:w="536" w:type="dxa"/>
            <w:tcBorders>
              <w:top w:val="nil"/>
              <w:left w:val="nil"/>
              <w:bottom w:val="nil"/>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18.9</w:t>
            </w:r>
          </w:p>
        </w:tc>
      </w:tr>
      <w:tr w:rsidR="00EB6B13" w:rsidRPr="00EB6B13" w:rsidTr="00EB6B13">
        <w:trPr>
          <w:divId w:val="1657495372"/>
          <w:trHeight w:val="300"/>
        </w:trPr>
        <w:tc>
          <w:tcPr>
            <w:tcW w:w="2258" w:type="dxa"/>
            <w:tcBorders>
              <w:top w:val="nil"/>
              <w:left w:val="single" w:sz="8" w:space="0" w:color="auto"/>
              <w:bottom w:val="nil"/>
              <w:right w:val="nil"/>
            </w:tcBorders>
            <w:shd w:val="clear" w:color="auto" w:fill="auto"/>
            <w:noWrap/>
            <w:vAlign w:val="bottom"/>
            <w:hideMark/>
          </w:tcPr>
          <w:p w:rsidR="00EB6B13" w:rsidRPr="00EB6B13" w:rsidRDefault="00EB6B13" w:rsidP="00EB6B13">
            <w:pPr>
              <w:spacing w:after="0" w:line="240" w:lineRule="auto"/>
              <w:ind w:firstLineChars="200" w:firstLine="320"/>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1,011</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19.3</w:t>
            </w:r>
          </w:p>
        </w:tc>
        <w:tc>
          <w:tcPr>
            <w:tcW w:w="709"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4,689</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20.0</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5,292</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18.8</w:t>
            </w:r>
          </w:p>
        </w:tc>
        <w:tc>
          <w:tcPr>
            <w:tcW w:w="811"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5,217</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18.6</w:t>
            </w:r>
          </w:p>
        </w:tc>
        <w:tc>
          <w:tcPr>
            <w:tcW w:w="626"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268</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15.4</w:t>
            </w:r>
          </w:p>
        </w:tc>
        <w:tc>
          <w:tcPr>
            <w:tcW w:w="718"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7,245</w:t>
            </w:r>
          </w:p>
        </w:tc>
        <w:tc>
          <w:tcPr>
            <w:tcW w:w="536" w:type="dxa"/>
            <w:tcBorders>
              <w:top w:val="nil"/>
              <w:left w:val="nil"/>
              <w:bottom w:val="nil"/>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19.2</w:t>
            </w:r>
          </w:p>
        </w:tc>
      </w:tr>
      <w:tr w:rsidR="00EB6B13" w:rsidRPr="00EB6B13" w:rsidTr="00EB6B13">
        <w:trPr>
          <w:divId w:val="1657495372"/>
          <w:trHeight w:val="300"/>
        </w:trPr>
        <w:tc>
          <w:tcPr>
            <w:tcW w:w="2258" w:type="dxa"/>
            <w:tcBorders>
              <w:top w:val="nil"/>
              <w:left w:val="single" w:sz="8" w:space="0" w:color="auto"/>
              <w:bottom w:val="nil"/>
              <w:right w:val="nil"/>
            </w:tcBorders>
            <w:shd w:val="clear" w:color="auto" w:fill="auto"/>
            <w:noWrap/>
            <w:vAlign w:val="bottom"/>
            <w:hideMark/>
          </w:tcPr>
          <w:p w:rsidR="00EB6B13" w:rsidRPr="00EB6B13" w:rsidRDefault="00EB6B13" w:rsidP="00EB6B13">
            <w:pPr>
              <w:spacing w:after="0" w:line="240" w:lineRule="auto"/>
              <w:ind w:firstLineChars="200" w:firstLine="320"/>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1,147</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21.9</w:t>
            </w:r>
          </w:p>
        </w:tc>
        <w:tc>
          <w:tcPr>
            <w:tcW w:w="709"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4,998</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21.3</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5,813</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20.7</w:t>
            </w:r>
          </w:p>
        </w:tc>
        <w:tc>
          <w:tcPr>
            <w:tcW w:w="811"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5,957</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21.2</w:t>
            </w:r>
          </w:p>
        </w:tc>
        <w:tc>
          <w:tcPr>
            <w:tcW w:w="626"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356</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20.4</w:t>
            </w:r>
          </w:p>
        </w:tc>
        <w:tc>
          <w:tcPr>
            <w:tcW w:w="718"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7,751</w:t>
            </w:r>
          </w:p>
        </w:tc>
        <w:tc>
          <w:tcPr>
            <w:tcW w:w="536" w:type="dxa"/>
            <w:tcBorders>
              <w:top w:val="nil"/>
              <w:left w:val="nil"/>
              <w:bottom w:val="nil"/>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20.5</w:t>
            </w:r>
          </w:p>
        </w:tc>
      </w:tr>
      <w:tr w:rsidR="00EB6B13" w:rsidRPr="00EB6B13" w:rsidTr="00EB6B13">
        <w:trPr>
          <w:divId w:val="1657495372"/>
          <w:trHeight w:val="300"/>
        </w:trPr>
        <w:tc>
          <w:tcPr>
            <w:tcW w:w="2258" w:type="dxa"/>
            <w:tcBorders>
              <w:top w:val="nil"/>
              <w:left w:val="single" w:sz="8" w:space="0" w:color="auto"/>
              <w:bottom w:val="nil"/>
              <w:right w:val="nil"/>
            </w:tcBorders>
            <w:shd w:val="clear" w:color="auto" w:fill="auto"/>
            <w:noWrap/>
            <w:vAlign w:val="bottom"/>
            <w:hideMark/>
          </w:tcPr>
          <w:p w:rsidR="00EB6B13" w:rsidRPr="00EB6B13" w:rsidRDefault="00EB6B13" w:rsidP="00EB6B13">
            <w:pPr>
              <w:spacing w:after="0" w:line="240" w:lineRule="auto"/>
              <w:ind w:firstLineChars="200" w:firstLine="320"/>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1,469</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28.0</w:t>
            </w:r>
          </w:p>
        </w:tc>
        <w:tc>
          <w:tcPr>
            <w:tcW w:w="709"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6,581</w:t>
            </w:r>
          </w:p>
        </w:tc>
        <w:tc>
          <w:tcPr>
            <w:tcW w:w="567"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28.0</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8,158</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29.0</w:t>
            </w:r>
          </w:p>
        </w:tc>
        <w:tc>
          <w:tcPr>
            <w:tcW w:w="811"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7,987</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28.4</w:t>
            </w:r>
          </w:p>
        </w:tc>
        <w:tc>
          <w:tcPr>
            <w:tcW w:w="626"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569</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32.7</w:t>
            </w:r>
          </w:p>
        </w:tc>
        <w:tc>
          <w:tcPr>
            <w:tcW w:w="718"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10,544</w:t>
            </w:r>
          </w:p>
        </w:tc>
        <w:tc>
          <w:tcPr>
            <w:tcW w:w="536" w:type="dxa"/>
            <w:tcBorders>
              <w:top w:val="nil"/>
              <w:left w:val="nil"/>
              <w:bottom w:val="nil"/>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27.9</w:t>
            </w:r>
          </w:p>
        </w:tc>
      </w:tr>
      <w:tr w:rsidR="00EB6B13" w:rsidRPr="00EB6B13" w:rsidTr="00EB6B13">
        <w:trPr>
          <w:divId w:val="1657495372"/>
          <w:trHeight w:val="300"/>
        </w:trPr>
        <w:tc>
          <w:tcPr>
            <w:tcW w:w="2258" w:type="dxa"/>
            <w:tcBorders>
              <w:top w:val="single" w:sz="4" w:space="0" w:color="auto"/>
              <w:left w:val="single" w:sz="8" w:space="0" w:color="auto"/>
              <w:bottom w:val="nil"/>
              <w:right w:val="nil"/>
            </w:tcBorders>
            <w:shd w:val="clear" w:color="auto" w:fill="auto"/>
            <w:noWrap/>
            <w:vAlign w:val="bottom"/>
            <w:hideMark/>
          </w:tcPr>
          <w:p w:rsidR="00EB6B13" w:rsidRPr="00EB6B13" w:rsidRDefault="00EB6B13" w:rsidP="00EB6B13">
            <w:pPr>
              <w:spacing w:after="0" w:line="240" w:lineRule="auto"/>
              <w:rPr>
                <w:rFonts w:ascii="Calibri" w:eastAsia="Times New Roman" w:hAnsi="Calibri" w:cs="Times New Roman"/>
                <w:b/>
                <w:bCs/>
                <w:color w:val="000000"/>
                <w:sz w:val="16"/>
                <w:szCs w:val="18"/>
                <w:lang w:eastAsia="en-GB"/>
              </w:rPr>
            </w:pPr>
            <w:r w:rsidRPr="00EB6B13">
              <w:rPr>
                <w:rFonts w:ascii="Calibri" w:eastAsia="Times New Roman" w:hAnsi="Calibri" w:cs="Times New Roman"/>
                <w:b/>
                <w:bCs/>
                <w:color w:val="000000"/>
                <w:sz w:val="16"/>
                <w:szCs w:val="18"/>
                <w:lang w:eastAsia="en-GB"/>
              </w:rPr>
              <w:t>Smoking</w:t>
            </w:r>
          </w:p>
        </w:tc>
        <w:tc>
          <w:tcPr>
            <w:tcW w:w="709" w:type="dxa"/>
            <w:tcBorders>
              <w:top w:val="single" w:sz="4" w:space="0" w:color="auto"/>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67" w:type="dxa"/>
            <w:tcBorders>
              <w:top w:val="single" w:sz="4" w:space="0" w:color="auto"/>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709" w:type="dxa"/>
            <w:tcBorders>
              <w:top w:val="single" w:sz="4" w:space="0" w:color="auto"/>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709" w:type="dxa"/>
            <w:tcBorders>
              <w:top w:val="single" w:sz="4" w:space="0" w:color="auto"/>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67" w:type="dxa"/>
            <w:tcBorders>
              <w:top w:val="single" w:sz="4" w:space="0" w:color="auto"/>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811" w:type="dxa"/>
            <w:tcBorders>
              <w:top w:val="single" w:sz="4" w:space="0" w:color="auto"/>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36" w:type="dxa"/>
            <w:tcBorders>
              <w:top w:val="single" w:sz="4" w:space="0" w:color="auto"/>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626" w:type="dxa"/>
            <w:tcBorders>
              <w:top w:val="single" w:sz="4" w:space="0" w:color="auto"/>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36" w:type="dxa"/>
            <w:tcBorders>
              <w:top w:val="single" w:sz="4" w:space="0" w:color="auto"/>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718" w:type="dxa"/>
            <w:tcBorders>
              <w:top w:val="single" w:sz="4" w:space="0" w:color="auto"/>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36" w:type="dxa"/>
            <w:tcBorders>
              <w:top w:val="single" w:sz="4" w:space="0" w:color="auto"/>
              <w:left w:val="nil"/>
              <w:bottom w:val="nil"/>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r>
      <w:tr w:rsidR="00EB6B13" w:rsidRPr="00EB6B13" w:rsidTr="00EB6B13">
        <w:trPr>
          <w:divId w:val="1657495372"/>
          <w:trHeight w:val="300"/>
        </w:trPr>
        <w:tc>
          <w:tcPr>
            <w:tcW w:w="2258" w:type="dxa"/>
            <w:tcBorders>
              <w:top w:val="nil"/>
              <w:left w:val="single" w:sz="8" w:space="0" w:color="auto"/>
              <w:bottom w:val="nil"/>
              <w:right w:val="nil"/>
            </w:tcBorders>
            <w:shd w:val="clear" w:color="auto" w:fill="auto"/>
            <w:noWrap/>
            <w:vAlign w:val="bottom"/>
            <w:hideMark/>
          </w:tcPr>
          <w:p w:rsidR="00EB6B13" w:rsidRPr="00EB6B13" w:rsidRDefault="00EB6B13" w:rsidP="00EB6B13">
            <w:pPr>
              <w:spacing w:after="0" w:line="240" w:lineRule="auto"/>
              <w:ind w:firstLineChars="200" w:firstLine="320"/>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Never</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1,281</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24.4</w:t>
            </w:r>
          </w:p>
        </w:tc>
        <w:tc>
          <w:tcPr>
            <w:tcW w:w="709"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6,104</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26.0</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10,923</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21.7</w:t>
            </w:r>
          </w:p>
        </w:tc>
        <w:tc>
          <w:tcPr>
            <w:tcW w:w="811"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11,860</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23.0</w:t>
            </w:r>
          </w:p>
        </w:tc>
        <w:tc>
          <w:tcPr>
            <w:tcW w:w="626"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686</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21.1</w:t>
            </w:r>
          </w:p>
        </w:tc>
        <w:tc>
          <w:tcPr>
            <w:tcW w:w="718"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16,264</w:t>
            </w:r>
          </w:p>
        </w:tc>
        <w:tc>
          <w:tcPr>
            <w:tcW w:w="536" w:type="dxa"/>
            <w:tcBorders>
              <w:top w:val="nil"/>
              <w:left w:val="nil"/>
              <w:bottom w:val="nil"/>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23.3</w:t>
            </w:r>
          </w:p>
        </w:tc>
      </w:tr>
      <w:tr w:rsidR="00EB6B13" w:rsidRPr="00EB6B13" w:rsidTr="00EB6B13">
        <w:trPr>
          <w:divId w:val="1657495372"/>
          <w:trHeight w:val="315"/>
        </w:trPr>
        <w:tc>
          <w:tcPr>
            <w:tcW w:w="2258" w:type="dxa"/>
            <w:tcBorders>
              <w:top w:val="nil"/>
              <w:left w:val="single" w:sz="8" w:space="0" w:color="auto"/>
              <w:bottom w:val="nil"/>
              <w:right w:val="nil"/>
            </w:tcBorders>
            <w:shd w:val="clear" w:color="auto" w:fill="auto"/>
            <w:noWrap/>
            <w:vAlign w:val="bottom"/>
            <w:hideMark/>
          </w:tcPr>
          <w:p w:rsidR="00EB6B13" w:rsidRPr="00EB6B13" w:rsidRDefault="00EB6B13" w:rsidP="00EB6B13">
            <w:pPr>
              <w:spacing w:after="0" w:line="240" w:lineRule="auto"/>
              <w:ind w:firstLineChars="200" w:firstLine="320"/>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Ex-smoker</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2,678</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51.1</w:t>
            </w:r>
          </w:p>
        </w:tc>
        <w:tc>
          <w:tcPr>
            <w:tcW w:w="709"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5,916</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25.2</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14,382</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28.6</w:t>
            </w:r>
          </w:p>
        </w:tc>
        <w:tc>
          <w:tcPr>
            <w:tcW w:w="811"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14,219</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27.5</w:t>
            </w:r>
          </w:p>
        </w:tc>
        <w:tc>
          <w:tcPr>
            <w:tcW w:w="626"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884</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27.1</w:t>
            </w:r>
          </w:p>
        </w:tc>
        <w:tc>
          <w:tcPr>
            <w:tcW w:w="718"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19,288</w:t>
            </w:r>
          </w:p>
        </w:tc>
        <w:tc>
          <w:tcPr>
            <w:tcW w:w="536" w:type="dxa"/>
            <w:tcBorders>
              <w:top w:val="nil"/>
              <w:left w:val="nil"/>
              <w:bottom w:val="nil"/>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27.6</w:t>
            </w:r>
          </w:p>
        </w:tc>
      </w:tr>
      <w:tr w:rsidR="00EB6B13" w:rsidRPr="00EB6B13" w:rsidTr="00EB6B13">
        <w:trPr>
          <w:divId w:val="1657495372"/>
          <w:trHeight w:val="300"/>
        </w:trPr>
        <w:tc>
          <w:tcPr>
            <w:tcW w:w="2258" w:type="dxa"/>
            <w:tcBorders>
              <w:top w:val="nil"/>
              <w:left w:val="single" w:sz="8" w:space="0" w:color="auto"/>
              <w:bottom w:val="single" w:sz="4" w:space="0" w:color="auto"/>
              <w:right w:val="nil"/>
            </w:tcBorders>
            <w:shd w:val="clear" w:color="auto" w:fill="auto"/>
            <w:noWrap/>
            <w:vAlign w:val="bottom"/>
            <w:hideMark/>
          </w:tcPr>
          <w:p w:rsidR="00EB6B13" w:rsidRPr="00EB6B13" w:rsidRDefault="00EB6B13" w:rsidP="00EB6B13">
            <w:pPr>
              <w:spacing w:after="0" w:line="240" w:lineRule="auto"/>
              <w:ind w:firstLineChars="200" w:firstLine="320"/>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Current</w:t>
            </w:r>
          </w:p>
        </w:tc>
        <w:tc>
          <w:tcPr>
            <w:tcW w:w="709" w:type="dxa"/>
            <w:tcBorders>
              <w:top w:val="nil"/>
              <w:left w:val="single" w:sz="4" w:space="0" w:color="auto"/>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1,283</w:t>
            </w:r>
          </w:p>
        </w:tc>
        <w:tc>
          <w:tcPr>
            <w:tcW w:w="567" w:type="dxa"/>
            <w:tcBorders>
              <w:top w:val="nil"/>
              <w:left w:val="nil"/>
              <w:bottom w:val="single" w:sz="4"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24.5</w:t>
            </w:r>
          </w:p>
        </w:tc>
        <w:tc>
          <w:tcPr>
            <w:tcW w:w="709"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11,468</w:t>
            </w:r>
          </w:p>
        </w:tc>
        <w:tc>
          <w:tcPr>
            <w:tcW w:w="567"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48.8</w:t>
            </w:r>
          </w:p>
        </w:tc>
        <w:tc>
          <w:tcPr>
            <w:tcW w:w="709" w:type="dxa"/>
            <w:tcBorders>
              <w:top w:val="nil"/>
              <w:left w:val="single" w:sz="4" w:space="0" w:color="auto"/>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24,984</w:t>
            </w:r>
          </w:p>
        </w:tc>
        <w:tc>
          <w:tcPr>
            <w:tcW w:w="567" w:type="dxa"/>
            <w:tcBorders>
              <w:top w:val="nil"/>
              <w:left w:val="nil"/>
              <w:bottom w:val="single" w:sz="4"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49.7</w:t>
            </w:r>
          </w:p>
        </w:tc>
        <w:tc>
          <w:tcPr>
            <w:tcW w:w="811"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25,580</w:t>
            </w:r>
          </w:p>
        </w:tc>
        <w:tc>
          <w:tcPr>
            <w:tcW w:w="536" w:type="dxa"/>
            <w:tcBorders>
              <w:top w:val="nil"/>
              <w:left w:val="nil"/>
              <w:bottom w:val="single" w:sz="4"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49.5</w:t>
            </w:r>
          </w:p>
        </w:tc>
        <w:tc>
          <w:tcPr>
            <w:tcW w:w="626"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1,688</w:t>
            </w:r>
          </w:p>
        </w:tc>
        <w:tc>
          <w:tcPr>
            <w:tcW w:w="536" w:type="dxa"/>
            <w:tcBorders>
              <w:top w:val="nil"/>
              <w:left w:val="nil"/>
              <w:bottom w:val="single" w:sz="4"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51.8</w:t>
            </w:r>
          </w:p>
        </w:tc>
        <w:tc>
          <w:tcPr>
            <w:tcW w:w="718"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34,260</w:t>
            </w:r>
          </w:p>
        </w:tc>
        <w:tc>
          <w:tcPr>
            <w:tcW w:w="536" w:type="dxa"/>
            <w:tcBorders>
              <w:top w:val="nil"/>
              <w:left w:val="nil"/>
              <w:bottom w:val="nil"/>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49.1</w:t>
            </w:r>
          </w:p>
        </w:tc>
      </w:tr>
      <w:tr w:rsidR="00EB6B13" w:rsidRPr="00EB6B13" w:rsidTr="00EB6B13">
        <w:trPr>
          <w:divId w:val="1657495372"/>
          <w:trHeight w:val="300"/>
        </w:trPr>
        <w:tc>
          <w:tcPr>
            <w:tcW w:w="2258" w:type="dxa"/>
            <w:tcBorders>
              <w:top w:val="nil"/>
              <w:left w:val="single" w:sz="8" w:space="0" w:color="auto"/>
              <w:bottom w:val="nil"/>
              <w:right w:val="nil"/>
            </w:tcBorders>
            <w:shd w:val="clear" w:color="auto" w:fill="auto"/>
            <w:noWrap/>
            <w:vAlign w:val="bottom"/>
            <w:hideMark/>
          </w:tcPr>
          <w:p w:rsidR="00EB6B13" w:rsidRPr="00EB6B13" w:rsidRDefault="00EB6B13" w:rsidP="00EB6B13">
            <w:pPr>
              <w:spacing w:after="0" w:line="240" w:lineRule="auto"/>
              <w:rPr>
                <w:rFonts w:ascii="Calibri" w:eastAsia="Times New Roman" w:hAnsi="Calibri" w:cs="Times New Roman"/>
                <w:b/>
                <w:bCs/>
                <w:color w:val="000000"/>
                <w:sz w:val="16"/>
                <w:szCs w:val="18"/>
                <w:lang w:eastAsia="en-GB"/>
              </w:rPr>
            </w:pPr>
            <w:r w:rsidRPr="00EB6B13">
              <w:rPr>
                <w:rFonts w:ascii="Calibri" w:eastAsia="Times New Roman" w:hAnsi="Calibri" w:cs="Times New Roman"/>
                <w:b/>
                <w:bCs/>
                <w:color w:val="000000"/>
                <w:sz w:val="16"/>
                <w:szCs w:val="18"/>
                <w:lang w:eastAsia="en-GB"/>
              </w:rPr>
              <w:t xml:space="preserve">COPD, inhaler use pre-switch </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rPr>
                <w:rFonts w:ascii="Calibri" w:eastAsia="Times New Roman" w:hAnsi="Calibri" w:cs="Times New Roman"/>
                <w:b/>
                <w:bCs/>
                <w:color w:val="000000"/>
                <w:sz w:val="16"/>
                <w:szCs w:val="18"/>
                <w:lang w:eastAsia="en-GB"/>
              </w:rPr>
            </w:pPr>
            <w:r w:rsidRPr="00EB6B13">
              <w:rPr>
                <w:rFonts w:ascii="Calibri" w:eastAsia="Times New Roman" w:hAnsi="Calibri" w:cs="Times New Roman"/>
                <w:b/>
                <w:bCs/>
                <w:color w:val="000000"/>
                <w:sz w:val="16"/>
                <w:szCs w:val="18"/>
                <w:lang w:eastAsia="en-GB"/>
              </w:rPr>
              <w:t> </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709"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p>
        </w:tc>
        <w:tc>
          <w:tcPr>
            <w:tcW w:w="811"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626"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718"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36" w:type="dxa"/>
            <w:tcBorders>
              <w:top w:val="single" w:sz="4" w:space="0" w:color="auto"/>
              <w:left w:val="nil"/>
              <w:bottom w:val="nil"/>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r>
      <w:tr w:rsidR="00EB6B13" w:rsidRPr="00EB6B13" w:rsidTr="00EB6B13">
        <w:trPr>
          <w:divId w:val="1657495372"/>
          <w:trHeight w:val="300"/>
        </w:trPr>
        <w:tc>
          <w:tcPr>
            <w:tcW w:w="2258" w:type="dxa"/>
            <w:tcBorders>
              <w:top w:val="nil"/>
              <w:left w:val="single" w:sz="8" w:space="0" w:color="auto"/>
              <w:bottom w:val="nil"/>
              <w:right w:val="nil"/>
            </w:tcBorders>
            <w:shd w:val="clear" w:color="auto" w:fill="auto"/>
            <w:noWrap/>
            <w:vAlign w:val="bottom"/>
            <w:hideMark/>
          </w:tcPr>
          <w:p w:rsidR="00EB6B13" w:rsidRPr="00EB6B13" w:rsidRDefault="00EB6B13" w:rsidP="00EB6B13">
            <w:pPr>
              <w:spacing w:after="0" w:line="240" w:lineRule="auto"/>
              <w:ind w:firstLineChars="200" w:firstLine="320"/>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ICS alone</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119</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11.8</w:t>
            </w:r>
          </w:p>
        </w:tc>
        <w:tc>
          <w:tcPr>
            <w:tcW w:w="709"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764</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14.4</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822</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12.4</w:t>
            </w:r>
          </w:p>
        </w:tc>
        <w:tc>
          <w:tcPr>
            <w:tcW w:w="811"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748</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11.8</w:t>
            </w:r>
          </w:p>
        </w:tc>
        <w:tc>
          <w:tcPr>
            <w:tcW w:w="626"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41</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9.4</w:t>
            </w:r>
          </w:p>
        </w:tc>
        <w:tc>
          <w:tcPr>
            <w:tcW w:w="718"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1,291</w:t>
            </w:r>
          </w:p>
        </w:tc>
        <w:tc>
          <w:tcPr>
            <w:tcW w:w="536" w:type="dxa"/>
            <w:tcBorders>
              <w:top w:val="nil"/>
              <w:left w:val="nil"/>
              <w:bottom w:val="nil"/>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13.0</w:t>
            </w:r>
          </w:p>
        </w:tc>
      </w:tr>
      <w:tr w:rsidR="00EB6B13" w:rsidRPr="00EB6B13" w:rsidTr="00EB6B13">
        <w:trPr>
          <w:divId w:val="1657495372"/>
          <w:trHeight w:val="300"/>
        </w:trPr>
        <w:tc>
          <w:tcPr>
            <w:tcW w:w="2258" w:type="dxa"/>
            <w:tcBorders>
              <w:top w:val="nil"/>
              <w:left w:val="single" w:sz="8" w:space="0" w:color="auto"/>
              <w:bottom w:val="nil"/>
              <w:right w:val="nil"/>
            </w:tcBorders>
            <w:shd w:val="clear" w:color="auto" w:fill="auto"/>
            <w:noWrap/>
            <w:vAlign w:val="bottom"/>
            <w:hideMark/>
          </w:tcPr>
          <w:p w:rsidR="00EB6B13" w:rsidRPr="00EB6B13" w:rsidRDefault="00EB6B13" w:rsidP="00EB6B13">
            <w:pPr>
              <w:spacing w:after="0" w:line="240" w:lineRule="auto"/>
              <w:ind w:firstLineChars="200" w:firstLine="320"/>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LABA alone</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23</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2.3</w:t>
            </w:r>
          </w:p>
        </w:tc>
        <w:tc>
          <w:tcPr>
            <w:tcW w:w="709"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91</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1.7</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117</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1.8</w:t>
            </w:r>
          </w:p>
        </w:tc>
        <w:tc>
          <w:tcPr>
            <w:tcW w:w="811"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103</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1.6</w:t>
            </w:r>
          </w:p>
        </w:tc>
        <w:tc>
          <w:tcPr>
            <w:tcW w:w="626"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0.7</w:t>
            </w:r>
          </w:p>
        </w:tc>
        <w:tc>
          <w:tcPr>
            <w:tcW w:w="718"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180</w:t>
            </w:r>
          </w:p>
        </w:tc>
        <w:tc>
          <w:tcPr>
            <w:tcW w:w="536" w:type="dxa"/>
            <w:tcBorders>
              <w:top w:val="nil"/>
              <w:left w:val="nil"/>
              <w:bottom w:val="nil"/>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1.8</w:t>
            </w:r>
          </w:p>
        </w:tc>
      </w:tr>
      <w:tr w:rsidR="00EB6B13" w:rsidRPr="00EB6B13" w:rsidTr="00EB6B13">
        <w:trPr>
          <w:divId w:val="1657495372"/>
          <w:trHeight w:val="300"/>
        </w:trPr>
        <w:tc>
          <w:tcPr>
            <w:tcW w:w="2258" w:type="dxa"/>
            <w:tcBorders>
              <w:top w:val="nil"/>
              <w:left w:val="single" w:sz="8" w:space="0" w:color="auto"/>
              <w:bottom w:val="nil"/>
              <w:right w:val="nil"/>
            </w:tcBorders>
            <w:shd w:val="clear" w:color="auto" w:fill="auto"/>
            <w:noWrap/>
            <w:vAlign w:val="bottom"/>
            <w:hideMark/>
          </w:tcPr>
          <w:p w:rsidR="00EB6B13" w:rsidRPr="00EB6B13" w:rsidRDefault="00EB6B13" w:rsidP="00EB6B13">
            <w:pPr>
              <w:spacing w:after="0" w:line="240" w:lineRule="auto"/>
              <w:ind w:firstLineChars="200" w:firstLine="320"/>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LAMA alone</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63</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6.2</w:t>
            </w:r>
          </w:p>
        </w:tc>
        <w:tc>
          <w:tcPr>
            <w:tcW w:w="709"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481</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9.1</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537</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8.1</w:t>
            </w:r>
          </w:p>
        </w:tc>
        <w:tc>
          <w:tcPr>
            <w:tcW w:w="811"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515</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8.1</w:t>
            </w:r>
          </w:p>
        </w:tc>
        <w:tc>
          <w:tcPr>
            <w:tcW w:w="626"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23</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5.3</w:t>
            </w:r>
          </w:p>
        </w:tc>
        <w:tc>
          <w:tcPr>
            <w:tcW w:w="718"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971</w:t>
            </w:r>
          </w:p>
        </w:tc>
        <w:tc>
          <w:tcPr>
            <w:tcW w:w="536" w:type="dxa"/>
            <w:tcBorders>
              <w:top w:val="nil"/>
              <w:left w:val="nil"/>
              <w:bottom w:val="nil"/>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9.8</w:t>
            </w:r>
          </w:p>
        </w:tc>
      </w:tr>
      <w:tr w:rsidR="00EB6B13" w:rsidRPr="00EB6B13" w:rsidTr="00EB6B13">
        <w:trPr>
          <w:divId w:val="1657495372"/>
          <w:trHeight w:val="300"/>
        </w:trPr>
        <w:tc>
          <w:tcPr>
            <w:tcW w:w="2258" w:type="dxa"/>
            <w:tcBorders>
              <w:top w:val="nil"/>
              <w:left w:val="single" w:sz="8" w:space="0" w:color="auto"/>
              <w:bottom w:val="nil"/>
              <w:right w:val="nil"/>
            </w:tcBorders>
            <w:shd w:val="clear" w:color="auto" w:fill="auto"/>
            <w:noWrap/>
            <w:vAlign w:val="bottom"/>
            <w:hideMark/>
          </w:tcPr>
          <w:p w:rsidR="00EB6B13" w:rsidRPr="00EB6B13" w:rsidRDefault="00EB6B13" w:rsidP="00EB6B13">
            <w:pPr>
              <w:spacing w:after="0" w:line="240" w:lineRule="auto"/>
              <w:ind w:firstLineChars="200" w:firstLine="320"/>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LABA &amp; ICS</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219</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21.7</w:t>
            </w:r>
          </w:p>
        </w:tc>
        <w:tc>
          <w:tcPr>
            <w:tcW w:w="709"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1,165</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22.0</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1,382</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20.8</w:t>
            </w:r>
          </w:p>
        </w:tc>
        <w:tc>
          <w:tcPr>
            <w:tcW w:w="811"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1,296</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20.4</w:t>
            </w:r>
          </w:p>
        </w:tc>
        <w:tc>
          <w:tcPr>
            <w:tcW w:w="626"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90</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20.6</w:t>
            </w:r>
          </w:p>
        </w:tc>
        <w:tc>
          <w:tcPr>
            <w:tcW w:w="718"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2,029</w:t>
            </w:r>
          </w:p>
        </w:tc>
        <w:tc>
          <w:tcPr>
            <w:tcW w:w="536" w:type="dxa"/>
            <w:tcBorders>
              <w:top w:val="nil"/>
              <w:left w:val="nil"/>
              <w:bottom w:val="nil"/>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20.5</w:t>
            </w:r>
          </w:p>
        </w:tc>
      </w:tr>
      <w:tr w:rsidR="00EB6B13" w:rsidRPr="00EB6B13" w:rsidTr="00EB6B13">
        <w:trPr>
          <w:divId w:val="1657495372"/>
          <w:trHeight w:val="300"/>
        </w:trPr>
        <w:tc>
          <w:tcPr>
            <w:tcW w:w="2258" w:type="dxa"/>
            <w:tcBorders>
              <w:top w:val="nil"/>
              <w:left w:val="single" w:sz="8" w:space="0" w:color="auto"/>
              <w:bottom w:val="nil"/>
              <w:right w:val="nil"/>
            </w:tcBorders>
            <w:shd w:val="clear" w:color="auto" w:fill="auto"/>
            <w:noWrap/>
            <w:vAlign w:val="bottom"/>
            <w:hideMark/>
          </w:tcPr>
          <w:p w:rsidR="00EB6B13" w:rsidRPr="00EB6B13" w:rsidRDefault="00EB6B13" w:rsidP="00EB6B13">
            <w:pPr>
              <w:spacing w:after="0" w:line="240" w:lineRule="auto"/>
              <w:ind w:firstLineChars="200" w:firstLine="320"/>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LABA &amp; LAMA</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17</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1.7</w:t>
            </w:r>
          </w:p>
        </w:tc>
        <w:tc>
          <w:tcPr>
            <w:tcW w:w="709"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137</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2.6</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164</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2.5</w:t>
            </w:r>
          </w:p>
        </w:tc>
        <w:tc>
          <w:tcPr>
            <w:tcW w:w="811"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162</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2.6</w:t>
            </w:r>
          </w:p>
        </w:tc>
        <w:tc>
          <w:tcPr>
            <w:tcW w:w="626"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12</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2.7</w:t>
            </w:r>
          </w:p>
        </w:tc>
        <w:tc>
          <w:tcPr>
            <w:tcW w:w="718"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259</w:t>
            </w:r>
          </w:p>
        </w:tc>
        <w:tc>
          <w:tcPr>
            <w:tcW w:w="536" w:type="dxa"/>
            <w:tcBorders>
              <w:top w:val="nil"/>
              <w:left w:val="nil"/>
              <w:bottom w:val="nil"/>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2.6</w:t>
            </w:r>
          </w:p>
        </w:tc>
      </w:tr>
      <w:tr w:rsidR="00EB6B13" w:rsidRPr="00EB6B13" w:rsidTr="00EB6B13">
        <w:trPr>
          <w:divId w:val="1657495372"/>
          <w:trHeight w:val="300"/>
        </w:trPr>
        <w:tc>
          <w:tcPr>
            <w:tcW w:w="2258" w:type="dxa"/>
            <w:tcBorders>
              <w:top w:val="nil"/>
              <w:left w:val="single" w:sz="8" w:space="0" w:color="auto"/>
              <w:bottom w:val="nil"/>
              <w:right w:val="nil"/>
            </w:tcBorders>
            <w:shd w:val="clear" w:color="auto" w:fill="auto"/>
            <w:noWrap/>
            <w:vAlign w:val="bottom"/>
            <w:hideMark/>
          </w:tcPr>
          <w:p w:rsidR="00EB6B13" w:rsidRPr="00EB6B13" w:rsidRDefault="00EB6B13" w:rsidP="00EB6B13">
            <w:pPr>
              <w:spacing w:after="0" w:line="240" w:lineRule="auto"/>
              <w:ind w:firstLineChars="200" w:firstLine="320"/>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LAMA &amp; ICS</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41</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4.1</w:t>
            </w:r>
          </w:p>
        </w:tc>
        <w:tc>
          <w:tcPr>
            <w:tcW w:w="709"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1,165</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22.0</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267</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4.0</w:t>
            </w:r>
          </w:p>
        </w:tc>
        <w:tc>
          <w:tcPr>
            <w:tcW w:w="811"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264</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4.2</w:t>
            </w:r>
          </w:p>
        </w:tc>
        <w:tc>
          <w:tcPr>
            <w:tcW w:w="626"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25</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5.7</w:t>
            </w:r>
          </w:p>
        </w:tc>
        <w:tc>
          <w:tcPr>
            <w:tcW w:w="718"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363</w:t>
            </w:r>
          </w:p>
        </w:tc>
        <w:tc>
          <w:tcPr>
            <w:tcW w:w="536" w:type="dxa"/>
            <w:tcBorders>
              <w:top w:val="nil"/>
              <w:left w:val="nil"/>
              <w:bottom w:val="nil"/>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3.7</w:t>
            </w:r>
          </w:p>
        </w:tc>
      </w:tr>
      <w:tr w:rsidR="00EB6B13" w:rsidRPr="00EB6B13" w:rsidTr="00EB6B13">
        <w:trPr>
          <w:divId w:val="1657495372"/>
          <w:trHeight w:val="300"/>
        </w:trPr>
        <w:tc>
          <w:tcPr>
            <w:tcW w:w="2258" w:type="dxa"/>
            <w:tcBorders>
              <w:top w:val="nil"/>
              <w:left w:val="single" w:sz="8" w:space="0" w:color="auto"/>
              <w:bottom w:val="single" w:sz="4" w:space="0" w:color="auto"/>
              <w:right w:val="nil"/>
            </w:tcBorders>
            <w:shd w:val="clear" w:color="auto" w:fill="auto"/>
            <w:noWrap/>
            <w:vAlign w:val="bottom"/>
            <w:hideMark/>
          </w:tcPr>
          <w:p w:rsidR="00EB6B13" w:rsidRPr="00EB6B13" w:rsidRDefault="00EB6B13" w:rsidP="00EB6B13">
            <w:pPr>
              <w:spacing w:after="0" w:line="240" w:lineRule="auto"/>
              <w:ind w:firstLineChars="200" w:firstLine="320"/>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Triple therapy</w:t>
            </w:r>
          </w:p>
        </w:tc>
        <w:tc>
          <w:tcPr>
            <w:tcW w:w="709" w:type="dxa"/>
            <w:tcBorders>
              <w:top w:val="nil"/>
              <w:left w:val="single" w:sz="4" w:space="0" w:color="auto"/>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528</w:t>
            </w:r>
          </w:p>
        </w:tc>
        <w:tc>
          <w:tcPr>
            <w:tcW w:w="567" w:type="dxa"/>
            <w:tcBorders>
              <w:top w:val="nil"/>
              <w:left w:val="nil"/>
              <w:bottom w:val="single" w:sz="4"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52.3</w:t>
            </w:r>
          </w:p>
        </w:tc>
        <w:tc>
          <w:tcPr>
            <w:tcW w:w="709"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2,464</w:t>
            </w:r>
          </w:p>
        </w:tc>
        <w:tc>
          <w:tcPr>
            <w:tcW w:w="567"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46.5</w:t>
            </w:r>
          </w:p>
        </w:tc>
        <w:tc>
          <w:tcPr>
            <w:tcW w:w="709" w:type="dxa"/>
            <w:tcBorders>
              <w:top w:val="nil"/>
              <w:left w:val="single" w:sz="4" w:space="0" w:color="auto"/>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3,347</w:t>
            </w:r>
          </w:p>
        </w:tc>
        <w:tc>
          <w:tcPr>
            <w:tcW w:w="567" w:type="dxa"/>
            <w:tcBorders>
              <w:top w:val="nil"/>
              <w:left w:val="nil"/>
              <w:bottom w:val="single" w:sz="4"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50.4</w:t>
            </w:r>
          </w:p>
        </w:tc>
        <w:tc>
          <w:tcPr>
            <w:tcW w:w="811"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3,253</w:t>
            </w:r>
          </w:p>
        </w:tc>
        <w:tc>
          <w:tcPr>
            <w:tcW w:w="536" w:type="dxa"/>
            <w:tcBorders>
              <w:top w:val="nil"/>
              <w:left w:val="nil"/>
              <w:bottom w:val="single" w:sz="4"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51.3</w:t>
            </w:r>
          </w:p>
        </w:tc>
        <w:tc>
          <w:tcPr>
            <w:tcW w:w="626"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243</w:t>
            </w:r>
          </w:p>
        </w:tc>
        <w:tc>
          <w:tcPr>
            <w:tcW w:w="536" w:type="dxa"/>
            <w:tcBorders>
              <w:top w:val="nil"/>
              <w:left w:val="nil"/>
              <w:bottom w:val="single" w:sz="4"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55.6</w:t>
            </w:r>
          </w:p>
        </w:tc>
        <w:tc>
          <w:tcPr>
            <w:tcW w:w="718"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4,810</w:t>
            </w:r>
          </w:p>
        </w:tc>
        <w:tc>
          <w:tcPr>
            <w:tcW w:w="536" w:type="dxa"/>
            <w:tcBorders>
              <w:top w:val="nil"/>
              <w:left w:val="nil"/>
              <w:bottom w:val="single" w:sz="4" w:space="0" w:color="auto"/>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48.6</w:t>
            </w:r>
          </w:p>
        </w:tc>
      </w:tr>
      <w:tr w:rsidR="00EB6B13" w:rsidRPr="00EB6B13" w:rsidTr="00EB6B13">
        <w:trPr>
          <w:divId w:val="1657495372"/>
          <w:trHeight w:val="300"/>
        </w:trPr>
        <w:tc>
          <w:tcPr>
            <w:tcW w:w="2258" w:type="dxa"/>
            <w:tcBorders>
              <w:top w:val="nil"/>
              <w:left w:val="single" w:sz="8" w:space="0" w:color="auto"/>
              <w:bottom w:val="nil"/>
              <w:right w:val="nil"/>
            </w:tcBorders>
            <w:shd w:val="clear" w:color="auto" w:fill="auto"/>
            <w:noWrap/>
            <w:vAlign w:val="bottom"/>
            <w:hideMark/>
          </w:tcPr>
          <w:p w:rsidR="00EB6B13" w:rsidRPr="00EB6B13" w:rsidRDefault="00EB6B13" w:rsidP="00EB6B13">
            <w:pPr>
              <w:spacing w:after="0" w:line="240" w:lineRule="auto"/>
              <w:rPr>
                <w:rFonts w:ascii="Calibri" w:eastAsia="Times New Roman" w:hAnsi="Calibri" w:cs="Times New Roman"/>
                <w:b/>
                <w:bCs/>
                <w:color w:val="000000"/>
                <w:sz w:val="16"/>
                <w:szCs w:val="18"/>
                <w:lang w:eastAsia="en-GB"/>
              </w:rPr>
            </w:pPr>
            <w:r w:rsidRPr="00EB6B13">
              <w:rPr>
                <w:rFonts w:ascii="Calibri" w:eastAsia="Times New Roman" w:hAnsi="Calibri" w:cs="Times New Roman"/>
                <w:b/>
                <w:bCs/>
                <w:color w:val="000000"/>
                <w:sz w:val="16"/>
                <w:szCs w:val="18"/>
                <w:lang w:eastAsia="en-GB"/>
              </w:rPr>
              <w:t xml:space="preserve">Asthma, inhaler use pre-switch </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rPr>
                <w:rFonts w:ascii="Calibri" w:eastAsia="Times New Roman" w:hAnsi="Calibri" w:cs="Times New Roman"/>
                <w:b/>
                <w:bCs/>
                <w:color w:val="000000"/>
                <w:sz w:val="16"/>
                <w:szCs w:val="18"/>
                <w:lang w:eastAsia="en-GB"/>
              </w:rPr>
            </w:pPr>
            <w:r w:rsidRPr="00EB6B13">
              <w:rPr>
                <w:rFonts w:ascii="Calibri" w:eastAsia="Times New Roman" w:hAnsi="Calibri" w:cs="Times New Roman"/>
                <w:b/>
                <w:bCs/>
                <w:color w:val="000000"/>
                <w:sz w:val="16"/>
                <w:szCs w:val="18"/>
                <w:lang w:eastAsia="en-GB"/>
              </w:rPr>
              <w:t> </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709"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rPr>
                <w:rFonts w:ascii="Calibri" w:eastAsia="Times New Roman" w:hAnsi="Calibri" w:cs="Times New Roman"/>
                <w:color w:val="000000"/>
                <w:sz w:val="16"/>
                <w:szCs w:val="18"/>
                <w:lang w:eastAsia="en-GB"/>
              </w:rPr>
            </w:pP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811"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626"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718"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36" w:type="dxa"/>
            <w:tcBorders>
              <w:top w:val="nil"/>
              <w:left w:val="nil"/>
              <w:bottom w:val="nil"/>
              <w:right w:val="single" w:sz="8" w:space="0" w:color="auto"/>
            </w:tcBorders>
            <w:shd w:val="clear" w:color="auto" w:fill="auto"/>
            <w:noWrap/>
            <w:vAlign w:val="bottom"/>
            <w:hideMark/>
          </w:tcPr>
          <w:p w:rsidR="00EB6B13" w:rsidRPr="00EB6B13" w:rsidRDefault="00EB6B13" w:rsidP="00EB6B13">
            <w:pPr>
              <w:spacing w:after="0" w:line="240" w:lineRule="auto"/>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r>
      <w:tr w:rsidR="00EB6B13" w:rsidRPr="00EB6B13" w:rsidTr="00EB6B13">
        <w:trPr>
          <w:divId w:val="1657495372"/>
          <w:trHeight w:val="300"/>
        </w:trPr>
        <w:tc>
          <w:tcPr>
            <w:tcW w:w="2258" w:type="dxa"/>
            <w:tcBorders>
              <w:top w:val="nil"/>
              <w:left w:val="single" w:sz="8" w:space="0" w:color="auto"/>
              <w:bottom w:val="nil"/>
              <w:right w:val="nil"/>
            </w:tcBorders>
            <w:shd w:val="clear" w:color="auto" w:fill="auto"/>
            <w:noWrap/>
            <w:vAlign w:val="bottom"/>
            <w:hideMark/>
          </w:tcPr>
          <w:p w:rsidR="00EB6B13" w:rsidRPr="00EB6B13" w:rsidRDefault="00EB6B13" w:rsidP="00EB6B13">
            <w:pPr>
              <w:spacing w:after="0" w:line="240" w:lineRule="auto"/>
              <w:ind w:firstLineChars="200" w:firstLine="320"/>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ICS only</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1,374</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32.5</w:t>
            </w:r>
          </w:p>
        </w:tc>
        <w:tc>
          <w:tcPr>
            <w:tcW w:w="709"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6,466</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35.6</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16,069</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36.8</w:t>
            </w:r>
          </w:p>
        </w:tc>
        <w:tc>
          <w:tcPr>
            <w:tcW w:w="811"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16,473</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36.3</w:t>
            </w:r>
          </w:p>
        </w:tc>
        <w:tc>
          <w:tcPr>
            <w:tcW w:w="626"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829</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29.4</w:t>
            </w:r>
          </w:p>
        </w:tc>
        <w:tc>
          <w:tcPr>
            <w:tcW w:w="718"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21,847</w:t>
            </w:r>
          </w:p>
        </w:tc>
        <w:tc>
          <w:tcPr>
            <w:tcW w:w="536" w:type="dxa"/>
            <w:tcBorders>
              <w:top w:val="nil"/>
              <w:left w:val="nil"/>
              <w:bottom w:val="nil"/>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31.3</w:t>
            </w:r>
          </w:p>
        </w:tc>
      </w:tr>
      <w:tr w:rsidR="00EB6B13" w:rsidRPr="00EB6B13" w:rsidTr="00EB6B13">
        <w:trPr>
          <w:divId w:val="1657495372"/>
          <w:trHeight w:val="300"/>
        </w:trPr>
        <w:tc>
          <w:tcPr>
            <w:tcW w:w="2258" w:type="dxa"/>
            <w:tcBorders>
              <w:top w:val="nil"/>
              <w:left w:val="single" w:sz="8" w:space="0" w:color="auto"/>
              <w:bottom w:val="nil"/>
              <w:right w:val="nil"/>
            </w:tcBorders>
            <w:shd w:val="clear" w:color="auto" w:fill="auto"/>
            <w:noWrap/>
            <w:vAlign w:val="bottom"/>
            <w:hideMark/>
          </w:tcPr>
          <w:p w:rsidR="00EB6B13" w:rsidRPr="00EB6B13" w:rsidRDefault="00EB6B13" w:rsidP="00EB6B13">
            <w:pPr>
              <w:spacing w:after="0" w:line="240" w:lineRule="auto"/>
              <w:ind w:firstLineChars="200" w:firstLine="320"/>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ICS &amp; LABA</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1,710</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40.4</w:t>
            </w:r>
          </w:p>
        </w:tc>
        <w:tc>
          <w:tcPr>
            <w:tcW w:w="709"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6,946</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38.2</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17,992</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41.2</w:t>
            </w:r>
          </w:p>
        </w:tc>
        <w:tc>
          <w:tcPr>
            <w:tcW w:w="811"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18,997</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41.9</w:t>
            </w:r>
          </w:p>
        </w:tc>
        <w:tc>
          <w:tcPr>
            <w:tcW w:w="626"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1157</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41.0</w:t>
            </w:r>
          </w:p>
        </w:tc>
        <w:tc>
          <w:tcPr>
            <w:tcW w:w="718"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25,519</w:t>
            </w:r>
          </w:p>
        </w:tc>
        <w:tc>
          <w:tcPr>
            <w:tcW w:w="536" w:type="dxa"/>
            <w:tcBorders>
              <w:top w:val="nil"/>
              <w:left w:val="nil"/>
              <w:bottom w:val="nil"/>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36.6</w:t>
            </w:r>
          </w:p>
        </w:tc>
      </w:tr>
      <w:tr w:rsidR="00EB6B13" w:rsidRPr="00EB6B13" w:rsidTr="00EB6B13">
        <w:trPr>
          <w:divId w:val="1657495372"/>
          <w:trHeight w:val="300"/>
        </w:trPr>
        <w:tc>
          <w:tcPr>
            <w:tcW w:w="2258" w:type="dxa"/>
            <w:tcBorders>
              <w:top w:val="nil"/>
              <w:left w:val="single" w:sz="8" w:space="0" w:color="auto"/>
              <w:bottom w:val="nil"/>
              <w:right w:val="nil"/>
            </w:tcBorders>
            <w:shd w:val="clear" w:color="auto" w:fill="auto"/>
            <w:noWrap/>
            <w:vAlign w:val="bottom"/>
            <w:hideMark/>
          </w:tcPr>
          <w:p w:rsidR="00EB6B13" w:rsidRPr="00EB6B13" w:rsidRDefault="00EB6B13" w:rsidP="00EB6B13">
            <w:pPr>
              <w:spacing w:after="0" w:line="240" w:lineRule="auto"/>
              <w:ind w:firstLineChars="200" w:firstLine="320"/>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ICS &amp; LABA &amp; Add on*</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1,020</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24.1</w:t>
            </w:r>
          </w:p>
        </w:tc>
        <w:tc>
          <w:tcPr>
            <w:tcW w:w="709"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4,264</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23.4</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8,615</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19.7</w:t>
            </w:r>
          </w:p>
        </w:tc>
        <w:tc>
          <w:tcPr>
            <w:tcW w:w="811"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8,856</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19.5</w:t>
            </w:r>
          </w:p>
        </w:tc>
        <w:tc>
          <w:tcPr>
            <w:tcW w:w="626"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770</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27.3</w:t>
            </w:r>
          </w:p>
        </w:tc>
        <w:tc>
          <w:tcPr>
            <w:tcW w:w="718"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11,335</w:t>
            </w:r>
          </w:p>
        </w:tc>
        <w:tc>
          <w:tcPr>
            <w:tcW w:w="536" w:type="dxa"/>
            <w:tcBorders>
              <w:top w:val="nil"/>
              <w:left w:val="nil"/>
              <w:bottom w:val="nil"/>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16.2</w:t>
            </w:r>
          </w:p>
        </w:tc>
      </w:tr>
      <w:tr w:rsidR="00EB6B13" w:rsidRPr="00EB6B13" w:rsidTr="00EB6B13">
        <w:trPr>
          <w:divId w:val="1657495372"/>
          <w:trHeight w:val="300"/>
        </w:trPr>
        <w:tc>
          <w:tcPr>
            <w:tcW w:w="2258" w:type="dxa"/>
            <w:tcBorders>
              <w:top w:val="nil"/>
              <w:left w:val="single" w:sz="8" w:space="0" w:color="auto"/>
              <w:bottom w:val="single" w:sz="4" w:space="0" w:color="auto"/>
              <w:right w:val="nil"/>
            </w:tcBorders>
            <w:shd w:val="clear" w:color="auto" w:fill="auto"/>
            <w:noWrap/>
            <w:vAlign w:val="bottom"/>
            <w:hideMark/>
          </w:tcPr>
          <w:p w:rsidR="00EB6B13" w:rsidRPr="00EB6B13" w:rsidRDefault="00EB6B13" w:rsidP="00EB6B13">
            <w:pPr>
              <w:spacing w:after="0" w:line="240" w:lineRule="auto"/>
              <w:ind w:firstLineChars="200" w:firstLine="320"/>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Non-guideline treatment</w:t>
            </w:r>
          </w:p>
        </w:tc>
        <w:tc>
          <w:tcPr>
            <w:tcW w:w="709" w:type="dxa"/>
            <w:tcBorders>
              <w:top w:val="nil"/>
              <w:left w:val="single" w:sz="4" w:space="0" w:color="auto"/>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128</w:t>
            </w:r>
          </w:p>
        </w:tc>
        <w:tc>
          <w:tcPr>
            <w:tcW w:w="567" w:type="dxa"/>
            <w:tcBorders>
              <w:top w:val="nil"/>
              <w:left w:val="nil"/>
              <w:bottom w:val="single" w:sz="4"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3.0</w:t>
            </w:r>
          </w:p>
        </w:tc>
        <w:tc>
          <w:tcPr>
            <w:tcW w:w="709"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509</w:t>
            </w:r>
          </w:p>
        </w:tc>
        <w:tc>
          <w:tcPr>
            <w:tcW w:w="567"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2.8</w:t>
            </w:r>
          </w:p>
        </w:tc>
        <w:tc>
          <w:tcPr>
            <w:tcW w:w="709" w:type="dxa"/>
            <w:tcBorders>
              <w:top w:val="nil"/>
              <w:left w:val="single" w:sz="4" w:space="0" w:color="auto"/>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977</w:t>
            </w:r>
          </w:p>
        </w:tc>
        <w:tc>
          <w:tcPr>
            <w:tcW w:w="567" w:type="dxa"/>
            <w:tcBorders>
              <w:top w:val="nil"/>
              <w:left w:val="nil"/>
              <w:bottom w:val="single" w:sz="4"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2.2</w:t>
            </w:r>
          </w:p>
        </w:tc>
        <w:tc>
          <w:tcPr>
            <w:tcW w:w="811"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992</w:t>
            </w:r>
          </w:p>
        </w:tc>
        <w:tc>
          <w:tcPr>
            <w:tcW w:w="536" w:type="dxa"/>
            <w:tcBorders>
              <w:top w:val="nil"/>
              <w:left w:val="nil"/>
              <w:bottom w:val="single" w:sz="4"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2.2</w:t>
            </w:r>
          </w:p>
        </w:tc>
        <w:tc>
          <w:tcPr>
            <w:tcW w:w="626"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65</w:t>
            </w:r>
          </w:p>
        </w:tc>
        <w:tc>
          <w:tcPr>
            <w:tcW w:w="536" w:type="dxa"/>
            <w:tcBorders>
              <w:top w:val="nil"/>
              <w:left w:val="nil"/>
              <w:bottom w:val="single" w:sz="4"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2.3</w:t>
            </w:r>
          </w:p>
        </w:tc>
        <w:tc>
          <w:tcPr>
            <w:tcW w:w="718"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1,208</w:t>
            </w:r>
          </w:p>
        </w:tc>
        <w:tc>
          <w:tcPr>
            <w:tcW w:w="536" w:type="dxa"/>
            <w:tcBorders>
              <w:top w:val="nil"/>
              <w:left w:val="nil"/>
              <w:bottom w:val="single" w:sz="4" w:space="0" w:color="auto"/>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1.7</w:t>
            </w:r>
          </w:p>
        </w:tc>
      </w:tr>
      <w:tr w:rsidR="00EB6B13" w:rsidRPr="00EB6B13" w:rsidTr="00EB6B13">
        <w:trPr>
          <w:divId w:val="1657495372"/>
          <w:trHeight w:val="300"/>
        </w:trPr>
        <w:tc>
          <w:tcPr>
            <w:tcW w:w="2258" w:type="dxa"/>
            <w:tcBorders>
              <w:top w:val="nil"/>
              <w:left w:val="single" w:sz="8" w:space="0" w:color="auto"/>
              <w:bottom w:val="nil"/>
              <w:right w:val="nil"/>
            </w:tcBorders>
            <w:shd w:val="clear" w:color="auto" w:fill="auto"/>
            <w:noWrap/>
            <w:vAlign w:val="bottom"/>
            <w:hideMark/>
          </w:tcPr>
          <w:p w:rsidR="00EB6B13" w:rsidRPr="00EB6B13" w:rsidRDefault="00EB6B13" w:rsidP="00EB6B13">
            <w:pPr>
              <w:spacing w:after="0" w:line="240" w:lineRule="auto"/>
              <w:rPr>
                <w:rFonts w:ascii="Calibri" w:eastAsia="Times New Roman" w:hAnsi="Calibri" w:cs="Times New Roman"/>
                <w:b/>
                <w:bCs/>
                <w:color w:val="000000"/>
                <w:sz w:val="18"/>
                <w:szCs w:val="18"/>
                <w:lang w:eastAsia="en-GB"/>
              </w:rPr>
            </w:pPr>
            <w:r w:rsidRPr="00EB6B13">
              <w:rPr>
                <w:rFonts w:ascii="Calibri" w:eastAsia="Times New Roman" w:hAnsi="Calibri" w:cs="Times New Roman"/>
                <w:b/>
                <w:bCs/>
                <w:color w:val="000000"/>
                <w:sz w:val="16"/>
                <w:szCs w:val="18"/>
                <w:lang w:eastAsia="en-GB"/>
              </w:rPr>
              <w:t>Inhaler technique checked^</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rPr>
                <w:rFonts w:ascii="Calibri" w:eastAsia="Times New Roman" w:hAnsi="Calibri" w:cs="Times New Roman"/>
                <w:b/>
                <w:bCs/>
                <w:color w:val="000000"/>
                <w:sz w:val="16"/>
                <w:szCs w:val="18"/>
                <w:lang w:eastAsia="en-GB"/>
              </w:rPr>
            </w:pPr>
            <w:r w:rsidRPr="00EB6B13">
              <w:rPr>
                <w:rFonts w:ascii="Calibri" w:eastAsia="Times New Roman" w:hAnsi="Calibri" w:cs="Times New Roman"/>
                <w:b/>
                <w:bCs/>
                <w:color w:val="000000"/>
                <w:sz w:val="16"/>
                <w:szCs w:val="18"/>
                <w:lang w:eastAsia="en-GB"/>
              </w:rPr>
              <w:t> </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709"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p>
        </w:tc>
        <w:tc>
          <w:tcPr>
            <w:tcW w:w="811"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626"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718"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36" w:type="dxa"/>
            <w:tcBorders>
              <w:top w:val="nil"/>
              <w:left w:val="nil"/>
              <w:bottom w:val="nil"/>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r>
      <w:tr w:rsidR="00EB6B13" w:rsidRPr="00EB6B13" w:rsidTr="00EB6B13">
        <w:trPr>
          <w:divId w:val="1657495372"/>
          <w:trHeight w:val="300"/>
        </w:trPr>
        <w:tc>
          <w:tcPr>
            <w:tcW w:w="2258" w:type="dxa"/>
            <w:tcBorders>
              <w:top w:val="nil"/>
              <w:left w:val="single" w:sz="8" w:space="0" w:color="auto"/>
              <w:bottom w:val="nil"/>
              <w:right w:val="nil"/>
            </w:tcBorders>
            <w:shd w:val="clear" w:color="auto" w:fill="auto"/>
            <w:noWrap/>
            <w:vAlign w:val="bottom"/>
            <w:hideMark/>
          </w:tcPr>
          <w:p w:rsidR="00EB6B13" w:rsidRPr="00EB6B13" w:rsidRDefault="00EB6B13" w:rsidP="00EB6B13">
            <w:pPr>
              <w:spacing w:after="0" w:line="240" w:lineRule="auto"/>
              <w:ind w:firstLineChars="200" w:firstLine="320"/>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Yes</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2,003</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38.2</w:t>
            </w:r>
          </w:p>
        </w:tc>
        <w:tc>
          <w:tcPr>
            <w:tcW w:w="709"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7,867</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33.5</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19,010</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37.8</w:t>
            </w:r>
          </w:p>
        </w:tc>
        <w:tc>
          <w:tcPr>
            <w:tcW w:w="811"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21,341</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41.3</w:t>
            </w:r>
          </w:p>
        </w:tc>
        <w:tc>
          <w:tcPr>
            <w:tcW w:w="626"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1369</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42.0</w:t>
            </w:r>
          </w:p>
        </w:tc>
        <w:tc>
          <w:tcPr>
            <w:tcW w:w="718"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25,025</w:t>
            </w:r>
          </w:p>
        </w:tc>
        <w:tc>
          <w:tcPr>
            <w:tcW w:w="536" w:type="dxa"/>
            <w:tcBorders>
              <w:top w:val="nil"/>
              <w:left w:val="nil"/>
              <w:bottom w:val="nil"/>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35.8</w:t>
            </w:r>
          </w:p>
        </w:tc>
      </w:tr>
      <w:tr w:rsidR="00EB6B13" w:rsidRPr="00EB6B13" w:rsidTr="00EB6B13">
        <w:trPr>
          <w:divId w:val="1657495372"/>
          <w:trHeight w:val="300"/>
        </w:trPr>
        <w:tc>
          <w:tcPr>
            <w:tcW w:w="2258" w:type="dxa"/>
            <w:tcBorders>
              <w:top w:val="nil"/>
              <w:left w:val="single" w:sz="8" w:space="0" w:color="auto"/>
              <w:bottom w:val="single" w:sz="4" w:space="0" w:color="auto"/>
              <w:right w:val="nil"/>
            </w:tcBorders>
            <w:shd w:val="clear" w:color="auto" w:fill="auto"/>
            <w:noWrap/>
            <w:vAlign w:val="bottom"/>
            <w:hideMark/>
          </w:tcPr>
          <w:p w:rsidR="00EB6B13" w:rsidRPr="00EB6B13" w:rsidRDefault="00EB6B13" w:rsidP="00EB6B13">
            <w:pPr>
              <w:spacing w:after="0" w:line="240" w:lineRule="auto"/>
              <w:ind w:firstLineChars="200" w:firstLine="320"/>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No</w:t>
            </w:r>
          </w:p>
        </w:tc>
        <w:tc>
          <w:tcPr>
            <w:tcW w:w="709" w:type="dxa"/>
            <w:tcBorders>
              <w:top w:val="nil"/>
              <w:left w:val="single" w:sz="4" w:space="0" w:color="auto"/>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3,239</w:t>
            </w:r>
          </w:p>
        </w:tc>
        <w:tc>
          <w:tcPr>
            <w:tcW w:w="567" w:type="dxa"/>
            <w:tcBorders>
              <w:top w:val="nil"/>
              <w:left w:val="nil"/>
              <w:bottom w:val="single" w:sz="4"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61.8</w:t>
            </w:r>
          </w:p>
        </w:tc>
        <w:tc>
          <w:tcPr>
            <w:tcW w:w="709"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15,621</w:t>
            </w:r>
          </w:p>
        </w:tc>
        <w:tc>
          <w:tcPr>
            <w:tcW w:w="567"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66.5</w:t>
            </w:r>
          </w:p>
        </w:tc>
        <w:tc>
          <w:tcPr>
            <w:tcW w:w="709" w:type="dxa"/>
            <w:tcBorders>
              <w:top w:val="nil"/>
              <w:left w:val="single" w:sz="4" w:space="0" w:color="auto"/>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31,279</w:t>
            </w:r>
          </w:p>
        </w:tc>
        <w:tc>
          <w:tcPr>
            <w:tcW w:w="567" w:type="dxa"/>
            <w:tcBorders>
              <w:top w:val="nil"/>
              <w:left w:val="nil"/>
              <w:bottom w:val="single" w:sz="4"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62.2</w:t>
            </w:r>
          </w:p>
        </w:tc>
        <w:tc>
          <w:tcPr>
            <w:tcW w:w="811"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30,318</w:t>
            </w:r>
          </w:p>
        </w:tc>
        <w:tc>
          <w:tcPr>
            <w:tcW w:w="536" w:type="dxa"/>
            <w:tcBorders>
              <w:top w:val="nil"/>
              <w:left w:val="nil"/>
              <w:bottom w:val="single" w:sz="4"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58.7</w:t>
            </w:r>
          </w:p>
        </w:tc>
        <w:tc>
          <w:tcPr>
            <w:tcW w:w="626"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1889</w:t>
            </w:r>
          </w:p>
        </w:tc>
        <w:tc>
          <w:tcPr>
            <w:tcW w:w="536" w:type="dxa"/>
            <w:tcBorders>
              <w:top w:val="nil"/>
              <w:left w:val="nil"/>
              <w:bottom w:val="single" w:sz="4"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58.0</w:t>
            </w:r>
          </w:p>
        </w:tc>
        <w:tc>
          <w:tcPr>
            <w:tcW w:w="718"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44,787</w:t>
            </w:r>
          </w:p>
        </w:tc>
        <w:tc>
          <w:tcPr>
            <w:tcW w:w="536" w:type="dxa"/>
            <w:tcBorders>
              <w:top w:val="nil"/>
              <w:left w:val="nil"/>
              <w:bottom w:val="single" w:sz="4" w:space="0" w:color="auto"/>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64.2</w:t>
            </w:r>
          </w:p>
        </w:tc>
      </w:tr>
      <w:tr w:rsidR="00EB6B13" w:rsidRPr="00EB6B13" w:rsidTr="00EB6B13">
        <w:trPr>
          <w:divId w:val="1657495372"/>
          <w:trHeight w:val="300"/>
        </w:trPr>
        <w:tc>
          <w:tcPr>
            <w:tcW w:w="2258" w:type="dxa"/>
            <w:tcBorders>
              <w:top w:val="nil"/>
              <w:left w:val="single" w:sz="8" w:space="0" w:color="auto"/>
              <w:bottom w:val="nil"/>
              <w:right w:val="nil"/>
            </w:tcBorders>
            <w:shd w:val="clear" w:color="auto" w:fill="auto"/>
            <w:noWrap/>
            <w:vAlign w:val="bottom"/>
            <w:hideMark/>
          </w:tcPr>
          <w:p w:rsidR="00EB6B13" w:rsidRPr="00EB6B13" w:rsidRDefault="00EB6B13" w:rsidP="00EB6B13">
            <w:pPr>
              <w:spacing w:after="0" w:line="240" w:lineRule="auto"/>
              <w:rPr>
                <w:rFonts w:ascii="Calibri" w:eastAsia="Times New Roman" w:hAnsi="Calibri" w:cs="Times New Roman"/>
                <w:b/>
                <w:bCs/>
                <w:color w:val="000000"/>
                <w:sz w:val="18"/>
                <w:szCs w:val="18"/>
                <w:lang w:eastAsia="en-GB"/>
              </w:rPr>
            </w:pPr>
            <w:r w:rsidRPr="00EB6B13">
              <w:rPr>
                <w:rFonts w:ascii="Calibri" w:eastAsia="Times New Roman" w:hAnsi="Calibri" w:cs="Times New Roman"/>
                <w:b/>
                <w:bCs/>
                <w:color w:val="000000"/>
                <w:sz w:val="16"/>
                <w:szCs w:val="18"/>
                <w:lang w:eastAsia="en-GB"/>
              </w:rPr>
              <w:t>Adverse medication events^</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rPr>
                <w:rFonts w:ascii="Calibri" w:eastAsia="Times New Roman" w:hAnsi="Calibri" w:cs="Times New Roman"/>
                <w:b/>
                <w:bCs/>
                <w:color w:val="000000"/>
                <w:sz w:val="16"/>
                <w:szCs w:val="18"/>
                <w:lang w:eastAsia="en-GB"/>
              </w:rPr>
            </w:pPr>
            <w:r w:rsidRPr="00EB6B13">
              <w:rPr>
                <w:rFonts w:ascii="Calibri" w:eastAsia="Times New Roman" w:hAnsi="Calibri" w:cs="Times New Roman"/>
                <w:b/>
                <w:bCs/>
                <w:color w:val="000000"/>
                <w:sz w:val="16"/>
                <w:szCs w:val="18"/>
                <w:lang w:eastAsia="en-GB"/>
              </w:rPr>
              <w:t> </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709"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p>
        </w:tc>
        <w:tc>
          <w:tcPr>
            <w:tcW w:w="811"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626"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718"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36" w:type="dxa"/>
            <w:tcBorders>
              <w:top w:val="nil"/>
              <w:left w:val="nil"/>
              <w:bottom w:val="nil"/>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r>
      <w:tr w:rsidR="00EB6B13" w:rsidRPr="00EB6B13" w:rsidTr="00EB6B13">
        <w:trPr>
          <w:divId w:val="1657495372"/>
          <w:trHeight w:val="315"/>
        </w:trPr>
        <w:tc>
          <w:tcPr>
            <w:tcW w:w="2258" w:type="dxa"/>
            <w:tcBorders>
              <w:top w:val="nil"/>
              <w:left w:val="single" w:sz="8" w:space="0" w:color="auto"/>
              <w:bottom w:val="nil"/>
              <w:right w:val="nil"/>
            </w:tcBorders>
            <w:shd w:val="clear" w:color="auto" w:fill="auto"/>
            <w:noWrap/>
            <w:vAlign w:val="bottom"/>
            <w:hideMark/>
          </w:tcPr>
          <w:p w:rsidR="00EB6B13" w:rsidRPr="00EB6B13" w:rsidRDefault="00EB6B13" w:rsidP="00EB6B13">
            <w:pPr>
              <w:spacing w:after="0" w:line="240" w:lineRule="auto"/>
              <w:ind w:firstLineChars="200" w:firstLine="320"/>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Yes</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135</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2.6</w:t>
            </w:r>
          </w:p>
        </w:tc>
        <w:tc>
          <w:tcPr>
            <w:tcW w:w="709"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676</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2.9</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1,335</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2.7</w:t>
            </w:r>
          </w:p>
        </w:tc>
        <w:tc>
          <w:tcPr>
            <w:tcW w:w="811"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1,567</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3.0</w:t>
            </w:r>
          </w:p>
        </w:tc>
        <w:tc>
          <w:tcPr>
            <w:tcW w:w="626"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1435</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44.0</w:t>
            </w:r>
          </w:p>
        </w:tc>
        <w:tc>
          <w:tcPr>
            <w:tcW w:w="718"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1,975</w:t>
            </w:r>
          </w:p>
        </w:tc>
        <w:tc>
          <w:tcPr>
            <w:tcW w:w="536" w:type="dxa"/>
            <w:tcBorders>
              <w:top w:val="nil"/>
              <w:left w:val="nil"/>
              <w:bottom w:val="nil"/>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2.8</w:t>
            </w:r>
          </w:p>
        </w:tc>
      </w:tr>
      <w:tr w:rsidR="00EB6B13" w:rsidRPr="00EB6B13" w:rsidTr="00EB6B13">
        <w:trPr>
          <w:divId w:val="1657495372"/>
          <w:trHeight w:val="315"/>
        </w:trPr>
        <w:tc>
          <w:tcPr>
            <w:tcW w:w="2258" w:type="dxa"/>
            <w:tcBorders>
              <w:top w:val="nil"/>
              <w:left w:val="single" w:sz="8" w:space="0" w:color="auto"/>
              <w:bottom w:val="single" w:sz="8" w:space="0" w:color="auto"/>
              <w:right w:val="nil"/>
            </w:tcBorders>
            <w:shd w:val="clear" w:color="auto" w:fill="auto"/>
            <w:noWrap/>
            <w:vAlign w:val="bottom"/>
            <w:hideMark/>
          </w:tcPr>
          <w:p w:rsidR="00EB6B13" w:rsidRPr="00EB6B13" w:rsidRDefault="00EB6B13" w:rsidP="00EB6B13">
            <w:pPr>
              <w:spacing w:after="0" w:line="240" w:lineRule="auto"/>
              <w:ind w:firstLineChars="200" w:firstLine="320"/>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lastRenderedPageBreak/>
              <w:t>No</w:t>
            </w:r>
          </w:p>
        </w:tc>
        <w:tc>
          <w:tcPr>
            <w:tcW w:w="709" w:type="dxa"/>
            <w:tcBorders>
              <w:top w:val="nil"/>
              <w:left w:val="single" w:sz="4" w:space="0" w:color="auto"/>
              <w:bottom w:val="single" w:sz="8"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5,107</w:t>
            </w:r>
          </w:p>
        </w:tc>
        <w:tc>
          <w:tcPr>
            <w:tcW w:w="567" w:type="dxa"/>
            <w:tcBorders>
              <w:top w:val="nil"/>
              <w:left w:val="nil"/>
              <w:bottom w:val="single" w:sz="8"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97.4</w:t>
            </w:r>
          </w:p>
        </w:tc>
        <w:tc>
          <w:tcPr>
            <w:tcW w:w="709" w:type="dxa"/>
            <w:tcBorders>
              <w:top w:val="nil"/>
              <w:left w:val="nil"/>
              <w:bottom w:val="single" w:sz="8"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22,812</w:t>
            </w:r>
          </w:p>
        </w:tc>
        <w:tc>
          <w:tcPr>
            <w:tcW w:w="567" w:type="dxa"/>
            <w:tcBorders>
              <w:top w:val="nil"/>
              <w:left w:val="nil"/>
              <w:bottom w:val="single" w:sz="8"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97.1</w:t>
            </w:r>
          </w:p>
        </w:tc>
        <w:tc>
          <w:tcPr>
            <w:tcW w:w="709" w:type="dxa"/>
            <w:tcBorders>
              <w:top w:val="nil"/>
              <w:left w:val="single" w:sz="4" w:space="0" w:color="auto"/>
              <w:bottom w:val="single" w:sz="8"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48,954</w:t>
            </w:r>
          </w:p>
        </w:tc>
        <w:tc>
          <w:tcPr>
            <w:tcW w:w="567" w:type="dxa"/>
            <w:tcBorders>
              <w:top w:val="nil"/>
              <w:left w:val="nil"/>
              <w:bottom w:val="single" w:sz="8"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97.3</w:t>
            </w:r>
          </w:p>
        </w:tc>
        <w:tc>
          <w:tcPr>
            <w:tcW w:w="811" w:type="dxa"/>
            <w:tcBorders>
              <w:top w:val="nil"/>
              <w:left w:val="nil"/>
              <w:bottom w:val="single" w:sz="8"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50,092</w:t>
            </w:r>
          </w:p>
        </w:tc>
        <w:tc>
          <w:tcPr>
            <w:tcW w:w="536" w:type="dxa"/>
            <w:tcBorders>
              <w:top w:val="nil"/>
              <w:left w:val="nil"/>
              <w:bottom w:val="single" w:sz="8"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97.0</w:t>
            </w:r>
          </w:p>
        </w:tc>
        <w:tc>
          <w:tcPr>
            <w:tcW w:w="626" w:type="dxa"/>
            <w:tcBorders>
              <w:top w:val="nil"/>
              <w:left w:val="nil"/>
              <w:bottom w:val="single" w:sz="8"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1823</w:t>
            </w:r>
          </w:p>
        </w:tc>
        <w:tc>
          <w:tcPr>
            <w:tcW w:w="536" w:type="dxa"/>
            <w:tcBorders>
              <w:top w:val="nil"/>
              <w:left w:val="nil"/>
              <w:bottom w:val="single" w:sz="8"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56.0</w:t>
            </w:r>
          </w:p>
        </w:tc>
        <w:tc>
          <w:tcPr>
            <w:tcW w:w="718" w:type="dxa"/>
            <w:tcBorders>
              <w:top w:val="nil"/>
              <w:left w:val="nil"/>
              <w:bottom w:val="single" w:sz="8"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67,837</w:t>
            </w:r>
          </w:p>
        </w:tc>
        <w:tc>
          <w:tcPr>
            <w:tcW w:w="536" w:type="dxa"/>
            <w:tcBorders>
              <w:top w:val="nil"/>
              <w:left w:val="nil"/>
              <w:bottom w:val="single" w:sz="8" w:space="0" w:color="auto"/>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97.2</w:t>
            </w:r>
          </w:p>
        </w:tc>
      </w:tr>
      <w:tr w:rsidR="00EB6B13" w:rsidRPr="00EB6B13" w:rsidTr="00EB6B13">
        <w:trPr>
          <w:divId w:val="1657495372"/>
          <w:trHeight w:val="345"/>
        </w:trPr>
        <w:tc>
          <w:tcPr>
            <w:tcW w:w="2258" w:type="dxa"/>
            <w:tcBorders>
              <w:top w:val="single" w:sz="4" w:space="0" w:color="auto"/>
              <w:left w:val="single" w:sz="8" w:space="0" w:color="auto"/>
              <w:bottom w:val="single" w:sz="4" w:space="0" w:color="auto"/>
              <w:right w:val="nil"/>
            </w:tcBorders>
            <w:shd w:val="clear" w:color="000000" w:fill="F2F2F2"/>
            <w:noWrap/>
            <w:vAlign w:val="center"/>
            <w:hideMark/>
          </w:tcPr>
          <w:p w:rsidR="00EB6B13" w:rsidRPr="00EB6B13" w:rsidRDefault="00EB6B13" w:rsidP="00EB6B13">
            <w:pPr>
              <w:spacing w:after="0" w:line="240" w:lineRule="auto"/>
              <w:rPr>
                <w:rFonts w:ascii="Calibri" w:eastAsia="Times New Roman" w:hAnsi="Calibri" w:cs="Times New Roman"/>
                <w:b/>
                <w:bCs/>
                <w:color w:val="000000"/>
                <w:sz w:val="16"/>
                <w:szCs w:val="18"/>
                <w:lang w:eastAsia="en-GB"/>
              </w:rPr>
            </w:pPr>
            <w:r w:rsidRPr="00EB6B13">
              <w:rPr>
                <w:rFonts w:ascii="Calibri" w:eastAsia="Times New Roman" w:hAnsi="Calibri" w:cs="Times New Roman"/>
                <w:b/>
                <w:bCs/>
                <w:color w:val="000000"/>
                <w:sz w:val="16"/>
                <w:szCs w:val="18"/>
                <w:lang w:eastAsia="en-GB"/>
              </w:rPr>
              <w:t>Inhaler switch characteristics</w:t>
            </w:r>
          </w:p>
        </w:tc>
        <w:tc>
          <w:tcPr>
            <w:tcW w:w="709" w:type="dxa"/>
            <w:tcBorders>
              <w:top w:val="single" w:sz="4" w:space="0" w:color="auto"/>
              <w:left w:val="single" w:sz="4" w:space="0" w:color="auto"/>
              <w:bottom w:val="single" w:sz="4" w:space="0" w:color="auto"/>
              <w:right w:val="nil"/>
            </w:tcBorders>
            <w:shd w:val="clear" w:color="000000" w:fill="F2F2F2"/>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67" w:type="dxa"/>
            <w:tcBorders>
              <w:top w:val="single" w:sz="4" w:space="0" w:color="auto"/>
              <w:left w:val="nil"/>
              <w:bottom w:val="single" w:sz="4" w:space="0" w:color="auto"/>
              <w:right w:val="single" w:sz="4" w:space="0" w:color="auto"/>
            </w:tcBorders>
            <w:shd w:val="clear" w:color="000000" w:fill="F2F2F2"/>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709" w:type="dxa"/>
            <w:tcBorders>
              <w:top w:val="single" w:sz="4" w:space="0" w:color="auto"/>
              <w:left w:val="nil"/>
              <w:bottom w:val="single" w:sz="4" w:space="0" w:color="auto"/>
              <w:right w:val="nil"/>
            </w:tcBorders>
            <w:shd w:val="clear" w:color="000000" w:fill="F2F2F2"/>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67" w:type="dxa"/>
            <w:tcBorders>
              <w:top w:val="single" w:sz="4" w:space="0" w:color="auto"/>
              <w:left w:val="nil"/>
              <w:bottom w:val="single" w:sz="4" w:space="0" w:color="auto"/>
              <w:right w:val="nil"/>
            </w:tcBorders>
            <w:shd w:val="clear" w:color="000000" w:fill="F2F2F2"/>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709" w:type="dxa"/>
            <w:tcBorders>
              <w:top w:val="single" w:sz="4" w:space="0" w:color="auto"/>
              <w:left w:val="single" w:sz="4" w:space="0" w:color="auto"/>
              <w:bottom w:val="single" w:sz="4" w:space="0" w:color="auto"/>
              <w:right w:val="nil"/>
            </w:tcBorders>
            <w:shd w:val="clear" w:color="000000" w:fill="F2F2F2"/>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67" w:type="dxa"/>
            <w:tcBorders>
              <w:top w:val="single" w:sz="4" w:space="0" w:color="auto"/>
              <w:left w:val="nil"/>
              <w:bottom w:val="single" w:sz="4" w:space="0" w:color="auto"/>
              <w:right w:val="nil"/>
            </w:tcBorders>
            <w:shd w:val="clear" w:color="000000" w:fill="F2F2F2"/>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811" w:type="dxa"/>
            <w:tcBorders>
              <w:top w:val="single" w:sz="4" w:space="0" w:color="auto"/>
              <w:left w:val="single" w:sz="4" w:space="0" w:color="auto"/>
              <w:bottom w:val="single" w:sz="4" w:space="0" w:color="auto"/>
              <w:right w:val="nil"/>
            </w:tcBorders>
            <w:shd w:val="clear" w:color="000000" w:fill="F2F2F2"/>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36" w:type="dxa"/>
            <w:tcBorders>
              <w:top w:val="single" w:sz="4" w:space="0" w:color="auto"/>
              <w:left w:val="nil"/>
              <w:bottom w:val="single" w:sz="4" w:space="0" w:color="auto"/>
              <w:right w:val="single" w:sz="4" w:space="0" w:color="auto"/>
            </w:tcBorders>
            <w:shd w:val="clear" w:color="000000" w:fill="F2F2F2"/>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626" w:type="dxa"/>
            <w:tcBorders>
              <w:top w:val="single" w:sz="4" w:space="0" w:color="auto"/>
              <w:left w:val="nil"/>
              <w:bottom w:val="single" w:sz="4" w:space="0" w:color="auto"/>
              <w:right w:val="nil"/>
            </w:tcBorders>
            <w:shd w:val="clear" w:color="000000" w:fill="F2F2F2"/>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36" w:type="dxa"/>
            <w:tcBorders>
              <w:top w:val="nil"/>
              <w:left w:val="nil"/>
              <w:bottom w:val="single" w:sz="4" w:space="0" w:color="auto"/>
              <w:right w:val="single" w:sz="4" w:space="0" w:color="auto"/>
            </w:tcBorders>
            <w:shd w:val="clear" w:color="000000" w:fill="F2F2F2"/>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718" w:type="dxa"/>
            <w:tcBorders>
              <w:top w:val="single" w:sz="4" w:space="0" w:color="auto"/>
              <w:left w:val="nil"/>
              <w:bottom w:val="single" w:sz="4" w:space="0" w:color="auto"/>
              <w:right w:val="nil"/>
            </w:tcBorders>
            <w:shd w:val="clear" w:color="000000" w:fill="F2F2F2"/>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36" w:type="dxa"/>
            <w:tcBorders>
              <w:top w:val="nil"/>
              <w:left w:val="nil"/>
              <w:bottom w:val="single" w:sz="4" w:space="0" w:color="auto"/>
              <w:right w:val="single" w:sz="8" w:space="0" w:color="auto"/>
            </w:tcBorders>
            <w:shd w:val="clear" w:color="000000" w:fill="F2F2F2"/>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r>
      <w:tr w:rsidR="00EB6B13" w:rsidRPr="00EB6B13" w:rsidTr="00EB6B13">
        <w:trPr>
          <w:divId w:val="1657495372"/>
          <w:trHeight w:val="300"/>
        </w:trPr>
        <w:tc>
          <w:tcPr>
            <w:tcW w:w="2258" w:type="dxa"/>
            <w:tcBorders>
              <w:top w:val="nil"/>
              <w:left w:val="single" w:sz="8" w:space="0" w:color="auto"/>
              <w:bottom w:val="nil"/>
              <w:right w:val="nil"/>
            </w:tcBorders>
            <w:shd w:val="clear" w:color="auto" w:fill="auto"/>
            <w:noWrap/>
            <w:vAlign w:val="bottom"/>
            <w:hideMark/>
          </w:tcPr>
          <w:p w:rsidR="00EB6B13" w:rsidRPr="00EB6B13" w:rsidRDefault="00EB6B13" w:rsidP="00EB6B13">
            <w:pPr>
              <w:spacing w:after="0" w:line="240" w:lineRule="auto"/>
              <w:rPr>
                <w:rFonts w:ascii="Calibri" w:eastAsia="Times New Roman" w:hAnsi="Calibri" w:cs="Times New Roman"/>
                <w:b/>
                <w:bCs/>
                <w:color w:val="000000"/>
                <w:sz w:val="16"/>
                <w:szCs w:val="18"/>
                <w:lang w:eastAsia="en-GB"/>
              </w:rPr>
            </w:pPr>
            <w:r w:rsidRPr="00EB6B13">
              <w:rPr>
                <w:rFonts w:ascii="Calibri" w:eastAsia="Times New Roman" w:hAnsi="Calibri" w:cs="Times New Roman"/>
                <w:b/>
                <w:bCs/>
                <w:color w:val="000000"/>
                <w:sz w:val="16"/>
                <w:szCs w:val="18"/>
                <w:lang w:eastAsia="en-GB"/>
              </w:rPr>
              <w:t>Drug class</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709"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811"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626"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718"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36" w:type="dxa"/>
            <w:tcBorders>
              <w:top w:val="nil"/>
              <w:left w:val="nil"/>
              <w:bottom w:val="nil"/>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r>
      <w:tr w:rsidR="00EB6B13" w:rsidRPr="00EB6B13" w:rsidTr="00EB6B13">
        <w:trPr>
          <w:divId w:val="1657495372"/>
          <w:trHeight w:val="300"/>
        </w:trPr>
        <w:tc>
          <w:tcPr>
            <w:tcW w:w="2258" w:type="dxa"/>
            <w:tcBorders>
              <w:top w:val="nil"/>
              <w:left w:val="single" w:sz="8" w:space="0" w:color="auto"/>
              <w:bottom w:val="nil"/>
              <w:right w:val="nil"/>
            </w:tcBorders>
            <w:shd w:val="clear" w:color="auto" w:fill="auto"/>
            <w:noWrap/>
            <w:vAlign w:val="bottom"/>
            <w:hideMark/>
          </w:tcPr>
          <w:p w:rsidR="00EB6B13" w:rsidRPr="00EB6B13" w:rsidRDefault="00EB6B13" w:rsidP="00EB6B13">
            <w:pPr>
              <w:spacing w:after="0" w:line="240" w:lineRule="auto"/>
              <w:ind w:firstLineChars="200" w:firstLine="320"/>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ICS</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2,164</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41.3</w:t>
            </w:r>
          </w:p>
        </w:tc>
        <w:tc>
          <w:tcPr>
            <w:tcW w:w="709"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9,928</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42.3</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22,138</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44.0</w:t>
            </w:r>
          </w:p>
        </w:tc>
        <w:tc>
          <w:tcPr>
            <w:tcW w:w="811"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22,624</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43.8</w:t>
            </w:r>
          </w:p>
        </w:tc>
        <w:tc>
          <w:tcPr>
            <w:tcW w:w="626"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1353</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41.5</w:t>
            </w:r>
          </w:p>
        </w:tc>
        <w:tc>
          <w:tcPr>
            <w:tcW w:w="718"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30,053</w:t>
            </w:r>
          </w:p>
        </w:tc>
        <w:tc>
          <w:tcPr>
            <w:tcW w:w="536" w:type="dxa"/>
            <w:tcBorders>
              <w:top w:val="nil"/>
              <w:left w:val="nil"/>
              <w:bottom w:val="nil"/>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43.0</w:t>
            </w:r>
          </w:p>
        </w:tc>
      </w:tr>
      <w:tr w:rsidR="00EB6B13" w:rsidRPr="00EB6B13" w:rsidTr="00EB6B13">
        <w:trPr>
          <w:divId w:val="1657495372"/>
          <w:trHeight w:val="300"/>
        </w:trPr>
        <w:tc>
          <w:tcPr>
            <w:tcW w:w="2258" w:type="dxa"/>
            <w:tcBorders>
              <w:top w:val="nil"/>
              <w:left w:val="single" w:sz="8" w:space="0" w:color="auto"/>
              <w:bottom w:val="nil"/>
              <w:right w:val="nil"/>
            </w:tcBorders>
            <w:shd w:val="clear" w:color="auto" w:fill="auto"/>
            <w:noWrap/>
            <w:vAlign w:val="bottom"/>
            <w:hideMark/>
          </w:tcPr>
          <w:p w:rsidR="00EB6B13" w:rsidRPr="00EB6B13" w:rsidRDefault="00EB6B13" w:rsidP="00EB6B13">
            <w:pPr>
              <w:spacing w:after="0" w:line="240" w:lineRule="auto"/>
              <w:ind w:firstLineChars="200" w:firstLine="320"/>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LABA</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377</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7.2</w:t>
            </w:r>
          </w:p>
        </w:tc>
        <w:tc>
          <w:tcPr>
            <w:tcW w:w="709"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1,629</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6.9</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3,411</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6.8</w:t>
            </w:r>
          </w:p>
        </w:tc>
        <w:tc>
          <w:tcPr>
            <w:tcW w:w="811"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3,189</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6.2</w:t>
            </w:r>
          </w:p>
        </w:tc>
        <w:tc>
          <w:tcPr>
            <w:tcW w:w="626"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225</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6.9</w:t>
            </w:r>
          </w:p>
        </w:tc>
        <w:tc>
          <w:tcPr>
            <w:tcW w:w="718"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4,881</w:t>
            </w:r>
          </w:p>
        </w:tc>
        <w:tc>
          <w:tcPr>
            <w:tcW w:w="536" w:type="dxa"/>
            <w:tcBorders>
              <w:top w:val="nil"/>
              <w:left w:val="nil"/>
              <w:bottom w:val="nil"/>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7.0</w:t>
            </w:r>
          </w:p>
        </w:tc>
      </w:tr>
      <w:tr w:rsidR="00EB6B13" w:rsidRPr="00EB6B13" w:rsidTr="00EB6B13">
        <w:trPr>
          <w:divId w:val="1657495372"/>
          <w:trHeight w:val="300"/>
        </w:trPr>
        <w:tc>
          <w:tcPr>
            <w:tcW w:w="2258" w:type="dxa"/>
            <w:tcBorders>
              <w:top w:val="nil"/>
              <w:left w:val="single" w:sz="8" w:space="0" w:color="auto"/>
              <w:bottom w:val="nil"/>
              <w:right w:val="nil"/>
            </w:tcBorders>
            <w:shd w:val="clear" w:color="auto" w:fill="auto"/>
            <w:noWrap/>
            <w:vAlign w:val="bottom"/>
            <w:hideMark/>
          </w:tcPr>
          <w:p w:rsidR="00EB6B13" w:rsidRPr="00EB6B13" w:rsidRDefault="00EB6B13" w:rsidP="00EB6B13">
            <w:pPr>
              <w:spacing w:after="0" w:line="240" w:lineRule="auto"/>
              <w:ind w:firstLineChars="200" w:firstLine="320"/>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LABA/ICS</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1,850</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35.3</w:t>
            </w:r>
          </w:p>
        </w:tc>
        <w:tc>
          <w:tcPr>
            <w:tcW w:w="709"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7,926</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33.7</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19,244</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38.3</w:t>
            </w:r>
          </w:p>
        </w:tc>
        <w:tc>
          <w:tcPr>
            <w:tcW w:w="811"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20,441</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39.6</w:t>
            </w:r>
          </w:p>
        </w:tc>
        <w:tc>
          <w:tcPr>
            <w:tcW w:w="626"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1279</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39.3</w:t>
            </w:r>
          </w:p>
        </w:tc>
        <w:tc>
          <w:tcPr>
            <w:tcW w:w="718"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27,118</w:t>
            </w:r>
          </w:p>
        </w:tc>
        <w:tc>
          <w:tcPr>
            <w:tcW w:w="536" w:type="dxa"/>
            <w:tcBorders>
              <w:top w:val="nil"/>
              <w:left w:val="nil"/>
              <w:bottom w:val="nil"/>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38.8</w:t>
            </w:r>
          </w:p>
        </w:tc>
      </w:tr>
      <w:tr w:rsidR="00EB6B13" w:rsidRPr="00EB6B13" w:rsidTr="00EB6B13">
        <w:trPr>
          <w:divId w:val="1657495372"/>
          <w:trHeight w:val="300"/>
        </w:trPr>
        <w:tc>
          <w:tcPr>
            <w:tcW w:w="2258" w:type="dxa"/>
            <w:tcBorders>
              <w:top w:val="nil"/>
              <w:left w:val="single" w:sz="8" w:space="0" w:color="auto"/>
              <w:bottom w:val="single" w:sz="4" w:space="0" w:color="auto"/>
              <w:right w:val="nil"/>
            </w:tcBorders>
            <w:shd w:val="clear" w:color="auto" w:fill="auto"/>
            <w:noWrap/>
            <w:vAlign w:val="bottom"/>
            <w:hideMark/>
          </w:tcPr>
          <w:p w:rsidR="00EB6B13" w:rsidRPr="00EB6B13" w:rsidRDefault="00EB6B13" w:rsidP="00EB6B13">
            <w:pPr>
              <w:spacing w:after="0" w:line="240" w:lineRule="auto"/>
              <w:ind w:firstLineChars="200" w:firstLine="320"/>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LAMA</w:t>
            </w:r>
          </w:p>
        </w:tc>
        <w:tc>
          <w:tcPr>
            <w:tcW w:w="709" w:type="dxa"/>
            <w:tcBorders>
              <w:top w:val="nil"/>
              <w:left w:val="single" w:sz="4" w:space="0" w:color="auto"/>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851</w:t>
            </w:r>
          </w:p>
        </w:tc>
        <w:tc>
          <w:tcPr>
            <w:tcW w:w="567" w:type="dxa"/>
            <w:tcBorders>
              <w:top w:val="nil"/>
              <w:left w:val="nil"/>
              <w:bottom w:val="single" w:sz="4"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16.2</w:t>
            </w:r>
          </w:p>
        </w:tc>
        <w:tc>
          <w:tcPr>
            <w:tcW w:w="709"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4,005</w:t>
            </w:r>
          </w:p>
        </w:tc>
        <w:tc>
          <w:tcPr>
            <w:tcW w:w="567"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17.1</w:t>
            </w:r>
          </w:p>
        </w:tc>
        <w:tc>
          <w:tcPr>
            <w:tcW w:w="709" w:type="dxa"/>
            <w:tcBorders>
              <w:top w:val="nil"/>
              <w:left w:val="single" w:sz="4" w:space="0" w:color="auto"/>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5,496</w:t>
            </w:r>
          </w:p>
        </w:tc>
        <w:tc>
          <w:tcPr>
            <w:tcW w:w="567" w:type="dxa"/>
            <w:tcBorders>
              <w:top w:val="nil"/>
              <w:left w:val="nil"/>
              <w:bottom w:val="single" w:sz="4"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10.9</w:t>
            </w:r>
          </w:p>
        </w:tc>
        <w:tc>
          <w:tcPr>
            <w:tcW w:w="811"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5,406</w:t>
            </w:r>
          </w:p>
        </w:tc>
        <w:tc>
          <w:tcPr>
            <w:tcW w:w="536" w:type="dxa"/>
            <w:tcBorders>
              <w:top w:val="nil"/>
              <w:left w:val="nil"/>
              <w:bottom w:val="single" w:sz="4"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10.5</w:t>
            </w:r>
          </w:p>
        </w:tc>
        <w:tc>
          <w:tcPr>
            <w:tcW w:w="626"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401</w:t>
            </w:r>
          </w:p>
        </w:tc>
        <w:tc>
          <w:tcPr>
            <w:tcW w:w="536" w:type="dxa"/>
            <w:tcBorders>
              <w:top w:val="nil"/>
              <w:left w:val="nil"/>
              <w:bottom w:val="single" w:sz="4"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12.3</w:t>
            </w:r>
          </w:p>
        </w:tc>
        <w:tc>
          <w:tcPr>
            <w:tcW w:w="718"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7,760</w:t>
            </w:r>
          </w:p>
        </w:tc>
        <w:tc>
          <w:tcPr>
            <w:tcW w:w="536" w:type="dxa"/>
            <w:tcBorders>
              <w:top w:val="nil"/>
              <w:left w:val="nil"/>
              <w:bottom w:val="single" w:sz="4" w:space="0" w:color="auto"/>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11.1</w:t>
            </w:r>
          </w:p>
        </w:tc>
      </w:tr>
      <w:tr w:rsidR="00EB6B13" w:rsidRPr="00EB6B13" w:rsidTr="00EB6B13">
        <w:trPr>
          <w:divId w:val="1657495372"/>
          <w:trHeight w:val="300"/>
        </w:trPr>
        <w:tc>
          <w:tcPr>
            <w:tcW w:w="2258" w:type="dxa"/>
            <w:tcBorders>
              <w:top w:val="nil"/>
              <w:left w:val="single" w:sz="8" w:space="0" w:color="auto"/>
              <w:bottom w:val="nil"/>
              <w:right w:val="nil"/>
            </w:tcBorders>
            <w:shd w:val="clear" w:color="auto" w:fill="auto"/>
            <w:noWrap/>
            <w:vAlign w:val="bottom"/>
            <w:hideMark/>
          </w:tcPr>
          <w:p w:rsidR="00EB6B13" w:rsidRPr="00EB6B13" w:rsidRDefault="00EB6B13" w:rsidP="00EB6B13">
            <w:pPr>
              <w:spacing w:after="0" w:line="240" w:lineRule="auto"/>
              <w:rPr>
                <w:rFonts w:ascii="Calibri" w:eastAsia="Times New Roman" w:hAnsi="Calibri" w:cs="Times New Roman"/>
                <w:b/>
                <w:color w:val="000000"/>
                <w:sz w:val="16"/>
                <w:szCs w:val="20"/>
                <w:lang w:eastAsia="en-GB"/>
              </w:rPr>
            </w:pPr>
            <w:r w:rsidRPr="00EB6B13">
              <w:rPr>
                <w:rFonts w:ascii="Calibri" w:eastAsia="Times New Roman" w:hAnsi="Calibri" w:cs="Times New Roman"/>
                <w:b/>
                <w:color w:val="000000"/>
                <w:sz w:val="16"/>
                <w:szCs w:val="20"/>
                <w:lang w:eastAsia="en-GB"/>
              </w:rPr>
              <w:t>Switch between same drug(s)</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709"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p>
        </w:tc>
        <w:tc>
          <w:tcPr>
            <w:tcW w:w="811"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626"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718"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36" w:type="dxa"/>
            <w:tcBorders>
              <w:top w:val="nil"/>
              <w:left w:val="nil"/>
              <w:bottom w:val="nil"/>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r>
      <w:tr w:rsidR="00EB6B13" w:rsidRPr="00EB6B13" w:rsidTr="00EB6B13">
        <w:trPr>
          <w:divId w:val="1657495372"/>
          <w:trHeight w:val="300"/>
        </w:trPr>
        <w:tc>
          <w:tcPr>
            <w:tcW w:w="2258" w:type="dxa"/>
            <w:tcBorders>
              <w:top w:val="nil"/>
              <w:left w:val="single" w:sz="8" w:space="0" w:color="auto"/>
              <w:bottom w:val="nil"/>
              <w:right w:val="nil"/>
            </w:tcBorders>
            <w:shd w:val="clear" w:color="auto" w:fill="auto"/>
            <w:noWrap/>
            <w:vAlign w:val="bottom"/>
            <w:hideMark/>
          </w:tcPr>
          <w:p w:rsidR="00EB6B13" w:rsidRPr="00EB6B13" w:rsidRDefault="00EB6B13" w:rsidP="00EB6B13">
            <w:pPr>
              <w:spacing w:after="0" w:line="240" w:lineRule="auto"/>
              <w:ind w:firstLineChars="200" w:firstLine="320"/>
              <w:rPr>
                <w:rFonts w:ascii="Calibri" w:eastAsia="Times New Roman" w:hAnsi="Calibri" w:cs="Times New Roman"/>
                <w:color w:val="000000"/>
                <w:sz w:val="16"/>
                <w:szCs w:val="20"/>
                <w:lang w:eastAsia="en-GB"/>
              </w:rPr>
            </w:pPr>
            <w:r w:rsidRPr="00EB6B13">
              <w:rPr>
                <w:rFonts w:ascii="Calibri" w:eastAsia="Times New Roman" w:hAnsi="Calibri" w:cs="Times New Roman"/>
                <w:color w:val="000000"/>
                <w:sz w:val="16"/>
                <w:szCs w:val="20"/>
                <w:lang w:eastAsia="en-GB"/>
              </w:rPr>
              <w:t>No</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540</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10.3</w:t>
            </w:r>
          </w:p>
        </w:tc>
        <w:tc>
          <w:tcPr>
            <w:tcW w:w="709"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2,413</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10.3</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6,169</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12.3</w:t>
            </w:r>
          </w:p>
        </w:tc>
        <w:tc>
          <w:tcPr>
            <w:tcW w:w="811"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6,443</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12.5</w:t>
            </w:r>
          </w:p>
        </w:tc>
        <w:tc>
          <w:tcPr>
            <w:tcW w:w="626"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416</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12.8</w:t>
            </w:r>
          </w:p>
        </w:tc>
        <w:tc>
          <w:tcPr>
            <w:tcW w:w="718"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8,731</w:t>
            </w:r>
          </w:p>
        </w:tc>
        <w:tc>
          <w:tcPr>
            <w:tcW w:w="536" w:type="dxa"/>
            <w:tcBorders>
              <w:top w:val="nil"/>
              <w:left w:val="nil"/>
              <w:bottom w:val="nil"/>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12.5</w:t>
            </w:r>
          </w:p>
        </w:tc>
      </w:tr>
      <w:tr w:rsidR="00EB6B13" w:rsidRPr="00EB6B13" w:rsidTr="00EB6B13">
        <w:trPr>
          <w:divId w:val="1657495372"/>
          <w:trHeight w:val="300"/>
        </w:trPr>
        <w:tc>
          <w:tcPr>
            <w:tcW w:w="2258" w:type="dxa"/>
            <w:tcBorders>
              <w:top w:val="nil"/>
              <w:left w:val="single" w:sz="8" w:space="0" w:color="auto"/>
              <w:bottom w:val="single" w:sz="4" w:space="0" w:color="auto"/>
              <w:right w:val="nil"/>
            </w:tcBorders>
            <w:shd w:val="clear" w:color="auto" w:fill="auto"/>
            <w:noWrap/>
            <w:vAlign w:val="bottom"/>
            <w:hideMark/>
          </w:tcPr>
          <w:p w:rsidR="00EB6B13" w:rsidRPr="00EB6B13" w:rsidRDefault="00EB6B13" w:rsidP="00EB6B13">
            <w:pPr>
              <w:spacing w:after="0" w:line="240" w:lineRule="auto"/>
              <w:ind w:firstLineChars="200" w:firstLine="320"/>
              <w:rPr>
                <w:rFonts w:ascii="Calibri" w:eastAsia="Times New Roman" w:hAnsi="Calibri" w:cs="Times New Roman"/>
                <w:color w:val="000000"/>
                <w:sz w:val="16"/>
                <w:szCs w:val="20"/>
                <w:lang w:eastAsia="en-GB"/>
              </w:rPr>
            </w:pPr>
            <w:r w:rsidRPr="00EB6B13">
              <w:rPr>
                <w:rFonts w:ascii="Calibri" w:eastAsia="Times New Roman" w:hAnsi="Calibri" w:cs="Times New Roman"/>
                <w:color w:val="000000"/>
                <w:sz w:val="16"/>
                <w:szCs w:val="20"/>
                <w:lang w:eastAsia="en-GB"/>
              </w:rPr>
              <w:t>Yes</w:t>
            </w:r>
          </w:p>
        </w:tc>
        <w:tc>
          <w:tcPr>
            <w:tcW w:w="709" w:type="dxa"/>
            <w:tcBorders>
              <w:top w:val="nil"/>
              <w:left w:val="single" w:sz="4" w:space="0" w:color="auto"/>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4,702</w:t>
            </w:r>
          </w:p>
        </w:tc>
        <w:tc>
          <w:tcPr>
            <w:tcW w:w="567" w:type="dxa"/>
            <w:tcBorders>
              <w:top w:val="nil"/>
              <w:left w:val="nil"/>
              <w:bottom w:val="single" w:sz="4"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89.7</w:t>
            </w:r>
          </w:p>
        </w:tc>
        <w:tc>
          <w:tcPr>
            <w:tcW w:w="709"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21,075</w:t>
            </w:r>
          </w:p>
        </w:tc>
        <w:tc>
          <w:tcPr>
            <w:tcW w:w="567"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89.7</w:t>
            </w:r>
          </w:p>
        </w:tc>
        <w:tc>
          <w:tcPr>
            <w:tcW w:w="709" w:type="dxa"/>
            <w:tcBorders>
              <w:top w:val="nil"/>
              <w:left w:val="single" w:sz="4" w:space="0" w:color="auto"/>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44,119</w:t>
            </w:r>
          </w:p>
        </w:tc>
        <w:tc>
          <w:tcPr>
            <w:tcW w:w="567"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87.7</w:t>
            </w:r>
          </w:p>
        </w:tc>
        <w:tc>
          <w:tcPr>
            <w:tcW w:w="811" w:type="dxa"/>
            <w:tcBorders>
              <w:top w:val="nil"/>
              <w:left w:val="single" w:sz="4" w:space="0" w:color="auto"/>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45,215</w:t>
            </w:r>
          </w:p>
        </w:tc>
        <w:tc>
          <w:tcPr>
            <w:tcW w:w="536" w:type="dxa"/>
            <w:tcBorders>
              <w:top w:val="nil"/>
              <w:left w:val="nil"/>
              <w:bottom w:val="single" w:sz="4"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87.5</w:t>
            </w:r>
          </w:p>
        </w:tc>
        <w:tc>
          <w:tcPr>
            <w:tcW w:w="626"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2841</w:t>
            </w:r>
          </w:p>
        </w:tc>
        <w:tc>
          <w:tcPr>
            <w:tcW w:w="536" w:type="dxa"/>
            <w:tcBorders>
              <w:top w:val="nil"/>
              <w:left w:val="nil"/>
              <w:bottom w:val="single" w:sz="4"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87.2</w:t>
            </w:r>
          </w:p>
        </w:tc>
        <w:tc>
          <w:tcPr>
            <w:tcW w:w="718"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61,083</w:t>
            </w:r>
          </w:p>
        </w:tc>
        <w:tc>
          <w:tcPr>
            <w:tcW w:w="536" w:type="dxa"/>
            <w:tcBorders>
              <w:top w:val="nil"/>
              <w:left w:val="nil"/>
              <w:bottom w:val="single" w:sz="4" w:space="0" w:color="auto"/>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87.5</w:t>
            </w:r>
          </w:p>
        </w:tc>
      </w:tr>
      <w:tr w:rsidR="00EB6B13" w:rsidRPr="00EB6B13" w:rsidTr="00EB6B13">
        <w:trPr>
          <w:divId w:val="1657495372"/>
          <w:trHeight w:val="300"/>
        </w:trPr>
        <w:tc>
          <w:tcPr>
            <w:tcW w:w="2258" w:type="dxa"/>
            <w:tcBorders>
              <w:top w:val="nil"/>
              <w:left w:val="single" w:sz="8" w:space="0" w:color="auto"/>
              <w:bottom w:val="nil"/>
              <w:right w:val="nil"/>
            </w:tcBorders>
            <w:shd w:val="clear" w:color="auto" w:fill="auto"/>
            <w:noWrap/>
            <w:vAlign w:val="bottom"/>
            <w:hideMark/>
          </w:tcPr>
          <w:p w:rsidR="00EB6B13" w:rsidRPr="00EB6B13" w:rsidRDefault="00EB6B13" w:rsidP="00EB6B13">
            <w:pPr>
              <w:spacing w:after="0" w:line="240" w:lineRule="auto"/>
              <w:rPr>
                <w:rFonts w:ascii="Calibri" w:eastAsia="Times New Roman" w:hAnsi="Calibri" w:cs="Times New Roman"/>
                <w:b/>
                <w:bCs/>
                <w:color w:val="000000"/>
                <w:sz w:val="16"/>
                <w:szCs w:val="18"/>
                <w:lang w:eastAsia="en-GB"/>
              </w:rPr>
            </w:pPr>
            <w:r w:rsidRPr="00EB6B13">
              <w:rPr>
                <w:rFonts w:ascii="Calibri" w:eastAsia="Times New Roman" w:hAnsi="Calibri" w:cs="Times New Roman"/>
                <w:b/>
                <w:bCs/>
                <w:color w:val="000000"/>
                <w:sz w:val="16"/>
                <w:szCs w:val="18"/>
                <w:lang w:eastAsia="en-GB"/>
              </w:rPr>
              <w:t>Type</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709"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p>
        </w:tc>
        <w:tc>
          <w:tcPr>
            <w:tcW w:w="811"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626"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718"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36" w:type="dxa"/>
            <w:tcBorders>
              <w:top w:val="nil"/>
              <w:left w:val="nil"/>
              <w:bottom w:val="nil"/>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r>
      <w:tr w:rsidR="00EB6B13" w:rsidRPr="00EB6B13" w:rsidTr="00EB6B13">
        <w:trPr>
          <w:divId w:val="1657495372"/>
          <w:trHeight w:val="300"/>
        </w:trPr>
        <w:tc>
          <w:tcPr>
            <w:tcW w:w="2258" w:type="dxa"/>
            <w:tcBorders>
              <w:top w:val="nil"/>
              <w:left w:val="single" w:sz="8" w:space="0" w:color="auto"/>
              <w:bottom w:val="nil"/>
              <w:right w:val="nil"/>
            </w:tcBorders>
            <w:shd w:val="clear" w:color="auto" w:fill="auto"/>
            <w:noWrap/>
            <w:vAlign w:val="bottom"/>
            <w:hideMark/>
          </w:tcPr>
          <w:p w:rsidR="00EB6B13" w:rsidRPr="00EB6B13" w:rsidRDefault="00EB6B13" w:rsidP="00EB6B13">
            <w:pPr>
              <w:spacing w:after="0" w:line="240" w:lineRule="auto"/>
              <w:ind w:firstLineChars="200" w:firstLine="320"/>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Brand to generic</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1,719</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32.8</w:t>
            </w:r>
          </w:p>
        </w:tc>
        <w:tc>
          <w:tcPr>
            <w:tcW w:w="709"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9,517</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40.5</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20,411</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40.6</w:t>
            </w:r>
          </w:p>
        </w:tc>
        <w:tc>
          <w:tcPr>
            <w:tcW w:w="811"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20,376</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39.4</w:t>
            </w:r>
          </w:p>
        </w:tc>
        <w:tc>
          <w:tcPr>
            <w:tcW w:w="626"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1411</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43.3</w:t>
            </w:r>
          </w:p>
        </w:tc>
        <w:tc>
          <w:tcPr>
            <w:tcW w:w="718"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27,111</w:t>
            </w:r>
          </w:p>
        </w:tc>
        <w:tc>
          <w:tcPr>
            <w:tcW w:w="536" w:type="dxa"/>
            <w:tcBorders>
              <w:top w:val="nil"/>
              <w:left w:val="nil"/>
              <w:bottom w:val="nil"/>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38.8</w:t>
            </w:r>
          </w:p>
        </w:tc>
      </w:tr>
      <w:tr w:rsidR="00EB6B13" w:rsidRPr="00EB6B13" w:rsidTr="00EB6B13">
        <w:trPr>
          <w:divId w:val="1657495372"/>
          <w:trHeight w:val="300"/>
        </w:trPr>
        <w:tc>
          <w:tcPr>
            <w:tcW w:w="2258" w:type="dxa"/>
            <w:tcBorders>
              <w:top w:val="nil"/>
              <w:left w:val="single" w:sz="8" w:space="0" w:color="auto"/>
              <w:bottom w:val="nil"/>
              <w:right w:val="nil"/>
            </w:tcBorders>
            <w:shd w:val="clear" w:color="auto" w:fill="auto"/>
            <w:noWrap/>
            <w:vAlign w:val="bottom"/>
            <w:hideMark/>
          </w:tcPr>
          <w:p w:rsidR="00EB6B13" w:rsidRPr="00EB6B13" w:rsidRDefault="00EB6B13" w:rsidP="00EB6B13">
            <w:pPr>
              <w:spacing w:after="0" w:line="240" w:lineRule="auto"/>
              <w:ind w:firstLineChars="200" w:firstLine="320"/>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Generic to generic</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274</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5.2</w:t>
            </w:r>
          </w:p>
        </w:tc>
        <w:tc>
          <w:tcPr>
            <w:tcW w:w="709"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1,186</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5.0</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2,590</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5.2</w:t>
            </w:r>
          </w:p>
        </w:tc>
        <w:tc>
          <w:tcPr>
            <w:tcW w:w="811"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2,634</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5.1</w:t>
            </w:r>
          </w:p>
        </w:tc>
        <w:tc>
          <w:tcPr>
            <w:tcW w:w="626"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169</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5.2</w:t>
            </w:r>
          </w:p>
        </w:tc>
        <w:tc>
          <w:tcPr>
            <w:tcW w:w="718"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3,722</w:t>
            </w:r>
          </w:p>
        </w:tc>
        <w:tc>
          <w:tcPr>
            <w:tcW w:w="536" w:type="dxa"/>
            <w:tcBorders>
              <w:top w:val="nil"/>
              <w:left w:val="nil"/>
              <w:bottom w:val="nil"/>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5.3</w:t>
            </w:r>
          </w:p>
        </w:tc>
      </w:tr>
      <w:tr w:rsidR="00EB6B13" w:rsidRPr="00EB6B13" w:rsidTr="00EB6B13">
        <w:trPr>
          <w:divId w:val="1657495372"/>
          <w:trHeight w:val="300"/>
        </w:trPr>
        <w:tc>
          <w:tcPr>
            <w:tcW w:w="2258" w:type="dxa"/>
            <w:tcBorders>
              <w:top w:val="nil"/>
              <w:left w:val="single" w:sz="8" w:space="0" w:color="auto"/>
              <w:bottom w:val="nil"/>
              <w:right w:val="nil"/>
            </w:tcBorders>
            <w:shd w:val="clear" w:color="auto" w:fill="auto"/>
            <w:noWrap/>
            <w:vAlign w:val="bottom"/>
            <w:hideMark/>
          </w:tcPr>
          <w:p w:rsidR="00EB6B13" w:rsidRPr="00EB6B13" w:rsidRDefault="00EB6B13" w:rsidP="00EB6B13">
            <w:pPr>
              <w:spacing w:after="0" w:line="240" w:lineRule="auto"/>
              <w:ind w:firstLineChars="200" w:firstLine="320"/>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Generic to brand</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2,433</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46.4</w:t>
            </w:r>
          </w:p>
        </w:tc>
        <w:tc>
          <w:tcPr>
            <w:tcW w:w="709"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9,739</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41.5</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20,626</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41.0</w:t>
            </w:r>
          </w:p>
        </w:tc>
        <w:tc>
          <w:tcPr>
            <w:tcW w:w="811"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21,654</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41.9</w:t>
            </w:r>
          </w:p>
        </w:tc>
        <w:tc>
          <w:tcPr>
            <w:tcW w:w="626"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1258</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38.6</w:t>
            </w:r>
          </w:p>
        </w:tc>
        <w:tc>
          <w:tcPr>
            <w:tcW w:w="718"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29,086</w:t>
            </w:r>
          </w:p>
        </w:tc>
        <w:tc>
          <w:tcPr>
            <w:tcW w:w="536" w:type="dxa"/>
            <w:tcBorders>
              <w:top w:val="nil"/>
              <w:left w:val="nil"/>
              <w:bottom w:val="nil"/>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41.7</w:t>
            </w:r>
          </w:p>
        </w:tc>
      </w:tr>
      <w:tr w:rsidR="00EB6B13" w:rsidRPr="00EB6B13" w:rsidTr="00EB6B13">
        <w:trPr>
          <w:divId w:val="1657495372"/>
          <w:trHeight w:val="300"/>
        </w:trPr>
        <w:tc>
          <w:tcPr>
            <w:tcW w:w="2258" w:type="dxa"/>
            <w:tcBorders>
              <w:top w:val="nil"/>
              <w:left w:val="single" w:sz="8" w:space="0" w:color="auto"/>
              <w:bottom w:val="single" w:sz="4" w:space="0" w:color="auto"/>
              <w:right w:val="nil"/>
            </w:tcBorders>
            <w:shd w:val="clear" w:color="auto" w:fill="auto"/>
            <w:noWrap/>
            <w:vAlign w:val="bottom"/>
            <w:hideMark/>
          </w:tcPr>
          <w:p w:rsidR="00EB6B13" w:rsidRPr="00EB6B13" w:rsidRDefault="00EB6B13" w:rsidP="00EB6B13">
            <w:pPr>
              <w:spacing w:after="0" w:line="240" w:lineRule="auto"/>
              <w:ind w:firstLineChars="200" w:firstLine="320"/>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Brand to brand</w:t>
            </w:r>
          </w:p>
        </w:tc>
        <w:tc>
          <w:tcPr>
            <w:tcW w:w="709" w:type="dxa"/>
            <w:tcBorders>
              <w:top w:val="nil"/>
              <w:left w:val="single" w:sz="4" w:space="0" w:color="auto"/>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816</w:t>
            </w:r>
          </w:p>
        </w:tc>
        <w:tc>
          <w:tcPr>
            <w:tcW w:w="567" w:type="dxa"/>
            <w:tcBorders>
              <w:top w:val="nil"/>
              <w:left w:val="nil"/>
              <w:bottom w:val="single" w:sz="4"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15.6</w:t>
            </w:r>
          </w:p>
        </w:tc>
        <w:tc>
          <w:tcPr>
            <w:tcW w:w="709"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3,037</w:t>
            </w:r>
          </w:p>
        </w:tc>
        <w:tc>
          <w:tcPr>
            <w:tcW w:w="567"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12.9</w:t>
            </w:r>
          </w:p>
        </w:tc>
        <w:tc>
          <w:tcPr>
            <w:tcW w:w="709" w:type="dxa"/>
            <w:tcBorders>
              <w:top w:val="nil"/>
              <w:left w:val="single" w:sz="4" w:space="0" w:color="auto"/>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6,662</w:t>
            </w:r>
          </w:p>
        </w:tc>
        <w:tc>
          <w:tcPr>
            <w:tcW w:w="567" w:type="dxa"/>
            <w:tcBorders>
              <w:top w:val="nil"/>
              <w:left w:val="nil"/>
              <w:bottom w:val="single" w:sz="4"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13.2</w:t>
            </w:r>
          </w:p>
        </w:tc>
        <w:tc>
          <w:tcPr>
            <w:tcW w:w="811"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6,995</w:t>
            </w:r>
          </w:p>
        </w:tc>
        <w:tc>
          <w:tcPr>
            <w:tcW w:w="536" w:type="dxa"/>
            <w:tcBorders>
              <w:top w:val="nil"/>
              <w:left w:val="nil"/>
              <w:bottom w:val="single" w:sz="4"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13.5</w:t>
            </w:r>
          </w:p>
        </w:tc>
        <w:tc>
          <w:tcPr>
            <w:tcW w:w="626"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420</w:t>
            </w:r>
          </w:p>
        </w:tc>
        <w:tc>
          <w:tcPr>
            <w:tcW w:w="536" w:type="dxa"/>
            <w:tcBorders>
              <w:top w:val="nil"/>
              <w:left w:val="nil"/>
              <w:bottom w:val="single" w:sz="4"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12.9</w:t>
            </w:r>
          </w:p>
        </w:tc>
        <w:tc>
          <w:tcPr>
            <w:tcW w:w="718"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9,893</w:t>
            </w:r>
          </w:p>
        </w:tc>
        <w:tc>
          <w:tcPr>
            <w:tcW w:w="536" w:type="dxa"/>
            <w:tcBorders>
              <w:top w:val="nil"/>
              <w:left w:val="nil"/>
              <w:bottom w:val="single" w:sz="4" w:space="0" w:color="auto"/>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14.2</w:t>
            </w:r>
          </w:p>
        </w:tc>
      </w:tr>
      <w:tr w:rsidR="00EB6B13" w:rsidRPr="00EB6B13" w:rsidTr="00EB6B13">
        <w:trPr>
          <w:divId w:val="1657495372"/>
          <w:trHeight w:val="300"/>
        </w:trPr>
        <w:tc>
          <w:tcPr>
            <w:tcW w:w="2258" w:type="dxa"/>
            <w:tcBorders>
              <w:top w:val="nil"/>
              <w:left w:val="single" w:sz="8" w:space="0" w:color="auto"/>
              <w:bottom w:val="nil"/>
              <w:right w:val="nil"/>
            </w:tcBorders>
            <w:shd w:val="clear" w:color="auto" w:fill="auto"/>
            <w:noWrap/>
            <w:vAlign w:val="bottom"/>
            <w:hideMark/>
          </w:tcPr>
          <w:p w:rsidR="00EB6B13" w:rsidRPr="00EB6B13" w:rsidRDefault="00EB6B13" w:rsidP="00EB6B13">
            <w:pPr>
              <w:spacing w:after="0" w:line="240" w:lineRule="auto"/>
              <w:rPr>
                <w:rFonts w:ascii="Calibri" w:eastAsia="Times New Roman" w:hAnsi="Calibri" w:cs="Times New Roman"/>
                <w:b/>
                <w:bCs/>
                <w:color w:val="000000"/>
                <w:sz w:val="16"/>
                <w:szCs w:val="18"/>
                <w:lang w:eastAsia="en-GB"/>
              </w:rPr>
            </w:pPr>
            <w:r w:rsidRPr="00EB6B13">
              <w:rPr>
                <w:rFonts w:ascii="Calibri" w:eastAsia="Times New Roman" w:hAnsi="Calibri" w:cs="Times New Roman"/>
                <w:b/>
                <w:bCs/>
                <w:color w:val="000000"/>
                <w:sz w:val="16"/>
                <w:szCs w:val="18"/>
                <w:lang w:eastAsia="en-GB"/>
              </w:rPr>
              <w:t xml:space="preserve">Device </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709"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811"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626"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718"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36" w:type="dxa"/>
            <w:tcBorders>
              <w:top w:val="nil"/>
              <w:left w:val="nil"/>
              <w:bottom w:val="nil"/>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r>
      <w:tr w:rsidR="00EB6B13" w:rsidRPr="00EB6B13" w:rsidTr="00EB6B13">
        <w:trPr>
          <w:divId w:val="1657495372"/>
          <w:trHeight w:val="300"/>
        </w:trPr>
        <w:tc>
          <w:tcPr>
            <w:tcW w:w="2258" w:type="dxa"/>
            <w:tcBorders>
              <w:top w:val="nil"/>
              <w:left w:val="single" w:sz="8" w:space="0" w:color="auto"/>
              <w:bottom w:val="nil"/>
              <w:right w:val="nil"/>
            </w:tcBorders>
            <w:shd w:val="clear" w:color="auto" w:fill="auto"/>
            <w:noWrap/>
            <w:vAlign w:val="bottom"/>
            <w:hideMark/>
          </w:tcPr>
          <w:p w:rsidR="00EB6B13" w:rsidRPr="00EB6B13" w:rsidRDefault="00EB6B13" w:rsidP="00EB6B13">
            <w:pPr>
              <w:spacing w:after="0" w:line="240" w:lineRule="auto"/>
              <w:ind w:firstLineChars="200" w:firstLine="320"/>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xml:space="preserve">MDI to DPI </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411</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10.1</w:t>
            </w:r>
          </w:p>
        </w:tc>
        <w:tc>
          <w:tcPr>
            <w:tcW w:w="709"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1,973</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11.2</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3,884</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10.3</w:t>
            </w:r>
          </w:p>
        </w:tc>
        <w:tc>
          <w:tcPr>
            <w:tcW w:w="811"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3,948</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10.2</w:t>
            </w:r>
          </w:p>
        </w:tc>
        <w:tc>
          <w:tcPr>
            <w:tcW w:w="626"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279</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11.0</w:t>
            </w:r>
          </w:p>
        </w:tc>
        <w:tc>
          <w:tcPr>
            <w:tcW w:w="718"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5,170</w:t>
            </w:r>
          </w:p>
        </w:tc>
        <w:tc>
          <w:tcPr>
            <w:tcW w:w="536" w:type="dxa"/>
            <w:tcBorders>
              <w:top w:val="nil"/>
              <w:left w:val="nil"/>
              <w:bottom w:val="nil"/>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9.7</w:t>
            </w:r>
          </w:p>
        </w:tc>
      </w:tr>
      <w:tr w:rsidR="00EB6B13" w:rsidRPr="00EB6B13" w:rsidTr="00EB6B13">
        <w:trPr>
          <w:divId w:val="1657495372"/>
          <w:trHeight w:val="300"/>
        </w:trPr>
        <w:tc>
          <w:tcPr>
            <w:tcW w:w="2258" w:type="dxa"/>
            <w:tcBorders>
              <w:top w:val="nil"/>
              <w:left w:val="single" w:sz="8" w:space="0" w:color="auto"/>
              <w:bottom w:val="nil"/>
              <w:right w:val="nil"/>
            </w:tcBorders>
            <w:shd w:val="clear" w:color="auto" w:fill="auto"/>
            <w:noWrap/>
            <w:vAlign w:val="bottom"/>
            <w:hideMark/>
          </w:tcPr>
          <w:p w:rsidR="00EB6B13" w:rsidRPr="00EB6B13" w:rsidRDefault="00EB6B13" w:rsidP="00EB6B13">
            <w:pPr>
              <w:spacing w:after="0" w:line="240" w:lineRule="auto"/>
              <w:ind w:firstLineChars="200" w:firstLine="320"/>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DPI to DPI</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1,418</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34.7</w:t>
            </w:r>
          </w:p>
        </w:tc>
        <w:tc>
          <w:tcPr>
            <w:tcW w:w="709"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7,101</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40.5</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14,209</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37.6</w:t>
            </w:r>
          </w:p>
        </w:tc>
        <w:tc>
          <w:tcPr>
            <w:tcW w:w="811"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14,291</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36.9</w:t>
            </w:r>
          </w:p>
        </w:tc>
        <w:tc>
          <w:tcPr>
            <w:tcW w:w="626"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890</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35.2</w:t>
            </w:r>
          </w:p>
        </w:tc>
        <w:tc>
          <w:tcPr>
            <w:tcW w:w="718"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20,493</w:t>
            </w:r>
          </w:p>
        </w:tc>
        <w:tc>
          <w:tcPr>
            <w:tcW w:w="536" w:type="dxa"/>
            <w:tcBorders>
              <w:top w:val="nil"/>
              <w:left w:val="nil"/>
              <w:bottom w:val="nil"/>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38.6</w:t>
            </w:r>
          </w:p>
        </w:tc>
      </w:tr>
      <w:tr w:rsidR="00EB6B13" w:rsidRPr="00EB6B13" w:rsidTr="00EB6B13">
        <w:trPr>
          <w:divId w:val="1657495372"/>
          <w:trHeight w:val="300"/>
        </w:trPr>
        <w:tc>
          <w:tcPr>
            <w:tcW w:w="2258" w:type="dxa"/>
            <w:tcBorders>
              <w:top w:val="nil"/>
              <w:left w:val="single" w:sz="8" w:space="0" w:color="auto"/>
              <w:bottom w:val="nil"/>
              <w:right w:val="nil"/>
            </w:tcBorders>
            <w:shd w:val="clear" w:color="auto" w:fill="auto"/>
            <w:noWrap/>
            <w:vAlign w:val="bottom"/>
            <w:hideMark/>
          </w:tcPr>
          <w:p w:rsidR="00EB6B13" w:rsidRPr="00EB6B13" w:rsidRDefault="00EB6B13" w:rsidP="00EB6B13">
            <w:pPr>
              <w:spacing w:after="0" w:line="240" w:lineRule="auto"/>
              <w:ind w:firstLineChars="200" w:firstLine="320"/>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xml:space="preserve">DPI to MDI </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601</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14.7</w:t>
            </w:r>
          </w:p>
        </w:tc>
        <w:tc>
          <w:tcPr>
            <w:tcW w:w="709"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2,408</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13.7</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5,317</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14.1</w:t>
            </w:r>
          </w:p>
        </w:tc>
        <w:tc>
          <w:tcPr>
            <w:tcW w:w="811"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5,529</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14.3</w:t>
            </w:r>
          </w:p>
        </w:tc>
        <w:tc>
          <w:tcPr>
            <w:tcW w:w="626"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348</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13.8</w:t>
            </w:r>
          </w:p>
        </w:tc>
        <w:tc>
          <w:tcPr>
            <w:tcW w:w="718"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7,398</w:t>
            </w:r>
          </w:p>
        </w:tc>
        <w:tc>
          <w:tcPr>
            <w:tcW w:w="536" w:type="dxa"/>
            <w:tcBorders>
              <w:top w:val="nil"/>
              <w:left w:val="nil"/>
              <w:bottom w:val="nil"/>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13.9</w:t>
            </w:r>
          </w:p>
        </w:tc>
      </w:tr>
      <w:tr w:rsidR="00EB6B13" w:rsidRPr="00EB6B13" w:rsidTr="00EB6B13">
        <w:trPr>
          <w:divId w:val="1657495372"/>
          <w:trHeight w:val="315"/>
        </w:trPr>
        <w:tc>
          <w:tcPr>
            <w:tcW w:w="2258" w:type="dxa"/>
            <w:tcBorders>
              <w:top w:val="nil"/>
              <w:left w:val="single" w:sz="8" w:space="0" w:color="auto"/>
              <w:bottom w:val="single" w:sz="4" w:space="0" w:color="auto"/>
              <w:right w:val="nil"/>
            </w:tcBorders>
            <w:shd w:val="clear" w:color="auto" w:fill="auto"/>
            <w:noWrap/>
            <w:vAlign w:val="bottom"/>
            <w:hideMark/>
          </w:tcPr>
          <w:p w:rsidR="00EB6B13" w:rsidRPr="00EB6B13" w:rsidRDefault="00EB6B13" w:rsidP="00EB6B13">
            <w:pPr>
              <w:spacing w:after="0" w:line="240" w:lineRule="auto"/>
              <w:ind w:firstLineChars="200" w:firstLine="320"/>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MDI to MDI</w:t>
            </w:r>
          </w:p>
        </w:tc>
        <w:tc>
          <w:tcPr>
            <w:tcW w:w="709" w:type="dxa"/>
            <w:tcBorders>
              <w:top w:val="nil"/>
              <w:left w:val="single" w:sz="4" w:space="0" w:color="auto"/>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1,655</w:t>
            </w:r>
          </w:p>
        </w:tc>
        <w:tc>
          <w:tcPr>
            <w:tcW w:w="567" w:type="dxa"/>
            <w:tcBorders>
              <w:top w:val="nil"/>
              <w:left w:val="nil"/>
              <w:bottom w:val="single" w:sz="4"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40.5</w:t>
            </w:r>
          </w:p>
        </w:tc>
        <w:tc>
          <w:tcPr>
            <w:tcW w:w="709"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6,058</w:t>
            </w:r>
          </w:p>
        </w:tc>
        <w:tc>
          <w:tcPr>
            <w:tcW w:w="567" w:type="dxa"/>
            <w:tcBorders>
              <w:top w:val="nil"/>
              <w:left w:val="nil"/>
              <w:bottom w:val="single" w:sz="4"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34.5</w:t>
            </w:r>
          </w:p>
        </w:tc>
        <w:tc>
          <w:tcPr>
            <w:tcW w:w="709"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14,381</w:t>
            </w:r>
          </w:p>
        </w:tc>
        <w:tc>
          <w:tcPr>
            <w:tcW w:w="567" w:type="dxa"/>
            <w:tcBorders>
              <w:top w:val="nil"/>
              <w:left w:val="nil"/>
              <w:bottom w:val="single" w:sz="4"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38.1</w:t>
            </w:r>
          </w:p>
        </w:tc>
        <w:tc>
          <w:tcPr>
            <w:tcW w:w="811"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15,013</w:t>
            </w:r>
          </w:p>
        </w:tc>
        <w:tc>
          <w:tcPr>
            <w:tcW w:w="536" w:type="dxa"/>
            <w:tcBorders>
              <w:top w:val="nil"/>
              <w:left w:val="nil"/>
              <w:bottom w:val="single" w:sz="4"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38.7</w:t>
            </w:r>
          </w:p>
        </w:tc>
        <w:tc>
          <w:tcPr>
            <w:tcW w:w="626"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1012</w:t>
            </w:r>
          </w:p>
        </w:tc>
        <w:tc>
          <w:tcPr>
            <w:tcW w:w="536" w:type="dxa"/>
            <w:tcBorders>
              <w:top w:val="nil"/>
              <w:left w:val="nil"/>
              <w:bottom w:val="single" w:sz="4"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40.0</w:t>
            </w:r>
          </w:p>
        </w:tc>
        <w:tc>
          <w:tcPr>
            <w:tcW w:w="718" w:type="dxa"/>
            <w:tcBorders>
              <w:top w:val="nil"/>
              <w:left w:val="nil"/>
              <w:bottom w:val="single" w:sz="4"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20,058</w:t>
            </w:r>
          </w:p>
        </w:tc>
        <w:tc>
          <w:tcPr>
            <w:tcW w:w="536" w:type="dxa"/>
            <w:tcBorders>
              <w:top w:val="nil"/>
              <w:left w:val="nil"/>
              <w:bottom w:val="single" w:sz="4" w:space="0" w:color="auto"/>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37.8</w:t>
            </w:r>
          </w:p>
        </w:tc>
      </w:tr>
      <w:tr w:rsidR="00EB6B13" w:rsidRPr="00EB6B13" w:rsidTr="00EB6B13">
        <w:trPr>
          <w:divId w:val="1657495372"/>
          <w:trHeight w:val="300"/>
        </w:trPr>
        <w:tc>
          <w:tcPr>
            <w:tcW w:w="2258" w:type="dxa"/>
            <w:tcBorders>
              <w:top w:val="nil"/>
              <w:left w:val="single" w:sz="8" w:space="0" w:color="auto"/>
              <w:bottom w:val="nil"/>
              <w:right w:val="nil"/>
            </w:tcBorders>
            <w:shd w:val="clear" w:color="auto" w:fill="auto"/>
            <w:noWrap/>
            <w:vAlign w:val="bottom"/>
            <w:hideMark/>
          </w:tcPr>
          <w:p w:rsidR="00EB6B13" w:rsidRPr="00EB6B13" w:rsidRDefault="00EB6B13" w:rsidP="00EB6B13">
            <w:pPr>
              <w:spacing w:after="0" w:line="240" w:lineRule="auto"/>
              <w:rPr>
                <w:rFonts w:ascii="Calibri" w:eastAsia="Times New Roman" w:hAnsi="Calibri" w:cs="Times New Roman"/>
                <w:b/>
                <w:bCs/>
                <w:color w:val="000000"/>
                <w:sz w:val="16"/>
                <w:szCs w:val="18"/>
                <w:lang w:eastAsia="en-GB"/>
              </w:rPr>
            </w:pPr>
            <w:r w:rsidRPr="00EB6B13">
              <w:rPr>
                <w:rFonts w:ascii="Calibri" w:eastAsia="Times New Roman" w:hAnsi="Calibri" w:cs="Times New Roman"/>
                <w:b/>
                <w:bCs/>
                <w:color w:val="000000"/>
                <w:sz w:val="16"/>
                <w:szCs w:val="18"/>
                <w:lang w:eastAsia="en-GB"/>
              </w:rPr>
              <w:t>Kept new inhaler</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709"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p>
        </w:tc>
        <w:tc>
          <w:tcPr>
            <w:tcW w:w="811"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626"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718"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c>
          <w:tcPr>
            <w:tcW w:w="536" w:type="dxa"/>
            <w:tcBorders>
              <w:top w:val="nil"/>
              <w:left w:val="nil"/>
              <w:bottom w:val="nil"/>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 </w:t>
            </w:r>
          </w:p>
        </w:tc>
      </w:tr>
      <w:tr w:rsidR="00EB6B13" w:rsidRPr="00EB6B13" w:rsidTr="00EB6B13">
        <w:trPr>
          <w:divId w:val="1657495372"/>
          <w:trHeight w:val="300"/>
        </w:trPr>
        <w:tc>
          <w:tcPr>
            <w:tcW w:w="2258" w:type="dxa"/>
            <w:tcBorders>
              <w:top w:val="nil"/>
              <w:left w:val="single" w:sz="8" w:space="0" w:color="auto"/>
              <w:bottom w:val="nil"/>
              <w:right w:val="nil"/>
            </w:tcBorders>
            <w:shd w:val="clear" w:color="auto" w:fill="auto"/>
            <w:noWrap/>
            <w:vAlign w:val="bottom"/>
            <w:hideMark/>
          </w:tcPr>
          <w:p w:rsidR="00EB6B13" w:rsidRPr="00EB6B13" w:rsidRDefault="00EB6B13" w:rsidP="00EB6B13">
            <w:pPr>
              <w:spacing w:after="0" w:line="240" w:lineRule="auto"/>
              <w:ind w:firstLineChars="200" w:firstLine="320"/>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Yes</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5,015</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95.7</w:t>
            </w:r>
          </w:p>
        </w:tc>
        <w:tc>
          <w:tcPr>
            <w:tcW w:w="709"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22,135</w:t>
            </w:r>
          </w:p>
        </w:tc>
        <w:tc>
          <w:tcPr>
            <w:tcW w:w="567"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94.2</w:t>
            </w:r>
          </w:p>
        </w:tc>
        <w:tc>
          <w:tcPr>
            <w:tcW w:w="709" w:type="dxa"/>
            <w:tcBorders>
              <w:top w:val="nil"/>
              <w:left w:val="single" w:sz="4" w:space="0" w:color="auto"/>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47,486</w:t>
            </w:r>
          </w:p>
        </w:tc>
        <w:tc>
          <w:tcPr>
            <w:tcW w:w="567"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94.4</w:t>
            </w:r>
          </w:p>
        </w:tc>
        <w:tc>
          <w:tcPr>
            <w:tcW w:w="811"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48,795</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94.5</w:t>
            </w:r>
          </w:p>
        </w:tc>
        <w:tc>
          <w:tcPr>
            <w:tcW w:w="626"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3042</w:t>
            </w:r>
          </w:p>
        </w:tc>
        <w:tc>
          <w:tcPr>
            <w:tcW w:w="536" w:type="dxa"/>
            <w:tcBorders>
              <w:top w:val="nil"/>
              <w:left w:val="nil"/>
              <w:bottom w:val="nil"/>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93.4</w:t>
            </w:r>
          </w:p>
        </w:tc>
        <w:tc>
          <w:tcPr>
            <w:tcW w:w="718" w:type="dxa"/>
            <w:tcBorders>
              <w:top w:val="nil"/>
              <w:left w:val="nil"/>
              <w:bottom w:val="nil"/>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65,947</w:t>
            </w:r>
          </w:p>
        </w:tc>
        <w:tc>
          <w:tcPr>
            <w:tcW w:w="536" w:type="dxa"/>
            <w:tcBorders>
              <w:top w:val="nil"/>
              <w:left w:val="nil"/>
              <w:bottom w:val="nil"/>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94.5</w:t>
            </w:r>
          </w:p>
        </w:tc>
      </w:tr>
      <w:tr w:rsidR="00EB6B13" w:rsidRPr="00EB6B13" w:rsidTr="00EB6B13">
        <w:trPr>
          <w:divId w:val="1657495372"/>
          <w:trHeight w:val="315"/>
        </w:trPr>
        <w:tc>
          <w:tcPr>
            <w:tcW w:w="2258" w:type="dxa"/>
            <w:tcBorders>
              <w:top w:val="nil"/>
              <w:left w:val="single" w:sz="8" w:space="0" w:color="auto"/>
              <w:bottom w:val="single" w:sz="8" w:space="0" w:color="auto"/>
              <w:right w:val="nil"/>
            </w:tcBorders>
            <w:shd w:val="clear" w:color="auto" w:fill="auto"/>
            <w:noWrap/>
            <w:vAlign w:val="bottom"/>
            <w:hideMark/>
          </w:tcPr>
          <w:p w:rsidR="00EB6B13" w:rsidRPr="00EB6B13" w:rsidRDefault="00EB6B13" w:rsidP="00EB6B13">
            <w:pPr>
              <w:spacing w:after="0" w:line="240" w:lineRule="auto"/>
              <w:ind w:firstLineChars="200" w:firstLine="320"/>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No</w:t>
            </w:r>
          </w:p>
        </w:tc>
        <w:tc>
          <w:tcPr>
            <w:tcW w:w="709" w:type="dxa"/>
            <w:tcBorders>
              <w:top w:val="nil"/>
              <w:left w:val="single" w:sz="4" w:space="0" w:color="auto"/>
              <w:bottom w:val="single" w:sz="8"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227</w:t>
            </w:r>
          </w:p>
        </w:tc>
        <w:tc>
          <w:tcPr>
            <w:tcW w:w="567" w:type="dxa"/>
            <w:tcBorders>
              <w:top w:val="nil"/>
              <w:left w:val="nil"/>
              <w:bottom w:val="single" w:sz="8"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4.3</w:t>
            </w:r>
          </w:p>
        </w:tc>
        <w:tc>
          <w:tcPr>
            <w:tcW w:w="709" w:type="dxa"/>
            <w:tcBorders>
              <w:top w:val="nil"/>
              <w:left w:val="nil"/>
              <w:bottom w:val="single" w:sz="8"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1,353</w:t>
            </w:r>
          </w:p>
        </w:tc>
        <w:tc>
          <w:tcPr>
            <w:tcW w:w="567" w:type="dxa"/>
            <w:tcBorders>
              <w:top w:val="nil"/>
              <w:left w:val="nil"/>
              <w:bottom w:val="single" w:sz="8"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5.8</w:t>
            </w:r>
          </w:p>
        </w:tc>
        <w:tc>
          <w:tcPr>
            <w:tcW w:w="709" w:type="dxa"/>
            <w:tcBorders>
              <w:top w:val="nil"/>
              <w:left w:val="single" w:sz="4" w:space="0" w:color="auto"/>
              <w:bottom w:val="single" w:sz="8"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2,803</w:t>
            </w:r>
          </w:p>
        </w:tc>
        <w:tc>
          <w:tcPr>
            <w:tcW w:w="567" w:type="dxa"/>
            <w:tcBorders>
              <w:top w:val="nil"/>
              <w:left w:val="nil"/>
              <w:bottom w:val="single" w:sz="8"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5.6</w:t>
            </w:r>
          </w:p>
        </w:tc>
        <w:tc>
          <w:tcPr>
            <w:tcW w:w="811" w:type="dxa"/>
            <w:tcBorders>
              <w:top w:val="nil"/>
              <w:left w:val="nil"/>
              <w:bottom w:val="single" w:sz="8"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2,864</w:t>
            </w:r>
          </w:p>
        </w:tc>
        <w:tc>
          <w:tcPr>
            <w:tcW w:w="536" w:type="dxa"/>
            <w:tcBorders>
              <w:top w:val="nil"/>
              <w:left w:val="nil"/>
              <w:bottom w:val="single" w:sz="8"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5.5</w:t>
            </w:r>
          </w:p>
        </w:tc>
        <w:tc>
          <w:tcPr>
            <w:tcW w:w="626" w:type="dxa"/>
            <w:tcBorders>
              <w:top w:val="nil"/>
              <w:left w:val="nil"/>
              <w:bottom w:val="single" w:sz="8"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215</w:t>
            </w:r>
          </w:p>
        </w:tc>
        <w:tc>
          <w:tcPr>
            <w:tcW w:w="536" w:type="dxa"/>
            <w:tcBorders>
              <w:top w:val="nil"/>
              <w:left w:val="nil"/>
              <w:bottom w:val="single" w:sz="8" w:space="0" w:color="auto"/>
              <w:right w:val="single" w:sz="4"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6.6</w:t>
            </w:r>
          </w:p>
        </w:tc>
        <w:tc>
          <w:tcPr>
            <w:tcW w:w="718" w:type="dxa"/>
            <w:tcBorders>
              <w:top w:val="nil"/>
              <w:left w:val="nil"/>
              <w:bottom w:val="single" w:sz="8" w:space="0" w:color="auto"/>
              <w:right w:val="nil"/>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3,865</w:t>
            </w:r>
          </w:p>
        </w:tc>
        <w:tc>
          <w:tcPr>
            <w:tcW w:w="536" w:type="dxa"/>
            <w:tcBorders>
              <w:top w:val="nil"/>
              <w:left w:val="nil"/>
              <w:bottom w:val="single" w:sz="8" w:space="0" w:color="auto"/>
              <w:right w:val="single" w:sz="8" w:space="0" w:color="auto"/>
            </w:tcBorders>
            <w:shd w:val="clear" w:color="auto" w:fill="auto"/>
            <w:noWrap/>
            <w:vAlign w:val="bottom"/>
            <w:hideMark/>
          </w:tcPr>
          <w:p w:rsidR="00EB6B13" w:rsidRPr="00EB6B13" w:rsidRDefault="00EB6B13" w:rsidP="00EB6B13">
            <w:pPr>
              <w:spacing w:after="0" w:line="240" w:lineRule="auto"/>
              <w:jc w:val="center"/>
              <w:rPr>
                <w:rFonts w:ascii="Calibri" w:eastAsia="Times New Roman" w:hAnsi="Calibri" w:cs="Times New Roman"/>
                <w:color w:val="000000"/>
                <w:sz w:val="16"/>
                <w:szCs w:val="18"/>
                <w:lang w:eastAsia="en-GB"/>
              </w:rPr>
            </w:pPr>
            <w:r w:rsidRPr="00EB6B13">
              <w:rPr>
                <w:rFonts w:ascii="Calibri" w:eastAsia="Times New Roman" w:hAnsi="Calibri" w:cs="Times New Roman"/>
                <w:color w:val="000000"/>
                <w:sz w:val="16"/>
                <w:szCs w:val="18"/>
                <w:lang w:eastAsia="en-GB"/>
              </w:rPr>
              <w:t>5.5</w:t>
            </w:r>
          </w:p>
        </w:tc>
      </w:tr>
    </w:tbl>
    <w:p w:rsidR="0064500E" w:rsidRDefault="00B442A9" w:rsidP="0064500E">
      <w:r>
        <w:rPr>
          <w:b/>
        </w:rPr>
        <w:fldChar w:fldCharType="end"/>
      </w:r>
      <w:r w:rsidRPr="00384816">
        <w:rPr>
          <w:sz w:val="20"/>
        </w:rPr>
        <w:t>*Add on therapy included a LAMA, leukotriene receptor antagonist or slow release theophylline</w:t>
      </w:r>
      <w:r w:rsidR="0064500E">
        <w:rPr>
          <w:sz w:val="20"/>
        </w:rPr>
        <w:t xml:space="preserve">. COPD= chronic obstructive pulmonary disease. ICS=inhaled corticosteroid. LABA= long-acting beta agonist. LAMA=long-acting muscarinic antagonist. MDI=metered-dose inhaler. DPI=dry powdered inhaler. </w:t>
      </w:r>
    </w:p>
    <w:p w:rsidR="00B442A9" w:rsidRDefault="00B442A9" w:rsidP="00547A95"/>
    <w:p w:rsidR="00B442A9" w:rsidRDefault="00B442A9">
      <w:pPr>
        <w:spacing w:after="160" w:line="259" w:lineRule="auto"/>
      </w:pPr>
      <w:r>
        <w:br w:type="page"/>
      </w:r>
    </w:p>
    <w:p w:rsidR="00547A95" w:rsidRDefault="00547A95" w:rsidP="00547A95">
      <w:pPr>
        <w:rPr>
          <w:b/>
        </w:rPr>
      </w:pPr>
      <w:r w:rsidRPr="008C1E2C">
        <w:lastRenderedPageBreak/>
        <w:t>Table 2.</w:t>
      </w:r>
      <w:r>
        <w:rPr>
          <w:b/>
        </w:rPr>
        <w:t xml:space="preserve"> </w:t>
      </w:r>
      <w:r w:rsidR="008C1E2C">
        <w:t>Age-adjusted</w:t>
      </w:r>
      <w:r w:rsidR="008C1E2C" w:rsidRPr="008C1E2C">
        <w:t xml:space="preserve"> incidence rate ratios of exacerbations</w:t>
      </w:r>
      <w:r w:rsidR="008C1E2C">
        <w:t>,</w:t>
      </w:r>
      <w:r w:rsidR="008C1E2C" w:rsidRPr="008C1E2C">
        <w:t xml:space="preserve"> in the </w:t>
      </w:r>
      <w:r w:rsidR="008C1E2C">
        <w:t xml:space="preserve">3-month </w:t>
      </w:r>
      <w:r w:rsidR="008C1E2C" w:rsidRPr="008C1E2C">
        <w:t xml:space="preserve">risk period </w:t>
      </w:r>
      <w:r w:rsidR="008C1E2C">
        <w:t xml:space="preserve">after a </w:t>
      </w:r>
      <w:r w:rsidR="008C1E2C" w:rsidRPr="008C1E2C">
        <w:t>brand</w:t>
      </w:r>
      <w:r w:rsidR="008C1E2C">
        <w:t>-</w:t>
      </w:r>
      <w:r w:rsidR="008C1E2C" w:rsidRPr="008C1E2C">
        <w:t>to</w:t>
      </w:r>
      <w:r w:rsidR="008C1E2C">
        <w:t>-</w:t>
      </w:r>
      <w:r w:rsidR="008C1E2C" w:rsidRPr="008C1E2C">
        <w:t>generic inhaler switch</w:t>
      </w:r>
      <w:r w:rsidR="008C1E2C">
        <w:t>,</w:t>
      </w:r>
      <w:r w:rsidR="008C1E2C" w:rsidRPr="008C1E2C">
        <w:t xml:space="preserve"> </w:t>
      </w:r>
      <w:r w:rsidR="008C1E2C">
        <w:t>compared to stable period</w:t>
      </w:r>
      <w:r w:rsidR="00723A21">
        <w:t>s</w:t>
      </w:r>
      <w:r w:rsidR="008C1E2C" w:rsidRPr="008C1E2C">
        <w:t>.</w:t>
      </w:r>
    </w:p>
    <w:tbl>
      <w:tblPr>
        <w:tblW w:w="9520" w:type="dxa"/>
        <w:tblLook w:val="04A0" w:firstRow="1" w:lastRow="0" w:firstColumn="1" w:lastColumn="0" w:noHBand="0" w:noVBand="1"/>
      </w:tblPr>
      <w:tblGrid>
        <w:gridCol w:w="2600"/>
        <w:gridCol w:w="960"/>
        <w:gridCol w:w="1380"/>
        <w:gridCol w:w="1540"/>
        <w:gridCol w:w="960"/>
        <w:gridCol w:w="1120"/>
        <w:gridCol w:w="960"/>
      </w:tblGrid>
      <w:tr w:rsidR="00547A95" w:rsidRPr="00547A95" w:rsidTr="00547A95">
        <w:trPr>
          <w:trHeight w:val="510"/>
        </w:trPr>
        <w:tc>
          <w:tcPr>
            <w:tcW w:w="2600" w:type="dxa"/>
            <w:tcBorders>
              <w:top w:val="single" w:sz="8" w:space="0" w:color="auto"/>
              <w:left w:val="single" w:sz="8" w:space="0" w:color="auto"/>
              <w:bottom w:val="single" w:sz="4" w:space="0" w:color="auto"/>
              <w:right w:val="nil"/>
            </w:tcBorders>
            <w:shd w:val="clear" w:color="000000" w:fill="D9D9D9"/>
            <w:noWrap/>
            <w:vAlign w:val="center"/>
            <w:hideMark/>
          </w:tcPr>
          <w:p w:rsidR="00547A95" w:rsidRPr="00547A95" w:rsidRDefault="00547A95" w:rsidP="00547A95">
            <w:pPr>
              <w:spacing w:after="0" w:line="240" w:lineRule="auto"/>
              <w:rPr>
                <w:rFonts w:ascii="Calibri" w:eastAsia="Times New Roman" w:hAnsi="Calibri" w:cs="Times New Roman"/>
                <w:b/>
                <w:bCs/>
                <w:color w:val="000000"/>
                <w:sz w:val="20"/>
                <w:szCs w:val="20"/>
                <w:lang w:eastAsia="en-GB"/>
              </w:rPr>
            </w:pPr>
            <w:r w:rsidRPr="00547A95">
              <w:rPr>
                <w:rFonts w:ascii="Calibri" w:eastAsia="Times New Roman" w:hAnsi="Calibri" w:cs="Times New Roman"/>
                <w:b/>
                <w:bCs/>
                <w:color w:val="000000"/>
                <w:sz w:val="20"/>
                <w:szCs w:val="20"/>
                <w:lang w:eastAsia="en-GB"/>
              </w:rPr>
              <w:t> </w:t>
            </w:r>
          </w:p>
        </w:tc>
        <w:tc>
          <w:tcPr>
            <w:tcW w:w="960" w:type="dxa"/>
            <w:tcBorders>
              <w:top w:val="single" w:sz="8" w:space="0" w:color="auto"/>
              <w:left w:val="single" w:sz="4" w:space="0" w:color="auto"/>
              <w:bottom w:val="single" w:sz="4" w:space="0" w:color="auto"/>
              <w:right w:val="single" w:sz="4" w:space="0" w:color="auto"/>
            </w:tcBorders>
            <w:shd w:val="clear" w:color="000000" w:fill="D9D9D9"/>
            <w:vAlign w:val="center"/>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Patients</w:t>
            </w:r>
            <w:r w:rsidRPr="00547A95">
              <w:rPr>
                <w:rFonts w:ascii="Calibri" w:eastAsia="Times New Roman" w:hAnsi="Calibri" w:cs="Times New Roman"/>
                <w:color w:val="000000"/>
                <w:sz w:val="20"/>
                <w:szCs w:val="20"/>
                <w:lang w:eastAsia="en-GB"/>
              </w:rPr>
              <w:br/>
              <w:t>(N)</w:t>
            </w:r>
          </w:p>
        </w:tc>
        <w:tc>
          <w:tcPr>
            <w:tcW w:w="1380" w:type="dxa"/>
            <w:tcBorders>
              <w:top w:val="single" w:sz="8" w:space="0" w:color="auto"/>
              <w:left w:val="nil"/>
              <w:bottom w:val="single" w:sz="4" w:space="0" w:color="auto"/>
              <w:right w:val="single" w:sz="4" w:space="0" w:color="auto"/>
            </w:tcBorders>
            <w:shd w:val="clear" w:color="000000" w:fill="D9D9D9"/>
            <w:vAlign w:val="center"/>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xml:space="preserve"> Exacerbations</w:t>
            </w:r>
            <w:r w:rsidRPr="00547A95">
              <w:rPr>
                <w:rFonts w:ascii="Calibri" w:eastAsia="Times New Roman" w:hAnsi="Calibri" w:cs="Times New Roman"/>
                <w:color w:val="000000"/>
                <w:sz w:val="20"/>
                <w:szCs w:val="20"/>
                <w:lang w:eastAsia="en-GB"/>
              </w:rPr>
              <w:br/>
              <w:t>in risk period</w:t>
            </w:r>
          </w:p>
        </w:tc>
        <w:tc>
          <w:tcPr>
            <w:tcW w:w="1540" w:type="dxa"/>
            <w:tcBorders>
              <w:top w:val="single" w:sz="8" w:space="0" w:color="auto"/>
              <w:left w:val="nil"/>
              <w:bottom w:val="single" w:sz="4" w:space="0" w:color="auto"/>
              <w:right w:val="single" w:sz="4" w:space="0" w:color="auto"/>
            </w:tcBorders>
            <w:shd w:val="clear" w:color="000000" w:fill="D9D9D9"/>
            <w:vAlign w:val="center"/>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Exacerbations in</w:t>
            </w:r>
            <w:r w:rsidRPr="00547A95">
              <w:rPr>
                <w:rFonts w:ascii="Calibri" w:eastAsia="Times New Roman" w:hAnsi="Calibri" w:cs="Times New Roman"/>
                <w:color w:val="000000"/>
                <w:sz w:val="20"/>
                <w:szCs w:val="20"/>
                <w:lang w:eastAsia="en-GB"/>
              </w:rPr>
              <w:br/>
              <w:t>control period</w:t>
            </w:r>
          </w:p>
        </w:tc>
        <w:tc>
          <w:tcPr>
            <w:tcW w:w="960" w:type="dxa"/>
            <w:tcBorders>
              <w:top w:val="single" w:sz="8" w:space="0" w:color="auto"/>
              <w:left w:val="nil"/>
              <w:bottom w:val="single" w:sz="4" w:space="0" w:color="auto"/>
              <w:right w:val="nil"/>
            </w:tcBorders>
            <w:shd w:val="clear" w:color="000000" w:fill="D9D9D9"/>
            <w:vAlign w:val="center"/>
            <w:hideMark/>
          </w:tcPr>
          <w:p w:rsidR="00547A95" w:rsidRPr="00547A95" w:rsidRDefault="00547A95" w:rsidP="00547A95">
            <w:pPr>
              <w:spacing w:after="0" w:line="240" w:lineRule="auto"/>
              <w:jc w:val="center"/>
              <w:rPr>
                <w:rFonts w:ascii="Calibri" w:eastAsia="Times New Roman" w:hAnsi="Calibri" w:cs="Times New Roman"/>
                <w:b/>
                <w:bCs/>
                <w:color w:val="000000"/>
                <w:sz w:val="20"/>
                <w:szCs w:val="20"/>
                <w:lang w:eastAsia="en-GB"/>
              </w:rPr>
            </w:pPr>
            <w:r w:rsidRPr="00547A95">
              <w:rPr>
                <w:rFonts w:ascii="Calibri" w:eastAsia="Times New Roman" w:hAnsi="Calibri" w:cs="Times New Roman"/>
                <w:b/>
                <w:bCs/>
                <w:color w:val="000000"/>
                <w:sz w:val="20"/>
                <w:szCs w:val="20"/>
                <w:lang w:eastAsia="en-GB"/>
              </w:rPr>
              <w:t xml:space="preserve">IRR </w:t>
            </w:r>
          </w:p>
        </w:tc>
        <w:tc>
          <w:tcPr>
            <w:tcW w:w="1120" w:type="dxa"/>
            <w:tcBorders>
              <w:top w:val="single" w:sz="8" w:space="0" w:color="auto"/>
              <w:left w:val="nil"/>
              <w:bottom w:val="single" w:sz="4" w:space="0" w:color="auto"/>
              <w:right w:val="nil"/>
            </w:tcBorders>
            <w:shd w:val="clear" w:color="000000" w:fill="D9D9D9"/>
            <w:noWrap/>
            <w:vAlign w:val="center"/>
            <w:hideMark/>
          </w:tcPr>
          <w:p w:rsidR="00547A95" w:rsidRPr="00547A95" w:rsidRDefault="00547A95" w:rsidP="00547A95">
            <w:pPr>
              <w:spacing w:after="0" w:line="240" w:lineRule="auto"/>
              <w:jc w:val="center"/>
              <w:rPr>
                <w:rFonts w:ascii="Calibri" w:eastAsia="Times New Roman" w:hAnsi="Calibri" w:cs="Times New Roman"/>
                <w:b/>
                <w:bCs/>
                <w:color w:val="000000"/>
                <w:sz w:val="20"/>
                <w:szCs w:val="20"/>
                <w:lang w:eastAsia="en-GB"/>
              </w:rPr>
            </w:pPr>
            <w:r w:rsidRPr="00547A95">
              <w:rPr>
                <w:rFonts w:ascii="Calibri" w:eastAsia="Times New Roman" w:hAnsi="Calibri" w:cs="Times New Roman"/>
                <w:b/>
                <w:bCs/>
                <w:color w:val="000000"/>
                <w:sz w:val="20"/>
                <w:szCs w:val="20"/>
                <w:lang w:eastAsia="en-GB"/>
              </w:rPr>
              <w:t>95% CI</w:t>
            </w:r>
          </w:p>
        </w:tc>
        <w:tc>
          <w:tcPr>
            <w:tcW w:w="960" w:type="dxa"/>
            <w:tcBorders>
              <w:top w:val="single" w:sz="8" w:space="0" w:color="auto"/>
              <w:left w:val="single" w:sz="4" w:space="0" w:color="auto"/>
              <w:bottom w:val="single" w:sz="4" w:space="0" w:color="auto"/>
              <w:right w:val="single" w:sz="8" w:space="0" w:color="auto"/>
            </w:tcBorders>
            <w:shd w:val="clear" w:color="000000" w:fill="D9D9D9"/>
            <w:noWrap/>
            <w:vAlign w:val="center"/>
            <w:hideMark/>
          </w:tcPr>
          <w:p w:rsidR="00547A95" w:rsidRPr="00547A95" w:rsidRDefault="00547A95" w:rsidP="00547A95">
            <w:pPr>
              <w:spacing w:after="0" w:line="240" w:lineRule="auto"/>
              <w:jc w:val="center"/>
              <w:rPr>
                <w:rFonts w:ascii="Calibri" w:eastAsia="Times New Roman" w:hAnsi="Calibri" w:cs="Times New Roman"/>
                <w:b/>
                <w:bCs/>
                <w:color w:val="000000"/>
                <w:sz w:val="20"/>
                <w:szCs w:val="20"/>
                <w:lang w:eastAsia="en-GB"/>
              </w:rPr>
            </w:pPr>
            <w:r w:rsidRPr="00547A95">
              <w:rPr>
                <w:rFonts w:ascii="Calibri" w:eastAsia="Times New Roman" w:hAnsi="Calibri" w:cs="Times New Roman"/>
                <w:b/>
                <w:bCs/>
                <w:color w:val="000000"/>
                <w:sz w:val="20"/>
                <w:szCs w:val="20"/>
                <w:lang w:eastAsia="en-GB"/>
              </w:rPr>
              <w:t> </w:t>
            </w:r>
          </w:p>
        </w:tc>
      </w:tr>
      <w:tr w:rsidR="00547A95" w:rsidRPr="00547A95" w:rsidTr="00547A95">
        <w:trPr>
          <w:trHeight w:val="480"/>
        </w:trPr>
        <w:tc>
          <w:tcPr>
            <w:tcW w:w="2600" w:type="dxa"/>
            <w:tcBorders>
              <w:top w:val="nil"/>
              <w:left w:val="single" w:sz="8" w:space="0" w:color="auto"/>
              <w:bottom w:val="double" w:sz="6" w:space="0" w:color="auto"/>
              <w:right w:val="nil"/>
            </w:tcBorders>
            <w:shd w:val="clear" w:color="auto" w:fill="auto"/>
            <w:noWrap/>
            <w:vAlign w:val="center"/>
            <w:hideMark/>
          </w:tcPr>
          <w:p w:rsidR="00547A95" w:rsidRPr="00547A95" w:rsidRDefault="00547A95" w:rsidP="00547A95">
            <w:pPr>
              <w:spacing w:after="0" w:line="240" w:lineRule="auto"/>
              <w:rPr>
                <w:rFonts w:ascii="Calibri" w:eastAsia="Times New Roman" w:hAnsi="Calibri" w:cs="Times New Roman"/>
                <w:b/>
                <w:bCs/>
                <w:color w:val="000000"/>
                <w:sz w:val="20"/>
                <w:szCs w:val="20"/>
                <w:lang w:eastAsia="en-GB"/>
              </w:rPr>
            </w:pPr>
            <w:r w:rsidRPr="00547A95">
              <w:rPr>
                <w:rFonts w:ascii="Calibri" w:eastAsia="Times New Roman" w:hAnsi="Calibri" w:cs="Times New Roman"/>
                <w:b/>
                <w:bCs/>
                <w:color w:val="000000"/>
                <w:sz w:val="20"/>
                <w:szCs w:val="20"/>
                <w:lang w:eastAsia="en-GB"/>
              </w:rPr>
              <w:t>3-month risk period</w:t>
            </w:r>
          </w:p>
        </w:tc>
        <w:tc>
          <w:tcPr>
            <w:tcW w:w="960" w:type="dxa"/>
            <w:tcBorders>
              <w:top w:val="nil"/>
              <w:left w:val="single" w:sz="4" w:space="0" w:color="auto"/>
              <w:bottom w:val="double" w:sz="6" w:space="0" w:color="auto"/>
              <w:right w:val="single" w:sz="4" w:space="0" w:color="auto"/>
            </w:tcBorders>
            <w:shd w:val="clear" w:color="auto" w:fill="auto"/>
            <w:noWrap/>
            <w:vAlign w:val="center"/>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1719</w:t>
            </w:r>
          </w:p>
        </w:tc>
        <w:tc>
          <w:tcPr>
            <w:tcW w:w="1380" w:type="dxa"/>
            <w:tcBorders>
              <w:top w:val="nil"/>
              <w:left w:val="nil"/>
              <w:bottom w:val="double" w:sz="6" w:space="0" w:color="auto"/>
              <w:right w:val="single" w:sz="4" w:space="0" w:color="auto"/>
            </w:tcBorders>
            <w:shd w:val="clear" w:color="auto" w:fill="auto"/>
            <w:noWrap/>
            <w:vAlign w:val="center"/>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168</w:t>
            </w:r>
          </w:p>
        </w:tc>
        <w:tc>
          <w:tcPr>
            <w:tcW w:w="1540" w:type="dxa"/>
            <w:tcBorders>
              <w:top w:val="nil"/>
              <w:left w:val="nil"/>
              <w:bottom w:val="double" w:sz="6" w:space="0" w:color="auto"/>
              <w:right w:val="single" w:sz="4" w:space="0" w:color="auto"/>
            </w:tcBorders>
            <w:shd w:val="clear" w:color="auto" w:fill="auto"/>
            <w:noWrap/>
            <w:vAlign w:val="center"/>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1483</w:t>
            </w:r>
          </w:p>
        </w:tc>
        <w:tc>
          <w:tcPr>
            <w:tcW w:w="960" w:type="dxa"/>
            <w:tcBorders>
              <w:top w:val="nil"/>
              <w:left w:val="nil"/>
              <w:bottom w:val="double" w:sz="6" w:space="0" w:color="auto"/>
              <w:right w:val="nil"/>
            </w:tcBorders>
            <w:shd w:val="clear" w:color="auto" w:fill="auto"/>
            <w:noWrap/>
            <w:vAlign w:val="center"/>
            <w:hideMark/>
          </w:tcPr>
          <w:p w:rsidR="00547A95" w:rsidRPr="00547A95" w:rsidRDefault="00547A95" w:rsidP="00547A95">
            <w:pPr>
              <w:spacing w:after="0" w:line="240" w:lineRule="auto"/>
              <w:jc w:val="center"/>
              <w:rPr>
                <w:rFonts w:ascii="Calibri" w:eastAsia="Times New Roman" w:hAnsi="Calibri" w:cs="Times New Roman"/>
                <w:b/>
                <w:bCs/>
                <w:color w:val="000000"/>
                <w:sz w:val="20"/>
                <w:szCs w:val="20"/>
                <w:lang w:eastAsia="en-GB"/>
              </w:rPr>
            </w:pPr>
            <w:r w:rsidRPr="00547A95">
              <w:rPr>
                <w:rFonts w:ascii="Calibri" w:eastAsia="Times New Roman" w:hAnsi="Calibri" w:cs="Times New Roman"/>
                <w:b/>
                <w:bCs/>
                <w:color w:val="000000"/>
                <w:sz w:val="20"/>
                <w:szCs w:val="20"/>
                <w:lang w:eastAsia="en-GB"/>
              </w:rPr>
              <w:t>0.75</w:t>
            </w:r>
          </w:p>
        </w:tc>
        <w:tc>
          <w:tcPr>
            <w:tcW w:w="1120" w:type="dxa"/>
            <w:tcBorders>
              <w:top w:val="nil"/>
              <w:left w:val="nil"/>
              <w:bottom w:val="double" w:sz="6" w:space="0" w:color="auto"/>
              <w:right w:val="nil"/>
            </w:tcBorders>
            <w:shd w:val="clear" w:color="auto" w:fill="auto"/>
            <w:noWrap/>
            <w:vAlign w:val="center"/>
            <w:hideMark/>
          </w:tcPr>
          <w:p w:rsidR="00547A95" w:rsidRPr="00547A95" w:rsidRDefault="00547A95" w:rsidP="00547A95">
            <w:pPr>
              <w:spacing w:after="0" w:line="240" w:lineRule="auto"/>
              <w:jc w:val="center"/>
              <w:rPr>
                <w:rFonts w:ascii="Calibri" w:eastAsia="Times New Roman" w:hAnsi="Calibri" w:cs="Times New Roman"/>
                <w:b/>
                <w:bCs/>
                <w:color w:val="000000"/>
                <w:sz w:val="20"/>
                <w:szCs w:val="20"/>
                <w:lang w:eastAsia="en-GB"/>
              </w:rPr>
            </w:pPr>
            <w:r w:rsidRPr="00547A95">
              <w:rPr>
                <w:rFonts w:ascii="Calibri" w:eastAsia="Times New Roman" w:hAnsi="Calibri" w:cs="Times New Roman"/>
                <w:b/>
                <w:bCs/>
                <w:color w:val="000000"/>
                <w:sz w:val="20"/>
                <w:szCs w:val="20"/>
                <w:lang w:eastAsia="en-GB"/>
              </w:rPr>
              <w:t>0.64-0.88</w:t>
            </w:r>
          </w:p>
        </w:tc>
        <w:tc>
          <w:tcPr>
            <w:tcW w:w="960" w:type="dxa"/>
            <w:tcBorders>
              <w:top w:val="nil"/>
              <w:left w:val="single" w:sz="4" w:space="0" w:color="auto"/>
              <w:bottom w:val="double" w:sz="6" w:space="0" w:color="auto"/>
              <w:right w:val="single" w:sz="8" w:space="0" w:color="auto"/>
            </w:tcBorders>
            <w:shd w:val="clear" w:color="auto" w:fill="auto"/>
            <w:noWrap/>
            <w:vAlign w:val="center"/>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r>
      <w:tr w:rsidR="00547A95" w:rsidRPr="00547A95" w:rsidTr="00547A95">
        <w:trPr>
          <w:trHeight w:val="630"/>
        </w:trPr>
        <w:tc>
          <w:tcPr>
            <w:tcW w:w="2600" w:type="dxa"/>
            <w:tcBorders>
              <w:top w:val="nil"/>
              <w:left w:val="single" w:sz="8" w:space="0" w:color="auto"/>
              <w:bottom w:val="single" w:sz="4" w:space="0" w:color="auto"/>
              <w:right w:val="nil"/>
            </w:tcBorders>
            <w:shd w:val="clear" w:color="000000" w:fill="D9D9D9"/>
            <w:vAlign w:val="center"/>
            <w:hideMark/>
          </w:tcPr>
          <w:p w:rsidR="00547A95" w:rsidRPr="00547A95" w:rsidRDefault="00547A95" w:rsidP="00547A95">
            <w:pPr>
              <w:spacing w:after="0" w:line="240" w:lineRule="auto"/>
              <w:rPr>
                <w:rFonts w:ascii="Calibri" w:eastAsia="Times New Roman" w:hAnsi="Calibri" w:cs="Times New Roman"/>
                <w:b/>
                <w:bCs/>
                <w:color w:val="000000"/>
                <w:sz w:val="20"/>
                <w:szCs w:val="20"/>
                <w:lang w:eastAsia="en-GB"/>
              </w:rPr>
            </w:pPr>
            <w:r w:rsidRPr="00547A95">
              <w:rPr>
                <w:rFonts w:ascii="Calibri" w:eastAsia="Times New Roman" w:hAnsi="Calibri" w:cs="Times New Roman"/>
                <w:b/>
                <w:bCs/>
                <w:color w:val="000000"/>
                <w:sz w:val="20"/>
                <w:szCs w:val="20"/>
                <w:lang w:eastAsia="en-GB"/>
              </w:rPr>
              <w:t>Variable association may be modified by</w:t>
            </w:r>
          </w:p>
        </w:tc>
        <w:tc>
          <w:tcPr>
            <w:tcW w:w="960" w:type="dxa"/>
            <w:tcBorders>
              <w:top w:val="nil"/>
              <w:left w:val="single" w:sz="4" w:space="0" w:color="auto"/>
              <w:bottom w:val="single" w:sz="4" w:space="0" w:color="auto"/>
              <w:right w:val="single" w:sz="4" w:space="0" w:color="auto"/>
            </w:tcBorders>
            <w:shd w:val="clear" w:color="000000" w:fill="D9D9D9"/>
            <w:vAlign w:val="center"/>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Patients</w:t>
            </w:r>
            <w:r w:rsidRPr="00547A95">
              <w:rPr>
                <w:rFonts w:ascii="Calibri" w:eastAsia="Times New Roman" w:hAnsi="Calibri" w:cs="Times New Roman"/>
                <w:color w:val="000000"/>
                <w:sz w:val="20"/>
                <w:szCs w:val="20"/>
                <w:lang w:eastAsia="en-GB"/>
              </w:rPr>
              <w:br/>
              <w:t>(N)</w:t>
            </w:r>
          </w:p>
        </w:tc>
        <w:tc>
          <w:tcPr>
            <w:tcW w:w="1380" w:type="dxa"/>
            <w:tcBorders>
              <w:top w:val="nil"/>
              <w:left w:val="nil"/>
              <w:bottom w:val="single" w:sz="4" w:space="0" w:color="auto"/>
              <w:right w:val="single" w:sz="4" w:space="0" w:color="auto"/>
            </w:tcBorders>
            <w:shd w:val="clear" w:color="000000" w:fill="D9D9D9"/>
            <w:vAlign w:val="center"/>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Exacerbations</w:t>
            </w:r>
            <w:r w:rsidRPr="00547A95">
              <w:rPr>
                <w:rFonts w:ascii="Calibri" w:eastAsia="Times New Roman" w:hAnsi="Calibri" w:cs="Times New Roman"/>
                <w:color w:val="000000"/>
                <w:sz w:val="20"/>
                <w:szCs w:val="20"/>
                <w:lang w:eastAsia="en-GB"/>
              </w:rPr>
              <w:br/>
              <w:t>in risk period</w:t>
            </w:r>
          </w:p>
        </w:tc>
        <w:tc>
          <w:tcPr>
            <w:tcW w:w="1540" w:type="dxa"/>
            <w:tcBorders>
              <w:top w:val="nil"/>
              <w:left w:val="nil"/>
              <w:bottom w:val="single" w:sz="4" w:space="0" w:color="auto"/>
              <w:right w:val="single" w:sz="4" w:space="0" w:color="auto"/>
            </w:tcBorders>
            <w:shd w:val="clear" w:color="000000" w:fill="D9D9D9"/>
            <w:vAlign w:val="center"/>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Exacerbations in</w:t>
            </w:r>
            <w:r w:rsidRPr="00547A95">
              <w:rPr>
                <w:rFonts w:ascii="Calibri" w:eastAsia="Times New Roman" w:hAnsi="Calibri" w:cs="Times New Roman"/>
                <w:color w:val="000000"/>
                <w:sz w:val="20"/>
                <w:szCs w:val="20"/>
                <w:lang w:eastAsia="en-GB"/>
              </w:rPr>
              <w:br/>
              <w:t>control period</w:t>
            </w:r>
          </w:p>
        </w:tc>
        <w:tc>
          <w:tcPr>
            <w:tcW w:w="960" w:type="dxa"/>
            <w:tcBorders>
              <w:top w:val="nil"/>
              <w:left w:val="nil"/>
              <w:bottom w:val="single" w:sz="4" w:space="0" w:color="auto"/>
              <w:right w:val="nil"/>
            </w:tcBorders>
            <w:shd w:val="clear" w:color="000000" w:fill="D9D9D9"/>
            <w:vAlign w:val="center"/>
            <w:hideMark/>
          </w:tcPr>
          <w:p w:rsidR="00547A95" w:rsidRPr="00547A95" w:rsidRDefault="00547A95" w:rsidP="00547A95">
            <w:pPr>
              <w:spacing w:after="0" w:line="240" w:lineRule="auto"/>
              <w:jc w:val="center"/>
              <w:rPr>
                <w:rFonts w:ascii="Calibri" w:eastAsia="Times New Roman" w:hAnsi="Calibri" w:cs="Times New Roman"/>
                <w:b/>
                <w:bCs/>
                <w:color w:val="000000"/>
                <w:sz w:val="20"/>
                <w:szCs w:val="20"/>
                <w:lang w:eastAsia="en-GB"/>
              </w:rPr>
            </w:pPr>
            <w:r w:rsidRPr="00547A95">
              <w:rPr>
                <w:rFonts w:ascii="Calibri" w:eastAsia="Times New Roman" w:hAnsi="Calibri" w:cs="Times New Roman"/>
                <w:b/>
                <w:bCs/>
                <w:color w:val="000000"/>
                <w:sz w:val="20"/>
                <w:szCs w:val="20"/>
                <w:lang w:eastAsia="en-GB"/>
              </w:rPr>
              <w:t xml:space="preserve">IRR </w:t>
            </w:r>
          </w:p>
        </w:tc>
        <w:tc>
          <w:tcPr>
            <w:tcW w:w="1120" w:type="dxa"/>
            <w:tcBorders>
              <w:top w:val="nil"/>
              <w:left w:val="nil"/>
              <w:bottom w:val="single" w:sz="4" w:space="0" w:color="auto"/>
              <w:right w:val="nil"/>
            </w:tcBorders>
            <w:shd w:val="clear" w:color="000000" w:fill="D9D9D9"/>
            <w:noWrap/>
            <w:vAlign w:val="center"/>
            <w:hideMark/>
          </w:tcPr>
          <w:p w:rsidR="00547A95" w:rsidRPr="00547A95" w:rsidRDefault="00547A95" w:rsidP="00547A95">
            <w:pPr>
              <w:spacing w:after="0" w:line="240" w:lineRule="auto"/>
              <w:jc w:val="center"/>
              <w:rPr>
                <w:rFonts w:ascii="Calibri" w:eastAsia="Times New Roman" w:hAnsi="Calibri" w:cs="Times New Roman"/>
                <w:b/>
                <w:bCs/>
                <w:color w:val="000000"/>
                <w:sz w:val="20"/>
                <w:szCs w:val="20"/>
                <w:lang w:eastAsia="en-GB"/>
              </w:rPr>
            </w:pPr>
            <w:r w:rsidRPr="00547A95">
              <w:rPr>
                <w:rFonts w:ascii="Calibri" w:eastAsia="Times New Roman" w:hAnsi="Calibri" w:cs="Times New Roman"/>
                <w:b/>
                <w:bCs/>
                <w:color w:val="000000"/>
                <w:sz w:val="20"/>
                <w:szCs w:val="20"/>
                <w:lang w:eastAsia="en-GB"/>
              </w:rPr>
              <w:t>95% CI</w:t>
            </w:r>
          </w:p>
        </w:tc>
        <w:tc>
          <w:tcPr>
            <w:tcW w:w="960" w:type="dxa"/>
            <w:tcBorders>
              <w:top w:val="nil"/>
              <w:left w:val="single" w:sz="4" w:space="0" w:color="auto"/>
              <w:bottom w:val="single" w:sz="4" w:space="0" w:color="auto"/>
              <w:right w:val="single" w:sz="8" w:space="0" w:color="auto"/>
            </w:tcBorders>
            <w:shd w:val="clear" w:color="000000" w:fill="D9D9D9"/>
            <w:vAlign w:val="center"/>
            <w:hideMark/>
          </w:tcPr>
          <w:p w:rsidR="00547A95" w:rsidRPr="00547A95" w:rsidRDefault="00547A95" w:rsidP="00547A95">
            <w:pPr>
              <w:spacing w:after="0" w:line="240" w:lineRule="auto"/>
              <w:jc w:val="center"/>
              <w:rPr>
                <w:rFonts w:ascii="Calibri" w:eastAsia="Times New Roman" w:hAnsi="Calibri" w:cs="Times New Roman"/>
                <w:b/>
                <w:bCs/>
                <w:color w:val="000000"/>
                <w:sz w:val="20"/>
                <w:szCs w:val="20"/>
                <w:lang w:eastAsia="en-GB"/>
              </w:rPr>
            </w:pPr>
            <w:r w:rsidRPr="00547A95">
              <w:rPr>
                <w:rFonts w:ascii="Calibri" w:eastAsia="Times New Roman" w:hAnsi="Calibri" w:cs="Times New Roman"/>
                <w:b/>
                <w:bCs/>
                <w:color w:val="000000"/>
                <w:sz w:val="20"/>
                <w:szCs w:val="20"/>
                <w:lang w:eastAsia="en-GB"/>
              </w:rPr>
              <w:t>p-value*</w:t>
            </w:r>
          </w:p>
        </w:tc>
      </w:tr>
      <w:tr w:rsidR="00547A95" w:rsidRPr="00547A95" w:rsidTr="00547A95">
        <w:trPr>
          <w:trHeight w:val="300"/>
        </w:trPr>
        <w:tc>
          <w:tcPr>
            <w:tcW w:w="2600" w:type="dxa"/>
            <w:tcBorders>
              <w:top w:val="nil"/>
              <w:left w:val="single" w:sz="8" w:space="0" w:color="auto"/>
              <w:bottom w:val="nil"/>
              <w:right w:val="nil"/>
            </w:tcBorders>
            <w:shd w:val="clear" w:color="auto" w:fill="auto"/>
            <w:noWrap/>
            <w:vAlign w:val="bottom"/>
            <w:hideMark/>
          </w:tcPr>
          <w:p w:rsidR="00547A95" w:rsidRPr="00547A95" w:rsidRDefault="00547A95" w:rsidP="00547A95">
            <w:pPr>
              <w:spacing w:after="0" w:line="240" w:lineRule="auto"/>
              <w:rPr>
                <w:rFonts w:ascii="Calibri" w:eastAsia="Times New Roman" w:hAnsi="Calibri" w:cs="Times New Roman"/>
                <w:b/>
                <w:bCs/>
                <w:color w:val="000000"/>
                <w:sz w:val="20"/>
                <w:szCs w:val="20"/>
                <w:lang w:eastAsia="en-GB"/>
              </w:rPr>
            </w:pPr>
            <w:r w:rsidRPr="00547A95">
              <w:rPr>
                <w:rFonts w:ascii="Calibri" w:eastAsia="Times New Roman" w:hAnsi="Calibri" w:cs="Times New Roman"/>
                <w:b/>
                <w:bCs/>
                <w:color w:val="000000"/>
                <w:sz w:val="20"/>
                <w:szCs w:val="20"/>
                <w:lang w:eastAsia="en-GB"/>
              </w:rPr>
              <w:t>Disease</w:t>
            </w:r>
          </w:p>
        </w:tc>
        <w:tc>
          <w:tcPr>
            <w:tcW w:w="960" w:type="dxa"/>
            <w:tcBorders>
              <w:top w:val="nil"/>
              <w:left w:val="single" w:sz="4" w:space="0" w:color="auto"/>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1380" w:type="dxa"/>
            <w:tcBorders>
              <w:top w:val="nil"/>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1540" w:type="dxa"/>
            <w:tcBorders>
              <w:top w:val="nil"/>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960" w:type="dxa"/>
            <w:tcBorders>
              <w:top w:val="nil"/>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1120" w:type="dxa"/>
            <w:tcBorders>
              <w:top w:val="nil"/>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960" w:type="dxa"/>
            <w:tcBorders>
              <w:top w:val="nil"/>
              <w:left w:val="single" w:sz="4" w:space="0" w:color="auto"/>
              <w:bottom w:val="nil"/>
              <w:right w:val="single" w:sz="8"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0.09</w:t>
            </w:r>
          </w:p>
        </w:tc>
      </w:tr>
      <w:tr w:rsidR="00547A95" w:rsidRPr="00547A95" w:rsidTr="00547A95">
        <w:trPr>
          <w:trHeight w:val="300"/>
        </w:trPr>
        <w:tc>
          <w:tcPr>
            <w:tcW w:w="2600" w:type="dxa"/>
            <w:tcBorders>
              <w:top w:val="nil"/>
              <w:left w:val="single" w:sz="8" w:space="0" w:color="auto"/>
              <w:bottom w:val="nil"/>
              <w:right w:val="nil"/>
            </w:tcBorders>
            <w:shd w:val="clear" w:color="auto" w:fill="auto"/>
            <w:noWrap/>
            <w:vAlign w:val="bottom"/>
            <w:hideMark/>
          </w:tcPr>
          <w:p w:rsidR="00547A95" w:rsidRPr="00547A95" w:rsidRDefault="00547A95" w:rsidP="00547A95">
            <w:pPr>
              <w:spacing w:after="0" w:line="240" w:lineRule="auto"/>
              <w:ind w:firstLineChars="200" w:firstLine="400"/>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xml:space="preserve">COPD </w:t>
            </w:r>
          </w:p>
        </w:tc>
        <w:tc>
          <w:tcPr>
            <w:tcW w:w="960" w:type="dxa"/>
            <w:tcBorders>
              <w:top w:val="nil"/>
              <w:left w:val="single" w:sz="4" w:space="0" w:color="auto"/>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332</w:t>
            </w:r>
          </w:p>
        </w:tc>
        <w:tc>
          <w:tcPr>
            <w:tcW w:w="1380" w:type="dxa"/>
            <w:tcBorders>
              <w:top w:val="nil"/>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41</w:t>
            </w:r>
          </w:p>
        </w:tc>
        <w:tc>
          <w:tcPr>
            <w:tcW w:w="1540" w:type="dxa"/>
            <w:tcBorders>
              <w:top w:val="nil"/>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332</w:t>
            </w:r>
          </w:p>
        </w:tc>
        <w:tc>
          <w:tcPr>
            <w:tcW w:w="960" w:type="dxa"/>
            <w:tcBorders>
              <w:top w:val="nil"/>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0.78</w:t>
            </w:r>
          </w:p>
        </w:tc>
        <w:tc>
          <w:tcPr>
            <w:tcW w:w="1120" w:type="dxa"/>
            <w:tcBorders>
              <w:top w:val="nil"/>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0.57-1.09</w:t>
            </w:r>
          </w:p>
        </w:tc>
        <w:tc>
          <w:tcPr>
            <w:tcW w:w="960" w:type="dxa"/>
            <w:tcBorders>
              <w:top w:val="nil"/>
              <w:left w:val="single" w:sz="4" w:space="0" w:color="auto"/>
              <w:bottom w:val="nil"/>
              <w:right w:val="single" w:sz="8"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r>
      <w:tr w:rsidR="00547A95" w:rsidRPr="00547A95" w:rsidTr="00547A95">
        <w:trPr>
          <w:trHeight w:val="315"/>
        </w:trPr>
        <w:tc>
          <w:tcPr>
            <w:tcW w:w="2600" w:type="dxa"/>
            <w:tcBorders>
              <w:top w:val="nil"/>
              <w:left w:val="single" w:sz="8" w:space="0" w:color="auto"/>
              <w:bottom w:val="single" w:sz="8" w:space="0" w:color="auto"/>
              <w:right w:val="nil"/>
            </w:tcBorders>
            <w:shd w:val="clear" w:color="auto" w:fill="auto"/>
            <w:noWrap/>
            <w:vAlign w:val="bottom"/>
            <w:hideMark/>
          </w:tcPr>
          <w:p w:rsidR="00547A95" w:rsidRPr="00547A95" w:rsidRDefault="00547A95" w:rsidP="00547A95">
            <w:pPr>
              <w:spacing w:after="0" w:line="240" w:lineRule="auto"/>
              <w:ind w:firstLineChars="200" w:firstLine="400"/>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Asthma</w:t>
            </w:r>
          </w:p>
        </w:tc>
        <w:tc>
          <w:tcPr>
            <w:tcW w:w="960" w:type="dxa"/>
            <w:tcBorders>
              <w:top w:val="nil"/>
              <w:left w:val="single" w:sz="4" w:space="0" w:color="auto"/>
              <w:bottom w:val="single" w:sz="8" w:space="0" w:color="auto"/>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1,151</w:t>
            </w:r>
          </w:p>
        </w:tc>
        <w:tc>
          <w:tcPr>
            <w:tcW w:w="1380" w:type="dxa"/>
            <w:tcBorders>
              <w:top w:val="nil"/>
              <w:left w:val="nil"/>
              <w:bottom w:val="single" w:sz="8" w:space="0" w:color="auto"/>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127</w:t>
            </w:r>
          </w:p>
        </w:tc>
        <w:tc>
          <w:tcPr>
            <w:tcW w:w="1540" w:type="dxa"/>
            <w:tcBorders>
              <w:top w:val="nil"/>
              <w:left w:val="nil"/>
              <w:bottom w:val="single" w:sz="8" w:space="0" w:color="auto"/>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1151</w:t>
            </w:r>
          </w:p>
        </w:tc>
        <w:tc>
          <w:tcPr>
            <w:tcW w:w="960" w:type="dxa"/>
            <w:tcBorders>
              <w:top w:val="nil"/>
              <w:left w:val="nil"/>
              <w:bottom w:val="single" w:sz="8" w:space="0" w:color="auto"/>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0.74</w:t>
            </w:r>
          </w:p>
        </w:tc>
        <w:tc>
          <w:tcPr>
            <w:tcW w:w="1120" w:type="dxa"/>
            <w:tcBorders>
              <w:top w:val="nil"/>
              <w:left w:val="nil"/>
              <w:bottom w:val="single" w:sz="8" w:space="0" w:color="auto"/>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0.61-0.89</w:t>
            </w:r>
          </w:p>
        </w:tc>
        <w:tc>
          <w:tcPr>
            <w:tcW w:w="960" w:type="dxa"/>
            <w:tcBorders>
              <w:top w:val="nil"/>
              <w:left w:val="single" w:sz="4" w:space="0" w:color="auto"/>
              <w:bottom w:val="single" w:sz="8" w:space="0" w:color="auto"/>
              <w:right w:val="single" w:sz="8"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r>
      <w:tr w:rsidR="00547A95" w:rsidRPr="00547A95" w:rsidTr="00547A95">
        <w:trPr>
          <w:trHeight w:val="300"/>
        </w:trPr>
        <w:tc>
          <w:tcPr>
            <w:tcW w:w="2600" w:type="dxa"/>
            <w:tcBorders>
              <w:top w:val="single" w:sz="4" w:space="0" w:color="auto"/>
              <w:left w:val="single" w:sz="8" w:space="0" w:color="auto"/>
              <w:bottom w:val="nil"/>
              <w:right w:val="nil"/>
            </w:tcBorders>
            <w:shd w:val="clear" w:color="auto" w:fill="auto"/>
            <w:noWrap/>
            <w:vAlign w:val="bottom"/>
            <w:hideMark/>
          </w:tcPr>
          <w:p w:rsidR="00547A95" w:rsidRPr="00547A95" w:rsidRDefault="00547A95" w:rsidP="00547A95">
            <w:pPr>
              <w:spacing w:after="0" w:line="240" w:lineRule="auto"/>
              <w:rPr>
                <w:rFonts w:ascii="Calibri" w:eastAsia="Times New Roman" w:hAnsi="Calibri" w:cs="Times New Roman"/>
                <w:b/>
                <w:bCs/>
                <w:color w:val="000000"/>
                <w:sz w:val="20"/>
                <w:szCs w:val="20"/>
                <w:lang w:eastAsia="en-GB"/>
              </w:rPr>
            </w:pPr>
            <w:r w:rsidRPr="00547A95">
              <w:rPr>
                <w:rFonts w:ascii="Calibri" w:eastAsia="Times New Roman" w:hAnsi="Calibri" w:cs="Times New Roman"/>
                <w:b/>
                <w:bCs/>
                <w:color w:val="000000"/>
                <w:sz w:val="20"/>
                <w:szCs w:val="20"/>
                <w:lang w:eastAsia="en-GB"/>
              </w:rPr>
              <w:t>Gender</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1380" w:type="dxa"/>
            <w:tcBorders>
              <w:top w:val="single" w:sz="4" w:space="0" w:color="auto"/>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1540" w:type="dxa"/>
            <w:tcBorders>
              <w:top w:val="single" w:sz="4" w:space="0" w:color="auto"/>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960" w:type="dxa"/>
            <w:tcBorders>
              <w:top w:val="single" w:sz="4" w:space="0" w:color="auto"/>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1120" w:type="dxa"/>
            <w:tcBorders>
              <w:top w:val="single" w:sz="4" w:space="0" w:color="auto"/>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960" w:type="dxa"/>
            <w:tcBorders>
              <w:top w:val="single" w:sz="4" w:space="0" w:color="auto"/>
              <w:left w:val="single" w:sz="4" w:space="0" w:color="auto"/>
              <w:bottom w:val="nil"/>
              <w:right w:val="single" w:sz="8"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0.22</w:t>
            </w:r>
          </w:p>
        </w:tc>
      </w:tr>
      <w:tr w:rsidR="00547A95" w:rsidRPr="00547A95" w:rsidTr="00547A95">
        <w:trPr>
          <w:trHeight w:val="300"/>
        </w:trPr>
        <w:tc>
          <w:tcPr>
            <w:tcW w:w="2600" w:type="dxa"/>
            <w:tcBorders>
              <w:top w:val="nil"/>
              <w:left w:val="single" w:sz="8" w:space="0" w:color="auto"/>
              <w:bottom w:val="nil"/>
              <w:right w:val="nil"/>
            </w:tcBorders>
            <w:shd w:val="clear" w:color="auto" w:fill="auto"/>
            <w:noWrap/>
            <w:vAlign w:val="bottom"/>
            <w:hideMark/>
          </w:tcPr>
          <w:p w:rsidR="00547A95" w:rsidRPr="00547A95" w:rsidRDefault="00547A95" w:rsidP="00547A95">
            <w:pPr>
              <w:spacing w:after="0" w:line="240" w:lineRule="auto"/>
              <w:ind w:firstLineChars="200" w:firstLine="400"/>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Male</w:t>
            </w:r>
          </w:p>
        </w:tc>
        <w:tc>
          <w:tcPr>
            <w:tcW w:w="960" w:type="dxa"/>
            <w:tcBorders>
              <w:top w:val="nil"/>
              <w:left w:val="single" w:sz="4" w:space="0" w:color="auto"/>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809</w:t>
            </w:r>
          </w:p>
        </w:tc>
        <w:tc>
          <w:tcPr>
            <w:tcW w:w="1380" w:type="dxa"/>
            <w:tcBorders>
              <w:top w:val="nil"/>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88</w:t>
            </w:r>
          </w:p>
        </w:tc>
        <w:tc>
          <w:tcPr>
            <w:tcW w:w="1540" w:type="dxa"/>
            <w:tcBorders>
              <w:top w:val="nil"/>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693</w:t>
            </w:r>
          </w:p>
        </w:tc>
        <w:tc>
          <w:tcPr>
            <w:tcW w:w="960" w:type="dxa"/>
            <w:tcBorders>
              <w:top w:val="nil"/>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0.85</w:t>
            </w:r>
          </w:p>
        </w:tc>
        <w:tc>
          <w:tcPr>
            <w:tcW w:w="1120" w:type="dxa"/>
            <w:tcBorders>
              <w:top w:val="nil"/>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0.68-1.06</w:t>
            </w:r>
          </w:p>
        </w:tc>
        <w:tc>
          <w:tcPr>
            <w:tcW w:w="960" w:type="dxa"/>
            <w:tcBorders>
              <w:top w:val="nil"/>
              <w:left w:val="single" w:sz="4" w:space="0" w:color="auto"/>
              <w:bottom w:val="nil"/>
              <w:right w:val="single" w:sz="8"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r>
      <w:tr w:rsidR="00547A95" w:rsidRPr="00547A95" w:rsidTr="00547A95">
        <w:trPr>
          <w:trHeight w:val="315"/>
        </w:trPr>
        <w:tc>
          <w:tcPr>
            <w:tcW w:w="2600" w:type="dxa"/>
            <w:tcBorders>
              <w:top w:val="nil"/>
              <w:left w:val="single" w:sz="8" w:space="0" w:color="auto"/>
              <w:bottom w:val="single" w:sz="8" w:space="0" w:color="auto"/>
              <w:right w:val="nil"/>
            </w:tcBorders>
            <w:shd w:val="clear" w:color="auto" w:fill="auto"/>
            <w:noWrap/>
            <w:vAlign w:val="bottom"/>
            <w:hideMark/>
          </w:tcPr>
          <w:p w:rsidR="00547A95" w:rsidRPr="00547A95" w:rsidRDefault="00547A95" w:rsidP="00547A95">
            <w:pPr>
              <w:spacing w:after="0" w:line="240" w:lineRule="auto"/>
              <w:ind w:firstLineChars="200" w:firstLine="400"/>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Female</w:t>
            </w:r>
          </w:p>
        </w:tc>
        <w:tc>
          <w:tcPr>
            <w:tcW w:w="960" w:type="dxa"/>
            <w:tcBorders>
              <w:top w:val="nil"/>
              <w:left w:val="single" w:sz="4" w:space="0" w:color="auto"/>
              <w:bottom w:val="single" w:sz="8" w:space="0" w:color="auto"/>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910</w:t>
            </w:r>
          </w:p>
        </w:tc>
        <w:tc>
          <w:tcPr>
            <w:tcW w:w="1380" w:type="dxa"/>
            <w:tcBorders>
              <w:top w:val="nil"/>
              <w:left w:val="nil"/>
              <w:bottom w:val="single" w:sz="8" w:space="0" w:color="auto"/>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80</w:t>
            </w:r>
          </w:p>
        </w:tc>
        <w:tc>
          <w:tcPr>
            <w:tcW w:w="1540" w:type="dxa"/>
            <w:tcBorders>
              <w:top w:val="nil"/>
              <w:left w:val="nil"/>
              <w:bottom w:val="single" w:sz="8" w:space="0" w:color="auto"/>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790</w:t>
            </w:r>
          </w:p>
        </w:tc>
        <w:tc>
          <w:tcPr>
            <w:tcW w:w="960" w:type="dxa"/>
            <w:tcBorders>
              <w:top w:val="nil"/>
              <w:left w:val="nil"/>
              <w:bottom w:val="single" w:sz="8" w:space="0" w:color="auto"/>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0.67</w:t>
            </w:r>
          </w:p>
        </w:tc>
        <w:tc>
          <w:tcPr>
            <w:tcW w:w="1120" w:type="dxa"/>
            <w:tcBorders>
              <w:top w:val="nil"/>
              <w:left w:val="nil"/>
              <w:bottom w:val="single" w:sz="8" w:space="0" w:color="auto"/>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0.53-0.84</w:t>
            </w:r>
          </w:p>
        </w:tc>
        <w:tc>
          <w:tcPr>
            <w:tcW w:w="960" w:type="dxa"/>
            <w:tcBorders>
              <w:top w:val="nil"/>
              <w:left w:val="single" w:sz="4" w:space="0" w:color="auto"/>
              <w:bottom w:val="single" w:sz="8" w:space="0" w:color="auto"/>
              <w:right w:val="single" w:sz="8"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r>
      <w:tr w:rsidR="00547A95" w:rsidRPr="00547A95" w:rsidTr="00547A95">
        <w:trPr>
          <w:trHeight w:val="300"/>
        </w:trPr>
        <w:tc>
          <w:tcPr>
            <w:tcW w:w="2600" w:type="dxa"/>
            <w:tcBorders>
              <w:top w:val="single" w:sz="4" w:space="0" w:color="auto"/>
              <w:left w:val="single" w:sz="8" w:space="0" w:color="auto"/>
              <w:bottom w:val="nil"/>
              <w:right w:val="nil"/>
            </w:tcBorders>
            <w:shd w:val="clear" w:color="auto" w:fill="auto"/>
            <w:noWrap/>
            <w:vAlign w:val="bottom"/>
            <w:hideMark/>
          </w:tcPr>
          <w:p w:rsidR="00547A95" w:rsidRPr="00547A95" w:rsidRDefault="00547A95" w:rsidP="00547A95">
            <w:pPr>
              <w:spacing w:after="0" w:line="240" w:lineRule="auto"/>
              <w:rPr>
                <w:rFonts w:ascii="Calibri" w:eastAsia="Times New Roman" w:hAnsi="Calibri" w:cs="Times New Roman"/>
                <w:b/>
                <w:bCs/>
                <w:color w:val="000000"/>
                <w:sz w:val="20"/>
                <w:szCs w:val="20"/>
                <w:lang w:eastAsia="en-GB"/>
              </w:rPr>
            </w:pPr>
            <w:r w:rsidRPr="00547A95">
              <w:rPr>
                <w:rFonts w:ascii="Calibri" w:eastAsia="Times New Roman" w:hAnsi="Calibri" w:cs="Times New Roman"/>
                <w:b/>
                <w:bCs/>
                <w:color w:val="000000"/>
                <w:sz w:val="20"/>
                <w:szCs w:val="20"/>
                <w:lang w:eastAsia="en-GB"/>
              </w:rPr>
              <w:t>Medication class switched</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1380" w:type="dxa"/>
            <w:tcBorders>
              <w:top w:val="single" w:sz="4" w:space="0" w:color="auto"/>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1540" w:type="dxa"/>
            <w:tcBorders>
              <w:top w:val="single" w:sz="4" w:space="0" w:color="auto"/>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960" w:type="dxa"/>
            <w:tcBorders>
              <w:top w:val="single" w:sz="4" w:space="0" w:color="auto"/>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1120" w:type="dxa"/>
            <w:tcBorders>
              <w:top w:val="single" w:sz="4" w:space="0" w:color="auto"/>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960" w:type="dxa"/>
            <w:tcBorders>
              <w:top w:val="single" w:sz="4" w:space="0" w:color="auto"/>
              <w:left w:val="single" w:sz="4" w:space="0" w:color="auto"/>
              <w:bottom w:val="nil"/>
              <w:right w:val="single" w:sz="8"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0.12</w:t>
            </w:r>
          </w:p>
        </w:tc>
      </w:tr>
      <w:tr w:rsidR="00547A95" w:rsidRPr="00547A95" w:rsidTr="00547A95">
        <w:trPr>
          <w:trHeight w:val="300"/>
        </w:trPr>
        <w:tc>
          <w:tcPr>
            <w:tcW w:w="2600" w:type="dxa"/>
            <w:tcBorders>
              <w:top w:val="nil"/>
              <w:left w:val="single" w:sz="8" w:space="0" w:color="auto"/>
              <w:bottom w:val="nil"/>
              <w:right w:val="nil"/>
            </w:tcBorders>
            <w:shd w:val="clear" w:color="auto" w:fill="auto"/>
            <w:noWrap/>
            <w:vAlign w:val="bottom"/>
            <w:hideMark/>
          </w:tcPr>
          <w:p w:rsidR="00547A95" w:rsidRPr="00547A95" w:rsidRDefault="00547A95" w:rsidP="00547A95">
            <w:pPr>
              <w:spacing w:after="0" w:line="240" w:lineRule="auto"/>
              <w:ind w:firstLineChars="200" w:firstLine="400"/>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ICS</w:t>
            </w:r>
          </w:p>
        </w:tc>
        <w:tc>
          <w:tcPr>
            <w:tcW w:w="960" w:type="dxa"/>
            <w:tcBorders>
              <w:top w:val="nil"/>
              <w:left w:val="single" w:sz="4" w:space="0" w:color="auto"/>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363</w:t>
            </w:r>
          </w:p>
        </w:tc>
        <w:tc>
          <w:tcPr>
            <w:tcW w:w="1380" w:type="dxa"/>
            <w:tcBorders>
              <w:top w:val="nil"/>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35</w:t>
            </w:r>
          </w:p>
        </w:tc>
        <w:tc>
          <w:tcPr>
            <w:tcW w:w="1540" w:type="dxa"/>
            <w:tcBorders>
              <w:top w:val="nil"/>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314</w:t>
            </w:r>
          </w:p>
        </w:tc>
        <w:tc>
          <w:tcPr>
            <w:tcW w:w="960" w:type="dxa"/>
            <w:tcBorders>
              <w:top w:val="nil"/>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0.76</w:t>
            </w:r>
          </w:p>
        </w:tc>
        <w:tc>
          <w:tcPr>
            <w:tcW w:w="1120" w:type="dxa"/>
            <w:tcBorders>
              <w:top w:val="nil"/>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0.53-1.07</w:t>
            </w:r>
          </w:p>
        </w:tc>
        <w:tc>
          <w:tcPr>
            <w:tcW w:w="960" w:type="dxa"/>
            <w:tcBorders>
              <w:top w:val="nil"/>
              <w:left w:val="single" w:sz="4" w:space="0" w:color="auto"/>
              <w:bottom w:val="nil"/>
              <w:right w:val="single" w:sz="8"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r>
      <w:tr w:rsidR="00547A95" w:rsidRPr="00547A95" w:rsidTr="00547A95">
        <w:trPr>
          <w:trHeight w:val="300"/>
        </w:trPr>
        <w:tc>
          <w:tcPr>
            <w:tcW w:w="2600" w:type="dxa"/>
            <w:tcBorders>
              <w:top w:val="nil"/>
              <w:left w:val="single" w:sz="8" w:space="0" w:color="auto"/>
              <w:bottom w:val="nil"/>
              <w:right w:val="nil"/>
            </w:tcBorders>
            <w:shd w:val="clear" w:color="auto" w:fill="auto"/>
            <w:noWrap/>
            <w:vAlign w:val="bottom"/>
            <w:hideMark/>
          </w:tcPr>
          <w:p w:rsidR="00547A95" w:rsidRPr="00547A95" w:rsidRDefault="00547A95" w:rsidP="00547A95">
            <w:pPr>
              <w:spacing w:after="0" w:line="240" w:lineRule="auto"/>
              <w:ind w:firstLineChars="200" w:firstLine="400"/>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LABA</w:t>
            </w:r>
          </w:p>
        </w:tc>
        <w:tc>
          <w:tcPr>
            <w:tcW w:w="960" w:type="dxa"/>
            <w:tcBorders>
              <w:top w:val="nil"/>
              <w:left w:val="single" w:sz="4" w:space="0" w:color="auto"/>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182</w:t>
            </w:r>
          </w:p>
        </w:tc>
        <w:tc>
          <w:tcPr>
            <w:tcW w:w="1380" w:type="dxa"/>
            <w:tcBorders>
              <w:top w:val="nil"/>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18</w:t>
            </w:r>
          </w:p>
        </w:tc>
        <w:tc>
          <w:tcPr>
            <w:tcW w:w="1540" w:type="dxa"/>
            <w:tcBorders>
              <w:top w:val="nil"/>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160</w:t>
            </w:r>
          </w:p>
        </w:tc>
        <w:tc>
          <w:tcPr>
            <w:tcW w:w="960" w:type="dxa"/>
            <w:tcBorders>
              <w:top w:val="nil"/>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0.77</w:t>
            </w:r>
          </w:p>
        </w:tc>
        <w:tc>
          <w:tcPr>
            <w:tcW w:w="1120" w:type="dxa"/>
            <w:tcBorders>
              <w:top w:val="nil"/>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0.47-1.27</w:t>
            </w:r>
          </w:p>
        </w:tc>
        <w:tc>
          <w:tcPr>
            <w:tcW w:w="960" w:type="dxa"/>
            <w:tcBorders>
              <w:top w:val="nil"/>
              <w:left w:val="single" w:sz="4" w:space="0" w:color="auto"/>
              <w:bottom w:val="nil"/>
              <w:right w:val="single" w:sz="8"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r>
      <w:tr w:rsidR="00547A95" w:rsidRPr="00547A95" w:rsidTr="00547A95">
        <w:trPr>
          <w:trHeight w:val="300"/>
        </w:trPr>
        <w:tc>
          <w:tcPr>
            <w:tcW w:w="2600" w:type="dxa"/>
            <w:tcBorders>
              <w:top w:val="nil"/>
              <w:left w:val="single" w:sz="8" w:space="0" w:color="auto"/>
              <w:bottom w:val="nil"/>
              <w:right w:val="nil"/>
            </w:tcBorders>
            <w:shd w:val="clear" w:color="auto" w:fill="auto"/>
            <w:noWrap/>
            <w:vAlign w:val="bottom"/>
            <w:hideMark/>
          </w:tcPr>
          <w:p w:rsidR="00547A95" w:rsidRPr="00547A95" w:rsidRDefault="00547A95" w:rsidP="00547A95">
            <w:pPr>
              <w:spacing w:after="0" w:line="240" w:lineRule="auto"/>
              <w:ind w:firstLineChars="200" w:firstLine="400"/>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LABA-ICS</w:t>
            </w:r>
          </w:p>
        </w:tc>
        <w:tc>
          <w:tcPr>
            <w:tcW w:w="960" w:type="dxa"/>
            <w:tcBorders>
              <w:top w:val="nil"/>
              <w:left w:val="single" w:sz="4" w:space="0" w:color="auto"/>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826</w:t>
            </w:r>
          </w:p>
        </w:tc>
        <w:tc>
          <w:tcPr>
            <w:tcW w:w="1380" w:type="dxa"/>
            <w:tcBorders>
              <w:top w:val="nil"/>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67</w:t>
            </w:r>
          </w:p>
        </w:tc>
        <w:tc>
          <w:tcPr>
            <w:tcW w:w="1540" w:type="dxa"/>
            <w:tcBorders>
              <w:top w:val="nil"/>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722</w:t>
            </w:r>
          </w:p>
        </w:tc>
        <w:tc>
          <w:tcPr>
            <w:tcW w:w="960" w:type="dxa"/>
            <w:tcBorders>
              <w:top w:val="nil"/>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0.61</w:t>
            </w:r>
          </w:p>
        </w:tc>
        <w:tc>
          <w:tcPr>
            <w:tcW w:w="1120" w:type="dxa"/>
            <w:tcBorders>
              <w:top w:val="nil"/>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0.48-0.78</w:t>
            </w:r>
          </w:p>
        </w:tc>
        <w:tc>
          <w:tcPr>
            <w:tcW w:w="960" w:type="dxa"/>
            <w:tcBorders>
              <w:top w:val="nil"/>
              <w:left w:val="single" w:sz="4" w:space="0" w:color="auto"/>
              <w:bottom w:val="nil"/>
              <w:right w:val="single" w:sz="8"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r>
      <w:tr w:rsidR="00547A95" w:rsidRPr="00547A95" w:rsidTr="00547A95">
        <w:trPr>
          <w:trHeight w:val="300"/>
        </w:trPr>
        <w:tc>
          <w:tcPr>
            <w:tcW w:w="2600" w:type="dxa"/>
            <w:tcBorders>
              <w:top w:val="nil"/>
              <w:left w:val="single" w:sz="8" w:space="0" w:color="auto"/>
              <w:bottom w:val="single" w:sz="4" w:space="0" w:color="auto"/>
              <w:right w:val="nil"/>
            </w:tcBorders>
            <w:shd w:val="clear" w:color="auto" w:fill="auto"/>
            <w:noWrap/>
            <w:vAlign w:val="bottom"/>
            <w:hideMark/>
          </w:tcPr>
          <w:p w:rsidR="00547A95" w:rsidRPr="00547A95" w:rsidRDefault="00547A95" w:rsidP="00547A95">
            <w:pPr>
              <w:spacing w:after="0" w:line="240" w:lineRule="auto"/>
              <w:ind w:firstLineChars="200" w:firstLine="400"/>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LAMA</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348</w:t>
            </w:r>
          </w:p>
        </w:tc>
        <w:tc>
          <w:tcPr>
            <w:tcW w:w="1380" w:type="dxa"/>
            <w:tcBorders>
              <w:top w:val="nil"/>
              <w:left w:val="nil"/>
              <w:bottom w:val="single" w:sz="4" w:space="0" w:color="auto"/>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48</w:t>
            </w:r>
          </w:p>
        </w:tc>
        <w:tc>
          <w:tcPr>
            <w:tcW w:w="1540" w:type="dxa"/>
            <w:tcBorders>
              <w:top w:val="nil"/>
              <w:left w:val="nil"/>
              <w:bottom w:val="single" w:sz="4" w:space="0" w:color="auto"/>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287</w:t>
            </w:r>
          </w:p>
        </w:tc>
        <w:tc>
          <w:tcPr>
            <w:tcW w:w="960" w:type="dxa"/>
            <w:tcBorders>
              <w:top w:val="nil"/>
              <w:left w:val="nil"/>
              <w:bottom w:val="single" w:sz="4" w:space="0" w:color="auto"/>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1.10</w:t>
            </w:r>
          </w:p>
        </w:tc>
        <w:tc>
          <w:tcPr>
            <w:tcW w:w="1120" w:type="dxa"/>
            <w:tcBorders>
              <w:top w:val="nil"/>
              <w:left w:val="nil"/>
              <w:bottom w:val="single" w:sz="4" w:space="0" w:color="auto"/>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0.80-1.48</w:t>
            </w:r>
          </w:p>
        </w:tc>
        <w:tc>
          <w:tcPr>
            <w:tcW w:w="960" w:type="dxa"/>
            <w:tcBorders>
              <w:top w:val="nil"/>
              <w:left w:val="single" w:sz="4" w:space="0" w:color="auto"/>
              <w:bottom w:val="single" w:sz="4" w:space="0" w:color="auto"/>
              <w:right w:val="single" w:sz="8"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r>
      <w:tr w:rsidR="00547A95" w:rsidRPr="00547A95" w:rsidTr="00547A95">
        <w:trPr>
          <w:trHeight w:val="300"/>
        </w:trPr>
        <w:tc>
          <w:tcPr>
            <w:tcW w:w="2600" w:type="dxa"/>
            <w:tcBorders>
              <w:top w:val="nil"/>
              <w:left w:val="single" w:sz="8" w:space="0" w:color="auto"/>
              <w:bottom w:val="nil"/>
              <w:right w:val="nil"/>
            </w:tcBorders>
            <w:shd w:val="clear" w:color="auto" w:fill="auto"/>
            <w:noWrap/>
            <w:vAlign w:val="bottom"/>
            <w:hideMark/>
          </w:tcPr>
          <w:p w:rsidR="00547A95" w:rsidRPr="00547A95" w:rsidRDefault="00547A95" w:rsidP="00547A95">
            <w:pPr>
              <w:spacing w:after="0" w:line="240" w:lineRule="auto"/>
              <w:rPr>
                <w:rFonts w:ascii="Calibri" w:eastAsia="Times New Roman" w:hAnsi="Calibri" w:cs="Times New Roman"/>
                <w:b/>
                <w:bCs/>
                <w:color w:val="000000"/>
                <w:sz w:val="20"/>
                <w:szCs w:val="20"/>
                <w:lang w:eastAsia="en-GB"/>
              </w:rPr>
            </w:pPr>
            <w:r w:rsidRPr="00547A95">
              <w:rPr>
                <w:rFonts w:ascii="Calibri" w:eastAsia="Times New Roman" w:hAnsi="Calibri" w:cs="Times New Roman"/>
                <w:b/>
                <w:bCs/>
                <w:color w:val="000000"/>
                <w:sz w:val="20"/>
                <w:szCs w:val="20"/>
                <w:lang w:eastAsia="en-GB"/>
              </w:rPr>
              <w:t>Switch between MDI &amp; DPI</w:t>
            </w:r>
          </w:p>
        </w:tc>
        <w:tc>
          <w:tcPr>
            <w:tcW w:w="960" w:type="dxa"/>
            <w:tcBorders>
              <w:top w:val="nil"/>
              <w:left w:val="single" w:sz="4" w:space="0" w:color="auto"/>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1380" w:type="dxa"/>
            <w:tcBorders>
              <w:top w:val="nil"/>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1540" w:type="dxa"/>
            <w:tcBorders>
              <w:top w:val="nil"/>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960" w:type="dxa"/>
            <w:tcBorders>
              <w:top w:val="nil"/>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p>
        </w:tc>
        <w:tc>
          <w:tcPr>
            <w:tcW w:w="1120" w:type="dxa"/>
            <w:tcBorders>
              <w:top w:val="nil"/>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Times New Roman" w:eastAsia="Times New Roman" w:hAnsi="Times New Roman" w:cs="Times New Roman"/>
                <w:sz w:val="20"/>
                <w:szCs w:val="20"/>
                <w:lang w:eastAsia="en-GB"/>
              </w:rPr>
            </w:pPr>
          </w:p>
        </w:tc>
        <w:tc>
          <w:tcPr>
            <w:tcW w:w="960" w:type="dxa"/>
            <w:tcBorders>
              <w:top w:val="nil"/>
              <w:left w:val="single" w:sz="4" w:space="0" w:color="auto"/>
              <w:bottom w:val="nil"/>
              <w:right w:val="single" w:sz="8"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0.61</w:t>
            </w:r>
          </w:p>
        </w:tc>
      </w:tr>
      <w:tr w:rsidR="00547A95" w:rsidRPr="00547A95" w:rsidTr="00547A95">
        <w:trPr>
          <w:trHeight w:val="300"/>
        </w:trPr>
        <w:tc>
          <w:tcPr>
            <w:tcW w:w="2600" w:type="dxa"/>
            <w:tcBorders>
              <w:top w:val="nil"/>
              <w:left w:val="single" w:sz="8" w:space="0" w:color="auto"/>
              <w:bottom w:val="nil"/>
              <w:right w:val="nil"/>
            </w:tcBorders>
            <w:shd w:val="clear" w:color="auto" w:fill="auto"/>
            <w:noWrap/>
            <w:vAlign w:val="bottom"/>
            <w:hideMark/>
          </w:tcPr>
          <w:p w:rsidR="00547A95" w:rsidRPr="00547A95" w:rsidRDefault="00547A95" w:rsidP="00547A95">
            <w:pPr>
              <w:spacing w:after="0" w:line="240" w:lineRule="auto"/>
              <w:ind w:firstLineChars="200" w:firstLine="400"/>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xml:space="preserve">Yes </w:t>
            </w:r>
          </w:p>
        </w:tc>
        <w:tc>
          <w:tcPr>
            <w:tcW w:w="960" w:type="dxa"/>
            <w:tcBorders>
              <w:top w:val="nil"/>
              <w:left w:val="single" w:sz="4" w:space="0" w:color="auto"/>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311</w:t>
            </w:r>
          </w:p>
        </w:tc>
        <w:tc>
          <w:tcPr>
            <w:tcW w:w="1380" w:type="dxa"/>
            <w:tcBorders>
              <w:top w:val="nil"/>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263</w:t>
            </w:r>
          </w:p>
        </w:tc>
        <w:tc>
          <w:tcPr>
            <w:tcW w:w="1540" w:type="dxa"/>
            <w:tcBorders>
              <w:top w:val="nil"/>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121</w:t>
            </w:r>
          </w:p>
        </w:tc>
        <w:tc>
          <w:tcPr>
            <w:tcW w:w="960" w:type="dxa"/>
            <w:tcBorders>
              <w:top w:val="nil"/>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0.85</w:t>
            </w:r>
          </w:p>
        </w:tc>
        <w:tc>
          <w:tcPr>
            <w:tcW w:w="1120" w:type="dxa"/>
            <w:tcBorders>
              <w:top w:val="nil"/>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0.60-1.22</w:t>
            </w:r>
          </w:p>
        </w:tc>
        <w:tc>
          <w:tcPr>
            <w:tcW w:w="960" w:type="dxa"/>
            <w:tcBorders>
              <w:top w:val="nil"/>
              <w:left w:val="single" w:sz="4" w:space="0" w:color="auto"/>
              <w:bottom w:val="nil"/>
              <w:right w:val="single" w:sz="8"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r>
      <w:tr w:rsidR="00547A95" w:rsidRPr="00547A95" w:rsidTr="00547A95">
        <w:trPr>
          <w:trHeight w:val="300"/>
        </w:trPr>
        <w:tc>
          <w:tcPr>
            <w:tcW w:w="2600" w:type="dxa"/>
            <w:tcBorders>
              <w:top w:val="nil"/>
              <w:left w:val="single" w:sz="8" w:space="0" w:color="auto"/>
              <w:bottom w:val="single" w:sz="4" w:space="0" w:color="auto"/>
              <w:right w:val="nil"/>
            </w:tcBorders>
            <w:shd w:val="clear" w:color="auto" w:fill="auto"/>
            <w:noWrap/>
            <w:vAlign w:val="bottom"/>
            <w:hideMark/>
          </w:tcPr>
          <w:p w:rsidR="00547A95" w:rsidRPr="00547A95" w:rsidRDefault="00547A95" w:rsidP="00547A95">
            <w:pPr>
              <w:spacing w:after="0" w:line="240" w:lineRule="auto"/>
              <w:ind w:firstLineChars="200" w:firstLine="400"/>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xml:space="preserve">No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1,239</w:t>
            </w:r>
          </w:p>
        </w:tc>
        <w:tc>
          <w:tcPr>
            <w:tcW w:w="1380" w:type="dxa"/>
            <w:tcBorders>
              <w:top w:val="nil"/>
              <w:left w:val="nil"/>
              <w:bottom w:val="single" w:sz="4" w:space="0" w:color="auto"/>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34</w:t>
            </w:r>
          </w:p>
        </w:tc>
        <w:tc>
          <w:tcPr>
            <w:tcW w:w="1540" w:type="dxa"/>
            <w:tcBorders>
              <w:top w:val="nil"/>
              <w:left w:val="nil"/>
              <w:bottom w:val="single" w:sz="4" w:space="0" w:color="auto"/>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1074</w:t>
            </w:r>
          </w:p>
        </w:tc>
        <w:tc>
          <w:tcPr>
            <w:tcW w:w="960" w:type="dxa"/>
            <w:tcBorders>
              <w:top w:val="nil"/>
              <w:left w:val="nil"/>
              <w:bottom w:val="single" w:sz="4" w:space="0" w:color="auto"/>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0.75</w:t>
            </w:r>
          </w:p>
        </w:tc>
        <w:tc>
          <w:tcPr>
            <w:tcW w:w="1120" w:type="dxa"/>
            <w:tcBorders>
              <w:top w:val="nil"/>
              <w:left w:val="nil"/>
              <w:bottom w:val="single" w:sz="4" w:space="0" w:color="auto"/>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0.62-0.90</w:t>
            </w:r>
          </w:p>
        </w:tc>
        <w:tc>
          <w:tcPr>
            <w:tcW w:w="960" w:type="dxa"/>
            <w:tcBorders>
              <w:top w:val="nil"/>
              <w:left w:val="single" w:sz="4" w:space="0" w:color="auto"/>
              <w:bottom w:val="single" w:sz="4" w:space="0" w:color="auto"/>
              <w:right w:val="single" w:sz="8"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r>
      <w:tr w:rsidR="00547A95" w:rsidRPr="00547A95" w:rsidTr="00547A95">
        <w:trPr>
          <w:trHeight w:val="300"/>
        </w:trPr>
        <w:tc>
          <w:tcPr>
            <w:tcW w:w="2600" w:type="dxa"/>
            <w:tcBorders>
              <w:top w:val="nil"/>
              <w:left w:val="single" w:sz="8" w:space="0" w:color="auto"/>
              <w:bottom w:val="nil"/>
              <w:right w:val="nil"/>
            </w:tcBorders>
            <w:shd w:val="clear" w:color="auto" w:fill="auto"/>
            <w:noWrap/>
            <w:vAlign w:val="bottom"/>
            <w:hideMark/>
          </w:tcPr>
          <w:p w:rsidR="00547A95" w:rsidRPr="00547A95" w:rsidRDefault="00547A95" w:rsidP="00547A95">
            <w:pPr>
              <w:spacing w:after="0" w:line="240" w:lineRule="auto"/>
              <w:rPr>
                <w:rFonts w:ascii="Calibri" w:eastAsia="Times New Roman" w:hAnsi="Calibri" w:cs="Times New Roman"/>
                <w:b/>
                <w:bCs/>
                <w:color w:val="000000"/>
                <w:sz w:val="20"/>
                <w:szCs w:val="20"/>
                <w:lang w:eastAsia="en-GB"/>
              </w:rPr>
            </w:pPr>
            <w:r w:rsidRPr="00547A95">
              <w:rPr>
                <w:rFonts w:ascii="Calibri" w:eastAsia="Times New Roman" w:hAnsi="Calibri" w:cs="Times New Roman"/>
                <w:b/>
                <w:bCs/>
                <w:color w:val="000000"/>
                <w:sz w:val="20"/>
                <w:szCs w:val="20"/>
                <w:lang w:eastAsia="en-GB"/>
              </w:rPr>
              <w:t>Inhaler check in prior year</w:t>
            </w:r>
          </w:p>
        </w:tc>
        <w:tc>
          <w:tcPr>
            <w:tcW w:w="960" w:type="dxa"/>
            <w:tcBorders>
              <w:top w:val="nil"/>
              <w:left w:val="single" w:sz="4" w:space="0" w:color="auto"/>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1380" w:type="dxa"/>
            <w:tcBorders>
              <w:top w:val="nil"/>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1540" w:type="dxa"/>
            <w:tcBorders>
              <w:top w:val="nil"/>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960" w:type="dxa"/>
            <w:tcBorders>
              <w:top w:val="nil"/>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p>
        </w:tc>
        <w:tc>
          <w:tcPr>
            <w:tcW w:w="1120" w:type="dxa"/>
            <w:tcBorders>
              <w:top w:val="nil"/>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Times New Roman" w:eastAsia="Times New Roman" w:hAnsi="Times New Roman" w:cs="Times New Roman"/>
                <w:sz w:val="20"/>
                <w:szCs w:val="20"/>
                <w:lang w:eastAsia="en-GB"/>
              </w:rPr>
            </w:pPr>
          </w:p>
        </w:tc>
        <w:tc>
          <w:tcPr>
            <w:tcW w:w="960" w:type="dxa"/>
            <w:tcBorders>
              <w:top w:val="nil"/>
              <w:left w:val="single" w:sz="4" w:space="0" w:color="auto"/>
              <w:bottom w:val="nil"/>
              <w:right w:val="single" w:sz="8"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0.22</w:t>
            </w:r>
          </w:p>
        </w:tc>
      </w:tr>
      <w:tr w:rsidR="00547A95" w:rsidRPr="00547A95" w:rsidTr="00547A95">
        <w:trPr>
          <w:trHeight w:val="300"/>
        </w:trPr>
        <w:tc>
          <w:tcPr>
            <w:tcW w:w="2600" w:type="dxa"/>
            <w:tcBorders>
              <w:top w:val="nil"/>
              <w:left w:val="single" w:sz="8" w:space="0" w:color="auto"/>
              <w:bottom w:val="nil"/>
              <w:right w:val="nil"/>
            </w:tcBorders>
            <w:shd w:val="clear" w:color="auto" w:fill="auto"/>
            <w:noWrap/>
            <w:vAlign w:val="bottom"/>
            <w:hideMark/>
          </w:tcPr>
          <w:p w:rsidR="00547A95" w:rsidRPr="00547A95" w:rsidRDefault="00547A95" w:rsidP="00547A95">
            <w:pPr>
              <w:spacing w:after="0" w:line="240" w:lineRule="auto"/>
              <w:ind w:firstLineChars="200" w:firstLine="400"/>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Yes</w:t>
            </w:r>
          </w:p>
        </w:tc>
        <w:tc>
          <w:tcPr>
            <w:tcW w:w="960" w:type="dxa"/>
            <w:tcBorders>
              <w:top w:val="nil"/>
              <w:left w:val="single" w:sz="4" w:space="0" w:color="auto"/>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606</w:t>
            </w:r>
          </w:p>
        </w:tc>
        <w:tc>
          <w:tcPr>
            <w:tcW w:w="1380" w:type="dxa"/>
            <w:tcBorders>
              <w:top w:val="nil"/>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535</w:t>
            </w:r>
          </w:p>
        </w:tc>
        <w:tc>
          <w:tcPr>
            <w:tcW w:w="1540" w:type="dxa"/>
            <w:tcBorders>
              <w:top w:val="nil"/>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117</w:t>
            </w:r>
          </w:p>
        </w:tc>
        <w:tc>
          <w:tcPr>
            <w:tcW w:w="960" w:type="dxa"/>
            <w:tcBorders>
              <w:top w:val="nil"/>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0.64</w:t>
            </w:r>
          </w:p>
        </w:tc>
        <w:tc>
          <w:tcPr>
            <w:tcW w:w="1120" w:type="dxa"/>
            <w:tcBorders>
              <w:top w:val="nil"/>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0.47-0.85</w:t>
            </w:r>
          </w:p>
        </w:tc>
        <w:tc>
          <w:tcPr>
            <w:tcW w:w="960" w:type="dxa"/>
            <w:tcBorders>
              <w:top w:val="nil"/>
              <w:left w:val="single" w:sz="4" w:space="0" w:color="auto"/>
              <w:bottom w:val="nil"/>
              <w:right w:val="single" w:sz="8"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r>
      <w:tr w:rsidR="00547A95" w:rsidRPr="00547A95" w:rsidTr="00547A95">
        <w:trPr>
          <w:trHeight w:val="315"/>
        </w:trPr>
        <w:tc>
          <w:tcPr>
            <w:tcW w:w="2600" w:type="dxa"/>
            <w:tcBorders>
              <w:top w:val="nil"/>
              <w:left w:val="single" w:sz="8" w:space="0" w:color="auto"/>
              <w:bottom w:val="single" w:sz="8" w:space="0" w:color="auto"/>
              <w:right w:val="nil"/>
            </w:tcBorders>
            <w:shd w:val="clear" w:color="auto" w:fill="auto"/>
            <w:noWrap/>
            <w:vAlign w:val="bottom"/>
            <w:hideMark/>
          </w:tcPr>
          <w:p w:rsidR="00547A95" w:rsidRPr="00547A95" w:rsidRDefault="00547A95" w:rsidP="00547A95">
            <w:pPr>
              <w:spacing w:after="0" w:line="240" w:lineRule="auto"/>
              <w:ind w:firstLineChars="200" w:firstLine="400"/>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xml:space="preserve">No </w:t>
            </w:r>
          </w:p>
        </w:tc>
        <w:tc>
          <w:tcPr>
            <w:tcW w:w="960" w:type="dxa"/>
            <w:tcBorders>
              <w:top w:val="nil"/>
              <w:left w:val="single" w:sz="4" w:space="0" w:color="auto"/>
              <w:bottom w:val="single" w:sz="8" w:space="0" w:color="auto"/>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1113</w:t>
            </w:r>
          </w:p>
        </w:tc>
        <w:tc>
          <w:tcPr>
            <w:tcW w:w="1380" w:type="dxa"/>
            <w:tcBorders>
              <w:top w:val="nil"/>
              <w:left w:val="nil"/>
              <w:bottom w:val="single" w:sz="8" w:space="0" w:color="auto"/>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948</w:t>
            </w:r>
          </w:p>
        </w:tc>
        <w:tc>
          <w:tcPr>
            <w:tcW w:w="1540" w:type="dxa"/>
            <w:tcBorders>
              <w:top w:val="nil"/>
              <w:left w:val="nil"/>
              <w:bottom w:val="single" w:sz="8" w:space="0" w:color="auto"/>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51</w:t>
            </w:r>
          </w:p>
        </w:tc>
        <w:tc>
          <w:tcPr>
            <w:tcW w:w="960" w:type="dxa"/>
            <w:tcBorders>
              <w:top w:val="nil"/>
              <w:left w:val="nil"/>
              <w:bottom w:val="single" w:sz="8" w:space="0" w:color="auto"/>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0.81</w:t>
            </w:r>
          </w:p>
        </w:tc>
        <w:tc>
          <w:tcPr>
            <w:tcW w:w="1120" w:type="dxa"/>
            <w:tcBorders>
              <w:top w:val="nil"/>
              <w:left w:val="nil"/>
              <w:bottom w:val="single" w:sz="8" w:space="0" w:color="auto"/>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0.67-0.99</w:t>
            </w:r>
          </w:p>
        </w:tc>
        <w:tc>
          <w:tcPr>
            <w:tcW w:w="960" w:type="dxa"/>
            <w:tcBorders>
              <w:top w:val="nil"/>
              <w:left w:val="nil"/>
              <w:bottom w:val="single" w:sz="8" w:space="0" w:color="auto"/>
              <w:right w:val="single" w:sz="8"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r>
    </w:tbl>
    <w:p w:rsidR="00547A95" w:rsidRDefault="0064500E" w:rsidP="0064500E">
      <w:pPr>
        <w:rPr>
          <w:b/>
        </w:rPr>
      </w:pPr>
      <w:r>
        <w:rPr>
          <w:sz w:val="20"/>
        </w:rPr>
        <w:t>COPD= chronic obstructive pulmonary disease. ICS=inhaled corticosteroid. LABA= long-acting beta agonist. LAMA=long-acting muscarinic antagonist.</w:t>
      </w:r>
    </w:p>
    <w:p w:rsidR="00B442A9" w:rsidRDefault="00B442A9">
      <w:pPr>
        <w:spacing w:after="160" w:line="259" w:lineRule="auto"/>
      </w:pPr>
      <w:r>
        <w:br w:type="page"/>
      </w:r>
    </w:p>
    <w:p w:rsidR="00547A95" w:rsidRDefault="00547A95" w:rsidP="00547A95">
      <w:pPr>
        <w:rPr>
          <w:b/>
        </w:rPr>
      </w:pPr>
      <w:r w:rsidRPr="008C1E2C">
        <w:lastRenderedPageBreak/>
        <w:t>Table 3.</w:t>
      </w:r>
      <w:r>
        <w:rPr>
          <w:b/>
        </w:rPr>
        <w:t xml:space="preserve"> </w:t>
      </w:r>
      <w:r w:rsidR="008C1E2C">
        <w:t>Age-adjusted</w:t>
      </w:r>
      <w:r w:rsidR="008C1E2C" w:rsidRPr="008C1E2C">
        <w:t xml:space="preserve"> incidence rate ratios of exacerbations</w:t>
      </w:r>
      <w:r w:rsidR="008C1E2C">
        <w:t>,</w:t>
      </w:r>
      <w:r w:rsidR="008C1E2C" w:rsidRPr="008C1E2C">
        <w:t xml:space="preserve"> in the risk period compared to stable period</w:t>
      </w:r>
      <w:r w:rsidR="00723A21">
        <w:t>s</w:t>
      </w:r>
      <w:r w:rsidR="008C1E2C">
        <w:t>,</w:t>
      </w:r>
      <w:r w:rsidR="004B3AA7">
        <w:t xml:space="preserve"> after an </w:t>
      </w:r>
      <w:r w:rsidR="008C1E2C" w:rsidRPr="008C1E2C">
        <w:t xml:space="preserve">inhaler switch </w:t>
      </w:r>
      <w:r w:rsidR="008C1E2C">
        <w:t>(brand-to-brand, generic-to-generic or generic-to-brand)</w:t>
      </w:r>
      <w:r w:rsidR="008C1E2C" w:rsidRPr="008C1E2C">
        <w:t>.</w:t>
      </w:r>
    </w:p>
    <w:tbl>
      <w:tblPr>
        <w:tblW w:w="9980" w:type="dxa"/>
        <w:tblLook w:val="04A0" w:firstRow="1" w:lastRow="0" w:firstColumn="1" w:lastColumn="0" w:noHBand="0" w:noVBand="1"/>
      </w:tblPr>
      <w:tblGrid>
        <w:gridCol w:w="2480"/>
        <w:gridCol w:w="960"/>
        <w:gridCol w:w="1560"/>
        <w:gridCol w:w="1960"/>
        <w:gridCol w:w="960"/>
        <w:gridCol w:w="1100"/>
        <w:gridCol w:w="960"/>
      </w:tblGrid>
      <w:tr w:rsidR="00547A95" w:rsidRPr="00547A95" w:rsidTr="00547A95">
        <w:trPr>
          <w:trHeight w:val="750"/>
        </w:trPr>
        <w:tc>
          <w:tcPr>
            <w:tcW w:w="2480" w:type="dxa"/>
            <w:tcBorders>
              <w:top w:val="single" w:sz="8" w:space="0" w:color="auto"/>
              <w:left w:val="single" w:sz="8" w:space="0" w:color="auto"/>
              <w:bottom w:val="single" w:sz="4" w:space="0" w:color="auto"/>
              <w:right w:val="nil"/>
            </w:tcBorders>
            <w:shd w:val="clear" w:color="000000" w:fill="D9D9D9"/>
            <w:noWrap/>
            <w:vAlign w:val="center"/>
            <w:hideMark/>
          </w:tcPr>
          <w:p w:rsidR="00547A95" w:rsidRPr="00547A95" w:rsidRDefault="00547A95" w:rsidP="00547A95">
            <w:pPr>
              <w:spacing w:after="0" w:line="240" w:lineRule="auto"/>
              <w:rPr>
                <w:rFonts w:ascii="Calibri" w:eastAsia="Times New Roman" w:hAnsi="Calibri" w:cs="Times New Roman"/>
                <w:b/>
                <w:bCs/>
                <w:color w:val="000000"/>
                <w:sz w:val="20"/>
                <w:szCs w:val="20"/>
                <w:lang w:eastAsia="en-GB"/>
              </w:rPr>
            </w:pPr>
            <w:r w:rsidRPr="00547A95">
              <w:rPr>
                <w:rFonts w:ascii="Calibri" w:eastAsia="Times New Roman" w:hAnsi="Calibri" w:cs="Times New Roman"/>
                <w:b/>
                <w:bCs/>
                <w:color w:val="000000"/>
                <w:sz w:val="20"/>
                <w:szCs w:val="20"/>
                <w:lang w:eastAsia="en-GB"/>
              </w:rPr>
              <w:t> </w:t>
            </w:r>
          </w:p>
        </w:tc>
        <w:tc>
          <w:tcPr>
            <w:tcW w:w="960" w:type="dxa"/>
            <w:tcBorders>
              <w:top w:val="single" w:sz="8" w:space="0" w:color="auto"/>
              <w:left w:val="single" w:sz="4" w:space="0" w:color="auto"/>
              <w:bottom w:val="single" w:sz="4" w:space="0" w:color="auto"/>
              <w:right w:val="single" w:sz="4" w:space="0" w:color="auto"/>
            </w:tcBorders>
            <w:shd w:val="clear" w:color="000000" w:fill="D9D9D9"/>
            <w:vAlign w:val="center"/>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Patients</w:t>
            </w:r>
            <w:r w:rsidRPr="00547A95">
              <w:rPr>
                <w:rFonts w:ascii="Calibri" w:eastAsia="Times New Roman" w:hAnsi="Calibri" w:cs="Times New Roman"/>
                <w:color w:val="000000"/>
                <w:sz w:val="20"/>
                <w:szCs w:val="20"/>
                <w:lang w:eastAsia="en-GB"/>
              </w:rPr>
              <w:br/>
              <w:t>(N)</w:t>
            </w:r>
          </w:p>
        </w:tc>
        <w:tc>
          <w:tcPr>
            <w:tcW w:w="1560" w:type="dxa"/>
            <w:tcBorders>
              <w:top w:val="single" w:sz="8" w:space="0" w:color="auto"/>
              <w:left w:val="nil"/>
              <w:bottom w:val="single" w:sz="4" w:space="0" w:color="auto"/>
              <w:right w:val="single" w:sz="4" w:space="0" w:color="auto"/>
            </w:tcBorders>
            <w:shd w:val="clear" w:color="000000" w:fill="D9D9D9"/>
            <w:vAlign w:val="center"/>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xml:space="preserve"> Exacerbations</w:t>
            </w:r>
            <w:r w:rsidRPr="00547A95">
              <w:rPr>
                <w:rFonts w:ascii="Calibri" w:eastAsia="Times New Roman" w:hAnsi="Calibri" w:cs="Times New Roman"/>
                <w:color w:val="000000"/>
                <w:sz w:val="20"/>
                <w:szCs w:val="20"/>
                <w:lang w:eastAsia="en-GB"/>
              </w:rPr>
              <w:br/>
              <w:t>in risk period</w:t>
            </w:r>
          </w:p>
        </w:tc>
        <w:tc>
          <w:tcPr>
            <w:tcW w:w="1960" w:type="dxa"/>
            <w:tcBorders>
              <w:top w:val="single" w:sz="8" w:space="0" w:color="auto"/>
              <w:left w:val="nil"/>
              <w:bottom w:val="single" w:sz="4" w:space="0" w:color="auto"/>
              <w:right w:val="single" w:sz="4" w:space="0" w:color="auto"/>
            </w:tcBorders>
            <w:shd w:val="clear" w:color="000000" w:fill="D9D9D9"/>
            <w:vAlign w:val="center"/>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Exacerbations in</w:t>
            </w:r>
            <w:r w:rsidRPr="00547A95">
              <w:rPr>
                <w:rFonts w:ascii="Calibri" w:eastAsia="Times New Roman" w:hAnsi="Calibri" w:cs="Times New Roman"/>
                <w:color w:val="000000"/>
                <w:sz w:val="20"/>
                <w:szCs w:val="20"/>
                <w:lang w:eastAsia="en-GB"/>
              </w:rPr>
              <w:br/>
              <w:t>control period</w:t>
            </w:r>
          </w:p>
        </w:tc>
        <w:tc>
          <w:tcPr>
            <w:tcW w:w="960" w:type="dxa"/>
            <w:tcBorders>
              <w:top w:val="single" w:sz="8" w:space="0" w:color="auto"/>
              <w:left w:val="nil"/>
              <w:bottom w:val="single" w:sz="4" w:space="0" w:color="auto"/>
              <w:right w:val="nil"/>
            </w:tcBorders>
            <w:shd w:val="clear" w:color="000000" w:fill="D9D9D9"/>
            <w:vAlign w:val="center"/>
            <w:hideMark/>
          </w:tcPr>
          <w:p w:rsidR="00547A95" w:rsidRPr="00547A95" w:rsidRDefault="00547A95" w:rsidP="00547A95">
            <w:pPr>
              <w:spacing w:after="0" w:line="240" w:lineRule="auto"/>
              <w:jc w:val="center"/>
              <w:rPr>
                <w:rFonts w:ascii="Calibri" w:eastAsia="Times New Roman" w:hAnsi="Calibri" w:cs="Times New Roman"/>
                <w:b/>
                <w:bCs/>
                <w:color w:val="000000"/>
                <w:sz w:val="20"/>
                <w:szCs w:val="20"/>
                <w:lang w:eastAsia="en-GB"/>
              </w:rPr>
            </w:pPr>
            <w:r w:rsidRPr="00547A95">
              <w:rPr>
                <w:rFonts w:ascii="Calibri" w:eastAsia="Times New Roman" w:hAnsi="Calibri" w:cs="Times New Roman"/>
                <w:b/>
                <w:bCs/>
                <w:color w:val="000000"/>
                <w:sz w:val="20"/>
                <w:szCs w:val="20"/>
                <w:lang w:eastAsia="en-GB"/>
              </w:rPr>
              <w:t xml:space="preserve">IRR </w:t>
            </w:r>
          </w:p>
        </w:tc>
        <w:tc>
          <w:tcPr>
            <w:tcW w:w="1100" w:type="dxa"/>
            <w:tcBorders>
              <w:top w:val="single" w:sz="8" w:space="0" w:color="auto"/>
              <w:left w:val="nil"/>
              <w:bottom w:val="single" w:sz="4" w:space="0" w:color="auto"/>
              <w:right w:val="nil"/>
            </w:tcBorders>
            <w:shd w:val="clear" w:color="000000" w:fill="D9D9D9"/>
            <w:noWrap/>
            <w:vAlign w:val="center"/>
            <w:hideMark/>
          </w:tcPr>
          <w:p w:rsidR="00547A95" w:rsidRPr="00547A95" w:rsidRDefault="00547A95" w:rsidP="00547A95">
            <w:pPr>
              <w:spacing w:after="0" w:line="240" w:lineRule="auto"/>
              <w:jc w:val="center"/>
              <w:rPr>
                <w:rFonts w:ascii="Calibri" w:eastAsia="Times New Roman" w:hAnsi="Calibri" w:cs="Times New Roman"/>
                <w:b/>
                <w:bCs/>
                <w:color w:val="000000"/>
                <w:sz w:val="20"/>
                <w:szCs w:val="20"/>
                <w:lang w:eastAsia="en-GB"/>
              </w:rPr>
            </w:pPr>
            <w:r w:rsidRPr="00547A95">
              <w:rPr>
                <w:rFonts w:ascii="Calibri" w:eastAsia="Times New Roman" w:hAnsi="Calibri" w:cs="Times New Roman"/>
                <w:b/>
                <w:bCs/>
                <w:color w:val="000000"/>
                <w:sz w:val="20"/>
                <w:szCs w:val="20"/>
                <w:lang w:eastAsia="en-GB"/>
              </w:rPr>
              <w:t>95% CI</w:t>
            </w:r>
          </w:p>
        </w:tc>
        <w:tc>
          <w:tcPr>
            <w:tcW w:w="960" w:type="dxa"/>
            <w:tcBorders>
              <w:top w:val="single" w:sz="8" w:space="0" w:color="auto"/>
              <w:left w:val="single" w:sz="4" w:space="0" w:color="auto"/>
              <w:bottom w:val="single" w:sz="4" w:space="0" w:color="auto"/>
              <w:right w:val="single" w:sz="8" w:space="0" w:color="auto"/>
            </w:tcBorders>
            <w:shd w:val="clear" w:color="000000" w:fill="D9D9D9"/>
            <w:noWrap/>
            <w:vAlign w:val="center"/>
            <w:hideMark/>
          </w:tcPr>
          <w:p w:rsidR="00547A95" w:rsidRPr="00547A95" w:rsidRDefault="00547A95" w:rsidP="00547A95">
            <w:pPr>
              <w:spacing w:after="0" w:line="240" w:lineRule="auto"/>
              <w:jc w:val="center"/>
              <w:rPr>
                <w:rFonts w:ascii="Calibri" w:eastAsia="Times New Roman" w:hAnsi="Calibri" w:cs="Times New Roman"/>
                <w:b/>
                <w:bCs/>
                <w:color w:val="000000"/>
                <w:sz w:val="20"/>
                <w:szCs w:val="20"/>
                <w:lang w:eastAsia="en-GB"/>
              </w:rPr>
            </w:pPr>
            <w:r w:rsidRPr="00547A95">
              <w:rPr>
                <w:rFonts w:ascii="Calibri" w:eastAsia="Times New Roman" w:hAnsi="Calibri" w:cs="Times New Roman"/>
                <w:b/>
                <w:bCs/>
                <w:color w:val="000000"/>
                <w:sz w:val="20"/>
                <w:szCs w:val="20"/>
                <w:lang w:eastAsia="en-GB"/>
              </w:rPr>
              <w:t> </w:t>
            </w:r>
          </w:p>
        </w:tc>
      </w:tr>
      <w:tr w:rsidR="00547A95" w:rsidRPr="00547A95" w:rsidTr="00547A95">
        <w:trPr>
          <w:trHeight w:val="315"/>
        </w:trPr>
        <w:tc>
          <w:tcPr>
            <w:tcW w:w="2480" w:type="dxa"/>
            <w:tcBorders>
              <w:top w:val="nil"/>
              <w:left w:val="single" w:sz="8" w:space="0" w:color="auto"/>
              <w:bottom w:val="double" w:sz="6" w:space="0" w:color="auto"/>
              <w:right w:val="nil"/>
            </w:tcBorders>
            <w:shd w:val="clear" w:color="auto" w:fill="auto"/>
            <w:noWrap/>
            <w:vAlign w:val="center"/>
            <w:hideMark/>
          </w:tcPr>
          <w:p w:rsidR="00547A95" w:rsidRPr="00547A95" w:rsidRDefault="00547A95" w:rsidP="00547A95">
            <w:pPr>
              <w:spacing w:after="0" w:line="240" w:lineRule="auto"/>
              <w:rPr>
                <w:rFonts w:ascii="Calibri" w:eastAsia="Times New Roman" w:hAnsi="Calibri" w:cs="Times New Roman"/>
                <w:b/>
                <w:bCs/>
                <w:color w:val="000000"/>
                <w:sz w:val="20"/>
                <w:szCs w:val="20"/>
                <w:lang w:eastAsia="en-GB"/>
              </w:rPr>
            </w:pPr>
            <w:r w:rsidRPr="00547A95">
              <w:rPr>
                <w:rFonts w:ascii="Calibri" w:eastAsia="Times New Roman" w:hAnsi="Calibri" w:cs="Times New Roman"/>
                <w:b/>
                <w:bCs/>
                <w:color w:val="000000"/>
                <w:sz w:val="20"/>
                <w:szCs w:val="20"/>
                <w:lang w:eastAsia="en-GB"/>
              </w:rPr>
              <w:t>3-month risk period</w:t>
            </w:r>
          </w:p>
        </w:tc>
        <w:tc>
          <w:tcPr>
            <w:tcW w:w="960" w:type="dxa"/>
            <w:tcBorders>
              <w:top w:val="nil"/>
              <w:left w:val="single" w:sz="4" w:space="0" w:color="auto"/>
              <w:bottom w:val="double" w:sz="6" w:space="0" w:color="auto"/>
              <w:right w:val="single" w:sz="4" w:space="0" w:color="auto"/>
            </w:tcBorders>
            <w:shd w:val="clear" w:color="auto" w:fill="auto"/>
            <w:noWrap/>
            <w:vAlign w:val="center"/>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3,523</w:t>
            </w:r>
          </w:p>
        </w:tc>
        <w:tc>
          <w:tcPr>
            <w:tcW w:w="1560" w:type="dxa"/>
            <w:tcBorders>
              <w:top w:val="nil"/>
              <w:left w:val="nil"/>
              <w:bottom w:val="double" w:sz="6" w:space="0" w:color="auto"/>
              <w:right w:val="single" w:sz="4" w:space="0" w:color="auto"/>
            </w:tcBorders>
            <w:shd w:val="clear" w:color="auto" w:fill="auto"/>
            <w:noWrap/>
            <w:vAlign w:val="center"/>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362</w:t>
            </w:r>
          </w:p>
        </w:tc>
        <w:tc>
          <w:tcPr>
            <w:tcW w:w="1960" w:type="dxa"/>
            <w:tcBorders>
              <w:top w:val="nil"/>
              <w:left w:val="nil"/>
              <w:bottom w:val="double" w:sz="6" w:space="0" w:color="auto"/>
              <w:right w:val="single" w:sz="4" w:space="0" w:color="auto"/>
            </w:tcBorders>
            <w:shd w:val="clear" w:color="auto" w:fill="auto"/>
            <w:noWrap/>
            <w:vAlign w:val="center"/>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2980</w:t>
            </w:r>
          </w:p>
        </w:tc>
        <w:tc>
          <w:tcPr>
            <w:tcW w:w="960" w:type="dxa"/>
            <w:tcBorders>
              <w:top w:val="nil"/>
              <w:left w:val="nil"/>
              <w:bottom w:val="double" w:sz="6" w:space="0" w:color="auto"/>
              <w:right w:val="nil"/>
            </w:tcBorders>
            <w:shd w:val="clear" w:color="auto" w:fill="auto"/>
            <w:noWrap/>
            <w:vAlign w:val="center"/>
            <w:hideMark/>
          </w:tcPr>
          <w:p w:rsidR="00547A95" w:rsidRPr="00547A95" w:rsidRDefault="00547A95" w:rsidP="00547A95">
            <w:pPr>
              <w:spacing w:after="0" w:line="240" w:lineRule="auto"/>
              <w:jc w:val="center"/>
              <w:rPr>
                <w:rFonts w:ascii="Calibri" w:eastAsia="Times New Roman" w:hAnsi="Calibri" w:cs="Times New Roman"/>
                <w:b/>
                <w:bCs/>
                <w:color w:val="000000"/>
                <w:sz w:val="20"/>
                <w:szCs w:val="20"/>
                <w:lang w:eastAsia="en-GB"/>
              </w:rPr>
            </w:pPr>
            <w:r w:rsidRPr="00547A95">
              <w:rPr>
                <w:rFonts w:ascii="Calibri" w:eastAsia="Times New Roman" w:hAnsi="Calibri" w:cs="Times New Roman"/>
                <w:b/>
                <w:bCs/>
                <w:color w:val="000000"/>
                <w:sz w:val="20"/>
                <w:szCs w:val="20"/>
                <w:lang w:eastAsia="en-GB"/>
              </w:rPr>
              <w:t>0.79</w:t>
            </w:r>
          </w:p>
        </w:tc>
        <w:tc>
          <w:tcPr>
            <w:tcW w:w="1100" w:type="dxa"/>
            <w:tcBorders>
              <w:top w:val="nil"/>
              <w:left w:val="nil"/>
              <w:bottom w:val="double" w:sz="6" w:space="0" w:color="auto"/>
              <w:right w:val="nil"/>
            </w:tcBorders>
            <w:shd w:val="clear" w:color="auto" w:fill="auto"/>
            <w:noWrap/>
            <w:vAlign w:val="center"/>
            <w:hideMark/>
          </w:tcPr>
          <w:p w:rsidR="00547A95" w:rsidRPr="00547A95" w:rsidRDefault="00547A95" w:rsidP="00547A95">
            <w:pPr>
              <w:spacing w:after="0" w:line="240" w:lineRule="auto"/>
              <w:jc w:val="center"/>
              <w:rPr>
                <w:rFonts w:ascii="Calibri" w:eastAsia="Times New Roman" w:hAnsi="Calibri" w:cs="Times New Roman"/>
                <w:b/>
                <w:bCs/>
                <w:color w:val="000000"/>
                <w:sz w:val="20"/>
                <w:szCs w:val="20"/>
                <w:lang w:eastAsia="en-GB"/>
              </w:rPr>
            </w:pPr>
            <w:r w:rsidRPr="00547A95">
              <w:rPr>
                <w:rFonts w:ascii="Calibri" w:eastAsia="Times New Roman" w:hAnsi="Calibri" w:cs="Times New Roman"/>
                <w:b/>
                <w:bCs/>
                <w:color w:val="000000"/>
                <w:sz w:val="20"/>
                <w:szCs w:val="20"/>
                <w:lang w:eastAsia="en-GB"/>
              </w:rPr>
              <w:t>0.71-0.88</w:t>
            </w:r>
          </w:p>
        </w:tc>
        <w:tc>
          <w:tcPr>
            <w:tcW w:w="960" w:type="dxa"/>
            <w:tcBorders>
              <w:top w:val="nil"/>
              <w:left w:val="single" w:sz="4" w:space="0" w:color="auto"/>
              <w:bottom w:val="double" w:sz="6" w:space="0" w:color="auto"/>
              <w:right w:val="single" w:sz="8" w:space="0" w:color="auto"/>
            </w:tcBorders>
            <w:shd w:val="clear" w:color="auto" w:fill="auto"/>
            <w:noWrap/>
            <w:vAlign w:val="center"/>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r>
      <w:tr w:rsidR="00547A95" w:rsidRPr="00547A95" w:rsidTr="00547A95">
        <w:trPr>
          <w:trHeight w:val="705"/>
        </w:trPr>
        <w:tc>
          <w:tcPr>
            <w:tcW w:w="2480" w:type="dxa"/>
            <w:tcBorders>
              <w:top w:val="nil"/>
              <w:left w:val="single" w:sz="8" w:space="0" w:color="auto"/>
              <w:bottom w:val="single" w:sz="4" w:space="0" w:color="auto"/>
              <w:right w:val="nil"/>
            </w:tcBorders>
            <w:shd w:val="clear" w:color="000000" w:fill="D9D9D9"/>
            <w:vAlign w:val="center"/>
            <w:hideMark/>
          </w:tcPr>
          <w:p w:rsidR="00547A95" w:rsidRPr="00547A95" w:rsidRDefault="00547A95" w:rsidP="00547A95">
            <w:pPr>
              <w:spacing w:after="0" w:line="240" w:lineRule="auto"/>
              <w:rPr>
                <w:rFonts w:ascii="Calibri" w:eastAsia="Times New Roman" w:hAnsi="Calibri" w:cs="Times New Roman"/>
                <w:b/>
                <w:bCs/>
                <w:color w:val="000000"/>
                <w:sz w:val="20"/>
                <w:szCs w:val="20"/>
                <w:lang w:eastAsia="en-GB"/>
              </w:rPr>
            </w:pPr>
            <w:r w:rsidRPr="00547A95">
              <w:rPr>
                <w:rFonts w:ascii="Calibri" w:eastAsia="Times New Roman" w:hAnsi="Calibri" w:cs="Times New Roman"/>
                <w:b/>
                <w:bCs/>
                <w:color w:val="000000"/>
                <w:sz w:val="20"/>
                <w:szCs w:val="20"/>
                <w:lang w:eastAsia="en-GB"/>
              </w:rPr>
              <w:t>Variable association may be modified by</w:t>
            </w:r>
          </w:p>
        </w:tc>
        <w:tc>
          <w:tcPr>
            <w:tcW w:w="960" w:type="dxa"/>
            <w:tcBorders>
              <w:top w:val="nil"/>
              <w:left w:val="single" w:sz="4" w:space="0" w:color="auto"/>
              <w:bottom w:val="single" w:sz="4" w:space="0" w:color="auto"/>
              <w:right w:val="single" w:sz="4" w:space="0" w:color="auto"/>
            </w:tcBorders>
            <w:shd w:val="clear" w:color="000000" w:fill="D9D9D9"/>
            <w:vAlign w:val="center"/>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Patients</w:t>
            </w:r>
            <w:r w:rsidRPr="00547A95">
              <w:rPr>
                <w:rFonts w:ascii="Calibri" w:eastAsia="Times New Roman" w:hAnsi="Calibri" w:cs="Times New Roman"/>
                <w:color w:val="000000"/>
                <w:sz w:val="20"/>
                <w:szCs w:val="20"/>
                <w:lang w:eastAsia="en-GB"/>
              </w:rPr>
              <w:br/>
              <w:t>(N)</w:t>
            </w:r>
          </w:p>
        </w:tc>
        <w:tc>
          <w:tcPr>
            <w:tcW w:w="1560" w:type="dxa"/>
            <w:tcBorders>
              <w:top w:val="nil"/>
              <w:left w:val="nil"/>
              <w:bottom w:val="single" w:sz="4" w:space="0" w:color="auto"/>
              <w:right w:val="single" w:sz="4" w:space="0" w:color="auto"/>
            </w:tcBorders>
            <w:shd w:val="clear" w:color="000000" w:fill="D9D9D9"/>
            <w:vAlign w:val="center"/>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Exacerbations</w:t>
            </w:r>
            <w:r w:rsidRPr="00547A95">
              <w:rPr>
                <w:rFonts w:ascii="Calibri" w:eastAsia="Times New Roman" w:hAnsi="Calibri" w:cs="Times New Roman"/>
                <w:color w:val="000000"/>
                <w:sz w:val="20"/>
                <w:szCs w:val="20"/>
                <w:lang w:eastAsia="en-GB"/>
              </w:rPr>
              <w:br/>
              <w:t>in risk period</w:t>
            </w:r>
          </w:p>
        </w:tc>
        <w:tc>
          <w:tcPr>
            <w:tcW w:w="1960" w:type="dxa"/>
            <w:tcBorders>
              <w:top w:val="nil"/>
              <w:left w:val="nil"/>
              <w:bottom w:val="single" w:sz="4" w:space="0" w:color="auto"/>
              <w:right w:val="single" w:sz="4" w:space="0" w:color="auto"/>
            </w:tcBorders>
            <w:shd w:val="clear" w:color="000000" w:fill="D9D9D9"/>
            <w:vAlign w:val="center"/>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Exacerbations in</w:t>
            </w:r>
            <w:r w:rsidRPr="00547A95">
              <w:rPr>
                <w:rFonts w:ascii="Calibri" w:eastAsia="Times New Roman" w:hAnsi="Calibri" w:cs="Times New Roman"/>
                <w:color w:val="000000"/>
                <w:sz w:val="20"/>
                <w:szCs w:val="20"/>
                <w:lang w:eastAsia="en-GB"/>
              </w:rPr>
              <w:br/>
              <w:t>control period</w:t>
            </w:r>
          </w:p>
        </w:tc>
        <w:tc>
          <w:tcPr>
            <w:tcW w:w="960" w:type="dxa"/>
            <w:tcBorders>
              <w:top w:val="nil"/>
              <w:left w:val="nil"/>
              <w:bottom w:val="single" w:sz="4" w:space="0" w:color="auto"/>
              <w:right w:val="nil"/>
            </w:tcBorders>
            <w:shd w:val="clear" w:color="000000" w:fill="D9D9D9"/>
            <w:vAlign w:val="center"/>
            <w:hideMark/>
          </w:tcPr>
          <w:p w:rsidR="00547A95" w:rsidRPr="00547A95" w:rsidRDefault="00547A95" w:rsidP="00547A95">
            <w:pPr>
              <w:spacing w:after="0" w:line="240" w:lineRule="auto"/>
              <w:jc w:val="center"/>
              <w:rPr>
                <w:rFonts w:ascii="Calibri" w:eastAsia="Times New Roman" w:hAnsi="Calibri" w:cs="Times New Roman"/>
                <w:b/>
                <w:bCs/>
                <w:color w:val="000000"/>
                <w:sz w:val="20"/>
                <w:szCs w:val="20"/>
                <w:lang w:eastAsia="en-GB"/>
              </w:rPr>
            </w:pPr>
            <w:r w:rsidRPr="00547A95">
              <w:rPr>
                <w:rFonts w:ascii="Calibri" w:eastAsia="Times New Roman" w:hAnsi="Calibri" w:cs="Times New Roman"/>
                <w:b/>
                <w:bCs/>
                <w:color w:val="000000"/>
                <w:sz w:val="20"/>
                <w:szCs w:val="20"/>
                <w:lang w:eastAsia="en-GB"/>
              </w:rPr>
              <w:t xml:space="preserve">IRR </w:t>
            </w:r>
          </w:p>
        </w:tc>
        <w:tc>
          <w:tcPr>
            <w:tcW w:w="1100" w:type="dxa"/>
            <w:tcBorders>
              <w:top w:val="nil"/>
              <w:left w:val="nil"/>
              <w:bottom w:val="single" w:sz="4" w:space="0" w:color="auto"/>
              <w:right w:val="nil"/>
            </w:tcBorders>
            <w:shd w:val="clear" w:color="000000" w:fill="D9D9D9"/>
            <w:noWrap/>
            <w:vAlign w:val="center"/>
            <w:hideMark/>
          </w:tcPr>
          <w:p w:rsidR="00547A95" w:rsidRPr="00547A95" w:rsidRDefault="00547A95" w:rsidP="00547A95">
            <w:pPr>
              <w:spacing w:after="0" w:line="240" w:lineRule="auto"/>
              <w:jc w:val="center"/>
              <w:rPr>
                <w:rFonts w:ascii="Calibri" w:eastAsia="Times New Roman" w:hAnsi="Calibri" w:cs="Times New Roman"/>
                <w:b/>
                <w:bCs/>
                <w:color w:val="000000"/>
                <w:sz w:val="20"/>
                <w:szCs w:val="20"/>
                <w:lang w:eastAsia="en-GB"/>
              </w:rPr>
            </w:pPr>
            <w:r w:rsidRPr="00547A95">
              <w:rPr>
                <w:rFonts w:ascii="Calibri" w:eastAsia="Times New Roman" w:hAnsi="Calibri" w:cs="Times New Roman"/>
                <w:b/>
                <w:bCs/>
                <w:color w:val="000000"/>
                <w:sz w:val="20"/>
                <w:szCs w:val="20"/>
                <w:lang w:eastAsia="en-GB"/>
              </w:rPr>
              <w:t>95% CI</w:t>
            </w:r>
          </w:p>
        </w:tc>
        <w:tc>
          <w:tcPr>
            <w:tcW w:w="960" w:type="dxa"/>
            <w:tcBorders>
              <w:top w:val="nil"/>
              <w:left w:val="single" w:sz="4" w:space="0" w:color="auto"/>
              <w:bottom w:val="single" w:sz="4" w:space="0" w:color="auto"/>
              <w:right w:val="single" w:sz="8" w:space="0" w:color="auto"/>
            </w:tcBorders>
            <w:shd w:val="clear" w:color="000000" w:fill="D9D9D9"/>
            <w:vAlign w:val="center"/>
            <w:hideMark/>
          </w:tcPr>
          <w:p w:rsidR="00547A95" w:rsidRPr="00547A95" w:rsidRDefault="00547A95" w:rsidP="00547A95">
            <w:pPr>
              <w:spacing w:after="0" w:line="240" w:lineRule="auto"/>
              <w:jc w:val="center"/>
              <w:rPr>
                <w:rFonts w:ascii="Calibri" w:eastAsia="Times New Roman" w:hAnsi="Calibri" w:cs="Times New Roman"/>
                <w:b/>
                <w:bCs/>
                <w:color w:val="000000"/>
                <w:sz w:val="20"/>
                <w:szCs w:val="20"/>
                <w:lang w:eastAsia="en-GB"/>
              </w:rPr>
            </w:pPr>
            <w:r w:rsidRPr="00547A95">
              <w:rPr>
                <w:rFonts w:ascii="Calibri" w:eastAsia="Times New Roman" w:hAnsi="Calibri" w:cs="Times New Roman"/>
                <w:b/>
                <w:bCs/>
                <w:color w:val="000000"/>
                <w:sz w:val="20"/>
                <w:szCs w:val="20"/>
                <w:lang w:eastAsia="en-GB"/>
              </w:rPr>
              <w:t>p-value*</w:t>
            </w:r>
          </w:p>
        </w:tc>
      </w:tr>
      <w:tr w:rsidR="00547A95" w:rsidRPr="00547A95" w:rsidTr="00547A95">
        <w:trPr>
          <w:trHeight w:val="300"/>
        </w:trPr>
        <w:tc>
          <w:tcPr>
            <w:tcW w:w="2480" w:type="dxa"/>
            <w:tcBorders>
              <w:top w:val="nil"/>
              <w:left w:val="single" w:sz="8" w:space="0" w:color="auto"/>
              <w:bottom w:val="nil"/>
              <w:right w:val="nil"/>
            </w:tcBorders>
            <w:shd w:val="clear" w:color="auto" w:fill="auto"/>
            <w:noWrap/>
            <w:vAlign w:val="bottom"/>
            <w:hideMark/>
          </w:tcPr>
          <w:p w:rsidR="00547A95" w:rsidRPr="00547A95" w:rsidRDefault="00547A95" w:rsidP="00547A95">
            <w:pPr>
              <w:spacing w:after="0" w:line="240" w:lineRule="auto"/>
              <w:rPr>
                <w:rFonts w:ascii="Calibri" w:eastAsia="Times New Roman" w:hAnsi="Calibri" w:cs="Times New Roman"/>
                <w:b/>
                <w:bCs/>
                <w:color w:val="000000"/>
                <w:sz w:val="20"/>
                <w:szCs w:val="20"/>
                <w:lang w:eastAsia="en-GB"/>
              </w:rPr>
            </w:pPr>
            <w:r w:rsidRPr="00547A95">
              <w:rPr>
                <w:rFonts w:ascii="Calibri" w:eastAsia="Times New Roman" w:hAnsi="Calibri" w:cs="Times New Roman"/>
                <w:b/>
                <w:bCs/>
                <w:color w:val="000000"/>
                <w:sz w:val="20"/>
                <w:szCs w:val="20"/>
                <w:lang w:eastAsia="en-GB"/>
              </w:rPr>
              <w:t>Disease</w:t>
            </w:r>
          </w:p>
        </w:tc>
        <w:tc>
          <w:tcPr>
            <w:tcW w:w="960" w:type="dxa"/>
            <w:tcBorders>
              <w:top w:val="nil"/>
              <w:left w:val="single" w:sz="4" w:space="0" w:color="auto"/>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1560" w:type="dxa"/>
            <w:tcBorders>
              <w:top w:val="nil"/>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1960" w:type="dxa"/>
            <w:tcBorders>
              <w:top w:val="nil"/>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960" w:type="dxa"/>
            <w:tcBorders>
              <w:top w:val="nil"/>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1100" w:type="dxa"/>
            <w:tcBorders>
              <w:top w:val="nil"/>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960" w:type="dxa"/>
            <w:tcBorders>
              <w:top w:val="nil"/>
              <w:left w:val="single" w:sz="4" w:space="0" w:color="auto"/>
              <w:bottom w:val="nil"/>
              <w:right w:val="single" w:sz="8"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0.09</w:t>
            </w:r>
          </w:p>
        </w:tc>
      </w:tr>
      <w:tr w:rsidR="00547A95" w:rsidRPr="00547A95" w:rsidTr="00547A95">
        <w:trPr>
          <w:trHeight w:val="300"/>
        </w:trPr>
        <w:tc>
          <w:tcPr>
            <w:tcW w:w="2480" w:type="dxa"/>
            <w:tcBorders>
              <w:top w:val="nil"/>
              <w:left w:val="single" w:sz="8" w:space="0" w:color="auto"/>
              <w:bottom w:val="nil"/>
              <w:right w:val="nil"/>
            </w:tcBorders>
            <w:shd w:val="clear" w:color="auto" w:fill="auto"/>
            <w:noWrap/>
            <w:vAlign w:val="bottom"/>
            <w:hideMark/>
          </w:tcPr>
          <w:p w:rsidR="00547A95" w:rsidRPr="00547A95" w:rsidRDefault="00547A95" w:rsidP="00547A95">
            <w:pPr>
              <w:spacing w:after="0" w:line="240" w:lineRule="auto"/>
              <w:ind w:firstLineChars="200" w:firstLine="400"/>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xml:space="preserve">COPD </w:t>
            </w:r>
          </w:p>
        </w:tc>
        <w:tc>
          <w:tcPr>
            <w:tcW w:w="960" w:type="dxa"/>
            <w:tcBorders>
              <w:top w:val="nil"/>
              <w:left w:val="single" w:sz="4" w:space="0" w:color="auto"/>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625</w:t>
            </w:r>
          </w:p>
        </w:tc>
        <w:tc>
          <w:tcPr>
            <w:tcW w:w="1560" w:type="dxa"/>
            <w:tcBorders>
              <w:top w:val="nil"/>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55</w:t>
            </w:r>
          </w:p>
        </w:tc>
        <w:tc>
          <w:tcPr>
            <w:tcW w:w="1960" w:type="dxa"/>
            <w:tcBorders>
              <w:top w:val="nil"/>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534</w:t>
            </w:r>
          </w:p>
        </w:tc>
        <w:tc>
          <w:tcPr>
            <w:tcW w:w="960" w:type="dxa"/>
            <w:tcBorders>
              <w:top w:val="nil"/>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0.64</w:t>
            </w:r>
          </w:p>
        </w:tc>
        <w:tc>
          <w:tcPr>
            <w:tcW w:w="1100" w:type="dxa"/>
            <w:tcBorders>
              <w:top w:val="nil"/>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0.48-0.85</w:t>
            </w:r>
          </w:p>
        </w:tc>
        <w:tc>
          <w:tcPr>
            <w:tcW w:w="960" w:type="dxa"/>
            <w:tcBorders>
              <w:top w:val="nil"/>
              <w:left w:val="single" w:sz="4" w:space="0" w:color="auto"/>
              <w:bottom w:val="nil"/>
              <w:right w:val="single" w:sz="8"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r>
      <w:tr w:rsidR="00547A95" w:rsidRPr="00547A95" w:rsidTr="00547A95">
        <w:trPr>
          <w:trHeight w:val="315"/>
        </w:trPr>
        <w:tc>
          <w:tcPr>
            <w:tcW w:w="2480" w:type="dxa"/>
            <w:tcBorders>
              <w:top w:val="nil"/>
              <w:left w:val="single" w:sz="8" w:space="0" w:color="auto"/>
              <w:bottom w:val="single" w:sz="8" w:space="0" w:color="auto"/>
              <w:right w:val="nil"/>
            </w:tcBorders>
            <w:shd w:val="clear" w:color="auto" w:fill="auto"/>
            <w:noWrap/>
            <w:vAlign w:val="bottom"/>
            <w:hideMark/>
          </w:tcPr>
          <w:p w:rsidR="00547A95" w:rsidRPr="00547A95" w:rsidRDefault="00547A95" w:rsidP="00547A95">
            <w:pPr>
              <w:spacing w:after="0" w:line="240" w:lineRule="auto"/>
              <w:ind w:firstLineChars="200" w:firstLine="400"/>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Asthma</w:t>
            </w:r>
          </w:p>
        </w:tc>
        <w:tc>
          <w:tcPr>
            <w:tcW w:w="960" w:type="dxa"/>
            <w:tcBorders>
              <w:top w:val="nil"/>
              <w:left w:val="single" w:sz="4" w:space="0" w:color="auto"/>
              <w:bottom w:val="single" w:sz="8" w:space="0" w:color="auto"/>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2,898</w:t>
            </w:r>
          </w:p>
        </w:tc>
        <w:tc>
          <w:tcPr>
            <w:tcW w:w="1560" w:type="dxa"/>
            <w:tcBorders>
              <w:top w:val="nil"/>
              <w:left w:val="nil"/>
              <w:bottom w:val="single" w:sz="8" w:space="0" w:color="auto"/>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307</w:t>
            </w:r>
          </w:p>
        </w:tc>
        <w:tc>
          <w:tcPr>
            <w:tcW w:w="1960" w:type="dxa"/>
            <w:tcBorders>
              <w:top w:val="nil"/>
              <w:left w:val="nil"/>
              <w:bottom w:val="single" w:sz="8" w:space="0" w:color="auto"/>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2446</w:t>
            </w:r>
          </w:p>
        </w:tc>
        <w:tc>
          <w:tcPr>
            <w:tcW w:w="960" w:type="dxa"/>
            <w:tcBorders>
              <w:top w:val="nil"/>
              <w:left w:val="nil"/>
              <w:bottom w:val="single" w:sz="8" w:space="0" w:color="auto"/>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0.82</w:t>
            </w:r>
          </w:p>
        </w:tc>
        <w:tc>
          <w:tcPr>
            <w:tcW w:w="1100" w:type="dxa"/>
            <w:tcBorders>
              <w:top w:val="nil"/>
              <w:left w:val="nil"/>
              <w:bottom w:val="single" w:sz="8" w:space="0" w:color="auto"/>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0.73-0.93</w:t>
            </w:r>
          </w:p>
        </w:tc>
        <w:tc>
          <w:tcPr>
            <w:tcW w:w="960" w:type="dxa"/>
            <w:tcBorders>
              <w:top w:val="nil"/>
              <w:left w:val="single" w:sz="4" w:space="0" w:color="auto"/>
              <w:bottom w:val="single" w:sz="8" w:space="0" w:color="auto"/>
              <w:right w:val="single" w:sz="8"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r>
      <w:tr w:rsidR="00547A95" w:rsidRPr="00547A95" w:rsidTr="00547A95">
        <w:trPr>
          <w:trHeight w:val="300"/>
        </w:trPr>
        <w:tc>
          <w:tcPr>
            <w:tcW w:w="2480" w:type="dxa"/>
            <w:tcBorders>
              <w:top w:val="single" w:sz="4" w:space="0" w:color="auto"/>
              <w:left w:val="single" w:sz="8" w:space="0" w:color="auto"/>
              <w:bottom w:val="nil"/>
              <w:right w:val="nil"/>
            </w:tcBorders>
            <w:shd w:val="clear" w:color="auto" w:fill="auto"/>
            <w:noWrap/>
            <w:vAlign w:val="bottom"/>
            <w:hideMark/>
          </w:tcPr>
          <w:p w:rsidR="00547A95" w:rsidRPr="00547A95" w:rsidRDefault="00547A95" w:rsidP="00547A95">
            <w:pPr>
              <w:spacing w:after="0" w:line="240" w:lineRule="auto"/>
              <w:rPr>
                <w:rFonts w:ascii="Calibri" w:eastAsia="Times New Roman" w:hAnsi="Calibri" w:cs="Times New Roman"/>
                <w:b/>
                <w:bCs/>
                <w:color w:val="000000"/>
                <w:sz w:val="20"/>
                <w:szCs w:val="20"/>
                <w:lang w:eastAsia="en-GB"/>
              </w:rPr>
            </w:pPr>
            <w:r w:rsidRPr="00547A95">
              <w:rPr>
                <w:rFonts w:ascii="Calibri" w:eastAsia="Times New Roman" w:hAnsi="Calibri" w:cs="Times New Roman"/>
                <w:b/>
                <w:bCs/>
                <w:color w:val="000000"/>
                <w:sz w:val="20"/>
                <w:szCs w:val="20"/>
                <w:lang w:eastAsia="en-GB"/>
              </w:rPr>
              <w:t>Gender</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1560" w:type="dxa"/>
            <w:tcBorders>
              <w:top w:val="single" w:sz="4" w:space="0" w:color="auto"/>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1960" w:type="dxa"/>
            <w:tcBorders>
              <w:top w:val="single" w:sz="4" w:space="0" w:color="auto"/>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960" w:type="dxa"/>
            <w:tcBorders>
              <w:top w:val="single" w:sz="4" w:space="0" w:color="auto"/>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1100" w:type="dxa"/>
            <w:tcBorders>
              <w:top w:val="single" w:sz="4" w:space="0" w:color="auto"/>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960" w:type="dxa"/>
            <w:tcBorders>
              <w:top w:val="single" w:sz="4" w:space="0" w:color="auto"/>
              <w:left w:val="single" w:sz="4" w:space="0" w:color="auto"/>
              <w:bottom w:val="nil"/>
              <w:right w:val="single" w:sz="8"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0.48</w:t>
            </w:r>
          </w:p>
        </w:tc>
      </w:tr>
      <w:tr w:rsidR="00547A95" w:rsidRPr="00547A95" w:rsidTr="00547A95">
        <w:trPr>
          <w:trHeight w:val="300"/>
        </w:trPr>
        <w:tc>
          <w:tcPr>
            <w:tcW w:w="2480" w:type="dxa"/>
            <w:tcBorders>
              <w:top w:val="nil"/>
              <w:left w:val="single" w:sz="8" w:space="0" w:color="auto"/>
              <w:bottom w:val="nil"/>
              <w:right w:val="nil"/>
            </w:tcBorders>
            <w:shd w:val="clear" w:color="auto" w:fill="auto"/>
            <w:noWrap/>
            <w:vAlign w:val="bottom"/>
            <w:hideMark/>
          </w:tcPr>
          <w:p w:rsidR="00547A95" w:rsidRPr="00547A95" w:rsidRDefault="00547A95" w:rsidP="00547A95">
            <w:pPr>
              <w:spacing w:after="0" w:line="240" w:lineRule="auto"/>
              <w:ind w:firstLineChars="200" w:firstLine="400"/>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Male</w:t>
            </w:r>
          </w:p>
        </w:tc>
        <w:tc>
          <w:tcPr>
            <w:tcW w:w="960" w:type="dxa"/>
            <w:tcBorders>
              <w:top w:val="nil"/>
              <w:left w:val="single" w:sz="4" w:space="0" w:color="auto"/>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1,568</w:t>
            </w:r>
          </w:p>
        </w:tc>
        <w:tc>
          <w:tcPr>
            <w:tcW w:w="1560" w:type="dxa"/>
            <w:tcBorders>
              <w:top w:val="nil"/>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155</w:t>
            </w:r>
          </w:p>
        </w:tc>
        <w:tc>
          <w:tcPr>
            <w:tcW w:w="1960" w:type="dxa"/>
            <w:tcBorders>
              <w:top w:val="nil"/>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1338</w:t>
            </w:r>
          </w:p>
        </w:tc>
        <w:tc>
          <w:tcPr>
            <w:tcW w:w="960" w:type="dxa"/>
            <w:tcBorders>
              <w:top w:val="nil"/>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0.75</w:t>
            </w:r>
          </w:p>
        </w:tc>
        <w:tc>
          <w:tcPr>
            <w:tcW w:w="1100" w:type="dxa"/>
            <w:tcBorders>
              <w:top w:val="nil"/>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0.63-0.89</w:t>
            </w:r>
          </w:p>
        </w:tc>
        <w:tc>
          <w:tcPr>
            <w:tcW w:w="960" w:type="dxa"/>
            <w:tcBorders>
              <w:top w:val="nil"/>
              <w:left w:val="single" w:sz="4" w:space="0" w:color="auto"/>
              <w:bottom w:val="nil"/>
              <w:right w:val="single" w:sz="8"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r>
      <w:tr w:rsidR="00547A95" w:rsidRPr="00547A95" w:rsidTr="00547A95">
        <w:trPr>
          <w:trHeight w:val="315"/>
        </w:trPr>
        <w:tc>
          <w:tcPr>
            <w:tcW w:w="2480" w:type="dxa"/>
            <w:tcBorders>
              <w:top w:val="nil"/>
              <w:left w:val="single" w:sz="8" w:space="0" w:color="auto"/>
              <w:bottom w:val="single" w:sz="8" w:space="0" w:color="auto"/>
              <w:right w:val="nil"/>
            </w:tcBorders>
            <w:shd w:val="clear" w:color="auto" w:fill="auto"/>
            <w:noWrap/>
            <w:vAlign w:val="bottom"/>
            <w:hideMark/>
          </w:tcPr>
          <w:p w:rsidR="00547A95" w:rsidRPr="00547A95" w:rsidRDefault="00547A95" w:rsidP="00547A95">
            <w:pPr>
              <w:spacing w:after="0" w:line="240" w:lineRule="auto"/>
              <w:ind w:firstLineChars="200" w:firstLine="400"/>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Female</w:t>
            </w:r>
          </w:p>
        </w:tc>
        <w:tc>
          <w:tcPr>
            <w:tcW w:w="960" w:type="dxa"/>
            <w:tcBorders>
              <w:top w:val="nil"/>
              <w:left w:val="single" w:sz="4" w:space="0" w:color="auto"/>
              <w:bottom w:val="single" w:sz="8" w:space="0" w:color="auto"/>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1,955</w:t>
            </w:r>
          </w:p>
        </w:tc>
        <w:tc>
          <w:tcPr>
            <w:tcW w:w="1560" w:type="dxa"/>
            <w:tcBorders>
              <w:top w:val="nil"/>
              <w:left w:val="nil"/>
              <w:bottom w:val="single" w:sz="8" w:space="0" w:color="auto"/>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207</w:t>
            </w:r>
          </w:p>
        </w:tc>
        <w:tc>
          <w:tcPr>
            <w:tcW w:w="1960" w:type="dxa"/>
            <w:tcBorders>
              <w:top w:val="nil"/>
              <w:left w:val="nil"/>
              <w:bottom w:val="single" w:sz="8" w:space="0" w:color="auto"/>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1642</w:t>
            </w:r>
          </w:p>
        </w:tc>
        <w:tc>
          <w:tcPr>
            <w:tcW w:w="960" w:type="dxa"/>
            <w:tcBorders>
              <w:top w:val="nil"/>
              <w:left w:val="nil"/>
              <w:bottom w:val="single" w:sz="8" w:space="0" w:color="auto"/>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0.82</w:t>
            </w:r>
          </w:p>
        </w:tc>
        <w:tc>
          <w:tcPr>
            <w:tcW w:w="1100" w:type="dxa"/>
            <w:tcBorders>
              <w:top w:val="nil"/>
              <w:left w:val="nil"/>
              <w:bottom w:val="single" w:sz="8" w:space="0" w:color="auto"/>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0.71-0.95</w:t>
            </w:r>
          </w:p>
        </w:tc>
        <w:tc>
          <w:tcPr>
            <w:tcW w:w="960" w:type="dxa"/>
            <w:tcBorders>
              <w:top w:val="nil"/>
              <w:left w:val="single" w:sz="4" w:space="0" w:color="auto"/>
              <w:bottom w:val="single" w:sz="8" w:space="0" w:color="auto"/>
              <w:right w:val="single" w:sz="8"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r>
      <w:tr w:rsidR="00547A95" w:rsidRPr="00547A95" w:rsidTr="00547A95">
        <w:trPr>
          <w:trHeight w:val="300"/>
        </w:trPr>
        <w:tc>
          <w:tcPr>
            <w:tcW w:w="2480" w:type="dxa"/>
            <w:tcBorders>
              <w:top w:val="single" w:sz="4" w:space="0" w:color="auto"/>
              <w:left w:val="single" w:sz="8" w:space="0" w:color="auto"/>
              <w:bottom w:val="nil"/>
              <w:right w:val="nil"/>
            </w:tcBorders>
            <w:shd w:val="clear" w:color="auto" w:fill="auto"/>
            <w:noWrap/>
            <w:vAlign w:val="bottom"/>
            <w:hideMark/>
          </w:tcPr>
          <w:p w:rsidR="00547A95" w:rsidRPr="00547A95" w:rsidRDefault="00547A95" w:rsidP="00547A95">
            <w:pPr>
              <w:spacing w:after="0" w:line="240" w:lineRule="auto"/>
              <w:rPr>
                <w:rFonts w:ascii="Calibri" w:eastAsia="Times New Roman" w:hAnsi="Calibri" w:cs="Times New Roman"/>
                <w:b/>
                <w:bCs/>
                <w:color w:val="000000"/>
                <w:sz w:val="20"/>
                <w:szCs w:val="20"/>
                <w:lang w:eastAsia="en-GB"/>
              </w:rPr>
            </w:pPr>
            <w:r w:rsidRPr="00547A95">
              <w:rPr>
                <w:rFonts w:ascii="Calibri" w:eastAsia="Times New Roman" w:hAnsi="Calibri" w:cs="Times New Roman"/>
                <w:b/>
                <w:bCs/>
                <w:color w:val="000000"/>
                <w:sz w:val="20"/>
                <w:szCs w:val="20"/>
                <w:lang w:eastAsia="en-GB"/>
              </w:rPr>
              <w:t>Medication class switched</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1560" w:type="dxa"/>
            <w:tcBorders>
              <w:top w:val="single" w:sz="4" w:space="0" w:color="auto"/>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1960" w:type="dxa"/>
            <w:tcBorders>
              <w:top w:val="single" w:sz="4" w:space="0" w:color="auto"/>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960" w:type="dxa"/>
            <w:tcBorders>
              <w:top w:val="single" w:sz="4" w:space="0" w:color="auto"/>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1100" w:type="dxa"/>
            <w:tcBorders>
              <w:top w:val="single" w:sz="4" w:space="0" w:color="auto"/>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960" w:type="dxa"/>
            <w:tcBorders>
              <w:top w:val="single" w:sz="4" w:space="0" w:color="auto"/>
              <w:left w:val="single" w:sz="4" w:space="0" w:color="auto"/>
              <w:bottom w:val="nil"/>
              <w:right w:val="single" w:sz="8"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0.20</w:t>
            </w:r>
          </w:p>
        </w:tc>
      </w:tr>
      <w:tr w:rsidR="00547A95" w:rsidRPr="00547A95" w:rsidTr="00547A95">
        <w:trPr>
          <w:trHeight w:val="300"/>
        </w:trPr>
        <w:tc>
          <w:tcPr>
            <w:tcW w:w="2480" w:type="dxa"/>
            <w:tcBorders>
              <w:top w:val="nil"/>
              <w:left w:val="single" w:sz="8" w:space="0" w:color="auto"/>
              <w:bottom w:val="nil"/>
              <w:right w:val="nil"/>
            </w:tcBorders>
            <w:shd w:val="clear" w:color="auto" w:fill="auto"/>
            <w:noWrap/>
            <w:vAlign w:val="bottom"/>
            <w:hideMark/>
          </w:tcPr>
          <w:p w:rsidR="00547A95" w:rsidRPr="00547A95" w:rsidRDefault="00547A95" w:rsidP="00547A95">
            <w:pPr>
              <w:spacing w:after="0" w:line="240" w:lineRule="auto"/>
              <w:ind w:firstLineChars="200" w:firstLine="400"/>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ICS</w:t>
            </w:r>
          </w:p>
        </w:tc>
        <w:tc>
          <w:tcPr>
            <w:tcW w:w="960" w:type="dxa"/>
            <w:tcBorders>
              <w:top w:val="nil"/>
              <w:left w:val="single" w:sz="4" w:space="0" w:color="auto"/>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1,801</w:t>
            </w:r>
          </w:p>
        </w:tc>
        <w:tc>
          <w:tcPr>
            <w:tcW w:w="1560" w:type="dxa"/>
            <w:tcBorders>
              <w:top w:val="nil"/>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200</w:t>
            </w:r>
          </w:p>
        </w:tc>
        <w:tc>
          <w:tcPr>
            <w:tcW w:w="1960" w:type="dxa"/>
            <w:tcBorders>
              <w:top w:val="nil"/>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1522</w:t>
            </w:r>
          </w:p>
        </w:tc>
        <w:tc>
          <w:tcPr>
            <w:tcW w:w="960" w:type="dxa"/>
            <w:tcBorders>
              <w:top w:val="nil"/>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0.87</w:t>
            </w:r>
          </w:p>
        </w:tc>
        <w:tc>
          <w:tcPr>
            <w:tcW w:w="1100" w:type="dxa"/>
            <w:tcBorders>
              <w:top w:val="nil"/>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0.75-1.00</w:t>
            </w:r>
          </w:p>
        </w:tc>
        <w:tc>
          <w:tcPr>
            <w:tcW w:w="960" w:type="dxa"/>
            <w:tcBorders>
              <w:top w:val="nil"/>
              <w:left w:val="single" w:sz="4" w:space="0" w:color="auto"/>
              <w:bottom w:val="nil"/>
              <w:right w:val="single" w:sz="8"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r>
      <w:tr w:rsidR="00547A95" w:rsidRPr="00547A95" w:rsidTr="00547A95">
        <w:trPr>
          <w:trHeight w:val="300"/>
        </w:trPr>
        <w:tc>
          <w:tcPr>
            <w:tcW w:w="2480" w:type="dxa"/>
            <w:tcBorders>
              <w:top w:val="nil"/>
              <w:left w:val="single" w:sz="8" w:space="0" w:color="auto"/>
              <w:bottom w:val="nil"/>
              <w:right w:val="nil"/>
            </w:tcBorders>
            <w:shd w:val="clear" w:color="auto" w:fill="auto"/>
            <w:noWrap/>
            <w:vAlign w:val="bottom"/>
            <w:hideMark/>
          </w:tcPr>
          <w:p w:rsidR="00547A95" w:rsidRPr="00547A95" w:rsidRDefault="00547A95" w:rsidP="00547A95">
            <w:pPr>
              <w:spacing w:after="0" w:line="240" w:lineRule="auto"/>
              <w:ind w:firstLineChars="200" w:firstLine="400"/>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LABA</w:t>
            </w:r>
          </w:p>
        </w:tc>
        <w:tc>
          <w:tcPr>
            <w:tcW w:w="960" w:type="dxa"/>
            <w:tcBorders>
              <w:top w:val="nil"/>
              <w:left w:val="single" w:sz="4" w:space="0" w:color="auto"/>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195</w:t>
            </w:r>
          </w:p>
        </w:tc>
        <w:tc>
          <w:tcPr>
            <w:tcW w:w="1560" w:type="dxa"/>
            <w:tcBorders>
              <w:top w:val="nil"/>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18</w:t>
            </w:r>
          </w:p>
        </w:tc>
        <w:tc>
          <w:tcPr>
            <w:tcW w:w="1960" w:type="dxa"/>
            <w:tcBorders>
              <w:top w:val="nil"/>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170</w:t>
            </w:r>
          </w:p>
        </w:tc>
        <w:tc>
          <w:tcPr>
            <w:tcW w:w="960" w:type="dxa"/>
            <w:tcBorders>
              <w:top w:val="nil"/>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0.73</w:t>
            </w:r>
          </w:p>
        </w:tc>
        <w:tc>
          <w:tcPr>
            <w:tcW w:w="1100" w:type="dxa"/>
            <w:tcBorders>
              <w:top w:val="nil"/>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0.45-1.20</w:t>
            </w:r>
          </w:p>
        </w:tc>
        <w:tc>
          <w:tcPr>
            <w:tcW w:w="960" w:type="dxa"/>
            <w:tcBorders>
              <w:top w:val="nil"/>
              <w:left w:val="single" w:sz="4" w:space="0" w:color="auto"/>
              <w:bottom w:val="nil"/>
              <w:right w:val="single" w:sz="8"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r>
      <w:tr w:rsidR="00547A95" w:rsidRPr="00547A95" w:rsidTr="00547A95">
        <w:trPr>
          <w:trHeight w:val="300"/>
        </w:trPr>
        <w:tc>
          <w:tcPr>
            <w:tcW w:w="2480" w:type="dxa"/>
            <w:tcBorders>
              <w:top w:val="nil"/>
              <w:left w:val="single" w:sz="8" w:space="0" w:color="auto"/>
              <w:bottom w:val="nil"/>
              <w:right w:val="nil"/>
            </w:tcBorders>
            <w:shd w:val="clear" w:color="auto" w:fill="auto"/>
            <w:noWrap/>
            <w:vAlign w:val="bottom"/>
            <w:hideMark/>
          </w:tcPr>
          <w:p w:rsidR="00547A95" w:rsidRPr="00547A95" w:rsidRDefault="00547A95" w:rsidP="00547A95">
            <w:pPr>
              <w:spacing w:after="0" w:line="240" w:lineRule="auto"/>
              <w:ind w:firstLineChars="200" w:firstLine="400"/>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LABA-ICS</w:t>
            </w:r>
          </w:p>
        </w:tc>
        <w:tc>
          <w:tcPr>
            <w:tcW w:w="960" w:type="dxa"/>
            <w:tcBorders>
              <w:top w:val="nil"/>
              <w:left w:val="single" w:sz="4" w:space="0" w:color="auto"/>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1,024</w:t>
            </w:r>
          </w:p>
        </w:tc>
        <w:tc>
          <w:tcPr>
            <w:tcW w:w="1560" w:type="dxa"/>
            <w:tcBorders>
              <w:top w:val="nil"/>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97</w:t>
            </w:r>
          </w:p>
        </w:tc>
        <w:tc>
          <w:tcPr>
            <w:tcW w:w="1960" w:type="dxa"/>
            <w:tcBorders>
              <w:top w:val="nil"/>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860</w:t>
            </w:r>
          </w:p>
        </w:tc>
        <w:tc>
          <w:tcPr>
            <w:tcW w:w="960" w:type="dxa"/>
            <w:tcBorders>
              <w:top w:val="nil"/>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0.72</w:t>
            </w:r>
          </w:p>
        </w:tc>
        <w:tc>
          <w:tcPr>
            <w:tcW w:w="1100" w:type="dxa"/>
            <w:tcBorders>
              <w:top w:val="nil"/>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0.58-0.89</w:t>
            </w:r>
          </w:p>
        </w:tc>
        <w:tc>
          <w:tcPr>
            <w:tcW w:w="960" w:type="dxa"/>
            <w:tcBorders>
              <w:top w:val="nil"/>
              <w:left w:val="single" w:sz="4" w:space="0" w:color="auto"/>
              <w:bottom w:val="nil"/>
              <w:right w:val="single" w:sz="8"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r>
      <w:tr w:rsidR="00547A95" w:rsidRPr="00547A95" w:rsidTr="00547A95">
        <w:trPr>
          <w:trHeight w:val="300"/>
        </w:trPr>
        <w:tc>
          <w:tcPr>
            <w:tcW w:w="2480" w:type="dxa"/>
            <w:tcBorders>
              <w:top w:val="nil"/>
              <w:left w:val="single" w:sz="8" w:space="0" w:color="auto"/>
              <w:bottom w:val="single" w:sz="4" w:space="0" w:color="auto"/>
              <w:right w:val="nil"/>
            </w:tcBorders>
            <w:shd w:val="clear" w:color="auto" w:fill="auto"/>
            <w:noWrap/>
            <w:vAlign w:val="bottom"/>
            <w:hideMark/>
          </w:tcPr>
          <w:p w:rsidR="00547A95" w:rsidRPr="00547A95" w:rsidRDefault="00547A95" w:rsidP="00547A95">
            <w:pPr>
              <w:spacing w:after="0" w:line="240" w:lineRule="auto"/>
              <w:ind w:firstLineChars="200" w:firstLine="400"/>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LAMA</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503</w:t>
            </w:r>
          </w:p>
        </w:tc>
        <w:tc>
          <w:tcPr>
            <w:tcW w:w="1560" w:type="dxa"/>
            <w:tcBorders>
              <w:top w:val="nil"/>
              <w:left w:val="nil"/>
              <w:bottom w:val="single" w:sz="4" w:space="0" w:color="auto"/>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47</w:t>
            </w:r>
          </w:p>
        </w:tc>
        <w:tc>
          <w:tcPr>
            <w:tcW w:w="1960" w:type="dxa"/>
            <w:tcBorders>
              <w:top w:val="nil"/>
              <w:left w:val="nil"/>
              <w:bottom w:val="single" w:sz="4" w:space="0" w:color="auto"/>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428</w:t>
            </w:r>
          </w:p>
        </w:tc>
        <w:tc>
          <w:tcPr>
            <w:tcW w:w="960" w:type="dxa"/>
            <w:tcBorders>
              <w:top w:val="nil"/>
              <w:left w:val="nil"/>
              <w:bottom w:val="single" w:sz="4" w:space="0" w:color="auto"/>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0.70</w:t>
            </w:r>
          </w:p>
        </w:tc>
        <w:tc>
          <w:tcPr>
            <w:tcW w:w="1100" w:type="dxa"/>
            <w:tcBorders>
              <w:top w:val="nil"/>
              <w:left w:val="nil"/>
              <w:bottom w:val="single" w:sz="4" w:space="0" w:color="auto"/>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0.52-0.95</w:t>
            </w:r>
          </w:p>
        </w:tc>
        <w:tc>
          <w:tcPr>
            <w:tcW w:w="960" w:type="dxa"/>
            <w:tcBorders>
              <w:top w:val="nil"/>
              <w:left w:val="single" w:sz="4" w:space="0" w:color="auto"/>
              <w:bottom w:val="single" w:sz="4" w:space="0" w:color="auto"/>
              <w:right w:val="single" w:sz="8"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r>
      <w:tr w:rsidR="00547A95" w:rsidRPr="00547A95" w:rsidTr="00547A95">
        <w:trPr>
          <w:trHeight w:val="300"/>
        </w:trPr>
        <w:tc>
          <w:tcPr>
            <w:tcW w:w="2480" w:type="dxa"/>
            <w:tcBorders>
              <w:top w:val="nil"/>
              <w:left w:val="single" w:sz="8" w:space="0" w:color="auto"/>
              <w:bottom w:val="nil"/>
              <w:right w:val="nil"/>
            </w:tcBorders>
            <w:shd w:val="clear" w:color="auto" w:fill="auto"/>
            <w:noWrap/>
            <w:vAlign w:val="bottom"/>
            <w:hideMark/>
          </w:tcPr>
          <w:p w:rsidR="00547A95" w:rsidRPr="00547A95" w:rsidRDefault="00547A95" w:rsidP="00547A95">
            <w:pPr>
              <w:spacing w:after="0" w:line="240" w:lineRule="auto"/>
              <w:rPr>
                <w:rFonts w:ascii="Calibri" w:eastAsia="Times New Roman" w:hAnsi="Calibri" w:cs="Times New Roman"/>
                <w:b/>
                <w:bCs/>
                <w:color w:val="000000"/>
                <w:sz w:val="20"/>
                <w:szCs w:val="20"/>
                <w:lang w:eastAsia="en-GB"/>
              </w:rPr>
            </w:pPr>
            <w:r w:rsidRPr="00547A95">
              <w:rPr>
                <w:rFonts w:ascii="Calibri" w:eastAsia="Times New Roman" w:hAnsi="Calibri" w:cs="Times New Roman"/>
                <w:b/>
                <w:bCs/>
                <w:color w:val="000000"/>
                <w:sz w:val="20"/>
                <w:szCs w:val="20"/>
                <w:lang w:eastAsia="en-GB"/>
              </w:rPr>
              <w:t xml:space="preserve">Switch: generic/ branded </w:t>
            </w:r>
          </w:p>
        </w:tc>
        <w:tc>
          <w:tcPr>
            <w:tcW w:w="960" w:type="dxa"/>
            <w:tcBorders>
              <w:top w:val="nil"/>
              <w:left w:val="single" w:sz="4" w:space="0" w:color="auto"/>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1560" w:type="dxa"/>
            <w:tcBorders>
              <w:top w:val="nil"/>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1960" w:type="dxa"/>
            <w:tcBorders>
              <w:top w:val="nil"/>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960" w:type="dxa"/>
            <w:tcBorders>
              <w:top w:val="nil"/>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p>
        </w:tc>
        <w:tc>
          <w:tcPr>
            <w:tcW w:w="1100" w:type="dxa"/>
            <w:tcBorders>
              <w:top w:val="nil"/>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Times New Roman" w:eastAsia="Times New Roman" w:hAnsi="Times New Roman" w:cs="Times New Roman"/>
                <w:sz w:val="20"/>
                <w:szCs w:val="20"/>
                <w:lang w:eastAsia="en-GB"/>
              </w:rPr>
            </w:pPr>
          </w:p>
        </w:tc>
        <w:tc>
          <w:tcPr>
            <w:tcW w:w="960" w:type="dxa"/>
            <w:tcBorders>
              <w:top w:val="nil"/>
              <w:left w:val="single" w:sz="4" w:space="0" w:color="auto"/>
              <w:bottom w:val="nil"/>
              <w:right w:val="single" w:sz="8"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0.35</w:t>
            </w:r>
          </w:p>
        </w:tc>
      </w:tr>
      <w:tr w:rsidR="00547A95" w:rsidRPr="00547A95" w:rsidTr="00547A95">
        <w:trPr>
          <w:trHeight w:val="300"/>
        </w:trPr>
        <w:tc>
          <w:tcPr>
            <w:tcW w:w="2480" w:type="dxa"/>
            <w:tcBorders>
              <w:top w:val="nil"/>
              <w:left w:val="single" w:sz="8" w:space="0" w:color="auto"/>
              <w:bottom w:val="nil"/>
              <w:right w:val="nil"/>
            </w:tcBorders>
            <w:shd w:val="clear" w:color="auto" w:fill="auto"/>
            <w:noWrap/>
            <w:vAlign w:val="bottom"/>
            <w:hideMark/>
          </w:tcPr>
          <w:p w:rsidR="00547A95" w:rsidRPr="00547A95" w:rsidRDefault="00547A95" w:rsidP="00547A95">
            <w:pPr>
              <w:spacing w:after="0" w:line="240" w:lineRule="auto"/>
              <w:ind w:firstLineChars="200" w:firstLine="400"/>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Generic to brand</w:t>
            </w:r>
          </w:p>
        </w:tc>
        <w:tc>
          <w:tcPr>
            <w:tcW w:w="960" w:type="dxa"/>
            <w:tcBorders>
              <w:top w:val="nil"/>
              <w:left w:val="single" w:sz="4" w:space="0" w:color="auto"/>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274</w:t>
            </w:r>
          </w:p>
        </w:tc>
        <w:tc>
          <w:tcPr>
            <w:tcW w:w="1560" w:type="dxa"/>
            <w:tcBorders>
              <w:top w:val="nil"/>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247</w:t>
            </w:r>
          </w:p>
        </w:tc>
        <w:tc>
          <w:tcPr>
            <w:tcW w:w="1960" w:type="dxa"/>
            <w:tcBorders>
              <w:top w:val="nil"/>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2071</w:t>
            </w:r>
          </w:p>
        </w:tc>
        <w:tc>
          <w:tcPr>
            <w:tcW w:w="960" w:type="dxa"/>
            <w:tcBorders>
              <w:top w:val="nil"/>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0.78</w:t>
            </w:r>
          </w:p>
        </w:tc>
        <w:tc>
          <w:tcPr>
            <w:tcW w:w="1100" w:type="dxa"/>
            <w:tcBorders>
              <w:top w:val="nil"/>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0.68-0.89</w:t>
            </w:r>
          </w:p>
        </w:tc>
        <w:tc>
          <w:tcPr>
            <w:tcW w:w="960" w:type="dxa"/>
            <w:tcBorders>
              <w:top w:val="nil"/>
              <w:left w:val="single" w:sz="4" w:space="0" w:color="auto"/>
              <w:bottom w:val="nil"/>
              <w:right w:val="single" w:sz="8"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r>
      <w:tr w:rsidR="00547A95" w:rsidRPr="00547A95" w:rsidTr="00547A95">
        <w:trPr>
          <w:trHeight w:val="300"/>
        </w:trPr>
        <w:tc>
          <w:tcPr>
            <w:tcW w:w="2480" w:type="dxa"/>
            <w:tcBorders>
              <w:top w:val="nil"/>
              <w:left w:val="single" w:sz="8" w:space="0" w:color="auto"/>
              <w:bottom w:val="nil"/>
              <w:right w:val="nil"/>
            </w:tcBorders>
            <w:shd w:val="clear" w:color="auto" w:fill="auto"/>
            <w:noWrap/>
            <w:vAlign w:val="bottom"/>
            <w:hideMark/>
          </w:tcPr>
          <w:p w:rsidR="00547A95" w:rsidRPr="00547A95" w:rsidRDefault="00547A95" w:rsidP="00547A95">
            <w:pPr>
              <w:spacing w:after="0" w:line="240" w:lineRule="auto"/>
              <w:ind w:firstLineChars="200" w:firstLine="400"/>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Generic to generic</w:t>
            </w:r>
          </w:p>
        </w:tc>
        <w:tc>
          <w:tcPr>
            <w:tcW w:w="960" w:type="dxa"/>
            <w:tcBorders>
              <w:top w:val="nil"/>
              <w:left w:val="single" w:sz="4" w:space="0" w:color="auto"/>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2,433</w:t>
            </w:r>
          </w:p>
        </w:tc>
        <w:tc>
          <w:tcPr>
            <w:tcW w:w="1560" w:type="dxa"/>
            <w:tcBorders>
              <w:top w:val="nil"/>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23</w:t>
            </w:r>
          </w:p>
        </w:tc>
        <w:tc>
          <w:tcPr>
            <w:tcW w:w="1960" w:type="dxa"/>
            <w:tcBorders>
              <w:top w:val="nil"/>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236</w:t>
            </w:r>
          </w:p>
        </w:tc>
        <w:tc>
          <w:tcPr>
            <w:tcW w:w="960" w:type="dxa"/>
            <w:tcBorders>
              <w:top w:val="nil"/>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0.61</w:t>
            </w:r>
          </w:p>
        </w:tc>
        <w:tc>
          <w:tcPr>
            <w:tcW w:w="1100" w:type="dxa"/>
            <w:tcBorders>
              <w:top w:val="nil"/>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0.39-0.94</w:t>
            </w:r>
          </w:p>
        </w:tc>
        <w:tc>
          <w:tcPr>
            <w:tcW w:w="960" w:type="dxa"/>
            <w:tcBorders>
              <w:top w:val="nil"/>
              <w:left w:val="single" w:sz="4" w:space="0" w:color="auto"/>
              <w:bottom w:val="nil"/>
              <w:right w:val="single" w:sz="8"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r>
      <w:tr w:rsidR="00547A95" w:rsidRPr="00547A95" w:rsidTr="00547A95">
        <w:trPr>
          <w:trHeight w:val="300"/>
        </w:trPr>
        <w:tc>
          <w:tcPr>
            <w:tcW w:w="2480" w:type="dxa"/>
            <w:tcBorders>
              <w:top w:val="nil"/>
              <w:left w:val="single" w:sz="8" w:space="0" w:color="auto"/>
              <w:bottom w:val="nil"/>
              <w:right w:val="nil"/>
            </w:tcBorders>
            <w:shd w:val="clear" w:color="auto" w:fill="auto"/>
            <w:noWrap/>
            <w:vAlign w:val="bottom"/>
            <w:hideMark/>
          </w:tcPr>
          <w:p w:rsidR="00547A95" w:rsidRPr="00547A95" w:rsidRDefault="00547A95" w:rsidP="00547A95">
            <w:pPr>
              <w:spacing w:after="0" w:line="240" w:lineRule="auto"/>
              <w:ind w:firstLineChars="200" w:firstLine="400"/>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Brand to brand</w:t>
            </w:r>
          </w:p>
        </w:tc>
        <w:tc>
          <w:tcPr>
            <w:tcW w:w="960" w:type="dxa"/>
            <w:tcBorders>
              <w:top w:val="nil"/>
              <w:left w:val="single" w:sz="4" w:space="0" w:color="auto"/>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816</w:t>
            </w:r>
          </w:p>
        </w:tc>
        <w:tc>
          <w:tcPr>
            <w:tcW w:w="1560" w:type="dxa"/>
            <w:tcBorders>
              <w:top w:val="nil"/>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92</w:t>
            </w:r>
          </w:p>
        </w:tc>
        <w:tc>
          <w:tcPr>
            <w:tcW w:w="1960" w:type="dxa"/>
            <w:tcBorders>
              <w:top w:val="nil"/>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673</w:t>
            </w:r>
          </w:p>
        </w:tc>
        <w:tc>
          <w:tcPr>
            <w:tcW w:w="960" w:type="dxa"/>
            <w:tcBorders>
              <w:top w:val="nil"/>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0.87</w:t>
            </w:r>
          </w:p>
        </w:tc>
        <w:tc>
          <w:tcPr>
            <w:tcW w:w="1100" w:type="dxa"/>
            <w:tcBorders>
              <w:top w:val="nil"/>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0.70-1.09</w:t>
            </w:r>
          </w:p>
        </w:tc>
        <w:tc>
          <w:tcPr>
            <w:tcW w:w="960" w:type="dxa"/>
            <w:tcBorders>
              <w:top w:val="nil"/>
              <w:left w:val="single" w:sz="4" w:space="0" w:color="auto"/>
              <w:bottom w:val="nil"/>
              <w:right w:val="single" w:sz="8"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r>
      <w:tr w:rsidR="00547A95" w:rsidRPr="00547A95" w:rsidTr="00547A95">
        <w:trPr>
          <w:trHeight w:val="300"/>
        </w:trPr>
        <w:tc>
          <w:tcPr>
            <w:tcW w:w="2480" w:type="dxa"/>
            <w:tcBorders>
              <w:top w:val="single" w:sz="4" w:space="0" w:color="auto"/>
              <w:left w:val="single" w:sz="8" w:space="0" w:color="auto"/>
              <w:bottom w:val="nil"/>
              <w:right w:val="nil"/>
            </w:tcBorders>
            <w:shd w:val="clear" w:color="auto" w:fill="auto"/>
            <w:noWrap/>
            <w:vAlign w:val="bottom"/>
            <w:hideMark/>
          </w:tcPr>
          <w:p w:rsidR="00547A95" w:rsidRPr="00547A95" w:rsidRDefault="00547A95" w:rsidP="00547A95">
            <w:pPr>
              <w:spacing w:after="0" w:line="240" w:lineRule="auto"/>
              <w:rPr>
                <w:rFonts w:ascii="Calibri" w:eastAsia="Times New Roman" w:hAnsi="Calibri" w:cs="Times New Roman"/>
                <w:b/>
                <w:bCs/>
                <w:color w:val="000000"/>
                <w:sz w:val="20"/>
                <w:szCs w:val="20"/>
                <w:lang w:eastAsia="en-GB"/>
              </w:rPr>
            </w:pPr>
            <w:r w:rsidRPr="00547A95">
              <w:rPr>
                <w:rFonts w:ascii="Calibri" w:eastAsia="Times New Roman" w:hAnsi="Calibri" w:cs="Times New Roman"/>
                <w:b/>
                <w:bCs/>
                <w:color w:val="000000"/>
                <w:sz w:val="20"/>
                <w:szCs w:val="20"/>
                <w:lang w:eastAsia="en-GB"/>
              </w:rPr>
              <w:t>Switch between MDI &amp; DPI</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1560" w:type="dxa"/>
            <w:tcBorders>
              <w:top w:val="single" w:sz="4" w:space="0" w:color="auto"/>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1960" w:type="dxa"/>
            <w:tcBorders>
              <w:top w:val="single" w:sz="4" w:space="0" w:color="auto"/>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960" w:type="dxa"/>
            <w:tcBorders>
              <w:top w:val="single" w:sz="4" w:space="0" w:color="auto"/>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1100" w:type="dxa"/>
            <w:tcBorders>
              <w:top w:val="single" w:sz="4" w:space="0" w:color="auto"/>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960" w:type="dxa"/>
            <w:tcBorders>
              <w:top w:val="single" w:sz="4" w:space="0" w:color="auto"/>
              <w:left w:val="single" w:sz="4" w:space="0" w:color="auto"/>
              <w:bottom w:val="nil"/>
              <w:right w:val="single" w:sz="8"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0.11</w:t>
            </w:r>
          </w:p>
        </w:tc>
      </w:tr>
      <w:tr w:rsidR="00547A95" w:rsidRPr="00547A95" w:rsidTr="00547A95">
        <w:trPr>
          <w:trHeight w:val="300"/>
        </w:trPr>
        <w:tc>
          <w:tcPr>
            <w:tcW w:w="2480" w:type="dxa"/>
            <w:tcBorders>
              <w:top w:val="nil"/>
              <w:left w:val="single" w:sz="8" w:space="0" w:color="auto"/>
              <w:bottom w:val="nil"/>
              <w:right w:val="nil"/>
            </w:tcBorders>
            <w:shd w:val="clear" w:color="auto" w:fill="auto"/>
            <w:noWrap/>
            <w:vAlign w:val="bottom"/>
            <w:hideMark/>
          </w:tcPr>
          <w:p w:rsidR="00547A95" w:rsidRPr="00547A95" w:rsidRDefault="00547A95" w:rsidP="00547A95">
            <w:pPr>
              <w:spacing w:after="0" w:line="240" w:lineRule="auto"/>
              <w:ind w:firstLineChars="200" w:firstLine="400"/>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xml:space="preserve">Yes </w:t>
            </w:r>
          </w:p>
        </w:tc>
        <w:tc>
          <w:tcPr>
            <w:tcW w:w="960" w:type="dxa"/>
            <w:tcBorders>
              <w:top w:val="nil"/>
              <w:left w:val="single" w:sz="4" w:space="0" w:color="auto"/>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918</w:t>
            </w:r>
          </w:p>
        </w:tc>
        <w:tc>
          <w:tcPr>
            <w:tcW w:w="1560" w:type="dxa"/>
            <w:tcBorders>
              <w:top w:val="nil"/>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76</w:t>
            </w:r>
          </w:p>
        </w:tc>
        <w:tc>
          <w:tcPr>
            <w:tcW w:w="1960" w:type="dxa"/>
            <w:tcBorders>
              <w:top w:val="nil"/>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786</w:t>
            </w:r>
          </w:p>
        </w:tc>
        <w:tc>
          <w:tcPr>
            <w:tcW w:w="960" w:type="dxa"/>
            <w:tcBorders>
              <w:top w:val="nil"/>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0.64</w:t>
            </w:r>
          </w:p>
        </w:tc>
        <w:tc>
          <w:tcPr>
            <w:tcW w:w="1100" w:type="dxa"/>
            <w:tcBorders>
              <w:top w:val="nil"/>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0.50-0.81</w:t>
            </w:r>
          </w:p>
        </w:tc>
        <w:tc>
          <w:tcPr>
            <w:tcW w:w="960" w:type="dxa"/>
            <w:tcBorders>
              <w:top w:val="nil"/>
              <w:left w:val="single" w:sz="4" w:space="0" w:color="auto"/>
              <w:bottom w:val="nil"/>
              <w:right w:val="single" w:sz="8"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r>
      <w:tr w:rsidR="00547A95" w:rsidRPr="00547A95" w:rsidTr="00547A95">
        <w:trPr>
          <w:trHeight w:val="300"/>
        </w:trPr>
        <w:tc>
          <w:tcPr>
            <w:tcW w:w="2480" w:type="dxa"/>
            <w:tcBorders>
              <w:top w:val="nil"/>
              <w:left w:val="single" w:sz="8" w:space="0" w:color="auto"/>
              <w:bottom w:val="single" w:sz="4" w:space="0" w:color="auto"/>
              <w:right w:val="nil"/>
            </w:tcBorders>
            <w:shd w:val="clear" w:color="auto" w:fill="auto"/>
            <w:noWrap/>
            <w:vAlign w:val="bottom"/>
            <w:hideMark/>
          </w:tcPr>
          <w:p w:rsidR="00547A95" w:rsidRPr="00547A95" w:rsidRDefault="00547A95" w:rsidP="00547A95">
            <w:pPr>
              <w:spacing w:after="0" w:line="240" w:lineRule="auto"/>
              <w:ind w:firstLineChars="200" w:firstLine="400"/>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xml:space="preserve">No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1,617</w:t>
            </w:r>
          </w:p>
        </w:tc>
        <w:tc>
          <w:tcPr>
            <w:tcW w:w="1560" w:type="dxa"/>
            <w:tcBorders>
              <w:top w:val="nil"/>
              <w:left w:val="nil"/>
              <w:bottom w:val="single" w:sz="4" w:space="0" w:color="auto"/>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175</w:t>
            </w:r>
          </w:p>
        </w:tc>
        <w:tc>
          <w:tcPr>
            <w:tcW w:w="1960" w:type="dxa"/>
            <w:tcBorders>
              <w:top w:val="nil"/>
              <w:left w:val="nil"/>
              <w:bottom w:val="single" w:sz="4" w:space="0" w:color="auto"/>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1354</w:t>
            </w:r>
          </w:p>
        </w:tc>
        <w:tc>
          <w:tcPr>
            <w:tcW w:w="960" w:type="dxa"/>
            <w:tcBorders>
              <w:top w:val="nil"/>
              <w:left w:val="nil"/>
              <w:bottom w:val="single" w:sz="4" w:space="0" w:color="auto"/>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0.83</w:t>
            </w:r>
          </w:p>
        </w:tc>
        <w:tc>
          <w:tcPr>
            <w:tcW w:w="1100" w:type="dxa"/>
            <w:tcBorders>
              <w:top w:val="nil"/>
              <w:left w:val="nil"/>
              <w:bottom w:val="single" w:sz="4" w:space="0" w:color="auto"/>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0.71-0.97</w:t>
            </w:r>
          </w:p>
        </w:tc>
        <w:tc>
          <w:tcPr>
            <w:tcW w:w="960" w:type="dxa"/>
            <w:tcBorders>
              <w:top w:val="nil"/>
              <w:left w:val="single" w:sz="4" w:space="0" w:color="auto"/>
              <w:bottom w:val="single" w:sz="4" w:space="0" w:color="auto"/>
              <w:right w:val="single" w:sz="8"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r>
      <w:tr w:rsidR="00547A95" w:rsidRPr="00547A95" w:rsidTr="00547A95">
        <w:trPr>
          <w:trHeight w:val="300"/>
        </w:trPr>
        <w:tc>
          <w:tcPr>
            <w:tcW w:w="2480" w:type="dxa"/>
            <w:tcBorders>
              <w:top w:val="nil"/>
              <w:left w:val="single" w:sz="8" w:space="0" w:color="auto"/>
              <w:bottom w:val="nil"/>
              <w:right w:val="nil"/>
            </w:tcBorders>
            <w:shd w:val="clear" w:color="auto" w:fill="auto"/>
            <w:noWrap/>
            <w:vAlign w:val="bottom"/>
            <w:hideMark/>
          </w:tcPr>
          <w:p w:rsidR="00547A95" w:rsidRPr="00547A95" w:rsidRDefault="00547A95" w:rsidP="00547A95">
            <w:pPr>
              <w:spacing w:after="0" w:line="240" w:lineRule="auto"/>
              <w:rPr>
                <w:rFonts w:ascii="Calibri" w:eastAsia="Times New Roman" w:hAnsi="Calibri" w:cs="Times New Roman"/>
                <w:b/>
                <w:bCs/>
                <w:color w:val="000000"/>
                <w:sz w:val="20"/>
                <w:szCs w:val="20"/>
                <w:lang w:eastAsia="en-GB"/>
              </w:rPr>
            </w:pPr>
            <w:r w:rsidRPr="00547A95">
              <w:rPr>
                <w:rFonts w:ascii="Calibri" w:eastAsia="Times New Roman" w:hAnsi="Calibri" w:cs="Times New Roman"/>
                <w:b/>
                <w:bCs/>
                <w:color w:val="000000"/>
                <w:sz w:val="20"/>
                <w:szCs w:val="20"/>
                <w:lang w:eastAsia="en-GB"/>
              </w:rPr>
              <w:t>Inhaler check in prior year</w:t>
            </w:r>
          </w:p>
        </w:tc>
        <w:tc>
          <w:tcPr>
            <w:tcW w:w="960" w:type="dxa"/>
            <w:tcBorders>
              <w:top w:val="nil"/>
              <w:left w:val="single" w:sz="4" w:space="0" w:color="auto"/>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1560" w:type="dxa"/>
            <w:tcBorders>
              <w:top w:val="nil"/>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1960" w:type="dxa"/>
            <w:tcBorders>
              <w:top w:val="nil"/>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c>
          <w:tcPr>
            <w:tcW w:w="960" w:type="dxa"/>
            <w:tcBorders>
              <w:top w:val="nil"/>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p>
        </w:tc>
        <w:tc>
          <w:tcPr>
            <w:tcW w:w="1100" w:type="dxa"/>
            <w:tcBorders>
              <w:top w:val="nil"/>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Times New Roman" w:eastAsia="Times New Roman" w:hAnsi="Times New Roman" w:cs="Times New Roman"/>
                <w:sz w:val="20"/>
                <w:szCs w:val="20"/>
                <w:lang w:eastAsia="en-GB"/>
              </w:rPr>
            </w:pPr>
          </w:p>
        </w:tc>
        <w:tc>
          <w:tcPr>
            <w:tcW w:w="960" w:type="dxa"/>
            <w:tcBorders>
              <w:top w:val="nil"/>
              <w:left w:val="single" w:sz="4" w:space="0" w:color="auto"/>
              <w:bottom w:val="nil"/>
              <w:right w:val="single" w:sz="8"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0.89</w:t>
            </w:r>
          </w:p>
        </w:tc>
      </w:tr>
      <w:tr w:rsidR="00547A95" w:rsidRPr="00547A95" w:rsidTr="00547A95">
        <w:trPr>
          <w:trHeight w:val="300"/>
        </w:trPr>
        <w:tc>
          <w:tcPr>
            <w:tcW w:w="2480" w:type="dxa"/>
            <w:tcBorders>
              <w:top w:val="nil"/>
              <w:left w:val="single" w:sz="8" w:space="0" w:color="auto"/>
              <w:bottom w:val="nil"/>
              <w:right w:val="nil"/>
            </w:tcBorders>
            <w:shd w:val="clear" w:color="auto" w:fill="auto"/>
            <w:noWrap/>
            <w:vAlign w:val="bottom"/>
            <w:hideMark/>
          </w:tcPr>
          <w:p w:rsidR="00547A95" w:rsidRPr="00547A95" w:rsidRDefault="00547A95" w:rsidP="00547A95">
            <w:pPr>
              <w:spacing w:after="0" w:line="240" w:lineRule="auto"/>
              <w:ind w:firstLineChars="200" w:firstLine="400"/>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Yes</w:t>
            </w:r>
          </w:p>
        </w:tc>
        <w:tc>
          <w:tcPr>
            <w:tcW w:w="960" w:type="dxa"/>
            <w:tcBorders>
              <w:top w:val="nil"/>
              <w:left w:val="single" w:sz="4" w:space="0" w:color="auto"/>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1397</w:t>
            </w:r>
          </w:p>
        </w:tc>
        <w:tc>
          <w:tcPr>
            <w:tcW w:w="1560" w:type="dxa"/>
            <w:tcBorders>
              <w:top w:val="nil"/>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34</w:t>
            </w:r>
          </w:p>
        </w:tc>
        <w:tc>
          <w:tcPr>
            <w:tcW w:w="1960" w:type="dxa"/>
            <w:tcBorders>
              <w:top w:val="nil"/>
              <w:left w:val="nil"/>
              <w:bottom w:val="nil"/>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276</w:t>
            </w:r>
          </w:p>
        </w:tc>
        <w:tc>
          <w:tcPr>
            <w:tcW w:w="960" w:type="dxa"/>
            <w:tcBorders>
              <w:top w:val="nil"/>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0.80</w:t>
            </w:r>
          </w:p>
        </w:tc>
        <w:tc>
          <w:tcPr>
            <w:tcW w:w="1100" w:type="dxa"/>
            <w:tcBorders>
              <w:top w:val="nil"/>
              <w:left w:val="nil"/>
              <w:bottom w:val="nil"/>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0.56-1.13</w:t>
            </w:r>
          </w:p>
        </w:tc>
        <w:tc>
          <w:tcPr>
            <w:tcW w:w="960" w:type="dxa"/>
            <w:tcBorders>
              <w:top w:val="nil"/>
              <w:left w:val="single" w:sz="4" w:space="0" w:color="auto"/>
              <w:bottom w:val="nil"/>
              <w:right w:val="single" w:sz="8"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r>
      <w:tr w:rsidR="00547A95" w:rsidRPr="00547A95" w:rsidTr="00547A95">
        <w:trPr>
          <w:trHeight w:val="315"/>
        </w:trPr>
        <w:tc>
          <w:tcPr>
            <w:tcW w:w="2480" w:type="dxa"/>
            <w:tcBorders>
              <w:top w:val="nil"/>
              <w:left w:val="single" w:sz="8" w:space="0" w:color="auto"/>
              <w:bottom w:val="single" w:sz="8" w:space="0" w:color="auto"/>
              <w:right w:val="nil"/>
            </w:tcBorders>
            <w:shd w:val="clear" w:color="auto" w:fill="auto"/>
            <w:noWrap/>
            <w:vAlign w:val="bottom"/>
            <w:hideMark/>
          </w:tcPr>
          <w:p w:rsidR="00547A95" w:rsidRPr="00547A95" w:rsidRDefault="00547A95" w:rsidP="00547A95">
            <w:pPr>
              <w:spacing w:after="0" w:line="240" w:lineRule="auto"/>
              <w:ind w:firstLineChars="200" w:firstLine="400"/>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xml:space="preserve">No </w:t>
            </w:r>
          </w:p>
        </w:tc>
        <w:tc>
          <w:tcPr>
            <w:tcW w:w="960" w:type="dxa"/>
            <w:tcBorders>
              <w:top w:val="nil"/>
              <w:left w:val="single" w:sz="4" w:space="0" w:color="auto"/>
              <w:bottom w:val="single" w:sz="8" w:space="0" w:color="auto"/>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2126</w:t>
            </w:r>
          </w:p>
        </w:tc>
        <w:tc>
          <w:tcPr>
            <w:tcW w:w="1560" w:type="dxa"/>
            <w:tcBorders>
              <w:top w:val="nil"/>
              <w:left w:val="nil"/>
              <w:bottom w:val="single" w:sz="8" w:space="0" w:color="auto"/>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328</w:t>
            </w:r>
          </w:p>
        </w:tc>
        <w:tc>
          <w:tcPr>
            <w:tcW w:w="1960" w:type="dxa"/>
            <w:tcBorders>
              <w:top w:val="nil"/>
              <w:left w:val="nil"/>
              <w:bottom w:val="single" w:sz="8" w:space="0" w:color="auto"/>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2704</w:t>
            </w:r>
          </w:p>
        </w:tc>
        <w:tc>
          <w:tcPr>
            <w:tcW w:w="960" w:type="dxa"/>
            <w:tcBorders>
              <w:top w:val="nil"/>
              <w:left w:val="nil"/>
              <w:bottom w:val="single" w:sz="8" w:space="0" w:color="auto"/>
              <w:right w:val="nil"/>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0.79</w:t>
            </w:r>
          </w:p>
        </w:tc>
        <w:tc>
          <w:tcPr>
            <w:tcW w:w="1100" w:type="dxa"/>
            <w:tcBorders>
              <w:top w:val="nil"/>
              <w:left w:val="nil"/>
              <w:bottom w:val="single" w:sz="8" w:space="0" w:color="auto"/>
              <w:right w:val="single" w:sz="4"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0.70-0.88</w:t>
            </w:r>
          </w:p>
        </w:tc>
        <w:tc>
          <w:tcPr>
            <w:tcW w:w="960" w:type="dxa"/>
            <w:tcBorders>
              <w:top w:val="nil"/>
              <w:left w:val="nil"/>
              <w:bottom w:val="single" w:sz="8" w:space="0" w:color="auto"/>
              <w:right w:val="single" w:sz="8" w:space="0" w:color="auto"/>
            </w:tcBorders>
            <w:shd w:val="clear" w:color="auto" w:fill="auto"/>
            <w:noWrap/>
            <w:vAlign w:val="bottom"/>
            <w:hideMark/>
          </w:tcPr>
          <w:p w:rsidR="00547A95" w:rsidRPr="00547A95" w:rsidRDefault="00547A95" w:rsidP="00547A95">
            <w:pPr>
              <w:spacing w:after="0" w:line="240" w:lineRule="auto"/>
              <w:jc w:val="center"/>
              <w:rPr>
                <w:rFonts w:ascii="Calibri" w:eastAsia="Times New Roman" w:hAnsi="Calibri" w:cs="Times New Roman"/>
                <w:color w:val="000000"/>
                <w:sz w:val="20"/>
                <w:szCs w:val="20"/>
                <w:lang w:eastAsia="en-GB"/>
              </w:rPr>
            </w:pPr>
            <w:r w:rsidRPr="00547A95">
              <w:rPr>
                <w:rFonts w:ascii="Calibri" w:eastAsia="Times New Roman" w:hAnsi="Calibri" w:cs="Times New Roman"/>
                <w:color w:val="000000"/>
                <w:sz w:val="20"/>
                <w:szCs w:val="20"/>
                <w:lang w:eastAsia="en-GB"/>
              </w:rPr>
              <w:t> </w:t>
            </w:r>
          </w:p>
        </w:tc>
      </w:tr>
    </w:tbl>
    <w:p w:rsidR="0064500E" w:rsidRDefault="0064500E" w:rsidP="0064500E">
      <w:pPr>
        <w:rPr>
          <w:b/>
        </w:rPr>
      </w:pPr>
      <w:r>
        <w:rPr>
          <w:sz w:val="20"/>
        </w:rPr>
        <w:t>COPD= chronic obstructive pulmonary disease. ICS=inhaled corticosteroid. LABA= long-acting beta agonist. LAMA=long-acting muscarinic antagonist.</w:t>
      </w:r>
    </w:p>
    <w:p w:rsidR="00723A21" w:rsidRDefault="00723A21" w:rsidP="008C1E2C">
      <w:r>
        <w:t>Table 4</w:t>
      </w:r>
      <w:r w:rsidRPr="00723A21">
        <w:t>. The incidence rate ratios of GP consultations, respiratory events, and adverse-medication eve</w:t>
      </w:r>
      <w:r w:rsidR="004B3AA7">
        <w:t xml:space="preserve">nts, in the risk period after an </w:t>
      </w:r>
      <w:r w:rsidRPr="00723A21">
        <w:t xml:space="preserve">inhaler switch compared to </w:t>
      </w:r>
      <w:r>
        <w:t>stable periods.</w:t>
      </w:r>
    </w:p>
    <w:tbl>
      <w:tblPr>
        <w:tblW w:w="10252" w:type="dxa"/>
        <w:tblLook w:val="04A0" w:firstRow="1" w:lastRow="0" w:firstColumn="1" w:lastColumn="0" w:noHBand="0" w:noVBand="1"/>
      </w:tblPr>
      <w:tblGrid>
        <w:gridCol w:w="2258"/>
        <w:gridCol w:w="1542"/>
        <w:gridCol w:w="1920"/>
        <w:gridCol w:w="2000"/>
        <w:gridCol w:w="1201"/>
        <w:gridCol w:w="1331"/>
      </w:tblGrid>
      <w:tr w:rsidR="00723A21" w:rsidRPr="00723A21" w:rsidTr="00925A2E">
        <w:trPr>
          <w:trHeight w:val="510"/>
        </w:trPr>
        <w:tc>
          <w:tcPr>
            <w:tcW w:w="2258" w:type="dxa"/>
            <w:tcBorders>
              <w:top w:val="single" w:sz="8" w:space="0" w:color="auto"/>
              <w:left w:val="single" w:sz="8" w:space="0" w:color="auto"/>
              <w:bottom w:val="single" w:sz="4" w:space="0" w:color="auto"/>
              <w:right w:val="nil"/>
            </w:tcBorders>
            <w:shd w:val="clear" w:color="000000" w:fill="D9D9D9"/>
            <w:noWrap/>
            <w:vAlign w:val="center"/>
            <w:hideMark/>
          </w:tcPr>
          <w:p w:rsidR="00723A21" w:rsidRPr="00723A21" w:rsidRDefault="00723A21" w:rsidP="00723A21">
            <w:pPr>
              <w:spacing w:after="0" w:line="240" w:lineRule="auto"/>
              <w:rPr>
                <w:rFonts w:ascii="Calibri" w:eastAsia="Times New Roman" w:hAnsi="Calibri" w:cs="Times New Roman"/>
                <w:b/>
                <w:bCs/>
                <w:color w:val="000000"/>
                <w:sz w:val="20"/>
                <w:szCs w:val="20"/>
                <w:lang w:eastAsia="en-GB"/>
              </w:rPr>
            </w:pPr>
            <w:r w:rsidRPr="00723A21">
              <w:rPr>
                <w:rFonts w:ascii="Calibri" w:eastAsia="Times New Roman" w:hAnsi="Calibri" w:cs="Times New Roman"/>
                <w:b/>
                <w:bCs/>
                <w:color w:val="000000"/>
                <w:sz w:val="20"/>
                <w:szCs w:val="20"/>
                <w:lang w:eastAsia="en-GB"/>
              </w:rPr>
              <w:t>Event</w:t>
            </w:r>
          </w:p>
        </w:tc>
        <w:tc>
          <w:tcPr>
            <w:tcW w:w="1542" w:type="dxa"/>
            <w:tcBorders>
              <w:top w:val="single" w:sz="8" w:space="0" w:color="auto"/>
              <w:left w:val="single" w:sz="4" w:space="0" w:color="auto"/>
              <w:bottom w:val="single" w:sz="4" w:space="0" w:color="auto"/>
              <w:right w:val="single" w:sz="4" w:space="0" w:color="auto"/>
            </w:tcBorders>
            <w:shd w:val="clear" w:color="000000" w:fill="D9D9D9"/>
            <w:vAlign w:val="center"/>
            <w:hideMark/>
          </w:tcPr>
          <w:p w:rsidR="00723A21" w:rsidRPr="00723A21" w:rsidRDefault="00723A21" w:rsidP="00723A21">
            <w:pPr>
              <w:spacing w:after="0" w:line="240" w:lineRule="auto"/>
              <w:jc w:val="center"/>
              <w:rPr>
                <w:rFonts w:ascii="Calibri" w:eastAsia="Times New Roman" w:hAnsi="Calibri" w:cs="Times New Roman"/>
                <w:b/>
                <w:bCs/>
                <w:color w:val="000000"/>
                <w:sz w:val="20"/>
                <w:szCs w:val="20"/>
                <w:lang w:eastAsia="en-GB"/>
              </w:rPr>
            </w:pPr>
            <w:r w:rsidRPr="00723A21">
              <w:rPr>
                <w:rFonts w:ascii="Calibri" w:eastAsia="Times New Roman" w:hAnsi="Calibri" w:cs="Times New Roman"/>
                <w:b/>
                <w:bCs/>
                <w:color w:val="000000"/>
                <w:sz w:val="20"/>
                <w:szCs w:val="20"/>
                <w:lang w:eastAsia="en-GB"/>
              </w:rPr>
              <w:t>Number of patients</w:t>
            </w:r>
          </w:p>
        </w:tc>
        <w:tc>
          <w:tcPr>
            <w:tcW w:w="1920" w:type="dxa"/>
            <w:tcBorders>
              <w:top w:val="single" w:sz="8" w:space="0" w:color="auto"/>
              <w:left w:val="nil"/>
              <w:bottom w:val="single" w:sz="4" w:space="0" w:color="auto"/>
              <w:right w:val="nil"/>
            </w:tcBorders>
            <w:shd w:val="clear" w:color="000000" w:fill="D9D9D9"/>
            <w:vAlign w:val="center"/>
            <w:hideMark/>
          </w:tcPr>
          <w:p w:rsidR="00723A21" w:rsidRPr="00723A21" w:rsidRDefault="00723A21" w:rsidP="00723A21">
            <w:pPr>
              <w:spacing w:after="0" w:line="240" w:lineRule="auto"/>
              <w:jc w:val="center"/>
              <w:rPr>
                <w:rFonts w:ascii="Calibri" w:eastAsia="Times New Roman" w:hAnsi="Calibri" w:cs="Times New Roman"/>
                <w:b/>
                <w:bCs/>
                <w:color w:val="000000"/>
                <w:sz w:val="20"/>
                <w:szCs w:val="20"/>
                <w:lang w:eastAsia="en-GB"/>
              </w:rPr>
            </w:pPr>
            <w:r w:rsidRPr="00723A21">
              <w:rPr>
                <w:rFonts w:ascii="Calibri" w:eastAsia="Times New Roman" w:hAnsi="Calibri" w:cs="Times New Roman"/>
                <w:b/>
                <w:bCs/>
                <w:color w:val="000000"/>
                <w:sz w:val="20"/>
                <w:szCs w:val="20"/>
                <w:lang w:eastAsia="en-GB"/>
              </w:rPr>
              <w:t>Number of events in</w:t>
            </w:r>
            <w:r w:rsidRPr="00723A21">
              <w:rPr>
                <w:rFonts w:ascii="Calibri" w:eastAsia="Times New Roman" w:hAnsi="Calibri" w:cs="Times New Roman"/>
                <w:b/>
                <w:bCs/>
                <w:color w:val="000000"/>
                <w:sz w:val="20"/>
                <w:szCs w:val="20"/>
                <w:lang w:eastAsia="en-GB"/>
              </w:rPr>
              <w:br/>
              <w:t>3-month risk period</w:t>
            </w:r>
          </w:p>
        </w:tc>
        <w:tc>
          <w:tcPr>
            <w:tcW w:w="2000" w:type="dxa"/>
            <w:tcBorders>
              <w:top w:val="single" w:sz="8" w:space="0" w:color="auto"/>
              <w:left w:val="single" w:sz="4" w:space="0" w:color="auto"/>
              <w:bottom w:val="single" w:sz="4" w:space="0" w:color="auto"/>
              <w:right w:val="single" w:sz="4" w:space="0" w:color="auto"/>
            </w:tcBorders>
            <w:shd w:val="clear" w:color="000000" w:fill="D9D9D9"/>
            <w:vAlign w:val="center"/>
            <w:hideMark/>
          </w:tcPr>
          <w:p w:rsidR="00723A21" w:rsidRPr="00723A21" w:rsidRDefault="00723A21" w:rsidP="00723A21">
            <w:pPr>
              <w:spacing w:after="0" w:line="240" w:lineRule="auto"/>
              <w:jc w:val="center"/>
              <w:rPr>
                <w:rFonts w:ascii="Calibri" w:eastAsia="Times New Roman" w:hAnsi="Calibri" w:cs="Times New Roman"/>
                <w:b/>
                <w:bCs/>
                <w:color w:val="000000"/>
                <w:sz w:val="20"/>
                <w:szCs w:val="20"/>
                <w:lang w:eastAsia="en-GB"/>
              </w:rPr>
            </w:pPr>
            <w:r w:rsidRPr="00723A21">
              <w:rPr>
                <w:rFonts w:ascii="Calibri" w:eastAsia="Times New Roman" w:hAnsi="Calibri" w:cs="Times New Roman"/>
                <w:b/>
                <w:bCs/>
                <w:color w:val="000000"/>
                <w:sz w:val="20"/>
                <w:szCs w:val="20"/>
                <w:lang w:eastAsia="en-GB"/>
              </w:rPr>
              <w:t>Number of events in</w:t>
            </w:r>
            <w:r w:rsidRPr="00723A21">
              <w:rPr>
                <w:rFonts w:ascii="Calibri" w:eastAsia="Times New Roman" w:hAnsi="Calibri" w:cs="Times New Roman"/>
                <w:b/>
                <w:bCs/>
                <w:color w:val="000000"/>
                <w:sz w:val="20"/>
                <w:szCs w:val="20"/>
                <w:lang w:eastAsia="en-GB"/>
              </w:rPr>
              <w:br/>
              <w:t>control period</w:t>
            </w:r>
          </w:p>
        </w:tc>
        <w:tc>
          <w:tcPr>
            <w:tcW w:w="1201" w:type="dxa"/>
            <w:tcBorders>
              <w:top w:val="single" w:sz="8" w:space="0" w:color="auto"/>
              <w:left w:val="nil"/>
              <w:bottom w:val="single" w:sz="4" w:space="0" w:color="auto"/>
              <w:right w:val="nil"/>
            </w:tcBorders>
            <w:shd w:val="clear" w:color="000000" w:fill="D9D9D9"/>
            <w:vAlign w:val="center"/>
            <w:hideMark/>
          </w:tcPr>
          <w:p w:rsidR="00723A21" w:rsidRPr="00723A21" w:rsidRDefault="00723A21" w:rsidP="00723A21">
            <w:pPr>
              <w:spacing w:after="0" w:line="240" w:lineRule="auto"/>
              <w:jc w:val="center"/>
              <w:rPr>
                <w:rFonts w:ascii="Calibri" w:eastAsia="Times New Roman" w:hAnsi="Calibri" w:cs="Times New Roman"/>
                <w:b/>
                <w:bCs/>
                <w:color w:val="000000"/>
                <w:sz w:val="20"/>
                <w:szCs w:val="20"/>
                <w:lang w:eastAsia="en-GB"/>
              </w:rPr>
            </w:pPr>
            <w:r w:rsidRPr="00723A21">
              <w:rPr>
                <w:rFonts w:ascii="Calibri" w:eastAsia="Times New Roman" w:hAnsi="Calibri" w:cs="Times New Roman"/>
                <w:b/>
                <w:bCs/>
                <w:color w:val="000000"/>
                <w:sz w:val="20"/>
                <w:szCs w:val="20"/>
                <w:lang w:eastAsia="en-GB"/>
              </w:rPr>
              <w:t xml:space="preserve">IRR </w:t>
            </w:r>
          </w:p>
        </w:tc>
        <w:tc>
          <w:tcPr>
            <w:tcW w:w="1331" w:type="dxa"/>
            <w:tcBorders>
              <w:top w:val="single" w:sz="8" w:space="0" w:color="auto"/>
              <w:left w:val="nil"/>
              <w:bottom w:val="single" w:sz="4" w:space="0" w:color="auto"/>
              <w:right w:val="single" w:sz="8" w:space="0" w:color="auto"/>
            </w:tcBorders>
            <w:shd w:val="clear" w:color="000000" w:fill="D9D9D9"/>
            <w:noWrap/>
            <w:vAlign w:val="center"/>
            <w:hideMark/>
          </w:tcPr>
          <w:p w:rsidR="00723A21" w:rsidRPr="00723A21" w:rsidRDefault="00723A21" w:rsidP="00723A21">
            <w:pPr>
              <w:spacing w:after="0" w:line="240" w:lineRule="auto"/>
              <w:jc w:val="center"/>
              <w:rPr>
                <w:rFonts w:ascii="Calibri" w:eastAsia="Times New Roman" w:hAnsi="Calibri" w:cs="Times New Roman"/>
                <w:b/>
                <w:bCs/>
                <w:color w:val="000000"/>
                <w:sz w:val="20"/>
                <w:szCs w:val="20"/>
                <w:lang w:eastAsia="en-GB"/>
              </w:rPr>
            </w:pPr>
            <w:r w:rsidRPr="00723A21">
              <w:rPr>
                <w:rFonts w:ascii="Calibri" w:eastAsia="Times New Roman" w:hAnsi="Calibri" w:cs="Times New Roman"/>
                <w:b/>
                <w:bCs/>
                <w:color w:val="000000"/>
                <w:sz w:val="20"/>
                <w:szCs w:val="20"/>
                <w:lang w:eastAsia="en-GB"/>
              </w:rPr>
              <w:t>95% CI</w:t>
            </w:r>
          </w:p>
        </w:tc>
      </w:tr>
      <w:tr w:rsidR="00723A21" w:rsidRPr="00723A21" w:rsidTr="00925A2E">
        <w:trPr>
          <w:trHeight w:val="315"/>
        </w:trPr>
        <w:tc>
          <w:tcPr>
            <w:tcW w:w="2258" w:type="dxa"/>
            <w:tcBorders>
              <w:top w:val="nil"/>
              <w:left w:val="single" w:sz="8" w:space="0" w:color="auto"/>
              <w:bottom w:val="nil"/>
              <w:right w:val="nil"/>
            </w:tcBorders>
            <w:shd w:val="clear" w:color="auto" w:fill="auto"/>
            <w:noWrap/>
            <w:vAlign w:val="bottom"/>
            <w:hideMark/>
          </w:tcPr>
          <w:p w:rsidR="00723A21" w:rsidRPr="00723A21" w:rsidRDefault="00723A21" w:rsidP="00723A21">
            <w:pPr>
              <w:spacing w:after="0" w:line="240" w:lineRule="auto"/>
              <w:rPr>
                <w:rFonts w:ascii="Calibri" w:eastAsia="Times New Roman" w:hAnsi="Calibri" w:cs="Times New Roman"/>
                <w:color w:val="000000"/>
                <w:sz w:val="20"/>
                <w:szCs w:val="20"/>
                <w:lang w:eastAsia="en-GB"/>
              </w:rPr>
            </w:pPr>
            <w:r w:rsidRPr="00723A21">
              <w:rPr>
                <w:rFonts w:ascii="Calibri" w:eastAsia="Times New Roman" w:hAnsi="Calibri" w:cs="Times New Roman"/>
                <w:color w:val="000000"/>
                <w:sz w:val="20"/>
                <w:szCs w:val="20"/>
                <w:lang w:eastAsia="en-GB"/>
              </w:rPr>
              <w:t>GP consultation</w:t>
            </w:r>
          </w:p>
        </w:tc>
        <w:tc>
          <w:tcPr>
            <w:tcW w:w="1542" w:type="dxa"/>
            <w:tcBorders>
              <w:top w:val="nil"/>
              <w:left w:val="single" w:sz="4" w:space="0" w:color="auto"/>
              <w:bottom w:val="nil"/>
              <w:right w:val="single" w:sz="4" w:space="0" w:color="auto"/>
            </w:tcBorders>
            <w:shd w:val="clear" w:color="auto" w:fill="auto"/>
            <w:noWrap/>
            <w:vAlign w:val="bottom"/>
            <w:hideMark/>
          </w:tcPr>
          <w:p w:rsidR="00723A21" w:rsidRPr="00723A21" w:rsidRDefault="00723A21" w:rsidP="00723A21">
            <w:pPr>
              <w:spacing w:after="0" w:line="240" w:lineRule="auto"/>
              <w:jc w:val="center"/>
              <w:rPr>
                <w:rFonts w:ascii="Calibri" w:eastAsia="Times New Roman" w:hAnsi="Calibri" w:cs="Times New Roman"/>
                <w:color w:val="000000"/>
                <w:sz w:val="20"/>
                <w:szCs w:val="20"/>
                <w:lang w:eastAsia="en-GB"/>
              </w:rPr>
            </w:pPr>
            <w:r w:rsidRPr="00723A21">
              <w:rPr>
                <w:rFonts w:ascii="Calibri" w:eastAsia="Times New Roman" w:hAnsi="Calibri" w:cs="Times New Roman"/>
                <w:color w:val="000000"/>
                <w:sz w:val="20"/>
                <w:szCs w:val="20"/>
                <w:lang w:eastAsia="en-GB"/>
              </w:rPr>
              <w:t>50,289</w:t>
            </w:r>
          </w:p>
        </w:tc>
        <w:tc>
          <w:tcPr>
            <w:tcW w:w="1920" w:type="dxa"/>
            <w:tcBorders>
              <w:top w:val="nil"/>
              <w:left w:val="nil"/>
              <w:bottom w:val="nil"/>
              <w:right w:val="nil"/>
            </w:tcBorders>
            <w:shd w:val="clear" w:color="auto" w:fill="auto"/>
            <w:noWrap/>
            <w:vAlign w:val="bottom"/>
            <w:hideMark/>
          </w:tcPr>
          <w:p w:rsidR="00723A21" w:rsidRPr="00723A21" w:rsidRDefault="00723A21" w:rsidP="00723A21">
            <w:pPr>
              <w:spacing w:after="0" w:line="240" w:lineRule="auto"/>
              <w:jc w:val="center"/>
              <w:rPr>
                <w:rFonts w:ascii="Calibri" w:eastAsia="Times New Roman" w:hAnsi="Calibri" w:cs="Times New Roman"/>
                <w:color w:val="000000"/>
                <w:sz w:val="20"/>
                <w:szCs w:val="20"/>
                <w:lang w:eastAsia="en-GB"/>
              </w:rPr>
            </w:pPr>
            <w:r w:rsidRPr="00723A21">
              <w:rPr>
                <w:rFonts w:ascii="Calibri" w:eastAsia="Times New Roman" w:hAnsi="Calibri" w:cs="Times New Roman"/>
                <w:color w:val="000000"/>
                <w:sz w:val="20"/>
                <w:szCs w:val="20"/>
                <w:lang w:eastAsia="en-GB"/>
              </w:rPr>
              <w:t>143,602</w:t>
            </w:r>
          </w:p>
        </w:tc>
        <w:tc>
          <w:tcPr>
            <w:tcW w:w="2000" w:type="dxa"/>
            <w:tcBorders>
              <w:top w:val="nil"/>
              <w:left w:val="single" w:sz="4" w:space="0" w:color="auto"/>
              <w:bottom w:val="nil"/>
              <w:right w:val="single" w:sz="4" w:space="0" w:color="auto"/>
            </w:tcBorders>
            <w:shd w:val="clear" w:color="auto" w:fill="auto"/>
            <w:noWrap/>
            <w:vAlign w:val="bottom"/>
            <w:hideMark/>
          </w:tcPr>
          <w:p w:rsidR="00723A21" w:rsidRPr="00723A21" w:rsidRDefault="00723A21" w:rsidP="00723A21">
            <w:pPr>
              <w:spacing w:after="0" w:line="240" w:lineRule="auto"/>
              <w:jc w:val="center"/>
              <w:rPr>
                <w:rFonts w:ascii="Calibri" w:eastAsia="Times New Roman" w:hAnsi="Calibri" w:cs="Times New Roman"/>
                <w:color w:val="000000"/>
                <w:sz w:val="20"/>
                <w:szCs w:val="20"/>
                <w:lang w:eastAsia="en-GB"/>
              </w:rPr>
            </w:pPr>
            <w:r w:rsidRPr="00723A21">
              <w:rPr>
                <w:rFonts w:ascii="Calibri" w:eastAsia="Times New Roman" w:hAnsi="Calibri" w:cs="Times New Roman"/>
                <w:color w:val="000000"/>
                <w:sz w:val="20"/>
                <w:szCs w:val="20"/>
                <w:lang w:eastAsia="en-GB"/>
              </w:rPr>
              <w:t>926,991</w:t>
            </w:r>
          </w:p>
        </w:tc>
        <w:tc>
          <w:tcPr>
            <w:tcW w:w="1201" w:type="dxa"/>
            <w:tcBorders>
              <w:top w:val="nil"/>
              <w:left w:val="nil"/>
              <w:bottom w:val="nil"/>
              <w:right w:val="nil"/>
            </w:tcBorders>
            <w:shd w:val="clear" w:color="auto" w:fill="auto"/>
            <w:noWrap/>
            <w:vAlign w:val="bottom"/>
            <w:hideMark/>
          </w:tcPr>
          <w:p w:rsidR="00723A21" w:rsidRPr="00723A21" w:rsidRDefault="00723A21" w:rsidP="00723A21">
            <w:pPr>
              <w:spacing w:after="0" w:line="240" w:lineRule="auto"/>
              <w:jc w:val="center"/>
              <w:rPr>
                <w:rFonts w:ascii="Calibri" w:eastAsia="Times New Roman" w:hAnsi="Calibri" w:cs="Times New Roman"/>
                <w:color w:val="000000"/>
                <w:sz w:val="20"/>
                <w:szCs w:val="20"/>
                <w:lang w:eastAsia="en-GB"/>
              </w:rPr>
            </w:pPr>
            <w:r w:rsidRPr="00723A21">
              <w:rPr>
                <w:rFonts w:ascii="Calibri" w:eastAsia="Times New Roman" w:hAnsi="Calibri" w:cs="Times New Roman"/>
                <w:color w:val="000000"/>
                <w:sz w:val="20"/>
                <w:szCs w:val="20"/>
                <w:lang w:eastAsia="en-GB"/>
              </w:rPr>
              <w:t>1.00</w:t>
            </w:r>
          </w:p>
        </w:tc>
        <w:tc>
          <w:tcPr>
            <w:tcW w:w="1331" w:type="dxa"/>
            <w:tcBorders>
              <w:top w:val="nil"/>
              <w:left w:val="nil"/>
              <w:bottom w:val="nil"/>
              <w:right w:val="single" w:sz="8" w:space="0" w:color="auto"/>
            </w:tcBorders>
            <w:shd w:val="clear" w:color="auto" w:fill="auto"/>
            <w:noWrap/>
            <w:vAlign w:val="bottom"/>
            <w:hideMark/>
          </w:tcPr>
          <w:p w:rsidR="00723A21" w:rsidRPr="00723A21" w:rsidRDefault="00723A21" w:rsidP="00723A21">
            <w:pPr>
              <w:spacing w:after="0" w:line="240" w:lineRule="auto"/>
              <w:jc w:val="center"/>
              <w:rPr>
                <w:rFonts w:ascii="Calibri" w:eastAsia="Times New Roman" w:hAnsi="Calibri" w:cs="Times New Roman"/>
                <w:color w:val="000000"/>
                <w:sz w:val="20"/>
                <w:szCs w:val="20"/>
                <w:lang w:eastAsia="en-GB"/>
              </w:rPr>
            </w:pPr>
            <w:r w:rsidRPr="00723A21">
              <w:rPr>
                <w:rFonts w:ascii="Calibri" w:eastAsia="Times New Roman" w:hAnsi="Calibri" w:cs="Times New Roman"/>
                <w:color w:val="000000"/>
                <w:sz w:val="20"/>
                <w:szCs w:val="20"/>
                <w:lang w:eastAsia="en-GB"/>
              </w:rPr>
              <w:t>0.99-1.01</w:t>
            </w:r>
          </w:p>
        </w:tc>
      </w:tr>
      <w:tr w:rsidR="00723A21" w:rsidRPr="00723A21" w:rsidTr="00925A2E">
        <w:trPr>
          <w:trHeight w:val="315"/>
        </w:trPr>
        <w:tc>
          <w:tcPr>
            <w:tcW w:w="2258" w:type="dxa"/>
            <w:tcBorders>
              <w:top w:val="nil"/>
              <w:left w:val="single" w:sz="8" w:space="0" w:color="auto"/>
              <w:bottom w:val="nil"/>
              <w:right w:val="nil"/>
            </w:tcBorders>
            <w:shd w:val="clear" w:color="auto" w:fill="auto"/>
            <w:noWrap/>
            <w:vAlign w:val="bottom"/>
            <w:hideMark/>
          </w:tcPr>
          <w:p w:rsidR="00723A21" w:rsidRPr="00723A21" w:rsidRDefault="00723A21" w:rsidP="00723A21">
            <w:pPr>
              <w:spacing w:after="0" w:line="240" w:lineRule="auto"/>
              <w:rPr>
                <w:rFonts w:ascii="Calibri" w:eastAsia="Times New Roman" w:hAnsi="Calibri" w:cs="Times New Roman"/>
                <w:color w:val="000000"/>
                <w:sz w:val="20"/>
                <w:szCs w:val="20"/>
                <w:lang w:eastAsia="en-GB"/>
              </w:rPr>
            </w:pPr>
            <w:r w:rsidRPr="00723A21">
              <w:rPr>
                <w:rFonts w:ascii="Calibri" w:eastAsia="Times New Roman" w:hAnsi="Calibri" w:cs="Times New Roman"/>
                <w:color w:val="000000"/>
                <w:sz w:val="20"/>
                <w:szCs w:val="20"/>
                <w:lang w:eastAsia="en-GB"/>
              </w:rPr>
              <w:t>Non-specific respiratory</w:t>
            </w:r>
          </w:p>
        </w:tc>
        <w:tc>
          <w:tcPr>
            <w:tcW w:w="1542" w:type="dxa"/>
            <w:tcBorders>
              <w:top w:val="nil"/>
              <w:left w:val="single" w:sz="4" w:space="0" w:color="auto"/>
              <w:bottom w:val="nil"/>
              <w:right w:val="single" w:sz="4" w:space="0" w:color="auto"/>
            </w:tcBorders>
            <w:shd w:val="clear" w:color="auto" w:fill="auto"/>
            <w:noWrap/>
            <w:vAlign w:val="bottom"/>
            <w:hideMark/>
          </w:tcPr>
          <w:p w:rsidR="00723A21" w:rsidRPr="00723A21" w:rsidRDefault="00723A21" w:rsidP="00723A21">
            <w:pPr>
              <w:spacing w:after="0" w:line="240" w:lineRule="auto"/>
              <w:jc w:val="center"/>
              <w:rPr>
                <w:rFonts w:ascii="Calibri" w:eastAsia="Times New Roman" w:hAnsi="Calibri" w:cs="Times New Roman"/>
                <w:color w:val="000000"/>
                <w:sz w:val="20"/>
                <w:szCs w:val="20"/>
                <w:lang w:eastAsia="en-GB"/>
              </w:rPr>
            </w:pPr>
            <w:r w:rsidRPr="00723A21">
              <w:rPr>
                <w:rFonts w:ascii="Calibri" w:eastAsia="Times New Roman" w:hAnsi="Calibri" w:cs="Times New Roman"/>
                <w:color w:val="000000"/>
                <w:sz w:val="20"/>
                <w:szCs w:val="20"/>
                <w:lang w:eastAsia="en-GB"/>
              </w:rPr>
              <w:t>51,659</w:t>
            </w:r>
          </w:p>
        </w:tc>
        <w:tc>
          <w:tcPr>
            <w:tcW w:w="1920" w:type="dxa"/>
            <w:tcBorders>
              <w:top w:val="nil"/>
              <w:left w:val="nil"/>
              <w:bottom w:val="nil"/>
              <w:right w:val="nil"/>
            </w:tcBorders>
            <w:shd w:val="clear" w:color="auto" w:fill="auto"/>
            <w:noWrap/>
            <w:vAlign w:val="bottom"/>
            <w:hideMark/>
          </w:tcPr>
          <w:p w:rsidR="00723A21" w:rsidRPr="00723A21" w:rsidRDefault="00723A21" w:rsidP="00723A21">
            <w:pPr>
              <w:spacing w:after="0" w:line="240" w:lineRule="auto"/>
              <w:jc w:val="center"/>
              <w:rPr>
                <w:rFonts w:ascii="Calibri" w:eastAsia="Times New Roman" w:hAnsi="Calibri" w:cs="Times New Roman"/>
                <w:color w:val="000000"/>
                <w:sz w:val="20"/>
                <w:szCs w:val="20"/>
                <w:lang w:eastAsia="en-GB"/>
              </w:rPr>
            </w:pPr>
            <w:r w:rsidRPr="00723A21">
              <w:rPr>
                <w:rFonts w:ascii="Calibri" w:eastAsia="Times New Roman" w:hAnsi="Calibri" w:cs="Times New Roman"/>
                <w:color w:val="000000"/>
                <w:sz w:val="20"/>
                <w:szCs w:val="20"/>
                <w:lang w:eastAsia="en-GB"/>
              </w:rPr>
              <w:t>27,772</w:t>
            </w:r>
          </w:p>
        </w:tc>
        <w:tc>
          <w:tcPr>
            <w:tcW w:w="2000" w:type="dxa"/>
            <w:tcBorders>
              <w:top w:val="nil"/>
              <w:left w:val="single" w:sz="4" w:space="0" w:color="auto"/>
              <w:bottom w:val="nil"/>
              <w:right w:val="single" w:sz="4" w:space="0" w:color="auto"/>
            </w:tcBorders>
            <w:shd w:val="clear" w:color="auto" w:fill="auto"/>
            <w:noWrap/>
            <w:vAlign w:val="bottom"/>
            <w:hideMark/>
          </w:tcPr>
          <w:p w:rsidR="00723A21" w:rsidRPr="00723A21" w:rsidRDefault="00723A21" w:rsidP="00723A21">
            <w:pPr>
              <w:spacing w:after="0" w:line="240" w:lineRule="auto"/>
              <w:jc w:val="center"/>
              <w:rPr>
                <w:rFonts w:ascii="Calibri" w:eastAsia="Times New Roman" w:hAnsi="Calibri" w:cs="Times New Roman"/>
                <w:color w:val="000000"/>
                <w:sz w:val="20"/>
                <w:szCs w:val="20"/>
                <w:lang w:eastAsia="en-GB"/>
              </w:rPr>
            </w:pPr>
            <w:r w:rsidRPr="00723A21">
              <w:rPr>
                <w:rFonts w:ascii="Calibri" w:eastAsia="Times New Roman" w:hAnsi="Calibri" w:cs="Times New Roman"/>
                <w:color w:val="000000"/>
                <w:sz w:val="20"/>
                <w:szCs w:val="20"/>
                <w:lang w:eastAsia="en-GB"/>
              </w:rPr>
              <w:t>187,618</w:t>
            </w:r>
          </w:p>
        </w:tc>
        <w:tc>
          <w:tcPr>
            <w:tcW w:w="1201" w:type="dxa"/>
            <w:tcBorders>
              <w:top w:val="nil"/>
              <w:left w:val="nil"/>
              <w:bottom w:val="nil"/>
              <w:right w:val="nil"/>
            </w:tcBorders>
            <w:shd w:val="clear" w:color="auto" w:fill="auto"/>
            <w:noWrap/>
            <w:vAlign w:val="bottom"/>
            <w:hideMark/>
          </w:tcPr>
          <w:p w:rsidR="00723A21" w:rsidRPr="00723A21" w:rsidRDefault="00723A21" w:rsidP="00723A21">
            <w:pPr>
              <w:spacing w:after="0" w:line="240" w:lineRule="auto"/>
              <w:jc w:val="center"/>
              <w:rPr>
                <w:rFonts w:ascii="Calibri" w:eastAsia="Times New Roman" w:hAnsi="Calibri" w:cs="Times New Roman"/>
                <w:color w:val="000000"/>
                <w:sz w:val="20"/>
                <w:szCs w:val="20"/>
                <w:lang w:eastAsia="en-GB"/>
              </w:rPr>
            </w:pPr>
            <w:r w:rsidRPr="00723A21">
              <w:rPr>
                <w:rFonts w:ascii="Calibri" w:eastAsia="Times New Roman" w:hAnsi="Calibri" w:cs="Times New Roman"/>
                <w:color w:val="000000"/>
                <w:sz w:val="20"/>
                <w:szCs w:val="20"/>
                <w:lang w:eastAsia="en-GB"/>
              </w:rPr>
              <w:t>0.96</w:t>
            </w:r>
          </w:p>
        </w:tc>
        <w:tc>
          <w:tcPr>
            <w:tcW w:w="1331" w:type="dxa"/>
            <w:tcBorders>
              <w:top w:val="nil"/>
              <w:left w:val="nil"/>
              <w:bottom w:val="nil"/>
              <w:right w:val="single" w:sz="8" w:space="0" w:color="auto"/>
            </w:tcBorders>
            <w:shd w:val="clear" w:color="auto" w:fill="auto"/>
            <w:noWrap/>
            <w:vAlign w:val="bottom"/>
            <w:hideMark/>
          </w:tcPr>
          <w:p w:rsidR="00723A21" w:rsidRPr="00723A21" w:rsidRDefault="00723A21" w:rsidP="00723A21">
            <w:pPr>
              <w:spacing w:after="0" w:line="240" w:lineRule="auto"/>
              <w:jc w:val="center"/>
              <w:rPr>
                <w:rFonts w:ascii="Calibri" w:eastAsia="Times New Roman" w:hAnsi="Calibri" w:cs="Times New Roman"/>
                <w:color w:val="000000"/>
                <w:sz w:val="20"/>
                <w:szCs w:val="20"/>
                <w:lang w:eastAsia="en-GB"/>
              </w:rPr>
            </w:pPr>
            <w:r w:rsidRPr="00723A21">
              <w:rPr>
                <w:rFonts w:ascii="Calibri" w:eastAsia="Times New Roman" w:hAnsi="Calibri" w:cs="Times New Roman"/>
                <w:color w:val="000000"/>
                <w:sz w:val="20"/>
                <w:szCs w:val="20"/>
                <w:lang w:eastAsia="en-GB"/>
              </w:rPr>
              <w:t>0.94-0.97</w:t>
            </w:r>
          </w:p>
        </w:tc>
      </w:tr>
      <w:tr w:rsidR="00723A21" w:rsidRPr="00723A21" w:rsidTr="00925A2E">
        <w:trPr>
          <w:trHeight w:val="315"/>
        </w:trPr>
        <w:tc>
          <w:tcPr>
            <w:tcW w:w="2258" w:type="dxa"/>
            <w:tcBorders>
              <w:top w:val="nil"/>
              <w:left w:val="single" w:sz="8" w:space="0" w:color="auto"/>
              <w:bottom w:val="single" w:sz="8" w:space="0" w:color="auto"/>
              <w:right w:val="nil"/>
            </w:tcBorders>
            <w:shd w:val="clear" w:color="auto" w:fill="auto"/>
            <w:noWrap/>
            <w:vAlign w:val="bottom"/>
            <w:hideMark/>
          </w:tcPr>
          <w:p w:rsidR="00723A21" w:rsidRPr="00723A21" w:rsidRDefault="00723A21" w:rsidP="00723A21">
            <w:pPr>
              <w:spacing w:after="0" w:line="240" w:lineRule="auto"/>
              <w:rPr>
                <w:rFonts w:ascii="Calibri" w:eastAsia="Times New Roman" w:hAnsi="Calibri" w:cs="Times New Roman"/>
                <w:color w:val="000000"/>
                <w:sz w:val="20"/>
                <w:szCs w:val="20"/>
                <w:lang w:eastAsia="en-GB"/>
              </w:rPr>
            </w:pPr>
            <w:r w:rsidRPr="00723A21">
              <w:rPr>
                <w:rFonts w:ascii="Calibri" w:eastAsia="Times New Roman" w:hAnsi="Calibri" w:cs="Times New Roman"/>
                <w:color w:val="000000"/>
                <w:sz w:val="20"/>
                <w:szCs w:val="20"/>
                <w:lang w:eastAsia="en-GB"/>
              </w:rPr>
              <w:t>Adverse-medication</w:t>
            </w:r>
          </w:p>
        </w:tc>
        <w:tc>
          <w:tcPr>
            <w:tcW w:w="1542" w:type="dxa"/>
            <w:tcBorders>
              <w:top w:val="nil"/>
              <w:left w:val="single" w:sz="4" w:space="0" w:color="auto"/>
              <w:bottom w:val="single" w:sz="8" w:space="0" w:color="auto"/>
              <w:right w:val="single" w:sz="4" w:space="0" w:color="auto"/>
            </w:tcBorders>
            <w:shd w:val="clear" w:color="auto" w:fill="auto"/>
            <w:noWrap/>
            <w:vAlign w:val="bottom"/>
            <w:hideMark/>
          </w:tcPr>
          <w:p w:rsidR="00723A21" w:rsidRPr="00723A21" w:rsidRDefault="00723A21" w:rsidP="00723A21">
            <w:pPr>
              <w:spacing w:after="0" w:line="240" w:lineRule="auto"/>
              <w:jc w:val="center"/>
              <w:rPr>
                <w:rFonts w:ascii="Calibri" w:eastAsia="Times New Roman" w:hAnsi="Calibri" w:cs="Times New Roman"/>
                <w:color w:val="000000"/>
                <w:sz w:val="20"/>
                <w:szCs w:val="20"/>
                <w:lang w:eastAsia="en-GB"/>
              </w:rPr>
            </w:pPr>
            <w:r w:rsidRPr="00723A21">
              <w:rPr>
                <w:rFonts w:ascii="Calibri" w:eastAsia="Times New Roman" w:hAnsi="Calibri" w:cs="Times New Roman"/>
                <w:color w:val="000000"/>
                <w:sz w:val="20"/>
                <w:szCs w:val="20"/>
                <w:lang w:eastAsia="en-GB"/>
              </w:rPr>
              <w:t>3,258</w:t>
            </w:r>
          </w:p>
        </w:tc>
        <w:tc>
          <w:tcPr>
            <w:tcW w:w="1920" w:type="dxa"/>
            <w:tcBorders>
              <w:top w:val="nil"/>
              <w:left w:val="nil"/>
              <w:bottom w:val="single" w:sz="8" w:space="0" w:color="auto"/>
              <w:right w:val="nil"/>
            </w:tcBorders>
            <w:shd w:val="clear" w:color="auto" w:fill="auto"/>
            <w:noWrap/>
            <w:vAlign w:val="bottom"/>
            <w:hideMark/>
          </w:tcPr>
          <w:p w:rsidR="00723A21" w:rsidRPr="00723A21" w:rsidRDefault="00723A21" w:rsidP="00723A21">
            <w:pPr>
              <w:spacing w:after="0" w:line="240" w:lineRule="auto"/>
              <w:jc w:val="center"/>
              <w:rPr>
                <w:rFonts w:ascii="Calibri" w:eastAsia="Times New Roman" w:hAnsi="Calibri" w:cs="Times New Roman"/>
                <w:color w:val="000000"/>
                <w:sz w:val="20"/>
                <w:szCs w:val="20"/>
                <w:lang w:eastAsia="en-GB"/>
              </w:rPr>
            </w:pPr>
            <w:r w:rsidRPr="00723A21">
              <w:rPr>
                <w:rFonts w:ascii="Calibri" w:eastAsia="Times New Roman" w:hAnsi="Calibri" w:cs="Times New Roman"/>
                <w:color w:val="000000"/>
                <w:sz w:val="20"/>
                <w:szCs w:val="20"/>
                <w:lang w:eastAsia="en-GB"/>
              </w:rPr>
              <w:t>573</w:t>
            </w:r>
          </w:p>
        </w:tc>
        <w:tc>
          <w:tcPr>
            <w:tcW w:w="2000" w:type="dxa"/>
            <w:tcBorders>
              <w:top w:val="nil"/>
              <w:left w:val="single" w:sz="4" w:space="0" w:color="auto"/>
              <w:bottom w:val="single" w:sz="8" w:space="0" w:color="auto"/>
              <w:right w:val="single" w:sz="4" w:space="0" w:color="auto"/>
            </w:tcBorders>
            <w:shd w:val="clear" w:color="auto" w:fill="auto"/>
            <w:noWrap/>
            <w:vAlign w:val="bottom"/>
            <w:hideMark/>
          </w:tcPr>
          <w:p w:rsidR="00723A21" w:rsidRPr="00723A21" w:rsidRDefault="00723A21" w:rsidP="00723A21">
            <w:pPr>
              <w:spacing w:after="0" w:line="240" w:lineRule="auto"/>
              <w:jc w:val="center"/>
              <w:rPr>
                <w:rFonts w:ascii="Calibri" w:eastAsia="Times New Roman" w:hAnsi="Calibri" w:cs="Times New Roman"/>
                <w:color w:val="000000"/>
                <w:sz w:val="20"/>
                <w:szCs w:val="20"/>
                <w:lang w:eastAsia="en-GB"/>
              </w:rPr>
            </w:pPr>
            <w:r w:rsidRPr="00723A21">
              <w:rPr>
                <w:rFonts w:ascii="Calibri" w:eastAsia="Times New Roman" w:hAnsi="Calibri" w:cs="Times New Roman"/>
                <w:color w:val="000000"/>
                <w:sz w:val="20"/>
                <w:szCs w:val="20"/>
                <w:lang w:eastAsia="en-GB"/>
              </w:rPr>
              <w:t>3,520</w:t>
            </w:r>
          </w:p>
        </w:tc>
        <w:tc>
          <w:tcPr>
            <w:tcW w:w="1201" w:type="dxa"/>
            <w:tcBorders>
              <w:top w:val="nil"/>
              <w:left w:val="nil"/>
              <w:bottom w:val="single" w:sz="8" w:space="0" w:color="auto"/>
              <w:right w:val="nil"/>
            </w:tcBorders>
            <w:shd w:val="clear" w:color="auto" w:fill="auto"/>
            <w:noWrap/>
            <w:vAlign w:val="bottom"/>
            <w:hideMark/>
          </w:tcPr>
          <w:p w:rsidR="00723A21" w:rsidRPr="00723A21" w:rsidRDefault="00723A21" w:rsidP="00723A21">
            <w:pPr>
              <w:spacing w:after="0" w:line="240" w:lineRule="auto"/>
              <w:jc w:val="center"/>
              <w:rPr>
                <w:rFonts w:ascii="Calibri" w:eastAsia="Times New Roman" w:hAnsi="Calibri" w:cs="Times New Roman"/>
                <w:color w:val="000000"/>
                <w:sz w:val="20"/>
                <w:szCs w:val="20"/>
                <w:lang w:eastAsia="en-GB"/>
              </w:rPr>
            </w:pPr>
            <w:r w:rsidRPr="00723A21">
              <w:rPr>
                <w:rFonts w:ascii="Calibri" w:eastAsia="Times New Roman" w:hAnsi="Calibri" w:cs="Times New Roman"/>
                <w:color w:val="000000"/>
                <w:sz w:val="20"/>
                <w:szCs w:val="20"/>
                <w:lang w:eastAsia="en-GB"/>
              </w:rPr>
              <w:t>1.06</w:t>
            </w:r>
          </w:p>
        </w:tc>
        <w:tc>
          <w:tcPr>
            <w:tcW w:w="1331" w:type="dxa"/>
            <w:tcBorders>
              <w:top w:val="nil"/>
              <w:left w:val="nil"/>
              <w:bottom w:val="single" w:sz="8" w:space="0" w:color="auto"/>
              <w:right w:val="single" w:sz="8" w:space="0" w:color="auto"/>
            </w:tcBorders>
            <w:shd w:val="clear" w:color="auto" w:fill="auto"/>
            <w:noWrap/>
            <w:vAlign w:val="bottom"/>
            <w:hideMark/>
          </w:tcPr>
          <w:p w:rsidR="00723A21" w:rsidRPr="00723A21" w:rsidRDefault="00723A21" w:rsidP="00723A21">
            <w:pPr>
              <w:spacing w:after="0" w:line="240" w:lineRule="auto"/>
              <w:jc w:val="center"/>
              <w:rPr>
                <w:rFonts w:ascii="Calibri" w:eastAsia="Times New Roman" w:hAnsi="Calibri" w:cs="Times New Roman"/>
                <w:color w:val="000000"/>
                <w:sz w:val="20"/>
                <w:szCs w:val="20"/>
                <w:lang w:eastAsia="en-GB"/>
              </w:rPr>
            </w:pPr>
            <w:r w:rsidRPr="00723A21">
              <w:rPr>
                <w:rFonts w:ascii="Calibri" w:eastAsia="Times New Roman" w:hAnsi="Calibri" w:cs="Times New Roman"/>
                <w:color w:val="000000"/>
                <w:sz w:val="20"/>
                <w:szCs w:val="20"/>
                <w:lang w:eastAsia="en-GB"/>
              </w:rPr>
              <w:t>0.97-1.15</w:t>
            </w:r>
          </w:p>
        </w:tc>
      </w:tr>
    </w:tbl>
    <w:p w:rsidR="00B442A9" w:rsidRDefault="004B3AA7" w:rsidP="00713E43">
      <w:r w:rsidRPr="004B3AA7">
        <w:rPr>
          <w:sz w:val="20"/>
        </w:rPr>
        <w:t>Switches could be between brand-to-generic, brand-to-brand, generic-to-generic or generic-to-brand.</w:t>
      </w:r>
    </w:p>
    <w:sectPr w:rsidR="00B442A9" w:rsidSect="00F95EA8">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80E" w:rsidRDefault="0015580E" w:rsidP="00403992">
      <w:pPr>
        <w:spacing w:after="0" w:line="240" w:lineRule="auto"/>
      </w:pPr>
      <w:r>
        <w:separator/>
      </w:r>
    </w:p>
  </w:endnote>
  <w:endnote w:type="continuationSeparator" w:id="0">
    <w:p w:rsidR="0015580E" w:rsidRDefault="0015580E" w:rsidP="0040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0471870"/>
      <w:docPartObj>
        <w:docPartGallery w:val="Page Numbers (Bottom of Page)"/>
        <w:docPartUnique/>
      </w:docPartObj>
    </w:sdtPr>
    <w:sdtEndPr>
      <w:rPr>
        <w:noProof/>
      </w:rPr>
    </w:sdtEndPr>
    <w:sdtContent>
      <w:p w:rsidR="00E33D61" w:rsidRDefault="00E33D61">
        <w:pPr>
          <w:pStyle w:val="Footer"/>
          <w:jc w:val="center"/>
        </w:pPr>
        <w:r>
          <w:fldChar w:fldCharType="begin"/>
        </w:r>
        <w:r>
          <w:instrText xml:space="preserve"> PAGE   \* MERGEFORMAT </w:instrText>
        </w:r>
        <w:r>
          <w:fldChar w:fldCharType="separate"/>
        </w:r>
        <w:r w:rsidR="00D4591E">
          <w:rPr>
            <w:noProof/>
          </w:rPr>
          <w:t>9</w:t>
        </w:r>
        <w:r>
          <w:rPr>
            <w:noProof/>
          </w:rPr>
          <w:fldChar w:fldCharType="end"/>
        </w:r>
      </w:p>
    </w:sdtContent>
  </w:sdt>
  <w:p w:rsidR="00E33D61" w:rsidRDefault="00E33D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80E" w:rsidRDefault="0015580E" w:rsidP="00403992">
      <w:pPr>
        <w:spacing w:after="0" w:line="240" w:lineRule="auto"/>
      </w:pPr>
      <w:r>
        <w:separator/>
      </w:r>
    </w:p>
  </w:footnote>
  <w:footnote w:type="continuationSeparator" w:id="0">
    <w:p w:rsidR="0015580E" w:rsidRDefault="0015580E" w:rsidP="004039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13FA8"/>
    <w:multiLevelType w:val="hybridMultilevel"/>
    <w:tmpl w:val="3C94452C"/>
    <w:lvl w:ilvl="0" w:tplc="F2B818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315D55"/>
    <w:multiLevelType w:val="hybridMultilevel"/>
    <w:tmpl w:val="0B2ABD6E"/>
    <w:lvl w:ilvl="0" w:tplc="6A5CDBD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7E622C"/>
    <w:multiLevelType w:val="hybridMultilevel"/>
    <w:tmpl w:val="234222A8"/>
    <w:lvl w:ilvl="0" w:tplc="D804AE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5E7AFA"/>
    <w:multiLevelType w:val="hybridMultilevel"/>
    <w:tmpl w:val="39F03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2D4AB8"/>
    <w:multiLevelType w:val="hybridMultilevel"/>
    <w:tmpl w:val="828CD5AE"/>
    <w:lvl w:ilvl="0" w:tplc="113C7C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5C274B"/>
    <w:multiLevelType w:val="hybridMultilevel"/>
    <w:tmpl w:val="3F9A684E"/>
    <w:lvl w:ilvl="0" w:tplc="960E03B2">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71490B"/>
    <w:multiLevelType w:val="hybridMultilevel"/>
    <w:tmpl w:val="02DAA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244607"/>
    <w:multiLevelType w:val="hybridMultilevel"/>
    <w:tmpl w:val="653E9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5A7327"/>
    <w:multiLevelType w:val="hybridMultilevel"/>
    <w:tmpl w:val="407060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4"/>
  </w:num>
  <w:num w:numId="5">
    <w:abstractNumId w:val="5"/>
  </w:num>
  <w:num w:numId="6">
    <w:abstractNumId w:val="2"/>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8D2"/>
    <w:rsid w:val="000016E3"/>
    <w:rsid w:val="00097929"/>
    <w:rsid w:val="000A504C"/>
    <w:rsid w:val="001027A4"/>
    <w:rsid w:val="00115965"/>
    <w:rsid w:val="00134C5E"/>
    <w:rsid w:val="00142535"/>
    <w:rsid w:val="00144FBE"/>
    <w:rsid w:val="001464DC"/>
    <w:rsid w:val="0015580E"/>
    <w:rsid w:val="001639A7"/>
    <w:rsid w:val="00173455"/>
    <w:rsid w:val="001A0AD4"/>
    <w:rsid w:val="001A3C82"/>
    <w:rsid w:val="001D342E"/>
    <w:rsid w:val="001F3AFE"/>
    <w:rsid w:val="001F788B"/>
    <w:rsid w:val="00200DB8"/>
    <w:rsid w:val="0021467E"/>
    <w:rsid w:val="002211D0"/>
    <w:rsid w:val="002471A4"/>
    <w:rsid w:val="00254858"/>
    <w:rsid w:val="002551E2"/>
    <w:rsid w:val="00263514"/>
    <w:rsid w:val="002665ED"/>
    <w:rsid w:val="00273F44"/>
    <w:rsid w:val="002B1A43"/>
    <w:rsid w:val="002C37D3"/>
    <w:rsid w:val="00303DCE"/>
    <w:rsid w:val="00313768"/>
    <w:rsid w:val="0031494A"/>
    <w:rsid w:val="0033035F"/>
    <w:rsid w:val="00373E5B"/>
    <w:rsid w:val="003A5A14"/>
    <w:rsid w:val="003B0666"/>
    <w:rsid w:val="003D07C4"/>
    <w:rsid w:val="003E5067"/>
    <w:rsid w:val="003F6069"/>
    <w:rsid w:val="00403992"/>
    <w:rsid w:val="00440D0B"/>
    <w:rsid w:val="004514F2"/>
    <w:rsid w:val="004768D2"/>
    <w:rsid w:val="00481873"/>
    <w:rsid w:val="00487F46"/>
    <w:rsid w:val="004B3AA7"/>
    <w:rsid w:val="004E5D43"/>
    <w:rsid w:val="004E76A6"/>
    <w:rsid w:val="004F1C20"/>
    <w:rsid w:val="004F7E74"/>
    <w:rsid w:val="00502378"/>
    <w:rsid w:val="00547A95"/>
    <w:rsid w:val="005660E2"/>
    <w:rsid w:val="005738EA"/>
    <w:rsid w:val="0057773A"/>
    <w:rsid w:val="00582ED7"/>
    <w:rsid w:val="005E6004"/>
    <w:rsid w:val="006138F1"/>
    <w:rsid w:val="00622673"/>
    <w:rsid w:val="0064500E"/>
    <w:rsid w:val="006535AF"/>
    <w:rsid w:val="006708AF"/>
    <w:rsid w:val="00691D65"/>
    <w:rsid w:val="006A1B7C"/>
    <w:rsid w:val="00703CF6"/>
    <w:rsid w:val="00706C35"/>
    <w:rsid w:val="00713E43"/>
    <w:rsid w:val="00723A21"/>
    <w:rsid w:val="00737184"/>
    <w:rsid w:val="007A26A0"/>
    <w:rsid w:val="007D1B86"/>
    <w:rsid w:val="007D5BA6"/>
    <w:rsid w:val="008C1E2C"/>
    <w:rsid w:val="008D7E40"/>
    <w:rsid w:val="0090398F"/>
    <w:rsid w:val="00925A2E"/>
    <w:rsid w:val="009B141B"/>
    <w:rsid w:val="009D1A2E"/>
    <w:rsid w:val="009D430F"/>
    <w:rsid w:val="009E3FCB"/>
    <w:rsid w:val="009F707D"/>
    <w:rsid w:val="009F7751"/>
    <w:rsid w:val="00A112AB"/>
    <w:rsid w:val="00A54ED3"/>
    <w:rsid w:val="00A83BC5"/>
    <w:rsid w:val="00A94F50"/>
    <w:rsid w:val="00AA354B"/>
    <w:rsid w:val="00AB1B62"/>
    <w:rsid w:val="00AC46E7"/>
    <w:rsid w:val="00AE4147"/>
    <w:rsid w:val="00AE6AA3"/>
    <w:rsid w:val="00AF3CC2"/>
    <w:rsid w:val="00B10E58"/>
    <w:rsid w:val="00B11141"/>
    <w:rsid w:val="00B442A9"/>
    <w:rsid w:val="00B46A33"/>
    <w:rsid w:val="00B60B6C"/>
    <w:rsid w:val="00BA3426"/>
    <w:rsid w:val="00BA3C28"/>
    <w:rsid w:val="00C24E3B"/>
    <w:rsid w:val="00C32092"/>
    <w:rsid w:val="00C50F9B"/>
    <w:rsid w:val="00C53F88"/>
    <w:rsid w:val="00C54197"/>
    <w:rsid w:val="00C769D9"/>
    <w:rsid w:val="00C843F4"/>
    <w:rsid w:val="00CC4C5E"/>
    <w:rsid w:val="00CD726C"/>
    <w:rsid w:val="00D41703"/>
    <w:rsid w:val="00D4591E"/>
    <w:rsid w:val="00D86228"/>
    <w:rsid w:val="00D9492E"/>
    <w:rsid w:val="00D97697"/>
    <w:rsid w:val="00DE758B"/>
    <w:rsid w:val="00DF33CE"/>
    <w:rsid w:val="00E2109E"/>
    <w:rsid w:val="00E23AED"/>
    <w:rsid w:val="00E31F7B"/>
    <w:rsid w:val="00E33D61"/>
    <w:rsid w:val="00E34CAB"/>
    <w:rsid w:val="00E406BB"/>
    <w:rsid w:val="00E76C2A"/>
    <w:rsid w:val="00E96E29"/>
    <w:rsid w:val="00EB6B13"/>
    <w:rsid w:val="00EE322B"/>
    <w:rsid w:val="00EF03F1"/>
    <w:rsid w:val="00EF5333"/>
    <w:rsid w:val="00F56174"/>
    <w:rsid w:val="00F95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E1052-9FD6-4C3C-A7FB-B50EA1A9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8D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8D2"/>
    <w:rPr>
      <w:color w:val="0563C1" w:themeColor="hyperlink"/>
      <w:u w:val="single"/>
    </w:rPr>
  </w:style>
  <w:style w:type="character" w:styleId="Emphasis">
    <w:name w:val="Emphasis"/>
    <w:basedOn w:val="DefaultParagraphFont"/>
    <w:uiPriority w:val="20"/>
    <w:qFormat/>
    <w:rsid w:val="00373E5B"/>
    <w:rPr>
      <w:i/>
      <w:iCs/>
    </w:rPr>
  </w:style>
  <w:style w:type="paragraph" w:styleId="ListParagraph">
    <w:name w:val="List Paragraph"/>
    <w:basedOn w:val="Normal"/>
    <w:uiPriority w:val="34"/>
    <w:qFormat/>
    <w:rsid w:val="00B442A9"/>
    <w:pPr>
      <w:ind w:left="720"/>
      <w:contextualSpacing/>
    </w:pPr>
  </w:style>
  <w:style w:type="paragraph" w:styleId="CommentText">
    <w:name w:val="annotation text"/>
    <w:basedOn w:val="Normal"/>
    <w:link w:val="CommentTextChar"/>
    <w:uiPriority w:val="99"/>
    <w:semiHidden/>
    <w:unhideWhenUsed/>
    <w:rsid w:val="00B442A9"/>
    <w:pPr>
      <w:spacing w:line="240" w:lineRule="auto"/>
    </w:pPr>
    <w:rPr>
      <w:sz w:val="20"/>
      <w:szCs w:val="20"/>
    </w:rPr>
  </w:style>
  <w:style w:type="character" w:customStyle="1" w:styleId="CommentTextChar">
    <w:name w:val="Comment Text Char"/>
    <w:basedOn w:val="DefaultParagraphFont"/>
    <w:link w:val="CommentText"/>
    <w:uiPriority w:val="99"/>
    <w:semiHidden/>
    <w:rsid w:val="00B442A9"/>
    <w:rPr>
      <w:sz w:val="20"/>
      <w:szCs w:val="20"/>
    </w:rPr>
  </w:style>
  <w:style w:type="character" w:customStyle="1" w:styleId="CommentSubjectChar">
    <w:name w:val="Comment Subject Char"/>
    <w:basedOn w:val="CommentTextChar"/>
    <w:link w:val="CommentSubject"/>
    <w:uiPriority w:val="99"/>
    <w:semiHidden/>
    <w:rsid w:val="00B442A9"/>
    <w:rPr>
      <w:b/>
      <w:bCs/>
      <w:sz w:val="20"/>
      <w:szCs w:val="20"/>
    </w:rPr>
  </w:style>
  <w:style w:type="paragraph" w:styleId="CommentSubject">
    <w:name w:val="annotation subject"/>
    <w:basedOn w:val="CommentText"/>
    <w:next w:val="CommentText"/>
    <w:link w:val="CommentSubjectChar"/>
    <w:uiPriority w:val="99"/>
    <w:semiHidden/>
    <w:unhideWhenUsed/>
    <w:rsid w:val="00B442A9"/>
    <w:rPr>
      <w:b/>
      <w:bCs/>
    </w:rPr>
  </w:style>
  <w:style w:type="character" w:customStyle="1" w:styleId="BalloonTextChar">
    <w:name w:val="Balloon Text Char"/>
    <w:basedOn w:val="DefaultParagraphFont"/>
    <w:link w:val="BalloonText"/>
    <w:uiPriority w:val="99"/>
    <w:semiHidden/>
    <w:rsid w:val="00B442A9"/>
    <w:rPr>
      <w:rFonts w:ascii="Segoe UI" w:hAnsi="Segoe UI" w:cs="Segoe UI"/>
      <w:sz w:val="18"/>
      <w:szCs w:val="18"/>
    </w:rPr>
  </w:style>
  <w:style w:type="paragraph" w:styleId="BalloonText">
    <w:name w:val="Balloon Text"/>
    <w:basedOn w:val="Normal"/>
    <w:link w:val="BalloonTextChar"/>
    <w:uiPriority w:val="99"/>
    <w:semiHidden/>
    <w:unhideWhenUsed/>
    <w:rsid w:val="00B442A9"/>
    <w:pPr>
      <w:spacing w:after="0" w:line="240" w:lineRule="auto"/>
    </w:pPr>
    <w:rPr>
      <w:rFonts w:ascii="Segoe UI" w:hAnsi="Segoe UI" w:cs="Segoe UI"/>
      <w:sz w:val="18"/>
      <w:szCs w:val="18"/>
    </w:rPr>
  </w:style>
  <w:style w:type="paragraph" w:styleId="PlainText">
    <w:name w:val="Plain Text"/>
    <w:basedOn w:val="Normal"/>
    <w:link w:val="PlainTextChar"/>
    <w:uiPriority w:val="99"/>
    <w:unhideWhenUsed/>
    <w:rsid w:val="00B442A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442A9"/>
    <w:rPr>
      <w:rFonts w:ascii="Calibri" w:hAnsi="Calibri"/>
      <w:szCs w:val="21"/>
    </w:rPr>
  </w:style>
  <w:style w:type="character" w:styleId="Strong">
    <w:name w:val="Strong"/>
    <w:basedOn w:val="DefaultParagraphFont"/>
    <w:uiPriority w:val="22"/>
    <w:qFormat/>
    <w:rsid w:val="00B442A9"/>
    <w:rPr>
      <w:b/>
      <w:bCs/>
    </w:rPr>
  </w:style>
  <w:style w:type="paragraph" w:styleId="Header">
    <w:name w:val="header"/>
    <w:basedOn w:val="Normal"/>
    <w:link w:val="HeaderChar"/>
    <w:uiPriority w:val="99"/>
    <w:unhideWhenUsed/>
    <w:rsid w:val="00B442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2A9"/>
  </w:style>
  <w:style w:type="paragraph" w:styleId="Footer">
    <w:name w:val="footer"/>
    <w:basedOn w:val="Normal"/>
    <w:link w:val="FooterChar"/>
    <w:uiPriority w:val="99"/>
    <w:unhideWhenUsed/>
    <w:rsid w:val="00B442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2A9"/>
  </w:style>
  <w:style w:type="paragraph" w:customStyle="1" w:styleId="xl65">
    <w:name w:val="xl65"/>
    <w:basedOn w:val="Normal"/>
    <w:rsid w:val="00B442A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E76C2A"/>
  </w:style>
  <w:style w:type="character" w:styleId="FollowedHyperlink">
    <w:name w:val="FollowedHyperlink"/>
    <w:basedOn w:val="DefaultParagraphFont"/>
    <w:uiPriority w:val="99"/>
    <w:semiHidden/>
    <w:unhideWhenUsed/>
    <w:rsid w:val="00EB6B13"/>
    <w:rPr>
      <w:color w:val="954F72"/>
      <w:u w:val="single"/>
    </w:rPr>
  </w:style>
  <w:style w:type="paragraph" w:customStyle="1" w:styleId="xl66">
    <w:name w:val="xl66"/>
    <w:basedOn w:val="Normal"/>
    <w:rsid w:val="00EB6B13"/>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EB6B13"/>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68">
    <w:name w:val="xl68"/>
    <w:basedOn w:val="Normal"/>
    <w:rsid w:val="00EB6B13"/>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9">
    <w:name w:val="xl69"/>
    <w:basedOn w:val="Normal"/>
    <w:rsid w:val="00EB6B13"/>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70">
    <w:name w:val="xl70"/>
    <w:basedOn w:val="Normal"/>
    <w:rsid w:val="00EB6B13"/>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n-GB"/>
    </w:rPr>
  </w:style>
  <w:style w:type="paragraph" w:customStyle="1" w:styleId="xl71">
    <w:name w:val="xl71"/>
    <w:basedOn w:val="Normal"/>
    <w:rsid w:val="00EB6B13"/>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n-GB"/>
    </w:rPr>
  </w:style>
  <w:style w:type="paragraph" w:customStyle="1" w:styleId="xl72">
    <w:name w:val="xl72"/>
    <w:basedOn w:val="Normal"/>
    <w:rsid w:val="00EB6B13"/>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n-GB"/>
    </w:rPr>
  </w:style>
  <w:style w:type="paragraph" w:customStyle="1" w:styleId="xl73">
    <w:name w:val="xl73"/>
    <w:basedOn w:val="Normal"/>
    <w:rsid w:val="00EB6B13"/>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n-GB"/>
    </w:rPr>
  </w:style>
  <w:style w:type="paragraph" w:customStyle="1" w:styleId="xl74">
    <w:name w:val="xl74"/>
    <w:basedOn w:val="Normal"/>
    <w:rsid w:val="00EB6B13"/>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n-GB"/>
    </w:rPr>
  </w:style>
  <w:style w:type="paragraph" w:customStyle="1" w:styleId="xl75">
    <w:name w:val="xl75"/>
    <w:basedOn w:val="Normal"/>
    <w:rsid w:val="00EB6B13"/>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n-GB"/>
    </w:rPr>
  </w:style>
  <w:style w:type="paragraph" w:customStyle="1" w:styleId="xl76">
    <w:name w:val="xl76"/>
    <w:basedOn w:val="Normal"/>
    <w:rsid w:val="00EB6B1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77">
    <w:name w:val="xl77"/>
    <w:basedOn w:val="Normal"/>
    <w:rsid w:val="00EB6B1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78">
    <w:name w:val="xl78"/>
    <w:basedOn w:val="Normal"/>
    <w:rsid w:val="00EB6B13"/>
    <w:pPr>
      <w:pBdr>
        <w:left w:val="single" w:sz="8"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18"/>
      <w:szCs w:val="18"/>
      <w:lang w:eastAsia="en-GB"/>
    </w:rPr>
  </w:style>
  <w:style w:type="paragraph" w:customStyle="1" w:styleId="xl79">
    <w:name w:val="xl79"/>
    <w:basedOn w:val="Normal"/>
    <w:rsid w:val="00EB6B13"/>
    <w:pPr>
      <w:pBdr>
        <w:left w:val="single" w:sz="4" w:space="0" w:color="auto"/>
        <w:bottom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80">
    <w:name w:val="xl80"/>
    <w:basedOn w:val="Normal"/>
    <w:rsid w:val="00EB6B13"/>
    <w:pPr>
      <w:pBdr>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81">
    <w:name w:val="xl81"/>
    <w:basedOn w:val="Normal"/>
    <w:rsid w:val="00EB6B13"/>
    <w:pPr>
      <w:pBdr>
        <w:bottom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82">
    <w:name w:val="xl82"/>
    <w:basedOn w:val="Normal"/>
    <w:rsid w:val="00EB6B13"/>
    <w:pPr>
      <w:pBdr>
        <w:left w:val="single" w:sz="4" w:space="0" w:color="auto"/>
        <w:bottom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83">
    <w:name w:val="xl83"/>
    <w:basedOn w:val="Normal"/>
    <w:rsid w:val="00EB6B13"/>
    <w:pPr>
      <w:pBdr>
        <w:bottom w:val="single" w:sz="4" w:space="0" w:color="auto"/>
        <w:right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84">
    <w:name w:val="xl84"/>
    <w:basedOn w:val="Normal"/>
    <w:rsid w:val="00EB6B13"/>
    <w:pPr>
      <w:pBdr>
        <w:left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en-GB"/>
    </w:rPr>
  </w:style>
  <w:style w:type="paragraph" w:customStyle="1" w:styleId="xl85">
    <w:name w:val="xl85"/>
    <w:basedOn w:val="Normal"/>
    <w:rsid w:val="00EB6B13"/>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86">
    <w:name w:val="xl86"/>
    <w:basedOn w:val="Normal"/>
    <w:rsid w:val="00EB6B13"/>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87">
    <w:name w:val="xl87"/>
    <w:basedOn w:val="Normal"/>
    <w:rsid w:val="00EB6B13"/>
    <w:pP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88">
    <w:name w:val="xl88"/>
    <w:basedOn w:val="Normal"/>
    <w:rsid w:val="00EB6B13"/>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89">
    <w:name w:val="xl89"/>
    <w:basedOn w:val="Normal"/>
    <w:rsid w:val="00EB6B13"/>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90">
    <w:name w:val="xl90"/>
    <w:basedOn w:val="Normal"/>
    <w:rsid w:val="00EB6B13"/>
    <w:pPr>
      <w:pBdr>
        <w:left w:val="single" w:sz="8" w:space="14" w:color="auto"/>
      </w:pBdr>
      <w:spacing w:before="100" w:beforeAutospacing="1" w:after="100" w:afterAutospacing="1" w:line="240" w:lineRule="auto"/>
      <w:ind w:firstLineChars="200" w:firstLine="200"/>
    </w:pPr>
    <w:rPr>
      <w:rFonts w:ascii="Times New Roman" w:eastAsia="Times New Roman" w:hAnsi="Times New Roman" w:cs="Times New Roman"/>
      <w:sz w:val="18"/>
      <w:szCs w:val="18"/>
      <w:lang w:eastAsia="en-GB"/>
    </w:rPr>
  </w:style>
  <w:style w:type="paragraph" w:customStyle="1" w:styleId="xl91">
    <w:name w:val="xl91"/>
    <w:basedOn w:val="Normal"/>
    <w:rsid w:val="00EB6B13"/>
    <w:pPr>
      <w:pBdr>
        <w:left w:val="single" w:sz="8" w:space="14" w:color="auto"/>
        <w:bottom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18"/>
      <w:szCs w:val="18"/>
      <w:lang w:eastAsia="en-GB"/>
    </w:rPr>
  </w:style>
  <w:style w:type="paragraph" w:customStyle="1" w:styleId="xl92">
    <w:name w:val="xl92"/>
    <w:basedOn w:val="Normal"/>
    <w:rsid w:val="00EB6B13"/>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93">
    <w:name w:val="xl93"/>
    <w:basedOn w:val="Normal"/>
    <w:rsid w:val="00EB6B13"/>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94">
    <w:name w:val="xl94"/>
    <w:basedOn w:val="Normal"/>
    <w:rsid w:val="00EB6B13"/>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95">
    <w:name w:val="xl95"/>
    <w:basedOn w:val="Normal"/>
    <w:rsid w:val="00EB6B13"/>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96">
    <w:name w:val="xl96"/>
    <w:basedOn w:val="Normal"/>
    <w:rsid w:val="00EB6B13"/>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97">
    <w:name w:val="xl97"/>
    <w:basedOn w:val="Normal"/>
    <w:rsid w:val="00EB6B13"/>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n-GB"/>
    </w:rPr>
  </w:style>
  <w:style w:type="paragraph" w:customStyle="1" w:styleId="xl98">
    <w:name w:val="xl98"/>
    <w:basedOn w:val="Normal"/>
    <w:rsid w:val="00EB6B13"/>
    <w:pPr>
      <w:pBdr>
        <w:left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en-GB"/>
    </w:rPr>
  </w:style>
  <w:style w:type="paragraph" w:customStyle="1" w:styleId="xl99">
    <w:name w:val="xl99"/>
    <w:basedOn w:val="Normal"/>
    <w:rsid w:val="00EB6B13"/>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en-GB"/>
    </w:rPr>
  </w:style>
  <w:style w:type="paragraph" w:customStyle="1" w:styleId="xl100">
    <w:name w:val="xl100"/>
    <w:basedOn w:val="Normal"/>
    <w:rsid w:val="00EB6B13"/>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01">
    <w:name w:val="xl101"/>
    <w:basedOn w:val="Normal"/>
    <w:rsid w:val="00EB6B13"/>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02">
    <w:name w:val="xl102"/>
    <w:basedOn w:val="Normal"/>
    <w:rsid w:val="00EB6B13"/>
    <w:pPr>
      <w:pBdr>
        <w:top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03">
    <w:name w:val="xl103"/>
    <w:basedOn w:val="Normal"/>
    <w:rsid w:val="00EB6B13"/>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04">
    <w:name w:val="xl104"/>
    <w:basedOn w:val="Normal"/>
    <w:rsid w:val="00EB6B13"/>
    <w:pPr>
      <w:pBdr>
        <w:top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05">
    <w:name w:val="xl105"/>
    <w:basedOn w:val="Normal"/>
    <w:rsid w:val="00EB6B13"/>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n-GB"/>
    </w:rPr>
  </w:style>
  <w:style w:type="paragraph" w:customStyle="1" w:styleId="xl106">
    <w:name w:val="xl106"/>
    <w:basedOn w:val="Normal"/>
    <w:rsid w:val="00EB6B13"/>
    <w:pPr>
      <w:pBdr>
        <w:lef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107">
    <w:name w:val="xl107"/>
    <w:basedOn w:val="Normal"/>
    <w:rsid w:val="00EB6B13"/>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108">
    <w:name w:val="xl108"/>
    <w:basedOn w:val="Normal"/>
    <w:rsid w:val="00EB6B13"/>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109">
    <w:name w:val="xl109"/>
    <w:basedOn w:val="Normal"/>
    <w:rsid w:val="00EB6B13"/>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110">
    <w:name w:val="xl110"/>
    <w:basedOn w:val="Normal"/>
    <w:rsid w:val="00EB6B13"/>
    <w:pPr>
      <w:pBdr>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111">
    <w:name w:val="xl111"/>
    <w:basedOn w:val="Normal"/>
    <w:rsid w:val="00EB6B13"/>
    <w:pPr>
      <w:pBdr>
        <w:lef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112">
    <w:name w:val="xl112"/>
    <w:basedOn w:val="Normal"/>
    <w:rsid w:val="00EB6B13"/>
    <w:pPr>
      <w:pBdr>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113">
    <w:name w:val="xl113"/>
    <w:basedOn w:val="Normal"/>
    <w:rsid w:val="00EB6B13"/>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14">
    <w:name w:val="xl114"/>
    <w:basedOn w:val="Normal"/>
    <w:rsid w:val="00EB6B13"/>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15">
    <w:name w:val="xl115"/>
    <w:basedOn w:val="Normal"/>
    <w:rsid w:val="00EB6B13"/>
    <w:pPr>
      <w:pBdr>
        <w:left w:val="single" w:sz="8" w:space="14" w:color="auto"/>
        <w:bottom w:val="single" w:sz="8" w:space="0" w:color="auto"/>
      </w:pBdr>
      <w:spacing w:before="100" w:beforeAutospacing="1" w:after="100" w:afterAutospacing="1" w:line="240" w:lineRule="auto"/>
      <w:ind w:firstLineChars="200" w:firstLine="200"/>
    </w:pPr>
    <w:rPr>
      <w:rFonts w:ascii="Times New Roman" w:eastAsia="Times New Roman" w:hAnsi="Times New Roman" w:cs="Times New Roman"/>
      <w:sz w:val="18"/>
      <w:szCs w:val="18"/>
      <w:lang w:eastAsia="en-GB"/>
    </w:rPr>
  </w:style>
  <w:style w:type="paragraph" w:customStyle="1" w:styleId="xl116">
    <w:name w:val="xl116"/>
    <w:basedOn w:val="Normal"/>
    <w:rsid w:val="00EB6B13"/>
    <w:pPr>
      <w:pBdr>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17">
    <w:name w:val="xl117"/>
    <w:basedOn w:val="Normal"/>
    <w:rsid w:val="00EB6B13"/>
    <w:pPr>
      <w:pBdr>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18">
    <w:name w:val="xl118"/>
    <w:basedOn w:val="Normal"/>
    <w:rsid w:val="00EB6B13"/>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19">
    <w:name w:val="xl119"/>
    <w:basedOn w:val="Normal"/>
    <w:rsid w:val="00EB6B13"/>
    <w:pPr>
      <w:pBdr>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20">
    <w:name w:val="xl120"/>
    <w:basedOn w:val="Normal"/>
    <w:rsid w:val="00EB6B1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21">
    <w:name w:val="xl121"/>
    <w:basedOn w:val="Normal"/>
    <w:rsid w:val="00EB6B13"/>
    <w:pPr>
      <w:pBdr>
        <w:top w:val="single" w:sz="4" w:space="0" w:color="auto"/>
        <w:left w:val="single" w:sz="8"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18"/>
      <w:szCs w:val="18"/>
      <w:lang w:eastAsia="en-GB"/>
    </w:rPr>
  </w:style>
  <w:style w:type="paragraph" w:customStyle="1" w:styleId="xl122">
    <w:name w:val="xl122"/>
    <w:basedOn w:val="Normal"/>
    <w:rsid w:val="00EB6B13"/>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23">
    <w:name w:val="xl123"/>
    <w:basedOn w:val="Normal"/>
    <w:rsid w:val="00EB6B13"/>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24">
    <w:name w:val="xl124"/>
    <w:basedOn w:val="Normal"/>
    <w:rsid w:val="00EB6B13"/>
    <w:pPr>
      <w:pBdr>
        <w:top w:val="single" w:sz="4" w:space="0" w:color="auto"/>
        <w:bottom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25">
    <w:name w:val="xl125"/>
    <w:basedOn w:val="Normal"/>
    <w:rsid w:val="00EB6B13"/>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26">
    <w:name w:val="xl126"/>
    <w:basedOn w:val="Normal"/>
    <w:rsid w:val="00EB6B13"/>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n-GB"/>
    </w:rPr>
  </w:style>
  <w:style w:type="paragraph" w:customStyle="1" w:styleId="xl127">
    <w:name w:val="xl127"/>
    <w:basedOn w:val="Normal"/>
    <w:rsid w:val="00EB6B1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28">
    <w:name w:val="xl128"/>
    <w:basedOn w:val="Normal"/>
    <w:rsid w:val="00EB6B13"/>
    <w:pPr>
      <w:pBdr>
        <w:lef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129">
    <w:name w:val="xl129"/>
    <w:basedOn w:val="Normal"/>
    <w:rsid w:val="00EB6B13"/>
    <w:pPr>
      <w:pBdr>
        <w:top w:val="single" w:sz="8"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GB"/>
    </w:rPr>
  </w:style>
  <w:style w:type="paragraph" w:customStyle="1" w:styleId="xl130">
    <w:name w:val="xl130"/>
    <w:basedOn w:val="Normal"/>
    <w:rsid w:val="00EB6B13"/>
    <w:pPr>
      <w:pBdr>
        <w:top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GB"/>
    </w:rPr>
  </w:style>
  <w:style w:type="paragraph" w:customStyle="1" w:styleId="xl131">
    <w:name w:val="xl131"/>
    <w:basedOn w:val="Normal"/>
    <w:rsid w:val="00EB6B13"/>
    <w:pPr>
      <w:pBdr>
        <w:top w:val="single" w:sz="8"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GB"/>
    </w:rPr>
  </w:style>
  <w:style w:type="paragraph" w:customStyle="1" w:styleId="xl132">
    <w:name w:val="xl132"/>
    <w:basedOn w:val="Normal"/>
    <w:rsid w:val="00EB6B13"/>
    <w:pPr>
      <w:pBdr>
        <w:top w:val="single" w:sz="8"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GB"/>
    </w:rPr>
  </w:style>
  <w:style w:type="paragraph" w:customStyle="1" w:styleId="xl133">
    <w:name w:val="xl133"/>
    <w:basedOn w:val="Normal"/>
    <w:rsid w:val="00EB6B13"/>
    <w:pPr>
      <w:pBdr>
        <w:top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GB"/>
    </w:rPr>
  </w:style>
  <w:style w:type="paragraph" w:customStyle="1" w:styleId="xl134">
    <w:name w:val="xl134"/>
    <w:basedOn w:val="Normal"/>
    <w:rsid w:val="00EB6B1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35">
    <w:name w:val="xl135"/>
    <w:basedOn w:val="Normal"/>
    <w:rsid w:val="00EB6B1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36">
    <w:name w:val="xl136"/>
    <w:basedOn w:val="Normal"/>
    <w:rsid w:val="00EB6B13"/>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GB"/>
    </w:rPr>
  </w:style>
  <w:style w:type="paragraph" w:customStyle="1" w:styleId="xl137">
    <w:name w:val="xl137"/>
    <w:basedOn w:val="Normal"/>
    <w:rsid w:val="00EB6B13"/>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GB"/>
    </w:rPr>
  </w:style>
  <w:style w:type="paragraph" w:customStyle="1" w:styleId="xl138">
    <w:name w:val="xl138"/>
    <w:basedOn w:val="Normal"/>
    <w:rsid w:val="00EB6B1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39">
    <w:name w:val="xl139"/>
    <w:basedOn w:val="Normal"/>
    <w:rsid w:val="00EB6B1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40">
    <w:name w:val="xl140"/>
    <w:basedOn w:val="Normal"/>
    <w:rsid w:val="00EB6B13"/>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GB"/>
    </w:rPr>
  </w:style>
  <w:style w:type="paragraph" w:customStyle="1" w:styleId="xl141">
    <w:name w:val="xl141"/>
    <w:basedOn w:val="Normal"/>
    <w:rsid w:val="00EB6B1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42">
    <w:name w:val="xl142"/>
    <w:basedOn w:val="Normal"/>
    <w:rsid w:val="00EB6B13"/>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23877">
      <w:bodyDiv w:val="1"/>
      <w:marLeft w:val="0"/>
      <w:marRight w:val="0"/>
      <w:marTop w:val="0"/>
      <w:marBottom w:val="0"/>
      <w:divBdr>
        <w:top w:val="none" w:sz="0" w:space="0" w:color="auto"/>
        <w:left w:val="none" w:sz="0" w:space="0" w:color="auto"/>
        <w:bottom w:val="none" w:sz="0" w:space="0" w:color="auto"/>
        <w:right w:val="none" w:sz="0" w:space="0" w:color="auto"/>
      </w:divBdr>
    </w:div>
    <w:div w:id="295332041">
      <w:bodyDiv w:val="1"/>
      <w:marLeft w:val="0"/>
      <w:marRight w:val="0"/>
      <w:marTop w:val="0"/>
      <w:marBottom w:val="0"/>
      <w:divBdr>
        <w:top w:val="none" w:sz="0" w:space="0" w:color="auto"/>
        <w:left w:val="none" w:sz="0" w:space="0" w:color="auto"/>
        <w:bottom w:val="none" w:sz="0" w:space="0" w:color="auto"/>
        <w:right w:val="none" w:sz="0" w:space="0" w:color="auto"/>
      </w:divBdr>
    </w:div>
    <w:div w:id="773935774">
      <w:bodyDiv w:val="1"/>
      <w:marLeft w:val="0"/>
      <w:marRight w:val="0"/>
      <w:marTop w:val="0"/>
      <w:marBottom w:val="0"/>
      <w:divBdr>
        <w:top w:val="none" w:sz="0" w:space="0" w:color="auto"/>
        <w:left w:val="none" w:sz="0" w:space="0" w:color="auto"/>
        <w:bottom w:val="none" w:sz="0" w:space="0" w:color="auto"/>
        <w:right w:val="none" w:sz="0" w:space="0" w:color="auto"/>
      </w:divBdr>
    </w:div>
    <w:div w:id="980647680">
      <w:bodyDiv w:val="1"/>
      <w:marLeft w:val="0"/>
      <w:marRight w:val="0"/>
      <w:marTop w:val="0"/>
      <w:marBottom w:val="0"/>
      <w:divBdr>
        <w:top w:val="none" w:sz="0" w:space="0" w:color="auto"/>
        <w:left w:val="none" w:sz="0" w:space="0" w:color="auto"/>
        <w:bottom w:val="none" w:sz="0" w:space="0" w:color="auto"/>
        <w:right w:val="none" w:sz="0" w:space="0" w:color="auto"/>
      </w:divBdr>
    </w:div>
    <w:div w:id="1138571859">
      <w:bodyDiv w:val="1"/>
      <w:marLeft w:val="0"/>
      <w:marRight w:val="0"/>
      <w:marTop w:val="0"/>
      <w:marBottom w:val="0"/>
      <w:divBdr>
        <w:top w:val="none" w:sz="0" w:space="0" w:color="auto"/>
        <w:left w:val="none" w:sz="0" w:space="0" w:color="auto"/>
        <w:bottom w:val="none" w:sz="0" w:space="0" w:color="auto"/>
        <w:right w:val="none" w:sz="0" w:space="0" w:color="auto"/>
      </w:divBdr>
    </w:div>
    <w:div w:id="1228149438">
      <w:bodyDiv w:val="1"/>
      <w:marLeft w:val="0"/>
      <w:marRight w:val="0"/>
      <w:marTop w:val="0"/>
      <w:marBottom w:val="0"/>
      <w:divBdr>
        <w:top w:val="none" w:sz="0" w:space="0" w:color="auto"/>
        <w:left w:val="none" w:sz="0" w:space="0" w:color="auto"/>
        <w:bottom w:val="none" w:sz="0" w:space="0" w:color="auto"/>
        <w:right w:val="none" w:sz="0" w:space="0" w:color="auto"/>
      </w:divBdr>
    </w:div>
    <w:div w:id="1519156620">
      <w:bodyDiv w:val="1"/>
      <w:marLeft w:val="0"/>
      <w:marRight w:val="0"/>
      <w:marTop w:val="0"/>
      <w:marBottom w:val="0"/>
      <w:divBdr>
        <w:top w:val="none" w:sz="0" w:space="0" w:color="auto"/>
        <w:left w:val="none" w:sz="0" w:space="0" w:color="auto"/>
        <w:bottom w:val="none" w:sz="0" w:space="0" w:color="auto"/>
        <w:right w:val="none" w:sz="0" w:space="0" w:color="auto"/>
      </w:divBdr>
    </w:div>
    <w:div w:id="165749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loe.bloom06@imperial.ac.uk" TargetMode="External"/><Relationship Id="rId13" Type="http://schemas.openxmlformats.org/officeDocument/2006/relationships/hyperlink" Target="mailto:j.quint@imperial.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am.smeeth@lshtm.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inne.dancona@gstt.nhs.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ck.olney@imperial.ac.uk" TargetMode="External"/><Relationship Id="rId4" Type="http://schemas.openxmlformats.org/officeDocument/2006/relationships/settings" Target="settings.xml"/><Relationship Id="rId9" Type="http://schemas.openxmlformats.org/officeDocument/2006/relationships/hyperlink" Target="mailto:ian.douglas@lshtm.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399E8-7132-488D-B767-B4D589238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29403</Words>
  <Characters>167602</Characters>
  <Application>Microsoft Office Word</Application>
  <DocSecurity>0</DocSecurity>
  <Lines>1396</Lines>
  <Paragraphs>393</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196612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Bloom, Chloe</dc:creator>
  <cp:keywords/>
  <dc:description/>
  <cp:lastModifiedBy>Bloom, Chloe</cp:lastModifiedBy>
  <cp:revision>3</cp:revision>
  <dcterms:created xsi:type="dcterms:W3CDTF">2019-07-01T11:23:00Z</dcterms:created>
  <dcterms:modified xsi:type="dcterms:W3CDTF">2019-07-01T11:23:00Z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http://csl.mendeley.com/styles/474915771/american-medical-association-2</vt:lpwstr>
  </property>
  <property fmtid="{D5CDD505-2E9C-101B-9397-08002B2CF9AE}" pid="5" name="Mendeley Recent Style Name 1_1">
    <vt:lpwstr>American Medical Association - chloe bloom2</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http://www.zotero.org/styles/nature</vt:lpwstr>
  </property>
  <property fmtid="{D5CDD505-2E9C-101B-9397-08002B2CF9AE}" pid="13" name="Mendeley Recent Style Name 5_1">
    <vt:lpwstr>Nature</vt:lpwstr>
  </property>
  <property fmtid="{D5CDD505-2E9C-101B-9397-08002B2CF9AE}" pid="14" name="Mendeley Recent Style Id 6_1">
    <vt:lpwstr>http://csl.mendeley.com/styles/474915771/nature-2</vt:lpwstr>
  </property>
  <property fmtid="{D5CDD505-2E9C-101B-9397-08002B2CF9AE}" pid="15" name="Mendeley Recent Style Name 6_1">
    <vt:lpwstr>Nature - chloe bloom</vt:lpwstr>
  </property>
  <property fmtid="{D5CDD505-2E9C-101B-9397-08002B2CF9AE}" pid="16" name="Mendeley Recent Style Id 7_1">
    <vt:lpwstr>http://csl.mendeley.com/styles/474915771/nature-3</vt:lpwstr>
  </property>
  <property fmtid="{D5CDD505-2E9C-101B-9397-08002B2CF9AE}" pid="17" name="Mendeley Recent Style Name 7_1">
    <vt:lpwstr>Nature - chloe bloom</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http://csl.mendeley.com/styles/474915771/vancouver-2</vt:lpwstr>
  </property>
  <property fmtid="{D5CDD505-2E9C-101B-9397-08002B2CF9AE}" pid="21" name="Mendeley Recent Style Name 9_1">
    <vt:lpwstr>Vancouver - chloe bloom</vt:lpwstr>
  </property>
  <property fmtid="{D5CDD505-2E9C-101B-9397-08002B2CF9AE}" pid="22" name="Mendeley Document_1">
    <vt:lpwstr>True</vt:lpwstr>
  </property>
  <property fmtid="{D5CDD505-2E9C-101B-9397-08002B2CF9AE}" pid="23" name="Mendeley Unique User Id_1">
    <vt:lpwstr>8b2d3f81-a894-3962-8f6a-95b6774f428d</vt:lpwstr>
  </property>
  <property fmtid="{D5CDD505-2E9C-101B-9397-08002B2CF9AE}" pid="24" name="Mendeley Citation Style_1">
    <vt:lpwstr>http://www.zotero.org/styles/vancouver</vt:lpwstr>
  </property>
</Properties>
</file>