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F1F67" w14:textId="7D62CD2A" w:rsidR="006A6521" w:rsidRPr="0001368E" w:rsidRDefault="00C62885" w:rsidP="00B5730F">
      <w:pPr>
        <w:spacing w:line="360" w:lineRule="auto"/>
        <w:rPr>
          <w:b/>
          <w:sz w:val="40"/>
          <w:szCs w:val="40"/>
          <w:lang w:val="en-GB"/>
        </w:rPr>
      </w:pPr>
      <w:bookmarkStart w:id="0" w:name="_GoBack"/>
      <w:bookmarkEnd w:id="0"/>
      <w:r>
        <w:rPr>
          <w:b/>
          <w:sz w:val="40"/>
          <w:szCs w:val="40"/>
          <w:lang w:val="en-GB"/>
        </w:rPr>
        <w:t xml:space="preserve">Bronchodilator </w:t>
      </w:r>
      <w:r w:rsidR="00AF0F95">
        <w:rPr>
          <w:b/>
          <w:sz w:val="40"/>
          <w:szCs w:val="40"/>
          <w:lang w:val="en-GB"/>
        </w:rPr>
        <w:t>r</w:t>
      </w:r>
      <w:r w:rsidR="00AF0F95" w:rsidRPr="0001368E">
        <w:rPr>
          <w:b/>
          <w:sz w:val="40"/>
          <w:szCs w:val="40"/>
          <w:lang w:val="en-GB"/>
        </w:rPr>
        <w:t>eversibility</w:t>
      </w:r>
      <w:r w:rsidR="006A6521" w:rsidRPr="0001368E">
        <w:rPr>
          <w:b/>
          <w:sz w:val="40"/>
          <w:szCs w:val="40"/>
          <w:lang w:val="en-GB"/>
        </w:rPr>
        <w:t xml:space="preserve"> </w:t>
      </w:r>
      <w:r>
        <w:rPr>
          <w:b/>
          <w:sz w:val="40"/>
          <w:szCs w:val="40"/>
          <w:lang w:val="en-GB"/>
        </w:rPr>
        <w:t>in asthma and COPD</w:t>
      </w:r>
      <w:r w:rsidR="00CD615C">
        <w:rPr>
          <w:b/>
          <w:sz w:val="40"/>
          <w:szCs w:val="40"/>
          <w:lang w:val="en-GB"/>
        </w:rPr>
        <w:t>:</w:t>
      </w:r>
      <w:r>
        <w:rPr>
          <w:b/>
          <w:sz w:val="40"/>
          <w:szCs w:val="40"/>
          <w:lang w:val="en-GB"/>
        </w:rPr>
        <w:t xml:space="preserve"> </w:t>
      </w:r>
      <w:r w:rsidR="00CD615C">
        <w:rPr>
          <w:b/>
          <w:sz w:val="40"/>
          <w:szCs w:val="40"/>
          <w:lang w:val="en-GB"/>
        </w:rPr>
        <w:t>Findings</w:t>
      </w:r>
      <w:r w:rsidR="00C37339">
        <w:rPr>
          <w:b/>
          <w:sz w:val="40"/>
          <w:szCs w:val="40"/>
          <w:lang w:val="en-GB"/>
        </w:rPr>
        <w:t xml:space="preserve"> </w:t>
      </w:r>
      <w:r>
        <w:rPr>
          <w:b/>
          <w:sz w:val="40"/>
          <w:szCs w:val="40"/>
          <w:lang w:val="en-GB"/>
        </w:rPr>
        <w:t xml:space="preserve">from three </w:t>
      </w:r>
      <w:r w:rsidR="006A6521" w:rsidRPr="0001368E">
        <w:rPr>
          <w:b/>
          <w:sz w:val="40"/>
          <w:szCs w:val="40"/>
          <w:lang w:val="en-GB"/>
        </w:rPr>
        <w:t>large population studies</w:t>
      </w:r>
    </w:p>
    <w:p w14:paraId="1E714F11" w14:textId="64B4F7B3" w:rsidR="00D158F1" w:rsidRPr="0001368E" w:rsidRDefault="00D158F1" w:rsidP="00D158F1">
      <w:pPr>
        <w:spacing w:line="360" w:lineRule="auto"/>
        <w:rPr>
          <w:sz w:val="24"/>
          <w:szCs w:val="24"/>
          <w:lang w:val="en-GB"/>
        </w:rPr>
      </w:pPr>
      <w:r w:rsidRPr="0016206E">
        <w:rPr>
          <w:sz w:val="24"/>
          <w:szCs w:val="24"/>
          <w:lang w:val="en-GB"/>
        </w:rPr>
        <w:t>Christer Janson</w:t>
      </w:r>
      <w:r w:rsidRPr="0016206E">
        <w:rPr>
          <w:sz w:val="24"/>
          <w:szCs w:val="24"/>
          <w:vertAlign w:val="superscript"/>
          <w:lang w:val="en-GB"/>
        </w:rPr>
        <w:t>1,2</w:t>
      </w:r>
      <w:r w:rsidRPr="0016206E">
        <w:rPr>
          <w:sz w:val="24"/>
          <w:szCs w:val="24"/>
          <w:lang w:val="en-GB"/>
        </w:rPr>
        <w:t>, Andrei Malinovschi</w:t>
      </w:r>
      <w:r w:rsidRPr="0016206E">
        <w:rPr>
          <w:sz w:val="24"/>
          <w:szCs w:val="24"/>
          <w:vertAlign w:val="superscript"/>
          <w:lang w:val="en-GB"/>
        </w:rPr>
        <w:t>3</w:t>
      </w:r>
      <w:r w:rsidRPr="0016206E">
        <w:rPr>
          <w:sz w:val="24"/>
          <w:szCs w:val="24"/>
          <w:lang w:val="en-GB"/>
        </w:rPr>
        <w:t>, Andre F.S. Amaral</w:t>
      </w:r>
      <w:r w:rsidRPr="0016206E">
        <w:rPr>
          <w:sz w:val="24"/>
          <w:szCs w:val="24"/>
          <w:vertAlign w:val="superscript"/>
          <w:lang w:val="en-GB"/>
        </w:rPr>
        <w:t>2</w:t>
      </w:r>
      <w:r w:rsidRPr="0016206E">
        <w:rPr>
          <w:sz w:val="24"/>
          <w:szCs w:val="24"/>
          <w:lang w:val="en-GB"/>
        </w:rPr>
        <w:t>, Simone Ac</w:t>
      </w:r>
      <w:r>
        <w:rPr>
          <w:sz w:val="24"/>
          <w:szCs w:val="24"/>
          <w:lang w:val="en-GB"/>
        </w:rPr>
        <w:t>cordini</w:t>
      </w:r>
      <w:r w:rsidR="007776E8">
        <w:rPr>
          <w:sz w:val="24"/>
          <w:szCs w:val="24"/>
          <w:vertAlign w:val="superscript"/>
          <w:lang w:val="en-GB"/>
        </w:rPr>
        <w:t>4</w:t>
      </w:r>
      <w:r>
        <w:rPr>
          <w:sz w:val="24"/>
          <w:szCs w:val="24"/>
          <w:lang w:val="en-GB"/>
        </w:rPr>
        <w:t>, Jean Bousquet</w:t>
      </w:r>
      <w:r w:rsidR="007776E8">
        <w:rPr>
          <w:sz w:val="24"/>
          <w:szCs w:val="24"/>
          <w:vertAlign w:val="superscript"/>
          <w:lang w:val="en-GB"/>
        </w:rPr>
        <w:t>5</w:t>
      </w:r>
      <w:r w:rsidR="005A7FB0">
        <w:rPr>
          <w:sz w:val="24"/>
          <w:szCs w:val="24"/>
          <w:vertAlign w:val="superscript"/>
          <w:lang w:val="en-GB"/>
        </w:rPr>
        <w:t>,6,7</w:t>
      </w:r>
      <w:r>
        <w:rPr>
          <w:sz w:val="24"/>
          <w:szCs w:val="24"/>
          <w:lang w:val="en-GB"/>
        </w:rPr>
        <w:t xml:space="preserve">, </w:t>
      </w:r>
      <w:r w:rsidR="002C3446">
        <w:rPr>
          <w:sz w:val="24"/>
          <w:szCs w:val="24"/>
          <w:lang w:val="en-GB"/>
        </w:rPr>
        <w:t xml:space="preserve">A </w:t>
      </w:r>
      <w:r>
        <w:rPr>
          <w:sz w:val="24"/>
          <w:szCs w:val="24"/>
          <w:lang w:val="en-GB"/>
        </w:rPr>
        <w:t>Sonia Buist</w:t>
      </w:r>
      <w:r w:rsidR="005A7FB0">
        <w:rPr>
          <w:sz w:val="24"/>
          <w:szCs w:val="24"/>
          <w:vertAlign w:val="superscript"/>
          <w:lang w:val="en-GB"/>
        </w:rPr>
        <w:t>8</w:t>
      </w:r>
      <w:r>
        <w:rPr>
          <w:sz w:val="24"/>
          <w:szCs w:val="24"/>
          <w:lang w:val="en-GB"/>
        </w:rPr>
        <w:t xml:space="preserve">, </w:t>
      </w:r>
      <w:r w:rsidR="000472B0">
        <w:rPr>
          <w:sz w:val="24"/>
          <w:szCs w:val="24"/>
          <w:lang w:val="en-GB"/>
        </w:rPr>
        <w:t xml:space="preserve">Giorgio </w:t>
      </w:r>
      <w:r>
        <w:rPr>
          <w:sz w:val="24"/>
          <w:szCs w:val="24"/>
          <w:lang w:val="en-GB"/>
        </w:rPr>
        <w:t>Walter Canonica</w:t>
      </w:r>
      <w:r w:rsidR="005A7FB0">
        <w:rPr>
          <w:sz w:val="24"/>
          <w:szCs w:val="24"/>
          <w:vertAlign w:val="superscript"/>
          <w:lang w:val="en-GB"/>
        </w:rPr>
        <w:t>9</w:t>
      </w:r>
      <w:r w:rsidR="005A7FB0">
        <w:rPr>
          <w:sz w:val="24"/>
          <w:szCs w:val="24"/>
          <w:lang w:val="en-GB"/>
        </w:rPr>
        <w:t xml:space="preserve">, </w:t>
      </w:r>
      <w:r w:rsidR="00FA4DE7">
        <w:rPr>
          <w:sz w:val="24"/>
          <w:szCs w:val="24"/>
          <w:lang w:val="en-GB"/>
        </w:rPr>
        <w:t>Barb</w:t>
      </w:r>
      <w:r w:rsidR="00553EF3">
        <w:rPr>
          <w:sz w:val="24"/>
          <w:szCs w:val="24"/>
          <w:lang w:val="en-GB"/>
        </w:rPr>
        <w:t>r</w:t>
      </w:r>
      <w:r w:rsidR="00FA4DE7">
        <w:rPr>
          <w:sz w:val="24"/>
          <w:szCs w:val="24"/>
          <w:lang w:val="en-GB"/>
        </w:rPr>
        <w:t>o Dahlén</w:t>
      </w:r>
      <w:r w:rsidR="005A7FB0">
        <w:rPr>
          <w:sz w:val="24"/>
          <w:szCs w:val="24"/>
          <w:vertAlign w:val="superscript"/>
          <w:lang w:val="en-GB"/>
        </w:rPr>
        <w:t>10</w:t>
      </w:r>
      <w:r w:rsidR="00FA4DE7">
        <w:rPr>
          <w:sz w:val="24"/>
          <w:szCs w:val="24"/>
          <w:lang w:val="en-GB"/>
        </w:rPr>
        <w:t xml:space="preserve">, </w:t>
      </w:r>
      <w:r w:rsidR="000F7876">
        <w:rPr>
          <w:sz w:val="24"/>
          <w:szCs w:val="24"/>
          <w:lang w:val="en-GB"/>
        </w:rPr>
        <w:t>Judith Garcia-Aymerich</w:t>
      </w:r>
      <w:r w:rsidR="005A7FB0">
        <w:rPr>
          <w:sz w:val="24"/>
          <w:szCs w:val="24"/>
          <w:vertAlign w:val="superscript"/>
          <w:lang w:val="en-GB"/>
        </w:rPr>
        <w:t>11,12</w:t>
      </w:r>
      <w:r w:rsidR="00FA4DE7">
        <w:rPr>
          <w:sz w:val="24"/>
          <w:szCs w:val="24"/>
          <w:vertAlign w:val="superscript"/>
          <w:lang w:val="en-GB"/>
        </w:rPr>
        <w:t>,1</w:t>
      </w:r>
      <w:r w:rsidR="005A7FB0">
        <w:rPr>
          <w:sz w:val="24"/>
          <w:szCs w:val="24"/>
          <w:vertAlign w:val="superscript"/>
          <w:lang w:val="en-GB"/>
        </w:rPr>
        <w:t>3</w:t>
      </w:r>
      <w:r>
        <w:rPr>
          <w:sz w:val="24"/>
          <w:szCs w:val="24"/>
          <w:lang w:val="en-GB"/>
        </w:rPr>
        <w:t>, Louisa Gnatiuc</w:t>
      </w:r>
      <w:r w:rsidR="005A7FB0">
        <w:rPr>
          <w:sz w:val="24"/>
          <w:szCs w:val="24"/>
          <w:vertAlign w:val="superscript"/>
          <w:lang w:val="en-GB"/>
        </w:rPr>
        <w:t>14</w:t>
      </w:r>
      <w:r>
        <w:rPr>
          <w:sz w:val="24"/>
          <w:szCs w:val="24"/>
          <w:lang w:val="en-GB"/>
        </w:rPr>
        <w:t xml:space="preserve">, Marek </w:t>
      </w:r>
      <w:r w:rsidR="00C568A3">
        <w:rPr>
          <w:sz w:val="24"/>
          <w:szCs w:val="24"/>
          <w:lang w:val="en-GB"/>
        </w:rPr>
        <w:t xml:space="preserve">L </w:t>
      </w:r>
      <w:r>
        <w:rPr>
          <w:sz w:val="24"/>
          <w:szCs w:val="24"/>
          <w:lang w:val="en-GB"/>
        </w:rPr>
        <w:t>Kowalski</w:t>
      </w:r>
      <w:r w:rsidR="005A7FB0">
        <w:rPr>
          <w:sz w:val="24"/>
          <w:szCs w:val="24"/>
          <w:vertAlign w:val="superscript"/>
          <w:lang w:val="en-GB"/>
        </w:rPr>
        <w:t>15</w:t>
      </w:r>
      <w:r>
        <w:rPr>
          <w:sz w:val="24"/>
          <w:szCs w:val="24"/>
          <w:lang w:val="en-GB"/>
        </w:rPr>
        <w:t xml:space="preserve">, </w:t>
      </w:r>
      <w:r w:rsidRPr="00FB454E">
        <w:rPr>
          <w:sz w:val="24"/>
          <w:szCs w:val="24"/>
          <w:lang w:val="en-GB"/>
        </w:rPr>
        <w:t>Jaymini</w:t>
      </w:r>
      <w:r>
        <w:rPr>
          <w:sz w:val="24"/>
          <w:szCs w:val="24"/>
          <w:lang w:val="en-GB"/>
        </w:rPr>
        <w:t xml:space="preserve"> Patel</w:t>
      </w:r>
      <w:r w:rsidR="00060EF9">
        <w:rPr>
          <w:sz w:val="24"/>
          <w:szCs w:val="24"/>
          <w:vertAlign w:val="superscript"/>
          <w:lang w:val="en-GB"/>
        </w:rPr>
        <w:t>2</w:t>
      </w:r>
      <w:r>
        <w:rPr>
          <w:sz w:val="24"/>
          <w:szCs w:val="24"/>
          <w:lang w:val="en-GB"/>
        </w:rPr>
        <w:t>, Wan Tan</w:t>
      </w:r>
      <w:r w:rsidR="00060EF9">
        <w:rPr>
          <w:sz w:val="24"/>
          <w:szCs w:val="24"/>
          <w:vertAlign w:val="superscript"/>
          <w:lang w:val="en-GB"/>
        </w:rPr>
        <w:t>1</w:t>
      </w:r>
      <w:r w:rsidR="005A7FB0">
        <w:rPr>
          <w:sz w:val="24"/>
          <w:szCs w:val="24"/>
          <w:vertAlign w:val="superscript"/>
          <w:lang w:val="en-GB"/>
        </w:rPr>
        <w:t>6</w:t>
      </w:r>
      <w:r>
        <w:rPr>
          <w:sz w:val="24"/>
          <w:szCs w:val="24"/>
          <w:lang w:val="en-GB"/>
        </w:rPr>
        <w:t xml:space="preserve">, </w:t>
      </w:r>
      <w:r w:rsidRPr="0016206E">
        <w:rPr>
          <w:sz w:val="24"/>
          <w:szCs w:val="24"/>
          <w:lang w:val="en-GB"/>
        </w:rPr>
        <w:t>Kjell Torén</w:t>
      </w:r>
      <w:r w:rsidR="00060EF9">
        <w:rPr>
          <w:sz w:val="24"/>
          <w:szCs w:val="24"/>
          <w:vertAlign w:val="superscript"/>
          <w:lang w:val="en-GB"/>
        </w:rPr>
        <w:t>1</w:t>
      </w:r>
      <w:r w:rsidR="005A7FB0">
        <w:rPr>
          <w:sz w:val="24"/>
          <w:szCs w:val="24"/>
          <w:vertAlign w:val="superscript"/>
          <w:lang w:val="en-GB"/>
        </w:rPr>
        <w:t>7</w:t>
      </w:r>
      <w:r>
        <w:rPr>
          <w:sz w:val="24"/>
          <w:szCs w:val="24"/>
          <w:lang w:val="en-GB"/>
        </w:rPr>
        <w:t>, Torsten Zuberbier</w:t>
      </w:r>
      <w:r w:rsidR="005A7FB0">
        <w:rPr>
          <w:sz w:val="24"/>
          <w:szCs w:val="24"/>
          <w:vertAlign w:val="superscript"/>
          <w:lang w:val="en-GB"/>
        </w:rPr>
        <w:t>7</w:t>
      </w:r>
      <w:r>
        <w:rPr>
          <w:sz w:val="24"/>
          <w:szCs w:val="24"/>
          <w:lang w:val="en-GB"/>
        </w:rPr>
        <w:t>, Peter Burney</w:t>
      </w:r>
      <w:r>
        <w:rPr>
          <w:sz w:val="24"/>
          <w:szCs w:val="24"/>
          <w:vertAlign w:val="superscript"/>
          <w:lang w:val="en-GB"/>
        </w:rPr>
        <w:t>2</w:t>
      </w:r>
      <w:r>
        <w:rPr>
          <w:sz w:val="24"/>
          <w:szCs w:val="24"/>
          <w:lang w:val="en-GB"/>
        </w:rPr>
        <w:t>, Deborah Jarvis</w:t>
      </w:r>
      <w:r>
        <w:rPr>
          <w:sz w:val="24"/>
          <w:szCs w:val="24"/>
          <w:vertAlign w:val="superscript"/>
          <w:lang w:val="en-GB"/>
        </w:rPr>
        <w:t>2</w:t>
      </w:r>
    </w:p>
    <w:p w14:paraId="4160A9F1" w14:textId="2CED1C5B" w:rsidR="006A6521" w:rsidRDefault="006A6521" w:rsidP="00B5730F">
      <w:pPr>
        <w:spacing w:line="360" w:lineRule="auto"/>
        <w:rPr>
          <w:b/>
          <w:sz w:val="24"/>
          <w:szCs w:val="24"/>
          <w:lang w:val="en-GB"/>
        </w:rPr>
      </w:pPr>
    </w:p>
    <w:p w14:paraId="1F65A800" w14:textId="0568943B" w:rsidR="00592620" w:rsidRPr="00D505F3" w:rsidRDefault="008058F0" w:rsidP="00387E5C">
      <w:pPr>
        <w:pStyle w:val="ListParagraph"/>
        <w:numPr>
          <w:ilvl w:val="0"/>
          <w:numId w:val="5"/>
        </w:numPr>
        <w:spacing w:line="360" w:lineRule="auto"/>
        <w:ind w:left="426" w:hanging="426"/>
        <w:rPr>
          <w:sz w:val="20"/>
          <w:szCs w:val="20"/>
          <w:lang w:val="en-GB"/>
        </w:rPr>
      </w:pPr>
      <w:r w:rsidRPr="00D505F3">
        <w:rPr>
          <w:sz w:val="20"/>
          <w:szCs w:val="20"/>
          <w:lang w:val="en-GB"/>
        </w:rPr>
        <w:t xml:space="preserve">Department of Medical Sciences: Respiratory, Allergy and Sleep Research, Uppsala </w:t>
      </w:r>
      <w:r w:rsidR="004C17D4" w:rsidRPr="00D505F3">
        <w:rPr>
          <w:sz w:val="20"/>
          <w:szCs w:val="20"/>
          <w:lang w:val="en-GB"/>
        </w:rPr>
        <w:t>U</w:t>
      </w:r>
      <w:r w:rsidRPr="00D505F3">
        <w:rPr>
          <w:sz w:val="20"/>
          <w:szCs w:val="20"/>
          <w:lang w:val="en-GB"/>
        </w:rPr>
        <w:t>niversity, Sweden</w:t>
      </w:r>
    </w:p>
    <w:p w14:paraId="0B44DEC4" w14:textId="07232158" w:rsidR="00452721" w:rsidRPr="00D505F3" w:rsidRDefault="00452721" w:rsidP="00387E5C">
      <w:pPr>
        <w:pStyle w:val="ListParagraph"/>
        <w:numPr>
          <w:ilvl w:val="0"/>
          <w:numId w:val="5"/>
        </w:numPr>
        <w:spacing w:line="360" w:lineRule="auto"/>
        <w:ind w:left="426" w:hanging="426"/>
        <w:rPr>
          <w:sz w:val="20"/>
          <w:szCs w:val="20"/>
          <w:vertAlign w:val="superscript"/>
          <w:lang w:val="en-GB"/>
        </w:rPr>
      </w:pPr>
      <w:r w:rsidRPr="00D505F3">
        <w:rPr>
          <w:sz w:val="20"/>
          <w:szCs w:val="20"/>
          <w:lang w:val="en-GB"/>
        </w:rPr>
        <w:t>Population Health and Occupational Disease, National Heart and Lung Institute, Imperial College London</w:t>
      </w:r>
      <w:r w:rsidR="008058F0" w:rsidRPr="00D505F3">
        <w:rPr>
          <w:sz w:val="20"/>
          <w:szCs w:val="20"/>
          <w:lang w:val="en-GB"/>
        </w:rPr>
        <w:t>, United Kingdom</w:t>
      </w:r>
    </w:p>
    <w:p w14:paraId="6C0DC89E" w14:textId="1FFC41A2" w:rsidR="005507E2" w:rsidRPr="00D505F3" w:rsidRDefault="008058F0" w:rsidP="00387E5C">
      <w:pPr>
        <w:pStyle w:val="ListParagraph"/>
        <w:numPr>
          <w:ilvl w:val="0"/>
          <w:numId w:val="5"/>
        </w:numPr>
        <w:spacing w:line="360" w:lineRule="auto"/>
        <w:ind w:left="426" w:hanging="426"/>
        <w:rPr>
          <w:sz w:val="20"/>
          <w:szCs w:val="20"/>
          <w:vertAlign w:val="superscript"/>
          <w:lang w:val="en-GB"/>
        </w:rPr>
      </w:pPr>
      <w:r w:rsidRPr="00D505F3">
        <w:rPr>
          <w:sz w:val="20"/>
          <w:szCs w:val="20"/>
          <w:lang w:val="en-GB"/>
        </w:rPr>
        <w:t>Department of Medical Sciences: Clinical Physiology, Uppsala University, Sweden</w:t>
      </w:r>
      <w:r w:rsidR="005507E2" w:rsidRPr="00D505F3">
        <w:rPr>
          <w:sz w:val="20"/>
          <w:szCs w:val="20"/>
          <w:lang w:val="en-GB"/>
        </w:rPr>
        <w:t xml:space="preserve"> </w:t>
      </w:r>
    </w:p>
    <w:p w14:paraId="24B66EB3" w14:textId="2C7D36FA" w:rsidR="005507E2" w:rsidRPr="005A7FB0" w:rsidRDefault="005507E2" w:rsidP="00387E5C">
      <w:pPr>
        <w:pStyle w:val="ListParagraph"/>
        <w:numPr>
          <w:ilvl w:val="0"/>
          <w:numId w:val="5"/>
        </w:numPr>
        <w:spacing w:line="360" w:lineRule="auto"/>
        <w:ind w:left="426" w:hanging="426"/>
        <w:rPr>
          <w:sz w:val="20"/>
          <w:szCs w:val="20"/>
          <w:vertAlign w:val="superscript"/>
          <w:lang w:val="en-GB"/>
        </w:rPr>
      </w:pPr>
      <w:r w:rsidRPr="00D505F3">
        <w:rPr>
          <w:sz w:val="20"/>
          <w:szCs w:val="20"/>
          <w:lang w:val="en-GB"/>
        </w:rPr>
        <w:t>Unit of Epidemiology and Medical Statistics, Department of Diagnostics and Public Health, University of Verona, Verona, Italy</w:t>
      </w:r>
    </w:p>
    <w:p w14:paraId="46634810" w14:textId="77777777" w:rsidR="005A7FB0" w:rsidRPr="005A7FB0" w:rsidRDefault="005A7FB0" w:rsidP="005A7FB0">
      <w:pPr>
        <w:pStyle w:val="ListParagraph"/>
        <w:numPr>
          <w:ilvl w:val="0"/>
          <w:numId w:val="5"/>
        </w:numPr>
        <w:spacing w:line="360" w:lineRule="auto"/>
        <w:ind w:left="426" w:hanging="426"/>
        <w:rPr>
          <w:sz w:val="20"/>
          <w:szCs w:val="20"/>
          <w:vertAlign w:val="superscript"/>
          <w:lang w:val="en-GB"/>
        </w:rPr>
      </w:pPr>
      <w:r w:rsidRPr="005A7FB0">
        <w:rPr>
          <w:sz w:val="20"/>
          <w:szCs w:val="20"/>
        </w:rPr>
        <w:t xml:space="preserve">Fondation FMC VIA-LR, Montpellier, France, </w:t>
      </w:r>
    </w:p>
    <w:p w14:paraId="4EEB4384" w14:textId="77777777" w:rsidR="005A7FB0" w:rsidRPr="005A7FB0" w:rsidRDefault="005A7FB0" w:rsidP="005A7FB0">
      <w:pPr>
        <w:pStyle w:val="ListParagraph"/>
        <w:numPr>
          <w:ilvl w:val="0"/>
          <w:numId w:val="5"/>
        </w:numPr>
        <w:spacing w:line="360" w:lineRule="auto"/>
        <w:ind w:left="426" w:hanging="426"/>
        <w:rPr>
          <w:sz w:val="20"/>
          <w:szCs w:val="20"/>
          <w:vertAlign w:val="superscript"/>
          <w:lang w:val="en-GB"/>
        </w:rPr>
      </w:pPr>
      <w:r w:rsidRPr="005A7FB0">
        <w:rPr>
          <w:sz w:val="20"/>
          <w:szCs w:val="20"/>
        </w:rPr>
        <w:t>Euforea, Brussels, Belgium</w:t>
      </w:r>
    </w:p>
    <w:p w14:paraId="418A5D9E" w14:textId="77777777" w:rsidR="005A7FB0" w:rsidRPr="00C568A3" w:rsidRDefault="005A7FB0" w:rsidP="005A7FB0">
      <w:pPr>
        <w:pStyle w:val="ListParagraph"/>
        <w:numPr>
          <w:ilvl w:val="0"/>
          <w:numId w:val="5"/>
        </w:numPr>
        <w:spacing w:line="360" w:lineRule="auto"/>
        <w:ind w:left="426" w:hanging="426"/>
        <w:rPr>
          <w:sz w:val="20"/>
          <w:szCs w:val="20"/>
          <w:vertAlign w:val="superscript"/>
          <w:lang w:val="en-GB"/>
        </w:rPr>
      </w:pPr>
      <w:r w:rsidRPr="00C568A3">
        <w:rPr>
          <w:rFonts w:eastAsiaTheme="minorHAnsi"/>
          <w:sz w:val="20"/>
          <w:szCs w:val="20"/>
          <w:lang w:val="en-GB"/>
        </w:rPr>
        <w:t xml:space="preserve">Allergy Centre Charité , Department of Dermatology &amp; Allergy, Charité Universitätsmedizin Berlin, Berlin, </w:t>
      </w:r>
      <w:r w:rsidRPr="00C568A3">
        <w:rPr>
          <w:rFonts w:eastAsiaTheme="minorHAnsi"/>
          <w:sz w:val="20"/>
          <w:szCs w:val="20"/>
        </w:rPr>
        <w:t>Germany</w:t>
      </w:r>
    </w:p>
    <w:p w14:paraId="6932E440" w14:textId="3AB3393C" w:rsidR="00D505F3" w:rsidRPr="00C568A3" w:rsidRDefault="00D505F3" w:rsidP="00387E5C">
      <w:pPr>
        <w:pStyle w:val="ListParagraph"/>
        <w:numPr>
          <w:ilvl w:val="0"/>
          <w:numId w:val="5"/>
        </w:numPr>
        <w:spacing w:line="360" w:lineRule="auto"/>
        <w:ind w:left="426" w:hanging="426"/>
        <w:rPr>
          <w:sz w:val="20"/>
          <w:szCs w:val="20"/>
          <w:lang w:val="en-GB"/>
        </w:rPr>
      </w:pPr>
      <w:r w:rsidRPr="00C568A3">
        <w:rPr>
          <w:color w:val="000000"/>
          <w:sz w:val="20"/>
          <w:szCs w:val="20"/>
          <w:shd w:val="clear" w:color="auto" w:fill="FFFFFF"/>
        </w:rPr>
        <w:t>Pulmonary and Critical Care Medicine, Oregon Health and Science University, Portland, OR, USA</w:t>
      </w:r>
    </w:p>
    <w:p w14:paraId="28E7F561" w14:textId="7AFCB29E" w:rsidR="00E710A0" w:rsidRDefault="00E710A0" w:rsidP="00387E5C">
      <w:pPr>
        <w:pStyle w:val="ListParagraph"/>
        <w:numPr>
          <w:ilvl w:val="0"/>
          <w:numId w:val="5"/>
        </w:numPr>
        <w:spacing w:line="360" w:lineRule="auto"/>
        <w:ind w:left="426" w:hanging="426"/>
        <w:rPr>
          <w:sz w:val="20"/>
          <w:szCs w:val="20"/>
          <w:lang w:val="en-GB"/>
        </w:rPr>
      </w:pPr>
      <w:r w:rsidRPr="00C568A3">
        <w:rPr>
          <w:sz w:val="20"/>
          <w:szCs w:val="20"/>
          <w:lang w:val="en-GB"/>
        </w:rPr>
        <w:t>Personalized Medicine Clinic Asthma &amp; Allergy Humanitas Research Hospital, Milan, Italy</w:t>
      </w:r>
    </w:p>
    <w:p w14:paraId="3CF37A2C" w14:textId="2155E78D" w:rsidR="00FA4DE7" w:rsidRPr="00FA4DE7" w:rsidRDefault="00FA4DE7" w:rsidP="00FA4DE7">
      <w:pPr>
        <w:pStyle w:val="ListParagraph"/>
        <w:numPr>
          <w:ilvl w:val="0"/>
          <w:numId w:val="5"/>
        </w:numPr>
        <w:spacing w:line="360" w:lineRule="auto"/>
        <w:ind w:left="426" w:hanging="426"/>
        <w:rPr>
          <w:sz w:val="20"/>
          <w:szCs w:val="20"/>
          <w:lang w:val="en-GB"/>
        </w:rPr>
      </w:pPr>
      <w:r w:rsidRPr="00FA4DE7">
        <w:rPr>
          <w:sz w:val="20"/>
          <w:szCs w:val="20"/>
          <w:lang w:val="en-GB"/>
        </w:rPr>
        <w:t>Department of</w:t>
      </w:r>
      <w:r w:rsidRPr="00FA4DE7">
        <w:rPr>
          <w:sz w:val="20"/>
          <w:lang w:val="en-GB"/>
        </w:rPr>
        <w:t xml:space="preserve"> </w:t>
      </w:r>
      <w:r w:rsidRPr="00FA4DE7">
        <w:rPr>
          <w:sz w:val="20"/>
          <w:szCs w:val="20"/>
          <w:lang w:val="en-GB"/>
        </w:rPr>
        <w:t>Medicine, Unit for Heart and Lung disease, Karolinska institutet, Stockholm, Sweden</w:t>
      </w:r>
    </w:p>
    <w:p w14:paraId="3FDB9F7F" w14:textId="17FFD2CC" w:rsidR="005507E2" w:rsidRPr="00C568A3" w:rsidRDefault="005507E2" w:rsidP="00387E5C">
      <w:pPr>
        <w:pStyle w:val="ListParagraph"/>
        <w:numPr>
          <w:ilvl w:val="0"/>
          <w:numId w:val="5"/>
        </w:numPr>
        <w:spacing w:line="360" w:lineRule="auto"/>
        <w:ind w:left="426" w:hanging="426"/>
        <w:rPr>
          <w:sz w:val="20"/>
          <w:szCs w:val="20"/>
          <w:vertAlign w:val="superscript"/>
          <w:lang w:val="en-GB"/>
        </w:rPr>
      </w:pPr>
      <w:r w:rsidRPr="00C568A3">
        <w:rPr>
          <w:sz w:val="20"/>
          <w:szCs w:val="20"/>
          <w:lang w:val="en-GB"/>
        </w:rPr>
        <w:t>ISGlobal, Barcelona, Spain</w:t>
      </w:r>
    </w:p>
    <w:p w14:paraId="67828FB2" w14:textId="110A21FA" w:rsidR="005507E2" w:rsidRPr="00C568A3" w:rsidRDefault="005507E2" w:rsidP="00387E5C">
      <w:pPr>
        <w:pStyle w:val="ListParagraph"/>
        <w:numPr>
          <w:ilvl w:val="0"/>
          <w:numId w:val="5"/>
        </w:numPr>
        <w:spacing w:line="360" w:lineRule="auto"/>
        <w:ind w:left="426" w:hanging="426"/>
        <w:rPr>
          <w:sz w:val="20"/>
          <w:szCs w:val="20"/>
          <w:vertAlign w:val="superscript"/>
          <w:lang w:val="sv-SE"/>
        </w:rPr>
      </w:pPr>
      <w:r w:rsidRPr="00C568A3">
        <w:rPr>
          <w:sz w:val="20"/>
          <w:szCs w:val="20"/>
          <w:lang w:val="sv-SE"/>
        </w:rPr>
        <w:t>Universitat Pompeu Fabra (UPF), Barcelona, Spain</w:t>
      </w:r>
    </w:p>
    <w:p w14:paraId="5D5993A9" w14:textId="1BCB1A20" w:rsidR="005507E2" w:rsidRPr="00C568A3" w:rsidRDefault="005507E2" w:rsidP="00387E5C">
      <w:pPr>
        <w:pStyle w:val="ListParagraph"/>
        <w:numPr>
          <w:ilvl w:val="0"/>
          <w:numId w:val="5"/>
        </w:numPr>
        <w:spacing w:line="360" w:lineRule="auto"/>
        <w:ind w:left="426" w:hanging="426"/>
        <w:rPr>
          <w:sz w:val="20"/>
          <w:szCs w:val="20"/>
          <w:vertAlign w:val="superscript"/>
          <w:lang w:val="en-GB"/>
        </w:rPr>
      </w:pPr>
      <w:r w:rsidRPr="00C568A3">
        <w:rPr>
          <w:sz w:val="20"/>
          <w:szCs w:val="20"/>
          <w:lang w:val="en-GB"/>
        </w:rPr>
        <w:t>CIBER Epidemiología y Salud Pública (CIBERESP), Barcelona, Spain</w:t>
      </w:r>
    </w:p>
    <w:p w14:paraId="59B6113E" w14:textId="6974E4CD" w:rsidR="007776E8" w:rsidRPr="00C568A3" w:rsidRDefault="007776E8" w:rsidP="007776E8">
      <w:pPr>
        <w:pStyle w:val="ListParagraph"/>
        <w:numPr>
          <w:ilvl w:val="0"/>
          <w:numId w:val="5"/>
        </w:numPr>
        <w:spacing w:line="360" w:lineRule="auto"/>
        <w:ind w:left="426" w:hanging="426"/>
        <w:rPr>
          <w:sz w:val="20"/>
          <w:szCs w:val="20"/>
          <w:vertAlign w:val="superscript"/>
          <w:lang w:val="en-GB"/>
        </w:rPr>
      </w:pPr>
      <w:r w:rsidRPr="00C568A3">
        <w:rPr>
          <w:sz w:val="20"/>
          <w:szCs w:val="20"/>
        </w:rPr>
        <w:t>Clinical Trial Service Unit and Epidemiological Studies Unit, Nuffield Department of Population Health, University of Oxford, Oxford, UK</w:t>
      </w:r>
    </w:p>
    <w:p w14:paraId="333E1C9E" w14:textId="5478C18E" w:rsidR="00C568A3" w:rsidRPr="00C568A3" w:rsidRDefault="00C568A3" w:rsidP="00C568A3">
      <w:pPr>
        <w:pStyle w:val="ListParagraph"/>
        <w:numPr>
          <w:ilvl w:val="0"/>
          <w:numId w:val="5"/>
        </w:numPr>
        <w:spacing w:line="360" w:lineRule="auto"/>
        <w:ind w:left="426" w:hanging="426"/>
        <w:rPr>
          <w:sz w:val="20"/>
          <w:szCs w:val="20"/>
          <w:vertAlign w:val="superscript"/>
          <w:lang w:val="en-GB"/>
        </w:rPr>
      </w:pPr>
      <w:r w:rsidRPr="00C568A3">
        <w:rPr>
          <w:sz w:val="20"/>
          <w:szCs w:val="20"/>
          <w:lang w:val="en-GB"/>
        </w:rPr>
        <w:t xml:space="preserve">Department of Immunology and  Allergy, Medical University of Lodz, Poland </w:t>
      </w:r>
    </w:p>
    <w:p w14:paraId="219FB5F0" w14:textId="1BE6715A" w:rsidR="00E31864" w:rsidRPr="00C568A3" w:rsidRDefault="00E31864" w:rsidP="007268E6">
      <w:pPr>
        <w:pStyle w:val="ListParagraph"/>
        <w:numPr>
          <w:ilvl w:val="0"/>
          <w:numId w:val="5"/>
        </w:numPr>
        <w:spacing w:line="360" w:lineRule="auto"/>
        <w:ind w:left="426" w:hanging="426"/>
        <w:rPr>
          <w:sz w:val="20"/>
          <w:szCs w:val="20"/>
          <w:vertAlign w:val="superscript"/>
          <w:lang w:val="en-GB"/>
        </w:rPr>
      </w:pPr>
      <w:r w:rsidRPr="00C568A3">
        <w:rPr>
          <w:color w:val="000000"/>
          <w:sz w:val="20"/>
          <w:szCs w:val="20"/>
          <w:shd w:val="clear" w:color="auto" w:fill="FFFFFF"/>
        </w:rPr>
        <w:t>Centre for Heart Lung Innovation (Tan, Sin), University of British Columbia; St. Paul's Hospital Vancouver, Canada</w:t>
      </w:r>
    </w:p>
    <w:p w14:paraId="77060F01" w14:textId="3CAB02A3" w:rsidR="00EF50C8" w:rsidRPr="00C568A3" w:rsidRDefault="007268E6" w:rsidP="007268E6">
      <w:pPr>
        <w:pStyle w:val="ListParagraph"/>
        <w:numPr>
          <w:ilvl w:val="0"/>
          <w:numId w:val="5"/>
        </w:numPr>
        <w:spacing w:line="360" w:lineRule="auto"/>
        <w:ind w:left="426" w:hanging="426"/>
        <w:rPr>
          <w:sz w:val="20"/>
          <w:szCs w:val="20"/>
          <w:vertAlign w:val="superscript"/>
          <w:lang w:val="en-GB"/>
        </w:rPr>
      </w:pPr>
      <w:r w:rsidRPr="00C568A3">
        <w:rPr>
          <w:sz w:val="20"/>
          <w:szCs w:val="20"/>
          <w:lang w:val="en-GB"/>
        </w:rPr>
        <w:t xml:space="preserve"> </w:t>
      </w:r>
      <w:r w:rsidR="00EF50C8" w:rsidRPr="00C568A3">
        <w:rPr>
          <w:sz w:val="20"/>
          <w:szCs w:val="20"/>
          <w:lang w:val="en-GB"/>
        </w:rPr>
        <w:t>Department of Occupational and Environmental Medicine, University of Gothenburg , Gothenburg, Sweden</w:t>
      </w:r>
    </w:p>
    <w:p w14:paraId="7ADAEC0C" w14:textId="77777777" w:rsidR="008058F0" w:rsidRPr="00452721" w:rsidRDefault="008058F0" w:rsidP="00B5730F">
      <w:pPr>
        <w:spacing w:line="360" w:lineRule="auto"/>
        <w:rPr>
          <w:sz w:val="24"/>
          <w:szCs w:val="24"/>
          <w:lang w:val="en-GB"/>
        </w:rPr>
      </w:pPr>
    </w:p>
    <w:p w14:paraId="51A22C48" w14:textId="77777777" w:rsidR="005027DA" w:rsidRDefault="005027DA">
      <w:pPr>
        <w:spacing w:after="200" w:line="276" w:lineRule="auto"/>
        <w:rPr>
          <w:b/>
          <w:sz w:val="24"/>
          <w:szCs w:val="24"/>
          <w:lang w:val="en-GB"/>
        </w:rPr>
      </w:pPr>
      <w:r>
        <w:rPr>
          <w:b/>
          <w:sz w:val="24"/>
          <w:szCs w:val="24"/>
          <w:lang w:val="en-GB"/>
        </w:rPr>
        <w:br w:type="page"/>
      </w:r>
    </w:p>
    <w:p w14:paraId="6B4C8D20" w14:textId="77777777" w:rsidR="000C0A70" w:rsidRDefault="000C0A70" w:rsidP="00382E60">
      <w:pPr>
        <w:spacing w:line="360" w:lineRule="auto"/>
        <w:rPr>
          <w:b/>
          <w:sz w:val="24"/>
          <w:szCs w:val="24"/>
          <w:lang w:val="en-GB"/>
        </w:rPr>
      </w:pPr>
      <w:r>
        <w:rPr>
          <w:b/>
          <w:sz w:val="24"/>
          <w:szCs w:val="24"/>
          <w:lang w:val="en-GB"/>
        </w:rPr>
        <w:lastRenderedPageBreak/>
        <w:t>Abstract</w:t>
      </w:r>
    </w:p>
    <w:p w14:paraId="26F81F70" w14:textId="52FADED8" w:rsidR="000A06E4" w:rsidRPr="000E599A" w:rsidRDefault="0045051A" w:rsidP="00C101DB">
      <w:pPr>
        <w:spacing w:line="360" w:lineRule="auto"/>
        <w:rPr>
          <w:i/>
          <w:sz w:val="24"/>
          <w:szCs w:val="24"/>
          <w:lang w:val="en-GB"/>
        </w:rPr>
      </w:pPr>
      <w:r>
        <w:rPr>
          <w:sz w:val="24"/>
          <w:szCs w:val="24"/>
          <w:lang w:val="en-GB"/>
        </w:rPr>
        <w:t>B</w:t>
      </w:r>
      <w:r w:rsidRPr="0045051A">
        <w:rPr>
          <w:sz w:val="24"/>
          <w:szCs w:val="24"/>
          <w:lang w:val="en-GB"/>
        </w:rPr>
        <w:t xml:space="preserve">ronchodilator response (BDR) testing is used as </w:t>
      </w:r>
      <w:r>
        <w:rPr>
          <w:sz w:val="24"/>
          <w:szCs w:val="24"/>
          <w:lang w:val="en-GB"/>
        </w:rPr>
        <w:t xml:space="preserve">a diagnostic method in obstructive airway diseases. </w:t>
      </w:r>
      <w:r w:rsidR="00C101DB">
        <w:rPr>
          <w:sz w:val="24"/>
          <w:szCs w:val="24"/>
          <w:lang w:val="en-GB"/>
        </w:rPr>
        <w:t xml:space="preserve">The aim of this investigation was </w:t>
      </w:r>
      <w:r w:rsidR="00C101DB">
        <w:rPr>
          <w:b/>
          <w:sz w:val="24"/>
          <w:szCs w:val="24"/>
          <w:lang w:val="en-GB"/>
        </w:rPr>
        <w:t>t</w:t>
      </w:r>
      <w:r w:rsidR="000A06E4" w:rsidRPr="005766E3">
        <w:rPr>
          <w:sz w:val="24"/>
          <w:szCs w:val="24"/>
          <w:lang w:val="en-GB"/>
        </w:rPr>
        <w:t xml:space="preserve">o compare different methods for measuring </w:t>
      </w:r>
      <w:r w:rsidR="009E1D01">
        <w:rPr>
          <w:sz w:val="24"/>
          <w:szCs w:val="24"/>
          <w:lang w:val="en-GB"/>
        </w:rPr>
        <w:t xml:space="preserve">BDR </w:t>
      </w:r>
      <w:r w:rsidR="000A06E4" w:rsidRPr="005766E3">
        <w:rPr>
          <w:sz w:val="24"/>
          <w:szCs w:val="24"/>
          <w:lang w:val="en-GB"/>
        </w:rPr>
        <w:t>in participants with asthma and COPD</w:t>
      </w:r>
      <w:r w:rsidR="00DC2453">
        <w:rPr>
          <w:sz w:val="24"/>
          <w:szCs w:val="24"/>
          <w:lang w:val="en-GB"/>
        </w:rPr>
        <w:t xml:space="preserve"> </w:t>
      </w:r>
      <w:r w:rsidR="000A06E4">
        <w:rPr>
          <w:sz w:val="24"/>
          <w:szCs w:val="24"/>
          <w:lang w:val="en-GB"/>
        </w:rPr>
        <w:t>and to</w:t>
      </w:r>
      <w:r w:rsidR="000A06E4" w:rsidRPr="005766E3">
        <w:rPr>
          <w:sz w:val="24"/>
          <w:szCs w:val="24"/>
          <w:lang w:val="en-GB"/>
        </w:rPr>
        <w:t xml:space="preserve"> study to </w:t>
      </w:r>
      <w:r w:rsidR="0044763A">
        <w:rPr>
          <w:sz w:val="24"/>
          <w:szCs w:val="24"/>
          <w:lang w:val="en-GB"/>
        </w:rPr>
        <w:t xml:space="preserve">the </w:t>
      </w:r>
      <w:r w:rsidR="000A06E4" w:rsidRPr="005766E3">
        <w:rPr>
          <w:sz w:val="24"/>
          <w:szCs w:val="24"/>
          <w:lang w:val="en-GB"/>
        </w:rPr>
        <w:t>extent</w:t>
      </w:r>
      <w:r w:rsidR="0044763A">
        <w:rPr>
          <w:sz w:val="24"/>
          <w:szCs w:val="24"/>
          <w:lang w:val="en-GB"/>
        </w:rPr>
        <w:t xml:space="preserve"> to which </w:t>
      </w:r>
      <w:r>
        <w:rPr>
          <w:sz w:val="24"/>
          <w:szCs w:val="24"/>
          <w:lang w:val="en-GB"/>
        </w:rPr>
        <w:t>BDR</w:t>
      </w:r>
      <w:r w:rsidR="000A06E4" w:rsidRPr="005766E3">
        <w:rPr>
          <w:sz w:val="24"/>
          <w:szCs w:val="24"/>
          <w:lang w:val="en-GB"/>
        </w:rPr>
        <w:t xml:space="preserve"> </w:t>
      </w:r>
      <w:r w:rsidR="00D557EC">
        <w:rPr>
          <w:sz w:val="24"/>
          <w:szCs w:val="24"/>
          <w:lang w:val="en-GB"/>
        </w:rPr>
        <w:t>was</w:t>
      </w:r>
      <w:r w:rsidR="000A06E4" w:rsidRPr="005766E3">
        <w:rPr>
          <w:sz w:val="24"/>
          <w:szCs w:val="24"/>
          <w:lang w:val="en-GB"/>
        </w:rPr>
        <w:t xml:space="preserve"> related to symptom burden and phenotypic characteristics.</w:t>
      </w:r>
    </w:p>
    <w:p w14:paraId="6EC8A476" w14:textId="77777777" w:rsidR="00C101DB" w:rsidRDefault="00C101DB" w:rsidP="008461B9">
      <w:pPr>
        <w:spacing w:line="360" w:lineRule="auto"/>
        <w:rPr>
          <w:rFonts w:eastAsia="ScalaLancetPro"/>
          <w:sz w:val="24"/>
          <w:szCs w:val="24"/>
          <w:lang w:val="en-GB"/>
        </w:rPr>
      </w:pPr>
    </w:p>
    <w:p w14:paraId="2F5A326B" w14:textId="50949298" w:rsidR="002904BF" w:rsidRDefault="008461B9" w:rsidP="008461B9">
      <w:pPr>
        <w:spacing w:line="360" w:lineRule="auto"/>
        <w:rPr>
          <w:sz w:val="24"/>
          <w:szCs w:val="24"/>
          <w:lang w:val="en-GB"/>
        </w:rPr>
      </w:pPr>
      <w:r>
        <w:rPr>
          <w:rFonts w:eastAsia="ScalaLancetPro"/>
          <w:sz w:val="24"/>
          <w:szCs w:val="24"/>
          <w:lang w:val="en-GB"/>
        </w:rPr>
        <w:t>Forced expiratory volume in one second (FEV1) and forced vital capacity (FVC)</w:t>
      </w:r>
      <w:r w:rsidR="00543E15" w:rsidRPr="005766E3">
        <w:rPr>
          <w:rFonts w:eastAsia="ScalaLancetPro"/>
          <w:sz w:val="24"/>
          <w:szCs w:val="24"/>
          <w:lang w:val="en-GB"/>
        </w:rPr>
        <w:t xml:space="preserve"> was measured before and 15 min after 200 μg of salbutamol</w:t>
      </w:r>
      <w:r w:rsidR="00543E15">
        <w:rPr>
          <w:rFonts w:eastAsia="ScalaLancetPro"/>
          <w:sz w:val="24"/>
          <w:szCs w:val="24"/>
          <w:lang w:val="en-GB"/>
        </w:rPr>
        <w:t xml:space="preserve"> </w:t>
      </w:r>
      <w:r w:rsidR="00BE476B">
        <w:rPr>
          <w:rFonts w:eastAsia="ScalaLancetPro"/>
          <w:sz w:val="24"/>
          <w:szCs w:val="24"/>
          <w:lang w:val="en-GB"/>
        </w:rPr>
        <w:t xml:space="preserve">in </w:t>
      </w:r>
      <w:r w:rsidR="00543E15" w:rsidRPr="005766E3">
        <w:rPr>
          <w:sz w:val="24"/>
          <w:szCs w:val="24"/>
          <w:lang w:val="en-GB"/>
        </w:rPr>
        <w:t>35,628 subjects age</w:t>
      </w:r>
      <w:r w:rsidR="00F33FB9">
        <w:rPr>
          <w:sz w:val="24"/>
          <w:szCs w:val="24"/>
          <w:lang w:val="en-GB"/>
        </w:rPr>
        <w:t>d</w:t>
      </w:r>
      <w:r w:rsidR="00543E15" w:rsidRPr="005766E3">
        <w:rPr>
          <w:sz w:val="24"/>
          <w:szCs w:val="24"/>
          <w:lang w:val="en-GB"/>
        </w:rPr>
        <w:t xml:space="preserve"> 16 years and older from th</w:t>
      </w:r>
      <w:r w:rsidR="00543E15">
        <w:rPr>
          <w:sz w:val="24"/>
          <w:szCs w:val="24"/>
          <w:lang w:val="en-GB"/>
        </w:rPr>
        <w:t>re</w:t>
      </w:r>
      <w:r w:rsidR="00543E15" w:rsidRPr="005766E3">
        <w:rPr>
          <w:sz w:val="24"/>
          <w:szCs w:val="24"/>
          <w:lang w:val="en-GB"/>
        </w:rPr>
        <w:t xml:space="preserve">e </w:t>
      </w:r>
      <w:r w:rsidR="008A5EE3">
        <w:rPr>
          <w:sz w:val="24"/>
          <w:szCs w:val="24"/>
          <w:lang w:val="en-GB"/>
        </w:rPr>
        <w:t xml:space="preserve">large international </w:t>
      </w:r>
      <w:r w:rsidR="00543E15">
        <w:rPr>
          <w:sz w:val="24"/>
          <w:szCs w:val="24"/>
          <w:lang w:val="en-GB"/>
        </w:rPr>
        <w:t>population studies</w:t>
      </w:r>
      <w:r w:rsidR="00543E15" w:rsidRPr="005766E3">
        <w:rPr>
          <w:rFonts w:eastAsia="ScalaLancetPro"/>
          <w:sz w:val="24"/>
          <w:szCs w:val="24"/>
          <w:lang w:val="en-GB"/>
        </w:rPr>
        <w:t>.</w:t>
      </w:r>
      <w:r w:rsidR="00543E15">
        <w:rPr>
          <w:rFonts w:eastAsia="ScalaLancetPro"/>
          <w:sz w:val="24"/>
          <w:szCs w:val="24"/>
          <w:lang w:val="en-GB"/>
        </w:rPr>
        <w:t xml:space="preserve"> The subjects were categorised in three groups: current asthma</w:t>
      </w:r>
      <w:r w:rsidR="004A6659">
        <w:rPr>
          <w:rFonts w:eastAsia="ScalaLancetPro"/>
          <w:sz w:val="24"/>
          <w:szCs w:val="24"/>
          <w:lang w:val="en-GB"/>
        </w:rPr>
        <w:t xml:space="preserve"> (n=2833)</w:t>
      </w:r>
      <w:r w:rsidR="00543E15">
        <w:rPr>
          <w:rFonts w:eastAsia="ScalaLancetPro"/>
          <w:sz w:val="24"/>
          <w:szCs w:val="24"/>
          <w:lang w:val="en-GB"/>
        </w:rPr>
        <w:t>, COPD</w:t>
      </w:r>
      <w:r w:rsidR="004A6659">
        <w:rPr>
          <w:rFonts w:eastAsia="ScalaLancetPro"/>
          <w:sz w:val="24"/>
          <w:szCs w:val="24"/>
          <w:lang w:val="en-GB"/>
        </w:rPr>
        <w:t xml:space="preserve"> (n=1146)</w:t>
      </w:r>
      <w:r w:rsidR="00496F72">
        <w:rPr>
          <w:rFonts w:eastAsia="ScalaLancetPro"/>
          <w:sz w:val="24"/>
          <w:szCs w:val="24"/>
          <w:lang w:val="en-GB"/>
        </w:rPr>
        <w:t>,</w:t>
      </w:r>
      <w:r w:rsidR="00543E15">
        <w:rPr>
          <w:rFonts w:eastAsia="ScalaLancetPro"/>
          <w:sz w:val="24"/>
          <w:szCs w:val="24"/>
          <w:lang w:val="en-GB"/>
        </w:rPr>
        <w:t xml:space="preserve"> and no airway disease</w:t>
      </w:r>
      <w:r w:rsidR="004A6659">
        <w:rPr>
          <w:rFonts w:eastAsia="ScalaLancetPro"/>
          <w:sz w:val="24"/>
          <w:szCs w:val="24"/>
          <w:lang w:val="en-GB"/>
        </w:rPr>
        <w:t xml:space="preserve"> (n=31,649)</w:t>
      </w:r>
      <w:r w:rsidR="00543E15">
        <w:rPr>
          <w:rFonts w:eastAsia="ScalaLancetPro"/>
          <w:sz w:val="24"/>
          <w:szCs w:val="24"/>
          <w:lang w:val="en-GB"/>
        </w:rPr>
        <w:t xml:space="preserve">. </w:t>
      </w:r>
      <w:r w:rsidR="00D557EC">
        <w:rPr>
          <w:rFonts w:eastAsia="ScalaLancetPro"/>
          <w:sz w:val="24"/>
          <w:szCs w:val="24"/>
          <w:lang w:val="en-GB"/>
        </w:rPr>
        <w:t>T</w:t>
      </w:r>
      <w:r w:rsidR="00543E15">
        <w:rPr>
          <w:sz w:val="24"/>
          <w:szCs w:val="24"/>
          <w:lang w:val="en-GB"/>
        </w:rPr>
        <w:t xml:space="preserve">hree </w:t>
      </w:r>
      <w:r w:rsidR="00D557EC">
        <w:rPr>
          <w:sz w:val="24"/>
          <w:szCs w:val="24"/>
          <w:lang w:val="en-GB"/>
        </w:rPr>
        <w:t xml:space="preserve">definitions </w:t>
      </w:r>
      <w:r w:rsidR="00543E15">
        <w:rPr>
          <w:sz w:val="24"/>
          <w:szCs w:val="24"/>
          <w:lang w:val="en-GB"/>
        </w:rPr>
        <w:t>for flow related</w:t>
      </w:r>
      <w:r w:rsidR="00543E15" w:rsidRPr="005766E3">
        <w:rPr>
          <w:sz w:val="24"/>
          <w:szCs w:val="24"/>
          <w:lang w:val="en-GB"/>
        </w:rPr>
        <w:t xml:space="preserve"> </w:t>
      </w:r>
      <w:r>
        <w:rPr>
          <w:sz w:val="24"/>
          <w:szCs w:val="24"/>
          <w:lang w:val="en-GB"/>
        </w:rPr>
        <w:t>(increase in FEV1) and three for volume related (increase in FVC)</w:t>
      </w:r>
      <w:r w:rsidR="00D557EC">
        <w:rPr>
          <w:sz w:val="24"/>
          <w:szCs w:val="24"/>
          <w:lang w:val="en-GB"/>
        </w:rPr>
        <w:t xml:space="preserve"> were used</w:t>
      </w:r>
      <w:r w:rsidR="004616D7">
        <w:rPr>
          <w:sz w:val="24"/>
          <w:szCs w:val="24"/>
          <w:lang w:val="en-GB"/>
        </w:rPr>
        <w:t>.</w:t>
      </w:r>
      <w:r>
        <w:rPr>
          <w:sz w:val="24"/>
          <w:szCs w:val="24"/>
          <w:lang w:val="en-GB"/>
        </w:rPr>
        <w:t xml:space="preserve"> </w:t>
      </w:r>
    </w:p>
    <w:p w14:paraId="42916D0E" w14:textId="77777777" w:rsidR="00C101DB" w:rsidRDefault="00C101DB" w:rsidP="002121FA">
      <w:pPr>
        <w:tabs>
          <w:tab w:val="left" w:pos="426"/>
        </w:tabs>
        <w:spacing w:line="360" w:lineRule="auto"/>
        <w:rPr>
          <w:sz w:val="24"/>
          <w:szCs w:val="24"/>
          <w:lang w:val="en-GB"/>
        </w:rPr>
      </w:pPr>
    </w:p>
    <w:p w14:paraId="75AE28A0" w14:textId="78DFF39B" w:rsidR="002121FA" w:rsidRPr="002121FA" w:rsidRDefault="008461B9" w:rsidP="002121FA">
      <w:pPr>
        <w:tabs>
          <w:tab w:val="left" w:pos="426"/>
        </w:tabs>
        <w:spacing w:line="360" w:lineRule="auto"/>
        <w:rPr>
          <w:sz w:val="24"/>
          <w:szCs w:val="24"/>
          <w:lang w:val="en-GB"/>
        </w:rPr>
      </w:pPr>
      <w:r>
        <w:rPr>
          <w:sz w:val="24"/>
          <w:szCs w:val="24"/>
          <w:lang w:val="en-GB"/>
        </w:rPr>
        <w:t xml:space="preserve">The prevalence of </w:t>
      </w:r>
      <w:r w:rsidR="009E1D01">
        <w:rPr>
          <w:sz w:val="24"/>
          <w:szCs w:val="24"/>
          <w:lang w:val="en-GB"/>
        </w:rPr>
        <w:t>bronchodilator reversibility</w:t>
      </w:r>
      <w:r>
        <w:rPr>
          <w:sz w:val="24"/>
          <w:szCs w:val="24"/>
          <w:lang w:val="en-GB"/>
        </w:rPr>
        <w:t xml:space="preserve"> expressed as </w:t>
      </w:r>
      <w:r w:rsidRPr="005766E3">
        <w:rPr>
          <w:sz w:val="24"/>
          <w:szCs w:val="24"/>
          <w:lang w:val="en-GB"/>
        </w:rPr>
        <w:t xml:space="preserve">increase FEV1 </w:t>
      </w:r>
      <w:r>
        <w:rPr>
          <w:i/>
          <w:sz w:val="24"/>
          <w:szCs w:val="24"/>
          <w:lang w:val="en-GB"/>
        </w:rPr>
        <w:t xml:space="preserve">≥ </w:t>
      </w:r>
      <w:r w:rsidRPr="005766E3">
        <w:rPr>
          <w:sz w:val="24"/>
          <w:szCs w:val="24"/>
          <w:lang w:val="en-GB"/>
        </w:rPr>
        <w:t xml:space="preserve">12% and 200 mL </w:t>
      </w:r>
      <w:r>
        <w:rPr>
          <w:sz w:val="24"/>
          <w:szCs w:val="24"/>
          <w:lang w:val="en-GB"/>
        </w:rPr>
        <w:t xml:space="preserve">was </w:t>
      </w:r>
      <w:r w:rsidRPr="005766E3">
        <w:rPr>
          <w:sz w:val="24"/>
          <w:szCs w:val="24"/>
          <w:lang w:val="en-GB"/>
        </w:rPr>
        <w:t>17</w:t>
      </w:r>
      <w:r>
        <w:rPr>
          <w:sz w:val="24"/>
          <w:szCs w:val="24"/>
          <w:lang w:val="en-GB"/>
        </w:rPr>
        <w:t>.3</w:t>
      </w:r>
      <w:r w:rsidRPr="005766E3">
        <w:rPr>
          <w:sz w:val="24"/>
          <w:szCs w:val="24"/>
          <w:lang w:val="en-GB"/>
        </w:rPr>
        <w:t>% and 18</w:t>
      </w:r>
      <w:r>
        <w:rPr>
          <w:sz w:val="24"/>
          <w:szCs w:val="24"/>
          <w:lang w:val="en-GB"/>
        </w:rPr>
        <w:t>.4</w:t>
      </w:r>
      <w:r w:rsidRPr="005766E3">
        <w:rPr>
          <w:sz w:val="24"/>
          <w:szCs w:val="24"/>
          <w:lang w:val="en-GB"/>
        </w:rPr>
        <w:t xml:space="preserve">% </w:t>
      </w:r>
      <w:r>
        <w:rPr>
          <w:sz w:val="24"/>
          <w:szCs w:val="24"/>
          <w:lang w:val="en-GB"/>
        </w:rPr>
        <w:t xml:space="preserve">in </w:t>
      </w:r>
      <w:r w:rsidR="00367B69">
        <w:rPr>
          <w:sz w:val="24"/>
          <w:szCs w:val="24"/>
          <w:lang w:val="en-GB"/>
        </w:rPr>
        <w:t>p</w:t>
      </w:r>
      <w:r w:rsidR="00606032">
        <w:rPr>
          <w:sz w:val="24"/>
          <w:szCs w:val="24"/>
          <w:lang w:val="en-GB"/>
        </w:rPr>
        <w:t>articipants</w:t>
      </w:r>
      <w:r w:rsidR="00367B69">
        <w:rPr>
          <w:sz w:val="24"/>
          <w:szCs w:val="24"/>
          <w:lang w:val="en-GB"/>
        </w:rPr>
        <w:t xml:space="preserve"> </w:t>
      </w:r>
      <w:r>
        <w:rPr>
          <w:sz w:val="24"/>
          <w:szCs w:val="24"/>
          <w:lang w:val="en-GB"/>
        </w:rPr>
        <w:t xml:space="preserve">with asthma and COPD, respectively, while the corresponding prevalence was 5.1% in </w:t>
      </w:r>
      <w:r w:rsidR="00367B69">
        <w:rPr>
          <w:sz w:val="24"/>
          <w:szCs w:val="24"/>
          <w:lang w:val="en-GB"/>
        </w:rPr>
        <w:t>those with no airway disease</w:t>
      </w:r>
      <w:r>
        <w:rPr>
          <w:sz w:val="24"/>
          <w:szCs w:val="24"/>
          <w:lang w:val="en-GB"/>
        </w:rPr>
        <w:t xml:space="preserve">. </w:t>
      </w:r>
      <w:r w:rsidR="002121FA">
        <w:rPr>
          <w:sz w:val="24"/>
          <w:szCs w:val="24"/>
          <w:lang w:val="en-GB"/>
        </w:rPr>
        <w:t xml:space="preserve">In asthma, </w:t>
      </w:r>
      <w:r w:rsidR="009E1D01">
        <w:rPr>
          <w:sz w:val="24"/>
          <w:szCs w:val="24"/>
          <w:lang w:val="en-GB"/>
        </w:rPr>
        <w:t>bronchodilator reversibility</w:t>
      </w:r>
      <w:r w:rsidR="002121FA" w:rsidRPr="002121FA">
        <w:rPr>
          <w:sz w:val="24"/>
          <w:szCs w:val="24"/>
          <w:lang w:val="en-GB"/>
        </w:rPr>
        <w:t xml:space="preserve"> was associated with wheeze (OR (95% CI):</w:t>
      </w:r>
      <w:r w:rsidR="002121FA" w:rsidRPr="0094712D">
        <w:rPr>
          <w:lang w:val="en-GB"/>
        </w:rPr>
        <w:t xml:space="preserve"> 1.36 (1.04-1.79))</w:t>
      </w:r>
      <w:r w:rsidR="002121FA" w:rsidRPr="002121FA">
        <w:rPr>
          <w:sz w:val="24"/>
          <w:szCs w:val="24"/>
          <w:lang w:val="en-GB"/>
        </w:rPr>
        <w:t xml:space="preserve">, </w:t>
      </w:r>
      <w:r w:rsidR="00DC2453">
        <w:rPr>
          <w:sz w:val="24"/>
          <w:szCs w:val="24"/>
          <w:lang w:val="en-GB"/>
        </w:rPr>
        <w:t>atopy</w:t>
      </w:r>
      <w:r w:rsidR="002121FA" w:rsidRPr="002121FA">
        <w:rPr>
          <w:sz w:val="24"/>
          <w:szCs w:val="24"/>
          <w:lang w:val="en-GB"/>
        </w:rPr>
        <w:t xml:space="preserve"> (OR </w:t>
      </w:r>
      <w:r w:rsidR="002121FA" w:rsidRPr="0094712D">
        <w:rPr>
          <w:lang w:val="en-GB"/>
        </w:rPr>
        <w:t xml:space="preserve">1.36 (1.04-1.79)) </w:t>
      </w:r>
      <w:r w:rsidR="002121FA" w:rsidRPr="002121FA">
        <w:rPr>
          <w:sz w:val="24"/>
          <w:szCs w:val="24"/>
          <w:lang w:val="en-GB"/>
        </w:rPr>
        <w:t xml:space="preserve">and higher FeNO while in COPD neither flow nor volume related </w:t>
      </w:r>
      <w:r w:rsidR="009E1D01">
        <w:rPr>
          <w:sz w:val="24"/>
          <w:szCs w:val="24"/>
          <w:lang w:val="en-GB"/>
        </w:rPr>
        <w:t>bronchodilator reversibility</w:t>
      </w:r>
      <w:r w:rsidR="002121FA" w:rsidRPr="002121FA">
        <w:rPr>
          <w:sz w:val="24"/>
          <w:szCs w:val="24"/>
          <w:lang w:val="en-GB"/>
        </w:rPr>
        <w:t xml:space="preserve"> was associated with symptom burden, exacerbations or health status after adjusting for prebronchodilator FEV1.</w:t>
      </w:r>
    </w:p>
    <w:p w14:paraId="07282090" w14:textId="77777777" w:rsidR="00C101DB" w:rsidRDefault="00C101DB" w:rsidP="00D557EC">
      <w:pPr>
        <w:tabs>
          <w:tab w:val="left" w:pos="426"/>
        </w:tabs>
        <w:spacing w:line="360" w:lineRule="auto"/>
        <w:rPr>
          <w:b/>
          <w:sz w:val="24"/>
          <w:szCs w:val="24"/>
          <w:lang w:val="en-GB"/>
        </w:rPr>
      </w:pPr>
    </w:p>
    <w:p w14:paraId="67DD017F" w14:textId="167AFC27" w:rsidR="002121FA" w:rsidRPr="000E599A" w:rsidRDefault="00E27074" w:rsidP="00D557EC">
      <w:pPr>
        <w:tabs>
          <w:tab w:val="left" w:pos="426"/>
        </w:tabs>
        <w:spacing w:line="360" w:lineRule="auto"/>
        <w:rPr>
          <w:i/>
          <w:sz w:val="24"/>
          <w:szCs w:val="24"/>
          <w:lang w:val="en-GB"/>
        </w:rPr>
      </w:pPr>
      <w:r>
        <w:rPr>
          <w:sz w:val="24"/>
          <w:szCs w:val="24"/>
          <w:lang w:val="en-GB"/>
        </w:rPr>
        <w:t>B</w:t>
      </w:r>
      <w:r w:rsidR="002904BF" w:rsidRPr="005766E3">
        <w:rPr>
          <w:sz w:val="24"/>
          <w:szCs w:val="24"/>
          <w:lang w:val="en-GB"/>
        </w:rPr>
        <w:t xml:space="preserve">ronchodilator reversibility was at least as common in participants with COPD as those with asthma. This indicates that </w:t>
      </w:r>
      <w:r w:rsidR="0044763A">
        <w:rPr>
          <w:sz w:val="24"/>
          <w:szCs w:val="24"/>
          <w:lang w:val="en-GB"/>
        </w:rPr>
        <w:t>measures of reversibility are of</w:t>
      </w:r>
      <w:r w:rsidR="002904BF" w:rsidRPr="005766E3">
        <w:rPr>
          <w:sz w:val="24"/>
          <w:szCs w:val="24"/>
          <w:lang w:val="en-GB"/>
        </w:rPr>
        <w:t xml:space="preserve"> </w:t>
      </w:r>
      <w:r w:rsidR="00386E89">
        <w:rPr>
          <w:sz w:val="24"/>
          <w:szCs w:val="24"/>
          <w:lang w:val="en-GB"/>
        </w:rPr>
        <w:t>limited</w:t>
      </w:r>
      <w:r w:rsidR="002904BF" w:rsidRPr="005766E3">
        <w:rPr>
          <w:sz w:val="24"/>
          <w:szCs w:val="24"/>
          <w:lang w:val="en-GB"/>
        </w:rPr>
        <w:t xml:space="preserve"> value </w:t>
      </w:r>
      <w:r w:rsidR="00386E89">
        <w:rPr>
          <w:sz w:val="24"/>
          <w:szCs w:val="24"/>
          <w:lang w:val="en-GB"/>
        </w:rPr>
        <w:t>for</w:t>
      </w:r>
      <w:r w:rsidR="002904BF" w:rsidRPr="005766E3">
        <w:rPr>
          <w:sz w:val="24"/>
          <w:szCs w:val="24"/>
          <w:lang w:val="en-GB"/>
        </w:rPr>
        <w:t xml:space="preserve"> </w:t>
      </w:r>
      <w:r w:rsidR="002904BF" w:rsidRPr="002121FA">
        <w:rPr>
          <w:sz w:val="24"/>
          <w:szCs w:val="24"/>
          <w:lang w:val="en-GB"/>
        </w:rPr>
        <w:t>distinguishing asthma from COPD</w:t>
      </w:r>
      <w:r w:rsidR="00EF5823">
        <w:rPr>
          <w:sz w:val="24"/>
          <w:szCs w:val="24"/>
          <w:lang w:val="en-GB"/>
        </w:rPr>
        <w:t xml:space="preserve"> in po</w:t>
      </w:r>
      <w:r w:rsidR="00547D0B">
        <w:rPr>
          <w:sz w:val="24"/>
          <w:szCs w:val="24"/>
          <w:lang w:val="en-GB"/>
        </w:rPr>
        <w:t>pulation</w:t>
      </w:r>
      <w:r w:rsidR="00EF5823">
        <w:rPr>
          <w:sz w:val="24"/>
          <w:szCs w:val="24"/>
          <w:lang w:val="en-GB"/>
        </w:rPr>
        <w:t xml:space="preserve"> studies</w:t>
      </w:r>
      <w:r w:rsidR="002904BF" w:rsidRPr="002121FA">
        <w:rPr>
          <w:sz w:val="24"/>
          <w:szCs w:val="24"/>
          <w:lang w:val="en-GB"/>
        </w:rPr>
        <w:t xml:space="preserve">. </w:t>
      </w:r>
      <w:r w:rsidR="00C60CFA" w:rsidRPr="005766E3">
        <w:rPr>
          <w:sz w:val="24"/>
          <w:szCs w:val="24"/>
          <w:lang w:val="en-GB"/>
        </w:rPr>
        <w:t xml:space="preserve">In asthma, however, </w:t>
      </w:r>
      <w:r w:rsidR="009E1D01">
        <w:rPr>
          <w:sz w:val="24"/>
          <w:szCs w:val="24"/>
          <w:lang w:val="en-GB"/>
        </w:rPr>
        <w:t>bronchodilator reversibility</w:t>
      </w:r>
      <w:r w:rsidR="00C60CFA" w:rsidRPr="005766E3">
        <w:rPr>
          <w:sz w:val="24"/>
          <w:szCs w:val="24"/>
          <w:lang w:val="en-GB"/>
        </w:rPr>
        <w:t xml:space="preserve"> may be </w:t>
      </w:r>
      <w:r w:rsidR="00386E89">
        <w:rPr>
          <w:sz w:val="24"/>
          <w:szCs w:val="24"/>
          <w:lang w:val="en-GB"/>
        </w:rPr>
        <w:t>a</w:t>
      </w:r>
      <w:r w:rsidR="00C60CFA" w:rsidRPr="005766E3">
        <w:rPr>
          <w:sz w:val="24"/>
          <w:szCs w:val="24"/>
          <w:lang w:val="en-GB"/>
        </w:rPr>
        <w:t xml:space="preserve"> </w:t>
      </w:r>
      <w:r w:rsidR="00C60CFA" w:rsidRPr="00D557EC">
        <w:rPr>
          <w:sz w:val="24"/>
          <w:szCs w:val="24"/>
          <w:lang w:val="en-GB"/>
        </w:rPr>
        <w:t>phenotypic marker.</w:t>
      </w:r>
    </w:p>
    <w:p w14:paraId="0E91A2C1" w14:textId="77777777" w:rsidR="006B0563" w:rsidRDefault="006B0563" w:rsidP="00D557EC">
      <w:pPr>
        <w:spacing w:line="360" w:lineRule="auto"/>
        <w:rPr>
          <w:i/>
          <w:sz w:val="24"/>
          <w:szCs w:val="24"/>
          <w:lang w:val="en-GB"/>
        </w:rPr>
      </w:pPr>
    </w:p>
    <w:p w14:paraId="536F1247" w14:textId="78DFB37A" w:rsidR="000C0A70" w:rsidRDefault="000C0A70">
      <w:pPr>
        <w:spacing w:after="200" w:line="276" w:lineRule="auto"/>
        <w:rPr>
          <w:sz w:val="24"/>
          <w:szCs w:val="24"/>
          <w:lang w:val="en-GB"/>
        </w:rPr>
      </w:pPr>
      <w:r>
        <w:rPr>
          <w:sz w:val="24"/>
          <w:szCs w:val="24"/>
          <w:lang w:val="en-GB"/>
        </w:rPr>
        <w:br w:type="page"/>
      </w:r>
    </w:p>
    <w:p w14:paraId="600004B6" w14:textId="5ABE931B" w:rsidR="00FD669F" w:rsidRPr="005766E3" w:rsidRDefault="00467904" w:rsidP="00382E60">
      <w:pPr>
        <w:spacing w:line="360" w:lineRule="auto"/>
        <w:rPr>
          <w:b/>
          <w:sz w:val="24"/>
          <w:szCs w:val="24"/>
          <w:lang w:val="en-GB"/>
        </w:rPr>
      </w:pPr>
      <w:r w:rsidRPr="005766E3">
        <w:rPr>
          <w:b/>
          <w:sz w:val="24"/>
          <w:szCs w:val="24"/>
          <w:lang w:val="en-GB"/>
        </w:rPr>
        <w:lastRenderedPageBreak/>
        <w:t>Introduction</w:t>
      </w:r>
    </w:p>
    <w:p w14:paraId="309CA2AB" w14:textId="0F2F2013" w:rsidR="00EC1359" w:rsidRPr="005766E3" w:rsidRDefault="00106CCE" w:rsidP="00EC1359">
      <w:pPr>
        <w:spacing w:line="360" w:lineRule="auto"/>
        <w:rPr>
          <w:sz w:val="24"/>
          <w:szCs w:val="24"/>
          <w:lang w:val="en-GB"/>
        </w:rPr>
      </w:pPr>
      <w:r>
        <w:rPr>
          <w:sz w:val="24"/>
          <w:szCs w:val="24"/>
          <w:lang w:val="en-GB"/>
        </w:rPr>
        <w:t>Performing</w:t>
      </w:r>
      <w:r w:rsidR="00C62885" w:rsidRPr="005766E3">
        <w:rPr>
          <w:sz w:val="24"/>
          <w:szCs w:val="24"/>
          <w:lang w:val="en-GB"/>
        </w:rPr>
        <w:t xml:space="preserve"> s</w:t>
      </w:r>
      <w:r w:rsidR="00070023" w:rsidRPr="005766E3">
        <w:rPr>
          <w:sz w:val="24"/>
          <w:szCs w:val="24"/>
          <w:lang w:val="en-GB"/>
        </w:rPr>
        <w:t>pirometry before and after inhala</w:t>
      </w:r>
      <w:r w:rsidR="00A74EA9" w:rsidRPr="005766E3">
        <w:rPr>
          <w:sz w:val="24"/>
          <w:szCs w:val="24"/>
          <w:lang w:val="en-GB"/>
        </w:rPr>
        <w:t xml:space="preserve">tion </w:t>
      </w:r>
      <w:r w:rsidR="00041FC6" w:rsidRPr="005766E3">
        <w:rPr>
          <w:sz w:val="24"/>
          <w:szCs w:val="24"/>
          <w:lang w:val="en-GB"/>
        </w:rPr>
        <w:t>of</w:t>
      </w:r>
      <w:r w:rsidR="00A74EA9" w:rsidRPr="005766E3">
        <w:rPr>
          <w:sz w:val="24"/>
          <w:szCs w:val="24"/>
          <w:lang w:val="en-GB"/>
        </w:rPr>
        <w:t xml:space="preserve"> </w:t>
      </w:r>
      <w:r w:rsidR="00C62885" w:rsidRPr="005766E3">
        <w:rPr>
          <w:sz w:val="24"/>
          <w:szCs w:val="24"/>
          <w:lang w:val="en-GB"/>
        </w:rPr>
        <w:t>bronchodilators</w:t>
      </w:r>
      <w:r w:rsidR="00A74EA9" w:rsidRPr="005766E3">
        <w:rPr>
          <w:sz w:val="24"/>
          <w:szCs w:val="24"/>
          <w:lang w:val="en-GB"/>
        </w:rPr>
        <w:t xml:space="preserve"> </w:t>
      </w:r>
      <w:r w:rsidR="00C62885" w:rsidRPr="005766E3">
        <w:rPr>
          <w:sz w:val="24"/>
          <w:szCs w:val="24"/>
          <w:lang w:val="en-GB"/>
        </w:rPr>
        <w:t>–</w:t>
      </w:r>
      <w:r w:rsidR="00A74EA9" w:rsidRPr="005766E3">
        <w:rPr>
          <w:sz w:val="24"/>
          <w:szCs w:val="24"/>
          <w:lang w:val="en-GB"/>
        </w:rPr>
        <w:t xml:space="preserve"> </w:t>
      </w:r>
      <w:r w:rsidR="00C62885" w:rsidRPr="005766E3">
        <w:rPr>
          <w:sz w:val="24"/>
          <w:szCs w:val="24"/>
          <w:lang w:val="en-GB"/>
        </w:rPr>
        <w:t xml:space="preserve">bronchodilator </w:t>
      </w:r>
      <w:r w:rsidR="002F62DE">
        <w:rPr>
          <w:sz w:val="24"/>
          <w:szCs w:val="24"/>
          <w:lang w:val="en-GB"/>
        </w:rPr>
        <w:t>response</w:t>
      </w:r>
      <w:r w:rsidR="00070023" w:rsidRPr="005766E3">
        <w:rPr>
          <w:sz w:val="24"/>
          <w:szCs w:val="24"/>
          <w:lang w:val="en-GB"/>
        </w:rPr>
        <w:t xml:space="preserve"> </w:t>
      </w:r>
      <w:r w:rsidR="009E1D01">
        <w:rPr>
          <w:sz w:val="24"/>
          <w:szCs w:val="24"/>
          <w:lang w:val="en-GB"/>
        </w:rPr>
        <w:t>(BDR)</w:t>
      </w:r>
      <w:r w:rsidR="00343137">
        <w:rPr>
          <w:sz w:val="24"/>
          <w:szCs w:val="24"/>
          <w:lang w:val="en-GB"/>
        </w:rPr>
        <w:t xml:space="preserve"> testing</w:t>
      </w:r>
      <w:r w:rsidR="009E1D01">
        <w:rPr>
          <w:sz w:val="24"/>
          <w:szCs w:val="24"/>
          <w:lang w:val="en-GB"/>
        </w:rPr>
        <w:t xml:space="preserve"> </w:t>
      </w:r>
      <w:r w:rsidR="00041FC6" w:rsidRPr="005766E3">
        <w:rPr>
          <w:sz w:val="24"/>
          <w:szCs w:val="24"/>
          <w:lang w:val="en-GB"/>
        </w:rPr>
        <w:t>-</w:t>
      </w:r>
      <w:r w:rsidR="00070023" w:rsidRPr="005766E3">
        <w:rPr>
          <w:sz w:val="24"/>
          <w:szCs w:val="24"/>
          <w:lang w:val="en-GB"/>
        </w:rPr>
        <w:t xml:space="preserve"> </w:t>
      </w:r>
      <w:r w:rsidR="00A74EA9" w:rsidRPr="005766E3">
        <w:rPr>
          <w:sz w:val="24"/>
          <w:szCs w:val="24"/>
          <w:lang w:val="en-GB"/>
        </w:rPr>
        <w:t xml:space="preserve">is used as an instrument for </w:t>
      </w:r>
      <w:r w:rsidR="00041FC6" w:rsidRPr="005766E3">
        <w:rPr>
          <w:sz w:val="24"/>
          <w:szCs w:val="24"/>
          <w:lang w:val="en-GB"/>
        </w:rPr>
        <w:t>diagnosing asthma</w:t>
      </w:r>
      <w:r w:rsidR="00C62885" w:rsidRPr="005766E3">
        <w:rPr>
          <w:sz w:val="24"/>
          <w:szCs w:val="24"/>
          <w:lang w:val="en-GB"/>
        </w:rPr>
        <w:t xml:space="preserve">. </w:t>
      </w:r>
      <w:r w:rsidR="00041FC6" w:rsidRPr="005766E3">
        <w:rPr>
          <w:sz w:val="24"/>
          <w:szCs w:val="24"/>
          <w:lang w:val="en-GB"/>
        </w:rPr>
        <w:t xml:space="preserve">In the Global Initiative for Asthma (GINA) report an increase of forced expiratory volume in one second (FEV1) ≥ 12% and 200 </w:t>
      </w:r>
      <w:r w:rsidRPr="00106CCE">
        <w:rPr>
          <w:sz w:val="24"/>
          <w:szCs w:val="24"/>
          <w:lang w:val="en-GB"/>
        </w:rPr>
        <w:t>millilitres</w:t>
      </w:r>
      <w:r>
        <w:rPr>
          <w:sz w:val="24"/>
          <w:szCs w:val="24"/>
          <w:lang w:val="en-GB"/>
        </w:rPr>
        <w:t xml:space="preserve"> (</w:t>
      </w:r>
      <w:r w:rsidR="00041FC6" w:rsidRPr="005766E3">
        <w:rPr>
          <w:sz w:val="24"/>
          <w:szCs w:val="24"/>
          <w:lang w:val="en-GB"/>
        </w:rPr>
        <w:t>mL</w:t>
      </w:r>
      <w:r>
        <w:rPr>
          <w:sz w:val="24"/>
          <w:szCs w:val="24"/>
          <w:lang w:val="en-GB"/>
        </w:rPr>
        <w:t>)</w:t>
      </w:r>
      <w:r w:rsidR="00041FC6" w:rsidRPr="005766E3">
        <w:rPr>
          <w:sz w:val="24"/>
          <w:szCs w:val="24"/>
          <w:lang w:val="en-GB"/>
        </w:rPr>
        <w:t xml:space="preserve"> from baseline </w:t>
      </w:r>
      <w:r w:rsidR="009E0506" w:rsidRPr="005766E3">
        <w:rPr>
          <w:sz w:val="24"/>
          <w:szCs w:val="24"/>
          <w:lang w:val="en-GB"/>
        </w:rPr>
        <w:t xml:space="preserve">after inhalation of a short acting beta-2-agonist </w:t>
      </w:r>
      <w:r w:rsidR="00041FC6" w:rsidRPr="005766E3">
        <w:rPr>
          <w:sz w:val="24"/>
          <w:szCs w:val="24"/>
          <w:lang w:val="en-GB"/>
        </w:rPr>
        <w:t>is one of the recommended diagnostic criteria for asthma</w:t>
      </w:r>
      <w:r w:rsidR="00EA30F3" w:rsidRPr="005766E3">
        <w:rPr>
          <w:sz w:val="24"/>
          <w:szCs w:val="24"/>
          <w:lang w:val="en-GB"/>
        </w:rPr>
        <w:t>.</w:t>
      </w:r>
      <w:r w:rsidR="008461B9">
        <w:rPr>
          <w:noProof/>
          <w:sz w:val="24"/>
          <w:szCs w:val="24"/>
          <w:lang w:val="en-GB"/>
        </w:rPr>
        <w:t>(1)</w:t>
      </w:r>
      <w:r w:rsidR="00A74EA9" w:rsidRPr="005766E3">
        <w:rPr>
          <w:sz w:val="24"/>
          <w:szCs w:val="24"/>
          <w:lang w:val="en-GB"/>
        </w:rPr>
        <w:t xml:space="preserve"> </w:t>
      </w:r>
    </w:p>
    <w:p w14:paraId="479CA9CF" w14:textId="77777777" w:rsidR="00EC1359" w:rsidRPr="005766E3" w:rsidRDefault="00EC1359" w:rsidP="00EC1359">
      <w:pPr>
        <w:spacing w:line="360" w:lineRule="auto"/>
        <w:rPr>
          <w:sz w:val="24"/>
          <w:szCs w:val="24"/>
          <w:lang w:val="en-GB"/>
        </w:rPr>
      </w:pPr>
    </w:p>
    <w:p w14:paraId="40D936BE" w14:textId="3711F9BC" w:rsidR="00EC1359" w:rsidRPr="005766E3" w:rsidRDefault="00EA30F3" w:rsidP="00EC1359">
      <w:pPr>
        <w:spacing w:line="360" w:lineRule="auto"/>
        <w:rPr>
          <w:sz w:val="24"/>
          <w:szCs w:val="24"/>
          <w:lang w:val="en-GB"/>
        </w:rPr>
      </w:pPr>
      <w:r w:rsidRPr="005766E3">
        <w:rPr>
          <w:sz w:val="24"/>
          <w:szCs w:val="24"/>
          <w:lang w:val="en-GB"/>
        </w:rPr>
        <w:t xml:space="preserve">Bronchodilator reversibility is also common in COPD </w:t>
      </w:r>
      <w:r w:rsidR="000958BB">
        <w:rPr>
          <w:sz w:val="24"/>
          <w:szCs w:val="24"/>
          <w:lang w:val="en-GB"/>
        </w:rPr>
        <w:t>and</w:t>
      </w:r>
      <w:r w:rsidRPr="005766E3">
        <w:rPr>
          <w:sz w:val="24"/>
          <w:szCs w:val="24"/>
          <w:lang w:val="en-GB"/>
        </w:rPr>
        <w:t xml:space="preserve"> </w:t>
      </w:r>
      <w:r w:rsidR="001B0E99">
        <w:rPr>
          <w:sz w:val="24"/>
          <w:szCs w:val="24"/>
          <w:lang w:val="en-GB"/>
        </w:rPr>
        <w:t>24%</w:t>
      </w:r>
      <w:r w:rsidRPr="005766E3">
        <w:rPr>
          <w:sz w:val="24"/>
          <w:szCs w:val="24"/>
          <w:lang w:val="en-GB"/>
        </w:rPr>
        <w:t xml:space="preserve"> patients with moderate to severe COPD had an increase </w:t>
      </w:r>
      <w:r w:rsidR="000958BB">
        <w:rPr>
          <w:sz w:val="24"/>
          <w:szCs w:val="24"/>
          <w:lang w:val="en-GB"/>
        </w:rPr>
        <w:t>in</w:t>
      </w:r>
      <w:r w:rsidRPr="005766E3">
        <w:rPr>
          <w:sz w:val="24"/>
          <w:szCs w:val="24"/>
          <w:lang w:val="en-GB"/>
        </w:rPr>
        <w:t xml:space="preserve"> FEV1 </w:t>
      </w:r>
      <w:r w:rsidR="0068267D" w:rsidRPr="005766E3">
        <w:rPr>
          <w:sz w:val="24"/>
          <w:szCs w:val="24"/>
          <w:lang w:val="en-GB"/>
        </w:rPr>
        <w:t>(</w:t>
      </w:r>
      <w:r w:rsidRPr="005766E3">
        <w:rPr>
          <w:sz w:val="24"/>
          <w:szCs w:val="24"/>
          <w:lang w:val="en-GB"/>
        </w:rPr>
        <w:t>≥ 12% and 200 mL</w:t>
      </w:r>
      <w:r w:rsidR="0068267D" w:rsidRPr="005766E3">
        <w:rPr>
          <w:sz w:val="24"/>
          <w:szCs w:val="24"/>
          <w:lang w:val="en-GB"/>
        </w:rPr>
        <w:t>)</w:t>
      </w:r>
      <w:r w:rsidRPr="005766E3">
        <w:rPr>
          <w:sz w:val="24"/>
          <w:szCs w:val="24"/>
          <w:lang w:val="en-GB"/>
        </w:rPr>
        <w:t xml:space="preserve"> in the </w:t>
      </w:r>
      <w:r w:rsidR="001B0E99">
        <w:rPr>
          <w:sz w:val="24"/>
          <w:szCs w:val="24"/>
          <w:lang w:val="en-GB"/>
        </w:rPr>
        <w:t>ECLIPSE study</w:t>
      </w:r>
      <w:r w:rsidRPr="005766E3">
        <w:rPr>
          <w:sz w:val="24"/>
          <w:szCs w:val="24"/>
          <w:lang w:val="en-GB"/>
        </w:rPr>
        <w:t xml:space="preserve">. </w:t>
      </w:r>
      <w:r w:rsidR="001B0E99">
        <w:rPr>
          <w:noProof/>
          <w:sz w:val="24"/>
          <w:szCs w:val="24"/>
          <w:lang w:val="en-GB"/>
        </w:rPr>
        <w:t>(2)</w:t>
      </w:r>
      <w:r w:rsidR="001B0E99">
        <w:rPr>
          <w:sz w:val="24"/>
          <w:szCs w:val="24"/>
          <w:lang w:val="en-GB"/>
        </w:rPr>
        <w:t xml:space="preserve"> </w:t>
      </w:r>
      <w:r w:rsidR="005027DA" w:rsidRPr="005766E3">
        <w:rPr>
          <w:sz w:val="24"/>
          <w:szCs w:val="24"/>
          <w:lang w:val="en-GB"/>
        </w:rPr>
        <w:t xml:space="preserve">Several studies have indicated that </w:t>
      </w:r>
      <w:r w:rsidR="009E1D01">
        <w:rPr>
          <w:sz w:val="24"/>
          <w:szCs w:val="24"/>
          <w:lang w:val="en-GB"/>
        </w:rPr>
        <w:t>bronchodilator reversibility</w:t>
      </w:r>
      <w:r w:rsidR="005027DA" w:rsidRPr="005766E3">
        <w:rPr>
          <w:sz w:val="24"/>
          <w:szCs w:val="24"/>
          <w:lang w:val="en-GB"/>
        </w:rPr>
        <w:t xml:space="preserve"> may be an important phenotypic and prognostic marker</w:t>
      </w:r>
      <w:r w:rsidR="00AC6C49" w:rsidRPr="005766E3">
        <w:rPr>
          <w:sz w:val="24"/>
          <w:szCs w:val="24"/>
          <w:lang w:val="en-GB"/>
        </w:rPr>
        <w:t xml:space="preserve"> in asthma</w:t>
      </w:r>
      <w:r w:rsidR="00547D0B">
        <w:rPr>
          <w:sz w:val="24"/>
          <w:szCs w:val="24"/>
          <w:lang w:val="en-GB"/>
        </w:rPr>
        <w:t>.</w:t>
      </w:r>
      <w:r w:rsidR="00AC6C49" w:rsidRPr="005766E3">
        <w:rPr>
          <w:sz w:val="24"/>
          <w:szCs w:val="24"/>
          <w:lang w:val="en-GB"/>
        </w:rPr>
        <w:t xml:space="preserve"> </w:t>
      </w:r>
      <w:r w:rsidR="008461B9">
        <w:rPr>
          <w:noProof/>
          <w:sz w:val="24"/>
          <w:szCs w:val="24"/>
          <w:lang w:val="en-GB"/>
        </w:rPr>
        <w:t>(3-6)</w:t>
      </w:r>
      <w:r w:rsidR="005027DA" w:rsidRPr="005766E3">
        <w:rPr>
          <w:sz w:val="24"/>
          <w:szCs w:val="24"/>
          <w:lang w:val="en-GB"/>
        </w:rPr>
        <w:t xml:space="preserve"> For COPD it has</w:t>
      </w:r>
      <w:r w:rsidR="007A17A0">
        <w:rPr>
          <w:sz w:val="24"/>
          <w:szCs w:val="24"/>
          <w:lang w:val="en-GB"/>
        </w:rPr>
        <w:t xml:space="preserve">, however, </w:t>
      </w:r>
      <w:r w:rsidR="005027DA" w:rsidRPr="005766E3">
        <w:rPr>
          <w:sz w:val="24"/>
          <w:szCs w:val="24"/>
          <w:lang w:val="en-GB"/>
        </w:rPr>
        <w:t xml:space="preserve">been less clear that having </w:t>
      </w:r>
      <w:r w:rsidR="009E1D01">
        <w:rPr>
          <w:sz w:val="24"/>
          <w:szCs w:val="24"/>
          <w:lang w:val="en-GB"/>
        </w:rPr>
        <w:t>bronchodilator reversibility</w:t>
      </w:r>
      <w:r w:rsidR="005027DA" w:rsidRPr="005766E3">
        <w:rPr>
          <w:sz w:val="24"/>
          <w:szCs w:val="24"/>
          <w:lang w:val="en-GB"/>
        </w:rPr>
        <w:t xml:space="preserve"> is related to any specific phenotypic</w:t>
      </w:r>
      <w:r w:rsidR="00CD7ED4">
        <w:rPr>
          <w:sz w:val="24"/>
          <w:szCs w:val="24"/>
          <w:lang w:val="en-GB"/>
        </w:rPr>
        <w:t xml:space="preserve"> characteristic</w:t>
      </w:r>
      <w:r w:rsidR="005027DA" w:rsidRPr="005766E3">
        <w:rPr>
          <w:sz w:val="24"/>
          <w:szCs w:val="24"/>
          <w:lang w:val="en-GB"/>
        </w:rPr>
        <w:t xml:space="preserve"> or </w:t>
      </w:r>
      <w:r w:rsidR="0044763A">
        <w:rPr>
          <w:sz w:val="24"/>
          <w:szCs w:val="24"/>
          <w:lang w:val="en-GB"/>
        </w:rPr>
        <w:t xml:space="preserve">to be </w:t>
      </w:r>
      <w:r w:rsidR="00AC6C49" w:rsidRPr="005766E3">
        <w:rPr>
          <w:sz w:val="24"/>
          <w:szCs w:val="24"/>
          <w:lang w:val="en-GB"/>
        </w:rPr>
        <w:t xml:space="preserve">of </w:t>
      </w:r>
      <w:r w:rsidR="005027DA" w:rsidRPr="005766E3">
        <w:rPr>
          <w:sz w:val="24"/>
          <w:szCs w:val="24"/>
          <w:lang w:val="en-GB"/>
        </w:rPr>
        <w:t>prognostic</w:t>
      </w:r>
      <w:r w:rsidR="00AC6C49" w:rsidRPr="005766E3">
        <w:rPr>
          <w:sz w:val="24"/>
          <w:szCs w:val="24"/>
          <w:lang w:val="en-GB"/>
        </w:rPr>
        <w:t xml:space="preserve"> value.</w:t>
      </w:r>
      <w:r w:rsidR="005027DA" w:rsidRPr="005766E3">
        <w:rPr>
          <w:sz w:val="24"/>
          <w:szCs w:val="24"/>
          <w:lang w:val="en-GB"/>
        </w:rPr>
        <w:t xml:space="preserve"> </w:t>
      </w:r>
      <w:r w:rsidR="001B0E99">
        <w:rPr>
          <w:rFonts w:eastAsiaTheme="minorHAnsi"/>
          <w:noProof/>
          <w:sz w:val="24"/>
          <w:szCs w:val="24"/>
          <w:lang w:val="en-GB" w:eastAsia="en-US"/>
        </w:rPr>
        <w:t>(2, 7-9)</w:t>
      </w:r>
      <w:r w:rsidR="00784776" w:rsidRPr="005766E3">
        <w:rPr>
          <w:sz w:val="24"/>
          <w:szCs w:val="24"/>
          <w:lang w:val="en-GB"/>
        </w:rPr>
        <w:t xml:space="preserve"> </w:t>
      </w:r>
      <w:r w:rsidR="00EC1359" w:rsidRPr="005766E3">
        <w:rPr>
          <w:sz w:val="24"/>
          <w:szCs w:val="24"/>
          <w:lang w:val="en-GB"/>
        </w:rPr>
        <w:t>BDR can also be measured as change in FVC and there are data indicating that in patients w</w:t>
      </w:r>
      <w:r w:rsidR="00E27074">
        <w:rPr>
          <w:sz w:val="24"/>
          <w:szCs w:val="24"/>
          <w:lang w:val="en-GB"/>
        </w:rPr>
        <w:t xml:space="preserve">ith severe airflow obstruction this </w:t>
      </w:r>
      <w:r w:rsidR="00EC1359" w:rsidRPr="005766E3">
        <w:rPr>
          <w:sz w:val="24"/>
          <w:szCs w:val="24"/>
          <w:lang w:val="en-GB"/>
        </w:rPr>
        <w:t xml:space="preserve">volume related </w:t>
      </w:r>
      <w:r w:rsidR="009E1D01">
        <w:rPr>
          <w:sz w:val="24"/>
          <w:szCs w:val="24"/>
          <w:lang w:val="en-GB"/>
        </w:rPr>
        <w:t>bronchodilator reversibility</w:t>
      </w:r>
      <w:r w:rsidR="00EC1359" w:rsidRPr="005766E3">
        <w:rPr>
          <w:sz w:val="24"/>
          <w:szCs w:val="24"/>
          <w:lang w:val="en-GB"/>
        </w:rPr>
        <w:t xml:space="preserve"> could be more relevant than the flow related </w:t>
      </w:r>
      <w:r w:rsidR="009E1D01">
        <w:rPr>
          <w:sz w:val="24"/>
          <w:szCs w:val="24"/>
          <w:lang w:val="en-GB"/>
        </w:rPr>
        <w:t>bronchodilator reversibility</w:t>
      </w:r>
      <w:r w:rsidR="009E1D01" w:rsidRPr="005766E3">
        <w:rPr>
          <w:sz w:val="24"/>
          <w:szCs w:val="24"/>
          <w:lang w:val="en-GB"/>
        </w:rPr>
        <w:t xml:space="preserve"> </w:t>
      </w:r>
      <w:r w:rsidR="00EC1359" w:rsidRPr="005766E3">
        <w:rPr>
          <w:sz w:val="24"/>
          <w:szCs w:val="24"/>
          <w:lang w:val="en-GB"/>
        </w:rPr>
        <w:t>measured with change in FEV1.</w:t>
      </w:r>
      <w:r w:rsidR="001B0E99">
        <w:rPr>
          <w:noProof/>
          <w:color w:val="000000"/>
          <w:sz w:val="24"/>
          <w:szCs w:val="24"/>
          <w:shd w:val="clear" w:color="auto" w:fill="FFFFFF"/>
          <w:lang w:val="en-GB"/>
        </w:rPr>
        <w:t>(10)</w:t>
      </w:r>
    </w:p>
    <w:p w14:paraId="6815E998" w14:textId="77777777" w:rsidR="00EC1359" w:rsidRPr="005766E3" w:rsidRDefault="00EC1359" w:rsidP="00EC1359">
      <w:pPr>
        <w:spacing w:line="360" w:lineRule="auto"/>
        <w:rPr>
          <w:sz w:val="24"/>
          <w:szCs w:val="24"/>
          <w:lang w:val="en-GB"/>
        </w:rPr>
      </w:pPr>
    </w:p>
    <w:p w14:paraId="120DD1E9" w14:textId="22B7AF39" w:rsidR="00E9669A" w:rsidRPr="005766E3" w:rsidRDefault="007C1900" w:rsidP="00382E60">
      <w:pPr>
        <w:spacing w:line="360" w:lineRule="auto"/>
        <w:rPr>
          <w:sz w:val="24"/>
          <w:szCs w:val="24"/>
          <w:lang w:val="en-GB"/>
        </w:rPr>
      </w:pPr>
      <w:r w:rsidRPr="005766E3">
        <w:rPr>
          <w:sz w:val="24"/>
          <w:szCs w:val="24"/>
          <w:lang w:val="en-GB"/>
        </w:rPr>
        <w:t xml:space="preserve">There are many different ways of </w:t>
      </w:r>
      <w:r w:rsidR="009E1D01">
        <w:rPr>
          <w:sz w:val="24"/>
          <w:szCs w:val="24"/>
          <w:lang w:val="en-GB"/>
        </w:rPr>
        <w:t>defining bronchodilator reversibility</w:t>
      </w:r>
      <w:r w:rsidR="0033474F" w:rsidRPr="005766E3">
        <w:rPr>
          <w:sz w:val="24"/>
          <w:szCs w:val="24"/>
          <w:lang w:val="en-GB"/>
        </w:rPr>
        <w:t xml:space="preserve">. Analyses from the </w:t>
      </w:r>
      <w:r w:rsidRPr="005766E3">
        <w:rPr>
          <w:sz w:val="24"/>
          <w:szCs w:val="24"/>
          <w:lang w:val="en-GB"/>
        </w:rPr>
        <w:t xml:space="preserve"> </w:t>
      </w:r>
      <w:r w:rsidR="001A1644" w:rsidRPr="005766E3">
        <w:rPr>
          <w:sz w:val="24"/>
          <w:szCs w:val="24"/>
          <w:lang w:val="en-GB"/>
        </w:rPr>
        <w:t xml:space="preserve">Burden of Obstructive Lung Disease (BOLD) </w:t>
      </w:r>
      <w:r w:rsidR="003D3146" w:rsidRPr="005766E3">
        <w:rPr>
          <w:sz w:val="24"/>
          <w:szCs w:val="24"/>
          <w:lang w:val="en-GB"/>
        </w:rPr>
        <w:t xml:space="preserve">have shown </w:t>
      </w:r>
      <w:r w:rsidR="0044763A">
        <w:rPr>
          <w:sz w:val="24"/>
          <w:szCs w:val="24"/>
          <w:lang w:val="en-GB"/>
        </w:rPr>
        <w:t xml:space="preserve">the </w:t>
      </w:r>
      <w:r w:rsidR="003D3146" w:rsidRPr="005766E3">
        <w:rPr>
          <w:sz w:val="24"/>
          <w:szCs w:val="24"/>
          <w:lang w:val="en-GB"/>
        </w:rPr>
        <w:t xml:space="preserve">95th percentiles for </w:t>
      </w:r>
      <w:r w:rsidR="00E27074">
        <w:rPr>
          <w:sz w:val="24"/>
          <w:szCs w:val="24"/>
          <w:lang w:val="en-GB"/>
        </w:rPr>
        <w:t>BDR</w:t>
      </w:r>
      <w:r w:rsidR="003D3146" w:rsidRPr="005766E3">
        <w:rPr>
          <w:sz w:val="24"/>
          <w:szCs w:val="24"/>
          <w:lang w:val="en-GB"/>
        </w:rPr>
        <w:t xml:space="preserve"> </w:t>
      </w:r>
      <w:r w:rsidR="000958BB">
        <w:rPr>
          <w:sz w:val="24"/>
          <w:szCs w:val="24"/>
          <w:lang w:val="en-GB"/>
        </w:rPr>
        <w:t xml:space="preserve">in healthy never smokers </w:t>
      </w:r>
      <w:r w:rsidR="0044763A">
        <w:rPr>
          <w:sz w:val="24"/>
          <w:szCs w:val="24"/>
          <w:lang w:val="en-GB"/>
        </w:rPr>
        <w:t>to be</w:t>
      </w:r>
      <w:r w:rsidR="00D82740" w:rsidRPr="005766E3">
        <w:rPr>
          <w:sz w:val="24"/>
          <w:szCs w:val="24"/>
          <w:lang w:val="en-GB"/>
        </w:rPr>
        <w:t xml:space="preserve"> </w:t>
      </w:r>
      <w:r w:rsidR="000958BB" w:rsidRPr="005766E3">
        <w:rPr>
          <w:sz w:val="24"/>
          <w:szCs w:val="24"/>
          <w:lang w:val="en-GB"/>
        </w:rPr>
        <w:t>12.0%</w:t>
      </w:r>
      <w:r w:rsidR="000958BB">
        <w:rPr>
          <w:sz w:val="24"/>
          <w:szCs w:val="24"/>
          <w:lang w:val="en-GB"/>
        </w:rPr>
        <w:t xml:space="preserve"> when </w:t>
      </w:r>
      <w:r w:rsidR="003D3146" w:rsidRPr="005766E3">
        <w:rPr>
          <w:sz w:val="24"/>
          <w:szCs w:val="24"/>
          <w:lang w:val="en-GB"/>
        </w:rPr>
        <w:t xml:space="preserve">expressed as increase in FEV1 in % </w:t>
      </w:r>
      <w:r w:rsidR="0068267D" w:rsidRPr="005766E3">
        <w:rPr>
          <w:sz w:val="24"/>
          <w:szCs w:val="24"/>
          <w:lang w:val="en-GB"/>
        </w:rPr>
        <w:t>of baseline</w:t>
      </w:r>
      <w:r w:rsidR="00DD1E8F">
        <w:rPr>
          <w:sz w:val="24"/>
          <w:szCs w:val="24"/>
          <w:lang w:val="en-GB"/>
        </w:rPr>
        <w:t>,</w:t>
      </w:r>
      <w:r w:rsidR="0068267D" w:rsidRPr="005766E3">
        <w:rPr>
          <w:sz w:val="24"/>
          <w:szCs w:val="24"/>
          <w:lang w:val="en-GB"/>
        </w:rPr>
        <w:t xml:space="preserve"> </w:t>
      </w:r>
      <w:r w:rsidR="001B0E99">
        <w:rPr>
          <w:noProof/>
          <w:sz w:val="24"/>
          <w:szCs w:val="24"/>
          <w:lang w:val="en-GB"/>
        </w:rPr>
        <w:t>(11)</w:t>
      </w:r>
      <w:r w:rsidR="003D3146" w:rsidRPr="005766E3">
        <w:rPr>
          <w:sz w:val="24"/>
          <w:szCs w:val="24"/>
          <w:lang w:val="en-GB"/>
        </w:rPr>
        <w:t xml:space="preserve"> which fits </w:t>
      </w:r>
      <w:r w:rsidR="0044763A">
        <w:rPr>
          <w:sz w:val="24"/>
          <w:szCs w:val="24"/>
          <w:lang w:val="en-GB"/>
        </w:rPr>
        <w:t>well with</w:t>
      </w:r>
      <w:r w:rsidR="003D3146" w:rsidRPr="005766E3">
        <w:rPr>
          <w:sz w:val="24"/>
          <w:szCs w:val="24"/>
          <w:lang w:val="en-GB"/>
        </w:rPr>
        <w:t xml:space="preserve"> clinical guidelines</w:t>
      </w:r>
      <w:r w:rsidR="002C27F3" w:rsidRPr="005766E3">
        <w:rPr>
          <w:sz w:val="24"/>
          <w:szCs w:val="24"/>
          <w:lang w:val="en-GB"/>
        </w:rPr>
        <w:t>.</w:t>
      </w:r>
      <w:r w:rsidR="008461B9">
        <w:rPr>
          <w:noProof/>
          <w:sz w:val="24"/>
          <w:szCs w:val="24"/>
          <w:lang w:val="en-GB"/>
        </w:rPr>
        <w:t>(1)</w:t>
      </w:r>
      <w:r w:rsidR="00AB5057" w:rsidRPr="005766E3">
        <w:rPr>
          <w:sz w:val="24"/>
          <w:szCs w:val="24"/>
          <w:lang w:val="en-GB"/>
        </w:rPr>
        <w:t xml:space="preserve"> </w:t>
      </w:r>
      <w:r w:rsidR="003D3146" w:rsidRPr="005766E3">
        <w:rPr>
          <w:sz w:val="24"/>
          <w:szCs w:val="24"/>
          <w:lang w:val="en-GB"/>
        </w:rPr>
        <w:t>The corresponding value for FVC was 10.5%.</w:t>
      </w:r>
      <w:r w:rsidR="00BB6767" w:rsidRPr="005766E3">
        <w:rPr>
          <w:sz w:val="24"/>
          <w:szCs w:val="24"/>
          <w:lang w:val="en-GB"/>
        </w:rPr>
        <w:t xml:space="preserve"> The threshold values for FEV1 and FVC was 10.0% and 9.2%, respectively when reversibility was expressed as </w:t>
      </w:r>
      <w:r w:rsidR="007A17A0">
        <w:rPr>
          <w:sz w:val="24"/>
          <w:szCs w:val="24"/>
          <w:lang w:val="en-GB"/>
        </w:rPr>
        <w:t>percentage</w:t>
      </w:r>
      <w:r w:rsidR="00BB6767" w:rsidRPr="005766E3">
        <w:rPr>
          <w:sz w:val="24"/>
          <w:szCs w:val="24"/>
          <w:lang w:val="en-GB"/>
        </w:rPr>
        <w:t xml:space="preserve"> of the predicted value.</w:t>
      </w:r>
      <w:r w:rsidR="00E9669A" w:rsidRPr="005766E3">
        <w:rPr>
          <w:sz w:val="24"/>
          <w:szCs w:val="24"/>
          <w:lang w:val="en-GB"/>
        </w:rPr>
        <w:t xml:space="preserve"> </w:t>
      </w:r>
    </w:p>
    <w:p w14:paraId="616454CC" w14:textId="071CD1FC" w:rsidR="007C1900" w:rsidRPr="005766E3" w:rsidRDefault="007C1900" w:rsidP="00382E60">
      <w:pPr>
        <w:spacing w:line="360" w:lineRule="auto"/>
        <w:rPr>
          <w:sz w:val="24"/>
          <w:szCs w:val="24"/>
          <w:lang w:val="en-GB"/>
        </w:rPr>
      </w:pPr>
    </w:p>
    <w:p w14:paraId="77B075ED" w14:textId="2262DED5" w:rsidR="007C1900" w:rsidRPr="005766E3" w:rsidRDefault="007C1900" w:rsidP="00382E60">
      <w:pPr>
        <w:spacing w:line="360" w:lineRule="auto"/>
        <w:rPr>
          <w:sz w:val="24"/>
          <w:szCs w:val="24"/>
          <w:lang w:val="en-GB"/>
        </w:rPr>
      </w:pPr>
      <w:r w:rsidRPr="005766E3">
        <w:rPr>
          <w:sz w:val="24"/>
          <w:szCs w:val="24"/>
          <w:lang w:val="en-GB"/>
        </w:rPr>
        <w:t xml:space="preserve">Most studies of </w:t>
      </w:r>
      <w:r w:rsidR="009E1D01">
        <w:rPr>
          <w:sz w:val="24"/>
          <w:szCs w:val="24"/>
          <w:lang w:val="en-GB"/>
        </w:rPr>
        <w:t>bronchodilator reversibility</w:t>
      </w:r>
      <w:r w:rsidRPr="005766E3">
        <w:rPr>
          <w:sz w:val="24"/>
          <w:szCs w:val="24"/>
          <w:lang w:val="en-GB"/>
        </w:rPr>
        <w:t xml:space="preserve"> have been based on patient cohort or randomized controlled trials. In the present investigation we </w:t>
      </w:r>
      <w:r w:rsidR="00BE3D55">
        <w:rPr>
          <w:sz w:val="24"/>
          <w:szCs w:val="24"/>
          <w:lang w:val="en-GB"/>
        </w:rPr>
        <w:t>combined</w:t>
      </w:r>
      <w:r w:rsidRPr="005766E3">
        <w:rPr>
          <w:sz w:val="24"/>
          <w:szCs w:val="24"/>
          <w:lang w:val="en-GB"/>
        </w:rPr>
        <w:t xml:space="preserve"> data from three large population studies</w:t>
      </w:r>
      <w:r w:rsidR="00963303" w:rsidRPr="005766E3">
        <w:rPr>
          <w:sz w:val="24"/>
          <w:szCs w:val="24"/>
          <w:lang w:val="en-GB"/>
        </w:rPr>
        <w:t>:</w:t>
      </w:r>
      <w:r w:rsidRPr="005766E3">
        <w:rPr>
          <w:sz w:val="24"/>
          <w:szCs w:val="24"/>
          <w:lang w:val="en-GB"/>
        </w:rPr>
        <w:t xml:space="preserve"> BOLD, </w:t>
      </w:r>
      <w:r w:rsidR="005514E0" w:rsidRPr="005766E3">
        <w:rPr>
          <w:sz w:val="24"/>
          <w:szCs w:val="24"/>
          <w:lang w:val="en-GB"/>
        </w:rPr>
        <w:t>European Community Respiratory Health Survey</w:t>
      </w:r>
      <w:r w:rsidR="0033474F" w:rsidRPr="005766E3">
        <w:rPr>
          <w:sz w:val="24"/>
          <w:szCs w:val="24"/>
          <w:lang w:val="en-GB"/>
        </w:rPr>
        <w:t xml:space="preserve"> III</w:t>
      </w:r>
      <w:r w:rsidR="005514E0" w:rsidRPr="005766E3">
        <w:rPr>
          <w:sz w:val="24"/>
          <w:szCs w:val="24"/>
          <w:lang w:val="en-GB"/>
        </w:rPr>
        <w:t xml:space="preserve"> (ECRHS</w:t>
      </w:r>
      <w:r w:rsidR="0033474F" w:rsidRPr="005766E3">
        <w:rPr>
          <w:sz w:val="24"/>
          <w:szCs w:val="24"/>
          <w:lang w:val="en-GB"/>
        </w:rPr>
        <w:t xml:space="preserve"> III</w:t>
      </w:r>
      <w:r w:rsidR="005514E0" w:rsidRPr="005766E3">
        <w:rPr>
          <w:sz w:val="24"/>
          <w:szCs w:val="24"/>
          <w:lang w:val="en-GB"/>
        </w:rPr>
        <w:t>)</w:t>
      </w:r>
      <w:r w:rsidR="0033474F" w:rsidRPr="005766E3">
        <w:rPr>
          <w:sz w:val="24"/>
          <w:szCs w:val="24"/>
          <w:lang w:val="en-GB"/>
        </w:rPr>
        <w:t xml:space="preserve"> </w:t>
      </w:r>
      <w:r w:rsidR="001B0E99">
        <w:rPr>
          <w:noProof/>
          <w:sz w:val="24"/>
          <w:szCs w:val="24"/>
          <w:lang w:val="en-GB"/>
        </w:rPr>
        <w:t>(12)</w:t>
      </w:r>
      <w:r w:rsidR="005514E0" w:rsidRPr="005766E3">
        <w:rPr>
          <w:sz w:val="24"/>
          <w:szCs w:val="24"/>
          <w:lang w:val="en-GB"/>
        </w:rPr>
        <w:t xml:space="preserve"> and Global Asthma and Allergy European Network (GA</w:t>
      </w:r>
      <w:r w:rsidR="005514E0" w:rsidRPr="005766E3">
        <w:rPr>
          <w:sz w:val="24"/>
          <w:szCs w:val="24"/>
          <w:vertAlign w:val="superscript"/>
          <w:lang w:val="en-GB"/>
        </w:rPr>
        <w:t>2</w:t>
      </w:r>
      <w:r w:rsidR="0033474F" w:rsidRPr="005766E3">
        <w:rPr>
          <w:sz w:val="24"/>
          <w:szCs w:val="24"/>
          <w:lang w:val="en-GB"/>
        </w:rPr>
        <w:t>LEN)</w:t>
      </w:r>
      <w:r w:rsidR="00A94950">
        <w:rPr>
          <w:sz w:val="24"/>
          <w:szCs w:val="24"/>
          <w:lang w:val="en-GB"/>
        </w:rPr>
        <w:t>.</w:t>
      </w:r>
      <w:r w:rsidR="001B0E99">
        <w:rPr>
          <w:noProof/>
          <w:sz w:val="24"/>
          <w:szCs w:val="24"/>
          <w:lang w:val="en-GB"/>
        </w:rPr>
        <w:t>(13)</w:t>
      </w:r>
      <w:r w:rsidR="005514E0" w:rsidRPr="005766E3">
        <w:rPr>
          <w:sz w:val="24"/>
          <w:szCs w:val="24"/>
          <w:lang w:val="en-GB"/>
        </w:rPr>
        <w:t xml:space="preserve"> These three studies have used a similar methodology, cover a large age </w:t>
      </w:r>
      <w:r w:rsidR="00BE3D55">
        <w:rPr>
          <w:sz w:val="24"/>
          <w:szCs w:val="24"/>
          <w:lang w:val="en-GB"/>
        </w:rPr>
        <w:t>range</w:t>
      </w:r>
      <w:r w:rsidR="005514E0" w:rsidRPr="005766E3">
        <w:rPr>
          <w:sz w:val="24"/>
          <w:szCs w:val="24"/>
          <w:lang w:val="en-GB"/>
        </w:rPr>
        <w:t xml:space="preserve"> and include </w:t>
      </w:r>
      <w:r w:rsidR="00CA7317">
        <w:rPr>
          <w:sz w:val="24"/>
          <w:szCs w:val="24"/>
          <w:lang w:val="en-GB"/>
        </w:rPr>
        <w:t>many</w:t>
      </w:r>
      <w:r w:rsidR="00CA7317" w:rsidRPr="005766E3">
        <w:rPr>
          <w:sz w:val="24"/>
          <w:szCs w:val="24"/>
          <w:lang w:val="en-GB"/>
        </w:rPr>
        <w:t xml:space="preserve"> </w:t>
      </w:r>
      <w:r w:rsidR="005514E0" w:rsidRPr="005766E3">
        <w:rPr>
          <w:sz w:val="24"/>
          <w:szCs w:val="24"/>
          <w:lang w:val="en-GB"/>
        </w:rPr>
        <w:t>geographical regions. Finding</w:t>
      </w:r>
      <w:r w:rsidR="00A92CD4">
        <w:rPr>
          <w:sz w:val="24"/>
          <w:szCs w:val="24"/>
          <w:lang w:val="en-GB"/>
        </w:rPr>
        <w:t>s</w:t>
      </w:r>
      <w:r w:rsidR="005514E0" w:rsidRPr="005766E3">
        <w:rPr>
          <w:sz w:val="24"/>
          <w:szCs w:val="24"/>
          <w:lang w:val="en-GB"/>
        </w:rPr>
        <w:t xml:space="preserve"> obtained by combining these three studies would therefore have a high external validity.</w:t>
      </w:r>
    </w:p>
    <w:p w14:paraId="425D103B" w14:textId="77777777" w:rsidR="0093546E" w:rsidRPr="005766E3" w:rsidRDefault="0093546E" w:rsidP="00382E60">
      <w:pPr>
        <w:spacing w:line="360" w:lineRule="auto"/>
        <w:rPr>
          <w:b/>
          <w:sz w:val="24"/>
          <w:szCs w:val="24"/>
          <w:lang w:val="en-GB"/>
        </w:rPr>
      </w:pPr>
    </w:p>
    <w:p w14:paraId="54DB9DC6" w14:textId="4B50668B" w:rsidR="00D31902" w:rsidRPr="005766E3" w:rsidRDefault="005514E0" w:rsidP="00E572AE">
      <w:pPr>
        <w:spacing w:line="360" w:lineRule="auto"/>
        <w:rPr>
          <w:sz w:val="24"/>
          <w:szCs w:val="24"/>
          <w:lang w:val="en-GB"/>
        </w:rPr>
      </w:pPr>
      <w:r w:rsidRPr="005766E3">
        <w:rPr>
          <w:sz w:val="24"/>
          <w:szCs w:val="24"/>
          <w:lang w:val="en-GB"/>
        </w:rPr>
        <w:t xml:space="preserve">The aim of </w:t>
      </w:r>
      <w:r w:rsidR="00E572AE" w:rsidRPr="005766E3">
        <w:rPr>
          <w:sz w:val="24"/>
          <w:szCs w:val="24"/>
          <w:lang w:val="en-GB"/>
        </w:rPr>
        <w:t xml:space="preserve">this investigation was to compare different </w:t>
      </w:r>
      <w:r w:rsidR="009E1D01">
        <w:rPr>
          <w:sz w:val="24"/>
          <w:szCs w:val="24"/>
          <w:lang w:val="en-GB"/>
        </w:rPr>
        <w:t>definitions of bronchodilator reversibility</w:t>
      </w:r>
      <w:r w:rsidR="00E572AE" w:rsidRPr="005766E3">
        <w:rPr>
          <w:sz w:val="24"/>
          <w:szCs w:val="24"/>
          <w:lang w:val="en-GB"/>
        </w:rPr>
        <w:t xml:space="preserve"> in participants with asthma and COPD in comparison with participants without </w:t>
      </w:r>
      <w:r w:rsidR="00E572AE" w:rsidRPr="005766E3">
        <w:rPr>
          <w:sz w:val="24"/>
          <w:szCs w:val="24"/>
          <w:lang w:val="en-GB"/>
        </w:rPr>
        <w:lastRenderedPageBreak/>
        <w:t>these diseases.</w:t>
      </w:r>
      <w:r w:rsidRPr="005766E3">
        <w:rPr>
          <w:sz w:val="24"/>
          <w:szCs w:val="24"/>
          <w:lang w:val="en-GB"/>
        </w:rPr>
        <w:t xml:space="preserve"> </w:t>
      </w:r>
      <w:r w:rsidR="00E572AE" w:rsidRPr="005766E3">
        <w:rPr>
          <w:sz w:val="24"/>
          <w:szCs w:val="24"/>
          <w:lang w:val="en-GB"/>
        </w:rPr>
        <w:t xml:space="preserve">A secondary aim was to </w:t>
      </w:r>
      <w:r w:rsidR="00BE3D55">
        <w:rPr>
          <w:sz w:val="24"/>
          <w:szCs w:val="24"/>
          <w:lang w:val="en-GB"/>
        </w:rPr>
        <w:t xml:space="preserve">examine whether </w:t>
      </w:r>
      <w:r w:rsidR="009E1D01">
        <w:rPr>
          <w:sz w:val="24"/>
          <w:szCs w:val="24"/>
          <w:lang w:val="en-GB"/>
        </w:rPr>
        <w:t>bronchodilator reversibility</w:t>
      </w:r>
      <w:r w:rsidR="00BE3D55">
        <w:rPr>
          <w:sz w:val="24"/>
          <w:szCs w:val="24"/>
          <w:lang w:val="en-GB"/>
        </w:rPr>
        <w:t xml:space="preserve"> was</w:t>
      </w:r>
      <w:r w:rsidR="00D31902" w:rsidRPr="005766E3">
        <w:rPr>
          <w:sz w:val="24"/>
          <w:szCs w:val="24"/>
          <w:lang w:val="en-GB"/>
        </w:rPr>
        <w:t xml:space="preserve"> related to symptom burden </w:t>
      </w:r>
      <w:r w:rsidR="00E572AE" w:rsidRPr="005766E3">
        <w:rPr>
          <w:sz w:val="24"/>
          <w:szCs w:val="24"/>
          <w:lang w:val="en-GB"/>
        </w:rPr>
        <w:t xml:space="preserve">and phenotypic characteristics </w:t>
      </w:r>
      <w:r w:rsidR="00D31902" w:rsidRPr="005766E3">
        <w:rPr>
          <w:sz w:val="24"/>
          <w:szCs w:val="24"/>
          <w:lang w:val="en-GB"/>
        </w:rPr>
        <w:t>in asthma</w:t>
      </w:r>
      <w:r w:rsidR="00E572AE" w:rsidRPr="005766E3">
        <w:rPr>
          <w:sz w:val="24"/>
          <w:szCs w:val="24"/>
          <w:lang w:val="en-GB"/>
        </w:rPr>
        <w:t xml:space="preserve"> and COPD.</w:t>
      </w:r>
    </w:p>
    <w:p w14:paraId="391CEC51" w14:textId="4C07C1BA" w:rsidR="00D31902" w:rsidRPr="005766E3" w:rsidRDefault="00D31902" w:rsidP="00382E60">
      <w:pPr>
        <w:spacing w:line="360" w:lineRule="auto"/>
        <w:rPr>
          <w:sz w:val="24"/>
          <w:szCs w:val="24"/>
          <w:lang w:val="en-GB"/>
        </w:rPr>
      </w:pPr>
    </w:p>
    <w:p w14:paraId="366499BC" w14:textId="30A8FDBC" w:rsidR="002F1B59" w:rsidRPr="005766E3" w:rsidRDefault="002F1B59" w:rsidP="00382E60">
      <w:pPr>
        <w:spacing w:line="360" w:lineRule="auto"/>
        <w:rPr>
          <w:b/>
          <w:sz w:val="24"/>
          <w:szCs w:val="24"/>
          <w:lang w:val="en-GB"/>
        </w:rPr>
      </w:pPr>
      <w:r w:rsidRPr="005766E3">
        <w:rPr>
          <w:b/>
          <w:sz w:val="24"/>
          <w:szCs w:val="24"/>
          <w:lang w:val="en-GB"/>
        </w:rPr>
        <w:t>Methodology</w:t>
      </w:r>
    </w:p>
    <w:p w14:paraId="03E5DEE4" w14:textId="6D03FBF8" w:rsidR="00D943FD" w:rsidRPr="005766E3" w:rsidRDefault="00D31902" w:rsidP="00382E60">
      <w:pPr>
        <w:spacing w:line="360" w:lineRule="auto"/>
        <w:rPr>
          <w:sz w:val="24"/>
          <w:szCs w:val="24"/>
          <w:lang w:val="en-GB"/>
        </w:rPr>
      </w:pPr>
      <w:r w:rsidRPr="005766E3">
        <w:rPr>
          <w:sz w:val="24"/>
          <w:szCs w:val="24"/>
          <w:lang w:val="en-GB"/>
        </w:rPr>
        <w:t xml:space="preserve">This </w:t>
      </w:r>
      <w:r w:rsidR="00CD17FD">
        <w:rPr>
          <w:sz w:val="24"/>
          <w:szCs w:val="24"/>
          <w:lang w:val="en-GB"/>
        </w:rPr>
        <w:t xml:space="preserve">investigation </w:t>
      </w:r>
      <w:r w:rsidRPr="005766E3">
        <w:rPr>
          <w:sz w:val="24"/>
          <w:szCs w:val="24"/>
          <w:lang w:val="en-GB"/>
        </w:rPr>
        <w:t>include</w:t>
      </w:r>
      <w:r w:rsidR="00552551">
        <w:rPr>
          <w:sz w:val="24"/>
          <w:szCs w:val="24"/>
          <w:lang w:val="en-GB"/>
        </w:rPr>
        <w:t>s</w:t>
      </w:r>
      <w:r w:rsidRPr="005766E3">
        <w:rPr>
          <w:sz w:val="24"/>
          <w:szCs w:val="24"/>
          <w:lang w:val="en-GB"/>
        </w:rPr>
        <w:t xml:space="preserve"> </w:t>
      </w:r>
      <w:r w:rsidR="004F25E8" w:rsidRPr="005766E3">
        <w:rPr>
          <w:sz w:val="24"/>
          <w:szCs w:val="24"/>
          <w:lang w:val="en-GB"/>
        </w:rPr>
        <w:t>36,956</w:t>
      </w:r>
      <w:r w:rsidR="002755C5" w:rsidRPr="005766E3">
        <w:rPr>
          <w:sz w:val="24"/>
          <w:szCs w:val="24"/>
          <w:lang w:val="en-GB"/>
        </w:rPr>
        <w:t xml:space="preserve"> subjects age</w:t>
      </w:r>
      <w:r w:rsidR="00552551">
        <w:rPr>
          <w:sz w:val="24"/>
          <w:szCs w:val="24"/>
          <w:lang w:val="en-GB"/>
        </w:rPr>
        <w:t>d</w:t>
      </w:r>
      <w:r w:rsidR="002755C5" w:rsidRPr="005766E3">
        <w:rPr>
          <w:sz w:val="24"/>
          <w:szCs w:val="24"/>
          <w:lang w:val="en-GB"/>
        </w:rPr>
        <w:t xml:space="preserve"> 16</w:t>
      </w:r>
      <w:r w:rsidR="00301041" w:rsidRPr="005766E3">
        <w:rPr>
          <w:sz w:val="24"/>
          <w:szCs w:val="24"/>
          <w:lang w:val="en-GB"/>
        </w:rPr>
        <w:t xml:space="preserve"> years and older</w:t>
      </w:r>
      <w:r w:rsidR="004F25E8" w:rsidRPr="005766E3">
        <w:rPr>
          <w:sz w:val="24"/>
          <w:szCs w:val="24"/>
          <w:lang w:val="en-GB"/>
        </w:rPr>
        <w:t xml:space="preserve"> from the three studies that had </w:t>
      </w:r>
      <w:r w:rsidR="00BE3D55">
        <w:rPr>
          <w:sz w:val="24"/>
          <w:szCs w:val="24"/>
          <w:lang w:val="en-GB"/>
        </w:rPr>
        <w:t>performed</w:t>
      </w:r>
      <w:r w:rsidR="004F25E8" w:rsidRPr="005766E3">
        <w:rPr>
          <w:sz w:val="24"/>
          <w:szCs w:val="24"/>
          <w:lang w:val="en-GB"/>
        </w:rPr>
        <w:t xml:space="preserve"> a </w:t>
      </w:r>
      <w:r w:rsidR="009E1D01">
        <w:rPr>
          <w:sz w:val="24"/>
          <w:szCs w:val="24"/>
          <w:lang w:val="en-GB"/>
        </w:rPr>
        <w:t>BDR</w:t>
      </w:r>
      <w:r w:rsidR="004F25E8" w:rsidRPr="005766E3">
        <w:rPr>
          <w:sz w:val="24"/>
          <w:szCs w:val="24"/>
          <w:lang w:val="en-GB"/>
        </w:rPr>
        <w:t xml:space="preserve"> test</w:t>
      </w:r>
      <w:r w:rsidR="00301041" w:rsidRPr="005766E3">
        <w:rPr>
          <w:sz w:val="24"/>
          <w:szCs w:val="24"/>
          <w:lang w:val="en-GB"/>
        </w:rPr>
        <w:t xml:space="preserve"> </w:t>
      </w:r>
      <w:r w:rsidR="00A2510D" w:rsidRPr="005766E3">
        <w:rPr>
          <w:sz w:val="24"/>
          <w:szCs w:val="24"/>
          <w:lang w:val="en-GB"/>
        </w:rPr>
        <w:t>(Figure 1)</w:t>
      </w:r>
      <w:r w:rsidR="00382281">
        <w:rPr>
          <w:sz w:val="24"/>
          <w:szCs w:val="24"/>
          <w:lang w:val="en-GB"/>
        </w:rPr>
        <w:t xml:space="preserve"> (Table E1)</w:t>
      </w:r>
      <w:r w:rsidR="004F25E8" w:rsidRPr="005766E3">
        <w:rPr>
          <w:sz w:val="24"/>
          <w:szCs w:val="24"/>
          <w:lang w:val="en-GB"/>
        </w:rPr>
        <w:t xml:space="preserve">. </w:t>
      </w:r>
    </w:p>
    <w:p w14:paraId="3E22C98C" w14:textId="77777777" w:rsidR="00E92D0F" w:rsidRPr="005766E3" w:rsidRDefault="00E92D0F" w:rsidP="00382E60">
      <w:pPr>
        <w:spacing w:line="360" w:lineRule="auto"/>
        <w:rPr>
          <w:sz w:val="24"/>
          <w:szCs w:val="24"/>
          <w:lang w:val="en-GB"/>
        </w:rPr>
      </w:pPr>
    </w:p>
    <w:p w14:paraId="09AFC682" w14:textId="0A8C87F5" w:rsidR="00D943FD" w:rsidRPr="005766E3" w:rsidRDefault="00D943FD" w:rsidP="00382E60">
      <w:pPr>
        <w:spacing w:line="360" w:lineRule="auto"/>
        <w:rPr>
          <w:sz w:val="24"/>
          <w:szCs w:val="24"/>
          <w:lang w:val="en-GB"/>
        </w:rPr>
      </w:pPr>
      <w:r w:rsidRPr="005766E3">
        <w:rPr>
          <w:sz w:val="24"/>
          <w:szCs w:val="24"/>
          <w:lang w:val="en-GB"/>
        </w:rPr>
        <w:t xml:space="preserve">In this </w:t>
      </w:r>
      <w:r w:rsidR="00CD17FD" w:rsidRPr="005766E3">
        <w:rPr>
          <w:sz w:val="24"/>
          <w:szCs w:val="24"/>
          <w:lang w:val="en-GB"/>
        </w:rPr>
        <w:t>analysis,</w:t>
      </w:r>
      <w:r w:rsidRPr="005766E3">
        <w:rPr>
          <w:sz w:val="24"/>
          <w:szCs w:val="24"/>
          <w:lang w:val="en-GB"/>
        </w:rPr>
        <w:t xml:space="preserve"> the subjects were categorized into three groups:</w:t>
      </w:r>
    </w:p>
    <w:p w14:paraId="6C3D5400" w14:textId="5DFEA1EF" w:rsidR="00D943FD" w:rsidRPr="005766E3" w:rsidRDefault="00D943FD" w:rsidP="00D943FD">
      <w:pPr>
        <w:spacing w:line="360" w:lineRule="auto"/>
        <w:rPr>
          <w:sz w:val="24"/>
          <w:szCs w:val="24"/>
          <w:lang w:val="en-GB"/>
        </w:rPr>
      </w:pPr>
      <w:r w:rsidRPr="005766E3">
        <w:rPr>
          <w:i/>
          <w:sz w:val="24"/>
          <w:szCs w:val="24"/>
          <w:lang w:val="en-GB"/>
        </w:rPr>
        <w:t xml:space="preserve">Current </w:t>
      </w:r>
      <w:r w:rsidRPr="00052E4E">
        <w:rPr>
          <w:i/>
          <w:sz w:val="24"/>
          <w:szCs w:val="24"/>
          <w:lang w:val="en-GB"/>
        </w:rPr>
        <w:t>asthma</w:t>
      </w:r>
      <w:r w:rsidR="00CD17FD">
        <w:rPr>
          <w:sz w:val="24"/>
          <w:szCs w:val="24"/>
          <w:lang w:val="en-GB"/>
        </w:rPr>
        <w:t xml:space="preserve"> was</w:t>
      </w:r>
      <w:r w:rsidRPr="005766E3">
        <w:rPr>
          <w:sz w:val="24"/>
          <w:szCs w:val="24"/>
          <w:lang w:val="en-GB"/>
        </w:rPr>
        <w:t xml:space="preserve"> defined as self-reported physician diagnosed asthma in combination with current use of asthmatic medication and/or asthma attack with</w:t>
      </w:r>
      <w:r w:rsidR="0087214C">
        <w:rPr>
          <w:sz w:val="24"/>
          <w:szCs w:val="24"/>
          <w:lang w:val="en-GB"/>
        </w:rPr>
        <w:t>in</w:t>
      </w:r>
      <w:r w:rsidRPr="005766E3">
        <w:rPr>
          <w:sz w:val="24"/>
          <w:szCs w:val="24"/>
          <w:lang w:val="en-GB"/>
        </w:rPr>
        <w:t xml:space="preserve"> the last 12 months</w:t>
      </w:r>
      <w:r w:rsidR="00294103">
        <w:rPr>
          <w:sz w:val="24"/>
          <w:szCs w:val="24"/>
          <w:lang w:val="en-GB"/>
        </w:rPr>
        <w:t xml:space="preserve"> in ECRHS III and GA</w:t>
      </w:r>
      <w:r w:rsidR="00294103" w:rsidRPr="00294103">
        <w:rPr>
          <w:sz w:val="24"/>
          <w:szCs w:val="24"/>
          <w:vertAlign w:val="superscript"/>
          <w:lang w:val="en-GB"/>
        </w:rPr>
        <w:t>2</w:t>
      </w:r>
      <w:r w:rsidR="00294103">
        <w:rPr>
          <w:sz w:val="24"/>
          <w:szCs w:val="24"/>
          <w:lang w:val="en-GB"/>
        </w:rPr>
        <w:t xml:space="preserve">LEN and as </w:t>
      </w:r>
      <w:r w:rsidR="00294103" w:rsidRPr="005766E3">
        <w:rPr>
          <w:sz w:val="24"/>
          <w:szCs w:val="24"/>
          <w:lang w:val="en-GB"/>
        </w:rPr>
        <w:t>self-reported physician diagnosed asthma</w:t>
      </w:r>
      <w:r w:rsidR="00294103">
        <w:rPr>
          <w:sz w:val="24"/>
          <w:szCs w:val="24"/>
          <w:lang w:val="en-GB"/>
        </w:rPr>
        <w:t xml:space="preserve"> in combination with </w:t>
      </w:r>
      <w:r w:rsidR="009443AC">
        <w:rPr>
          <w:sz w:val="24"/>
          <w:szCs w:val="24"/>
          <w:lang w:val="en-GB"/>
        </w:rPr>
        <w:t xml:space="preserve">the participant </w:t>
      </w:r>
      <w:r w:rsidR="00294103">
        <w:rPr>
          <w:sz w:val="24"/>
          <w:szCs w:val="24"/>
          <w:lang w:val="en-GB"/>
        </w:rPr>
        <w:t>reporting to still having asthma in BOLD.</w:t>
      </w:r>
    </w:p>
    <w:p w14:paraId="4A6BE27C" w14:textId="49F1F2A5" w:rsidR="00D943FD" w:rsidRPr="005766E3" w:rsidRDefault="00D943FD" w:rsidP="00D943FD">
      <w:pPr>
        <w:spacing w:line="360" w:lineRule="auto"/>
        <w:rPr>
          <w:sz w:val="24"/>
          <w:szCs w:val="24"/>
          <w:lang w:val="en-GB"/>
        </w:rPr>
      </w:pPr>
      <w:r w:rsidRPr="005766E3">
        <w:rPr>
          <w:i/>
          <w:sz w:val="24"/>
          <w:szCs w:val="24"/>
          <w:lang w:val="en-GB"/>
        </w:rPr>
        <w:t>COPD</w:t>
      </w:r>
      <w:r w:rsidRPr="005766E3">
        <w:rPr>
          <w:sz w:val="24"/>
          <w:szCs w:val="24"/>
          <w:lang w:val="en-GB"/>
        </w:rPr>
        <w:t xml:space="preserve"> </w:t>
      </w:r>
      <w:r w:rsidR="00CD17FD">
        <w:rPr>
          <w:sz w:val="24"/>
          <w:szCs w:val="24"/>
          <w:lang w:val="en-GB"/>
        </w:rPr>
        <w:t xml:space="preserve">was </w:t>
      </w:r>
      <w:r w:rsidRPr="005766E3">
        <w:rPr>
          <w:sz w:val="24"/>
          <w:szCs w:val="24"/>
          <w:lang w:val="en-GB"/>
        </w:rPr>
        <w:t>defined as having a post bronchodilator FEV1/FVC below the lower limit of normal in combination with a smoking history of at least 10 pack years and no history of ever having had asthma</w:t>
      </w:r>
      <w:r w:rsidR="0087214C">
        <w:rPr>
          <w:sz w:val="24"/>
          <w:szCs w:val="24"/>
          <w:lang w:val="en-GB"/>
        </w:rPr>
        <w:t>.</w:t>
      </w:r>
    </w:p>
    <w:p w14:paraId="50F64BB7" w14:textId="5C5C1FBA" w:rsidR="00D943FD" w:rsidRPr="005766E3" w:rsidRDefault="00D943FD" w:rsidP="00D943FD">
      <w:pPr>
        <w:spacing w:line="360" w:lineRule="auto"/>
        <w:rPr>
          <w:sz w:val="24"/>
          <w:szCs w:val="24"/>
          <w:lang w:val="en-GB"/>
        </w:rPr>
      </w:pPr>
      <w:r w:rsidRPr="005766E3">
        <w:rPr>
          <w:i/>
          <w:sz w:val="24"/>
          <w:szCs w:val="24"/>
          <w:lang w:val="en-GB"/>
        </w:rPr>
        <w:t>No airway disease:</w:t>
      </w:r>
      <w:r w:rsidRPr="005766E3">
        <w:rPr>
          <w:sz w:val="24"/>
          <w:szCs w:val="24"/>
          <w:lang w:val="en-GB"/>
        </w:rPr>
        <w:t xml:space="preserve"> </w:t>
      </w:r>
      <w:r w:rsidR="00CD17FD">
        <w:rPr>
          <w:sz w:val="24"/>
          <w:szCs w:val="24"/>
          <w:lang w:val="en-GB"/>
        </w:rPr>
        <w:t xml:space="preserve">was defined as </w:t>
      </w:r>
      <w:r w:rsidRPr="005766E3">
        <w:rPr>
          <w:sz w:val="24"/>
          <w:szCs w:val="24"/>
          <w:lang w:val="en-GB"/>
        </w:rPr>
        <w:t>no history of ever having had asthma and not having COPD according to the definition above.</w:t>
      </w:r>
    </w:p>
    <w:p w14:paraId="07A63CD0" w14:textId="77777777" w:rsidR="00D943FD" w:rsidRPr="005766E3" w:rsidRDefault="00D943FD" w:rsidP="00382E60">
      <w:pPr>
        <w:spacing w:line="360" w:lineRule="auto"/>
        <w:rPr>
          <w:sz w:val="24"/>
          <w:szCs w:val="24"/>
          <w:lang w:val="en-GB"/>
        </w:rPr>
      </w:pPr>
    </w:p>
    <w:p w14:paraId="69E5303D" w14:textId="3478567A" w:rsidR="00D943FD" w:rsidRPr="005766E3" w:rsidRDefault="00D943FD" w:rsidP="00382E60">
      <w:pPr>
        <w:spacing w:line="360" w:lineRule="auto"/>
        <w:rPr>
          <w:sz w:val="24"/>
          <w:szCs w:val="24"/>
          <w:lang w:val="en-GB"/>
        </w:rPr>
      </w:pPr>
      <w:r w:rsidRPr="005766E3">
        <w:rPr>
          <w:sz w:val="24"/>
          <w:szCs w:val="24"/>
          <w:lang w:val="en-GB"/>
        </w:rPr>
        <w:t xml:space="preserve">Subjects with a history of asthma, but no current asthma were excluded from the </w:t>
      </w:r>
      <w:r w:rsidR="00B57865">
        <w:rPr>
          <w:sz w:val="24"/>
          <w:szCs w:val="24"/>
          <w:lang w:val="en-GB"/>
        </w:rPr>
        <w:t>main</w:t>
      </w:r>
      <w:r w:rsidRPr="005766E3">
        <w:rPr>
          <w:sz w:val="24"/>
          <w:szCs w:val="24"/>
          <w:lang w:val="en-GB"/>
        </w:rPr>
        <w:t xml:space="preserve"> analyses </w:t>
      </w:r>
      <w:r w:rsidR="0044763A">
        <w:rPr>
          <w:sz w:val="24"/>
          <w:szCs w:val="24"/>
          <w:lang w:val="en-GB"/>
        </w:rPr>
        <w:t>leaving</w:t>
      </w:r>
      <w:r w:rsidRPr="005766E3">
        <w:rPr>
          <w:sz w:val="24"/>
          <w:szCs w:val="24"/>
          <w:lang w:val="en-GB"/>
        </w:rPr>
        <w:t xml:space="preserve"> 35,628</w:t>
      </w:r>
      <w:r w:rsidR="0044763A">
        <w:rPr>
          <w:sz w:val="24"/>
          <w:szCs w:val="24"/>
          <w:lang w:val="en-GB"/>
        </w:rPr>
        <w:t xml:space="preserve"> in the analysis (Figure 1)</w:t>
      </w:r>
      <w:r w:rsidRPr="005766E3">
        <w:rPr>
          <w:sz w:val="24"/>
          <w:szCs w:val="24"/>
          <w:lang w:val="en-GB"/>
        </w:rPr>
        <w:t>.</w:t>
      </w:r>
      <w:r w:rsidR="00B57865">
        <w:rPr>
          <w:sz w:val="24"/>
          <w:szCs w:val="24"/>
          <w:lang w:val="en-GB"/>
        </w:rPr>
        <w:t xml:space="preserve"> However, in a separate analysis we also studied reversibility in participants with </w:t>
      </w:r>
      <w:r w:rsidR="00B57865" w:rsidRPr="00B57865">
        <w:rPr>
          <w:i/>
          <w:sz w:val="24"/>
          <w:szCs w:val="24"/>
          <w:lang w:val="en-GB"/>
        </w:rPr>
        <w:t>asthma COPD ove</w:t>
      </w:r>
      <w:r w:rsidR="00B57865">
        <w:rPr>
          <w:i/>
          <w:sz w:val="24"/>
          <w:szCs w:val="24"/>
          <w:lang w:val="en-GB"/>
        </w:rPr>
        <w:t>r</w:t>
      </w:r>
      <w:r w:rsidR="00B57865" w:rsidRPr="00B57865">
        <w:rPr>
          <w:i/>
          <w:sz w:val="24"/>
          <w:szCs w:val="24"/>
          <w:lang w:val="en-GB"/>
        </w:rPr>
        <w:t>lap</w:t>
      </w:r>
      <w:r w:rsidR="00B57865">
        <w:rPr>
          <w:sz w:val="24"/>
          <w:szCs w:val="24"/>
          <w:lang w:val="en-GB"/>
        </w:rPr>
        <w:t xml:space="preserve"> (ACO) which in this investigation was defined as having a history of doctor’s diagnosed asthma and </w:t>
      </w:r>
      <w:r w:rsidR="00B57865" w:rsidRPr="005766E3">
        <w:rPr>
          <w:sz w:val="24"/>
          <w:szCs w:val="24"/>
          <w:lang w:val="en-GB"/>
        </w:rPr>
        <w:t>a post bronchodilator FEV1/FVC below the lower limit of normal in combination with a smoking history of at least 10 pack years</w:t>
      </w:r>
    </w:p>
    <w:p w14:paraId="41357649" w14:textId="77777777" w:rsidR="00D943FD" w:rsidRPr="005766E3" w:rsidRDefault="00D943FD" w:rsidP="00382E60">
      <w:pPr>
        <w:spacing w:line="360" w:lineRule="auto"/>
        <w:rPr>
          <w:sz w:val="24"/>
          <w:szCs w:val="24"/>
          <w:lang w:val="en-GB"/>
        </w:rPr>
      </w:pPr>
    </w:p>
    <w:p w14:paraId="666CBB0C" w14:textId="75A3C020" w:rsidR="00B5730F" w:rsidRPr="005766E3" w:rsidRDefault="00B5730F" w:rsidP="00382E60">
      <w:pPr>
        <w:spacing w:line="360" w:lineRule="auto"/>
        <w:rPr>
          <w:i/>
          <w:sz w:val="24"/>
          <w:szCs w:val="24"/>
          <w:lang w:val="en-GB"/>
        </w:rPr>
      </w:pPr>
      <w:r w:rsidRPr="005766E3">
        <w:rPr>
          <w:i/>
          <w:sz w:val="24"/>
          <w:szCs w:val="24"/>
          <w:lang w:val="en-GB"/>
        </w:rPr>
        <w:t>Spirometry</w:t>
      </w:r>
      <w:r w:rsidR="004F25E8" w:rsidRPr="005766E3">
        <w:rPr>
          <w:i/>
          <w:sz w:val="24"/>
          <w:szCs w:val="24"/>
          <w:lang w:val="en-GB"/>
        </w:rPr>
        <w:t xml:space="preserve"> and b</w:t>
      </w:r>
      <w:r w:rsidR="00E27074">
        <w:rPr>
          <w:i/>
          <w:sz w:val="24"/>
          <w:szCs w:val="24"/>
          <w:lang w:val="en-GB"/>
        </w:rPr>
        <w:t>r</w:t>
      </w:r>
      <w:r w:rsidR="004F25E8" w:rsidRPr="005766E3">
        <w:rPr>
          <w:i/>
          <w:sz w:val="24"/>
          <w:szCs w:val="24"/>
          <w:lang w:val="en-GB"/>
        </w:rPr>
        <w:t>onchodilator reversibility test</w:t>
      </w:r>
    </w:p>
    <w:p w14:paraId="0C7D4653" w14:textId="16CD2609" w:rsidR="00F151F3" w:rsidRPr="005766E3" w:rsidRDefault="00301041" w:rsidP="00382E60">
      <w:pPr>
        <w:spacing w:line="360" w:lineRule="auto"/>
        <w:rPr>
          <w:rFonts w:eastAsia="ScalaLancetPro"/>
          <w:sz w:val="24"/>
          <w:szCs w:val="24"/>
          <w:lang w:val="en-GB"/>
        </w:rPr>
      </w:pPr>
      <w:r w:rsidRPr="005766E3">
        <w:rPr>
          <w:rFonts w:eastAsia="ScalaLancetPro"/>
          <w:sz w:val="24"/>
          <w:szCs w:val="24"/>
          <w:lang w:val="en-GB"/>
        </w:rPr>
        <w:t xml:space="preserve">Lung function data were obtained </w:t>
      </w:r>
      <w:r w:rsidR="00C165FF" w:rsidRPr="005766E3">
        <w:rPr>
          <w:rFonts w:eastAsia="ScalaLancetPro"/>
          <w:sz w:val="24"/>
          <w:szCs w:val="24"/>
          <w:lang w:val="en-GB"/>
        </w:rPr>
        <w:t>in all subjects</w:t>
      </w:r>
      <w:r w:rsidRPr="005766E3">
        <w:rPr>
          <w:rFonts w:eastAsia="ScalaLancetPro"/>
          <w:sz w:val="24"/>
          <w:szCs w:val="24"/>
          <w:lang w:val="en-GB"/>
        </w:rPr>
        <w:t xml:space="preserve"> with use of the ndd EasyOne Spirometer (ndd </w:t>
      </w:r>
      <w:r w:rsidR="00B3767D" w:rsidRPr="005766E3">
        <w:rPr>
          <w:sz w:val="24"/>
          <w:szCs w:val="24"/>
          <w:lang w:val="en-US"/>
        </w:rPr>
        <w:t>Medizintechnik AG, Zurich, Switzerland</w:t>
      </w:r>
      <w:r w:rsidRPr="005766E3">
        <w:rPr>
          <w:rFonts w:eastAsia="ScalaLancetPro"/>
          <w:sz w:val="24"/>
          <w:szCs w:val="24"/>
          <w:lang w:val="en-GB"/>
        </w:rPr>
        <w:t>). Lung function was measured before and 15 min after administration of 200 μg of salbutamol</w:t>
      </w:r>
      <w:r w:rsidR="00BE3D55">
        <w:rPr>
          <w:rFonts w:eastAsia="ScalaLancetPro"/>
          <w:sz w:val="24"/>
          <w:szCs w:val="24"/>
          <w:lang w:val="en-GB"/>
        </w:rPr>
        <w:t xml:space="preserve"> via metered dose inhaler with spacer</w:t>
      </w:r>
      <w:r w:rsidRPr="005766E3">
        <w:rPr>
          <w:rFonts w:eastAsia="ScalaLancetPro"/>
          <w:sz w:val="24"/>
          <w:szCs w:val="24"/>
          <w:lang w:val="en-GB"/>
        </w:rPr>
        <w:t xml:space="preserve">. Prediction equations derived from </w:t>
      </w:r>
      <w:r w:rsidR="003A252B">
        <w:rPr>
          <w:rFonts w:eastAsia="ScalaLancetPro"/>
          <w:sz w:val="24"/>
          <w:szCs w:val="24"/>
          <w:lang w:val="en-GB"/>
        </w:rPr>
        <w:t xml:space="preserve">the </w:t>
      </w:r>
      <w:r w:rsidR="004F25E8" w:rsidRPr="005766E3">
        <w:rPr>
          <w:rFonts w:eastAsia="ScalaLancetPro"/>
          <w:sz w:val="24"/>
          <w:szCs w:val="24"/>
          <w:lang w:val="en-GB"/>
        </w:rPr>
        <w:t>Global Lung Initiative</w:t>
      </w:r>
      <w:r w:rsidRPr="005766E3">
        <w:rPr>
          <w:rFonts w:eastAsia="ScalaLancetPro"/>
          <w:sz w:val="24"/>
          <w:szCs w:val="24"/>
          <w:lang w:val="en-GB"/>
        </w:rPr>
        <w:t xml:space="preserve"> </w:t>
      </w:r>
      <w:r w:rsidR="00DF201A">
        <w:rPr>
          <w:rFonts w:eastAsia="ScalaLancetPro"/>
          <w:sz w:val="24"/>
          <w:szCs w:val="24"/>
          <w:lang w:val="en-GB"/>
        </w:rPr>
        <w:t>were</w:t>
      </w:r>
      <w:r w:rsidRPr="005766E3">
        <w:rPr>
          <w:rFonts w:eastAsia="ScalaLancetPro"/>
          <w:sz w:val="24"/>
          <w:szCs w:val="24"/>
          <w:lang w:val="en-GB"/>
        </w:rPr>
        <w:t xml:space="preserve"> used to compute predicted FEV</w:t>
      </w:r>
      <w:r w:rsidRPr="005766E3">
        <w:rPr>
          <w:rFonts w:eastAsia="ScalaLancetPro"/>
          <w:sz w:val="24"/>
          <w:szCs w:val="24"/>
          <w:vertAlign w:val="subscript"/>
          <w:lang w:val="en-GB"/>
        </w:rPr>
        <w:t>1</w:t>
      </w:r>
      <w:r w:rsidR="004F25E8" w:rsidRPr="005766E3">
        <w:rPr>
          <w:rFonts w:eastAsia="ScalaLancetPro"/>
          <w:sz w:val="24"/>
          <w:szCs w:val="24"/>
          <w:vertAlign w:val="subscript"/>
          <w:lang w:val="en-GB"/>
        </w:rPr>
        <w:t xml:space="preserve"> </w:t>
      </w:r>
      <w:r w:rsidR="004F25E8" w:rsidRPr="005766E3">
        <w:rPr>
          <w:rFonts w:eastAsia="ScalaLancetPro"/>
          <w:sz w:val="24"/>
          <w:szCs w:val="24"/>
          <w:lang w:val="en-GB"/>
        </w:rPr>
        <w:t>and FVC</w:t>
      </w:r>
      <w:r w:rsidRPr="005766E3">
        <w:rPr>
          <w:rFonts w:eastAsia="ScalaLancetPro"/>
          <w:sz w:val="24"/>
          <w:szCs w:val="24"/>
          <w:lang w:val="en-GB"/>
        </w:rPr>
        <w:t xml:space="preserve">. </w:t>
      </w:r>
      <w:r w:rsidR="001B0E99">
        <w:rPr>
          <w:rFonts w:eastAsia="ScalaLancetPro"/>
          <w:noProof/>
          <w:sz w:val="24"/>
          <w:szCs w:val="24"/>
          <w:lang w:val="en-GB"/>
        </w:rPr>
        <w:t>(14)</w:t>
      </w:r>
      <w:r w:rsidR="004F25E8" w:rsidRPr="005766E3">
        <w:rPr>
          <w:rFonts w:eastAsia="ScalaLancetPro"/>
          <w:sz w:val="24"/>
          <w:szCs w:val="24"/>
          <w:lang w:val="en-GB"/>
        </w:rPr>
        <w:t xml:space="preserve"> </w:t>
      </w:r>
      <w:r w:rsidRPr="005766E3">
        <w:rPr>
          <w:rFonts w:eastAsia="ScalaLancetPro"/>
          <w:sz w:val="24"/>
          <w:szCs w:val="24"/>
          <w:lang w:val="en-GB"/>
        </w:rPr>
        <w:t>Weight and height we</w:t>
      </w:r>
      <w:r w:rsidR="00BE3D55">
        <w:rPr>
          <w:rFonts w:eastAsia="ScalaLancetPro"/>
          <w:sz w:val="24"/>
          <w:szCs w:val="24"/>
          <w:lang w:val="en-GB"/>
        </w:rPr>
        <w:t>re measured at the clinic visit</w:t>
      </w:r>
      <w:r w:rsidRPr="005766E3">
        <w:rPr>
          <w:rFonts w:eastAsia="ScalaLancetPro"/>
          <w:sz w:val="24"/>
          <w:szCs w:val="24"/>
          <w:lang w:val="en-GB"/>
        </w:rPr>
        <w:t xml:space="preserve"> and body mass index (BMI) calculated (weight (kg) / (</w:t>
      </w:r>
      <w:r w:rsidR="003A252B">
        <w:rPr>
          <w:rFonts w:eastAsia="ScalaLancetPro"/>
          <w:sz w:val="24"/>
          <w:szCs w:val="24"/>
          <w:lang w:val="en-GB"/>
        </w:rPr>
        <w:t>height</w:t>
      </w:r>
      <w:r w:rsidR="003A252B" w:rsidRPr="005766E3">
        <w:rPr>
          <w:rFonts w:eastAsia="ScalaLancetPro"/>
          <w:sz w:val="24"/>
          <w:szCs w:val="24"/>
          <w:lang w:val="en-GB"/>
        </w:rPr>
        <w:t xml:space="preserve"> </w:t>
      </w:r>
      <w:r w:rsidRPr="005766E3">
        <w:rPr>
          <w:rFonts w:eastAsia="ScalaLancetPro"/>
          <w:sz w:val="24"/>
          <w:szCs w:val="24"/>
          <w:lang w:val="en-GB"/>
        </w:rPr>
        <w:t>(m))</w:t>
      </w:r>
      <w:r w:rsidRPr="005766E3">
        <w:rPr>
          <w:rFonts w:eastAsia="ScalaLancetPro"/>
          <w:sz w:val="24"/>
          <w:szCs w:val="24"/>
          <w:vertAlign w:val="superscript"/>
          <w:lang w:val="en-GB"/>
        </w:rPr>
        <w:t>2</w:t>
      </w:r>
      <w:r w:rsidRPr="005766E3">
        <w:rPr>
          <w:rFonts w:eastAsia="ScalaLancetPro"/>
          <w:sz w:val="24"/>
          <w:szCs w:val="24"/>
          <w:lang w:val="en-GB"/>
        </w:rPr>
        <w:t>).</w:t>
      </w:r>
      <w:r w:rsidR="00236CAC" w:rsidRPr="005766E3">
        <w:rPr>
          <w:rFonts w:eastAsia="ScalaLancetPro"/>
          <w:sz w:val="24"/>
          <w:szCs w:val="24"/>
          <w:lang w:val="en-GB"/>
        </w:rPr>
        <w:t xml:space="preserve"> </w:t>
      </w:r>
    </w:p>
    <w:p w14:paraId="3A2CDEF4" w14:textId="77777777" w:rsidR="00F151F3" w:rsidRPr="005766E3" w:rsidRDefault="00F151F3" w:rsidP="00382E60">
      <w:pPr>
        <w:spacing w:line="360" w:lineRule="auto"/>
        <w:rPr>
          <w:rFonts w:eastAsia="ScalaLancetPro"/>
          <w:sz w:val="24"/>
          <w:szCs w:val="24"/>
          <w:lang w:val="en-GB"/>
        </w:rPr>
      </w:pPr>
    </w:p>
    <w:p w14:paraId="600004C7" w14:textId="4352A96F" w:rsidR="00B96DB4" w:rsidRPr="005766E3" w:rsidRDefault="00236CAC" w:rsidP="00DF581B">
      <w:pPr>
        <w:autoSpaceDE w:val="0"/>
        <w:autoSpaceDN w:val="0"/>
        <w:adjustRightInd w:val="0"/>
        <w:spacing w:line="360" w:lineRule="auto"/>
        <w:rPr>
          <w:sz w:val="24"/>
          <w:szCs w:val="24"/>
          <w:lang w:val="en-GB"/>
        </w:rPr>
      </w:pPr>
      <w:r w:rsidRPr="00197B35">
        <w:rPr>
          <w:rFonts w:eastAsia="ScalaLancetPro"/>
          <w:sz w:val="24"/>
          <w:szCs w:val="24"/>
          <w:lang w:val="en-GB"/>
        </w:rPr>
        <w:t>The part</w:t>
      </w:r>
      <w:r w:rsidR="0061246D" w:rsidRPr="00197B35">
        <w:rPr>
          <w:rFonts w:eastAsia="ScalaLancetPro"/>
          <w:sz w:val="24"/>
          <w:szCs w:val="24"/>
          <w:lang w:val="en-GB"/>
        </w:rPr>
        <w:t>i</w:t>
      </w:r>
      <w:r w:rsidRPr="00197B35">
        <w:rPr>
          <w:rFonts w:eastAsia="ScalaLancetPro"/>
          <w:sz w:val="24"/>
          <w:szCs w:val="24"/>
          <w:lang w:val="en-GB"/>
        </w:rPr>
        <w:t>cipants were asked to refrain from using sh</w:t>
      </w:r>
      <w:r w:rsidR="0053762D" w:rsidRPr="00197B35">
        <w:rPr>
          <w:rFonts w:eastAsia="ScalaLancetPro"/>
          <w:sz w:val="24"/>
          <w:szCs w:val="24"/>
          <w:lang w:val="en-GB"/>
        </w:rPr>
        <w:t>o</w:t>
      </w:r>
      <w:r w:rsidRPr="00197B35">
        <w:rPr>
          <w:rFonts w:eastAsia="ScalaLancetPro"/>
          <w:sz w:val="24"/>
          <w:szCs w:val="24"/>
          <w:lang w:val="en-GB"/>
        </w:rPr>
        <w:t>rt acting beta-2-ag</w:t>
      </w:r>
      <w:r w:rsidR="0053762D" w:rsidRPr="00197B35">
        <w:rPr>
          <w:rFonts w:eastAsia="ScalaLancetPro"/>
          <w:sz w:val="24"/>
          <w:szCs w:val="24"/>
          <w:lang w:val="en-GB"/>
        </w:rPr>
        <w:t>onis</w:t>
      </w:r>
      <w:r w:rsidRPr="00197B35">
        <w:rPr>
          <w:rFonts w:eastAsia="ScalaLancetPro"/>
          <w:sz w:val="24"/>
          <w:szCs w:val="24"/>
          <w:lang w:val="en-GB"/>
        </w:rPr>
        <w:t xml:space="preserve">ts </w:t>
      </w:r>
      <w:r w:rsidR="001A7DCD" w:rsidRPr="00197B35">
        <w:rPr>
          <w:rFonts w:eastAsia="ScalaLancetPro"/>
          <w:sz w:val="24"/>
          <w:szCs w:val="24"/>
          <w:lang w:val="en-GB"/>
        </w:rPr>
        <w:t xml:space="preserve">for at least </w:t>
      </w:r>
      <w:r w:rsidR="00052E4E" w:rsidRPr="00197B35">
        <w:rPr>
          <w:rFonts w:eastAsia="ScalaLancetPro"/>
          <w:sz w:val="24"/>
          <w:szCs w:val="24"/>
          <w:lang w:val="en-GB"/>
        </w:rPr>
        <w:t xml:space="preserve">six </w:t>
      </w:r>
      <w:r w:rsidR="001A7DCD" w:rsidRPr="00197B35">
        <w:rPr>
          <w:rFonts w:eastAsia="ScalaLancetPro"/>
          <w:sz w:val="24"/>
          <w:szCs w:val="24"/>
          <w:lang w:val="en-GB"/>
        </w:rPr>
        <w:t>hours long acting beta-2-agonist</w:t>
      </w:r>
      <w:r w:rsidR="00052E4E" w:rsidRPr="00197B35">
        <w:rPr>
          <w:rFonts w:eastAsia="ScalaLancetPro"/>
          <w:sz w:val="24"/>
          <w:szCs w:val="24"/>
          <w:lang w:val="en-GB"/>
        </w:rPr>
        <w:t xml:space="preserve"> for 12 hours and long acting antimuscarinic agents for 24 hours b</w:t>
      </w:r>
      <w:r w:rsidR="004C45D9">
        <w:rPr>
          <w:rFonts w:eastAsia="ScalaLancetPro"/>
          <w:sz w:val="24"/>
          <w:szCs w:val="24"/>
          <w:lang w:val="en-GB"/>
        </w:rPr>
        <w:t>efore performing the spirometry</w:t>
      </w:r>
      <w:r w:rsidR="001A7DCD" w:rsidRPr="00197B35">
        <w:rPr>
          <w:rFonts w:eastAsia="ScalaLancetPro"/>
          <w:sz w:val="24"/>
          <w:szCs w:val="24"/>
          <w:lang w:val="en-GB"/>
        </w:rPr>
        <w:t xml:space="preserve">. </w:t>
      </w:r>
      <w:r w:rsidR="00DF581B" w:rsidRPr="00197B35">
        <w:rPr>
          <w:rFonts w:eastAsia="ScalaLancetPro"/>
          <w:sz w:val="24"/>
          <w:szCs w:val="24"/>
          <w:lang w:val="en-GB"/>
        </w:rPr>
        <w:t>The</w:t>
      </w:r>
      <w:r w:rsidR="00DF581B">
        <w:rPr>
          <w:rFonts w:eastAsia="ScalaLancetPro"/>
          <w:sz w:val="24"/>
          <w:szCs w:val="24"/>
          <w:lang w:val="en-GB"/>
        </w:rPr>
        <w:t xml:space="preserve"> spirometry was rescheduled if the </w:t>
      </w:r>
      <w:r w:rsidR="0046258A" w:rsidRPr="005766E3">
        <w:rPr>
          <w:rFonts w:eastAsiaTheme="minorHAnsi"/>
          <w:sz w:val="24"/>
          <w:szCs w:val="24"/>
          <w:lang w:val="en-GB" w:eastAsia="en-US"/>
        </w:rPr>
        <w:t>participant had had a respiratory infection within the previous 4 weeks</w:t>
      </w:r>
      <w:r w:rsidR="00DF581B">
        <w:rPr>
          <w:rFonts w:eastAsiaTheme="minorHAnsi"/>
          <w:sz w:val="24"/>
          <w:szCs w:val="24"/>
          <w:lang w:val="en-GB" w:eastAsia="en-US"/>
        </w:rPr>
        <w:t xml:space="preserve">. </w:t>
      </w:r>
    </w:p>
    <w:p w14:paraId="6A490195" w14:textId="77777777" w:rsidR="00A36A32" w:rsidRPr="005766E3" w:rsidRDefault="00A36A32" w:rsidP="00382E60">
      <w:pPr>
        <w:spacing w:line="360" w:lineRule="auto"/>
        <w:rPr>
          <w:sz w:val="24"/>
          <w:szCs w:val="24"/>
          <w:lang w:val="en-GB"/>
        </w:rPr>
      </w:pPr>
    </w:p>
    <w:p w14:paraId="600004C8" w14:textId="34C4B257" w:rsidR="00F504C3" w:rsidRPr="005766E3" w:rsidRDefault="00A36A32" w:rsidP="00382E60">
      <w:pPr>
        <w:spacing w:line="360" w:lineRule="auto"/>
        <w:rPr>
          <w:sz w:val="24"/>
          <w:szCs w:val="24"/>
          <w:lang w:val="en-GB"/>
        </w:rPr>
      </w:pPr>
      <w:r w:rsidRPr="005766E3">
        <w:rPr>
          <w:sz w:val="24"/>
          <w:szCs w:val="24"/>
          <w:lang w:val="en-GB"/>
        </w:rPr>
        <w:t xml:space="preserve">This study included both flow related </w:t>
      </w:r>
      <w:r w:rsidR="009E1D01">
        <w:rPr>
          <w:sz w:val="24"/>
          <w:szCs w:val="24"/>
          <w:lang w:val="en-GB"/>
        </w:rPr>
        <w:t>bronchodilator reversibility</w:t>
      </w:r>
      <w:r w:rsidRPr="005766E3">
        <w:rPr>
          <w:sz w:val="24"/>
          <w:szCs w:val="24"/>
          <w:lang w:val="en-GB"/>
        </w:rPr>
        <w:t xml:space="preserve"> defined from change in FEV1 and volume related </w:t>
      </w:r>
      <w:r w:rsidR="009E1D01">
        <w:rPr>
          <w:sz w:val="24"/>
          <w:szCs w:val="24"/>
          <w:lang w:val="en-GB"/>
        </w:rPr>
        <w:t>bronchodilator reversibility</w:t>
      </w:r>
      <w:r w:rsidRPr="005766E3">
        <w:rPr>
          <w:sz w:val="24"/>
          <w:szCs w:val="24"/>
          <w:lang w:val="en-GB"/>
        </w:rPr>
        <w:t xml:space="preserve"> defined as change in FVC.</w:t>
      </w:r>
    </w:p>
    <w:p w14:paraId="3CA22D66" w14:textId="77777777" w:rsidR="00A36A32" w:rsidRPr="005766E3" w:rsidRDefault="00A36A32" w:rsidP="00382E60">
      <w:pPr>
        <w:spacing w:line="360" w:lineRule="auto"/>
        <w:rPr>
          <w:sz w:val="24"/>
          <w:szCs w:val="24"/>
          <w:lang w:val="en-GB"/>
        </w:rPr>
      </w:pPr>
    </w:p>
    <w:p w14:paraId="2B0804D9" w14:textId="4D06B9AF" w:rsidR="00752AFC" w:rsidRPr="009E1D01" w:rsidRDefault="00BE3D55" w:rsidP="00382E60">
      <w:pPr>
        <w:spacing w:line="360" w:lineRule="auto"/>
        <w:rPr>
          <w:sz w:val="24"/>
          <w:szCs w:val="24"/>
          <w:u w:val="single"/>
          <w:lang w:val="en-US"/>
        </w:rPr>
      </w:pPr>
      <w:r w:rsidRPr="009E1D01">
        <w:rPr>
          <w:sz w:val="24"/>
          <w:szCs w:val="24"/>
          <w:u w:val="single"/>
          <w:lang w:val="en-US"/>
        </w:rPr>
        <w:t xml:space="preserve">Flow related </w:t>
      </w:r>
      <w:r w:rsidR="009E1D01" w:rsidRPr="009E1D01">
        <w:rPr>
          <w:sz w:val="24"/>
          <w:szCs w:val="24"/>
          <w:u w:val="single"/>
          <w:lang w:val="en-GB"/>
        </w:rPr>
        <w:t>bronchodilator reversibility</w:t>
      </w:r>
    </w:p>
    <w:p w14:paraId="410F6523" w14:textId="3F61E512" w:rsidR="00BE3D55" w:rsidRDefault="00BE3D55" w:rsidP="00AD6E37">
      <w:pPr>
        <w:spacing w:line="360" w:lineRule="auto"/>
        <w:rPr>
          <w:lang w:val="en-GB"/>
        </w:rPr>
      </w:pPr>
      <w:r w:rsidRPr="00BE3D55">
        <w:rPr>
          <w:lang w:val="en-GB"/>
        </w:rPr>
        <w:t xml:space="preserve">Change in FEV1 </w:t>
      </w:r>
      <w:r w:rsidRPr="0088391B">
        <w:rPr>
          <w:u w:val="single"/>
          <w:lang w:val="en-GB"/>
        </w:rPr>
        <w:t>&gt;</w:t>
      </w:r>
      <w:r w:rsidR="00097A46" w:rsidRPr="00BE3D55">
        <w:rPr>
          <w:lang w:val="en-GB"/>
        </w:rPr>
        <w:t xml:space="preserve"> 12 </w:t>
      </w:r>
      <w:r>
        <w:rPr>
          <w:lang w:val="en-GB"/>
        </w:rPr>
        <w:t>a</w:t>
      </w:r>
      <w:r w:rsidRPr="00BE3D55">
        <w:rPr>
          <w:lang w:val="en-GB"/>
        </w:rPr>
        <w:t>s a percentage o</w:t>
      </w:r>
      <w:r>
        <w:rPr>
          <w:lang w:val="en-GB"/>
        </w:rPr>
        <w:t>f</w:t>
      </w:r>
      <w:r w:rsidRPr="00BE3D55">
        <w:rPr>
          <w:lang w:val="en-GB"/>
        </w:rPr>
        <w:t xml:space="preserve"> the baseline values</w:t>
      </w:r>
      <w:r w:rsidR="00AD6E37">
        <w:rPr>
          <w:lang w:val="en-GB"/>
        </w:rPr>
        <w:t>; c</w:t>
      </w:r>
      <w:r>
        <w:rPr>
          <w:lang w:val="en-GB"/>
        </w:rPr>
        <w:t xml:space="preserve">hange in FEV1 </w:t>
      </w:r>
      <w:r w:rsidRPr="0088391B">
        <w:rPr>
          <w:u w:val="single"/>
          <w:lang w:val="en-GB"/>
        </w:rPr>
        <w:t>&gt;</w:t>
      </w:r>
      <w:r>
        <w:rPr>
          <w:lang w:val="en-GB"/>
        </w:rPr>
        <w:t xml:space="preserve"> 10 expressed </w:t>
      </w:r>
      <w:r w:rsidR="003F266D">
        <w:rPr>
          <w:lang w:val="en-GB"/>
        </w:rPr>
        <w:t>in</w:t>
      </w:r>
      <w:r w:rsidRPr="00BE3D55">
        <w:rPr>
          <w:lang w:val="en-GB"/>
        </w:rPr>
        <w:t xml:space="preserve"> units of percent predicted</w:t>
      </w:r>
      <w:r w:rsidR="00AD6E37">
        <w:rPr>
          <w:lang w:val="en-GB"/>
        </w:rPr>
        <w:t xml:space="preserve"> </w:t>
      </w:r>
      <w:r w:rsidR="001B0E99" w:rsidRPr="001B0E99">
        <w:rPr>
          <w:noProof/>
          <w:lang w:val="en-US"/>
        </w:rPr>
        <w:t>(11)</w:t>
      </w:r>
      <w:r w:rsidR="00AD6E37">
        <w:rPr>
          <w:lang w:val="en-GB"/>
        </w:rPr>
        <w:t xml:space="preserve"> and change in FEV1 </w:t>
      </w:r>
      <w:r w:rsidR="00AD6E37" w:rsidRPr="0088391B">
        <w:rPr>
          <w:u w:val="single"/>
          <w:lang w:val="en-GB"/>
        </w:rPr>
        <w:t>&gt;</w:t>
      </w:r>
      <w:r w:rsidR="00AD6E37">
        <w:rPr>
          <w:lang w:val="en-GB"/>
        </w:rPr>
        <w:t>12  a</w:t>
      </w:r>
      <w:r w:rsidR="00AD6E37" w:rsidRPr="00AD6E37">
        <w:rPr>
          <w:lang w:val="en-GB"/>
        </w:rPr>
        <w:t xml:space="preserve">s a percentage on the baseline values in combination with increase in absolute volume </w:t>
      </w:r>
      <w:r w:rsidR="00AD6E37" w:rsidRPr="0088391B">
        <w:rPr>
          <w:u w:val="single"/>
          <w:lang w:val="en-GB"/>
        </w:rPr>
        <w:t>&gt;</w:t>
      </w:r>
      <w:r w:rsidR="00AD6E37" w:rsidRPr="00AD6E37">
        <w:rPr>
          <w:lang w:val="en-GB"/>
        </w:rPr>
        <w:t xml:space="preserve"> 200 mL</w:t>
      </w:r>
      <w:r w:rsidR="003B7728">
        <w:rPr>
          <w:lang w:val="en-GB"/>
        </w:rPr>
        <w:t>.</w:t>
      </w:r>
      <w:r w:rsidR="00AD6E37" w:rsidRPr="00AD6E37">
        <w:rPr>
          <w:noProof/>
          <w:lang w:val="en-GB"/>
        </w:rPr>
        <w:t>(1)</w:t>
      </w:r>
    </w:p>
    <w:p w14:paraId="311C06AC" w14:textId="77777777" w:rsidR="00BE3D55" w:rsidRDefault="00BE3D55" w:rsidP="00BE3D55">
      <w:pPr>
        <w:spacing w:line="360" w:lineRule="auto"/>
        <w:rPr>
          <w:lang w:val="en-GB"/>
        </w:rPr>
      </w:pPr>
    </w:p>
    <w:p w14:paraId="5F2DAB75" w14:textId="5D6E0846" w:rsidR="00AD6E37" w:rsidRPr="009E1D01" w:rsidRDefault="00AD6E37" w:rsidP="00BE3D55">
      <w:pPr>
        <w:spacing w:line="360" w:lineRule="auto"/>
        <w:rPr>
          <w:u w:val="single"/>
          <w:lang w:val="en-GB"/>
        </w:rPr>
      </w:pPr>
      <w:r w:rsidRPr="009E1D01">
        <w:rPr>
          <w:u w:val="single"/>
          <w:lang w:val="en-GB"/>
        </w:rPr>
        <w:t xml:space="preserve">Volume related </w:t>
      </w:r>
      <w:r w:rsidR="009E1D01" w:rsidRPr="009E1D01">
        <w:rPr>
          <w:sz w:val="24"/>
          <w:szCs w:val="24"/>
          <w:u w:val="single"/>
          <w:lang w:val="en-GB"/>
        </w:rPr>
        <w:t>bronchodilator reversibility</w:t>
      </w:r>
    </w:p>
    <w:p w14:paraId="3BD6124F" w14:textId="069099B6" w:rsidR="00A36A32" w:rsidRPr="003B7728" w:rsidRDefault="0088391B" w:rsidP="003B7728">
      <w:pPr>
        <w:spacing w:line="360" w:lineRule="auto"/>
        <w:rPr>
          <w:lang w:val="en-GB"/>
        </w:rPr>
      </w:pPr>
      <w:r w:rsidRPr="00BE3D55">
        <w:rPr>
          <w:lang w:val="en-GB"/>
        </w:rPr>
        <w:t>Change in F</w:t>
      </w:r>
      <w:r>
        <w:rPr>
          <w:lang w:val="en-GB"/>
        </w:rPr>
        <w:t>VC</w:t>
      </w:r>
      <w:r w:rsidRPr="00BE3D55">
        <w:rPr>
          <w:lang w:val="en-GB"/>
        </w:rPr>
        <w:t xml:space="preserve"> </w:t>
      </w:r>
      <w:r w:rsidRPr="0088391B">
        <w:rPr>
          <w:u w:val="single"/>
          <w:lang w:val="en-GB"/>
        </w:rPr>
        <w:t>&gt;</w:t>
      </w:r>
      <w:r w:rsidRPr="00BE3D55">
        <w:rPr>
          <w:lang w:val="en-GB"/>
        </w:rPr>
        <w:t xml:space="preserve"> </w:t>
      </w:r>
      <w:r>
        <w:rPr>
          <w:lang w:val="en-GB"/>
        </w:rPr>
        <w:t>10.5</w:t>
      </w:r>
      <w:r w:rsidRPr="00BE3D55">
        <w:rPr>
          <w:lang w:val="en-GB"/>
        </w:rPr>
        <w:t xml:space="preserve"> </w:t>
      </w:r>
      <w:r>
        <w:rPr>
          <w:lang w:val="en-GB"/>
        </w:rPr>
        <w:t>a</w:t>
      </w:r>
      <w:r w:rsidRPr="00BE3D55">
        <w:rPr>
          <w:lang w:val="en-GB"/>
        </w:rPr>
        <w:t>s a percentage o</w:t>
      </w:r>
      <w:r>
        <w:rPr>
          <w:lang w:val="en-GB"/>
        </w:rPr>
        <w:t>f</w:t>
      </w:r>
      <w:r w:rsidRPr="00BE3D55">
        <w:rPr>
          <w:lang w:val="en-GB"/>
        </w:rPr>
        <w:t xml:space="preserve"> the baseline values</w:t>
      </w:r>
      <w:r>
        <w:rPr>
          <w:lang w:val="en-GB"/>
        </w:rPr>
        <w:t xml:space="preserve">;  change in FVC </w:t>
      </w:r>
      <w:r w:rsidRPr="0088391B">
        <w:rPr>
          <w:u w:val="single"/>
          <w:lang w:val="en-GB"/>
        </w:rPr>
        <w:t>&gt;</w:t>
      </w:r>
      <w:r>
        <w:rPr>
          <w:lang w:val="en-GB"/>
        </w:rPr>
        <w:t xml:space="preserve"> 9.2 expressed i</w:t>
      </w:r>
      <w:r w:rsidRPr="00BE3D55">
        <w:rPr>
          <w:lang w:val="en-GB"/>
        </w:rPr>
        <w:t>n units of percent predicted</w:t>
      </w:r>
      <w:r>
        <w:rPr>
          <w:lang w:val="en-GB"/>
        </w:rPr>
        <w:t xml:space="preserve"> </w:t>
      </w:r>
      <w:r w:rsidR="001B0E99" w:rsidRPr="001B0E99">
        <w:rPr>
          <w:noProof/>
          <w:lang w:val="en-US"/>
        </w:rPr>
        <w:t>(11)</w:t>
      </w:r>
      <w:r>
        <w:rPr>
          <w:lang w:val="en-GB"/>
        </w:rPr>
        <w:t xml:space="preserve"> and change in FVC </w:t>
      </w:r>
      <w:r w:rsidRPr="0088391B">
        <w:rPr>
          <w:u w:val="single"/>
          <w:lang w:val="en-GB"/>
        </w:rPr>
        <w:t>&gt;</w:t>
      </w:r>
      <w:r>
        <w:rPr>
          <w:lang w:val="en-GB"/>
        </w:rPr>
        <w:t>10.5 a</w:t>
      </w:r>
      <w:r w:rsidRPr="00AD6E37">
        <w:rPr>
          <w:lang w:val="en-GB"/>
        </w:rPr>
        <w:t xml:space="preserve">s a percentage on the baseline values in combination with increase in absolute volume </w:t>
      </w:r>
      <w:r w:rsidRPr="0088391B">
        <w:rPr>
          <w:u w:val="single"/>
          <w:lang w:val="en-GB"/>
        </w:rPr>
        <w:t>&gt;</w:t>
      </w:r>
      <w:r w:rsidRPr="00AD6E37">
        <w:rPr>
          <w:lang w:val="en-GB"/>
        </w:rPr>
        <w:t xml:space="preserve"> </w:t>
      </w:r>
      <w:r>
        <w:rPr>
          <w:lang w:val="en-GB"/>
        </w:rPr>
        <w:t>32</w:t>
      </w:r>
      <w:r w:rsidRPr="00AD6E37">
        <w:rPr>
          <w:lang w:val="en-GB"/>
        </w:rPr>
        <w:t>0 mL</w:t>
      </w:r>
      <w:r w:rsidR="003B7728">
        <w:rPr>
          <w:lang w:val="en-GB"/>
        </w:rPr>
        <w:t>.</w:t>
      </w:r>
      <w:r w:rsidR="001B0E99" w:rsidRPr="001B0E99">
        <w:rPr>
          <w:noProof/>
          <w:lang w:val="en-US"/>
        </w:rPr>
        <w:t>(11)</w:t>
      </w:r>
    </w:p>
    <w:p w14:paraId="76F4624C" w14:textId="7E854902" w:rsidR="00A36A32" w:rsidRPr="005766E3" w:rsidRDefault="00A36A32" w:rsidP="00A36A32">
      <w:pPr>
        <w:spacing w:line="360" w:lineRule="auto"/>
        <w:rPr>
          <w:sz w:val="24"/>
          <w:szCs w:val="24"/>
          <w:lang w:val="en-GB"/>
        </w:rPr>
      </w:pPr>
    </w:p>
    <w:p w14:paraId="523BCE30" w14:textId="57B6EDB1" w:rsidR="00C165FF" w:rsidRPr="005766E3" w:rsidRDefault="002C27F3" w:rsidP="00382E60">
      <w:pPr>
        <w:spacing w:line="360" w:lineRule="auto"/>
        <w:rPr>
          <w:sz w:val="24"/>
          <w:szCs w:val="24"/>
          <w:lang w:val="en-GB"/>
        </w:rPr>
      </w:pPr>
      <w:r w:rsidRPr="005766E3">
        <w:rPr>
          <w:i/>
          <w:sz w:val="24"/>
          <w:szCs w:val="24"/>
          <w:lang w:val="en-GB"/>
        </w:rPr>
        <w:t>Assessment in partic</w:t>
      </w:r>
      <w:r w:rsidR="004E4734" w:rsidRPr="005766E3">
        <w:rPr>
          <w:i/>
          <w:sz w:val="24"/>
          <w:szCs w:val="24"/>
          <w:lang w:val="en-GB"/>
        </w:rPr>
        <w:t>i</w:t>
      </w:r>
      <w:r w:rsidRPr="005766E3">
        <w:rPr>
          <w:i/>
          <w:sz w:val="24"/>
          <w:szCs w:val="24"/>
          <w:lang w:val="en-GB"/>
        </w:rPr>
        <w:t>pants with current asthma</w:t>
      </w:r>
    </w:p>
    <w:p w14:paraId="3835A216" w14:textId="66BCE530" w:rsidR="002D17FB" w:rsidRPr="005766E3" w:rsidRDefault="00473E54" w:rsidP="00382E60">
      <w:pPr>
        <w:spacing w:line="360" w:lineRule="auto"/>
        <w:rPr>
          <w:sz w:val="24"/>
          <w:szCs w:val="24"/>
          <w:lang w:val="en-US"/>
        </w:rPr>
      </w:pPr>
      <w:r>
        <w:rPr>
          <w:sz w:val="24"/>
          <w:szCs w:val="24"/>
          <w:lang w:val="en-GB"/>
        </w:rPr>
        <w:t>Th</w:t>
      </w:r>
      <w:r w:rsidR="00D833A3">
        <w:rPr>
          <w:sz w:val="24"/>
          <w:szCs w:val="24"/>
          <w:lang w:val="en-GB"/>
        </w:rPr>
        <w:t xml:space="preserve">e association between </w:t>
      </w:r>
      <w:r w:rsidR="009E1D01">
        <w:rPr>
          <w:sz w:val="24"/>
          <w:szCs w:val="24"/>
          <w:lang w:val="en-GB"/>
        </w:rPr>
        <w:t>bronchodilator reversibility</w:t>
      </w:r>
      <w:r w:rsidR="00D833A3">
        <w:rPr>
          <w:sz w:val="24"/>
          <w:szCs w:val="24"/>
          <w:lang w:val="en-GB"/>
        </w:rPr>
        <w:t xml:space="preserve"> and the following variables was assed</w:t>
      </w:r>
      <w:r>
        <w:rPr>
          <w:sz w:val="24"/>
          <w:szCs w:val="24"/>
          <w:lang w:val="en-GB"/>
        </w:rPr>
        <w:t>: w</w:t>
      </w:r>
      <w:r w:rsidR="00C165FF" w:rsidRPr="005766E3">
        <w:rPr>
          <w:sz w:val="24"/>
          <w:szCs w:val="24"/>
          <w:lang w:val="en-GB"/>
        </w:rPr>
        <w:t xml:space="preserve">heeze, wheeze in combination with breathlessness, wheeze when not having a cold, </w:t>
      </w:r>
      <w:r w:rsidR="002C27F3" w:rsidRPr="005766E3">
        <w:rPr>
          <w:sz w:val="24"/>
          <w:szCs w:val="24"/>
          <w:lang w:val="en-GB"/>
        </w:rPr>
        <w:t xml:space="preserve">nocturnal chest tightness, attacks of breathlessness at rest, following activity and attacks of nocturnal cough in the last 12 months as well as habitual </w:t>
      </w:r>
      <w:r w:rsidR="00C165FF" w:rsidRPr="005766E3">
        <w:rPr>
          <w:sz w:val="24"/>
          <w:szCs w:val="24"/>
          <w:lang w:val="en-GB"/>
        </w:rPr>
        <w:t>cough</w:t>
      </w:r>
      <w:r w:rsidR="002C27F3" w:rsidRPr="005766E3">
        <w:rPr>
          <w:sz w:val="24"/>
          <w:szCs w:val="24"/>
          <w:lang w:val="en-GB"/>
        </w:rPr>
        <w:t xml:space="preserve"> (usually coughing in the morning or during daytime and chronic bronchitis (bringing up phlegm at least 3 months per year)</w:t>
      </w:r>
      <w:r w:rsidR="00C165FF" w:rsidRPr="005766E3">
        <w:rPr>
          <w:sz w:val="24"/>
          <w:szCs w:val="24"/>
          <w:lang w:val="en-GB"/>
        </w:rPr>
        <w:t xml:space="preserve">, </w:t>
      </w:r>
      <w:r w:rsidR="002C27F3" w:rsidRPr="005766E3">
        <w:rPr>
          <w:sz w:val="24"/>
          <w:szCs w:val="24"/>
          <w:lang w:val="en-GB"/>
        </w:rPr>
        <w:t>number of attacks of asthma in the last 3 months and nasal allergy.</w:t>
      </w:r>
      <w:r w:rsidR="002D17FB" w:rsidRPr="005766E3">
        <w:rPr>
          <w:sz w:val="24"/>
          <w:szCs w:val="24"/>
          <w:lang w:val="en-US"/>
        </w:rPr>
        <w:t xml:space="preserve"> </w:t>
      </w:r>
    </w:p>
    <w:p w14:paraId="333D09CB" w14:textId="7B9C2309" w:rsidR="002D17FB" w:rsidRPr="005766E3" w:rsidRDefault="002D17FB" w:rsidP="00382E60">
      <w:pPr>
        <w:spacing w:line="360" w:lineRule="auto"/>
        <w:rPr>
          <w:sz w:val="24"/>
          <w:szCs w:val="24"/>
          <w:lang w:val="en-GB"/>
        </w:rPr>
      </w:pPr>
      <w:r w:rsidRPr="005766E3">
        <w:rPr>
          <w:sz w:val="24"/>
          <w:szCs w:val="24"/>
          <w:lang w:val="en-US"/>
        </w:rPr>
        <w:t xml:space="preserve">Smoking </w:t>
      </w:r>
      <w:r w:rsidR="00E729DD">
        <w:rPr>
          <w:sz w:val="24"/>
          <w:szCs w:val="24"/>
          <w:lang w:val="en-US"/>
        </w:rPr>
        <w:t xml:space="preserve">history was </w:t>
      </w:r>
      <w:r w:rsidRPr="005766E3">
        <w:rPr>
          <w:sz w:val="24"/>
          <w:szCs w:val="24"/>
          <w:lang w:val="en-US"/>
        </w:rPr>
        <w:t>categorized as current, ex- and never-smokers</w:t>
      </w:r>
    </w:p>
    <w:p w14:paraId="0CB49C69" w14:textId="1E625516" w:rsidR="00473E54" w:rsidRDefault="002D17FB" w:rsidP="00382E60">
      <w:pPr>
        <w:spacing w:line="360" w:lineRule="auto"/>
        <w:rPr>
          <w:sz w:val="24"/>
          <w:szCs w:val="24"/>
          <w:lang w:val="en-GB"/>
        </w:rPr>
      </w:pPr>
      <w:r w:rsidRPr="005766E3">
        <w:rPr>
          <w:sz w:val="24"/>
          <w:szCs w:val="24"/>
          <w:lang w:val="en-GB"/>
        </w:rPr>
        <w:t xml:space="preserve">Information on allergic sensitisation </w:t>
      </w:r>
      <w:r w:rsidR="00473E54">
        <w:rPr>
          <w:sz w:val="24"/>
          <w:szCs w:val="24"/>
          <w:lang w:val="en-GB"/>
        </w:rPr>
        <w:t xml:space="preserve">was obtained </w:t>
      </w:r>
      <w:r w:rsidRPr="005766E3">
        <w:rPr>
          <w:sz w:val="24"/>
          <w:szCs w:val="24"/>
          <w:lang w:val="en-GB"/>
        </w:rPr>
        <w:t>through skin prick test</w:t>
      </w:r>
      <w:r w:rsidR="00473E54">
        <w:rPr>
          <w:sz w:val="24"/>
          <w:szCs w:val="24"/>
          <w:lang w:val="en-GB"/>
        </w:rPr>
        <w:t>.</w:t>
      </w:r>
      <w:r w:rsidR="00067E67">
        <w:rPr>
          <w:sz w:val="24"/>
          <w:szCs w:val="24"/>
          <w:lang w:val="en-GB"/>
        </w:rPr>
        <w:t xml:space="preserve"> </w:t>
      </w:r>
      <w:r w:rsidR="00D176DF">
        <w:rPr>
          <w:sz w:val="24"/>
          <w:szCs w:val="24"/>
          <w:lang w:val="en-GB"/>
        </w:rPr>
        <w:t xml:space="preserve">The following allergens were included: </w:t>
      </w:r>
      <w:r w:rsidR="00D176DF" w:rsidRPr="00D176DF">
        <w:rPr>
          <w:i/>
          <w:sz w:val="24"/>
          <w:szCs w:val="24"/>
          <w:lang w:val="en-GB"/>
        </w:rPr>
        <w:t>D</w:t>
      </w:r>
      <w:r w:rsidR="00F46A73">
        <w:rPr>
          <w:i/>
          <w:sz w:val="24"/>
          <w:szCs w:val="24"/>
          <w:lang w:val="en-GB"/>
        </w:rPr>
        <w:t>ertmatophagoides</w:t>
      </w:r>
      <w:r w:rsidR="00D176DF" w:rsidRPr="00D176DF">
        <w:rPr>
          <w:i/>
          <w:sz w:val="24"/>
          <w:szCs w:val="24"/>
          <w:lang w:val="en-GB"/>
        </w:rPr>
        <w:t xml:space="preserve"> pteronyssinus, </w:t>
      </w:r>
      <w:r w:rsidR="00F46A73" w:rsidRPr="00D176DF">
        <w:rPr>
          <w:i/>
          <w:sz w:val="24"/>
          <w:szCs w:val="24"/>
          <w:lang w:val="en-GB"/>
        </w:rPr>
        <w:t>D</w:t>
      </w:r>
      <w:r w:rsidR="00F46A73">
        <w:rPr>
          <w:i/>
          <w:sz w:val="24"/>
          <w:szCs w:val="24"/>
          <w:lang w:val="en-GB"/>
        </w:rPr>
        <w:t>ertmatophagoides</w:t>
      </w:r>
      <w:r w:rsidR="00D176DF" w:rsidRPr="00D176DF">
        <w:rPr>
          <w:i/>
          <w:sz w:val="24"/>
          <w:szCs w:val="24"/>
          <w:lang w:val="en-GB"/>
        </w:rPr>
        <w:t xml:space="preserve"> farinae</w:t>
      </w:r>
      <w:r w:rsidR="00D176DF" w:rsidRPr="00D176DF">
        <w:rPr>
          <w:sz w:val="24"/>
          <w:szCs w:val="24"/>
          <w:lang w:val="en-GB"/>
        </w:rPr>
        <w:t xml:space="preserve">, timothy grass, ragweed, cat, </w:t>
      </w:r>
      <w:r w:rsidR="00D176DF" w:rsidRPr="00D176DF">
        <w:rPr>
          <w:i/>
          <w:sz w:val="24"/>
          <w:szCs w:val="24"/>
          <w:lang w:val="en-GB"/>
        </w:rPr>
        <w:t>Cladosporium herbarum</w:t>
      </w:r>
      <w:r w:rsidR="00D176DF" w:rsidRPr="00D176DF">
        <w:rPr>
          <w:sz w:val="24"/>
          <w:szCs w:val="24"/>
          <w:lang w:val="en-GB"/>
        </w:rPr>
        <w:t xml:space="preserve">, </w:t>
      </w:r>
      <w:r w:rsidR="00D176DF" w:rsidRPr="00F46A73">
        <w:rPr>
          <w:i/>
          <w:sz w:val="24"/>
          <w:szCs w:val="24"/>
          <w:lang w:val="en-GB"/>
        </w:rPr>
        <w:t>Alternaria tenuis</w:t>
      </w:r>
      <w:r w:rsidR="00D176DF" w:rsidRPr="00D176DF">
        <w:rPr>
          <w:sz w:val="24"/>
          <w:szCs w:val="24"/>
          <w:lang w:val="en-GB"/>
        </w:rPr>
        <w:t>, Parietaria, Cockroach, Olive</w:t>
      </w:r>
      <w:r w:rsidR="00E07D73">
        <w:rPr>
          <w:sz w:val="24"/>
          <w:szCs w:val="24"/>
          <w:lang w:val="en-GB"/>
        </w:rPr>
        <w:t xml:space="preserve"> and</w:t>
      </w:r>
      <w:r w:rsidR="00D176DF" w:rsidRPr="00D176DF">
        <w:rPr>
          <w:sz w:val="24"/>
          <w:szCs w:val="24"/>
          <w:lang w:val="en-GB"/>
        </w:rPr>
        <w:t xml:space="preserve"> Birch</w:t>
      </w:r>
      <w:r w:rsidR="00E07D73">
        <w:rPr>
          <w:sz w:val="24"/>
          <w:szCs w:val="24"/>
          <w:lang w:val="en-GB"/>
        </w:rPr>
        <w:t>.</w:t>
      </w:r>
      <w:r w:rsidR="00D176DF" w:rsidRPr="00D176DF">
        <w:rPr>
          <w:sz w:val="24"/>
          <w:szCs w:val="24"/>
          <w:lang w:val="en-GB"/>
        </w:rPr>
        <w:t xml:space="preserve"> </w:t>
      </w:r>
      <w:r w:rsidR="00F46A73">
        <w:rPr>
          <w:sz w:val="24"/>
          <w:szCs w:val="24"/>
          <w:lang w:val="en-GB"/>
        </w:rPr>
        <w:t>T</w:t>
      </w:r>
      <w:r w:rsidR="00067E67">
        <w:rPr>
          <w:sz w:val="24"/>
          <w:szCs w:val="24"/>
          <w:lang w:val="en-GB"/>
        </w:rPr>
        <w:t>h</w:t>
      </w:r>
      <w:r w:rsidR="00D07866">
        <w:rPr>
          <w:sz w:val="24"/>
          <w:szCs w:val="24"/>
          <w:lang w:val="en-GB"/>
        </w:rPr>
        <w:t>ese</w:t>
      </w:r>
      <w:r w:rsidR="00067E67">
        <w:rPr>
          <w:sz w:val="24"/>
          <w:szCs w:val="24"/>
          <w:lang w:val="en-GB"/>
        </w:rPr>
        <w:t xml:space="preserve"> data </w:t>
      </w:r>
      <w:r w:rsidR="00D07866">
        <w:rPr>
          <w:sz w:val="24"/>
          <w:szCs w:val="24"/>
          <w:lang w:val="en-GB"/>
        </w:rPr>
        <w:t>were</w:t>
      </w:r>
      <w:r w:rsidR="00067E67">
        <w:rPr>
          <w:sz w:val="24"/>
          <w:szCs w:val="24"/>
          <w:lang w:val="en-GB"/>
        </w:rPr>
        <w:t xml:space="preserve"> </w:t>
      </w:r>
      <w:r w:rsidR="00D833A3">
        <w:rPr>
          <w:sz w:val="24"/>
          <w:szCs w:val="24"/>
          <w:lang w:val="en-GB"/>
        </w:rPr>
        <w:t xml:space="preserve">not </w:t>
      </w:r>
      <w:r w:rsidR="00067E67">
        <w:rPr>
          <w:sz w:val="24"/>
          <w:szCs w:val="24"/>
          <w:lang w:val="en-GB"/>
        </w:rPr>
        <w:t xml:space="preserve">available </w:t>
      </w:r>
      <w:r w:rsidR="00D833A3">
        <w:rPr>
          <w:sz w:val="24"/>
          <w:szCs w:val="24"/>
          <w:lang w:val="en-GB"/>
        </w:rPr>
        <w:t>in the BOLD</w:t>
      </w:r>
      <w:r w:rsidR="00067E67">
        <w:rPr>
          <w:sz w:val="24"/>
          <w:szCs w:val="24"/>
          <w:lang w:val="en-GB"/>
        </w:rPr>
        <w:t xml:space="preserve"> study.</w:t>
      </w:r>
    </w:p>
    <w:p w14:paraId="5A78102B" w14:textId="77777777" w:rsidR="00F46A73" w:rsidRDefault="00F46A73" w:rsidP="00382E60">
      <w:pPr>
        <w:spacing w:line="360" w:lineRule="auto"/>
        <w:rPr>
          <w:sz w:val="24"/>
          <w:szCs w:val="24"/>
          <w:lang w:val="en-GB"/>
        </w:rPr>
      </w:pPr>
    </w:p>
    <w:p w14:paraId="7391F3A5" w14:textId="647DD383" w:rsidR="002D17FB" w:rsidRPr="005766E3" w:rsidRDefault="00473E54" w:rsidP="00382E60">
      <w:pPr>
        <w:spacing w:line="360" w:lineRule="auto"/>
        <w:rPr>
          <w:sz w:val="24"/>
          <w:szCs w:val="24"/>
          <w:lang w:val="en-GB"/>
        </w:rPr>
      </w:pPr>
      <w:r>
        <w:rPr>
          <w:sz w:val="24"/>
          <w:szCs w:val="24"/>
          <w:lang w:val="en-GB"/>
        </w:rPr>
        <w:t>Me</w:t>
      </w:r>
      <w:r w:rsidR="002D17FB" w:rsidRPr="005766E3">
        <w:rPr>
          <w:sz w:val="24"/>
          <w:szCs w:val="24"/>
          <w:lang w:val="en-GB"/>
        </w:rPr>
        <w:t>asurement of exhaled nitric oxide (FeNO)</w:t>
      </w:r>
      <w:r>
        <w:rPr>
          <w:sz w:val="24"/>
          <w:szCs w:val="24"/>
          <w:lang w:val="en-GB"/>
        </w:rPr>
        <w:t xml:space="preserve"> was </w:t>
      </w:r>
      <w:r w:rsidR="00E07D73">
        <w:rPr>
          <w:sz w:val="24"/>
          <w:szCs w:val="24"/>
          <w:lang w:val="en-GB"/>
        </w:rPr>
        <w:t>performed</w:t>
      </w:r>
      <w:r>
        <w:rPr>
          <w:sz w:val="24"/>
          <w:szCs w:val="24"/>
          <w:lang w:val="en-GB"/>
        </w:rPr>
        <w:t xml:space="preserve"> using the</w:t>
      </w:r>
      <w:r w:rsidR="00067E67" w:rsidRPr="00067E67">
        <w:rPr>
          <w:sz w:val="24"/>
          <w:szCs w:val="24"/>
          <w:lang w:val="en-GB"/>
        </w:rPr>
        <w:t xml:space="preserve"> NIOX MINO (Aerocrine, Stockholm, Sweden)</w:t>
      </w:r>
      <w:r w:rsidR="002D17FB" w:rsidRPr="005766E3">
        <w:rPr>
          <w:sz w:val="24"/>
          <w:szCs w:val="24"/>
          <w:lang w:val="en-GB"/>
        </w:rPr>
        <w:t>.</w:t>
      </w:r>
      <w:r w:rsidR="00067E67">
        <w:rPr>
          <w:sz w:val="24"/>
          <w:szCs w:val="24"/>
          <w:lang w:val="en-GB"/>
        </w:rPr>
        <w:t xml:space="preserve"> Th</w:t>
      </w:r>
      <w:r w:rsidR="00E07D73">
        <w:rPr>
          <w:sz w:val="24"/>
          <w:szCs w:val="24"/>
          <w:lang w:val="en-GB"/>
        </w:rPr>
        <w:t>ese</w:t>
      </w:r>
      <w:r w:rsidR="00067E67">
        <w:rPr>
          <w:sz w:val="24"/>
          <w:szCs w:val="24"/>
          <w:lang w:val="en-GB"/>
        </w:rPr>
        <w:t xml:space="preserve"> data w</w:t>
      </w:r>
      <w:r w:rsidR="00E07D73">
        <w:rPr>
          <w:sz w:val="24"/>
          <w:szCs w:val="24"/>
          <w:lang w:val="en-GB"/>
        </w:rPr>
        <w:t xml:space="preserve">ere </w:t>
      </w:r>
      <w:r w:rsidR="00067E67">
        <w:rPr>
          <w:sz w:val="24"/>
          <w:szCs w:val="24"/>
          <w:lang w:val="en-GB"/>
        </w:rPr>
        <w:t>only available from the ECRHS III and the Swedish cent</w:t>
      </w:r>
      <w:r w:rsidR="0094712D">
        <w:rPr>
          <w:sz w:val="24"/>
          <w:szCs w:val="24"/>
          <w:lang w:val="en-GB"/>
        </w:rPr>
        <w:t>res in the GA2LEN study</w:t>
      </w:r>
      <w:r w:rsidR="00067E67">
        <w:rPr>
          <w:sz w:val="24"/>
          <w:szCs w:val="24"/>
          <w:lang w:val="en-GB"/>
        </w:rPr>
        <w:t>.</w:t>
      </w:r>
      <w:r w:rsidR="0094712D">
        <w:rPr>
          <w:sz w:val="24"/>
          <w:szCs w:val="24"/>
          <w:lang w:val="en-GB"/>
        </w:rPr>
        <w:t xml:space="preserve"> </w:t>
      </w:r>
      <w:r w:rsidR="001B0E99">
        <w:rPr>
          <w:noProof/>
          <w:sz w:val="24"/>
          <w:szCs w:val="24"/>
          <w:lang w:val="en-GB"/>
        </w:rPr>
        <w:t>(15)</w:t>
      </w:r>
    </w:p>
    <w:p w14:paraId="1C633598" w14:textId="5D8CB3BE" w:rsidR="00C165FF" w:rsidRPr="005766E3" w:rsidRDefault="00C165FF" w:rsidP="00382E60">
      <w:pPr>
        <w:spacing w:line="360" w:lineRule="auto"/>
        <w:rPr>
          <w:sz w:val="24"/>
          <w:szCs w:val="24"/>
          <w:lang w:val="en-GB"/>
        </w:rPr>
      </w:pPr>
    </w:p>
    <w:p w14:paraId="41CB0E40" w14:textId="6A1AF575" w:rsidR="004E4734" w:rsidRPr="005766E3" w:rsidRDefault="004E4734" w:rsidP="004E4734">
      <w:pPr>
        <w:spacing w:line="360" w:lineRule="auto"/>
        <w:rPr>
          <w:sz w:val="24"/>
          <w:szCs w:val="24"/>
          <w:lang w:val="en-GB"/>
        </w:rPr>
      </w:pPr>
      <w:r w:rsidRPr="005766E3">
        <w:rPr>
          <w:i/>
          <w:sz w:val="24"/>
          <w:szCs w:val="24"/>
          <w:lang w:val="en-GB"/>
        </w:rPr>
        <w:t>Assessment in participants with COPD</w:t>
      </w:r>
    </w:p>
    <w:p w14:paraId="6D50AFC3" w14:textId="0654B285" w:rsidR="00C165FF" w:rsidRPr="005766E3" w:rsidRDefault="00D833A3" w:rsidP="004E4734">
      <w:pPr>
        <w:spacing w:line="360" w:lineRule="auto"/>
        <w:rPr>
          <w:sz w:val="24"/>
          <w:szCs w:val="24"/>
          <w:lang w:val="en-GB"/>
        </w:rPr>
      </w:pPr>
      <w:r>
        <w:rPr>
          <w:sz w:val="24"/>
          <w:szCs w:val="24"/>
          <w:lang w:val="en-GB"/>
        </w:rPr>
        <w:t xml:space="preserve">The association between </w:t>
      </w:r>
      <w:r w:rsidR="009E1D01">
        <w:rPr>
          <w:sz w:val="24"/>
          <w:szCs w:val="24"/>
          <w:lang w:val="en-GB"/>
        </w:rPr>
        <w:t>bronchodilator reversibility</w:t>
      </w:r>
      <w:r>
        <w:rPr>
          <w:sz w:val="24"/>
          <w:szCs w:val="24"/>
          <w:lang w:val="en-GB"/>
        </w:rPr>
        <w:t xml:space="preserve"> and the following variables was asse</w:t>
      </w:r>
      <w:r w:rsidR="00E07D73">
        <w:rPr>
          <w:sz w:val="24"/>
          <w:szCs w:val="24"/>
          <w:lang w:val="en-GB"/>
        </w:rPr>
        <w:t>sse</w:t>
      </w:r>
      <w:r>
        <w:rPr>
          <w:sz w:val="24"/>
          <w:szCs w:val="24"/>
          <w:lang w:val="en-GB"/>
        </w:rPr>
        <w:t>d: w</w:t>
      </w:r>
      <w:r w:rsidR="002C27F3" w:rsidRPr="005766E3">
        <w:rPr>
          <w:sz w:val="24"/>
          <w:szCs w:val="24"/>
          <w:lang w:val="en-GB"/>
        </w:rPr>
        <w:t>heeze, wheeze in combination with breathlessness,</w:t>
      </w:r>
      <w:r w:rsidR="004E4734" w:rsidRPr="005766E3">
        <w:rPr>
          <w:sz w:val="24"/>
          <w:szCs w:val="24"/>
          <w:lang w:val="en-GB"/>
        </w:rPr>
        <w:t xml:space="preserve"> wheeze when not having a cold,</w:t>
      </w:r>
      <w:r w:rsidR="00067E67">
        <w:rPr>
          <w:sz w:val="24"/>
          <w:szCs w:val="24"/>
          <w:lang w:val="en-GB"/>
        </w:rPr>
        <w:t xml:space="preserve"> </w:t>
      </w:r>
      <w:r w:rsidR="00547D0B">
        <w:rPr>
          <w:sz w:val="24"/>
          <w:szCs w:val="24"/>
          <w:lang w:val="en-GB"/>
        </w:rPr>
        <w:t>in the last 12 months,</w:t>
      </w:r>
      <w:r w:rsidR="002C27F3" w:rsidRPr="005766E3">
        <w:rPr>
          <w:sz w:val="24"/>
          <w:szCs w:val="24"/>
          <w:lang w:val="en-GB"/>
        </w:rPr>
        <w:t xml:space="preserve"> habitual cough (usually coughing in the morning or during daytime and chronic bronchitis (bringing up phlegm at least 3 months per year), and dyspnoea assessed with the modified Medical Research Council scale</w:t>
      </w:r>
      <w:r w:rsidR="004E4734" w:rsidRPr="005766E3">
        <w:rPr>
          <w:sz w:val="24"/>
          <w:szCs w:val="24"/>
          <w:lang w:val="en-GB"/>
        </w:rPr>
        <w:t xml:space="preserve"> and exacerbations (</w:t>
      </w:r>
      <w:r w:rsidR="000811B2" w:rsidRPr="005766E3">
        <w:rPr>
          <w:sz w:val="24"/>
          <w:szCs w:val="24"/>
          <w:lang w:val="en-GB"/>
        </w:rPr>
        <w:t xml:space="preserve"> having breathing problems that got so bad that the subject had to see a health provided or become hospitalised.</w:t>
      </w:r>
      <w:r w:rsidR="004E4734" w:rsidRPr="005766E3">
        <w:rPr>
          <w:sz w:val="24"/>
          <w:szCs w:val="24"/>
          <w:lang w:val="en-GB"/>
        </w:rPr>
        <w:t>)</w:t>
      </w:r>
    </w:p>
    <w:p w14:paraId="1CE2689C" w14:textId="5199EFB7" w:rsidR="001A7DCD" w:rsidRPr="005766E3" w:rsidRDefault="002D17FB" w:rsidP="001A7DCD">
      <w:pPr>
        <w:spacing w:line="360" w:lineRule="auto"/>
        <w:rPr>
          <w:sz w:val="24"/>
          <w:szCs w:val="24"/>
          <w:lang w:val="en-US"/>
        </w:rPr>
      </w:pPr>
      <w:r w:rsidRPr="005766E3">
        <w:rPr>
          <w:sz w:val="24"/>
          <w:szCs w:val="24"/>
          <w:lang w:val="en-US"/>
        </w:rPr>
        <w:t xml:space="preserve">Smoking </w:t>
      </w:r>
      <w:r w:rsidR="00E729DD">
        <w:rPr>
          <w:sz w:val="24"/>
          <w:szCs w:val="24"/>
          <w:lang w:val="en-US"/>
        </w:rPr>
        <w:t xml:space="preserve">history was </w:t>
      </w:r>
      <w:r w:rsidRPr="005766E3">
        <w:rPr>
          <w:sz w:val="24"/>
          <w:szCs w:val="24"/>
          <w:lang w:val="en-US"/>
        </w:rPr>
        <w:t>categ</w:t>
      </w:r>
      <w:r w:rsidR="001A7DCD" w:rsidRPr="005766E3">
        <w:rPr>
          <w:sz w:val="24"/>
          <w:szCs w:val="24"/>
          <w:lang w:val="en-US"/>
        </w:rPr>
        <w:t xml:space="preserve">orized as </w:t>
      </w:r>
      <w:r w:rsidR="00D833A3" w:rsidRPr="005766E3">
        <w:rPr>
          <w:sz w:val="24"/>
          <w:szCs w:val="24"/>
          <w:lang w:val="en-US"/>
        </w:rPr>
        <w:t>ex</w:t>
      </w:r>
      <w:r w:rsidR="00D833A3">
        <w:rPr>
          <w:sz w:val="24"/>
          <w:szCs w:val="24"/>
          <w:lang w:val="en-US"/>
        </w:rPr>
        <w:t>-smokers</w:t>
      </w:r>
      <w:r w:rsidR="001A7DCD" w:rsidRPr="005766E3">
        <w:rPr>
          <w:sz w:val="24"/>
          <w:szCs w:val="24"/>
          <w:lang w:val="en-US"/>
        </w:rPr>
        <w:t xml:space="preserve"> and </w:t>
      </w:r>
      <w:r w:rsidR="00BA62C2">
        <w:rPr>
          <w:sz w:val="24"/>
          <w:szCs w:val="24"/>
          <w:lang w:val="en-US"/>
        </w:rPr>
        <w:t xml:space="preserve">current </w:t>
      </w:r>
      <w:r w:rsidR="001A7DCD" w:rsidRPr="005766E3">
        <w:rPr>
          <w:sz w:val="24"/>
          <w:szCs w:val="24"/>
          <w:lang w:val="en-US"/>
        </w:rPr>
        <w:t>smokers</w:t>
      </w:r>
      <w:r w:rsidR="00D833A3">
        <w:rPr>
          <w:sz w:val="24"/>
          <w:szCs w:val="24"/>
          <w:lang w:val="en-US"/>
        </w:rPr>
        <w:t>.</w:t>
      </w:r>
    </w:p>
    <w:p w14:paraId="59C3F0F1" w14:textId="77777777" w:rsidR="001A7DCD" w:rsidRPr="005766E3" w:rsidRDefault="001A7DCD" w:rsidP="001A7DCD">
      <w:pPr>
        <w:spacing w:line="360" w:lineRule="auto"/>
        <w:rPr>
          <w:sz w:val="24"/>
          <w:szCs w:val="24"/>
          <w:lang w:val="en-US"/>
        </w:rPr>
      </w:pPr>
    </w:p>
    <w:p w14:paraId="07C08E8D" w14:textId="3F2BC77D" w:rsidR="002D17FB" w:rsidRDefault="001A7DCD" w:rsidP="001A7DCD">
      <w:pPr>
        <w:spacing w:line="360" w:lineRule="auto"/>
        <w:rPr>
          <w:sz w:val="24"/>
          <w:szCs w:val="24"/>
          <w:lang w:val="en-US"/>
        </w:rPr>
      </w:pPr>
      <w:r w:rsidRPr="005766E3">
        <w:rPr>
          <w:sz w:val="24"/>
          <w:szCs w:val="24"/>
          <w:lang w:val="en-US"/>
        </w:rPr>
        <w:t>Health status was assessed by the SF-12 questionnaire (version 2</w:t>
      </w:r>
      <w:r w:rsidR="00E06808">
        <w:rPr>
          <w:sz w:val="24"/>
          <w:szCs w:val="24"/>
          <w:lang w:val="en-US"/>
        </w:rPr>
        <w:t>)</w:t>
      </w:r>
      <w:r w:rsidRPr="005766E3">
        <w:rPr>
          <w:sz w:val="24"/>
          <w:szCs w:val="24"/>
          <w:lang w:val="en-US"/>
        </w:rPr>
        <w:t xml:space="preserve">. The physical (PCS) and mental health (MCS) component scores were calculated with higher values indicating better health status. </w:t>
      </w:r>
      <w:r w:rsidR="001B0E99">
        <w:rPr>
          <w:noProof/>
          <w:sz w:val="24"/>
          <w:szCs w:val="24"/>
          <w:lang w:val="en-US"/>
        </w:rPr>
        <w:t>(16)</w:t>
      </w:r>
      <w:r w:rsidR="00067E67">
        <w:rPr>
          <w:sz w:val="24"/>
          <w:szCs w:val="24"/>
          <w:lang w:val="en-US"/>
        </w:rPr>
        <w:t xml:space="preserve"> This infor</w:t>
      </w:r>
      <w:r w:rsidR="00CA1CD7">
        <w:rPr>
          <w:sz w:val="24"/>
          <w:szCs w:val="24"/>
          <w:lang w:val="en-US"/>
        </w:rPr>
        <w:t>ma</w:t>
      </w:r>
      <w:r w:rsidR="00067E67">
        <w:rPr>
          <w:sz w:val="24"/>
          <w:szCs w:val="24"/>
          <w:lang w:val="en-US"/>
        </w:rPr>
        <w:t>tion was only available from the BOLD study.</w:t>
      </w:r>
    </w:p>
    <w:p w14:paraId="6E3198D3" w14:textId="1CF68166" w:rsidR="00B57865" w:rsidRDefault="00B57865" w:rsidP="001A7DCD">
      <w:pPr>
        <w:spacing w:line="360" w:lineRule="auto"/>
        <w:rPr>
          <w:sz w:val="24"/>
          <w:szCs w:val="24"/>
          <w:lang w:val="en-US"/>
        </w:rPr>
      </w:pPr>
    </w:p>
    <w:p w14:paraId="7C4908C7" w14:textId="4724CDBD" w:rsidR="00007081" w:rsidRPr="005766E3" w:rsidRDefault="00007081" w:rsidP="00382E60">
      <w:pPr>
        <w:spacing w:line="360" w:lineRule="auto"/>
        <w:rPr>
          <w:i/>
          <w:sz w:val="24"/>
          <w:szCs w:val="24"/>
          <w:lang w:val="en-US"/>
        </w:rPr>
      </w:pPr>
      <w:r w:rsidRPr="005766E3">
        <w:rPr>
          <w:i/>
          <w:sz w:val="24"/>
          <w:szCs w:val="24"/>
          <w:lang w:val="en-US"/>
        </w:rPr>
        <w:t>Statistical analyses</w:t>
      </w:r>
    </w:p>
    <w:p w14:paraId="5B104F93" w14:textId="7B4FAA85" w:rsidR="00236CAC" w:rsidRDefault="00207056" w:rsidP="00207056">
      <w:pPr>
        <w:spacing w:line="360" w:lineRule="auto"/>
        <w:rPr>
          <w:sz w:val="24"/>
          <w:szCs w:val="24"/>
          <w:lang w:val="en-US"/>
        </w:rPr>
      </w:pPr>
      <w:r w:rsidRPr="005766E3">
        <w:rPr>
          <w:sz w:val="24"/>
          <w:szCs w:val="24"/>
          <w:lang w:val="en-US"/>
        </w:rPr>
        <w:t xml:space="preserve">The prevalence of </w:t>
      </w:r>
      <w:r w:rsidR="009E1D01">
        <w:rPr>
          <w:sz w:val="24"/>
          <w:szCs w:val="24"/>
          <w:lang w:val="en-GB"/>
        </w:rPr>
        <w:t>bronchodilator reversibility</w:t>
      </w:r>
      <w:r w:rsidRPr="005766E3">
        <w:rPr>
          <w:sz w:val="24"/>
          <w:szCs w:val="24"/>
          <w:lang w:val="en-US"/>
        </w:rPr>
        <w:t xml:space="preserve"> in the three groups of participants was calculated. Differences between the groups was </w:t>
      </w:r>
      <w:r w:rsidR="00E07D73">
        <w:rPr>
          <w:sz w:val="24"/>
          <w:szCs w:val="24"/>
          <w:lang w:val="en-US"/>
        </w:rPr>
        <w:t>assessed</w:t>
      </w:r>
      <w:r w:rsidRPr="005766E3">
        <w:rPr>
          <w:sz w:val="24"/>
          <w:szCs w:val="24"/>
          <w:lang w:val="en-US"/>
        </w:rPr>
        <w:t xml:space="preserve"> using Chi squared test and, in order to adjust for pre bronchodilator FEV1, multiple logistic regression. Chi sq</w:t>
      </w:r>
      <w:r w:rsidR="00067E67">
        <w:rPr>
          <w:sz w:val="24"/>
          <w:szCs w:val="24"/>
          <w:lang w:val="en-US"/>
        </w:rPr>
        <w:t>u</w:t>
      </w:r>
      <w:r w:rsidRPr="005766E3">
        <w:rPr>
          <w:sz w:val="24"/>
          <w:szCs w:val="24"/>
          <w:lang w:val="en-US"/>
        </w:rPr>
        <w:t xml:space="preserve">ared test and </w:t>
      </w:r>
      <w:r w:rsidR="00FE6F71" w:rsidRPr="005766E3">
        <w:rPr>
          <w:sz w:val="24"/>
          <w:szCs w:val="24"/>
          <w:lang w:val="en-US"/>
        </w:rPr>
        <w:t>multi</w:t>
      </w:r>
      <w:r w:rsidR="00FE6F71">
        <w:rPr>
          <w:sz w:val="24"/>
          <w:szCs w:val="24"/>
          <w:lang w:val="en-US"/>
        </w:rPr>
        <w:t>variable</w:t>
      </w:r>
      <w:r w:rsidR="00FE6F71" w:rsidRPr="005766E3">
        <w:rPr>
          <w:sz w:val="24"/>
          <w:szCs w:val="24"/>
          <w:lang w:val="en-US"/>
        </w:rPr>
        <w:t xml:space="preserve"> </w:t>
      </w:r>
      <w:r w:rsidRPr="005766E3">
        <w:rPr>
          <w:sz w:val="24"/>
          <w:szCs w:val="24"/>
          <w:lang w:val="en-US"/>
        </w:rPr>
        <w:t>logistic regression was used wh</w:t>
      </w:r>
      <w:r w:rsidR="00E729DD">
        <w:rPr>
          <w:sz w:val="24"/>
          <w:szCs w:val="24"/>
          <w:lang w:val="en-US"/>
        </w:rPr>
        <w:t>en</w:t>
      </w:r>
      <w:r w:rsidRPr="005766E3">
        <w:rPr>
          <w:sz w:val="24"/>
          <w:szCs w:val="24"/>
          <w:lang w:val="en-US"/>
        </w:rPr>
        <w:t xml:space="preserve"> </w:t>
      </w:r>
      <w:r w:rsidR="00D27D4D">
        <w:rPr>
          <w:sz w:val="24"/>
          <w:szCs w:val="24"/>
          <w:lang w:val="en-US"/>
        </w:rPr>
        <w:t>analyzing the association between</w:t>
      </w:r>
      <w:r w:rsidRPr="005766E3">
        <w:rPr>
          <w:sz w:val="24"/>
          <w:szCs w:val="24"/>
          <w:lang w:val="en-US"/>
        </w:rPr>
        <w:t xml:space="preserve"> </w:t>
      </w:r>
      <w:r w:rsidR="009E1D01">
        <w:rPr>
          <w:sz w:val="24"/>
          <w:szCs w:val="24"/>
          <w:lang w:val="en-GB"/>
        </w:rPr>
        <w:t>bronchodilator reversibility</w:t>
      </w:r>
      <w:r w:rsidR="00D27D4D">
        <w:rPr>
          <w:sz w:val="24"/>
          <w:szCs w:val="24"/>
          <w:lang w:val="en-US"/>
        </w:rPr>
        <w:t xml:space="preserve"> and symptom and phenotypic </w:t>
      </w:r>
      <w:r w:rsidR="00CA1CD7">
        <w:rPr>
          <w:sz w:val="24"/>
          <w:szCs w:val="24"/>
          <w:lang w:val="en-US"/>
        </w:rPr>
        <w:t>characteristics</w:t>
      </w:r>
      <w:r w:rsidR="00D27D4D">
        <w:rPr>
          <w:sz w:val="24"/>
          <w:szCs w:val="24"/>
          <w:lang w:val="en-US"/>
        </w:rPr>
        <w:t xml:space="preserve"> in the </w:t>
      </w:r>
      <w:r w:rsidR="00CA1CD7">
        <w:rPr>
          <w:sz w:val="24"/>
          <w:szCs w:val="24"/>
          <w:lang w:val="en-US"/>
        </w:rPr>
        <w:t>participants</w:t>
      </w:r>
      <w:r w:rsidR="00D27D4D">
        <w:rPr>
          <w:sz w:val="24"/>
          <w:szCs w:val="24"/>
          <w:lang w:val="en-US"/>
        </w:rPr>
        <w:t xml:space="preserve"> with asthma and COPD</w:t>
      </w:r>
      <w:r w:rsidR="00CA1CD7">
        <w:rPr>
          <w:sz w:val="24"/>
          <w:szCs w:val="24"/>
          <w:lang w:val="en-US"/>
        </w:rPr>
        <w:t xml:space="preserve"> </w:t>
      </w:r>
      <w:r w:rsidRPr="005766E3">
        <w:rPr>
          <w:sz w:val="24"/>
          <w:szCs w:val="24"/>
          <w:lang w:val="en-US"/>
        </w:rPr>
        <w:t>with and without BDR</w:t>
      </w:r>
      <w:r w:rsidR="00D833A3">
        <w:rPr>
          <w:sz w:val="24"/>
          <w:szCs w:val="24"/>
          <w:lang w:val="en-US"/>
        </w:rPr>
        <w:t xml:space="preserve"> in the asthma and COPD group. </w:t>
      </w:r>
      <w:r w:rsidRPr="005766E3">
        <w:rPr>
          <w:sz w:val="24"/>
          <w:szCs w:val="24"/>
          <w:lang w:val="en-US"/>
        </w:rPr>
        <w:t xml:space="preserve">In the multivariable models </w:t>
      </w:r>
      <w:r w:rsidR="00E729DD" w:rsidRPr="005766E3">
        <w:rPr>
          <w:sz w:val="24"/>
          <w:szCs w:val="24"/>
          <w:lang w:val="en-US"/>
        </w:rPr>
        <w:t>adjustment</w:t>
      </w:r>
      <w:r w:rsidRPr="005766E3">
        <w:rPr>
          <w:sz w:val="24"/>
          <w:szCs w:val="24"/>
          <w:lang w:val="en-US"/>
        </w:rPr>
        <w:t xml:space="preserve"> </w:t>
      </w:r>
      <w:r w:rsidR="005B76CD">
        <w:rPr>
          <w:sz w:val="24"/>
          <w:szCs w:val="24"/>
          <w:lang w:val="en-US"/>
        </w:rPr>
        <w:t>was</w:t>
      </w:r>
      <w:r w:rsidRPr="005766E3">
        <w:rPr>
          <w:sz w:val="24"/>
          <w:szCs w:val="24"/>
          <w:lang w:val="en-US"/>
        </w:rPr>
        <w:t xml:space="preserve"> ma</w:t>
      </w:r>
      <w:r w:rsidR="00E729DD">
        <w:rPr>
          <w:sz w:val="24"/>
          <w:szCs w:val="24"/>
          <w:lang w:val="en-US"/>
        </w:rPr>
        <w:t>de</w:t>
      </w:r>
      <w:r w:rsidRPr="005766E3">
        <w:rPr>
          <w:sz w:val="24"/>
          <w:szCs w:val="24"/>
          <w:lang w:val="en-US"/>
        </w:rPr>
        <w:t xml:space="preserve"> for age, sex, smoking history, prebronchodilator FEV1 and study.</w:t>
      </w:r>
    </w:p>
    <w:p w14:paraId="494EC1C4" w14:textId="2468CF75" w:rsidR="00A2146B" w:rsidRDefault="00A2146B" w:rsidP="00207056">
      <w:pPr>
        <w:spacing w:line="360" w:lineRule="auto"/>
        <w:rPr>
          <w:sz w:val="24"/>
          <w:szCs w:val="24"/>
          <w:lang w:val="en-US"/>
        </w:rPr>
      </w:pPr>
    </w:p>
    <w:p w14:paraId="63EB8A1A" w14:textId="0D43B4E2" w:rsidR="00A2146B" w:rsidRPr="00A2146B" w:rsidRDefault="00A2146B" w:rsidP="00207056">
      <w:pPr>
        <w:spacing w:line="360" w:lineRule="auto"/>
        <w:rPr>
          <w:sz w:val="24"/>
          <w:szCs w:val="24"/>
          <w:u w:val="single"/>
          <w:lang w:val="en-US"/>
        </w:rPr>
      </w:pPr>
      <w:r w:rsidRPr="00A2146B">
        <w:rPr>
          <w:sz w:val="24"/>
          <w:szCs w:val="24"/>
          <w:u w:val="single"/>
          <w:lang w:val="en-US"/>
        </w:rPr>
        <w:t>Sensitivity analyses</w:t>
      </w:r>
    </w:p>
    <w:p w14:paraId="32A13815" w14:textId="342E9C84" w:rsidR="00A2146B" w:rsidRPr="005766E3" w:rsidRDefault="00A2146B" w:rsidP="00A2146B">
      <w:pPr>
        <w:spacing w:line="360" w:lineRule="auto"/>
        <w:ind w:right="-993"/>
        <w:rPr>
          <w:sz w:val="24"/>
          <w:szCs w:val="24"/>
          <w:lang w:val="en-GB"/>
        </w:rPr>
      </w:pPr>
      <w:r>
        <w:rPr>
          <w:sz w:val="24"/>
          <w:szCs w:val="24"/>
          <w:lang w:val="en-US"/>
        </w:rPr>
        <w:t xml:space="preserve">Sensitivity analyses were done </w:t>
      </w:r>
      <w:r w:rsidR="00EC0693">
        <w:rPr>
          <w:sz w:val="24"/>
          <w:szCs w:val="24"/>
          <w:lang w:val="en-US"/>
        </w:rPr>
        <w:t>to test if the associations differed between the studies</w:t>
      </w:r>
      <w:r w:rsidR="00082E45">
        <w:rPr>
          <w:sz w:val="24"/>
          <w:szCs w:val="24"/>
          <w:lang w:val="en-US"/>
        </w:rPr>
        <w:t>.</w:t>
      </w:r>
      <w:r w:rsidR="00EC0693">
        <w:rPr>
          <w:sz w:val="24"/>
          <w:szCs w:val="24"/>
          <w:lang w:val="en-US"/>
        </w:rPr>
        <w:t xml:space="preserve"> </w:t>
      </w:r>
      <w:r w:rsidR="00082E45">
        <w:rPr>
          <w:sz w:val="24"/>
          <w:szCs w:val="24"/>
          <w:lang w:val="en-US"/>
        </w:rPr>
        <w:t>T</w:t>
      </w:r>
      <w:r w:rsidR="005B76CD">
        <w:rPr>
          <w:sz w:val="24"/>
          <w:szCs w:val="24"/>
          <w:lang w:val="en-US"/>
        </w:rPr>
        <w:t xml:space="preserve">he </w:t>
      </w:r>
      <w:r w:rsidRPr="005766E3">
        <w:rPr>
          <w:sz w:val="24"/>
          <w:szCs w:val="24"/>
          <w:lang w:val="en-US"/>
        </w:rPr>
        <w:t xml:space="preserve">association </w:t>
      </w:r>
      <w:r w:rsidR="00082E45">
        <w:rPr>
          <w:sz w:val="24"/>
          <w:szCs w:val="24"/>
          <w:lang w:val="en-US"/>
        </w:rPr>
        <w:t>of</w:t>
      </w:r>
      <w:r w:rsidRPr="005766E3">
        <w:rPr>
          <w:sz w:val="24"/>
          <w:szCs w:val="24"/>
          <w:lang w:val="en-US"/>
        </w:rPr>
        <w:t xml:space="preserve"> </w:t>
      </w:r>
      <w:r w:rsidR="009E1D01">
        <w:rPr>
          <w:sz w:val="24"/>
          <w:szCs w:val="24"/>
          <w:lang w:val="en-GB"/>
        </w:rPr>
        <w:t>bronchodilator reversibility</w:t>
      </w:r>
      <w:r w:rsidRPr="005766E3">
        <w:rPr>
          <w:sz w:val="24"/>
          <w:szCs w:val="24"/>
          <w:lang w:val="en-US"/>
        </w:rPr>
        <w:t xml:space="preserve"> </w:t>
      </w:r>
      <w:r>
        <w:rPr>
          <w:sz w:val="24"/>
          <w:szCs w:val="24"/>
          <w:lang w:val="en-US"/>
        </w:rPr>
        <w:t>in</w:t>
      </w:r>
      <w:r w:rsidRPr="005766E3">
        <w:rPr>
          <w:sz w:val="24"/>
          <w:szCs w:val="24"/>
          <w:lang w:val="en-US"/>
        </w:rPr>
        <w:t xml:space="preserve"> participant</w:t>
      </w:r>
      <w:r w:rsidR="001D4D3B">
        <w:rPr>
          <w:sz w:val="24"/>
          <w:szCs w:val="24"/>
          <w:lang w:val="en-US"/>
        </w:rPr>
        <w:t>s</w:t>
      </w:r>
      <w:r w:rsidRPr="005766E3">
        <w:rPr>
          <w:sz w:val="24"/>
          <w:szCs w:val="24"/>
          <w:lang w:val="en-US"/>
        </w:rPr>
        <w:t xml:space="preserve"> with current asthma using </w:t>
      </w:r>
      <w:r w:rsidR="00D27D4D">
        <w:rPr>
          <w:sz w:val="24"/>
          <w:szCs w:val="24"/>
          <w:lang w:val="en-US"/>
        </w:rPr>
        <w:t xml:space="preserve">only participants from </w:t>
      </w:r>
      <w:r w:rsidRPr="005766E3">
        <w:rPr>
          <w:sz w:val="24"/>
          <w:szCs w:val="24"/>
          <w:lang w:val="en-US"/>
        </w:rPr>
        <w:t>ECRHS II</w:t>
      </w:r>
      <w:r w:rsidR="001D4D3B">
        <w:rPr>
          <w:sz w:val="24"/>
          <w:szCs w:val="24"/>
          <w:lang w:val="en-US"/>
        </w:rPr>
        <w:t>I</w:t>
      </w:r>
      <w:r w:rsidRPr="005766E3">
        <w:rPr>
          <w:sz w:val="24"/>
          <w:szCs w:val="24"/>
          <w:lang w:val="en-US"/>
        </w:rPr>
        <w:t xml:space="preserve"> and GA2LEN and </w:t>
      </w:r>
      <w:r w:rsidR="00082E45">
        <w:rPr>
          <w:sz w:val="24"/>
          <w:szCs w:val="24"/>
          <w:lang w:val="en-US"/>
        </w:rPr>
        <w:t>the</w:t>
      </w:r>
      <w:r w:rsidRPr="005766E3">
        <w:rPr>
          <w:sz w:val="24"/>
          <w:szCs w:val="24"/>
          <w:lang w:val="en-US"/>
        </w:rPr>
        <w:t xml:space="preserve"> association to </w:t>
      </w:r>
      <w:r w:rsidR="00371513">
        <w:rPr>
          <w:sz w:val="24"/>
          <w:szCs w:val="24"/>
          <w:lang w:val="en-GB"/>
        </w:rPr>
        <w:t>bronchodilator reversibility</w:t>
      </w:r>
      <w:r w:rsidRPr="005766E3">
        <w:rPr>
          <w:sz w:val="24"/>
          <w:szCs w:val="24"/>
          <w:lang w:val="en-US"/>
        </w:rPr>
        <w:t xml:space="preserve"> in COPD only using the BOLD study</w:t>
      </w:r>
      <w:r w:rsidR="00082E45">
        <w:rPr>
          <w:sz w:val="24"/>
          <w:szCs w:val="24"/>
          <w:lang w:val="en-US"/>
        </w:rPr>
        <w:t xml:space="preserve"> was assesed</w:t>
      </w:r>
      <w:r w:rsidRPr="005766E3">
        <w:rPr>
          <w:sz w:val="24"/>
          <w:szCs w:val="24"/>
          <w:lang w:val="en-US"/>
        </w:rPr>
        <w:t xml:space="preserve">. </w:t>
      </w:r>
      <w:r>
        <w:rPr>
          <w:sz w:val="24"/>
          <w:szCs w:val="24"/>
          <w:lang w:val="en-US"/>
        </w:rPr>
        <w:t>Analyses were also done after a</w:t>
      </w:r>
      <w:r w:rsidRPr="005766E3">
        <w:rPr>
          <w:sz w:val="24"/>
          <w:szCs w:val="24"/>
          <w:lang w:val="en-US"/>
        </w:rPr>
        <w:t>djusting for</w:t>
      </w:r>
      <w:r>
        <w:rPr>
          <w:sz w:val="24"/>
          <w:szCs w:val="24"/>
          <w:lang w:val="en-US"/>
        </w:rPr>
        <w:t xml:space="preserve"> use of inhaled corticosteroids.</w:t>
      </w:r>
    </w:p>
    <w:p w14:paraId="688FC39E" w14:textId="05AF6497" w:rsidR="00A2146B" w:rsidRPr="005766E3" w:rsidRDefault="00A2146B" w:rsidP="00207056">
      <w:pPr>
        <w:spacing w:line="360" w:lineRule="auto"/>
        <w:rPr>
          <w:sz w:val="24"/>
          <w:szCs w:val="24"/>
          <w:lang w:val="en-US"/>
        </w:rPr>
      </w:pPr>
    </w:p>
    <w:p w14:paraId="491EC122" w14:textId="77777777" w:rsidR="008A59B0" w:rsidRDefault="008A59B0" w:rsidP="00382E60">
      <w:pPr>
        <w:spacing w:line="360" w:lineRule="auto"/>
        <w:rPr>
          <w:b/>
          <w:sz w:val="24"/>
          <w:szCs w:val="24"/>
          <w:lang w:val="en-GB"/>
        </w:rPr>
      </w:pPr>
    </w:p>
    <w:p w14:paraId="19B76A7C" w14:textId="77777777" w:rsidR="008A59B0" w:rsidRDefault="008A59B0" w:rsidP="00382E60">
      <w:pPr>
        <w:spacing w:line="360" w:lineRule="auto"/>
        <w:rPr>
          <w:b/>
          <w:sz w:val="24"/>
          <w:szCs w:val="24"/>
          <w:lang w:val="en-GB"/>
        </w:rPr>
      </w:pPr>
    </w:p>
    <w:p w14:paraId="26E44EE9" w14:textId="77777777" w:rsidR="008A59B0" w:rsidRDefault="008A59B0" w:rsidP="00382E60">
      <w:pPr>
        <w:spacing w:line="360" w:lineRule="auto"/>
        <w:rPr>
          <w:b/>
          <w:sz w:val="24"/>
          <w:szCs w:val="24"/>
          <w:lang w:val="en-GB"/>
        </w:rPr>
      </w:pPr>
    </w:p>
    <w:p w14:paraId="18C102AC" w14:textId="75826832" w:rsidR="006D1FCA" w:rsidRPr="005766E3" w:rsidRDefault="006D1FCA" w:rsidP="00382E60">
      <w:pPr>
        <w:spacing w:line="360" w:lineRule="auto"/>
        <w:rPr>
          <w:b/>
          <w:sz w:val="24"/>
          <w:szCs w:val="24"/>
          <w:lang w:val="en-GB"/>
        </w:rPr>
      </w:pPr>
      <w:r w:rsidRPr="005766E3">
        <w:rPr>
          <w:b/>
          <w:sz w:val="24"/>
          <w:szCs w:val="24"/>
          <w:lang w:val="en-GB"/>
        </w:rPr>
        <w:t>Results</w:t>
      </w:r>
    </w:p>
    <w:p w14:paraId="1FE6FE96" w14:textId="4D2ABF7C" w:rsidR="003F33F7" w:rsidRPr="005766E3" w:rsidRDefault="00E92D0F" w:rsidP="00382E60">
      <w:pPr>
        <w:spacing w:line="360" w:lineRule="auto"/>
        <w:rPr>
          <w:sz w:val="24"/>
          <w:szCs w:val="24"/>
          <w:lang w:val="en-GB"/>
        </w:rPr>
      </w:pPr>
      <w:r w:rsidRPr="005766E3">
        <w:rPr>
          <w:sz w:val="24"/>
          <w:szCs w:val="24"/>
          <w:lang w:val="en-GB"/>
        </w:rPr>
        <w:t xml:space="preserve">The investigation included </w:t>
      </w:r>
      <w:r w:rsidR="0021369B" w:rsidRPr="005766E3">
        <w:rPr>
          <w:sz w:val="24"/>
          <w:szCs w:val="24"/>
          <w:lang w:val="en-GB"/>
        </w:rPr>
        <w:t>16,776</w:t>
      </w:r>
      <w:r w:rsidRPr="005766E3">
        <w:rPr>
          <w:sz w:val="24"/>
          <w:szCs w:val="24"/>
          <w:lang w:val="en-GB"/>
        </w:rPr>
        <w:t xml:space="preserve"> men </w:t>
      </w:r>
      <w:r w:rsidR="0021369B" w:rsidRPr="005766E3">
        <w:rPr>
          <w:sz w:val="24"/>
          <w:szCs w:val="24"/>
          <w:lang w:val="en-GB"/>
        </w:rPr>
        <w:t xml:space="preserve">and 18,852 </w:t>
      </w:r>
      <w:r w:rsidRPr="005766E3">
        <w:rPr>
          <w:sz w:val="24"/>
          <w:szCs w:val="24"/>
          <w:lang w:val="en-GB"/>
        </w:rPr>
        <w:t>women, age</w:t>
      </w:r>
      <w:r w:rsidR="0021369B" w:rsidRPr="005766E3">
        <w:rPr>
          <w:sz w:val="24"/>
          <w:szCs w:val="24"/>
          <w:lang w:val="en-GB"/>
        </w:rPr>
        <w:t xml:space="preserve"> </w:t>
      </w:r>
      <w:r w:rsidR="00906599" w:rsidRPr="005766E3">
        <w:rPr>
          <w:sz w:val="24"/>
          <w:szCs w:val="24"/>
          <w:lang w:val="en-GB"/>
        </w:rPr>
        <w:t>54</w:t>
      </w:r>
      <w:r w:rsidR="0021369B" w:rsidRPr="005766E3">
        <w:rPr>
          <w:sz w:val="24"/>
          <w:szCs w:val="24"/>
          <w:lang w:val="en-GB"/>
        </w:rPr>
        <w:t>.</w:t>
      </w:r>
      <w:r w:rsidR="00906599" w:rsidRPr="005766E3">
        <w:rPr>
          <w:sz w:val="24"/>
          <w:szCs w:val="24"/>
          <w:lang w:val="en-GB"/>
        </w:rPr>
        <w:t>1</w:t>
      </w:r>
      <w:r w:rsidR="0021369B" w:rsidRPr="005766E3">
        <w:rPr>
          <w:sz w:val="24"/>
          <w:szCs w:val="24"/>
          <w:lang w:val="en-GB"/>
        </w:rPr>
        <w:t>±</w:t>
      </w:r>
      <w:r w:rsidR="00906599" w:rsidRPr="005766E3">
        <w:rPr>
          <w:sz w:val="24"/>
          <w:szCs w:val="24"/>
          <w:lang w:val="en-GB"/>
        </w:rPr>
        <w:t>11.0 years (mean±SD), range 1</w:t>
      </w:r>
      <w:r w:rsidR="00FB081E" w:rsidRPr="005766E3">
        <w:rPr>
          <w:sz w:val="24"/>
          <w:szCs w:val="24"/>
          <w:lang w:val="en-GB"/>
        </w:rPr>
        <w:t>6</w:t>
      </w:r>
      <w:r w:rsidR="00906599" w:rsidRPr="005766E3">
        <w:rPr>
          <w:sz w:val="24"/>
          <w:szCs w:val="24"/>
          <w:lang w:val="en-GB"/>
        </w:rPr>
        <w:t>-98 years.</w:t>
      </w:r>
      <w:r w:rsidR="00C01437" w:rsidRPr="005766E3">
        <w:rPr>
          <w:sz w:val="24"/>
          <w:szCs w:val="24"/>
          <w:lang w:val="en-GB"/>
        </w:rPr>
        <w:t xml:space="preserve"> </w:t>
      </w:r>
      <w:r w:rsidR="00E437CE" w:rsidRPr="005766E3">
        <w:rPr>
          <w:sz w:val="24"/>
          <w:szCs w:val="24"/>
          <w:lang w:val="en-GB"/>
        </w:rPr>
        <w:t>There were large difference</w:t>
      </w:r>
      <w:r w:rsidR="00C059C7">
        <w:rPr>
          <w:sz w:val="24"/>
          <w:szCs w:val="24"/>
          <w:lang w:val="en-GB"/>
        </w:rPr>
        <w:t>s</w:t>
      </w:r>
      <w:r w:rsidR="00E437CE" w:rsidRPr="005766E3">
        <w:rPr>
          <w:sz w:val="24"/>
          <w:szCs w:val="24"/>
          <w:lang w:val="en-GB"/>
        </w:rPr>
        <w:t xml:space="preserve"> </w:t>
      </w:r>
      <w:r w:rsidR="00C059C7">
        <w:rPr>
          <w:sz w:val="24"/>
          <w:szCs w:val="24"/>
          <w:lang w:val="en-GB"/>
        </w:rPr>
        <w:t>across</w:t>
      </w:r>
      <w:r w:rsidR="00E437CE" w:rsidRPr="005766E3">
        <w:rPr>
          <w:sz w:val="24"/>
          <w:szCs w:val="24"/>
          <w:lang w:val="en-GB"/>
        </w:rPr>
        <w:t xml:space="preserve"> the </w:t>
      </w:r>
      <w:r w:rsidR="00D833A3">
        <w:rPr>
          <w:sz w:val="24"/>
          <w:szCs w:val="24"/>
          <w:lang w:val="en-GB"/>
        </w:rPr>
        <w:t xml:space="preserve">study </w:t>
      </w:r>
      <w:r w:rsidR="00E437CE" w:rsidRPr="005766E3">
        <w:rPr>
          <w:sz w:val="24"/>
          <w:szCs w:val="24"/>
          <w:lang w:val="en-GB"/>
        </w:rPr>
        <w:t xml:space="preserve">groups </w:t>
      </w:r>
      <w:r w:rsidR="006A4872" w:rsidRPr="005766E3">
        <w:rPr>
          <w:sz w:val="24"/>
          <w:szCs w:val="24"/>
          <w:lang w:val="en-GB"/>
        </w:rPr>
        <w:t>in</w:t>
      </w:r>
      <w:r w:rsidR="00E437CE" w:rsidRPr="005766E3">
        <w:rPr>
          <w:sz w:val="24"/>
          <w:szCs w:val="24"/>
          <w:lang w:val="en-GB"/>
        </w:rPr>
        <w:t xml:space="preserve"> regard to age, sex distribution, smoking history, BMI and lung function (Table 1).</w:t>
      </w:r>
    </w:p>
    <w:p w14:paraId="1DEFFF15" w14:textId="77777777" w:rsidR="00906599" w:rsidRPr="005766E3" w:rsidRDefault="00906599" w:rsidP="00382E60">
      <w:pPr>
        <w:spacing w:line="360" w:lineRule="auto"/>
        <w:rPr>
          <w:sz w:val="24"/>
          <w:szCs w:val="24"/>
          <w:lang w:val="en-GB"/>
        </w:rPr>
      </w:pPr>
    </w:p>
    <w:p w14:paraId="5DAEC092" w14:textId="7C00D208" w:rsidR="00D34B7D" w:rsidRPr="005766E3" w:rsidRDefault="00D34B7D" w:rsidP="00382E60">
      <w:pPr>
        <w:spacing w:line="360" w:lineRule="auto"/>
        <w:rPr>
          <w:sz w:val="24"/>
          <w:szCs w:val="24"/>
          <w:lang w:val="en-GB"/>
        </w:rPr>
      </w:pPr>
      <w:r w:rsidRPr="005766E3">
        <w:rPr>
          <w:sz w:val="24"/>
          <w:szCs w:val="24"/>
          <w:lang w:val="en-GB"/>
        </w:rPr>
        <w:t xml:space="preserve">The prevalence of </w:t>
      </w:r>
      <w:r w:rsidR="00371513">
        <w:rPr>
          <w:sz w:val="24"/>
          <w:szCs w:val="24"/>
          <w:lang w:val="en-GB"/>
        </w:rPr>
        <w:t>bronchodilator reversibility</w:t>
      </w:r>
      <w:r w:rsidRPr="005766E3">
        <w:rPr>
          <w:sz w:val="24"/>
          <w:szCs w:val="24"/>
          <w:lang w:val="en-GB"/>
        </w:rPr>
        <w:t xml:space="preserve"> in subjects with</w:t>
      </w:r>
      <w:r w:rsidR="003567F5">
        <w:rPr>
          <w:sz w:val="24"/>
          <w:szCs w:val="24"/>
          <w:lang w:val="en-GB"/>
        </w:rPr>
        <w:t xml:space="preserve"> no </w:t>
      </w:r>
      <w:r w:rsidRPr="005766E3">
        <w:rPr>
          <w:sz w:val="24"/>
          <w:szCs w:val="24"/>
          <w:lang w:val="en-GB"/>
        </w:rPr>
        <w:t xml:space="preserve">airway </w:t>
      </w:r>
      <w:r w:rsidR="005C476B">
        <w:rPr>
          <w:sz w:val="24"/>
          <w:szCs w:val="24"/>
          <w:lang w:val="en-GB"/>
        </w:rPr>
        <w:t>disease</w:t>
      </w:r>
      <w:r w:rsidRPr="005766E3">
        <w:rPr>
          <w:sz w:val="24"/>
          <w:szCs w:val="24"/>
          <w:lang w:val="en-GB"/>
        </w:rPr>
        <w:t xml:space="preserve">, asthma </w:t>
      </w:r>
      <w:r w:rsidR="003567F5">
        <w:rPr>
          <w:sz w:val="24"/>
          <w:szCs w:val="24"/>
          <w:lang w:val="en-GB"/>
        </w:rPr>
        <w:t>and</w:t>
      </w:r>
      <w:r w:rsidRPr="005766E3">
        <w:rPr>
          <w:sz w:val="24"/>
          <w:szCs w:val="24"/>
          <w:lang w:val="en-GB"/>
        </w:rPr>
        <w:t xml:space="preserve"> COPD is presented in Table 1. The prevalence of </w:t>
      </w:r>
      <w:r w:rsidR="005E3234" w:rsidRPr="005766E3">
        <w:rPr>
          <w:sz w:val="24"/>
          <w:szCs w:val="24"/>
          <w:lang w:val="en-GB"/>
        </w:rPr>
        <w:t>BDR</w:t>
      </w:r>
      <w:r w:rsidRPr="005766E3">
        <w:rPr>
          <w:sz w:val="24"/>
          <w:szCs w:val="24"/>
          <w:lang w:val="en-GB"/>
        </w:rPr>
        <w:t xml:space="preserve"> was significantly higher in the asthma and COPD group compared to the group without airway </w:t>
      </w:r>
      <w:r w:rsidR="00790D22">
        <w:rPr>
          <w:sz w:val="24"/>
          <w:szCs w:val="24"/>
          <w:lang w:val="en-GB"/>
        </w:rPr>
        <w:t>disease</w:t>
      </w:r>
      <w:r w:rsidRPr="005766E3">
        <w:rPr>
          <w:sz w:val="24"/>
          <w:szCs w:val="24"/>
          <w:lang w:val="en-GB"/>
        </w:rPr>
        <w:t xml:space="preserve">. </w:t>
      </w:r>
      <w:r w:rsidR="00044C67" w:rsidRPr="005766E3">
        <w:rPr>
          <w:sz w:val="24"/>
          <w:szCs w:val="24"/>
          <w:lang w:val="en-GB"/>
        </w:rPr>
        <w:t xml:space="preserve">The prevalence of </w:t>
      </w:r>
      <w:r w:rsidR="00371513">
        <w:rPr>
          <w:sz w:val="24"/>
          <w:szCs w:val="24"/>
          <w:lang w:val="en-GB"/>
        </w:rPr>
        <w:t>bronchodilator reversibility</w:t>
      </w:r>
      <w:r w:rsidR="00044C67" w:rsidRPr="005766E3">
        <w:rPr>
          <w:sz w:val="24"/>
          <w:szCs w:val="24"/>
          <w:lang w:val="en-GB"/>
        </w:rPr>
        <w:t xml:space="preserve"> was higher for COPD than for asthma for </w:t>
      </w:r>
      <w:r w:rsidR="00067E67">
        <w:rPr>
          <w:sz w:val="24"/>
          <w:szCs w:val="24"/>
          <w:lang w:val="en-GB"/>
        </w:rPr>
        <w:t>most</w:t>
      </w:r>
      <w:r w:rsidR="00044C67" w:rsidRPr="005766E3">
        <w:rPr>
          <w:sz w:val="24"/>
          <w:szCs w:val="24"/>
          <w:lang w:val="en-GB"/>
        </w:rPr>
        <w:t xml:space="preserve"> of the different </w:t>
      </w:r>
      <w:r w:rsidR="00371513">
        <w:rPr>
          <w:sz w:val="24"/>
          <w:szCs w:val="24"/>
          <w:lang w:val="en-GB"/>
        </w:rPr>
        <w:t>definitions of bronchodilator reversibility</w:t>
      </w:r>
      <w:r w:rsidR="00044C67" w:rsidRPr="005766E3">
        <w:rPr>
          <w:sz w:val="24"/>
          <w:szCs w:val="24"/>
          <w:lang w:val="en-GB"/>
        </w:rPr>
        <w:t xml:space="preserve"> used in the analyses.</w:t>
      </w:r>
      <w:r w:rsidR="0061246D" w:rsidRPr="005766E3">
        <w:rPr>
          <w:sz w:val="24"/>
          <w:szCs w:val="24"/>
          <w:lang w:val="en-GB"/>
        </w:rPr>
        <w:t xml:space="preserve"> </w:t>
      </w:r>
    </w:p>
    <w:p w14:paraId="57958939" w14:textId="36E86274" w:rsidR="00044C67" w:rsidRPr="005766E3" w:rsidRDefault="00044C67" w:rsidP="00382E60">
      <w:pPr>
        <w:spacing w:line="360" w:lineRule="auto"/>
        <w:rPr>
          <w:sz w:val="24"/>
          <w:szCs w:val="24"/>
          <w:lang w:val="en-GB"/>
        </w:rPr>
      </w:pPr>
    </w:p>
    <w:p w14:paraId="0C15C713" w14:textId="121D64FE" w:rsidR="00044C67" w:rsidRPr="005766E3" w:rsidRDefault="000703FD" w:rsidP="00382E60">
      <w:pPr>
        <w:spacing w:line="360" w:lineRule="auto"/>
        <w:rPr>
          <w:sz w:val="24"/>
          <w:szCs w:val="24"/>
          <w:lang w:val="en-GB"/>
        </w:rPr>
      </w:pPr>
      <w:r w:rsidRPr="005766E3">
        <w:rPr>
          <w:sz w:val="24"/>
          <w:szCs w:val="24"/>
          <w:lang w:val="en-GB"/>
        </w:rPr>
        <w:t>The association b</w:t>
      </w:r>
      <w:r w:rsidR="005E3234" w:rsidRPr="005766E3">
        <w:rPr>
          <w:sz w:val="24"/>
          <w:szCs w:val="24"/>
          <w:lang w:val="en-GB"/>
        </w:rPr>
        <w:t xml:space="preserve">etween </w:t>
      </w:r>
      <w:r w:rsidR="00371513">
        <w:rPr>
          <w:sz w:val="24"/>
          <w:szCs w:val="24"/>
          <w:lang w:val="en-GB"/>
        </w:rPr>
        <w:t>bronchodilator reversibility</w:t>
      </w:r>
      <w:r w:rsidR="005E3234" w:rsidRPr="005766E3">
        <w:rPr>
          <w:sz w:val="24"/>
          <w:szCs w:val="24"/>
          <w:lang w:val="en-GB"/>
        </w:rPr>
        <w:t xml:space="preserve"> and </w:t>
      </w:r>
      <w:r w:rsidR="001F36AE">
        <w:rPr>
          <w:sz w:val="24"/>
          <w:szCs w:val="24"/>
          <w:lang w:val="en-GB"/>
        </w:rPr>
        <w:t xml:space="preserve">having </w:t>
      </w:r>
      <w:r w:rsidR="005E3234" w:rsidRPr="005766E3">
        <w:rPr>
          <w:sz w:val="24"/>
          <w:szCs w:val="24"/>
          <w:lang w:val="en-GB"/>
        </w:rPr>
        <w:t xml:space="preserve">asthma </w:t>
      </w:r>
      <w:r w:rsidR="001F36AE">
        <w:rPr>
          <w:sz w:val="24"/>
          <w:szCs w:val="24"/>
          <w:lang w:val="en-GB"/>
        </w:rPr>
        <w:t>or</w:t>
      </w:r>
      <w:r w:rsidR="005E3234" w:rsidRPr="005766E3">
        <w:rPr>
          <w:sz w:val="24"/>
          <w:szCs w:val="24"/>
          <w:lang w:val="en-GB"/>
        </w:rPr>
        <w:t xml:space="preserve"> COPD compared to those with no airway disease remained significant also after a</w:t>
      </w:r>
      <w:r w:rsidR="003567F5">
        <w:rPr>
          <w:sz w:val="24"/>
          <w:szCs w:val="24"/>
          <w:lang w:val="en-GB"/>
        </w:rPr>
        <w:t>djustment for prebronchodilator</w:t>
      </w:r>
      <w:r w:rsidR="005E3234" w:rsidRPr="005766E3">
        <w:rPr>
          <w:sz w:val="24"/>
          <w:szCs w:val="24"/>
          <w:lang w:val="en-GB"/>
        </w:rPr>
        <w:t xml:space="preserve"> FEV1, but the association became stronger for asthma than COPD for all the flow related responsiveness variables while no difference or a stron</w:t>
      </w:r>
      <w:r w:rsidR="008740DF" w:rsidRPr="005766E3">
        <w:rPr>
          <w:sz w:val="24"/>
          <w:szCs w:val="24"/>
          <w:lang w:val="en-GB"/>
        </w:rPr>
        <w:t>g</w:t>
      </w:r>
      <w:r w:rsidR="005E3234" w:rsidRPr="005766E3">
        <w:rPr>
          <w:sz w:val="24"/>
          <w:szCs w:val="24"/>
          <w:lang w:val="en-GB"/>
        </w:rPr>
        <w:t xml:space="preserve">er </w:t>
      </w:r>
      <w:r w:rsidR="003567F5">
        <w:rPr>
          <w:sz w:val="24"/>
          <w:szCs w:val="24"/>
          <w:lang w:val="en-GB"/>
        </w:rPr>
        <w:t>association</w:t>
      </w:r>
      <w:r w:rsidR="005E3234" w:rsidRPr="005766E3">
        <w:rPr>
          <w:sz w:val="24"/>
          <w:szCs w:val="24"/>
          <w:lang w:val="en-GB"/>
        </w:rPr>
        <w:t xml:space="preserve"> in COPD </w:t>
      </w:r>
      <w:r w:rsidR="003567F5">
        <w:rPr>
          <w:sz w:val="24"/>
          <w:szCs w:val="24"/>
          <w:lang w:val="en-GB"/>
        </w:rPr>
        <w:t xml:space="preserve">than asthma </w:t>
      </w:r>
      <w:r w:rsidR="005E3234" w:rsidRPr="005766E3">
        <w:rPr>
          <w:sz w:val="24"/>
          <w:szCs w:val="24"/>
          <w:lang w:val="en-GB"/>
        </w:rPr>
        <w:t xml:space="preserve">was found for the </w:t>
      </w:r>
      <w:r w:rsidR="00EE7274" w:rsidRPr="005766E3">
        <w:rPr>
          <w:sz w:val="24"/>
          <w:szCs w:val="24"/>
          <w:lang w:val="en-GB"/>
        </w:rPr>
        <w:t xml:space="preserve">volume related </w:t>
      </w:r>
      <w:r w:rsidR="00371513">
        <w:rPr>
          <w:sz w:val="24"/>
          <w:szCs w:val="24"/>
          <w:lang w:val="en-GB"/>
        </w:rPr>
        <w:t>bronchodilator reversibility</w:t>
      </w:r>
      <w:r w:rsidR="00EE7274" w:rsidRPr="005766E3">
        <w:rPr>
          <w:sz w:val="24"/>
          <w:szCs w:val="24"/>
          <w:lang w:val="en-GB"/>
        </w:rPr>
        <w:t xml:space="preserve"> </w:t>
      </w:r>
      <w:r w:rsidR="00371513">
        <w:rPr>
          <w:sz w:val="24"/>
          <w:szCs w:val="24"/>
          <w:lang w:val="en-GB"/>
        </w:rPr>
        <w:t>definitions</w:t>
      </w:r>
      <w:r w:rsidR="008740DF" w:rsidRPr="005766E3">
        <w:rPr>
          <w:sz w:val="24"/>
          <w:szCs w:val="24"/>
          <w:lang w:val="en-GB"/>
        </w:rPr>
        <w:t xml:space="preserve"> (Figure </w:t>
      </w:r>
      <w:r w:rsidR="00A2510D" w:rsidRPr="005766E3">
        <w:rPr>
          <w:sz w:val="24"/>
          <w:szCs w:val="24"/>
          <w:lang w:val="en-GB"/>
        </w:rPr>
        <w:t>2</w:t>
      </w:r>
      <w:r w:rsidR="008740DF" w:rsidRPr="005766E3">
        <w:rPr>
          <w:sz w:val="24"/>
          <w:szCs w:val="24"/>
          <w:lang w:val="en-GB"/>
        </w:rPr>
        <w:t>)</w:t>
      </w:r>
      <w:r w:rsidR="00EE7274" w:rsidRPr="005766E3">
        <w:rPr>
          <w:sz w:val="24"/>
          <w:szCs w:val="24"/>
          <w:lang w:val="en-GB"/>
        </w:rPr>
        <w:t>.</w:t>
      </w:r>
      <w:r w:rsidR="005E3234" w:rsidRPr="005766E3">
        <w:rPr>
          <w:sz w:val="24"/>
          <w:szCs w:val="24"/>
          <w:lang w:val="en-GB"/>
        </w:rPr>
        <w:t xml:space="preserve"> </w:t>
      </w:r>
    </w:p>
    <w:p w14:paraId="210CE046" w14:textId="3DFD8078" w:rsidR="00E66CA3" w:rsidRPr="005766E3" w:rsidRDefault="00E66CA3" w:rsidP="00382E60">
      <w:pPr>
        <w:spacing w:line="360" w:lineRule="auto"/>
        <w:rPr>
          <w:sz w:val="24"/>
          <w:szCs w:val="24"/>
          <w:lang w:val="en-GB"/>
        </w:rPr>
      </w:pPr>
    </w:p>
    <w:p w14:paraId="1E5A6378" w14:textId="63841EA6" w:rsidR="00D34B7D" w:rsidRPr="005766E3" w:rsidRDefault="00A2510D" w:rsidP="00382E60">
      <w:pPr>
        <w:spacing w:line="360" w:lineRule="auto"/>
        <w:rPr>
          <w:i/>
          <w:sz w:val="24"/>
          <w:szCs w:val="24"/>
          <w:lang w:val="en-GB"/>
        </w:rPr>
      </w:pPr>
      <w:r w:rsidRPr="005766E3">
        <w:rPr>
          <w:i/>
          <w:sz w:val="24"/>
          <w:szCs w:val="24"/>
          <w:lang w:val="en-GB"/>
        </w:rPr>
        <w:t>C</w:t>
      </w:r>
      <w:r w:rsidR="00DF249A" w:rsidRPr="005766E3">
        <w:rPr>
          <w:i/>
          <w:sz w:val="24"/>
          <w:szCs w:val="24"/>
          <w:lang w:val="en-GB"/>
        </w:rPr>
        <w:t>urrent asthma</w:t>
      </w:r>
    </w:p>
    <w:p w14:paraId="25083657" w14:textId="75C0AEBE" w:rsidR="00DF249A" w:rsidRPr="005766E3" w:rsidRDefault="00DF249A" w:rsidP="0047184B">
      <w:pPr>
        <w:spacing w:line="360" w:lineRule="auto"/>
        <w:rPr>
          <w:sz w:val="24"/>
          <w:szCs w:val="24"/>
          <w:lang w:val="en-GB"/>
        </w:rPr>
      </w:pPr>
      <w:r w:rsidRPr="005766E3">
        <w:rPr>
          <w:sz w:val="24"/>
          <w:szCs w:val="24"/>
          <w:lang w:val="en-GB"/>
        </w:rPr>
        <w:t xml:space="preserve">Participants </w:t>
      </w:r>
      <w:r w:rsidR="009C6FAD" w:rsidRPr="005766E3">
        <w:rPr>
          <w:sz w:val="24"/>
          <w:szCs w:val="24"/>
          <w:lang w:val="en-GB"/>
        </w:rPr>
        <w:t xml:space="preserve">with asthma </w:t>
      </w:r>
      <w:r w:rsidR="002121FA">
        <w:rPr>
          <w:sz w:val="24"/>
          <w:szCs w:val="24"/>
          <w:lang w:val="en-GB"/>
        </w:rPr>
        <w:t>that had</w:t>
      </w:r>
      <w:r w:rsidR="009C6FAD" w:rsidRPr="005766E3">
        <w:rPr>
          <w:sz w:val="24"/>
          <w:szCs w:val="24"/>
          <w:lang w:val="en-GB"/>
        </w:rPr>
        <w:t xml:space="preserve"> </w:t>
      </w:r>
      <w:r w:rsidR="00371513">
        <w:rPr>
          <w:sz w:val="24"/>
          <w:szCs w:val="24"/>
          <w:lang w:val="en-GB"/>
        </w:rPr>
        <w:t>bronchodilator reversibility</w:t>
      </w:r>
      <w:r w:rsidR="009C6FAD" w:rsidRPr="005766E3">
        <w:rPr>
          <w:sz w:val="24"/>
          <w:szCs w:val="24"/>
          <w:lang w:val="en-GB"/>
        </w:rPr>
        <w:t xml:space="preserve"> </w:t>
      </w:r>
      <w:r w:rsidRPr="005766E3">
        <w:rPr>
          <w:sz w:val="24"/>
          <w:szCs w:val="24"/>
          <w:lang w:val="en-GB"/>
        </w:rPr>
        <w:t>ha</w:t>
      </w:r>
      <w:r w:rsidR="000771CC" w:rsidRPr="005766E3">
        <w:rPr>
          <w:sz w:val="24"/>
          <w:szCs w:val="24"/>
          <w:lang w:val="en-GB"/>
        </w:rPr>
        <w:t>d</w:t>
      </w:r>
      <w:r w:rsidRPr="005766E3">
        <w:rPr>
          <w:sz w:val="24"/>
          <w:szCs w:val="24"/>
          <w:lang w:val="en-GB"/>
        </w:rPr>
        <w:t xml:space="preserve"> a higher prevalence of most symptoms and higher FeNO levels</w:t>
      </w:r>
      <w:r w:rsidR="009C6FAD" w:rsidRPr="005766E3">
        <w:rPr>
          <w:sz w:val="24"/>
          <w:szCs w:val="24"/>
          <w:lang w:val="en-GB"/>
        </w:rPr>
        <w:t xml:space="preserve"> than </w:t>
      </w:r>
      <w:r w:rsidR="001F36AE">
        <w:rPr>
          <w:sz w:val="24"/>
          <w:szCs w:val="24"/>
          <w:lang w:val="en-GB"/>
        </w:rPr>
        <w:t xml:space="preserve">those </w:t>
      </w:r>
      <w:r w:rsidR="009C6FAD" w:rsidRPr="005766E3">
        <w:rPr>
          <w:sz w:val="24"/>
          <w:szCs w:val="24"/>
          <w:lang w:val="en-GB"/>
        </w:rPr>
        <w:t xml:space="preserve">having asthma without </w:t>
      </w:r>
      <w:r w:rsidR="00371513">
        <w:rPr>
          <w:sz w:val="24"/>
          <w:szCs w:val="24"/>
          <w:lang w:val="en-GB"/>
        </w:rPr>
        <w:t>bronchodilator reversibility</w:t>
      </w:r>
      <w:r w:rsidRPr="005766E3">
        <w:rPr>
          <w:sz w:val="24"/>
          <w:szCs w:val="24"/>
          <w:lang w:val="en-GB"/>
        </w:rPr>
        <w:t xml:space="preserve">. </w:t>
      </w:r>
      <w:r w:rsidR="009C6FAD" w:rsidRPr="005766E3">
        <w:rPr>
          <w:sz w:val="24"/>
          <w:szCs w:val="24"/>
          <w:lang w:val="en-GB"/>
        </w:rPr>
        <w:t xml:space="preserve">Participants with asthma and </w:t>
      </w:r>
      <w:r w:rsidRPr="005766E3">
        <w:rPr>
          <w:sz w:val="24"/>
          <w:szCs w:val="24"/>
          <w:lang w:val="en-GB"/>
        </w:rPr>
        <w:t xml:space="preserve">flow related </w:t>
      </w:r>
      <w:r w:rsidR="00371513">
        <w:rPr>
          <w:sz w:val="24"/>
          <w:szCs w:val="24"/>
          <w:lang w:val="en-GB"/>
        </w:rPr>
        <w:t>bronchodilator reversibility</w:t>
      </w:r>
      <w:r w:rsidRPr="005766E3">
        <w:rPr>
          <w:sz w:val="24"/>
          <w:szCs w:val="24"/>
          <w:lang w:val="en-GB"/>
        </w:rPr>
        <w:t xml:space="preserve"> </w:t>
      </w:r>
      <w:r w:rsidR="009C6FAD" w:rsidRPr="005766E3">
        <w:rPr>
          <w:sz w:val="24"/>
          <w:szCs w:val="24"/>
          <w:lang w:val="en-GB"/>
        </w:rPr>
        <w:t>were more often</w:t>
      </w:r>
      <w:r w:rsidRPr="005766E3">
        <w:rPr>
          <w:sz w:val="24"/>
          <w:szCs w:val="24"/>
          <w:lang w:val="en-GB"/>
        </w:rPr>
        <w:t xml:space="preserve"> sensitised to mite and </w:t>
      </w:r>
      <w:r w:rsidR="001F36AE">
        <w:rPr>
          <w:sz w:val="24"/>
          <w:szCs w:val="24"/>
          <w:lang w:val="en-GB"/>
        </w:rPr>
        <w:t xml:space="preserve">had a </w:t>
      </w:r>
      <w:r w:rsidRPr="005766E3">
        <w:rPr>
          <w:sz w:val="24"/>
          <w:szCs w:val="24"/>
          <w:lang w:val="en-GB"/>
        </w:rPr>
        <w:t>higher total IgE</w:t>
      </w:r>
      <w:r w:rsidR="003F33F7" w:rsidRPr="005766E3">
        <w:rPr>
          <w:sz w:val="24"/>
          <w:szCs w:val="24"/>
          <w:lang w:val="en-GB"/>
        </w:rPr>
        <w:t xml:space="preserve"> </w:t>
      </w:r>
      <w:r w:rsidR="009C6FAD" w:rsidRPr="005766E3">
        <w:rPr>
          <w:sz w:val="24"/>
          <w:szCs w:val="24"/>
          <w:lang w:val="en-GB"/>
        </w:rPr>
        <w:t xml:space="preserve">than participants </w:t>
      </w:r>
      <w:r w:rsidR="00BE6F0C" w:rsidRPr="005766E3">
        <w:rPr>
          <w:sz w:val="24"/>
          <w:szCs w:val="24"/>
          <w:lang w:val="en-GB"/>
        </w:rPr>
        <w:t xml:space="preserve">with asthma </w:t>
      </w:r>
      <w:r w:rsidR="009C6FAD" w:rsidRPr="005766E3">
        <w:rPr>
          <w:sz w:val="24"/>
          <w:szCs w:val="24"/>
          <w:lang w:val="en-GB"/>
        </w:rPr>
        <w:t>without</w:t>
      </w:r>
      <w:r w:rsidR="00BE6F0C" w:rsidRPr="005766E3">
        <w:rPr>
          <w:sz w:val="24"/>
          <w:szCs w:val="24"/>
          <w:lang w:val="en-GB"/>
        </w:rPr>
        <w:t xml:space="preserve"> flow related </w:t>
      </w:r>
      <w:r w:rsidR="00371513">
        <w:rPr>
          <w:sz w:val="24"/>
          <w:szCs w:val="24"/>
          <w:lang w:val="en-GB"/>
        </w:rPr>
        <w:t>bronchodilator reversibility</w:t>
      </w:r>
      <w:r w:rsidR="009C6FAD" w:rsidRPr="005766E3">
        <w:rPr>
          <w:sz w:val="24"/>
          <w:szCs w:val="24"/>
          <w:lang w:val="en-GB"/>
        </w:rPr>
        <w:t xml:space="preserve"> </w:t>
      </w:r>
      <w:r w:rsidR="003F33F7" w:rsidRPr="005766E3">
        <w:rPr>
          <w:sz w:val="24"/>
          <w:szCs w:val="24"/>
          <w:lang w:val="en-GB"/>
        </w:rPr>
        <w:t>(Table 2)</w:t>
      </w:r>
      <w:r w:rsidRPr="005766E3">
        <w:rPr>
          <w:sz w:val="24"/>
          <w:szCs w:val="24"/>
          <w:lang w:val="en-GB"/>
        </w:rPr>
        <w:t>.</w:t>
      </w:r>
    </w:p>
    <w:p w14:paraId="040EE405" w14:textId="469C1D6D" w:rsidR="00382E60" w:rsidRPr="005766E3" w:rsidRDefault="00382E60" w:rsidP="0047184B">
      <w:pPr>
        <w:spacing w:line="360" w:lineRule="auto"/>
        <w:ind w:right="-993"/>
        <w:rPr>
          <w:sz w:val="24"/>
          <w:szCs w:val="24"/>
          <w:lang w:val="en-GB"/>
        </w:rPr>
      </w:pPr>
    </w:p>
    <w:p w14:paraId="6E21A926" w14:textId="18D1887E" w:rsidR="00382E60" w:rsidRPr="005766E3" w:rsidRDefault="00BE6F0C" w:rsidP="0047184B">
      <w:pPr>
        <w:spacing w:line="360" w:lineRule="auto"/>
        <w:ind w:right="-993"/>
        <w:rPr>
          <w:sz w:val="24"/>
          <w:szCs w:val="24"/>
          <w:lang w:val="en-GB"/>
        </w:rPr>
      </w:pPr>
      <w:r w:rsidRPr="005766E3">
        <w:rPr>
          <w:sz w:val="24"/>
          <w:szCs w:val="24"/>
          <w:lang w:val="en-GB"/>
        </w:rPr>
        <w:t>W</w:t>
      </w:r>
      <w:r w:rsidR="00382E60" w:rsidRPr="005766E3">
        <w:rPr>
          <w:sz w:val="24"/>
          <w:szCs w:val="24"/>
          <w:lang w:val="en-GB"/>
        </w:rPr>
        <w:t>heeze, allergic sensitisation and hi</w:t>
      </w:r>
      <w:r w:rsidR="00C80483" w:rsidRPr="005766E3">
        <w:rPr>
          <w:sz w:val="24"/>
          <w:szCs w:val="24"/>
          <w:lang w:val="en-GB"/>
        </w:rPr>
        <w:t>g</w:t>
      </w:r>
      <w:r w:rsidR="00382E60" w:rsidRPr="005766E3">
        <w:rPr>
          <w:sz w:val="24"/>
          <w:szCs w:val="24"/>
          <w:lang w:val="en-GB"/>
        </w:rPr>
        <w:t xml:space="preserve">her FeNO were independently associated with flow related </w:t>
      </w:r>
      <w:r w:rsidR="00CA6CC8">
        <w:rPr>
          <w:sz w:val="24"/>
          <w:szCs w:val="24"/>
          <w:lang w:val="en-GB"/>
        </w:rPr>
        <w:t>bronchodilator reversibility</w:t>
      </w:r>
      <w:r w:rsidR="00382E60" w:rsidRPr="005766E3">
        <w:rPr>
          <w:sz w:val="24"/>
          <w:szCs w:val="24"/>
          <w:lang w:val="en-GB"/>
        </w:rPr>
        <w:t xml:space="preserve"> after adjustment for prebronchodilator FEV</w:t>
      </w:r>
      <w:r w:rsidR="00231AC0" w:rsidRPr="005766E3">
        <w:rPr>
          <w:sz w:val="24"/>
          <w:szCs w:val="24"/>
          <w:lang w:val="en-GB"/>
        </w:rPr>
        <w:t>1</w:t>
      </w:r>
      <w:r w:rsidRPr="005766E3">
        <w:rPr>
          <w:sz w:val="24"/>
          <w:szCs w:val="24"/>
          <w:lang w:val="en-GB"/>
        </w:rPr>
        <w:t xml:space="preserve">, age, BMI, smoking history and study </w:t>
      </w:r>
      <w:r w:rsidR="00382E60" w:rsidRPr="005766E3">
        <w:rPr>
          <w:sz w:val="24"/>
          <w:szCs w:val="24"/>
          <w:lang w:val="en-GB"/>
        </w:rPr>
        <w:t>(Table 3).</w:t>
      </w:r>
      <w:r w:rsidR="00231AC0" w:rsidRPr="005766E3">
        <w:rPr>
          <w:sz w:val="24"/>
          <w:szCs w:val="24"/>
          <w:lang w:val="en-GB"/>
        </w:rPr>
        <w:t xml:space="preserve"> Having habitual cough was negatively associated with flow related BDR.</w:t>
      </w:r>
      <w:r w:rsidR="0047184B" w:rsidRPr="005766E3">
        <w:rPr>
          <w:sz w:val="24"/>
          <w:szCs w:val="24"/>
          <w:lang w:val="en-GB"/>
        </w:rPr>
        <w:t xml:space="preserve"> Having nocturnal chest tightness, not having nocturnal cough and higher FeNO was independently associated with volume related </w:t>
      </w:r>
      <w:r w:rsidR="00CA6CC8">
        <w:rPr>
          <w:sz w:val="24"/>
          <w:szCs w:val="24"/>
          <w:lang w:val="en-GB"/>
        </w:rPr>
        <w:t>bronchodilator reversibility</w:t>
      </w:r>
      <w:r w:rsidR="0047184B" w:rsidRPr="005766E3">
        <w:rPr>
          <w:sz w:val="24"/>
          <w:szCs w:val="24"/>
          <w:lang w:val="en-GB"/>
        </w:rPr>
        <w:t xml:space="preserve"> (Table 3). </w:t>
      </w:r>
      <w:r w:rsidRPr="005766E3">
        <w:rPr>
          <w:sz w:val="24"/>
          <w:szCs w:val="24"/>
          <w:lang w:val="en-GB"/>
        </w:rPr>
        <w:t>Younger age</w:t>
      </w:r>
      <w:r w:rsidR="001F36AE">
        <w:rPr>
          <w:sz w:val="24"/>
          <w:szCs w:val="24"/>
          <w:lang w:val="en-GB"/>
        </w:rPr>
        <w:t xml:space="preserve"> and</w:t>
      </w:r>
      <w:r w:rsidRPr="005766E3">
        <w:rPr>
          <w:sz w:val="24"/>
          <w:szCs w:val="24"/>
          <w:lang w:val="en-GB"/>
        </w:rPr>
        <w:t xml:space="preserve"> having a BMI under 20 was independently associated with flow related </w:t>
      </w:r>
      <w:r w:rsidR="00CA6CC8">
        <w:rPr>
          <w:sz w:val="24"/>
          <w:szCs w:val="24"/>
          <w:lang w:val="en-GB"/>
        </w:rPr>
        <w:t>bronchodilator reversibility</w:t>
      </w:r>
      <w:r w:rsidRPr="005766E3">
        <w:rPr>
          <w:sz w:val="24"/>
          <w:szCs w:val="24"/>
          <w:lang w:val="en-GB"/>
        </w:rPr>
        <w:t xml:space="preserve"> while higher age and </w:t>
      </w:r>
      <w:r w:rsidR="001F36AE">
        <w:rPr>
          <w:sz w:val="24"/>
          <w:szCs w:val="24"/>
          <w:lang w:val="en-GB"/>
        </w:rPr>
        <w:t>m</w:t>
      </w:r>
      <w:r w:rsidRPr="005766E3">
        <w:rPr>
          <w:sz w:val="24"/>
          <w:szCs w:val="24"/>
          <w:lang w:val="en-GB"/>
        </w:rPr>
        <w:t xml:space="preserve">ale sex was related to volume related </w:t>
      </w:r>
      <w:r w:rsidR="00CA6CC8">
        <w:rPr>
          <w:sz w:val="24"/>
          <w:szCs w:val="24"/>
          <w:lang w:val="en-GB"/>
        </w:rPr>
        <w:t>bronchodilator reversibility</w:t>
      </w:r>
      <w:r w:rsidRPr="005766E3">
        <w:rPr>
          <w:sz w:val="24"/>
          <w:szCs w:val="24"/>
          <w:lang w:val="en-GB"/>
        </w:rPr>
        <w:t>.</w:t>
      </w:r>
    </w:p>
    <w:p w14:paraId="10DD103C" w14:textId="5DDFAA75" w:rsidR="00382E60" w:rsidRPr="005766E3" w:rsidRDefault="00382E60" w:rsidP="0047184B">
      <w:pPr>
        <w:spacing w:line="360" w:lineRule="auto"/>
        <w:ind w:right="-993"/>
        <w:rPr>
          <w:sz w:val="24"/>
          <w:szCs w:val="24"/>
          <w:lang w:val="en-GB"/>
        </w:rPr>
      </w:pPr>
    </w:p>
    <w:p w14:paraId="493459CA" w14:textId="77777777" w:rsidR="008A59B0" w:rsidRDefault="008A59B0" w:rsidP="005D04AF">
      <w:pPr>
        <w:spacing w:line="360" w:lineRule="auto"/>
        <w:rPr>
          <w:i/>
          <w:sz w:val="24"/>
          <w:szCs w:val="24"/>
          <w:lang w:val="en-US"/>
        </w:rPr>
      </w:pPr>
    </w:p>
    <w:p w14:paraId="2E5016D6" w14:textId="4911C160" w:rsidR="009C6FAD" w:rsidRPr="005766E3" w:rsidRDefault="009C6FAD" w:rsidP="005D04AF">
      <w:pPr>
        <w:spacing w:line="360" w:lineRule="auto"/>
        <w:rPr>
          <w:i/>
          <w:sz w:val="24"/>
          <w:szCs w:val="24"/>
          <w:lang w:val="en-US"/>
        </w:rPr>
      </w:pPr>
      <w:r w:rsidRPr="005766E3">
        <w:rPr>
          <w:i/>
          <w:sz w:val="24"/>
          <w:szCs w:val="24"/>
          <w:lang w:val="en-US"/>
        </w:rPr>
        <w:t>COPD</w:t>
      </w:r>
    </w:p>
    <w:p w14:paraId="0D4C442E" w14:textId="08E72AF7" w:rsidR="009C6FAD" w:rsidRPr="005766E3" w:rsidRDefault="009C6FAD" w:rsidP="005D04AF">
      <w:pPr>
        <w:spacing w:line="360" w:lineRule="auto"/>
        <w:rPr>
          <w:sz w:val="24"/>
          <w:szCs w:val="24"/>
          <w:lang w:val="en-GB"/>
        </w:rPr>
      </w:pPr>
      <w:r w:rsidRPr="005766E3">
        <w:rPr>
          <w:sz w:val="24"/>
          <w:szCs w:val="24"/>
          <w:lang w:val="en-US"/>
        </w:rPr>
        <w:t xml:space="preserve">Participants with COPD and </w:t>
      </w:r>
      <w:r w:rsidR="00CA6CC8">
        <w:rPr>
          <w:sz w:val="24"/>
          <w:szCs w:val="24"/>
          <w:lang w:val="en-GB"/>
        </w:rPr>
        <w:t>bronchodilator reversibility</w:t>
      </w:r>
      <w:r w:rsidRPr="005766E3">
        <w:rPr>
          <w:sz w:val="24"/>
          <w:szCs w:val="24"/>
          <w:lang w:val="en-US"/>
        </w:rPr>
        <w:t xml:space="preserve"> </w:t>
      </w:r>
      <w:r w:rsidR="000D50F2">
        <w:rPr>
          <w:sz w:val="24"/>
          <w:szCs w:val="24"/>
          <w:lang w:val="en-US"/>
        </w:rPr>
        <w:t>reported</w:t>
      </w:r>
      <w:r w:rsidRPr="005766E3">
        <w:rPr>
          <w:sz w:val="24"/>
          <w:szCs w:val="24"/>
          <w:lang w:val="en-US"/>
        </w:rPr>
        <w:t xml:space="preserve"> more symptoms, more exacerbations, more dyspnea and lower quality of life in the physical domain than participants with COPD and no </w:t>
      </w:r>
      <w:r w:rsidR="00CA6CC8">
        <w:rPr>
          <w:sz w:val="24"/>
          <w:szCs w:val="24"/>
          <w:lang w:val="en-GB"/>
        </w:rPr>
        <w:t>bronchodilator reversibility</w:t>
      </w:r>
      <w:r w:rsidR="003567F5">
        <w:rPr>
          <w:sz w:val="24"/>
          <w:szCs w:val="24"/>
          <w:lang w:val="en-US"/>
        </w:rPr>
        <w:t xml:space="preserve"> (Table 4)</w:t>
      </w:r>
      <w:r w:rsidRPr="005766E3">
        <w:rPr>
          <w:sz w:val="24"/>
          <w:szCs w:val="24"/>
          <w:lang w:val="en-US"/>
        </w:rPr>
        <w:t>.</w:t>
      </w:r>
      <w:r w:rsidR="00BE6F0C" w:rsidRPr="005766E3">
        <w:rPr>
          <w:sz w:val="24"/>
          <w:szCs w:val="24"/>
          <w:lang w:val="en-US"/>
        </w:rPr>
        <w:t xml:space="preserve"> However, all these associations became statistically non-significant after adjusting for </w:t>
      </w:r>
      <w:r w:rsidR="00BE6F0C" w:rsidRPr="005766E3">
        <w:rPr>
          <w:sz w:val="24"/>
          <w:szCs w:val="24"/>
          <w:lang w:val="en-GB"/>
        </w:rPr>
        <w:t>prebronchodilator FEV1, age, BMI, smoking history and study</w:t>
      </w:r>
      <w:r w:rsidR="003567F5">
        <w:rPr>
          <w:sz w:val="24"/>
          <w:szCs w:val="24"/>
          <w:lang w:val="en-GB"/>
        </w:rPr>
        <w:t xml:space="preserve"> (Table 5)</w:t>
      </w:r>
      <w:r w:rsidR="00BE6F0C" w:rsidRPr="005766E3">
        <w:rPr>
          <w:sz w:val="24"/>
          <w:szCs w:val="24"/>
          <w:lang w:val="en-GB"/>
        </w:rPr>
        <w:t xml:space="preserve">. The only exception was a significant </w:t>
      </w:r>
      <w:r w:rsidR="003567F5">
        <w:rPr>
          <w:sz w:val="24"/>
          <w:szCs w:val="24"/>
          <w:lang w:val="en-GB"/>
        </w:rPr>
        <w:t>in</w:t>
      </w:r>
      <w:r w:rsidR="00BE6F0C" w:rsidRPr="005766E3">
        <w:rPr>
          <w:sz w:val="24"/>
          <w:szCs w:val="24"/>
          <w:lang w:val="en-GB"/>
        </w:rPr>
        <w:t xml:space="preserve">dependent association between reported wheezing when not having a cold and having the combination of an increase in FEV1 ≥ 12% and 200 </w:t>
      </w:r>
      <w:r w:rsidR="001C0B71" w:rsidRPr="005766E3">
        <w:rPr>
          <w:sz w:val="24"/>
          <w:szCs w:val="24"/>
          <w:lang w:val="en-GB"/>
        </w:rPr>
        <w:t>mL</w:t>
      </w:r>
      <w:r w:rsidR="00BE6F0C" w:rsidRPr="005766E3">
        <w:rPr>
          <w:sz w:val="24"/>
          <w:szCs w:val="24"/>
          <w:lang w:val="en-GB"/>
        </w:rPr>
        <w:t>. Female sex and higher age were i</w:t>
      </w:r>
      <w:r w:rsidR="001C0B71" w:rsidRPr="005766E3">
        <w:rPr>
          <w:sz w:val="24"/>
          <w:szCs w:val="24"/>
          <w:lang w:val="en-GB"/>
        </w:rPr>
        <w:t>ndependently associate</w:t>
      </w:r>
      <w:r w:rsidR="00BE6F0C" w:rsidRPr="005766E3">
        <w:rPr>
          <w:sz w:val="24"/>
          <w:szCs w:val="24"/>
          <w:lang w:val="en-GB"/>
        </w:rPr>
        <w:t xml:space="preserve">d with having </w:t>
      </w:r>
      <w:r w:rsidR="001C0B71" w:rsidRPr="005766E3">
        <w:rPr>
          <w:sz w:val="24"/>
          <w:szCs w:val="24"/>
          <w:lang w:val="en-GB"/>
        </w:rPr>
        <w:t>an increase in FVC≥ 10.5%.</w:t>
      </w:r>
    </w:p>
    <w:p w14:paraId="5EA46BDA" w14:textId="77777777" w:rsidR="009C6FAD" w:rsidRPr="005766E3" w:rsidRDefault="009C6FAD" w:rsidP="005D04AF">
      <w:pPr>
        <w:spacing w:line="360" w:lineRule="auto"/>
        <w:rPr>
          <w:sz w:val="24"/>
          <w:szCs w:val="24"/>
          <w:lang w:val="en-US"/>
        </w:rPr>
      </w:pPr>
    </w:p>
    <w:p w14:paraId="2531DBC5" w14:textId="209EBD9D" w:rsidR="0023370B" w:rsidRDefault="0023370B" w:rsidP="0023370B">
      <w:pPr>
        <w:spacing w:line="360" w:lineRule="auto"/>
        <w:ind w:right="-993"/>
        <w:rPr>
          <w:sz w:val="24"/>
          <w:szCs w:val="24"/>
          <w:lang w:val="en-GB"/>
        </w:rPr>
      </w:pPr>
      <w:r w:rsidRPr="005766E3">
        <w:rPr>
          <w:sz w:val="24"/>
          <w:szCs w:val="24"/>
          <w:lang w:val="en-GB"/>
        </w:rPr>
        <w:t xml:space="preserve">There was no difference in the association between </w:t>
      </w:r>
      <w:r w:rsidR="00CA6CC8">
        <w:rPr>
          <w:sz w:val="24"/>
          <w:szCs w:val="24"/>
          <w:lang w:val="en-GB"/>
        </w:rPr>
        <w:t>bronchodilator reversibility</w:t>
      </w:r>
      <w:r w:rsidRPr="005766E3">
        <w:rPr>
          <w:sz w:val="24"/>
          <w:szCs w:val="24"/>
          <w:lang w:val="en-GB"/>
        </w:rPr>
        <w:t xml:space="preserve"> </w:t>
      </w:r>
      <w:r w:rsidR="00790D22">
        <w:rPr>
          <w:sz w:val="24"/>
          <w:szCs w:val="24"/>
          <w:lang w:val="en-GB"/>
        </w:rPr>
        <w:t xml:space="preserve">and </w:t>
      </w:r>
      <w:r w:rsidRPr="005766E3">
        <w:rPr>
          <w:sz w:val="24"/>
          <w:szCs w:val="24"/>
          <w:lang w:val="en-GB"/>
        </w:rPr>
        <w:t xml:space="preserve">the independent variables when </w:t>
      </w:r>
      <w:r w:rsidR="00CA6CC8">
        <w:rPr>
          <w:sz w:val="24"/>
          <w:szCs w:val="24"/>
          <w:lang w:val="en-GB"/>
        </w:rPr>
        <w:t>bronchodilator reversibility</w:t>
      </w:r>
      <w:r w:rsidRPr="005766E3">
        <w:rPr>
          <w:sz w:val="24"/>
          <w:szCs w:val="24"/>
          <w:lang w:val="en-GB"/>
        </w:rPr>
        <w:t xml:space="preserve"> </w:t>
      </w:r>
      <w:r w:rsidR="00CA6CC8">
        <w:rPr>
          <w:sz w:val="24"/>
          <w:szCs w:val="24"/>
          <w:lang w:val="en-GB"/>
        </w:rPr>
        <w:t>was</w:t>
      </w:r>
      <w:r w:rsidRPr="005766E3">
        <w:rPr>
          <w:sz w:val="24"/>
          <w:szCs w:val="24"/>
          <w:lang w:val="en-GB"/>
        </w:rPr>
        <w:t xml:space="preserve"> </w:t>
      </w:r>
      <w:r w:rsidR="00CA6CC8">
        <w:rPr>
          <w:sz w:val="24"/>
          <w:szCs w:val="24"/>
          <w:lang w:val="en-GB"/>
        </w:rPr>
        <w:t>defined from BDR expressed</w:t>
      </w:r>
      <w:r w:rsidRPr="005766E3">
        <w:rPr>
          <w:sz w:val="24"/>
          <w:szCs w:val="24"/>
          <w:lang w:val="en-GB"/>
        </w:rPr>
        <w:t xml:space="preserve"> as </w:t>
      </w:r>
      <w:r w:rsidR="001F36AE">
        <w:rPr>
          <w:sz w:val="24"/>
          <w:szCs w:val="24"/>
          <w:lang w:val="en-GB"/>
        </w:rPr>
        <w:t>percentage</w:t>
      </w:r>
      <w:r w:rsidRPr="005766E3">
        <w:rPr>
          <w:sz w:val="24"/>
          <w:szCs w:val="24"/>
          <w:lang w:val="en-GB"/>
        </w:rPr>
        <w:t xml:space="preserve"> of predicted instead of </w:t>
      </w:r>
      <w:r w:rsidR="001F36AE">
        <w:rPr>
          <w:sz w:val="24"/>
          <w:szCs w:val="24"/>
          <w:lang w:val="en-GB"/>
        </w:rPr>
        <w:t xml:space="preserve">percentage </w:t>
      </w:r>
      <w:r w:rsidRPr="005766E3">
        <w:rPr>
          <w:sz w:val="24"/>
          <w:szCs w:val="24"/>
          <w:lang w:val="en-GB"/>
        </w:rPr>
        <w:t>of baseline (Table E</w:t>
      </w:r>
      <w:r w:rsidR="00382281">
        <w:rPr>
          <w:sz w:val="24"/>
          <w:szCs w:val="24"/>
          <w:lang w:val="en-GB"/>
        </w:rPr>
        <w:t>2</w:t>
      </w:r>
      <w:r w:rsidRPr="005766E3">
        <w:rPr>
          <w:sz w:val="24"/>
          <w:szCs w:val="24"/>
          <w:lang w:val="en-GB"/>
        </w:rPr>
        <w:t xml:space="preserve"> and E</w:t>
      </w:r>
      <w:r w:rsidR="00382281">
        <w:rPr>
          <w:sz w:val="24"/>
          <w:szCs w:val="24"/>
          <w:lang w:val="en-GB"/>
        </w:rPr>
        <w:t>3</w:t>
      </w:r>
      <w:r w:rsidRPr="005766E3">
        <w:rPr>
          <w:sz w:val="24"/>
          <w:szCs w:val="24"/>
          <w:lang w:val="en-GB"/>
        </w:rPr>
        <w:t>).</w:t>
      </w:r>
    </w:p>
    <w:p w14:paraId="04DCEE14" w14:textId="46FF213A" w:rsidR="008A59B0" w:rsidRDefault="008A59B0" w:rsidP="0023370B">
      <w:pPr>
        <w:spacing w:line="360" w:lineRule="auto"/>
        <w:ind w:right="-993"/>
        <w:rPr>
          <w:sz w:val="24"/>
          <w:szCs w:val="24"/>
          <w:lang w:val="en-GB"/>
        </w:rPr>
      </w:pPr>
    </w:p>
    <w:p w14:paraId="44AA8895" w14:textId="3D709D57" w:rsidR="008A59B0" w:rsidRPr="008A59B0" w:rsidRDefault="008A59B0" w:rsidP="0023370B">
      <w:pPr>
        <w:spacing w:line="360" w:lineRule="auto"/>
        <w:ind w:right="-993"/>
        <w:rPr>
          <w:i/>
          <w:sz w:val="24"/>
          <w:szCs w:val="24"/>
          <w:lang w:val="en-GB"/>
        </w:rPr>
      </w:pPr>
      <w:r w:rsidRPr="008A59B0">
        <w:rPr>
          <w:i/>
          <w:sz w:val="24"/>
          <w:szCs w:val="24"/>
          <w:lang w:val="en-GB"/>
        </w:rPr>
        <w:t>Asthma COPD overlap</w:t>
      </w:r>
    </w:p>
    <w:p w14:paraId="2450F404" w14:textId="44493EE9" w:rsidR="008A59B0" w:rsidRPr="00F97F2F" w:rsidRDefault="008A59B0" w:rsidP="0023370B">
      <w:pPr>
        <w:spacing w:line="360" w:lineRule="auto"/>
        <w:ind w:right="-993"/>
        <w:rPr>
          <w:sz w:val="24"/>
          <w:szCs w:val="24"/>
          <w:lang w:val="en-GB"/>
        </w:rPr>
      </w:pPr>
      <w:r w:rsidRPr="00F97F2F">
        <w:rPr>
          <w:sz w:val="24"/>
          <w:szCs w:val="24"/>
          <w:lang w:val="en-GB"/>
        </w:rPr>
        <w:t>The number of part</w:t>
      </w:r>
      <w:r w:rsidR="00F97F2F" w:rsidRPr="00F97F2F">
        <w:rPr>
          <w:sz w:val="24"/>
          <w:szCs w:val="24"/>
          <w:lang w:val="en-GB"/>
        </w:rPr>
        <w:t>i</w:t>
      </w:r>
      <w:r w:rsidRPr="00F97F2F">
        <w:rPr>
          <w:sz w:val="24"/>
          <w:szCs w:val="24"/>
          <w:lang w:val="en-GB"/>
        </w:rPr>
        <w:t>cipants with ACO was 315. The prevalence of flow rela</w:t>
      </w:r>
      <w:r w:rsidR="00F97F2F" w:rsidRPr="00F97F2F">
        <w:rPr>
          <w:sz w:val="24"/>
          <w:szCs w:val="24"/>
          <w:lang w:val="en-GB"/>
        </w:rPr>
        <w:t>t</w:t>
      </w:r>
      <w:r w:rsidRPr="00F97F2F">
        <w:rPr>
          <w:sz w:val="24"/>
          <w:szCs w:val="24"/>
          <w:lang w:val="en-GB"/>
        </w:rPr>
        <w:t>ed reversibility</w:t>
      </w:r>
      <w:r w:rsidR="00F97F2F" w:rsidRPr="00F97F2F">
        <w:rPr>
          <w:sz w:val="24"/>
          <w:szCs w:val="24"/>
          <w:lang w:val="en-GB"/>
        </w:rPr>
        <w:t xml:space="preserve"> measured as an increase in FEV1 ≥ 12% was 33.6% while the prevalence of volume related reversibility expressed as an increase in FVC </w:t>
      </w:r>
      <w:r w:rsidR="00F97F2F" w:rsidRPr="00F97F2F">
        <w:rPr>
          <w:sz w:val="24"/>
          <w:szCs w:val="24"/>
          <w:lang w:val="en-US"/>
        </w:rPr>
        <w:t>≥10.5% was 36.8%. Being reversible was related to lower prebronchodilatory FEV1 and FVC (&lt;0.</w:t>
      </w:r>
      <w:r w:rsidR="00F97F2F">
        <w:rPr>
          <w:sz w:val="24"/>
          <w:szCs w:val="24"/>
          <w:lang w:val="en-US"/>
        </w:rPr>
        <w:t>0001)</w:t>
      </w:r>
      <w:r w:rsidR="00F97F2F" w:rsidRPr="00F97F2F">
        <w:rPr>
          <w:sz w:val="24"/>
          <w:szCs w:val="24"/>
          <w:lang w:val="en-US"/>
        </w:rPr>
        <w:t>, but not to any of the clinical and phenotypic var</w:t>
      </w:r>
      <w:r w:rsidR="00F97F2F">
        <w:rPr>
          <w:sz w:val="24"/>
          <w:szCs w:val="24"/>
          <w:lang w:val="en-US"/>
        </w:rPr>
        <w:t>ia</w:t>
      </w:r>
      <w:r w:rsidR="00F97F2F" w:rsidRPr="00F97F2F">
        <w:rPr>
          <w:sz w:val="24"/>
          <w:szCs w:val="24"/>
          <w:lang w:val="en-US"/>
        </w:rPr>
        <w:t>bles described above (data not shown).</w:t>
      </w:r>
    </w:p>
    <w:p w14:paraId="052936DF" w14:textId="39E14A03" w:rsidR="0023370B" w:rsidRDefault="0023370B" w:rsidP="0023370B">
      <w:pPr>
        <w:spacing w:line="360" w:lineRule="auto"/>
        <w:ind w:right="-993"/>
        <w:rPr>
          <w:sz w:val="24"/>
          <w:szCs w:val="24"/>
          <w:lang w:val="en-GB"/>
        </w:rPr>
      </w:pPr>
    </w:p>
    <w:p w14:paraId="6937F3D8" w14:textId="77777777" w:rsidR="000D50F2" w:rsidRPr="005766E3" w:rsidRDefault="000D50F2" w:rsidP="000D50F2">
      <w:pPr>
        <w:spacing w:line="360" w:lineRule="auto"/>
        <w:rPr>
          <w:i/>
          <w:sz w:val="24"/>
          <w:szCs w:val="24"/>
          <w:lang w:val="en-US"/>
        </w:rPr>
      </w:pPr>
      <w:r w:rsidRPr="005766E3">
        <w:rPr>
          <w:i/>
          <w:sz w:val="24"/>
          <w:szCs w:val="24"/>
          <w:lang w:val="en-US"/>
        </w:rPr>
        <w:t>Sensitivity analyses</w:t>
      </w:r>
    </w:p>
    <w:p w14:paraId="0E9E5D5A" w14:textId="5555BB89" w:rsidR="001C0B71" w:rsidRPr="005766E3" w:rsidRDefault="001C0B71" w:rsidP="0023370B">
      <w:pPr>
        <w:spacing w:line="360" w:lineRule="auto"/>
        <w:ind w:right="-993"/>
        <w:rPr>
          <w:sz w:val="24"/>
          <w:szCs w:val="24"/>
          <w:lang w:val="en-GB"/>
        </w:rPr>
      </w:pPr>
      <w:r w:rsidRPr="005766E3">
        <w:rPr>
          <w:sz w:val="24"/>
          <w:szCs w:val="24"/>
          <w:lang w:val="en-US"/>
        </w:rPr>
        <w:t xml:space="preserve">The results remained </w:t>
      </w:r>
      <w:r w:rsidR="001F36AE" w:rsidRPr="005766E3">
        <w:rPr>
          <w:sz w:val="24"/>
          <w:szCs w:val="24"/>
          <w:lang w:val="en-US"/>
        </w:rPr>
        <w:t>largely</w:t>
      </w:r>
      <w:r w:rsidRPr="005766E3">
        <w:rPr>
          <w:sz w:val="24"/>
          <w:szCs w:val="24"/>
          <w:lang w:val="en-US"/>
        </w:rPr>
        <w:t xml:space="preserve"> similar when only analyzing association </w:t>
      </w:r>
      <w:r w:rsidR="00CA6CC8">
        <w:rPr>
          <w:sz w:val="24"/>
          <w:szCs w:val="24"/>
          <w:lang w:val="en-US"/>
        </w:rPr>
        <w:t>with</w:t>
      </w:r>
      <w:r w:rsidRPr="005766E3">
        <w:rPr>
          <w:sz w:val="24"/>
          <w:szCs w:val="24"/>
          <w:lang w:val="en-US"/>
        </w:rPr>
        <w:t xml:space="preserve"> </w:t>
      </w:r>
      <w:r w:rsidR="00CA6CC8">
        <w:rPr>
          <w:sz w:val="24"/>
          <w:szCs w:val="24"/>
          <w:lang w:val="en-GB"/>
        </w:rPr>
        <w:t>bronchodilator reversibility</w:t>
      </w:r>
      <w:r w:rsidRPr="005766E3">
        <w:rPr>
          <w:sz w:val="24"/>
          <w:szCs w:val="24"/>
          <w:lang w:val="en-US"/>
        </w:rPr>
        <w:t xml:space="preserve"> </w:t>
      </w:r>
      <w:r w:rsidR="003567F5">
        <w:rPr>
          <w:sz w:val="24"/>
          <w:szCs w:val="24"/>
          <w:lang w:val="en-US"/>
        </w:rPr>
        <w:t>in</w:t>
      </w:r>
      <w:r w:rsidRPr="005766E3">
        <w:rPr>
          <w:sz w:val="24"/>
          <w:szCs w:val="24"/>
          <w:lang w:val="en-US"/>
        </w:rPr>
        <w:t xml:space="preserve"> participant</w:t>
      </w:r>
      <w:r w:rsidR="00C24FD7">
        <w:rPr>
          <w:sz w:val="24"/>
          <w:szCs w:val="24"/>
          <w:lang w:val="en-US"/>
        </w:rPr>
        <w:t>s</w:t>
      </w:r>
      <w:r w:rsidRPr="005766E3">
        <w:rPr>
          <w:sz w:val="24"/>
          <w:szCs w:val="24"/>
          <w:lang w:val="en-US"/>
        </w:rPr>
        <w:t xml:space="preserve"> with current asthma using the ECRHS II</w:t>
      </w:r>
      <w:r w:rsidR="00C24FD7">
        <w:rPr>
          <w:sz w:val="24"/>
          <w:szCs w:val="24"/>
          <w:lang w:val="en-US"/>
        </w:rPr>
        <w:t>I</w:t>
      </w:r>
      <w:r w:rsidRPr="005766E3">
        <w:rPr>
          <w:sz w:val="24"/>
          <w:szCs w:val="24"/>
          <w:lang w:val="en-US"/>
        </w:rPr>
        <w:t xml:space="preserve"> and GA2LEN study and analyzing association </w:t>
      </w:r>
      <w:r w:rsidR="00CA6CC8">
        <w:rPr>
          <w:sz w:val="24"/>
          <w:szCs w:val="24"/>
          <w:lang w:val="en-US"/>
        </w:rPr>
        <w:t>with</w:t>
      </w:r>
      <w:r w:rsidRPr="005766E3">
        <w:rPr>
          <w:sz w:val="24"/>
          <w:szCs w:val="24"/>
          <w:lang w:val="en-US"/>
        </w:rPr>
        <w:t xml:space="preserve"> </w:t>
      </w:r>
      <w:r w:rsidR="00CA6CC8">
        <w:rPr>
          <w:sz w:val="24"/>
          <w:szCs w:val="24"/>
          <w:lang w:val="en-GB"/>
        </w:rPr>
        <w:t>bronchodilator reversibility</w:t>
      </w:r>
      <w:r w:rsidRPr="005766E3">
        <w:rPr>
          <w:sz w:val="24"/>
          <w:szCs w:val="24"/>
          <w:lang w:val="en-US"/>
        </w:rPr>
        <w:t xml:space="preserve"> in COPD only using the BOLD study.</w:t>
      </w:r>
      <w:r w:rsidR="00895A2E" w:rsidRPr="005766E3">
        <w:rPr>
          <w:sz w:val="24"/>
          <w:szCs w:val="24"/>
          <w:lang w:val="en-US"/>
        </w:rPr>
        <w:t xml:space="preserve"> Adjusting for use of inhaled corticosteroids did not change the results.</w:t>
      </w:r>
    </w:p>
    <w:p w14:paraId="33682DC5" w14:textId="77777777" w:rsidR="0023370B" w:rsidRPr="005766E3" w:rsidRDefault="0023370B" w:rsidP="005D04AF">
      <w:pPr>
        <w:spacing w:line="360" w:lineRule="auto"/>
        <w:rPr>
          <w:sz w:val="24"/>
          <w:szCs w:val="24"/>
          <w:lang w:val="en-US"/>
        </w:rPr>
      </w:pPr>
    </w:p>
    <w:p w14:paraId="60000576" w14:textId="57069AA9" w:rsidR="003F7039" w:rsidRPr="005766E3" w:rsidRDefault="00467904" w:rsidP="005D04AF">
      <w:pPr>
        <w:spacing w:line="360" w:lineRule="auto"/>
        <w:rPr>
          <w:b/>
          <w:sz w:val="24"/>
          <w:szCs w:val="24"/>
          <w:lang w:val="en-US"/>
        </w:rPr>
      </w:pPr>
      <w:r w:rsidRPr="005766E3">
        <w:rPr>
          <w:b/>
          <w:sz w:val="24"/>
          <w:szCs w:val="24"/>
          <w:lang w:val="en-US"/>
        </w:rPr>
        <w:t>Discussion</w:t>
      </w:r>
    </w:p>
    <w:p w14:paraId="4B39E85E" w14:textId="42BED0EE" w:rsidR="00D259D8" w:rsidRPr="005766E3" w:rsidRDefault="002E2F57" w:rsidP="00646BC4">
      <w:pPr>
        <w:tabs>
          <w:tab w:val="left" w:pos="426"/>
        </w:tabs>
        <w:spacing w:line="360" w:lineRule="auto"/>
        <w:rPr>
          <w:sz w:val="24"/>
          <w:szCs w:val="24"/>
          <w:lang w:val="en-GB"/>
        </w:rPr>
      </w:pPr>
      <w:r w:rsidRPr="005766E3">
        <w:rPr>
          <w:sz w:val="24"/>
          <w:szCs w:val="24"/>
          <w:lang w:val="en-GB"/>
        </w:rPr>
        <w:t>Th</w:t>
      </w:r>
      <w:r w:rsidR="00D259D8" w:rsidRPr="005766E3">
        <w:rPr>
          <w:sz w:val="24"/>
          <w:szCs w:val="24"/>
          <w:lang w:val="en-GB"/>
        </w:rPr>
        <w:t xml:space="preserve">e main findings of the investigation </w:t>
      </w:r>
      <w:r w:rsidR="00DE5DE5">
        <w:rPr>
          <w:sz w:val="24"/>
          <w:szCs w:val="24"/>
          <w:lang w:val="en-GB"/>
        </w:rPr>
        <w:t>were</w:t>
      </w:r>
      <w:r w:rsidR="00D259D8" w:rsidRPr="005766E3">
        <w:rPr>
          <w:sz w:val="24"/>
          <w:szCs w:val="24"/>
          <w:lang w:val="en-GB"/>
        </w:rPr>
        <w:t xml:space="preserve"> that both flow and volume related bronchodilator reversibility was </w:t>
      </w:r>
      <w:r w:rsidR="0053762D" w:rsidRPr="005766E3">
        <w:rPr>
          <w:sz w:val="24"/>
          <w:szCs w:val="24"/>
          <w:lang w:val="en-GB"/>
        </w:rPr>
        <w:t>at least as</w:t>
      </w:r>
      <w:r w:rsidR="00D259D8" w:rsidRPr="005766E3">
        <w:rPr>
          <w:sz w:val="24"/>
          <w:szCs w:val="24"/>
          <w:lang w:val="en-GB"/>
        </w:rPr>
        <w:t xml:space="preserve"> common in participants with </w:t>
      </w:r>
      <w:r w:rsidR="00D33FE9">
        <w:rPr>
          <w:sz w:val="24"/>
          <w:szCs w:val="24"/>
          <w:lang w:val="en-GB"/>
        </w:rPr>
        <w:t xml:space="preserve">smoking related </w:t>
      </w:r>
      <w:r w:rsidR="00D259D8" w:rsidRPr="005766E3">
        <w:rPr>
          <w:sz w:val="24"/>
          <w:szCs w:val="24"/>
          <w:lang w:val="en-GB"/>
        </w:rPr>
        <w:t xml:space="preserve">COPD as those with </w:t>
      </w:r>
      <w:r w:rsidR="00D33FE9">
        <w:rPr>
          <w:sz w:val="24"/>
          <w:szCs w:val="24"/>
          <w:lang w:val="en-GB"/>
        </w:rPr>
        <w:t xml:space="preserve">current </w:t>
      </w:r>
      <w:r w:rsidR="00D259D8" w:rsidRPr="005766E3">
        <w:rPr>
          <w:sz w:val="24"/>
          <w:szCs w:val="24"/>
          <w:lang w:val="en-GB"/>
        </w:rPr>
        <w:t xml:space="preserve">asthma. </w:t>
      </w:r>
      <w:r w:rsidR="000D50F2">
        <w:rPr>
          <w:sz w:val="24"/>
          <w:szCs w:val="24"/>
          <w:lang w:val="en-GB"/>
        </w:rPr>
        <w:t>Among participants with current asthm</w:t>
      </w:r>
      <w:r w:rsidR="00D259D8" w:rsidRPr="005766E3">
        <w:rPr>
          <w:sz w:val="24"/>
          <w:szCs w:val="24"/>
          <w:lang w:val="en-GB"/>
        </w:rPr>
        <w:t>a</w:t>
      </w:r>
      <w:r w:rsidR="002436B3">
        <w:rPr>
          <w:sz w:val="24"/>
          <w:szCs w:val="24"/>
          <w:lang w:val="en-GB"/>
        </w:rPr>
        <w:t>,</w:t>
      </w:r>
      <w:r w:rsidR="00D259D8" w:rsidRPr="005766E3">
        <w:rPr>
          <w:sz w:val="24"/>
          <w:szCs w:val="24"/>
          <w:lang w:val="en-GB"/>
        </w:rPr>
        <w:t xml:space="preserve"> </w:t>
      </w:r>
      <w:r w:rsidR="00BD20CF">
        <w:rPr>
          <w:sz w:val="24"/>
          <w:szCs w:val="24"/>
          <w:lang w:val="en-GB"/>
        </w:rPr>
        <w:t>bronchodilator reversibility</w:t>
      </w:r>
      <w:r w:rsidR="00D259D8" w:rsidRPr="005766E3">
        <w:rPr>
          <w:sz w:val="24"/>
          <w:szCs w:val="24"/>
          <w:lang w:val="en-GB"/>
        </w:rPr>
        <w:t xml:space="preserve"> was </w:t>
      </w:r>
      <w:r w:rsidR="00A863A5">
        <w:rPr>
          <w:sz w:val="24"/>
          <w:szCs w:val="24"/>
          <w:lang w:val="en-GB"/>
        </w:rPr>
        <w:t xml:space="preserve">independently </w:t>
      </w:r>
      <w:r w:rsidR="00D259D8" w:rsidRPr="005766E3">
        <w:rPr>
          <w:sz w:val="24"/>
          <w:szCs w:val="24"/>
          <w:lang w:val="en-GB"/>
        </w:rPr>
        <w:t xml:space="preserve">associated with </w:t>
      </w:r>
      <w:r w:rsidR="002436B3">
        <w:rPr>
          <w:sz w:val="24"/>
          <w:szCs w:val="24"/>
          <w:lang w:val="en-GB"/>
        </w:rPr>
        <w:t>having wheeze</w:t>
      </w:r>
      <w:r w:rsidR="00D259D8" w:rsidRPr="005766E3">
        <w:rPr>
          <w:sz w:val="24"/>
          <w:szCs w:val="24"/>
          <w:lang w:val="en-GB"/>
        </w:rPr>
        <w:t>, atopic sensitisation and higher FeNO</w:t>
      </w:r>
      <w:r w:rsidR="00504FAF">
        <w:rPr>
          <w:sz w:val="24"/>
          <w:szCs w:val="24"/>
          <w:lang w:val="en-GB"/>
        </w:rPr>
        <w:t xml:space="preserve">. Among those with </w:t>
      </w:r>
      <w:r w:rsidR="00646BC4" w:rsidRPr="005766E3">
        <w:rPr>
          <w:sz w:val="24"/>
          <w:szCs w:val="24"/>
          <w:lang w:val="en-GB"/>
        </w:rPr>
        <w:t xml:space="preserve">COPD </w:t>
      </w:r>
      <w:r w:rsidR="00DA174C">
        <w:rPr>
          <w:sz w:val="24"/>
          <w:szCs w:val="24"/>
          <w:lang w:val="en-GB"/>
        </w:rPr>
        <w:t xml:space="preserve">reversibility was associated with more symptoms and lower health status but these association became statistically non-significant </w:t>
      </w:r>
      <w:r w:rsidR="00646BC4" w:rsidRPr="005766E3">
        <w:rPr>
          <w:sz w:val="24"/>
          <w:szCs w:val="24"/>
          <w:lang w:val="en-GB"/>
        </w:rPr>
        <w:t>after adjusting for prebronchodilator FEV</w:t>
      </w:r>
      <w:r w:rsidR="0053762D" w:rsidRPr="005766E3">
        <w:rPr>
          <w:sz w:val="24"/>
          <w:szCs w:val="24"/>
          <w:lang w:val="en-GB"/>
        </w:rPr>
        <w:t>1</w:t>
      </w:r>
      <w:r w:rsidR="00646BC4" w:rsidRPr="005766E3">
        <w:rPr>
          <w:sz w:val="24"/>
          <w:szCs w:val="24"/>
          <w:lang w:val="en-GB"/>
        </w:rPr>
        <w:t>.</w:t>
      </w:r>
    </w:p>
    <w:p w14:paraId="460B23D5" w14:textId="77777777" w:rsidR="00A863A5" w:rsidRDefault="00A863A5" w:rsidP="00807E85">
      <w:pPr>
        <w:tabs>
          <w:tab w:val="left" w:pos="426"/>
        </w:tabs>
        <w:spacing w:line="360" w:lineRule="auto"/>
        <w:rPr>
          <w:sz w:val="24"/>
          <w:szCs w:val="24"/>
          <w:lang w:val="en-GB"/>
        </w:rPr>
      </w:pPr>
    </w:p>
    <w:p w14:paraId="627ED098" w14:textId="54157077" w:rsidR="00807E85" w:rsidRPr="005766E3" w:rsidRDefault="00A72DCD" w:rsidP="00807E85">
      <w:pPr>
        <w:tabs>
          <w:tab w:val="left" w:pos="426"/>
        </w:tabs>
        <w:spacing w:line="360" w:lineRule="auto"/>
        <w:rPr>
          <w:sz w:val="24"/>
          <w:szCs w:val="24"/>
          <w:lang w:val="en-GB"/>
        </w:rPr>
      </w:pPr>
      <w:r w:rsidRPr="005766E3">
        <w:rPr>
          <w:sz w:val="24"/>
          <w:szCs w:val="24"/>
          <w:lang w:val="en-GB"/>
        </w:rPr>
        <w:t xml:space="preserve">This </w:t>
      </w:r>
      <w:r w:rsidR="00504FAF">
        <w:rPr>
          <w:sz w:val="24"/>
          <w:szCs w:val="24"/>
          <w:lang w:val="en-GB"/>
        </w:rPr>
        <w:t>analysis</w:t>
      </w:r>
      <w:r w:rsidRPr="005766E3">
        <w:rPr>
          <w:sz w:val="24"/>
          <w:szCs w:val="24"/>
          <w:lang w:val="en-GB"/>
        </w:rPr>
        <w:t xml:space="preserve"> is to our knowledge the largest study ever </w:t>
      </w:r>
      <w:r w:rsidR="00504FAF">
        <w:rPr>
          <w:sz w:val="24"/>
          <w:szCs w:val="24"/>
          <w:lang w:val="en-GB"/>
        </w:rPr>
        <w:t>that examines</w:t>
      </w:r>
      <w:r w:rsidR="00CA1CD7">
        <w:rPr>
          <w:sz w:val="24"/>
          <w:szCs w:val="24"/>
          <w:lang w:val="en-GB"/>
        </w:rPr>
        <w:t xml:space="preserve"> clinical correlates of </w:t>
      </w:r>
      <w:r w:rsidR="00BD20CF">
        <w:rPr>
          <w:sz w:val="24"/>
          <w:szCs w:val="24"/>
          <w:lang w:val="en-GB"/>
        </w:rPr>
        <w:t>bronchodilator reversibility</w:t>
      </w:r>
      <w:r w:rsidR="00646BC4" w:rsidRPr="005766E3">
        <w:rPr>
          <w:sz w:val="24"/>
          <w:szCs w:val="24"/>
          <w:lang w:val="en-GB"/>
        </w:rPr>
        <w:t xml:space="preserve">. </w:t>
      </w:r>
      <w:r w:rsidR="00504FAF">
        <w:rPr>
          <w:sz w:val="24"/>
          <w:szCs w:val="24"/>
          <w:lang w:val="en-GB"/>
        </w:rPr>
        <w:t>W</w:t>
      </w:r>
      <w:r w:rsidR="00A31D55">
        <w:rPr>
          <w:sz w:val="24"/>
          <w:szCs w:val="24"/>
          <w:lang w:val="en-GB"/>
        </w:rPr>
        <w:t>e show that</w:t>
      </w:r>
      <w:r w:rsidR="002436B3">
        <w:rPr>
          <w:sz w:val="24"/>
          <w:szCs w:val="24"/>
          <w:lang w:val="en-GB"/>
        </w:rPr>
        <w:t>,</w:t>
      </w:r>
      <w:r w:rsidR="0053762D" w:rsidRPr="005766E3">
        <w:rPr>
          <w:sz w:val="24"/>
          <w:szCs w:val="24"/>
          <w:lang w:val="en-GB"/>
        </w:rPr>
        <w:t xml:space="preserve"> </w:t>
      </w:r>
      <w:r w:rsidR="00E02EB0" w:rsidRPr="005766E3">
        <w:rPr>
          <w:sz w:val="24"/>
          <w:szCs w:val="24"/>
          <w:lang w:val="en-GB"/>
        </w:rPr>
        <w:t>17% of those with</w:t>
      </w:r>
      <w:r w:rsidR="0053762D" w:rsidRPr="005766E3">
        <w:rPr>
          <w:sz w:val="24"/>
          <w:szCs w:val="24"/>
          <w:lang w:val="en-GB"/>
        </w:rPr>
        <w:t xml:space="preserve"> asthma and </w:t>
      </w:r>
      <w:r w:rsidR="00E02EB0" w:rsidRPr="005766E3">
        <w:rPr>
          <w:sz w:val="24"/>
          <w:szCs w:val="24"/>
          <w:lang w:val="en-GB"/>
        </w:rPr>
        <w:t>18%</w:t>
      </w:r>
      <w:r w:rsidR="0053762D" w:rsidRPr="005766E3">
        <w:rPr>
          <w:sz w:val="24"/>
          <w:szCs w:val="24"/>
          <w:lang w:val="en-GB"/>
        </w:rPr>
        <w:t xml:space="preserve"> of those with </w:t>
      </w:r>
      <w:r w:rsidR="00790D22">
        <w:rPr>
          <w:sz w:val="24"/>
          <w:szCs w:val="24"/>
          <w:lang w:val="en-GB"/>
        </w:rPr>
        <w:t xml:space="preserve">COPD </w:t>
      </w:r>
      <w:r w:rsidR="0053762D" w:rsidRPr="005766E3">
        <w:rPr>
          <w:sz w:val="24"/>
          <w:szCs w:val="24"/>
          <w:lang w:val="en-GB"/>
        </w:rPr>
        <w:t xml:space="preserve">had an increase of FEV1 of at least 12% </w:t>
      </w:r>
      <w:r w:rsidR="00E02EB0" w:rsidRPr="005766E3">
        <w:rPr>
          <w:sz w:val="24"/>
          <w:szCs w:val="24"/>
          <w:lang w:val="en-GB"/>
        </w:rPr>
        <w:t xml:space="preserve">and 200 mL </w:t>
      </w:r>
      <w:r w:rsidR="0053762D" w:rsidRPr="005766E3">
        <w:rPr>
          <w:sz w:val="24"/>
          <w:szCs w:val="24"/>
          <w:lang w:val="en-GB"/>
        </w:rPr>
        <w:t xml:space="preserve">after bronchodilation. </w:t>
      </w:r>
      <w:r w:rsidR="00BB4D68" w:rsidRPr="005766E3">
        <w:rPr>
          <w:sz w:val="24"/>
          <w:szCs w:val="24"/>
          <w:lang w:val="en-GB"/>
        </w:rPr>
        <w:t>This accord</w:t>
      </w:r>
      <w:r w:rsidR="00A31D55">
        <w:rPr>
          <w:sz w:val="24"/>
          <w:szCs w:val="24"/>
          <w:lang w:val="en-GB"/>
        </w:rPr>
        <w:t>s</w:t>
      </w:r>
      <w:r w:rsidR="00BB4D68" w:rsidRPr="005766E3">
        <w:rPr>
          <w:sz w:val="24"/>
          <w:szCs w:val="24"/>
          <w:lang w:val="en-GB"/>
        </w:rPr>
        <w:t xml:space="preserve"> with previous studies </w:t>
      </w:r>
      <w:r w:rsidR="00A31D55">
        <w:rPr>
          <w:sz w:val="24"/>
          <w:szCs w:val="24"/>
          <w:lang w:val="en-GB"/>
        </w:rPr>
        <w:t>showing</w:t>
      </w:r>
      <w:r w:rsidR="00A863A5">
        <w:rPr>
          <w:sz w:val="24"/>
          <w:szCs w:val="24"/>
          <w:lang w:val="en-GB"/>
        </w:rPr>
        <w:t xml:space="preserve"> that bronchodilator testing is not </w:t>
      </w:r>
      <w:r w:rsidR="00BB4D68" w:rsidRPr="005766E3">
        <w:rPr>
          <w:sz w:val="24"/>
          <w:szCs w:val="24"/>
          <w:lang w:val="en-GB"/>
        </w:rPr>
        <w:t xml:space="preserve">useful for distinguishing between asthma and COPD. </w:t>
      </w:r>
      <w:r w:rsidR="001B0E99">
        <w:rPr>
          <w:noProof/>
          <w:sz w:val="24"/>
          <w:szCs w:val="24"/>
          <w:lang w:val="en-GB"/>
        </w:rPr>
        <w:t>(17)</w:t>
      </w:r>
      <w:r w:rsidR="00BB4D68" w:rsidRPr="005766E3">
        <w:rPr>
          <w:sz w:val="24"/>
          <w:szCs w:val="24"/>
          <w:lang w:val="en-GB"/>
        </w:rPr>
        <w:t xml:space="preserve"> </w:t>
      </w:r>
      <w:r w:rsidR="00A31D55">
        <w:rPr>
          <w:sz w:val="24"/>
          <w:szCs w:val="24"/>
          <w:lang w:val="en-GB"/>
        </w:rPr>
        <w:t xml:space="preserve">Previous work shows that only a </w:t>
      </w:r>
      <w:r w:rsidR="005047A6" w:rsidRPr="005766E3">
        <w:rPr>
          <w:sz w:val="24"/>
          <w:szCs w:val="24"/>
          <w:lang w:val="en-GB"/>
        </w:rPr>
        <w:t xml:space="preserve">minority of patients with asthma have BDR </w:t>
      </w:r>
      <w:r w:rsidR="001B0E99">
        <w:rPr>
          <w:noProof/>
          <w:sz w:val="24"/>
          <w:szCs w:val="24"/>
          <w:lang w:val="en-GB"/>
        </w:rPr>
        <w:t>(18-20)</w:t>
      </w:r>
      <w:r w:rsidR="005A3555" w:rsidRPr="005766E3">
        <w:rPr>
          <w:sz w:val="24"/>
          <w:szCs w:val="24"/>
          <w:lang w:val="en-GB"/>
        </w:rPr>
        <w:t xml:space="preserve"> and </w:t>
      </w:r>
      <w:r w:rsidR="00BB4D68" w:rsidRPr="005766E3">
        <w:rPr>
          <w:sz w:val="24"/>
          <w:szCs w:val="24"/>
          <w:lang w:val="en-GB"/>
        </w:rPr>
        <w:t xml:space="preserve">the prevalence </w:t>
      </w:r>
      <w:r w:rsidR="00A863A5">
        <w:rPr>
          <w:sz w:val="24"/>
          <w:szCs w:val="24"/>
          <w:lang w:val="en-GB"/>
        </w:rPr>
        <w:t xml:space="preserve">of </w:t>
      </w:r>
      <w:r w:rsidR="00606162">
        <w:rPr>
          <w:sz w:val="24"/>
          <w:szCs w:val="24"/>
          <w:lang w:val="en-GB"/>
        </w:rPr>
        <w:t>bronchodilator reversibility</w:t>
      </w:r>
      <w:r w:rsidR="00A863A5">
        <w:rPr>
          <w:sz w:val="24"/>
          <w:szCs w:val="24"/>
          <w:lang w:val="en-GB"/>
        </w:rPr>
        <w:t xml:space="preserve"> </w:t>
      </w:r>
      <w:r w:rsidR="005A3555" w:rsidRPr="005766E3">
        <w:rPr>
          <w:sz w:val="24"/>
          <w:szCs w:val="24"/>
          <w:lang w:val="en-GB"/>
        </w:rPr>
        <w:t>f</w:t>
      </w:r>
      <w:r w:rsidR="00E02EB0" w:rsidRPr="005766E3">
        <w:rPr>
          <w:sz w:val="24"/>
          <w:szCs w:val="24"/>
          <w:lang w:val="en-GB"/>
        </w:rPr>
        <w:t xml:space="preserve">or COPD </w:t>
      </w:r>
      <w:r w:rsidR="00A863A5">
        <w:rPr>
          <w:sz w:val="24"/>
          <w:szCs w:val="24"/>
          <w:lang w:val="en-GB"/>
        </w:rPr>
        <w:t xml:space="preserve">in </w:t>
      </w:r>
      <w:r w:rsidR="00A31D55">
        <w:rPr>
          <w:sz w:val="24"/>
          <w:szCs w:val="24"/>
          <w:lang w:val="en-GB"/>
        </w:rPr>
        <w:t>our study</w:t>
      </w:r>
      <w:r w:rsidR="00A863A5">
        <w:rPr>
          <w:sz w:val="24"/>
          <w:szCs w:val="24"/>
          <w:lang w:val="en-GB"/>
        </w:rPr>
        <w:t xml:space="preserve"> </w:t>
      </w:r>
      <w:r w:rsidR="00E02EB0" w:rsidRPr="005766E3">
        <w:rPr>
          <w:sz w:val="24"/>
          <w:szCs w:val="24"/>
          <w:lang w:val="en-GB"/>
        </w:rPr>
        <w:t>is fairly well in line with what was found in the ECLIPSE study w</w:t>
      </w:r>
      <w:r w:rsidR="00A863A5">
        <w:rPr>
          <w:sz w:val="24"/>
          <w:szCs w:val="24"/>
          <w:lang w:val="en-GB"/>
        </w:rPr>
        <w:t>h</w:t>
      </w:r>
      <w:r w:rsidR="00E02EB0" w:rsidRPr="005766E3">
        <w:rPr>
          <w:sz w:val="24"/>
          <w:szCs w:val="24"/>
          <w:lang w:val="en-GB"/>
        </w:rPr>
        <w:t xml:space="preserve">ere the corresponding prevalence was 24%. </w:t>
      </w:r>
      <w:r w:rsidR="001B0E99">
        <w:rPr>
          <w:noProof/>
          <w:sz w:val="24"/>
          <w:szCs w:val="24"/>
          <w:lang w:val="en-GB"/>
        </w:rPr>
        <w:t>(2)</w:t>
      </w:r>
      <w:r w:rsidR="00C01437" w:rsidRPr="005766E3">
        <w:rPr>
          <w:sz w:val="24"/>
          <w:szCs w:val="24"/>
          <w:lang w:val="en-GB"/>
        </w:rPr>
        <w:t xml:space="preserve"> </w:t>
      </w:r>
      <w:r w:rsidR="00606162">
        <w:rPr>
          <w:sz w:val="24"/>
          <w:szCs w:val="24"/>
          <w:lang w:val="en-GB"/>
        </w:rPr>
        <w:t>Bronchodilator reversibility</w:t>
      </w:r>
      <w:r w:rsidR="00D90074" w:rsidRPr="005766E3">
        <w:rPr>
          <w:sz w:val="24"/>
          <w:szCs w:val="24"/>
          <w:lang w:val="en-GB"/>
        </w:rPr>
        <w:t xml:space="preserve"> </w:t>
      </w:r>
      <w:r w:rsidR="005E1570">
        <w:rPr>
          <w:sz w:val="24"/>
          <w:szCs w:val="24"/>
          <w:lang w:val="en-GB"/>
        </w:rPr>
        <w:t>was</w:t>
      </w:r>
      <w:r w:rsidR="00D90074" w:rsidRPr="005766E3">
        <w:rPr>
          <w:sz w:val="24"/>
          <w:szCs w:val="24"/>
          <w:lang w:val="en-GB"/>
        </w:rPr>
        <w:t xml:space="preserve"> strongly related to prebronchodi</w:t>
      </w:r>
      <w:r w:rsidR="002436B3">
        <w:rPr>
          <w:sz w:val="24"/>
          <w:szCs w:val="24"/>
          <w:lang w:val="en-GB"/>
        </w:rPr>
        <w:t>la</w:t>
      </w:r>
      <w:r w:rsidR="00D90074" w:rsidRPr="005766E3">
        <w:rPr>
          <w:sz w:val="24"/>
          <w:szCs w:val="24"/>
          <w:lang w:val="en-GB"/>
        </w:rPr>
        <w:t xml:space="preserve">tor lung function and when adjusting for prebronchodilator FEV1 flow related </w:t>
      </w:r>
      <w:r w:rsidR="00606162">
        <w:rPr>
          <w:sz w:val="24"/>
          <w:szCs w:val="24"/>
          <w:lang w:val="en-GB"/>
        </w:rPr>
        <w:t>bronchodilator reversibility</w:t>
      </w:r>
      <w:r w:rsidR="00D90074" w:rsidRPr="005766E3">
        <w:rPr>
          <w:sz w:val="24"/>
          <w:szCs w:val="24"/>
          <w:lang w:val="en-GB"/>
        </w:rPr>
        <w:t xml:space="preserve"> was more strongly associated with asthma than COPD whereas volume related </w:t>
      </w:r>
      <w:r w:rsidR="00606162">
        <w:rPr>
          <w:sz w:val="24"/>
          <w:szCs w:val="24"/>
          <w:lang w:val="en-GB"/>
        </w:rPr>
        <w:t>bronchodilator reversibility</w:t>
      </w:r>
      <w:r w:rsidR="00D90074" w:rsidRPr="005766E3">
        <w:rPr>
          <w:sz w:val="24"/>
          <w:szCs w:val="24"/>
          <w:lang w:val="en-GB"/>
        </w:rPr>
        <w:t xml:space="preserve"> was more closely associated with COPD.</w:t>
      </w:r>
    </w:p>
    <w:p w14:paraId="79620616" w14:textId="3889542A" w:rsidR="00807E85" w:rsidRPr="005766E3" w:rsidRDefault="00807E85" w:rsidP="00807E85">
      <w:pPr>
        <w:tabs>
          <w:tab w:val="left" w:pos="426"/>
        </w:tabs>
        <w:spacing w:line="360" w:lineRule="auto"/>
        <w:rPr>
          <w:sz w:val="24"/>
          <w:szCs w:val="24"/>
          <w:lang w:val="en-GB"/>
        </w:rPr>
      </w:pPr>
    </w:p>
    <w:p w14:paraId="36CC4D44" w14:textId="7AE36E25" w:rsidR="00902199" w:rsidRPr="005766E3" w:rsidRDefault="00A31D55" w:rsidP="00807E85">
      <w:pPr>
        <w:tabs>
          <w:tab w:val="left" w:pos="426"/>
        </w:tabs>
        <w:spacing w:line="360" w:lineRule="auto"/>
        <w:rPr>
          <w:sz w:val="24"/>
          <w:szCs w:val="24"/>
          <w:lang w:val="en-GB"/>
        </w:rPr>
      </w:pPr>
      <w:r>
        <w:rPr>
          <w:sz w:val="24"/>
          <w:szCs w:val="24"/>
          <w:lang w:val="en-GB"/>
        </w:rPr>
        <w:t>We found that</w:t>
      </w:r>
      <w:r w:rsidR="00161E2F" w:rsidRPr="005766E3">
        <w:rPr>
          <w:sz w:val="24"/>
          <w:szCs w:val="24"/>
          <w:lang w:val="en-GB"/>
        </w:rPr>
        <w:t xml:space="preserve"> </w:t>
      </w:r>
      <w:r w:rsidR="00606162">
        <w:rPr>
          <w:sz w:val="24"/>
          <w:szCs w:val="24"/>
          <w:lang w:val="en-GB"/>
        </w:rPr>
        <w:t>bronchodilator reversibility</w:t>
      </w:r>
      <w:r w:rsidR="00D90074" w:rsidRPr="005766E3">
        <w:rPr>
          <w:sz w:val="24"/>
          <w:szCs w:val="24"/>
          <w:lang w:val="en-GB"/>
        </w:rPr>
        <w:t xml:space="preserve"> was independently associated with IgE sensitisation and higher FeNO levels</w:t>
      </w:r>
      <w:r w:rsidR="00161E2F" w:rsidRPr="005766E3">
        <w:rPr>
          <w:sz w:val="24"/>
          <w:szCs w:val="24"/>
          <w:lang w:val="en-GB"/>
        </w:rPr>
        <w:t xml:space="preserve"> in the group with asthma</w:t>
      </w:r>
      <w:r>
        <w:rPr>
          <w:sz w:val="24"/>
          <w:szCs w:val="24"/>
          <w:lang w:val="en-GB"/>
        </w:rPr>
        <w:t>,</w:t>
      </w:r>
      <w:r w:rsidR="00D90074" w:rsidRPr="005766E3">
        <w:rPr>
          <w:sz w:val="24"/>
          <w:szCs w:val="24"/>
          <w:lang w:val="en-GB"/>
        </w:rPr>
        <w:t xml:space="preserve"> </w:t>
      </w:r>
      <w:r>
        <w:rPr>
          <w:sz w:val="24"/>
          <w:szCs w:val="24"/>
          <w:lang w:val="en-GB"/>
        </w:rPr>
        <w:t>suggesting</w:t>
      </w:r>
      <w:r w:rsidR="00E40634" w:rsidRPr="005766E3">
        <w:rPr>
          <w:sz w:val="24"/>
          <w:szCs w:val="24"/>
          <w:lang w:val="en-GB"/>
        </w:rPr>
        <w:t xml:space="preserve"> that measuring </w:t>
      </w:r>
      <w:r w:rsidR="00864CA9">
        <w:rPr>
          <w:sz w:val="24"/>
          <w:szCs w:val="24"/>
          <w:lang w:val="en-GB"/>
        </w:rPr>
        <w:t>BDR</w:t>
      </w:r>
      <w:r w:rsidR="00E40634" w:rsidRPr="005766E3">
        <w:rPr>
          <w:sz w:val="24"/>
          <w:szCs w:val="24"/>
          <w:lang w:val="en-GB"/>
        </w:rPr>
        <w:t xml:space="preserve"> </w:t>
      </w:r>
      <w:r w:rsidR="002436B3" w:rsidRPr="005766E3">
        <w:rPr>
          <w:sz w:val="24"/>
          <w:szCs w:val="24"/>
          <w:lang w:val="en-GB"/>
        </w:rPr>
        <w:t>might</w:t>
      </w:r>
      <w:r w:rsidR="00E40634" w:rsidRPr="005766E3">
        <w:rPr>
          <w:sz w:val="24"/>
          <w:szCs w:val="24"/>
          <w:lang w:val="en-GB"/>
        </w:rPr>
        <w:t xml:space="preserve"> be of value for phenotypic characterisation of patients with asthma. </w:t>
      </w:r>
      <w:r w:rsidR="00772542" w:rsidRPr="005766E3">
        <w:rPr>
          <w:sz w:val="24"/>
          <w:szCs w:val="24"/>
          <w:lang w:val="en-GB"/>
        </w:rPr>
        <w:t xml:space="preserve">Higher FeNO levels </w:t>
      </w:r>
      <w:r w:rsidR="00F470E4">
        <w:rPr>
          <w:sz w:val="24"/>
          <w:szCs w:val="24"/>
          <w:lang w:val="en-GB"/>
        </w:rPr>
        <w:t>is a marker of type 2 inflammation</w:t>
      </w:r>
      <w:r>
        <w:rPr>
          <w:sz w:val="24"/>
          <w:szCs w:val="24"/>
          <w:lang w:val="en-GB"/>
        </w:rPr>
        <w:t>, frequently used as an</w:t>
      </w:r>
      <w:r w:rsidR="00F470E4">
        <w:rPr>
          <w:sz w:val="24"/>
          <w:szCs w:val="24"/>
          <w:lang w:val="en-GB"/>
        </w:rPr>
        <w:t xml:space="preserve"> </w:t>
      </w:r>
      <w:r w:rsidR="00772542" w:rsidRPr="005766E3">
        <w:rPr>
          <w:sz w:val="24"/>
          <w:szCs w:val="24"/>
          <w:lang w:val="en-GB"/>
        </w:rPr>
        <w:t>indicator of responsiv</w:t>
      </w:r>
      <w:r w:rsidR="00F470E4">
        <w:rPr>
          <w:sz w:val="24"/>
          <w:szCs w:val="24"/>
          <w:lang w:val="en-GB"/>
        </w:rPr>
        <w:t>e</w:t>
      </w:r>
      <w:r w:rsidR="00772542" w:rsidRPr="005766E3">
        <w:rPr>
          <w:sz w:val="24"/>
          <w:szCs w:val="24"/>
          <w:lang w:val="en-GB"/>
        </w:rPr>
        <w:t xml:space="preserve">ness to inhaled corticosteroids </w:t>
      </w:r>
      <w:r w:rsidR="001B0E99">
        <w:rPr>
          <w:noProof/>
          <w:sz w:val="24"/>
          <w:szCs w:val="24"/>
          <w:lang w:val="en-GB"/>
        </w:rPr>
        <w:t>(21)</w:t>
      </w:r>
      <w:r w:rsidR="00F470E4">
        <w:rPr>
          <w:sz w:val="24"/>
          <w:szCs w:val="24"/>
          <w:lang w:val="en-GB"/>
        </w:rPr>
        <w:t>.</w:t>
      </w:r>
      <w:r w:rsidR="00772542" w:rsidRPr="005766E3">
        <w:rPr>
          <w:sz w:val="24"/>
          <w:szCs w:val="24"/>
          <w:lang w:val="en-GB"/>
        </w:rPr>
        <w:t xml:space="preserve"> </w:t>
      </w:r>
      <w:r>
        <w:rPr>
          <w:sz w:val="24"/>
          <w:szCs w:val="24"/>
          <w:lang w:val="en-GB"/>
        </w:rPr>
        <w:t>Our findings are</w:t>
      </w:r>
      <w:r w:rsidR="002436B3">
        <w:rPr>
          <w:sz w:val="24"/>
          <w:szCs w:val="24"/>
          <w:lang w:val="en-GB"/>
        </w:rPr>
        <w:t xml:space="preserve"> </w:t>
      </w:r>
      <w:r w:rsidR="00772542" w:rsidRPr="005766E3">
        <w:rPr>
          <w:sz w:val="24"/>
          <w:szCs w:val="24"/>
          <w:lang w:val="en-GB"/>
        </w:rPr>
        <w:t xml:space="preserve">in accordance with one study </w:t>
      </w:r>
      <w:r w:rsidR="00F470E4">
        <w:rPr>
          <w:sz w:val="24"/>
          <w:szCs w:val="24"/>
          <w:lang w:val="en-GB"/>
        </w:rPr>
        <w:t xml:space="preserve">in asthma </w:t>
      </w:r>
      <w:r w:rsidR="00772542" w:rsidRPr="005766E3">
        <w:rPr>
          <w:sz w:val="24"/>
          <w:szCs w:val="24"/>
          <w:lang w:val="en-GB"/>
        </w:rPr>
        <w:t xml:space="preserve">that </w:t>
      </w:r>
      <w:r w:rsidR="00F470E4">
        <w:rPr>
          <w:sz w:val="24"/>
          <w:szCs w:val="24"/>
          <w:lang w:val="en-GB"/>
        </w:rPr>
        <w:t xml:space="preserve">found that </w:t>
      </w:r>
      <w:r w:rsidR="00606162">
        <w:rPr>
          <w:sz w:val="24"/>
          <w:szCs w:val="24"/>
          <w:lang w:val="en-GB"/>
        </w:rPr>
        <w:t>bronchodilator reversibility</w:t>
      </w:r>
      <w:r w:rsidR="00AC6C49" w:rsidRPr="005766E3">
        <w:rPr>
          <w:sz w:val="24"/>
          <w:szCs w:val="24"/>
          <w:lang w:val="en-GB"/>
        </w:rPr>
        <w:t xml:space="preserve"> </w:t>
      </w:r>
      <w:r w:rsidR="00772542" w:rsidRPr="005766E3">
        <w:rPr>
          <w:sz w:val="24"/>
          <w:szCs w:val="24"/>
          <w:lang w:val="en-GB"/>
        </w:rPr>
        <w:t>was</w:t>
      </w:r>
      <w:r w:rsidR="00AC6C49" w:rsidRPr="005766E3">
        <w:rPr>
          <w:sz w:val="24"/>
          <w:szCs w:val="24"/>
          <w:lang w:val="en-GB"/>
        </w:rPr>
        <w:t xml:space="preserve"> associated </w:t>
      </w:r>
      <w:r w:rsidR="00864CA9">
        <w:rPr>
          <w:sz w:val="24"/>
          <w:szCs w:val="24"/>
          <w:lang w:val="en-GB"/>
        </w:rPr>
        <w:t>with</w:t>
      </w:r>
      <w:r w:rsidR="00AC6C49" w:rsidRPr="005766E3">
        <w:rPr>
          <w:sz w:val="24"/>
          <w:szCs w:val="24"/>
          <w:lang w:val="en-GB"/>
        </w:rPr>
        <w:t xml:space="preserve"> being more responsive to inhaled corticosteroids. </w:t>
      </w:r>
      <w:r w:rsidR="008461B9">
        <w:rPr>
          <w:noProof/>
          <w:sz w:val="24"/>
          <w:szCs w:val="24"/>
          <w:lang w:val="en-GB"/>
        </w:rPr>
        <w:t>(6)</w:t>
      </w:r>
      <w:r w:rsidR="00E40634" w:rsidRPr="005766E3">
        <w:rPr>
          <w:sz w:val="24"/>
          <w:szCs w:val="24"/>
          <w:lang w:val="en-GB"/>
        </w:rPr>
        <w:t xml:space="preserve"> Studies have </w:t>
      </w:r>
      <w:r>
        <w:rPr>
          <w:sz w:val="24"/>
          <w:szCs w:val="24"/>
          <w:lang w:val="en-GB"/>
        </w:rPr>
        <w:t>also reported</w:t>
      </w:r>
      <w:r w:rsidR="00E40634" w:rsidRPr="005766E3">
        <w:rPr>
          <w:sz w:val="24"/>
          <w:szCs w:val="24"/>
          <w:lang w:val="en-GB"/>
        </w:rPr>
        <w:t xml:space="preserve"> that patients with asthma with </w:t>
      </w:r>
      <w:r w:rsidR="00606162">
        <w:rPr>
          <w:sz w:val="24"/>
          <w:szCs w:val="24"/>
          <w:lang w:val="en-GB"/>
        </w:rPr>
        <w:t>bronchodilator reversibility</w:t>
      </w:r>
      <w:r w:rsidR="00E40634" w:rsidRPr="005766E3">
        <w:rPr>
          <w:sz w:val="24"/>
          <w:szCs w:val="24"/>
          <w:lang w:val="en-GB"/>
        </w:rPr>
        <w:t xml:space="preserve"> are more likely to have difficult to control asthma. </w:t>
      </w:r>
      <w:r w:rsidR="008461B9">
        <w:rPr>
          <w:noProof/>
          <w:sz w:val="24"/>
          <w:szCs w:val="24"/>
          <w:lang w:val="en-GB"/>
        </w:rPr>
        <w:t>(3-5)</w:t>
      </w:r>
      <w:r w:rsidR="00E40634" w:rsidRPr="005766E3">
        <w:rPr>
          <w:sz w:val="24"/>
          <w:szCs w:val="24"/>
          <w:lang w:val="en-GB"/>
        </w:rPr>
        <w:t>.</w:t>
      </w:r>
      <w:r w:rsidR="00036572" w:rsidRPr="005766E3">
        <w:rPr>
          <w:sz w:val="24"/>
          <w:szCs w:val="24"/>
          <w:lang w:val="en-GB"/>
        </w:rPr>
        <w:t xml:space="preserve"> In the present study</w:t>
      </w:r>
      <w:r w:rsidR="002436B3">
        <w:rPr>
          <w:sz w:val="24"/>
          <w:szCs w:val="24"/>
          <w:lang w:val="en-GB"/>
        </w:rPr>
        <w:t>,</w:t>
      </w:r>
      <w:r w:rsidR="00036572" w:rsidRPr="005766E3">
        <w:rPr>
          <w:sz w:val="24"/>
          <w:szCs w:val="24"/>
          <w:lang w:val="en-GB"/>
        </w:rPr>
        <w:t xml:space="preserve"> we found no association between </w:t>
      </w:r>
      <w:r w:rsidR="005E1570">
        <w:rPr>
          <w:sz w:val="24"/>
          <w:szCs w:val="24"/>
          <w:lang w:val="en-GB"/>
        </w:rPr>
        <w:t xml:space="preserve">reported </w:t>
      </w:r>
      <w:r w:rsidR="00036572" w:rsidRPr="005766E3">
        <w:rPr>
          <w:sz w:val="24"/>
          <w:szCs w:val="24"/>
          <w:lang w:val="en-GB"/>
        </w:rPr>
        <w:t xml:space="preserve">attacks </w:t>
      </w:r>
      <w:r w:rsidR="005E1570">
        <w:rPr>
          <w:sz w:val="24"/>
          <w:szCs w:val="24"/>
          <w:lang w:val="en-GB"/>
        </w:rPr>
        <w:t xml:space="preserve">of asthma in the last 3 months </w:t>
      </w:r>
      <w:r w:rsidR="00036572" w:rsidRPr="005766E3">
        <w:rPr>
          <w:sz w:val="24"/>
          <w:szCs w:val="24"/>
          <w:lang w:val="en-GB"/>
        </w:rPr>
        <w:t xml:space="preserve">and </w:t>
      </w:r>
      <w:r w:rsidR="00606162">
        <w:rPr>
          <w:sz w:val="24"/>
          <w:szCs w:val="24"/>
          <w:lang w:val="en-GB"/>
        </w:rPr>
        <w:t>bronchodilator reversibility</w:t>
      </w:r>
      <w:r w:rsidR="00036572" w:rsidRPr="005766E3">
        <w:rPr>
          <w:sz w:val="24"/>
          <w:szCs w:val="24"/>
          <w:lang w:val="en-GB"/>
        </w:rPr>
        <w:t xml:space="preserve"> but BDR was associated with </w:t>
      </w:r>
      <w:r w:rsidR="005E1570">
        <w:rPr>
          <w:sz w:val="24"/>
          <w:szCs w:val="24"/>
          <w:lang w:val="en-GB"/>
        </w:rPr>
        <w:t>having wheeze</w:t>
      </w:r>
      <w:r w:rsidR="00036572" w:rsidRPr="005766E3">
        <w:rPr>
          <w:sz w:val="24"/>
          <w:szCs w:val="24"/>
          <w:lang w:val="en-GB"/>
        </w:rPr>
        <w:t xml:space="preserve"> </w:t>
      </w:r>
      <w:r>
        <w:rPr>
          <w:sz w:val="24"/>
          <w:szCs w:val="24"/>
          <w:lang w:val="en-GB"/>
        </w:rPr>
        <w:t>suggesting</w:t>
      </w:r>
      <w:r w:rsidR="00036572" w:rsidRPr="005766E3">
        <w:rPr>
          <w:sz w:val="24"/>
          <w:szCs w:val="24"/>
          <w:lang w:val="en-GB"/>
        </w:rPr>
        <w:t xml:space="preserve"> a relationship with less </w:t>
      </w:r>
      <w:r w:rsidR="009C6DD0" w:rsidRPr="005766E3">
        <w:rPr>
          <w:sz w:val="24"/>
          <w:szCs w:val="24"/>
          <w:lang w:val="en-GB"/>
        </w:rPr>
        <w:t xml:space="preserve">well </w:t>
      </w:r>
      <w:r w:rsidR="00036572" w:rsidRPr="005766E3">
        <w:rPr>
          <w:sz w:val="24"/>
          <w:szCs w:val="24"/>
          <w:lang w:val="en-GB"/>
        </w:rPr>
        <w:t>controlled asthma.</w:t>
      </w:r>
    </w:p>
    <w:p w14:paraId="3069EE42" w14:textId="5BC1E7E2" w:rsidR="00D90074" w:rsidRPr="005766E3" w:rsidRDefault="00D90074" w:rsidP="00807E85">
      <w:pPr>
        <w:tabs>
          <w:tab w:val="left" w:pos="426"/>
        </w:tabs>
        <w:spacing w:line="360" w:lineRule="auto"/>
        <w:rPr>
          <w:sz w:val="24"/>
          <w:szCs w:val="24"/>
          <w:lang w:val="en-GB"/>
        </w:rPr>
      </w:pPr>
    </w:p>
    <w:p w14:paraId="355A7049" w14:textId="69CA35F5" w:rsidR="00EF17A6" w:rsidRDefault="00D90074" w:rsidP="00AC6C49">
      <w:pPr>
        <w:spacing w:line="360" w:lineRule="auto"/>
        <w:rPr>
          <w:color w:val="000000"/>
          <w:sz w:val="24"/>
          <w:szCs w:val="24"/>
          <w:shd w:val="clear" w:color="auto" w:fill="FFFFFF"/>
          <w:lang w:val="en-GB"/>
        </w:rPr>
      </w:pPr>
      <w:r w:rsidRPr="005766E3">
        <w:rPr>
          <w:sz w:val="24"/>
          <w:szCs w:val="24"/>
          <w:lang w:val="en-GB"/>
        </w:rPr>
        <w:t xml:space="preserve">In </w:t>
      </w:r>
      <w:r w:rsidR="00036572" w:rsidRPr="005766E3">
        <w:rPr>
          <w:sz w:val="24"/>
          <w:szCs w:val="24"/>
          <w:lang w:val="en-GB"/>
        </w:rPr>
        <w:t>the unadjusted analyses</w:t>
      </w:r>
      <w:r w:rsidR="002436B3">
        <w:rPr>
          <w:sz w:val="24"/>
          <w:szCs w:val="24"/>
          <w:lang w:val="en-GB"/>
        </w:rPr>
        <w:t>,</w:t>
      </w:r>
      <w:r w:rsidR="00036572" w:rsidRPr="005766E3">
        <w:rPr>
          <w:sz w:val="24"/>
          <w:szCs w:val="24"/>
          <w:lang w:val="en-GB"/>
        </w:rPr>
        <w:t xml:space="preserve"> COPD patients with </w:t>
      </w:r>
      <w:r w:rsidR="00606162">
        <w:rPr>
          <w:sz w:val="24"/>
          <w:szCs w:val="24"/>
          <w:lang w:val="en-GB"/>
        </w:rPr>
        <w:t>bronchodilator reversibility</w:t>
      </w:r>
      <w:r w:rsidR="00A337AC" w:rsidRPr="005766E3">
        <w:rPr>
          <w:sz w:val="24"/>
          <w:szCs w:val="24"/>
          <w:lang w:val="en-GB"/>
        </w:rPr>
        <w:t xml:space="preserve"> had a higher prevalen</w:t>
      </w:r>
      <w:r w:rsidR="00D57988" w:rsidRPr="005766E3">
        <w:rPr>
          <w:sz w:val="24"/>
          <w:szCs w:val="24"/>
          <w:lang w:val="en-GB"/>
        </w:rPr>
        <w:t>ce of</w:t>
      </w:r>
      <w:r w:rsidR="00A337AC" w:rsidRPr="005766E3">
        <w:rPr>
          <w:sz w:val="24"/>
          <w:szCs w:val="24"/>
          <w:lang w:val="en-GB"/>
        </w:rPr>
        <w:t xml:space="preserve"> </w:t>
      </w:r>
      <w:r w:rsidR="00D57988" w:rsidRPr="005766E3">
        <w:rPr>
          <w:sz w:val="24"/>
          <w:szCs w:val="24"/>
          <w:lang w:val="en-GB"/>
        </w:rPr>
        <w:t xml:space="preserve">wheeze, </w:t>
      </w:r>
      <w:r w:rsidR="00A337AC" w:rsidRPr="005766E3">
        <w:rPr>
          <w:sz w:val="24"/>
          <w:szCs w:val="24"/>
          <w:lang w:val="en-GB"/>
        </w:rPr>
        <w:t xml:space="preserve">dyspnea, exacerbations and lower health status. </w:t>
      </w:r>
      <w:r w:rsidR="00D33FE9">
        <w:rPr>
          <w:sz w:val="24"/>
          <w:szCs w:val="24"/>
          <w:lang w:val="en-GB"/>
        </w:rPr>
        <w:t xml:space="preserve">However, this association is largely related to both reversibility and symptoms being more common in those with low lung function </w:t>
      </w:r>
      <w:r w:rsidR="00A337AC" w:rsidRPr="005766E3">
        <w:rPr>
          <w:sz w:val="24"/>
          <w:szCs w:val="24"/>
          <w:lang w:val="en-GB"/>
        </w:rPr>
        <w:t>Almost all of these associations b</w:t>
      </w:r>
      <w:r w:rsidR="00D57988" w:rsidRPr="005766E3">
        <w:rPr>
          <w:sz w:val="24"/>
          <w:szCs w:val="24"/>
          <w:lang w:val="en-GB"/>
        </w:rPr>
        <w:t>e</w:t>
      </w:r>
      <w:r w:rsidR="00A337AC" w:rsidRPr="005766E3">
        <w:rPr>
          <w:sz w:val="24"/>
          <w:szCs w:val="24"/>
          <w:lang w:val="en-GB"/>
        </w:rPr>
        <w:t>came stati</w:t>
      </w:r>
      <w:r w:rsidR="00D33FE9">
        <w:rPr>
          <w:sz w:val="24"/>
          <w:szCs w:val="24"/>
          <w:lang w:val="en-GB"/>
        </w:rPr>
        <w:t>sti</w:t>
      </w:r>
      <w:r w:rsidR="00A337AC" w:rsidRPr="005766E3">
        <w:rPr>
          <w:sz w:val="24"/>
          <w:szCs w:val="24"/>
          <w:lang w:val="en-GB"/>
        </w:rPr>
        <w:t>c</w:t>
      </w:r>
      <w:r w:rsidR="00D57988" w:rsidRPr="005766E3">
        <w:rPr>
          <w:sz w:val="24"/>
          <w:szCs w:val="24"/>
          <w:lang w:val="en-GB"/>
        </w:rPr>
        <w:t>al</w:t>
      </w:r>
      <w:r w:rsidR="00A337AC" w:rsidRPr="005766E3">
        <w:rPr>
          <w:sz w:val="24"/>
          <w:szCs w:val="24"/>
          <w:lang w:val="en-GB"/>
        </w:rPr>
        <w:t xml:space="preserve">ly non-significant after adjusting for prebronchodilator FEV1. </w:t>
      </w:r>
      <w:r w:rsidR="00F95B81">
        <w:rPr>
          <w:sz w:val="24"/>
          <w:szCs w:val="24"/>
          <w:lang w:val="en-GB"/>
        </w:rPr>
        <w:t>This</w:t>
      </w:r>
      <w:r w:rsidR="00A337AC" w:rsidRPr="005766E3">
        <w:rPr>
          <w:sz w:val="24"/>
          <w:szCs w:val="24"/>
          <w:lang w:val="en-GB"/>
        </w:rPr>
        <w:t xml:space="preserve"> </w:t>
      </w:r>
      <w:r w:rsidR="00D33FE9">
        <w:rPr>
          <w:sz w:val="24"/>
          <w:szCs w:val="24"/>
          <w:lang w:val="en-GB"/>
        </w:rPr>
        <w:t>has been seen in</w:t>
      </w:r>
      <w:r w:rsidR="00A337AC" w:rsidRPr="005766E3">
        <w:rPr>
          <w:sz w:val="24"/>
          <w:szCs w:val="24"/>
          <w:lang w:val="en-GB"/>
        </w:rPr>
        <w:t xml:space="preserve"> wit</w:t>
      </w:r>
      <w:r w:rsidR="00D57988" w:rsidRPr="005766E3">
        <w:rPr>
          <w:sz w:val="24"/>
          <w:szCs w:val="24"/>
          <w:lang w:val="en-GB"/>
        </w:rPr>
        <w:t>h</w:t>
      </w:r>
      <w:r w:rsidR="00A337AC" w:rsidRPr="005766E3">
        <w:rPr>
          <w:sz w:val="24"/>
          <w:szCs w:val="24"/>
          <w:lang w:val="en-GB"/>
        </w:rPr>
        <w:t xml:space="preserve"> several other studies showing no association between </w:t>
      </w:r>
      <w:r w:rsidR="00606162">
        <w:rPr>
          <w:sz w:val="24"/>
          <w:szCs w:val="24"/>
          <w:lang w:val="en-GB"/>
        </w:rPr>
        <w:t>bronchodilator reversibility</w:t>
      </w:r>
      <w:r w:rsidR="00A337AC" w:rsidRPr="005766E3">
        <w:rPr>
          <w:sz w:val="24"/>
          <w:szCs w:val="24"/>
          <w:lang w:val="en-GB"/>
        </w:rPr>
        <w:t xml:space="preserve"> and prognosis in COPD when baseline lung function is taken into account. </w:t>
      </w:r>
      <w:r w:rsidR="001B0E99">
        <w:rPr>
          <w:rFonts w:eastAsiaTheme="minorHAnsi"/>
          <w:noProof/>
          <w:sz w:val="24"/>
          <w:szCs w:val="24"/>
          <w:lang w:val="en-GB" w:eastAsia="en-US"/>
        </w:rPr>
        <w:t>(2, 7-9)</w:t>
      </w:r>
      <w:r w:rsidR="00AC6C49" w:rsidRPr="005766E3">
        <w:rPr>
          <w:sz w:val="24"/>
          <w:szCs w:val="24"/>
          <w:lang w:val="en-GB"/>
        </w:rPr>
        <w:t xml:space="preserve"> There are, however, some exceptions. In one analys</w:t>
      </w:r>
      <w:r w:rsidR="00FA6E6D">
        <w:rPr>
          <w:sz w:val="24"/>
          <w:szCs w:val="24"/>
          <w:lang w:val="en-GB"/>
        </w:rPr>
        <w:t>i</w:t>
      </w:r>
      <w:r w:rsidR="00AC6C49" w:rsidRPr="005766E3">
        <w:rPr>
          <w:sz w:val="24"/>
          <w:szCs w:val="24"/>
          <w:lang w:val="en-GB"/>
        </w:rPr>
        <w:t>s of ECLIPSE</w:t>
      </w:r>
      <w:r w:rsidR="00CD3701">
        <w:rPr>
          <w:sz w:val="24"/>
          <w:szCs w:val="24"/>
          <w:lang w:val="en-GB"/>
        </w:rPr>
        <w:t>,</w:t>
      </w:r>
      <w:r w:rsidR="00AC6C49" w:rsidRPr="005766E3">
        <w:rPr>
          <w:sz w:val="24"/>
          <w:szCs w:val="24"/>
          <w:lang w:val="en-GB"/>
        </w:rPr>
        <w:t xml:space="preserve"> COPD patients with </w:t>
      </w:r>
      <w:r w:rsidR="00606162">
        <w:rPr>
          <w:sz w:val="24"/>
          <w:szCs w:val="24"/>
          <w:lang w:val="en-GB"/>
        </w:rPr>
        <w:t>bronchodilator reversibility</w:t>
      </w:r>
      <w:r w:rsidR="00AC6C49" w:rsidRPr="005766E3">
        <w:rPr>
          <w:sz w:val="24"/>
          <w:szCs w:val="24"/>
          <w:lang w:val="en-GB"/>
        </w:rPr>
        <w:t xml:space="preserve"> had a faster decline in FEV1 </w:t>
      </w:r>
      <w:r w:rsidR="001B0E99">
        <w:rPr>
          <w:noProof/>
          <w:sz w:val="24"/>
          <w:szCs w:val="24"/>
          <w:lang w:val="en-GB"/>
        </w:rPr>
        <w:t>(22)</w:t>
      </w:r>
      <w:r w:rsidR="00F4055E">
        <w:rPr>
          <w:sz w:val="24"/>
          <w:szCs w:val="24"/>
          <w:lang w:val="en-GB"/>
        </w:rPr>
        <w:t xml:space="preserve"> in a large Spanish study higher reversibility was associated with lower risk of hospitalisations </w:t>
      </w:r>
      <w:r w:rsidR="00F4055E">
        <w:rPr>
          <w:noProof/>
          <w:sz w:val="24"/>
          <w:szCs w:val="24"/>
          <w:lang w:val="en-GB"/>
        </w:rPr>
        <w:t>(23)</w:t>
      </w:r>
      <w:r w:rsidR="00F4055E">
        <w:rPr>
          <w:sz w:val="24"/>
          <w:szCs w:val="24"/>
          <w:lang w:val="en-GB"/>
        </w:rPr>
        <w:t xml:space="preserve"> and </w:t>
      </w:r>
      <w:r w:rsidR="00AC6C49" w:rsidRPr="005766E3">
        <w:rPr>
          <w:sz w:val="24"/>
          <w:szCs w:val="24"/>
          <w:lang w:val="en-GB"/>
        </w:rPr>
        <w:t xml:space="preserve">in another study </w:t>
      </w:r>
      <w:r w:rsidR="00606162">
        <w:rPr>
          <w:sz w:val="24"/>
          <w:szCs w:val="24"/>
          <w:lang w:val="en-GB"/>
        </w:rPr>
        <w:t>bronchodilator reversibility</w:t>
      </w:r>
      <w:r w:rsidR="00AC6C49" w:rsidRPr="005766E3">
        <w:rPr>
          <w:sz w:val="24"/>
          <w:szCs w:val="24"/>
          <w:lang w:val="en-GB"/>
        </w:rPr>
        <w:t xml:space="preserve"> was weakly but statically significantly associated with </w:t>
      </w:r>
      <w:r w:rsidR="00AC6C49" w:rsidRPr="005766E3">
        <w:rPr>
          <w:color w:val="000000"/>
          <w:sz w:val="24"/>
          <w:szCs w:val="24"/>
          <w:shd w:val="clear" w:color="auto" w:fill="FFFFFF"/>
          <w:lang w:val="en-GB"/>
        </w:rPr>
        <w:t xml:space="preserve">sputum eosinophils </w:t>
      </w:r>
      <w:r w:rsidR="00F95B81">
        <w:rPr>
          <w:color w:val="000000"/>
          <w:sz w:val="24"/>
          <w:szCs w:val="24"/>
          <w:shd w:val="clear" w:color="auto" w:fill="FFFFFF"/>
          <w:lang w:val="en-GB"/>
        </w:rPr>
        <w:t xml:space="preserve">count </w:t>
      </w:r>
      <w:r w:rsidR="00AC6C49" w:rsidRPr="005766E3">
        <w:rPr>
          <w:color w:val="000000"/>
          <w:sz w:val="24"/>
          <w:szCs w:val="24"/>
          <w:shd w:val="clear" w:color="auto" w:fill="FFFFFF"/>
          <w:lang w:val="en-GB"/>
        </w:rPr>
        <w:t xml:space="preserve">in COPD. </w:t>
      </w:r>
      <w:r w:rsidR="00F4055E">
        <w:rPr>
          <w:noProof/>
          <w:color w:val="000000"/>
          <w:sz w:val="24"/>
          <w:szCs w:val="24"/>
          <w:shd w:val="clear" w:color="auto" w:fill="FFFFFF"/>
          <w:lang w:val="en-GB"/>
        </w:rPr>
        <w:t>(24)</w:t>
      </w:r>
    </w:p>
    <w:p w14:paraId="17DF92AD" w14:textId="77777777" w:rsidR="00EF17A6" w:rsidRDefault="00EF17A6" w:rsidP="00AC6C49">
      <w:pPr>
        <w:spacing w:line="360" w:lineRule="auto"/>
        <w:rPr>
          <w:color w:val="000000"/>
          <w:sz w:val="24"/>
          <w:szCs w:val="24"/>
          <w:shd w:val="clear" w:color="auto" w:fill="FFFFFF"/>
          <w:lang w:val="en-GB"/>
        </w:rPr>
      </w:pPr>
    </w:p>
    <w:p w14:paraId="5C0B5F87" w14:textId="4C588E36" w:rsidR="00D90074" w:rsidRDefault="001C7F89" w:rsidP="00654E32">
      <w:pPr>
        <w:spacing w:line="360" w:lineRule="auto"/>
        <w:rPr>
          <w:color w:val="000000"/>
          <w:sz w:val="24"/>
          <w:szCs w:val="24"/>
          <w:shd w:val="clear" w:color="auto" w:fill="FFFFFF"/>
          <w:lang w:val="en-GB"/>
        </w:rPr>
      </w:pPr>
      <w:r w:rsidRPr="006C2406">
        <w:rPr>
          <w:color w:val="000000"/>
          <w:sz w:val="24"/>
          <w:szCs w:val="24"/>
          <w:shd w:val="clear" w:color="auto" w:fill="FFFFFF"/>
          <w:lang w:val="en-GB"/>
        </w:rPr>
        <w:t>In the present study was no difference between C</w:t>
      </w:r>
      <w:r w:rsidR="00654E32" w:rsidRPr="006C2406">
        <w:rPr>
          <w:color w:val="000000"/>
          <w:sz w:val="24"/>
          <w:szCs w:val="24"/>
          <w:shd w:val="clear" w:color="auto" w:fill="FFFFFF"/>
          <w:lang w:val="en-GB"/>
        </w:rPr>
        <w:t xml:space="preserve">OPD with and without bronchitis, COPD with and without frequent exacerbations or COPD patient that were exsmokers or current smokers </w:t>
      </w:r>
      <w:r w:rsidRPr="006C2406">
        <w:rPr>
          <w:color w:val="000000"/>
          <w:sz w:val="24"/>
          <w:szCs w:val="24"/>
          <w:shd w:val="clear" w:color="auto" w:fill="FFFFFF"/>
          <w:lang w:val="en-GB"/>
        </w:rPr>
        <w:t xml:space="preserve">in the adjusted analyses. </w:t>
      </w:r>
      <w:r w:rsidR="00654E32">
        <w:rPr>
          <w:color w:val="000000"/>
          <w:sz w:val="24"/>
          <w:szCs w:val="24"/>
          <w:shd w:val="clear" w:color="auto" w:fill="FFFFFF"/>
          <w:lang w:val="en-GB"/>
        </w:rPr>
        <w:t>Apart from this we have, however, no phenotypic information on the participants with COPD.</w:t>
      </w:r>
    </w:p>
    <w:p w14:paraId="7735B129" w14:textId="7B8A28F5" w:rsidR="00654E32" w:rsidRDefault="00654E32" w:rsidP="00654E32">
      <w:pPr>
        <w:spacing w:line="360" w:lineRule="auto"/>
        <w:rPr>
          <w:color w:val="000000"/>
          <w:sz w:val="24"/>
          <w:szCs w:val="24"/>
          <w:shd w:val="clear" w:color="auto" w:fill="FFFFFF"/>
          <w:lang w:val="en-GB"/>
        </w:rPr>
      </w:pPr>
    </w:p>
    <w:p w14:paraId="404C903F" w14:textId="4A2BE364" w:rsidR="002940BE" w:rsidRPr="005766E3" w:rsidRDefault="00606162" w:rsidP="00807E85">
      <w:pPr>
        <w:tabs>
          <w:tab w:val="left" w:pos="426"/>
        </w:tabs>
        <w:spacing w:line="360" w:lineRule="auto"/>
        <w:rPr>
          <w:sz w:val="24"/>
          <w:szCs w:val="24"/>
          <w:lang w:val="en-GB"/>
        </w:rPr>
      </w:pPr>
      <w:r>
        <w:rPr>
          <w:sz w:val="24"/>
          <w:szCs w:val="24"/>
          <w:lang w:val="en-GB"/>
        </w:rPr>
        <w:t>Bronchodilator reversibility</w:t>
      </w:r>
      <w:r w:rsidR="00915B13" w:rsidRPr="005766E3">
        <w:rPr>
          <w:sz w:val="24"/>
          <w:szCs w:val="24"/>
          <w:lang w:val="en-GB"/>
        </w:rPr>
        <w:t xml:space="preserve"> </w:t>
      </w:r>
      <w:r w:rsidR="00503248">
        <w:rPr>
          <w:sz w:val="24"/>
          <w:szCs w:val="24"/>
          <w:lang w:val="en-GB"/>
        </w:rPr>
        <w:t xml:space="preserve">is </w:t>
      </w:r>
      <w:r>
        <w:rPr>
          <w:sz w:val="24"/>
          <w:szCs w:val="24"/>
          <w:lang w:val="en-GB"/>
        </w:rPr>
        <w:t xml:space="preserve">usually defined based on the </w:t>
      </w:r>
      <w:r w:rsidR="00915B13" w:rsidRPr="005766E3">
        <w:rPr>
          <w:sz w:val="24"/>
          <w:szCs w:val="24"/>
          <w:lang w:val="en-GB"/>
        </w:rPr>
        <w:t xml:space="preserve">relative change in FEV1 from the baseline value. An alternative </w:t>
      </w:r>
      <w:r w:rsidR="00E80603">
        <w:rPr>
          <w:sz w:val="24"/>
          <w:szCs w:val="24"/>
          <w:lang w:val="en-GB"/>
        </w:rPr>
        <w:t xml:space="preserve">way </w:t>
      </w:r>
      <w:r w:rsidR="00915B13" w:rsidRPr="005766E3">
        <w:rPr>
          <w:sz w:val="24"/>
          <w:szCs w:val="24"/>
          <w:lang w:val="en-GB"/>
        </w:rPr>
        <w:t xml:space="preserve">is to measure </w:t>
      </w:r>
      <w:r>
        <w:rPr>
          <w:sz w:val="24"/>
          <w:szCs w:val="24"/>
          <w:lang w:val="en-GB"/>
        </w:rPr>
        <w:t>BDR</w:t>
      </w:r>
      <w:r w:rsidR="00915B13" w:rsidRPr="005766E3">
        <w:rPr>
          <w:sz w:val="24"/>
          <w:szCs w:val="24"/>
          <w:lang w:val="en-GB"/>
        </w:rPr>
        <w:t xml:space="preserve"> as a change expressed as percent predicted, which potentially decreases the influence of baseline lung function </w:t>
      </w:r>
      <w:r w:rsidR="00F4055E">
        <w:rPr>
          <w:noProof/>
          <w:sz w:val="24"/>
          <w:szCs w:val="24"/>
          <w:lang w:val="en-GB"/>
        </w:rPr>
        <w:t>(10, 25)</w:t>
      </w:r>
      <w:r w:rsidR="00915B13" w:rsidRPr="005766E3">
        <w:rPr>
          <w:sz w:val="24"/>
          <w:szCs w:val="24"/>
          <w:lang w:val="en-GB"/>
        </w:rPr>
        <w:t xml:space="preserve">. </w:t>
      </w:r>
      <w:r w:rsidR="00D33FE9">
        <w:rPr>
          <w:sz w:val="24"/>
          <w:szCs w:val="24"/>
          <w:lang w:val="en-GB"/>
        </w:rPr>
        <w:t>We</w:t>
      </w:r>
      <w:r w:rsidR="00F700AE" w:rsidRPr="005766E3">
        <w:rPr>
          <w:sz w:val="24"/>
          <w:szCs w:val="24"/>
          <w:lang w:val="en-GB"/>
        </w:rPr>
        <w:t xml:space="preserve"> show</w:t>
      </w:r>
      <w:r w:rsidR="00E80603">
        <w:rPr>
          <w:sz w:val="24"/>
          <w:szCs w:val="24"/>
          <w:lang w:val="en-GB"/>
        </w:rPr>
        <w:t>, however,</w:t>
      </w:r>
      <w:r w:rsidR="00F700AE" w:rsidRPr="005766E3">
        <w:rPr>
          <w:sz w:val="24"/>
          <w:szCs w:val="24"/>
          <w:lang w:val="en-GB"/>
        </w:rPr>
        <w:t xml:space="preserve"> that both measures are highly dependent on prebronchodilator lung function. There was also no difference </w:t>
      </w:r>
      <w:r w:rsidR="00EF5A17" w:rsidRPr="005766E3">
        <w:rPr>
          <w:sz w:val="24"/>
          <w:szCs w:val="24"/>
          <w:lang w:val="en-GB"/>
        </w:rPr>
        <w:t xml:space="preserve">in the association between </w:t>
      </w:r>
      <w:r>
        <w:rPr>
          <w:sz w:val="24"/>
          <w:szCs w:val="24"/>
          <w:lang w:val="en-GB"/>
        </w:rPr>
        <w:t>bronchodilator reversibility</w:t>
      </w:r>
      <w:r w:rsidR="00EF5A17" w:rsidRPr="005766E3">
        <w:rPr>
          <w:sz w:val="24"/>
          <w:szCs w:val="24"/>
          <w:lang w:val="en-GB"/>
        </w:rPr>
        <w:t xml:space="preserve"> with symptoms and phenotypic </w:t>
      </w:r>
      <w:r w:rsidR="001B63B9" w:rsidRPr="005766E3">
        <w:rPr>
          <w:sz w:val="24"/>
          <w:szCs w:val="24"/>
          <w:lang w:val="en-GB"/>
        </w:rPr>
        <w:t>characteristics</w:t>
      </w:r>
      <w:r w:rsidR="00EF5A17" w:rsidRPr="005766E3">
        <w:rPr>
          <w:sz w:val="24"/>
          <w:szCs w:val="24"/>
          <w:lang w:val="en-GB"/>
        </w:rPr>
        <w:t xml:space="preserve"> in the asthma group between the two methods. </w:t>
      </w:r>
      <w:r w:rsidR="00F700AE" w:rsidRPr="005766E3">
        <w:rPr>
          <w:sz w:val="24"/>
          <w:szCs w:val="24"/>
          <w:lang w:val="en-GB"/>
        </w:rPr>
        <w:t xml:space="preserve"> </w:t>
      </w:r>
    </w:p>
    <w:p w14:paraId="282BEAE5" w14:textId="77777777" w:rsidR="002940BE" w:rsidRPr="005766E3" w:rsidRDefault="002940BE" w:rsidP="00807E85">
      <w:pPr>
        <w:tabs>
          <w:tab w:val="left" w:pos="426"/>
        </w:tabs>
        <w:spacing w:line="360" w:lineRule="auto"/>
        <w:rPr>
          <w:sz w:val="24"/>
          <w:szCs w:val="24"/>
          <w:lang w:val="en-GB"/>
        </w:rPr>
      </w:pPr>
    </w:p>
    <w:p w14:paraId="2F3C820E" w14:textId="798A6E55" w:rsidR="00902199" w:rsidRPr="005766E3" w:rsidRDefault="00B76C7B" w:rsidP="00807E85">
      <w:pPr>
        <w:tabs>
          <w:tab w:val="left" w:pos="426"/>
        </w:tabs>
        <w:spacing w:line="360" w:lineRule="auto"/>
        <w:rPr>
          <w:sz w:val="24"/>
          <w:szCs w:val="24"/>
          <w:lang w:val="en-GB"/>
        </w:rPr>
      </w:pPr>
      <w:r w:rsidRPr="005766E3">
        <w:rPr>
          <w:sz w:val="24"/>
          <w:szCs w:val="24"/>
          <w:lang w:val="en-GB"/>
        </w:rPr>
        <w:t xml:space="preserve">Volume related </w:t>
      </w:r>
      <w:r w:rsidR="00606162">
        <w:rPr>
          <w:sz w:val="24"/>
          <w:szCs w:val="24"/>
          <w:lang w:val="en-GB"/>
        </w:rPr>
        <w:t>bronchodilator reversibility</w:t>
      </w:r>
      <w:r w:rsidRPr="005766E3">
        <w:rPr>
          <w:sz w:val="24"/>
          <w:szCs w:val="24"/>
          <w:lang w:val="en-GB"/>
        </w:rPr>
        <w:t xml:space="preserve"> was more common in COPD than asthma</w:t>
      </w:r>
      <w:r w:rsidR="00F95B81">
        <w:rPr>
          <w:sz w:val="24"/>
          <w:szCs w:val="24"/>
          <w:lang w:val="en-GB"/>
        </w:rPr>
        <w:t>. This was also found</w:t>
      </w:r>
      <w:r w:rsidRPr="005766E3">
        <w:rPr>
          <w:sz w:val="24"/>
          <w:szCs w:val="24"/>
          <w:lang w:val="en-GB"/>
        </w:rPr>
        <w:t xml:space="preserve"> after adjusting for prebronchodilator FEV1. </w:t>
      </w:r>
      <w:r w:rsidR="002940BE" w:rsidRPr="005766E3">
        <w:rPr>
          <w:sz w:val="24"/>
          <w:szCs w:val="24"/>
          <w:lang w:val="en-GB"/>
        </w:rPr>
        <w:t xml:space="preserve">Quanjer </w:t>
      </w:r>
      <w:r w:rsidR="002940BE" w:rsidRPr="00F95B81">
        <w:rPr>
          <w:i/>
          <w:sz w:val="24"/>
          <w:szCs w:val="24"/>
          <w:lang w:val="en-GB"/>
        </w:rPr>
        <w:t>et al</w:t>
      </w:r>
      <w:r w:rsidR="002940BE" w:rsidRPr="005766E3">
        <w:rPr>
          <w:sz w:val="24"/>
          <w:szCs w:val="24"/>
          <w:lang w:val="en-GB"/>
        </w:rPr>
        <w:t xml:space="preserve"> found the bronch</w:t>
      </w:r>
      <w:r w:rsidR="00E80603">
        <w:rPr>
          <w:sz w:val="24"/>
          <w:szCs w:val="24"/>
          <w:lang w:val="en-GB"/>
        </w:rPr>
        <w:t>od</w:t>
      </w:r>
      <w:r w:rsidR="002940BE" w:rsidRPr="005766E3">
        <w:rPr>
          <w:sz w:val="24"/>
          <w:szCs w:val="24"/>
          <w:lang w:val="en-GB"/>
        </w:rPr>
        <w:t>ilator response to FVC increased with the level of airflow obstruction</w:t>
      </w:r>
      <w:r w:rsidR="00D33FE9">
        <w:rPr>
          <w:sz w:val="24"/>
          <w:szCs w:val="24"/>
          <w:lang w:val="en-GB"/>
        </w:rPr>
        <w:t>.</w:t>
      </w:r>
      <w:r w:rsidR="002940BE" w:rsidRPr="005766E3">
        <w:rPr>
          <w:sz w:val="24"/>
          <w:szCs w:val="24"/>
          <w:lang w:val="en-GB"/>
        </w:rPr>
        <w:t xml:space="preserve"> </w:t>
      </w:r>
      <w:r w:rsidR="00D33FE9">
        <w:rPr>
          <w:sz w:val="24"/>
          <w:szCs w:val="24"/>
          <w:lang w:val="en-GB"/>
        </w:rPr>
        <w:t>They</w:t>
      </w:r>
      <w:r w:rsidR="002940BE" w:rsidRPr="005766E3">
        <w:rPr>
          <w:sz w:val="24"/>
          <w:szCs w:val="24"/>
          <w:lang w:val="en-GB"/>
        </w:rPr>
        <w:t xml:space="preserve"> </w:t>
      </w:r>
      <w:r w:rsidR="00E80603">
        <w:rPr>
          <w:sz w:val="24"/>
          <w:szCs w:val="24"/>
          <w:lang w:val="en-GB"/>
        </w:rPr>
        <w:t xml:space="preserve">suggested </w:t>
      </w:r>
      <w:r w:rsidR="002940BE" w:rsidRPr="005766E3">
        <w:rPr>
          <w:sz w:val="24"/>
          <w:szCs w:val="24"/>
          <w:lang w:val="en-GB"/>
        </w:rPr>
        <w:t xml:space="preserve">that </w:t>
      </w:r>
      <w:r w:rsidR="00E80603">
        <w:rPr>
          <w:sz w:val="24"/>
          <w:szCs w:val="24"/>
          <w:lang w:val="en-GB"/>
        </w:rPr>
        <w:t>volume related</w:t>
      </w:r>
      <w:r w:rsidR="002940BE" w:rsidRPr="005766E3">
        <w:rPr>
          <w:sz w:val="24"/>
          <w:szCs w:val="24"/>
          <w:lang w:val="en-GB"/>
        </w:rPr>
        <w:t xml:space="preserve"> response may be more clinical</w:t>
      </w:r>
      <w:r w:rsidR="002F5DE3">
        <w:rPr>
          <w:sz w:val="24"/>
          <w:szCs w:val="24"/>
          <w:lang w:val="en-GB"/>
        </w:rPr>
        <w:t>ly</w:t>
      </w:r>
      <w:r w:rsidR="002940BE" w:rsidRPr="005766E3">
        <w:rPr>
          <w:sz w:val="24"/>
          <w:szCs w:val="24"/>
          <w:lang w:val="en-GB"/>
        </w:rPr>
        <w:t xml:space="preserve"> relevant than increase in FEV1 in patients with severe airflow obstruction. </w:t>
      </w:r>
      <w:r w:rsidR="001B0E99">
        <w:rPr>
          <w:noProof/>
          <w:sz w:val="24"/>
          <w:szCs w:val="24"/>
          <w:lang w:val="en-GB"/>
        </w:rPr>
        <w:t>(10)</w:t>
      </w:r>
      <w:r w:rsidR="002940BE" w:rsidRPr="005766E3">
        <w:rPr>
          <w:sz w:val="24"/>
          <w:szCs w:val="24"/>
          <w:lang w:val="en-GB"/>
        </w:rPr>
        <w:t xml:space="preserve"> In the present study, however, </w:t>
      </w:r>
      <w:r w:rsidR="00E80603" w:rsidRPr="005766E3">
        <w:rPr>
          <w:sz w:val="24"/>
          <w:szCs w:val="24"/>
          <w:lang w:val="en-GB"/>
        </w:rPr>
        <w:t>neither flow related nor</w:t>
      </w:r>
      <w:r w:rsidR="002940BE" w:rsidRPr="005766E3">
        <w:rPr>
          <w:sz w:val="24"/>
          <w:szCs w:val="24"/>
          <w:lang w:val="en-GB"/>
        </w:rPr>
        <w:t xml:space="preserve"> volume related </w:t>
      </w:r>
      <w:r w:rsidR="00606162">
        <w:rPr>
          <w:sz w:val="24"/>
          <w:szCs w:val="24"/>
          <w:lang w:val="en-GB"/>
        </w:rPr>
        <w:t>bronchodilator reversibility</w:t>
      </w:r>
      <w:r w:rsidR="002940BE" w:rsidRPr="005766E3">
        <w:rPr>
          <w:sz w:val="24"/>
          <w:szCs w:val="24"/>
          <w:lang w:val="en-GB"/>
        </w:rPr>
        <w:t xml:space="preserve"> were independently associated with symptom burden, health status or dyspnea in the COPD population.</w:t>
      </w:r>
    </w:p>
    <w:p w14:paraId="47B63CAB" w14:textId="77777777" w:rsidR="00F700AE" w:rsidRPr="005766E3" w:rsidRDefault="00F700AE" w:rsidP="00807E85">
      <w:pPr>
        <w:tabs>
          <w:tab w:val="left" w:pos="426"/>
        </w:tabs>
        <w:spacing w:line="360" w:lineRule="auto"/>
        <w:rPr>
          <w:sz w:val="24"/>
          <w:szCs w:val="24"/>
          <w:lang w:val="en-GB"/>
        </w:rPr>
      </w:pPr>
    </w:p>
    <w:p w14:paraId="56F81BF0" w14:textId="306EBF04" w:rsidR="00902199" w:rsidRPr="005766E3" w:rsidRDefault="00F873B5" w:rsidP="00807E85">
      <w:pPr>
        <w:tabs>
          <w:tab w:val="left" w:pos="426"/>
        </w:tabs>
        <w:spacing w:line="360" w:lineRule="auto"/>
        <w:rPr>
          <w:sz w:val="24"/>
          <w:szCs w:val="24"/>
          <w:lang w:val="en-GB"/>
        </w:rPr>
      </w:pPr>
      <w:r>
        <w:rPr>
          <w:sz w:val="24"/>
          <w:szCs w:val="24"/>
          <w:lang w:val="en-GB"/>
        </w:rPr>
        <w:t xml:space="preserve">The study </w:t>
      </w:r>
      <w:r w:rsidR="00DE7A87" w:rsidRPr="005766E3">
        <w:rPr>
          <w:sz w:val="24"/>
          <w:szCs w:val="24"/>
          <w:lang w:val="en-GB"/>
        </w:rPr>
        <w:t xml:space="preserve">has a high external validity as it is based on participants from the general population from different parts of the world. The method for </w:t>
      </w:r>
      <w:r w:rsidR="00606162">
        <w:rPr>
          <w:sz w:val="24"/>
          <w:szCs w:val="24"/>
          <w:lang w:val="en-GB"/>
        </w:rPr>
        <w:t>testing</w:t>
      </w:r>
      <w:r w:rsidR="00DE7A87" w:rsidRPr="005766E3">
        <w:rPr>
          <w:sz w:val="24"/>
          <w:szCs w:val="24"/>
          <w:lang w:val="en-GB"/>
        </w:rPr>
        <w:t xml:space="preserve"> BDR </w:t>
      </w:r>
      <w:r w:rsidR="00305D69">
        <w:rPr>
          <w:sz w:val="24"/>
          <w:szCs w:val="24"/>
          <w:lang w:val="en-GB"/>
        </w:rPr>
        <w:t xml:space="preserve">and assessment of symptoms </w:t>
      </w:r>
      <w:r w:rsidR="00DE7A87" w:rsidRPr="005766E3">
        <w:rPr>
          <w:sz w:val="24"/>
          <w:szCs w:val="24"/>
          <w:lang w:val="en-GB"/>
        </w:rPr>
        <w:t xml:space="preserve">was </w:t>
      </w:r>
      <w:r w:rsidR="00305D69">
        <w:rPr>
          <w:sz w:val="24"/>
          <w:szCs w:val="24"/>
          <w:lang w:val="en-GB"/>
        </w:rPr>
        <w:t>similar in all three</w:t>
      </w:r>
      <w:r w:rsidR="00DE7A87" w:rsidRPr="005766E3">
        <w:rPr>
          <w:sz w:val="24"/>
          <w:szCs w:val="24"/>
          <w:lang w:val="en-GB"/>
        </w:rPr>
        <w:t xml:space="preserve"> studies. There are, however, limi</w:t>
      </w:r>
      <w:r w:rsidR="00931B2E" w:rsidRPr="005766E3">
        <w:rPr>
          <w:sz w:val="24"/>
          <w:szCs w:val="24"/>
          <w:lang w:val="en-GB"/>
        </w:rPr>
        <w:t>t</w:t>
      </w:r>
      <w:r w:rsidR="00DE7A87" w:rsidRPr="005766E3">
        <w:rPr>
          <w:sz w:val="24"/>
          <w:szCs w:val="24"/>
          <w:lang w:val="en-GB"/>
        </w:rPr>
        <w:t xml:space="preserve">ations that should be taken into account. The definition of asthma was based on self-reported diagnosis, attacks and medication and the definition of COPD in this study excluded all </w:t>
      </w:r>
      <w:r w:rsidR="00E80603">
        <w:rPr>
          <w:sz w:val="24"/>
          <w:szCs w:val="24"/>
          <w:lang w:val="en-GB"/>
        </w:rPr>
        <w:t xml:space="preserve">subjects </w:t>
      </w:r>
      <w:r w:rsidR="00DE7A87" w:rsidRPr="005766E3">
        <w:rPr>
          <w:sz w:val="24"/>
          <w:szCs w:val="24"/>
          <w:lang w:val="en-GB"/>
        </w:rPr>
        <w:t>with a history of asthma</w:t>
      </w:r>
      <w:r w:rsidR="00DF581B">
        <w:rPr>
          <w:sz w:val="24"/>
          <w:szCs w:val="24"/>
          <w:lang w:val="en-GB"/>
        </w:rPr>
        <w:t xml:space="preserve"> as well as participant</w:t>
      </w:r>
      <w:r w:rsidR="00D93556">
        <w:rPr>
          <w:sz w:val="24"/>
          <w:szCs w:val="24"/>
          <w:lang w:val="en-GB"/>
        </w:rPr>
        <w:t>s</w:t>
      </w:r>
      <w:r w:rsidR="00DF581B">
        <w:rPr>
          <w:sz w:val="24"/>
          <w:szCs w:val="24"/>
          <w:lang w:val="en-GB"/>
        </w:rPr>
        <w:t xml:space="preserve"> with non-smoke related COPD</w:t>
      </w:r>
      <w:r w:rsidR="00DE7A87" w:rsidRPr="005766E3">
        <w:rPr>
          <w:sz w:val="24"/>
          <w:szCs w:val="24"/>
          <w:lang w:val="en-GB"/>
        </w:rPr>
        <w:t xml:space="preserve">. The reason for this is that we wanted to create two distinct disease groups with no overlap. </w:t>
      </w:r>
      <w:r w:rsidR="003C49AE">
        <w:rPr>
          <w:sz w:val="24"/>
          <w:szCs w:val="24"/>
          <w:lang w:val="en-GB"/>
        </w:rPr>
        <w:t xml:space="preserve">A separate analysis was, however, done in the group with asthma COPD overlap. This group had a higher prevalence of reversibility than those with asthma and COPD alone. </w:t>
      </w:r>
      <w:r w:rsidR="007B53AE">
        <w:rPr>
          <w:sz w:val="24"/>
          <w:szCs w:val="24"/>
          <w:lang w:val="en-GB"/>
        </w:rPr>
        <w:t xml:space="preserve">As in the COPD group reversibility was not associated with any clinical variables, but this might be due to the small number of participants with ACO in the present investigation. </w:t>
      </w:r>
      <w:r w:rsidR="00040C3B">
        <w:rPr>
          <w:sz w:val="24"/>
          <w:szCs w:val="24"/>
          <w:lang w:val="en-GB"/>
        </w:rPr>
        <w:t xml:space="preserve">The dose of salbutamol </w:t>
      </w:r>
      <w:r w:rsidR="009F075E">
        <w:rPr>
          <w:sz w:val="24"/>
          <w:szCs w:val="24"/>
          <w:lang w:val="en-GB"/>
        </w:rPr>
        <w:t xml:space="preserve">in the range with what is recommended in GINA </w:t>
      </w:r>
      <w:r w:rsidR="009F075E">
        <w:rPr>
          <w:noProof/>
          <w:sz w:val="24"/>
          <w:szCs w:val="24"/>
          <w:lang w:val="en-GB"/>
        </w:rPr>
        <w:t>(1)</w:t>
      </w:r>
      <w:r w:rsidR="009F075E">
        <w:rPr>
          <w:sz w:val="24"/>
          <w:szCs w:val="24"/>
          <w:lang w:val="en-GB"/>
        </w:rPr>
        <w:t xml:space="preserve"> but lower than what has been recommended in other guidelines.</w:t>
      </w:r>
      <w:r w:rsidR="00F4055E">
        <w:rPr>
          <w:noProof/>
          <w:sz w:val="24"/>
          <w:szCs w:val="24"/>
          <w:lang w:val="en-GB"/>
        </w:rPr>
        <w:t>(26)</w:t>
      </w:r>
      <w:r w:rsidR="009F075E">
        <w:rPr>
          <w:sz w:val="24"/>
          <w:szCs w:val="24"/>
          <w:lang w:val="en-GB"/>
        </w:rPr>
        <w:t xml:space="preserve"> On the other hand the definitions used for bronchodilator responsiveness was based on BDR test used in the present analysis. </w:t>
      </w:r>
      <w:r w:rsidR="001B0E99">
        <w:rPr>
          <w:noProof/>
          <w:sz w:val="24"/>
          <w:szCs w:val="24"/>
          <w:lang w:val="en-GB"/>
        </w:rPr>
        <w:t>(11)</w:t>
      </w:r>
      <w:r w:rsidR="001E2021">
        <w:rPr>
          <w:sz w:val="24"/>
          <w:szCs w:val="24"/>
          <w:lang w:val="en-GB"/>
        </w:rPr>
        <w:t xml:space="preserve"> Another limitation is that some of the variable studied such as IgE sensitisation was only available in a small subset of those with COPD and therefore not analysed in this group of participants.</w:t>
      </w:r>
    </w:p>
    <w:p w14:paraId="447ABCA1" w14:textId="501199D6" w:rsidR="002E2F57" w:rsidRPr="005766E3" w:rsidRDefault="002E2F57" w:rsidP="00807E85">
      <w:pPr>
        <w:tabs>
          <w:tab w:val="left" w:pos="426"/>
        </w:tabs>
        <w:spacing w:line="360" w:lineRule="auto"/>
        <w:rPr>
          <w:sz w:val="24"/>
          <w:szCs w:val="24"/>
          <w:lang w:val="en-GB"/>
        </w:rPr>
      </w:pPr>
    </w:p>
    <w:p w14:paraId="075DA31C" w14:textId="5DB02431" w:rsidR="003A7D12" w:rsidRDefault="002E2F57" w:rsidP="00A863A5">
      <w:pPr>
        <w:tabs>
          <w:tab w:val="left" w:pos="426"/>
        </w:tabs>
        <w:spacing w:line="360" w:lineRule="auto"/>
        <w:rPr>
          <w:sz w:val="24"/>
          <w:szCs w:val="24"/>
          <w:lang w:val="en-GB"/>
        </w:rPr>
      </w:pPr>
      <w:r w:rsidRPr="005766E3">
        <w:rPr>
          <w:sz w:val="24"/>
          <w:szCs w:val="24"/>
          <w:lang w:val="en-GB"/>
        </w:rPr>
        <w:t xml:space="preserve">We conclude that both flow and volume related bronchodilator reversibility </w:t>
      </w:r>
      <w:r w:rsidR="009D3574">
        <w:rPr>
          <w:sz w:val="24"/>
          <w:szCs w:val="24"/>
          <w:lang w:val="en-GB"/>
        </w:rPr>
        <w:t>were</w:t>
      </w:r>
      <w:r w:rsidRPr="005766E3">
        <w:rPr>
          <w:sz w:val="24"/>
          <w:szCs w:val="24"/>
          <w:lang w:val="en-GB"/>
        </w:rPr>
        <w:t xml:space="preserve"> at least as common in participants with </w:t>
      </w:r>
      <w:r w:rsidR="00D33FE9">
        <w:rPr>
          <w:sz w:val="24"/>
          <w:szCs w:val="24"/>
          <w:lang w:val="en-GB"/>
        </w:rPr>
        <w:t xml:space="preserve">smoking related </w:t>
      </w:r>
      <w:r w:rsidRPr="005766E3">
        <w:rPr>
          <w:sz w:val="24"/>
          <w:szCs w:val="24"/>
          <w:lang w:val="en-GB"/>
        </w:rPr>
        <w:t xml:space="preserve">COPD as those with asthma. This indicates that </w:t>
      </w:r>
      <w:r w:rsidR="001E2021">
        <w:rPr>
          <w:sz w:val="24"/>
          <w:szCs w:val="24"/>
          <w:lang w:val="en-GB"/>
        </w:rPr>
        <w:t>measures of reversibility are</w:t>
      </w:r>
      <w:r w:rsidRPr="005766E3">
        <w:rPr>
          <w:sz w:val="24"/>
          <w:szCs w:val="24"/>
          <w:lang w:val="en-GB"/>
        </w:rPr>
        <w:t xml:space="preserve"> of </w:t>
      </w:r>
      <w:r w:rsidR="000F3BC3">
        <w:rPr>
          <w:sz w:val="24"/>
          <w:szCs w:val="24"/>
          <w:lang w:val="en-GB"/>
        </w:rPr>
        <w:t>limited</w:t>
      </w:r>
      <w:r w:rsidRPr="005766E3">
        <w:rPr>
          <w:sz w:val="24"/>
          <w:szCs w:val="24"/>
          <w:lang w:val="en-GB"/>
        </w:rPr>
        <w:t xml:space="preserve"> value </w:t>
      </w:r>
      <w:r w:rsidR="000F3BC3">
        <w:rPr>
          <w:sz w:val="24"/>
          <w:szCs w:val="24"/>
          <w:lang w:val="en-GB"/>
        </w:rPr>
        <w:t>for</w:t>
      </w:r>
      <w:r w:rsidRPr="005766E3">
        <w:rPr>
          <w:sz w:val="24"/>
          <w:szCs w:val="24"/>
          <w:lang w:val="en-GB"/>
        </w:rPr>
        <w:t xml:space="preserve"> distinguishing asthma from COPD. In asthma, however, BDR </w:t>
      </w:r>
      <w:r w:rsidR="00606162">
        <w:rPr>
          <w:sz w:val="24"/>
          <w:szCs w:val="24"/>
          <w:lang w:val="en-GB"/>
        </w:rPr>
        <w:t xml:space="preserve">testing </w:t>
      </w:r>
      <w:r w:rsidRPr="005766E3">
        <w:rPr>
          <w:sz w:val="24"/>
          <w:szCs w:val="24"/>
          <w:lang w:val="en-GB"/>
        </w:rPr>
        <w:t xml:space="preserve">may </w:t>
      </w:r>
      <w:r w:rsidR="005467AD">
        <w:rPr>
          <w:sz w:val="24"/>
          <w:szCs w:val="24"/>
          <w:lang w:val="en-GB"/>
        </w:rPr>
        <w:t xml:space="preserve">be </w:t>
      </w:r>
      <w:r w:rsidRPr="005766E3">
        <w:rPr>
          <w:sz w:val="24"/>
          <w:szCs w:val="24"/>
          <w:lang w:val="en-GB"/>
        </w:rPr>
        <w:t xml:space="preserve">a phenotypic marker </w:t>
      </w:r>
      <w:r w:rsidR="001E2021">
        <w:rPr>
          <w:sz w:val="24"/>
          <w:szCs w:val="24"/>
          <w:lang w:val="en-GB"/>
        </w:rPr>
        <w:t>indicating IgE sensitisation and type 2 inflammation</w:t>
      </w:r>
      <w:r w:rsidRPr="005766E3">
        <w:rPr>
          <w:sz w:val="24"/>
          <w:szCs w:val="24"/>
          <w:lang w:val="en-GB"/>
        </w:rPr>
        <w:t>.</w:t>
      </w:r>
      <w:r w:rsidR="00931B2E" w:rsidRPr="005766E3">
        <w:rPr>
          <w:sz w:val="24"/>
          <w:szCs w:val="24"/>
          <w:lang w:val="en-GB"/>
        </w:rPr>
        <w:t xml:space="preserve"> </w:t>
      </w:r>
    </w:p>
    <w:p w14:paraId="21FD34C5" w14:textId="48DF6295" w:rsidR="003A7D12" w:rsidRDefault="003A7D12" w:rsidP="00A863A5">
      <w:pPr>
        <w:tabs>
          <w:tab w:val="left" w:pos="426"/>
        </w:tabs>
        <w:spacing w:line="360" w:lineRule="auto"/>
        <w:rPr>
          <w:sz w:val="24"/>
          <w:szCs w:val="24"/>
          <w:lang w:val="en-GB"/>
        </w:rPr>
      </w:pPr>
    </w:p>
    <w:p w14:paraId="3CD5B7A2" w14:textId="3F1844C0" w:rsidR="00723C7C" w:rsidRDefault="00723C7C" w:rsidP="00A863A5">
      <w:pPr>
        <w:tabs>
          <w:tab w:val="left" w:pos="426"/>
        </w:tabs>
        <w:spacing w:line="360" w:lineRule="auto"/>
        <w:rPr>
          <w:sz w:val="24"/>
          <w:szCs w:val="24"/>
          <w:lang w:val="en-GB"/>
        </w:rPr>
      </w:pPr>
      <w:r>
        <w:rPr>
          <w:sz w:val="24"/>
          <w:szCs w:val="24"/>
          <w:lang w:val="en-GB"/>
        </w:rPr>
        <w:t>Support statement</w:t>
      </w:r>
    </w:p>
    <w:p w14:paraId="55CBA327" w14:textId="77777777" w:rsidR="00575351" w:rsidRPr="00A63697" w:rsidRDefault="00575351" w:rsidP="00575351">
      <w:pPr>
        <w:autoSpaceDE w:val="0"/>
        <w:autoSpaceDN w:val="0"/>
        <w:adjustRightInd w:val="0"/>
        <w:rPr>
          <w:rFonts w:cstheme="minorHAnsi"/>
          <w:sz w:val="24"/>
          <w:szCs w:val="24"/>
          <w:lang w:val="en-US"/>
        </w:rPr>
      </w:pPr>
      <w:r w:rsidRPr="00A63697">
        <w:rPr>
          <w:rFonts w:cstheme="minorHAnsi"/>
          <w:color w:val="000000"/>
          <w:sz w:val="24"/>
          <w:szCs w:val="24"/>
          <w:shd w:val="clear" w:color="auto" w:fill="F9FAFA"/>
          <w:lang w:val="en-US"/>
        </w:rPr>
        <w:t xml:space="preserve">European Union’s Horizon 2020 research and innovation programme (no 633212S), </w:t>
      </w:r>
      <w:r w:rsidRPr="00A63697">
        <w:rPr>
          <w:rFonts w:cstheme="minorHAnsi"/>
          <w:sz w:val="24"/>
          <w:szCs w:val="24"/>
          <w:lang w:val="en-US"/>
        </w:rPr>
        <w:t>Sixth European Union Framework Program for Research (no. FOODCT_2004-506378</w:t>
      </w:r>
      <w:r>
        <w:rPr>
          <w:rFonts w:cstheme="minorHAnsi"/>
          <w:sz w:val="24"/>
          <w:szCs w:val="24"/>
          <w:lang w:val="en-US"/>
        </w:rPr>
        <w:t>,</w:t>
      </w:r>
      <w:r w:rsidRPr="00F56E8F">
        <w:rPr>
          <w:lang w:val="en-US"/>
        </w:rPr>
        <w:t xml:space="preserve"> </w:t>
      </w:r>
      <w:r w:rsidRPr="00F56E8F">
        <w:rPr>
          <w:rFonts w:cstheme="minorHAnsi"/>
          <w:sz w:val="24"/>
          <w:szCs w:val="24"/>
          <w:lang w:val="en-US"/>
        </w:rPr>
        <w:t>Medical Research Council (Grant Number 92091)</w:t>
      </w:r>
      <w:r>
        <w:rPr>
          <w:rFonts w:cstheme="minorHAnsi"/>
          <w:color w:val="000000"/>
          <w:sz w:val="24"/>
          <w:szCs w:val="24"/>
          <w:shd w:val="clear" w:color="auto" w:fill="F9FAFA"/>
          <w:lang w:val="en-US"/>
        </w:rPr>
        <w:t xml:space="preserve">, </w:t>
      </w:r>
      <w:r w:rsidRPr="00A63697">
        <w:rPr>
          <w:rFonts w:cstheme="minorHAnsi"/>
          <w:color w:val="000000"/>
          <w:sz w:val="24"/>
          <w:szCs w:val="24"/>
          <w:shd w:val="clear" w:color="auto" w:fill="F9FAFA"/>
          <w:lang w:val="en-US"/>
        </w:rPr>
        <w:t>Wellcome Trust (no 085790/Z/08/Z)</w:t>
      </w:r>
      <w:r>
        <w:rPr>
          <w:rFonts w:cstheme="minorHAnsi"/>
          <w:color w:val="000000"/>
          <w:sz w:val="24"/>
          <w:szCs w:val="24"/>
          <w:shd w:val="clear" w:color="auto" w:fill="F9FAFA"/>
          <w:lang w:val="en-US"/>
        </w:rPr>
        <w:t xml:space="preserve"> and </w:t>
      </w:r>
      <w:r w:rsidRPr="00A63697">
        <w:rPr>
          <w:rFonts w:cstheme="minorHAnsi"/>
          <w:color w:val="000000"/>
          <w:sz w:val="24"/>
          <w:szCs w:val="24"/>
          <w:shd w:val="clear" w:color="auto" w:fill="F9FAFA"/>
          <w:lang w:val="en-US"/>
        </w:rPr>
        <w:t xml:space="preserve">Swedish Heart and Lung Foundation (no </w:t>
      </w:r>
      <w:r>
        <w:rPr>
          <w:rFonts w:cstheme="minorHAnsi"/>
          <w:color w:val="000000"/>
          <w:sz w:val="24"/>
          <w:szCs w:val="24"/>
          <w:shd w:val="clear" w:color="auto" w:fill="F9FAFA"/>
          <w:lang w:val="en-US"/>
        </w:rPr>
        <w:t xml:space="preserve">20170303). </w:t>
      </w:r>
      <w:r w:rsidRPr="00A63697">
        <w:rPr>
          <w:rFonts w:cstheme="minorHAnsi"/>
          <w:color w:val="000000"/>
          <w:sz w:val="24"/>
          <w:szCs w:val="24"/>
          <w:shd w:val="clear" w:color="auto" w:fill="F9FAFA"/>
          <w:lang w:val="en-US"/>
        </w:rPr>
        <w:t xml:space="preserve">For a more complete list of sponsors </w:t>
      </w:r>
      <w:r>
        <w:rPr>
          <w:rFonts w:cstheme="minorHAnsi"/>
          <w:color w:val="000000"/>
          <w:sz w:val="24"/>
          <w:szCs w:val="24"/>
          <w:shd w:val="clear" w:color="auto" w:fill="F9FAFA"/>
          <w:lang w:val="en-US"/>
        </w:rPr>
        <w:t>for the ECRHS and BOLD studies see</w:t>
      </w:r>
      <w:r w:rsidRPr="00A63697">
        <w:rPr>
          <w:rFonts w:cstheme="minorHAnsi"/>
          <w:color w:val="000000"/>
          <w:sz w:val="24"/>
          <w:szCs w:val="24"/>
          <w:shd w:val="clear" w:color="auto" w:fill="F9FAFA"/>
          <w:lang w:val="en-US"/>
        </w:rPr>
        <w:t xml:space="preserve">: </w:t>
      </w:r>
      <w:hyperlink r:id="rId7" w:history="1">
        <w:r w:rsidRPr="00A63697">
          <w:rPr>
            <w:rStyle w:val="Hyperlink"/>
            <w:rFonts w:cstheme="minorHAnsi"/>
            <w:sz w:val="24"/>
            <w:szCs w:val="24"/>
            <w:shd w:val="clear" w:color="auto" w:fill="F9FAFA"/>
            <w:lang w:val="en-US"/>
          </w:rPr>
          <w:t>www.ecrhs.org</w:t>
        </w:r>
      </w:hyperlink>
      <w:r w:rsidRPr="00A63697">
        <w:rPr>
          <w:rFonts w:cstheme="minorHAnsi"/>
          <w:color w:val="000000"/>
          <w:sz w:val="24"/>
          <w:szCs w:val="24"/>
          <w:shd w:val="clear" w:color="auto" w:fill="F9FAFA"/>
          <w:lang w:val="en-US"/>
        </w:rPr>
        <w:t xml:space="preserve"> </w:t>
      </w:r>
      <w:r>
        <w:rPr>
          <w:rFonts w:cstheme="minorHAnsi"/>
          <w:color w:val="000000"/>
          <w:sz w:val="24"/>
          <w:szCs w:val="24"/>
          <w:shd w:val="clear" w:color="auto" w:fill="F9FAFA"/>
          <w:lang w:val="en-US"/>
        </w:rPr>
        <w:t xml:space="preserve">and </w:t>
      </w:r>
      <w:hyperlink r:id="rId8" w:history="1">
        <w:r w:rsidRPr="00A63697">
          <w:rPr>
            <w:rStyle w:val="Hyperlink"/>
            <w:rFonts w:cstheme="minorHAnsi"/>
            <w:sz w:val="24"/>
            <w:szCs w:val="24"/>
            <w:shd w:val="clear" w:color="auto" w:fill="F9FAFA"/>
            <w:lang w:val="en-US"/>
          </w:rPr>
          <w:t>www.boldstudy.org</w:t>
        </w:r>
      </w:hyperlink>
      <w:r w:rsidRPr="00A63697">
        <w:rPr>
          <w:rFonts w:cstheme="minorHAnsi"/>
          <w:color w:val="000000"/>
          <w:sz w:val="24"/>
          <w:szCs w:val="24"/>
          <w:shd w:val="clear" w:color="auto" w:fill="F9FAFA"/>
          <w:lang w:val="en-US"/>
        </w:rPr>
        <w:t xml:space="preserve"> </w:t>
      </w:r>
    </w:p>
    <w:p w14:paraId="4C151854" w14:textId="77777777" w:rsidR="00723C7C" w:rsidRPr="00575351" w:rsidRDefault="00723C7C" w:rsidP="00A863A5">
      <w:pPr>
        <w:tabs>
          <w:tab w:val="left" w:pos="426"/>
        </w:tabs>
        <w:spacing w:line="360" w:lineRule="auto"/>
        <w:rPr>
          <w:sz w:val="24"/>
          <w:szCs w:val="24"/>
          <w:lang w:val="en-US"/>
        </w:rPr>
      </w:pPr>
    </w:p>
    <w:p w14:paraId="74C1E11A" w14:textId="34D4633D" w:rsidR="00807E85" w:rsidRDefault="000A632B" w:rsidP="00A863A5">
      <w:pPr>
        <w:tabs>
          <w:tab w:val="left" w:pos="426"/>
        </w:tabs>
        <w:spacing w:line="360" w:lineRule="auto"/>
        <w:rPr>
          <w:b/>
          <w:sz w:val="28"/>
          <w:szCs w:val="28"/>
          <w:lang w:val="en-GB"/>
        </w:rPr>
      </w:pPr>
      <w:r w:rsidRPr="00D557EC">
        <w:rPr>
          <w:sz w:val="24"/>
          <w:szCs w:val="24"/>
          <w:lang w:val="en-GB"/>
        </w:rPr>
        <w:t>.</w:t>
      </w:r>
      <w:r w:rsidR="00807E85">
        <w:rPr>
          <w:b/>
          <w:sz w:val="28"/>
          <w:szCs w:val="28"/>
          <w:lang w:val="en-GB"/>
        </w:rPr>
        <w:br w:type="page"/>
      </w:r>
    </w:p>
    <w:p w14:paraId="6000057D" w14:textId="40616DE6" w:rsidR="00DD652F" w:rsidRPr="003F7039" w:rsidRDefault="00A40B6A" w:rsidP="00832401">
      <w:pPr>
        <w:tabs>
          <w:tab w:val="left" w:pos="426"/>
        </w:tabs>
        <w:spacing w:line="360" w:lineRule="auto"/>
        <w:rPr>
          <w:b/>
          <w:sz w:val="28"/>
          <w:szCs w:val="28"/>
          <w:lang w:val="en-GB"/>
        </w:rPr>
      </w:pPr>
      <w:r w:rsidRPr="003F7039">
        <w:rPr>
          <w:b/>
          <w:sz w:val="28"/>
          <w:szCs w:val="28"/>
          <w:lang w:val="en-GB"/>
        </w:rPr>
        <w:t>Referen</w:t>
      </w:r>
      <w:r w:rsidR="003F7039" w:rsidRPr="003F7039">
        <w:rPr>
          <w:b/>
          <w:sz w:val="28"/>
          <w:szCs w:val="28"/>
          <w:lang w:val="en-GB"/>
        </w:rPr>
        <w:t>s</w:t>
      </w:r>
      <w:r w:rsidRPr="003F7039">
        <w:rPr>
          <w:b/>
          <w:sz w:val="28"/>
          <w:szCs w:val="28"/>
          <w:lang w:val="en-GB"/>
        </w:rPr>
        <w:t>e</w:t>
      </w:r>
      <w:r w:rsidR="003F7039" w:rsidRPr="003F7039">
        <w:rPr>
          <w:b/>
          <w:sz w:val="28"/>
          <w:szCs w:val="28"/>
          <w:lang w:val="en-GB"/>
        </w:rPr>
        <w:t>r</w:t>
      </w:r>
    </w:p>
    <w:p w14:paraId="36CF717B" w14:textId="4050ED6B" w:rsidR="00F4055E" w:rsidRPr="003E09E5" w:rsidRDefault="00F4055E" w:rsidP="003E09E5">
      <w:pPr>
        <w:pStyle w:val="EndNoteBibliography"/>
        <w:tabs>
          <w:tab w:val="left" w:pos="567"/>
        </w:tabs>
        <w:rPr>
          <w:lang w:val="en-US"/>
        </w:rPr>
      </w:pPr>
      <w:r w:rsidRPr="00575351">
        <w:rPr>
          <w:lang w:val="en-US"/>
        </w:rPr>
        <w:t>1.</w:t>
      </w:r>
      <w:r w:rsidRPr="00575351">
        <w:rPr>
          <w:lang w:val="en-US"/>
        </w:rPr>
        <w:tab/>
      </w:r>
      <w:r w:rsidR="003E09E5" w:rsidRPr="000B1680">
        <w:rPr>
          <w:lang w:val="en-GB"/>
        </w:rPr>
        <w:t>Global Initiative for Asthma Scientific C. 2018 GINA Report, Global Strategy for Asthma Management and Prevention. 201</w:t>
      </w:r>
      <w:r w:rsidR="003E09E5">
        <w:rPr>
          <w:lang w:val="en-GB"/>
        </w:rPr>
        <w:t>8</w:t>
      </w:r>
      <w:r w:rsidR="003E09E5" w:rsidRPr="000B1680">
        <w:rPr>
          <w:lang w:val="en-GB"/>
        </w:rPr>
        <w:t xml:space="preserve">. http://ginasthma.org/2018-gina-report-global-strategy-for-asthma-management-and-prevention/ Date last accessed </w:t>
      </w:r>
      <w:r w:rsidR="003E09E5">
        <w:rPr>
          <w:lang w:val="en-GB"/>
        </w:rPr>
        <w:t>December</w:t>
      </w:r>
      <w:r w:rsidR="003E09E5" w:rsidRPr="000B1680">
        <w:rPr>
          <w:lang w:val="en-GB"/>
        </w:rPr>
        <w:t xml:space="preserve"> 1</w:t>
      </w:r>
      <w:r w:rsidR="003E09E5">
        <w:rPr>
          <w:lang w:val="en-GB"/>
        </w:rPr>
        <w:t>7</w:t>
      </w:r>
      <w:r w:rsidR="003E09E5" w:rsidRPr="000B1680">
        <w:rPr>
          <w:lang w:val="en-GB"/>
        </w:rPr>
        <w:t xml:space="preserve"> 2018.</w:t>
      </w:r>
      <w:r w:rsidR="003E09E5" w:rsidRPr="00197B35">
        <w:rPr>
          <w:lang w:val="en-GB"/>
        </w:rPr>
        <w:t>.</w:t>
      </w:r>
      <w:r w:rsidRPr="003E09E5">
        <w:rPr>
          <w:lang w:val="en-US"/>
        </w:rPr>
        <w:t>.</w:t>
      </w:r>
    </w:p>
    <w:p w14:paraId="14F15018" w14:textId="77777777" w:rsidR="00F4055E" w:rsidRPr="00575351" w:rsidRDefault="00F4055E" w:rsidP="003E09E5">
      <w:pPr>
        <w:pStyle w:val="EndNoteBibliography"/>
        <w:tabs>
          <w:tab w:val="left" w:pos="567"/>
        </w:tabs>
        <w:rPr>
          <w:lang w:val="en-US"/>
        </w:rPr>
      </w:pPr>
      <w:r w:rsidRPr="00575351">
        <w:rPr>
          <w:lang w:val="en-US"/>
        </w:rPr>
        <w:t>2.</w:t>
      </w:r>
      <w:r w:rsidRPr="00575351">
        <w:rPr>
          <w:lang w:val="en-US"/>
        </w:rPr>
        <w:tab/>
        <w:t>Albert P, Agusti A, Edwards L, Tal-Singer R, Yates J, Bakke P, et al. Bronchodilator responsiveness as a phenotypic characteristic of established chronic obstructive pulmonary disease. Thorax. 2012;67(8):701-8.</w:t>
      </w:r>
    </w:p>
    <w:p w14:paraId="79EB09DC" w14:textId="77777777" w:rsidR="00F4055E" w:rsidRPr="00575351" w:rsidRDefault="00F4055E" w:rsidP="003E09E5">
      <w:pPr>
        <w:pStyle w:val="EndNoteBibliography"/>
        <w:tabs>
          <w:tab w:val="left" w:pos="567"/>
        </w:tabs>
        <w:rPr>
          <w:lang w:val="en-US"/>
        </w:rPr>
      </w:pPr>
      <w:r w:rsidRPr="00575351">
        <w:rPr>
          <w:lang w:val="en-US"/>
        </w:rPr>
        <w:t>3.</w:t>
      </w:r>
      <w:r w:rsidRPr="00575351">
        <w:rPr>
          <w:lang w:val="en-US"/>
        </w:rPr>
        <w:tab/>
        <w:t>Pongracic JA, Krouse RZ, Babineau DC, Zoratti EM, Cohen RT, Wood RA, et al. Distinguishing characteristics of difficult-to-control asthma in inner-city children and adolescents. The Journal of allergy and clinical immunology. 2016;138(4):1030-41.</w:t>
      </w:r>
    </w:p>
    <w:p w14:paraId="6069A47D" w14:textId="77777777" w:rsidR="00F4055E" w:rsidRPr="00575351" w:rsidRDefault="00F4055E" w:rsidP="003E09E5">
      <w:pPr>
        <w:pStyle w:val="EndNoteBibliography"/>
        <w:tabs>
          <w:tab w:val="left" w:pos="567"/>
        </w:tabs>
        <w:rPr>
          <w:lang w:val="en-US"/>
        </w:rPr>
      </w:pPr>
      <w:r w:rsidRPr="00575351">
        <w:rPr>
          <w:lang w:val="en-US"/>
        </w:rPr>
        <w:t>4.</w:t>
      </w:r>
      <w:r w:rsidRPr="00575351">
        <w:rPr>
          <w:lang w:val="en-US"/>
        </w:rPr>
        <w:tab/>
        <w:t>Galant SP, Morphew T, Newcomb RL, Hioe K, Guijon O, Liao O. The relationship of the bronchodilator response phenotype to poor asthma control in children with normal spirometry. J Pediatr. 2011;158(6):953-9 e1.</w:t>
      </w:r>
    </w:p>
    <w:p w14:paraId="3E9FE33B" w14:textId="77777777" w:rsidR="00F4055E" w:rsidRPr="00575351" w:rsidRDefault="00F4055E" w:rsidP="003E09E5">
      <w:pPr>
        <w:pStyle w:val="EndNoteBibliography"/>
        <w:tabs>
          <w:tab w:val="left" w:pos="567"/>
        </w:tabs>
        <w:rPr>
          <w:lang w:val="en-US"/>
        </w:rPr>
      </w:pPr>
      <w:r w:rsidRPr="00575351">
        <w:rPr>
          <w:lang w:val="en-US"/>
        </w:rPr>
        <w:t>5.</w:t>
      </w:r>
      <w:r w:rsidRPr="00575351">
        <w:rPr>
          <w:lang w:val="en-US"/>
        </w:rPr>
        <w:tab/>
        <w:t>Denlinger LC, Phillips BR, Ramratnam S, Ross K, Bhakta NR, Cardet JC, et al. Inflammatory and Co-Morbid Features of Patients with Severe Asthma and Frequent Exacerbations. American journal of respiratory and critical care medicine. 2016.</w:t>
      </w:r>
    </w:p>
    <w:p w14:paraId="15AAE444" w14:textId="77777777" w:rsidR="00F4055E" w:rsidRPr="00575351" w:rsidRDefault="00F4055E" w:rsidP="003E09E5">
      <w:pPr>
        <w:pStyle w:val="EndNoteBibliography"/>
        <w:tabs>
          <w:tab w:val="left" w:pos="567"/>
        </w:tabs>
        <w:rPr>
          <w:lang w:val="en-US"/>
        </w:rPr>
      </w:pPr>
      <w:r w:rsidRPr="00575351">
        <w:rPr>
          <w:lang w:val="en-US"/>
        </w:rPr>
        <w:t>6.</w:t>
      </w:r>
      <w:r w:rsidRPr="00575351">
        <w:rPr>
          <w:lang w:val="en-US"/>
        </w:rPr>
        <w:tab/>
        <w:t>Durack J, Lynch SV, Nariya S, Bhakta NR, Beigelman A, Castro M, et al. Features of the bronchial bacterial microbiome associated with atopy, asthma, and responsiveness to inhaled corticosteroid treatment. The Journal of allergy and clinical immunology. 2017;140(1):63-75.</w:t>
      </w:r>
    </w:p>
    <w:p w14:paraId="36C26E10" w14:textId="77777777" w:rsidR="00F4055E" w:rsidRPr="00575351" w:rsidRDefault="00F4055E" w:rsidP="003E09E5">
      <w:pPr>
        <w:pStyle w:val="EndNoteBibliography"/>
        <w:tabs>
          <w:tab w:val="left" w:pos="567"/>
        </w:tabs>
        <w:rPr>
          <w:lang w:val="en-US"/>
        </w:rPr>
      </w:pPr>
      <w:r w:rsidRPr="00575351">
        <w:rPr>
          <w:lang w:val="en-US"/>
        </w:rPr>
        <w:t>7.</w:t>
      </w:r>
      <w:r w:rsidRPr="00575351">
        <w:rPr>
          <w:lang w:val="en-US"/>
        </w:rPr>
        <w:tab/>
        <w:t>Hansen EF, Phanareth K, Laursen LC, Kok-Jensen A, Dirksen A. Reversible and irreversible airflow obstruction as predictor of overall mortality in asthma and chronic obstructive pulmonary disease. American journal of respiratory and critical care medicine. 1999;159(4 Pt 1):1267-71.</w:t>
      </w:r>
    </w:p>
    <w:p w14:paraId="6C66D642" w14:textId="77777777" w:rsidR="00F4055E" w:rsidRPr="00575351" w:rsidRDefault="00F4055E" w:rsidP="003E09E5">
      <w:pPr>
        <w:pStyle w:val="EndNoteBibliography"/>
        <w:tabs>
          <w:tab w:val="left" w:pos="567"/>
        </w:tabs>
        <w:rPr>
          <w:lang w:val="en-US"/>
        </w:rPr>
      </w:pPr>
      <w:r w:rsidRPr="00575351">
        <w:rPr>
          <w:lang w:val="en-US"/>
        </w:rPr>
        <w:t>8.</w:t>
      </w:r>
      <w:r w:rsidRPr="00575351">
        <w:rPr>
          <w:lang w:val="en-US"/>
        </w:rPr>
        <w:tab/>
        <w:t>Burgel PR, Le Gros V, Decuypere L, Bourdeix I, Perez T, Deslee G. Immediate salbutamol responsiveness does not predict long-term benefits of indacaterol in patients with chronic obstructive pulmonary disease. BMC pulmonary medicine. 2017;17(1):25.</w:t>
      </w:r>
    </w:p>
    <w:p w14:paraId="3885F321" w14:textId="77777777" w:rsidR="00F4055E" w:rsidRPr="00575351" w:rsidRDefault="00F4055E" w:rsidP="003E09E5">
      <w:pPr>
        <w:pStyle w:val="EndNoteBibliography"/>
        <w:tabs>
          <w:tab w:val="left" w:pos="567"/>
        </w:tabs>
        <w:rPr>
          <w:lang w:val="en-US"/>
        </w:rPr>
      </w:pPr>
      <w:r w:rsidRPr="00575351">
        <w:rPr>
          <w:lang w:val="en-US"/>
        </w:rPr>
        <w:t>9.</w:t>
      </w:r>
      <w:r w:rsidRPr="00575351">
        <w:rPr>
          <w:lang w:val="en-US"/>
        </w:rPr>
        <w:tab/>
        <w:t>Calverley PM, Albert P, Walker PP. Bronchodilator reversibility in chronic obstructive pulmonary disease: use and limitations. Lancet Respir Med. 2013;1(7):564-73.</w:t>
      </w:r>
    </w:p>
    <w:p w14:paraId="631F3FB4" w14:textId="77777777" w:rsidR="00F4055E" w:rsidRPr="00575351" w:rsidRDefault="00F4055E" w:rsidP="003E09E5">
      <w:pPr>
        <w:pStyle w:val="EndNoteBibliography"/>
        <w:tabs>
          <w:tab w:val="left" w:pos="567"/>
        </w:tabs>
        <w:rPr>
          <w:lang w:val="en-US"/>
        </w:rPr>
      </w:pPr>
      <w:r w:rsidRPr="00575351">
        <w:rPr>
          <w:lang w:val="en-US"/>
        </w:rPr>
        <w:t>10.</w:t>
      </w:r>
      <w:r w:rsidRPr="00575351">
        <w:rPr>
          <w:lang w:val="en-US"/>
        </w:rPr>
        <w:tab/>
        <w:t>Quanjer PH, Ruppel GL, Langhammer A, Krishna A, Mertens F, Johannessen A, et al. Bronchodilator Response in FVC Is Larger and More Relevant Than in FEV1 in Severe Airflow Obstruction. Chest. 2017;151(5):1088-98.</w:t>
      </w:r>
    </w:p>
    <w:p w14:paraId="59491309" w14:textId="77777777" w:rsidR="00F4055E" w:rsidRPr="00575351" w:rsidRDefault="00F4055E" w:rsidP="003E09E5">
      <w:pPr>
        <w:pStyle w:val="EndNoteBibliography"/>
        <w:tabs>
          <w:tab w:val="left" w:pos="567"/>
        </w:tabs>
        <w:rPr>
          <w:lang w:val="en-US"/>
        </w:rPr>
      </w:pPr>
      <w:r w:rsidRPr="00575351">
        <w:rPr>
          <w:lang w:val="en-US"/>
        </w:rPr>
        <w:t>11.</w:t>
      </w:r>
      <w:r w:rsidRPr="00575351">
        <w:rPr>
          <w:lang w:val="en-US"/>
        </w:rPr>
        <w:tab/>
        <w:t>Tan WC, Vollmer WM, Lamprecht B, Mannino DM, Jithoo A, Nizankowska-Mogilnicka E, et al. Worldwide patterns of bronchodilator responsiveness: results from the Burden of Obstructive Lung Disease study. Thorax. 2012;67(8):718-26.</w:t>
      </w:r>
    </w:p>
    <w:p w14:paraId="338979F6" w14:textId="77777777" w:rsidR="00F4055E" w:rsidRPr="00F4055E" w:rsidRDefault="00F4055E" w:rsidP="003E09E5">
      <w:pPr>
        <w:pStyle w:val="EndNoteBibliography"/>
        <w:tabs>
          <w:tab w:val="left" w:pos="567"/>
        </w:tabs>
      </w:pPr>
      <w:r w:rsidRPr="00575351">
        <w:rPr>
          <w:lang w:val="en-US"/>
        </w:rPr>
        <w:t>12.</w:t>
      </w:r>
      <w:r w:rsidRPr="00575351">
        <w:rPr>
          <w:lang w:val="en-US"/>
        </w:rPr>
        <w:tab/>
        <w:t xml:space="preserve">Fuertes E, Carsin AE, Anto JM, Bono R, Corsico AG, Demoly P, et al. Leisure-time vigorous physical activity is associated with better lung function: the prospective ECRHS study. </w:t>
      </w:r>
      <w:r w:rsidRPr="00F4055E">
        <w:t>Thorax. 2018.</w:t>
      </w:r>
    </w:p>
    <w:p w14:paraId="1A25D855" w14:textId="77777777" w:rsidR="00F4055E" w:rsidRPr="00575351" w:rsidRDefault="00F4055E" w:rsidP="003E09E5">
      <w:pPr>
        <w:pStyle w:val="EndNoteBibliography"/>
        <w:tabs>
          <w:tab w:val="left" w:pos="567"/>
        </w:tabs>
        <w:rPr>
          <w:lang w:val="en-US"/>
        </w:rPr>
      </w:pPr>
      <w:r w:rsidRPr="00F4055E">
        <w:t>13.</w:t>
      </w:r>
      <w:r w:rsidRPr="00F4055E">
        <w:tab/>
        <w:t xml:space="preserve">Obaseki D, Potts J, Joos G, Baelum J, Haahtela T, Ahlstrom M, et al. </w:t>
      </w:r>
      <w:r w:rsidRPr="00575351">
        <w:rPr>
          <w:lang w:val="en-US"/>
        </w:rPr>
        <w:t>The relation of airway obstruction to asthma, chronic rhinosinusitis and age: results from a population survey of adults. Allergy. 2014;69(9):1205-14.</w:t>
      </w:r>
    </w:p>
    <w:p w14:paraId="08ED20CA" w14:textId="77777777" w:rsidR="00F4055E" w:rsidRPr="00575351" w:rsidRDefault="00F4055E" w:rsidP="003E09E5">
      <w:pPr>
        <w:pStyle w:val="EndNoteBibliography"/>
        <w:tabs>
          <w:tab w:val="left" w:pos="567"/>
        </w:tabs>
        <w:rPr>
          <w:lang w:val="en-US"/>
        </w:rPr>
      </w:pPr>
      <w:r w:rsidRPr="00575351">
        <w:rPr>
          <w:lang w:val="en-US"/>
        </w:rPr>
        <w:t>14.</w:t>
      </w:r>
      <w:r w:rsidRPr="00575351">
        <w:rPr>
          <w:lang w:val="en-US"/>
        </w:rPr>
        <w:tab/>
        <w:t>Quanjer PH, Stanojevic S, Cole TJ, Baur X, Hall GL, Culver BH, et al. Multi-ethnic reference values for spirometry for the 3-95-yr age range: the global lung function 2012 equations. The European respiratory journal. 2012;40(6):1324-43.</w:t>
      </w:r>
    </w:p>
    <w:p w14:paraId="2ECA9172" w14:textId="77777777" w:rsidR="00F4055E" w:rsidRPr="00575351" w:rsidRDefault="00F4055E" w:rsidP="003E09E5">
      <w:pPr>
        <w:pStyle w:val="EndNoteBibliography"/>
        <w:tabs>
          <w:tab w:val="left" w:pos="567"/>
        </w:tabs>
        <w:rPr>
          <w:lang w:val="en-US"/>
        </w:rPr>
      </w:pPr>
      <w:r w:rsidRPr="00575351">
        <w:rPr>
          <w:lang w:val="en-US"/>
        </w:rPr>
        <w:t>15.</w:t>
      </w:r>
      <w:r w:rsidRPr="00575351">
        <w:rPr>
          <w:lang w:val="en-US"/>
        </w:rPr>
        <w:tab/>
        <w:t>Al-Shamkhi N, Alving K, Dahlen SE, Hedlin G, Middelveld R, Bjerg A, et al. Important non-disease-related determinants of exhaled nitric oxide levels in mild asthma - results from the Swedish GA(2) LEN study. Clinical and experimental allergy : journal of the British Society for Allergy and Clinical Immunology. 2016;46(9):1185-93.</w:t>
      </w:r>
    </w:p>
    <w:p w14:paraId="5FF0B6A1" w14:textId="77777777" w:rsidR="00F4055E" w:rsidRPr="00575351" w:rsidRDefault="00F4055E" w:rsidP="003E09E5">
      <w:pPr>
        <w:pStyle w:val="EndNoteBibliography"/>
        <w:tabs>
          <w:tab w:val="left" w:pos="567"/>
        </w:tabs>
        <w:rPr>
          <w:lang w:val="en-US"/>
        </w:rPr>
      </w:pPr>
      <w:r w:rsidRPr="00575351">
        <w:rPr>
          <w:lang w:val="en-US"/>
        </w:rPr>
        <w:t>16.</w:t>
      </w:r>
      <w:r w:rsidRPr="00575351">
        <w:rPr>
          <w:lang w:val="en-US"/>
        </w:rPr>
        <w:tab/>
        <w:t>Janson C, Marks G, Buist S, Gnatiuc L, Gislason T, McBurnie MA, et al. The impact of COPD on health status: findings from the BOLD study. The European respiratory journal. 2013;42(6):1472-83.</w:t>
      </w:r>
    </w:p>
    <w:p w14:paraId="004A500D" w14:textId="77777777" w:rsidR="00F4055E" w:rsidRPr="00575351" w:rsidRDefault="00F4055E" w:rsidP="003E09E5">
      <w:pPr>
        <w:pStyle w:val="EndNoteBibliography"/>
        <w:tabs>
          <w:tab w:val="left" w:pos="567"/>
        </w:tabs>
        <w:rPr>
          <w:lang w:val="en-US"/>
        </w:rPr>
      </w:pPr>
      <w:r w:rsidRPr="00575351">
        <w:rPr>
          <w:lang w:val="en-US"/>
        </w:rPr>
        <w:t>17.</w:t>
      </w:r>
      <w:r w:rsidRPr="00575351">
        <w:rPr>
          <w:lang w:val="en-US"/>
        </w:rPr>
        <w:tab/>
        <w:t>Chhabra SK. Acute bronchodilator response has limited value in differentiating bronchial asthma from COPD. The Journal of asthma : official journal of the Association for the Care of Asthma. 2005;42(5):367-72.</w:t>
      </w:r>
    </w:p>
    <w:p w14:paraId="28AB6D5C" w14:textId="77777777" w:rsidR="00F4055E" w:rsidRPr="00575351" w:rsidRDefault="00F4055E" w:rsidP="003E09E5">
      <w:pPr>
        <w:pStyle w:val="EndNoteBibliography"/>
        <w:tabs>
          <w:tab w:val="left" w:pos="567"/>
        </w:tabs>
        <w:rPr>
          <w:lang w:val="en-US"/>
        </w:rPr>
      </w:pPr>
      <w:r w:rsidRPr="00575351">
        <w:rPr>
          <w:lang w:val="en-US"/>
        </w:rPr>
        <w:t>18.</w:t>
      </w:r>
      <w:r w:rsidRPr="00575351">
        <w:rPr>
          <w:lang w:val="en-US"/>
        </w:rPr>
        <w:tab/>
        <w:t>Hunter CJ, Brightling CE, Woltmann G, Wardlaw AJ, Pavord ID. A comparison of the validity of different diagnostic tests in adults with asthma. Chest. 2002;121(4):1051-7.</w:t>
      </w:r>
    </w:p>
    <w:p w14:paraId="5D0BBFA6" w14:textId="77777777" w:rsidR="00F4055E" w:rsidRPr="00575351" w:rsidRDefault="00F4055E" w:rsidP="003E09E5">
      <w:pPr>
        <w:pStyle w:val="EndNoteBibliography"/>
        <w:tabs>
          <w:tab w:val="left" w:pos="567"/>
        </w:tabs>
        <w:rPr>
          <w:lang w:val="en-US"/>
        </w:rPr>
      </w:pPr>
      <w:r w:rsidRPr="00575351">
        <w:rPr>
          <w:lang w:val="en-US"/>
        </w:rPr>
        <w:t>19.</w:t>
      </w:r>
      <w:r w:rsidRPr="00575351">
        <w:rPr>
          <w:lang w:val="en-US"/>
        </w:rPr>
        <w:tab/>
        <w:t>Herland K, Akselsen J-P, Skjønsberg OH, Bjermer L. How representative are clinical study patients with asthma or COPD for a larger “real life” population of patients with obstructive lung disease? Respiratory medicine. 2005;99(1):11-9.</w:t>
      </w:r>
    </w:p>
    <w:p w14:paraId="06CFA2D2" w14:textId="77777777" w:rsidR="00F4055E" w:rsidRPr="00F4055E" w:rsidRDefault="00F4055E" w:rsidP="003E09E5">
      <w:pPr>
        <w:pStyle w:val="EndNoteBibliography"/>
        <w:tabs>
          <w:tab w:val="left" w:pos="567"/>
        </w:tabs>
      </w:pPr>
      <w:r w:rsidRPr="00575351">
        <w:rPr>
          <w:lang w:val="en-US"/>
        </w:rPr>
        <w:t>20.</w:t>
      </w:r>
      <w:r w:rsidRPr="00575351">
        <w:rPr>
          <w:lang w:val="en-US"/>
        </w:rPr>
        <w:tab/>
        <w:t xml:space="preserve">Travers J, Marsh S, Williams M, Weatherall M, Caldwell B, Shirtcliffe P, et al. External validity of randomised controlled trials in asthma: to whom do the results of the trials apply? </w:t>
      </w:r>
      <w:r w:rsidRPr="00F4055E">
        <w:t>Thorax. 2007;62(3):219-23.</w:t>
      </w:r>
    </w:p>
    <w:p w14:paraId="5C6F192D" w14:textId="77777777" w:rsidR="00F4055E" w:rsidRPr="00575351" w:rsidRDefault="00F4055E" w:rsidP="003E09E5">
      <w:pPr>
        <w:pStyle w:val="EndNoteBibliography"/>
        <w:tabs>
          <w:tab w:val="left" w:pos="567"/>
        </w:tabs>
        <w:rPr>
          <w:lang w:val="en-US"/>
        </w:rPr>
      </w:pPr>
      <w:r w:rsidRPr="00F4055E">
        <w:t>21.</w:t>
      </w:r>
      <w:r w:rsidRPr="00F4055E">
        <w:tab/>
        <w:t xml:space="preserve">Dweik RA, Boggs PB, Erzurum SC, Irvin CG, Leigh MW, Lundberg JO, et al. </w:t>
      </w:r>
      <w:r w:rsidRPr="00575351">
        <w:rPr>
          <w:lang w:val="en-US"/>
        </w:rPr>
        <w:t>An official ATS clinical practice guideline: interpretation of exhaled nitric oxide levels (FENO) for clinical applications. American journal of respiratory and critical care medicine. 2011;184(5):602-15.</w:t>
      </w:r>
    </w:p>
    <w:p w14:paraId="146BA98E" w14:textId="77777777" w:rsidR="00F4055E" w:rsidRPr="00575351" w:rsidRDefault="00F4055E" w:rsidP="003E09E5">
      <w:pPr>
        <w:pStyle w:val="EndNoteBibliography"/>
        <w:tabs>
          <w:tab w:val="left" w:pos="567"/>
        </w:tabs>
        <w:rPr>
          <w:lang w:val="en-US"/>
        </w:rPr>
      </w:pPr>
      <w:r w:rsidRPr="00575351">
        <w:rPr>
          <w:lang w:val="en-US"/>
        </w:rPr>
        <w:t>22.</w:t>
      </w:r>
      <w:r w:rsidRPr="00575351">
        <w:rPr>
          <w:lang w:val="en-US"/>
        </w:rPr>
        <w:tab/>
        <w:t>Vestbo J, Edwards LD, Scanlon PD, Yates JC, Agusti A, Bakke P, et al. Changes in forced expiratory volume in 1 second over time in COPD. The New England journal of medicine. 2011;365(13):1184-92.</w:t>
      </w:r>
    </w:p>
    <w:p w14:paraId="1FBEF76A" w14:textId="77777777" w:rsidR="00F4055E" w:rsidRPr="00575351" w:rsidRDefault="00F4055E" w:rsidP="003E09E5">
      <w:pPr>
        <w:pStyle w:val="EndNoteBibliography"/>
        <w:tabs>
          <w:tab w:val="left" w:pos="567"/>
        </w:tabs>
        <w:rPr>
          <w:lang w:val="en-US"/>
        </w:rPr>
      </w:pPr>
      <w:r w:rsidRPr="00575351">
        <w:rPr>
          <w:lang w:val="en-US"/>
        </w:rPr>
        <w:t>23.</w:t>
      </w:r>
      <w:r w:rsidRPr="00575351">
        <w:rPr>
          <w:lang w:val="en-US"/>
        </w:rPr>
        <w:tab/>
        <w:t>Marin JM, Ciudad M, Moya V, Carrizo S, Bello S, Piras B, et al. Airflow reversibility and long-term outcomes in patients with COPD without comorbidities. Respiratory medicine. 2014;108(8):1180-8.</w:t>
      </w:r>
    </w:p>
    <w:p w14:paraId="20670B76" w14:textId="77777777" w:rsidR="00F4055E" w:rsidRPr="00575351" w:rsidRDefault="00F4055E" w:rsidP="003E09E5">
      <w:pPr>
        <w:pStyle w:val="EndNoteBibliography"/>
        <w:tabs>
          <w:tab w:val="left" w:pos="567"/>
        </w:tabs>
        <w:rPr>
          <w:lang w:val="en-US"/>
        </w:rPr>
      </w:pPr>
      <w:r w:rsidRPr="00575351">
        <w:rPr>
          <w:lang w:val="en-US"/>
        </w:rPr>
        <w:t>24.</w:t>
      </w:r>
      <w:r w:rsidRPr="00575351">
        <w:rPr>
          <w:lang w:val="en-US"/>
        </w:rPr>
        <w:tab/>
        <w:t>Chou KT, Su KC, Hsiao YH, Huang SF, Ko HK, Tseng CM, et al. Post-bronchodilator Reversibility of FEV1 and Eosinophilic Airway Inflammation in COPD. Arch Bronconeumol. 2017;53(10):547-53.</w:t>
      </w:r>
    </w:p>
    <w:p w14:paraId="09C7CEE5" w14:textId="77777777" w:rsidR="00F4055E" w:rsidRPr="00575351" w:rsidRDefault="00F4055E" w:rsidP="003E09E5">
      <w:pPr>
        <w:pStyle w:val="EndNoteBibliography"/>
        <w:tabs>
          <w:tab w:val="left" w:pos="567"/>
        </w:tabs>
        <w:rPr>
          <w:lang w:val="en-US"/>
        </w:rPr>
      </w:pPr>
      <w:r w:rsidRPr="00575351">
        <w:rPr>
          <w:lang w:val="en-US"/>
        </w:rPr>
        <w:t>25.</w:t>
      </w:r>
      <w:r w:rsidRPr="00575351">
        <w:rPr>
          <w:lang w:val="en-US"/>
        </w:rPr>
        <w:tab/>
        <w:t>Toren K, Bake B, Olin AC, Engstrom G, Blomberg A, Vikgren J, et al. Measures of bronchodilator response of FEV1, FVC and SVC in a Swedish general population sample aged 50-64 years, the SCAPIS Pilot Study. International journal of chronic obstructive pulmonary disease. 2017;12:973-80.</w:t>
      </w:r>
    </w:p>
    <w:p w14:paraId="721CAAB1" w14:textId="77777777" w:rsidR="00F4055E" w:rsidRPr="00575351" w:rsidRDefault="00F4055E" w:rsidP="003E09E5">
      <w:pPr>
        <w:pStyle w:val="EndNoteBibliography"/>
        <w:tabs>
          <w:tab w:val="left" w:pos="567"/>
        </w:tabs>
        <w:rPr>
          <w:lang w:val="en-US"/>
        </w:rPr>
      </w:pPr>
      <w:r w:rsidRPr="00575351">
        <w:rPr>
          <w:lang w:val="en-US"/>
        </w:rPr>
        <w:t>26.</w:t>
      </w:r>
      <w:r w:rsidRPr="00575351">
        <w:rPr>
          <w:lang w:val="en-US"/>
        </w:rPr>
        <w:tab/>
        <w:t xml:space="preserve">Pellegrino R, Viegi G, Brusasco V, Crapo RO, Burgos F, Casaburi R, et al. </w:t>
      </w:r>
      <w:r w:rsidRPr="00F4055E">
        <w:t xml:space="preserve">Interpretative strategies for lung function tests. </w:t>
      </w:r>
      <w:r w:rsidRPr="00575351">
        <w:rPr>
          <w:lang w:val="en-US"/>
        </w:rPr>
        <w:t>The European respiratory journal. 2005;26(5):948-68.</w:t>
      </w:r>
    </w:p>
    <w:p w14:paraId="600005A1" w14:textId="65E35A7D" w:rsidR="00231701" w:rsidRPr="00931B2E" w:rsidRDefault="00231701" w:rsidP="003E09E5">
      <w:pPr>
        <w:tabs>
          <w:tab w:val="left" w:pos="142"/>
          <w:tab w:val="left" w:pos="284"/>
          <w:tab w:val="left" w:pos="426"/>
          <w:tab w:val="left" w:pos="567"/>
          <w:tab w:val="left" w:pos="709"/>
          <w:tab w:val="left" w:pos="1134"/>
          <w:tab w:val="left" w:pos="2268"/>
        </w:tabs>
        <w:spacing w:line="360" w:lineRule="auto"/>
        <w:rPr>
          <w:lang w:val="en-GB"/>
        </w:rPr>
      </w:pPr>
    </w:p>
    <w:p w14:paraId="103072A3" w14:textId="040577BD" w:rsidR="000703FD" w:rsidRPr="00931B2E" w:rsidRDefault="000703FD" w:rsidP="00165AE5">
      <w:pPr>
        <w:tabs>
          <w:tab w:val="left" w:pos="426"/>
          <w:tab w:val="left" w:pos="567"/>
        </w:tabs>
        <w:spacing w:line="360" w:lineRule="auto"/>
        <w:rPr>
          <w:lang w:val="en-GB"/>
        </w:rPr>
      </w:pPr>
    </w:p>
    <w:p w14:paraId="237A3E23" w14:textId="77777777" w:rsidR="000703FD" w:rsidRPr="00931B2E" w:rsidRDefault="000703FD">
      <w:pPr>
        <w:spacing w:after="200" w:line="276" w:lineRule="auto"/>
        <w:rPr>
          <w:lang w:val="en-GB"/>
        </w:rPr>
      </w:pPr>
      <w:r w:rsidRPr="00931B2E">
        <w:rPr>
          <w:lang w:val="en-GB"/>
        </w:rPr>
        <w:br w:type="page"/>
      </w:r>
    </w:p>
    <w:p w14:paraId="21B7EE18" w14:textId="75B33B97" w:rsidR="000703FD" w:rsidRPr="00F752F2" w:rsidRDefault="000703FD" w:rsidP="000703FD">
      <w:pPr>
        <w:rPr>
          <w:sz w:val="24"/>
          <w:szCs w:val="24"/>
          <w:lang w:val="en-GB"/>
        </w:rPr>
      </w:pPr>
      <w:r w:rsidRPr="00F752F2">
        <w:rPr>
          <w:b/>
          <w:sz w:val="24"/>
          <w:szCs w:val="24"/>
          <w:lang w:val="en-GB"/>
        </w:rPr>
        <w:t>Table 1</w:t>
      </w:r>
      <w:r w:rsidRPr="00F752F2">
        <w:rPr>
          <w:sz w:val="24"/>
          <w:szCs w:val="24"/>
          <w:lang w:val="en-GB"/>
        </w:rPr>
        <w:t xml:space="preserve"> </w:t>
      </w:r>
      <w:r w:rsidR="0005590F" w:rsidRPr="00F752F2">
        <w:rPr>
          <w:sz w:val="24"/>
          <w:szCs w:val="24"/>
          <w:lang w:val="en-GB"/>
        </w:rPr>
        <w:t>Characteristics and p</w:t>
      </w:r>
      <w:r w:rsidRPr="00F752F2">
        <w:rPr>
          <w:sz w:val="24"/>
          <w:szCs w:val="24"/>
          <w:lang w:val="en-GB"/>
        </w:rPr>
        <w:t xml:space="preserve">revalence of </w:t>
      </w:r>
      <w:r w:rsidR="00F752F2">
        <w:rPr>
          <w:sz w:val="24"/>
          <w:szCs w:val="24"/>
          <w:lang w:val="en-GB"/>
        </w:rPr>
        <w:t>bronchodilator</w:t>
      </w:r>
      <w:r w:rsidRPr="00F752F2">
        <w:rPr>
          <w:sz w:val="24"/>
          <w:szCs w:val="24"/>
          <w:lang w:val="en-GB"/>
        </w:rPr>
        <w:t xml:space="preserve"> reversibility</w:t>
      </w:r>
      <w:r w:rsidR="0005590F" w:rsidRPr="00F752F2">
        <w:rPr>
          <w:sz w:val="24"/>
          <w:szCs w:val="24"/>
          <w:lang w:val="en-GB"/>
        </w:rPr>
        <w:t xml:space="preserve"> (% and mean±SD).</w:t>
      </w:r>
    </w:p>
    <w:p w14:paraId="2835D381" w14:textId="77777777" w:rsidR="000703FD" w:rsidRPr="00467904" w:rsidRDefault="000703FD" w:rsidP="000703FD">
      <w:pPr>
        <w:rPr>
          <w:lang w:val="en-GB"/>
        </w:rPr>
      </w:pPr>
    </w:p>
    <w:tbl>
      <w:tblPr>
        <w:tblStyle w:val="TableGrid"/>
        <w:tblW w:w="9240" w:type="dxa"/>
        <w:tblInd w:w="5" w:type="dxa"/>
        <w:tblLook w:val="04A0" w:firstRow="1" w:lastRow="0" w:firstColumn="1" w:lastColumn="0" w:noHBand="0" w:noVBand="1"/>
      </w:tblPr>
      <w:tblGrid>
        <w:gridCol w:w="2542"/>
        <w:gridCol w:w="1202"/>
        <w:gridCol w:w="1059"/>
        <w:gridCol w:w="1102"/>
        <w:gridCol w:w="1131"/>
        <w:gridCol w:w="1102"/>
        <w:gridCol w:w="1102"/>
      </w:tblGrid>
      <w:tr w:rsidR="000703FD" w:rsidRPr="00575351" w14:paraId="30AD808B" w14:textId="77777777" w:rsidTr="00C60244">
        <w:tc>
          <w:tcPr>
            <w:tcW w:w="2542" w:type="dxa"/>
            <w:tcBorders>
              <w:top w:val="single" w:sz="4" w:space="0" w:color="auto"/>
              <w:left w:val="single" w:sz="4" w:space="0" w:color="auto"/>
              <w:bottom w:val="single" w:sz="4" w:space="0" w:color="auto"/>
              <w:right w:val="single" w:sz="4" w:space="0" w:color="auto"/>
            </w:tcBorders>
          </w:tcPr>
          <w:p w14:paraId="33FFCBF6" w14:textId="77777777" w:rsidR="000703FD" w:rsidRPr="00467904" w:rsidRDefault="000703FD" w:rsidP="0087409B">
            <w:pPr>
              <w:rPr>
                <w:lang w:val="en-GB"/>
              </w:rPr>
            </w:pPr>
          </w:p>
        </w:tc>
        <w:tc>
          <w:tcPr>
            <w:tcW w:w="1202" w:type="dxa"/>
            <w:tcBorders>
              <w:top w:val="single" w:sz="4" w:space="0" w:color="auto"/>
              <w:left w:val="single" w:sz="4" w:space="0" w:color="auto"/>
              <w:bottom w:val="single" w:sz="4" w:space="0" w:color="auto"/>
              <w:right w:val="single" w:sz="4" w:space="0" w:color="auto"/>
            </w:tcBorders>
          </w:tcPr>
          <w:p w14:paraId="77407CDF" w14:textId="1E6581D3" w:rsidR="000703FD" w:rsidRPr="00197B35" w:rsidRDefault="000703FD" w:rsidP="0087409B">
            <w:pPr>
              <w:jc w:val="center"/>
              <w:rPr>
                <w:lang w:val="en-GB"/>
              </w:rPr>
            </w:pPr>
            <w:r w:rsidRPr="00197B35">
              <w:rPr>
                <w:lang w:val="en-GB"/>
              </w:rPr>
              <w:t xml:space="preserve">No airway </w:t>
            </w:r>
            <w:r w:rsidR="00220F96" w:rsidRPr="00197B35">
              <w:rPr>
                <w:lang w:val="en-GB"/>
              </w:rPr>
              <w:t>disease</w:t>
            </w:r>
            <w:r w:rsidR="0084573A" w:rsidRPr="00197B35">
              <w:rPr>
                <w:lang w:val="en-GB"/>
              </w:rPr>
              <w:t xml:space="preserve"> (controls)</w:t>
            </w:r>
          </w:p>
          <w:p w14:paraId="0003756C" w14:textId="77777777" w:rsidR="000703FD" w:rsidRPr="00197B35" w:rsidRDefault="000703FD" w:rsidP="0087409B">
            <w:pPr>
              <w:jc w:val="center"/>
              <w:rPr>
                <w:lang w:val="en-GB"/>
              </w:rPr>
            </w:pPr>
            <w:r w:rsidRPr="00197B35">
              <w:rPr>
                <w:lang w:val="en-GB"/>
              </w:rPr>
              <w:t>(n=31,649)</w:t>
            </w:r>
          </w:p>
        </w:tc>
        <w:tc>
          <w:tcPr>
            <w:tcW w:w="1059" w:type="dxa"/>
            <w:tcBorders>
              <w:top w:val="single" w:sz="4" w:space="0" w:color="auto"/>
              <w:left w:val="single" w:sz="4" w:space="0" w:color="auto"/>
              <w:bottom w:val="single" w:sz="4" w:space="0" w:color="auto"/>
              <w:right w:val="single" w:sz="4" w:space="0" w:color="auto"/>
            </w:tcBorders>
          </w:tcPr>
          <w:p w14:paraId="1FBC4DD5" w14:textId="77777777" w:rsidR="000703FD" w:rsidRDefault="000703FD" w:rsidP="0087409B">
            <w:pPr>
              <w:jc w:val="center"/>
            </w:pPr>
            <w:r>
              <w:t>Current asthma</w:t>
            </w:r>
          </w:p>
          <w:p w14:paraId="1602B48E" w14:textId="77777777" w:rsidR="000703FD" w:rsidRDefault="000703FD" w:rsidP="0087409B">
            <w:pPr>
              <w:jc w:val="center"/>
            </w:pPr>
            <w:r>
              <w:t>(n=2833)</w:t>
            </w:r>
          </w:p>
        </w:tc>
        <w:tc>
          <w:tcPr>
            <w:tcW w:w="1102" w:type="dxa"/>
            <w:tcBorders>
              <w:top w:val="single" w:sz="4" w:space="0" w:color="auto"/>
              <w:left w:val="single" w:sz="4" w:space="0" w:color="auto"/>
              <w:bottom w:val="single" w:sz="4" w:space="0" w:color="auto"/>
              <w:right w:val="single" w:sz="4" w:space="0" w:color="auto"/>
            </w:tcBorders>
          </w:tcPr>
          <w:p w14:paraId="5555B764" w14:textId="77777777" w:rsidR="000703FD" w:rsidRDefault="000703FD" w:rsidP="0087409B">
            <w:pPr>
              <w:jc w:val="center"/>
              <w:rPr>
                <w:lang w:val="en-GB"/>
              </w:rPr>
            </w:pPr>
            <w:r>
              <w:rPr>
                <w:lang w:val="en-GB"/>
              </w:rPr>
              <w:t>p-value</w:t>
            </w:r>
          </w:p>
          <w:p w14:paraId="00D57A87" w14:textId="5B3E80BF" w:rsidR="00255038" w:rsidRPr="00467904" w:rsidRDefault="00767522" w:rsidP="0087409B">
            <w:pPr>
              <w:jc w:val="center"/>
              <w:rPr>
                <w:lang w:val="en-GB"/>
              </w:rPr>
            </w:pPr>
            <w:r>
              <w:rPr>
                <w:lang w:val="en-GB"/>
              </w:rPr>
              <w:t>vs.</w:t>
            </w:r>
            <w:r w:rsidR="00255038">
              <w:rPr>
                <w:lang w:val="en-GB"/>
              </w:rPr>
              <w:t xml:space="preserve"> controls</w:t>
            </w:r>
          </w:p>
        </w:tc>
        <w:tc>
          <w:tcPr>
            <w:tcW w:w="1131" w:type="dxa"/>
            <w:tcBorders>
              <w:top w:val="single" w:sz="4" w:space="0" w:color="auto"/>
              <w:left w:val="single" w:sz="4" w:space="0" w:color="auto"/>
              <w:bottom w:val="single" w:sz="4" w:space="0" w:color="auto"/>
              <w:right w:val="single" w:sz="4" w:space="0" w:color="auto"/>
            </w:tcBorders>
          </w:tcPr>
          <w:p w14:paraId="18CA3B17" w14:textId="77777777" w:rsidR="000703FD" w:rsidRDefault="000703FD" w:rsidP="0087409B">
            <w:pPr>
              <w:jc w:val="center"/>
              <w:rPr>
                <w:lang w:val="en-GB"/>
              </w:rPr>
            </w:pPr>
            <w:r w:rsidRPr="00467904">
              <w:rPr>
                <w:lang w:val="en-GB"/>
              </w:rPr>
              <w:t xml:space="preserve">COPD </w:t>
            </w:r>
          </w:p>
          <w:p w14:paraId="2149995E" w14:textId="77777777" w:rsidR="000703FD" w:rsidRDefault="000703FD" w:rsidP="0087409B">
            <w:pPr>
              <w:jc w:val="center"/>
              <w:rPr>
                <w:lang w:val="en-GB"/>
              </w:rPr>
            </w:pPr>
          </w:p>
          <w:p w14:paraId="1F8D74BB" w14:textId="77777777" w:rsidR="000703FD" w:rsidRPr="00467904" w:rsidRDefault="000703FD" w:rsidP="0087409B">
            <w:pPr>
              <w:jc w:val="center"/>
              <w:rPr>
                <w:lang w:val="en-GB"/>
              </w:rPr>
            </w:pPr>
            <w:r>
              <w:rPr>
                <w:lang w:val="en-GB"/>
              </w:rPr>
              <w:t>(n=1146)</w:t>
            </w:r>
          </w:p>
        </w:tc>
        <w:tc>
          <w:tcPr>
            <w:tcW w:w="1102" w:type="dxa"/>
            <w:tcBorders>
              <w:top w:val="single" w:sz="4" w:space="0" w:color="auto"/>
              <w:left w:val="single" w:sz="4" w:space="0" w:color="auto"/>
              <w:bottom w:val="single" w:sz="4" w:space="0" w:color="auto"/>
              <w:right w:val="single" w:sz="4" w:space="0" w:color="auto"/>
            </w:tcBorders>
          </w:tcPr>
          <w:p w14:paraId="1B26EFFF" w14:textId="77777777" w:rsidR="000703FD" w:rsidRDefault="000703FD" w:rsidP="0087409B">
            <w:pPr>
              <w:jc w:val="center"/>
              <w:rPr>
                <w:lang w:val="en-GB"/>
              </w:rPr>
            </w:pPr>
            <w:r>
              <w:rPr>
                <w:lang w:val="en-GB"/>
              </w:rPr>
              <w:t>p-value</w:t>
            </w:r>
          </w:p>
          <w:p w14:paraId="10C3EBA6" w14:textId="745EFDE9" w:rsidR="00255038" w:rsidRPr="00467904" w:rsidRDefault="00767522" w:rsidP="0087409B">
            <w:pPr>
              <w:jc w:val="center"/>
              <w:rPr>
                <w:lang w:val="en-GB"/>
              </w:rPr>
            </w:pPr>
            <w:r>
              <w:rPr>
                <w:lang w:val="en-GB"/>
              </w:rPr>
              <w:t>vs.</w:t>
            </w:r>
            <w:r w:rsidR="00255038">
              <w:rPr>
                <w:lang w:val="en-GB"/>
              </w:rPr>
              <w:t xml:space="preserve"> controls</w:t>
            </w:r>
          </w:p>
        </w:tc>
        <w:tc>
          <w:tcPr>
            <w:tcW w:w="1102" w:type="dxa"/>
            <w:tcBorders>
              <w:top w:val="single" w:sz="4" w:space="0" w:color="auto"/>
              <w:left w:val="single" w:sz="4" w:space="0" w:color="auto"/>
              <w:bottom w:val="single" w:sz="4" w:space="0" w:color="auto"/>
              <w:right w:val="single" w:sz="4" w:space="0" w:color="auto"/>
            </w:tcBorders>
          </w:tcPr>
          <w:p w14:paraId="4733FE3F" w14:textId="77777777" w:rsidR="000703FD" w:rsidRDefault="000703FD" w:rsidP="0087409B">
            <w:pPr>
              <w:jc w:val="center"/>
              <w:rPr>
                <w:lang w:val="en-GB"/>
              </w:rPr>
            </w:pPr>
            <w:r>
              <w:rPr>
                <w:lang w:val="en-GB"/>
              </w:rPr>
              <w:t>p-value asthma vs COPD</w:t>
            </w:r>
          </w:p>
        </w:tc>
      </w:tr>
      <w:tr w:rsidR="000E3549" w14:paraId="1C23D6B7" w14:textId="77777777" w:rsidTr="00C60244">
        <w:tc>
          <w:tcPr>
            <w:tcW w:w="2542" w:type="dxa"/>
            <w:tcBorders>
              <w:top w:val="single" w:sz="4" w:space="0" w:color="auto"/>
              <w:left w:val="single" w:sz="4" w:space="0" w:color="auto"/>
              <w:bottom w:val="nil"/>
              <w:right w:val="single" w:sz="4" w:space="0" w:color="auto"/>
            </w:tcBorders>
          </w:tcPr>
          <w:p w14:paraId="71F194E2" w14:textId="400A2D3D" w:rsidR="000E3549" w:rsidRPr="00060FA8" w:rsidRDefault="000E3549" w:rsidP="0087409B">
            <w:pPr>
              <w:rPr>
                <w:rFonts w:cstheme="minorHAnsi"/>
                <w:b/>
              </w:rPr>
            </w:pPr>
            <w:r w:rsidRPr="00C01437">
              <w:rPr>
                <w:rFonts w:cstheme="minorHAnsi"/>
                <w:b/>
              </w:rPr>
              <w:t>Characteristics</w:t>
            </w:r>
          </w:p>
        </w:tc>
        <w:tc>
          <w:tcPr>
            <w:tcW w:w="1202" w:type="dxa"/>
            <w:tcBorders>
              <w:top w:val="single" w:sz="4" w:space="0" w:color="auto"/>
              <w:left w:val="single" w:sz="4" w:space="0" w:color="auto"/>
              <w:bottom w:val="nil"/>
              <w:right w:val="single" w:sz="4" w:space="0" w:color="auto"/>
            </w:tcBorders>
          </w:tcPr>
          <w:p w14:paraId="5BE98A8D" w14:textId="77777777" w:rsidR="000E3549" w:rsidRDefault="000E3549" w:rsidP="0087409B">
            <w:pPr>
              <w:jc w:val="center"/>
            </w:pPr>
          </w:p>
        </w:tc>
        <w:tc>
          <w:tcPr>
            <w:tcW w:w="1059" w:type="dxa"/>
            <w:tcBorders>
              <w:top w:val="single" w:sz="4" w:space="0" w:color="auto"/>
              <w:left w:val="single" w:sz="4" w:space="0" w:color="auto"/>
              <w:bottom w:val="nil"/>
              <w:right w:val="single" w:sz="4" w:space="0" w:color="auto"/>
            </w:tcBorders>
          </w:tcPr>
          <w:p w14:paraId="29752528" w14:textId="77777777" w:rsidR="000E3549" w:rsidRDefault="000E3549" w:rsidP="0087409B">
            <w:pPr>
              <w:jc w:val="center"/>
            </w:pPr>
          </w:p>
        </w:tc>
        <w:tc>
          <w:tcPr>
            <w:tcW w:w="1102" w:type="dxa"/>
            <w:tcBorders>
              <w:top w:val="single" w:sz="4" w:space="0" w:color="auto"/>
              <w:left w:val="single" w:sz="4" w:space="0" w:color="auto"/>
              <w:bottom w:val="nil"/>
              <w:right w:val="single" w:sz="4" w:space="0" w:color="auto"/>
            </w:tcBorders>
          </w:tcPr>
          <w:p w14:paraId="0E1F3285" w14:textId="77777777" w:rsidR="000E3549" w:rsidRDefault="000E3549" w:rsidP="0087409B">
            <w:pPr>
              <w:jc w:val="center"/>
            </w:pPr>
          </w:p>
        </w:tc>
        <w:tc>
          <w:tcPr>
            <w:tcW w:w="1131" w:type="dxa"/>
            <w:tcBorders>
              <w:top w:val="single" w:sz="4" w:space="0" w:color="auto"/>
              <w:left w:val="single" w:sz="4" w:space="0" w:color="auto"/>
              <w:bottom w:val="nil"/>
              <w:right w:val="single" w:sz="4" w:space="0" w:color="auto"/>
            </w:tcBorders>
          </w:tcPr>
          <w:p w14:paraId="5DE1DAA0" w14:textId="77777777" w:rsidR="000E3549" w:rsidRDefault="000E3549" w:rsidP="0087409B">
            <w:pPr>
              <w:jc w:val="center"/>
            </w:pPr>
          </w:p>
        </w:tc>
        <w:tc>
          <w:tcPr>
            <w:tcW w:w="1102" w:type="dxa"/>
            <w:tcBorders>
              <w:top w:val="single" w:sz="4" w:space="0" w:color="auto"/>
              <w:left w:val="single" w:sz="4" w:space="0" w:color="auto"/>
              <w:bottom w:val="nil"/>
              <w:right w:val="single" w:sz="4" w:space="0" w:color="auto"/>
            </w:tcBorders>
          </w:tcPr>
          <w:p w14:paraId="3C8D22D0" w14:textId="77777777" w:rsidR="000E3549" w:rsidRDefault="000E3549" w:rsidP="0087409B">
            <w:pPr>
              <w:jc w:val="center"/>
            </w:pPr>
          </w:p>
        </w:tc>
        <w:tc>
          <w:tcPr>
            <w:tcW w:w="1102" w:type="dxa"/>
            <w:tcBorders>
              <w:top w:val="single" w:sz="4" w:space="0" w:color="auto"/>
              <w:left w:val="single" w:sz="4" w:space="0" w:color="auto"/>
              <w:bottom w:val="nil"/>
              <w:right w:val="single" w:sz="4" w:space="0" w:color="auto"/>
            </w:tcBorders>
          </w:tcPr>
          <w:p w14:paraId="0D7D549E" w14:textId="59056BEC" w:rsidR="000E3549" w:rsidRDefault="000E3549" w:rsidP="0087409B">
            <w:pPr>
              <w:jc w:val="center"/>
            </w:pPr>
          </w:p>
        </w:tc>
      </w:tr>
      <w:tr w:rsidR="00023B24" w14:paraId="1F050D83" w14:textId="77777777" w:rsidTr="00C60244">
        <w:tc>
          <w:tcPr>
            <w:tcW w:w="2542" w:type="dxa"/>
            <w:tcBorders>
              <w:top w:val="nil"/>
              <w:left w:val="single" w:sz="4" w:space="0" w:color="auto"/>
              <w:bottom w:val="nil"/>
              <w:right w:val="single" w:sz="4" w:space="0" w:color="auto"/>
            </w:tcBorders>
          </w:tcPr>
          <w:p w14:paraId="25F0EF7E" w14:textId="340BBA7D" w:rsidR="00023B24" w:rsidRPr="00060FA8" w:rsidRDefault="00023B24" w:rsidP="0087409B">
            <w:pPr>
              <w:rPr>
                <w:rFonts w:cstheme="minorHAnsi"/>
                <w:b/>
              </w:rPr>
            </w:pPr>
            <w:r>
              <w:rPr>
                <w:rFonts w:cstheme="minorHAnsi"/>
              </w:rPr>
              <w:t>Female</w:t>
            </w:r>
          </w:p>
        </w:tc>
        <w:tc>
          <w:tcPr>
            <w:tcW w:w="1202" w:type="dxa"/>
            <w:tcBorders>
              <w:top w:val="nil"/>
              <w:left w:val="single" w:sz="4" w:space="0" w:color="auto"/>
              <w:bottom w:val="nil"/>
              <w:right w:val="single" w:sz="4" w:space="0" w:color="auto"/>
            </w:tcBorders>
          </w:tcPr>
          <w:p w14:paraId="2720736A" w14:textId="58DC166E" w:rsidR="00023B24" w:rsidRDefault="00023B24" w:rsidP="0087409B">
            <w:pPr>
              <w:jc w:val="center"/>
            </w:pPr>
            <w:r>
              <w:t>53.0</w:t>
            </w:r>
          </w:p>
        </w:tc>
        <w:tc>
          <w:tcPr>
            <w:tcW w:w="1059" w:type="dxa"/>
            <w:tcBorders>
              <w:top w:val="nil"/>
              <w:left w:val="single" w:sz="4" w:space="0" w:color="auto"/>
              <w:bottom w:val="nil"/>
              <w:right w:val="single" w:sz="4" w:space="0" w:color="auto"/>
            </w:tcBorders>
          </w:tcPr>
          <w:p w14:paraId="22F87DA8" w14:textId="2A745896" w:rsidR="00023B24" w:rsidRDefault="00023B24" w:rsidP="0087409B">
            <w:pPr>
              <w:jc w:val="center"/>
            </w:pPr>
            <w:r>
              <w:t>63.1</w:t>
            </w:r>
          </w:p>
        </w:tc>
        <w:tc>
          <w:tcPr>
            <w:tcW w:w="1102" w:type="dxa"/>
            <w:tcBorders>
              <w:top w:val="nil"/>
              <w:left w:val="single" w:sz="4" w:space="0" w:color="auto"/>
              <w:bottom w:val="nil"/>
              <w:right w:val="single" w:sz="4" w:space="0" w:color="auto"/>
            </w:tcBorders>
          </w:tcPr>
          <w:p w14:paraId="31F948D5" w14:textId="692EAEA2" w:rsidR="00023B24" w:rsidRDefault="00023B24" w:rsidP="0087409B">
            <w:pPr>
              <w:jc w:val="center"/>
            </w:pPr>
            <w:r>
              <w:t>&lt;0.0001</w:t>
            </w:r>
          </w:p>
        </w:tc>
        <w:tc>
          <w:tcPr>
            <w:tcW w:w="1131" w:type="dxa"/>
            <w:tcBorders>
              <w:top w:val="nil"/>
              <w:left w:val="single" w:sz="4" w:space="0" w:color="auto"/>
              <w:bottom w:val="nil"/>
              <w:right w:val="single" w:sz="4" w:space="0" w:color="auto"/>
            </w:tcBorders>
          </w:tcPr>
          <w:p w14:paraId="436BF310" w14:textId="53A9B74E" w:rsidR="00023B24" w:rsidRDefault="00023B24" w:rsidP="0087409B">
            <w:pPr>
              <w:jc w:val="center"/>
            </w:pPr>
            <w:r>
              <w:t>26.4</w:t>
            </w:r>
          </w:p>
        </w:tc>
        <w:tc>
          <w:tcPr>
            <w:tcW w:w="1102" w:type="dxa"/>
            <w:tcBorders>
              <w:top w:val="nil"/>
              <w:left w:val="single" w:sz="4" w:space="0" w:color="auto"/>
              <w:bottom w:val="nil"/>
              <w:right w:val="single" w:sz="4" w:space="0" w:color="auto"/>
            </w:tcBorders>
          </w:tcPr>
          <w:p w14:paraId="1F5884EE" w14:textId="0CD74EBF" w:rsidR="00023B24" w:rsidRDefault="00023B24" w:rsidP="0087409B">
            <w:pPr>
              <w:jc w:val="center"/>
            </w:pPr>
            <w:r>
              <w:t>&lt;0.0001</w:t>
            </w:r>
          </w:p>
        </w:tc>
        <w:tc>
          <w:tcPr>
            <w:tcW w:w="1102" w:type="dxa"/>
            <w:tcBorders>
              <w:top w:val="nil"/>
              <w:left w:val="single" w:sz="4" w:space="0" w:color="auto"/>
              <w:bottom w:val="nil"/>
              <w:right w:val="single" w:sz="4" w:space="0" w:color="auto"/>
            </w:tcBorders>
          </w:tcPr>
          <w:p w14:paraId="21F06951" w14:textId="6FE4B54A" w:rsidR="00023B24" w:rsidRDefault="00023B24" w:rsidP="0087409B">
            <w:pPr>
              <w:jc w:val="center"/>
            </w:pPr>
            <w:r>
              <w:t>&lt;0.0001</w:t>
            </w:r>
          </w:p>
        </w:tc>
      </w:tr>
      <w:tr w:rsidR="00023B24" w14:paraId="0E4E0B32" w14:textId="77777777" w:rsidTr="00C60244">
        <w:tc>
          <w:tcPr>
            <w:tcW w:w="2542" w:type="dxa"/>
            <w:tcBorders>
              <w:top w:val="nil"/>
              <w:left w:val="single" w:sz="4" w:space="0" w:color="auto"/>
              <w:bottom w:val="single" w:sz="4" w:space="0" w:color="auto"/>
              <w:right w:val="single" w:sz="4" w:space="0" w:color="auto"/>
            </w:tcBorders>
          </w:tcPr>
          <w:p w14:paraId="1FE42033" w14:textId="3F20FF08" w:rsidR="00023B24" w:rsidRPr="00060FA8" w:rsidRDefault="00023B24" w:rsidP="0087409B">
            <w:pPr>
              <w:rPr>
                <w:rFonts w:cstheme="minorHAnsi"/>
                <w:b/>
              </w:rPr>
            </w:pPr>
            <w:r>
              <w:rPr>
                <w:rFonts w:cstheme="minorHAnsi"/>
              </w:rPr>
              <w:t>Age</w:t>
            </w:r>
          </w:p>
        </w:tc>
        <w:tc>
          <w:tcPr>
            <w:tcW w:w="1202" w:type="dxa"/>
            <w:tcBorders>
              <w:top w:val="nil"/>
              <w:left w:val="single" w:sz="4" w:space="0" w:color="auto"/>
              <w:bottom w:val="single" w:sz="4" w:space="0" w:color="auto"/>
              <w:right w:val="single" w:sz="4" w:space="0" w:color="auto"/>
            </w:tcBorders>
          </w:tcPr>
          <w:p w14:paraId="0DB4148E" w14:textId="57663AAF" w:rsidR="00023B24" w:rsidRDefault="00023B24" w:rsidP="0087409B">
            <w:pPr>
              <w:jc w:val="center"/>
            </w:pPr>
            <w:r>
              <w:t>54±11</w:t>
            </w:r>
          </w:p>
        </w:tc>
        <w:tc>
          <w:tcPr>
            <w:tcW w:w="1059" w:type="dxa"/>
            <w:tcBorders>
              <w:top w:val="nil"/>
              <w:left w:val="single" w:sz="4" w:space="0" w:color="auto"/>
              <w:bottom w:val="single" w:sz="4" w:space="0" w:color="auto"/>
              <w:right w:val="single" w:sz="4" w:space="0" w:color="auto"/>
            </w:tcBorders>
          </w:tcPr>
          <w:p w14:paraId="50853EC3" w14:textId="3FD0050B" w:rsidR="00023B24" w:rsidRDefault="00023B24" w:rsidP="0087409B">
            <w:pPr>
              <w:jc w:val="center"/>
            </w:pPr>
            <w:r>
              <w:t>53±12</w:t>
            </w:r>
          </w:p>
        </w:tc>
        <w:tc>
          <w:tcPr>
            <w:tcW w:w="1102" w:type="dxa"/>
            <w:tcBorders>
              <w:top w:val="nil"/>
              <w:left w:val="single" w:sz="4" w:space="0" w:color="auto"/>
              <w:bottom w:val="single" w:sz="4" w:space="0" w:color="auto"/>
              <w:right w:val="single" w:sz="4" w:space="0" w:color="auto"/>
            </w:tcBorders>
          </w:tcPr>
          <w:p w14:paraId="22C59B01" w14:textId="0D169342" w:rsidR="00023B24" w:rsidRDefault="00023B24" w:rsidP="0087409B">
            <w:pPr>
              <w:jc w:val="center"/>
            </w:pPr>
            <w:r>
              <w:t>&lt;0.0001</w:t>
            </w:r>
          </w:p>
        </w:tc>
        <w:tc>
          <w:tcPr>
            <w:tcW w:w="1131" w:type="dxa"/>
            <w:tcBorders>
              <w:top w:val="nil"/>
              <w:left w:val="single" w:sz="4" w:space="0" w:color="auto"/>
              <w:bottom w:val="single" w:sz="4" w:space="0" w:color="auto"/>
              <w:right w:val="single" w:sz="4" w:space="0" w:color="auto"/>
            </w:tcBorders>
          </w:tcPr>
          <w:p w14:paraId="11D838E0" w14:textId="6C306925" w:rsidR="00023B24" w:rsidRDefault="00023B24" w:rsidP="0087409B">
            <w:pPr>
              <w:jc w:val="center"/>
            </w:pPr>
            <w:r>
              <w:t>60±11</w:t>
            </w:r>
          </w:p>
        </w:tc>
        <w:tc>
          <w:tcPr>
            <w:tcW w:w="1102" w:type="dxa"/>
            <w:tcBorders>
              <w:top w:val="nil"/>
              <w:left w:val="single" w:sz="4" w:space="0" w:color="auto"/>
              <w:bottom w:val="single" w:sz="4" w:space="0" w:color="auto"/>
              <w:right w:val="single" w:sz="4" w:space="0" w:color="auto"/>
            </w:tcBorders>
          </w:tcPr>
          <w:p w14:paraId="2F0AB61A" w14:textId="3AF4BE98" w:rsidR="00023B24" w:rsidRDefault="00023B24" w:rsidP="0087409B">
            <w:pPr>
              <w:jc w:val="center"/>
            </w:pPr>
            <w:r>
              <w:t>&lt;0.0001</w:t>
            </w:r>
          </w:p>
        </w:tc>
        <w:tc>
          <w:tcPr>
            <w:tcW w:w="1102" w:type="dxa"/>
            <w:tcBorders>
              <w:top w:val="nil"/>
              <w:left w:val="single" w:sz="4" w:space="0" w:color="auto"/>
              <w:bottom w:val="single" w:sz="4" w:space="0" w:color="auto"/>
              <w:right w:val="single" w:sz="4" w:space="0" w:color="auto"/>
            </w:tcBorders>
          </w:tcPr>
          <w:p w14:paraId="48F8DD49" w14:textId="216F1FBB" w:rsidR="00023B24" w:rsidRDefault="00023B24" w:rsidP="0087409B">
            <w:pPr>
              <w:jc w:val="center"/>
            </w:pPr>
            <w:r>
              <w:t>&lt;0.0001</w:t>
            </w:r>
          </w:p>
        </w:tc>
      </w:tr>
      <w:tr w:rsidR="00023B24" w14:paraId="56D5E0E4" w14:textId="77777777" w:rsidTr="00C60244">
        <w:tc>
          <w:tcPr>
            <w:tcW w:w="2542" w:type="dxa"/>
            <w:tcBorders>
              <w:top w:val="single" w:sz="4" w:space="0" w:color="auto"/>
              <w:left w:val="single" w:sz="4" w:space="0" w:color="auto"/>
              <w:bottom w:val="nil"/>
              <w:right w:val="single" w:sz="4" w:space="0" w:color="auto"/>
            </w:tcBorders>
          </w:tcPr>
          <w:p w14:paraId="63103030" w14:textId="37324934" w:rsidR="00023B24" w:rsidRPr="00060FA8" w:rsidRDefault="00023B24" w:rsidP="0087409B">
            <w:pPr>
              <w:rPr>
                <w:rFonts w:cstheme="minorHAnsi"/>
                <w:b/>
              </w:rPr>
            </w:pPr>
            <w:r>
              <w:rPr>
                <w:rFonts w:cstheme="minorHAnsi"/>
              </w:rPr>
              <w:t>Smok</w:t>
            </w:r>
            <w:r w:rsidR="00464C9A">
              <w:rPr>
                <w:rFonts w:cstheme="minorHAnsi"/>
              </w:rPr>
              <w:t>ing</w:t>
            </w:r>
            <w:r>
              <w:rPr>
                <w:rFonts w:cstheme="minorHAnsi"/>
              </w:rPr>
              <w:t xml:space="preserve"> history</w:t>
            </w:r>
          </w:p>
        </w:tc>
        <w:tc>
          <w:tcPr>
            <w:tcW w:w="1202" w:type="dxa"/>
            <w:tcBorders>
              <w:top w:val="single" w:sz="4" w:space="0" w:color="auto"/>
              <w:left w:val="single" w:sz="4" w:space="0" w:color="auto"/>
              <w:bottom w:val="nil"/>
              <w:right w:val="single" w:sz="4" w:space="0" w:color="auto"/>
            </w:tcBorders>
          </w:tcPr>
          <w:p w14:paraId="7F159606" w14:textId="77777777" w:rsidR="00023B24" w:rsidRDefault="00023B24" w:rsidP="0087409B">
            <w:pPr>
              <w:jc w:val="center"/>
            </w:pPr>
          </w:p>
        </w:tc>
        <w:tc>
          <w:tcPr>
            <w:tcW w:w="1059" w:type="dxa"/>
            <w:tcBorders>
              <w:top w:val="single" w:sz="4" w:space="0" w:color="auto"/>
              <w:left w:val="single" w:sz="4" w:space="0" w:color="auto"/>
              <w:bottom w:val="nil"/>
              <w:right w:val="single" w:sz="4" w:space="0" w:color="auto"/>
            </w:tcBorders>
          </w:tcPr>
          <w:p w14:paraId="7A29564B" w14:textId="77777777" w:rsidR="00023B24" w:rsidRDefault="00023B24" w:rsidP="0087409B">
            <w:pPr>
              <w:jc w:val="center"/>
            </w:pPr>
          </w:p>
        </w:tc>
        <w:tc>
          <w:tcPr>
            <w:tcW w:w="1102" w:type="dxa"/>
            <w:tcBorders>
              <w:top w:val="single" w:sz="4" w:space="0" w:color="auto"/>
              <w:left w:val="single" w:sz="4" w:space="0" w:color="auto"/>
              <w:bottom w:val="nil"/>
              <w:right w:val="single" w:sz="4" w:space="0" w:color="auto"/>
            </w:tcBorders>
          </w:tcPr>
          <w:p w14:paraId="1EE06DAA" w14:textId="769B1F13" w:rsidR="00023B24" w:rsidRDefault="00023B24" w:rsidP="0087409B">
            <w:pPr>
              <w:jc w:val="center"/>
            </w:pPr>
            <w:r>
              <w:t>&lt;0.0001</w:t>
            </w:r>
          </w:p>
        </w:tc>
        <w:tc>
          <w:tcPr>
            <w:tcW w:w="1131" w:type="dxa"/>
            <w:tcBorders>
              <w:top w:val="single" w:sz="4" w:space="0" w:color="auto"/>
              <w:left w:val="single" w:sz="4" w:space="0" w:color="auto"/>
              <w:bottom w:val="nil"/>
              <w:right w:val="single" w:sz="4" w:space="0" w:color="auto"/>
            </w:tcBorders>
          </w:tcPr>
          <w:p w14:paraId="22DBD452" w14:textId="77777777" w:rsidR="00023B24" w:rsidRDefault="00023B24" w:rsidP="0087409B">
            <w:pPr>
              <w:jc w:val="center"/>
            </w:pPr>
          </w:p>
        </w:tc>
        <w:tc>
          <w:tcPr>
            <w:tcW w:w="1102" w:type="dxa"/>
            <w:tcBorders>
              <w:top w:val="single" w:sz="4" w:space="0" w:color="auto"/>
              <w:left w:val="single" w:sz="4" w:space="0" w:color="auto"/>
              <w:bottom w:val="nil"/>
              <w:right w:val="single" w:sz="4" w:space="0" w:color="auto"/>
            </w:tcBorders>
          </w:tcPr>
          <w:p w14:paraId="666D2527" w14:textId="5A409274" w:rsidR="00023B24" w:rsidRDefault="00023B24" w:rsidP="0087409B">
            <w:pPr>
              <w:jc w:val="center"/>
            </w:pPr>
            <w:r>
              <w:t>&lt;0.0001</w:t>
            </w:r>
          </w:p>
        </w:tc>
        <w:tc>
          <w:tcPr>
            <w:tcW w:w="1102" w:type="dxa"/>
            <w:tcBorders>
              <w:top w:val="single" w:sz="4" w:space="0" w:color="auto"/>
              <w:left w:val="single" w:sz="4" w:space="0" w:color="auto"/>
              <w:bottom w:val="nil"/>
              <w:right w:val="single" w:sz="4" w:space="0" w:color="auto"/>
            </w:tcBorders>
          </w:tcPr>
          <w:p w14:paraId="0437416F" w14:textId="6F237CEC" w:rsidR="00023B24" w:rsidRDefault="00023B24" w:rsidP="0087409B">
            <w:pPr>
              <w:jc w:val="center"/>
            </w:pPr>
            <w:r>
              <w:t>&lt;0.0001</w:t>
            </w:r>
          </w:p>
        </w:tc>
      </w:tr>
      <w:tr w:rsidR="00023B24" w14:paraId="176DB392" w14:textId="77777777" w:rsidTr="00C60244">
        <w:tc>
          <w:tcPr>
            <w:tcW w:w="2542" w:type="dxa"/>
            <w:tcBorders>
              <w:top w:val="nil"/>
              <w:left w:val="single" w:sz="4" w:space="0" w:color="auto"/>
              <w:bottom w:val="nil"/>
              <w:right w:val="single" w:sz="4" w:space="0" w:color="auto"/>
            </w:tcBorders>
          </w:tcPr>
          <w:p w14:paraId="4DFBADE4" w14:textId="2433B7EB" w:rsidR="00023B24" w:rsidRDefault="00023B24" w:rsidP="0087409B">
            <w:pPr>
              <w:rPr>
                <w:rFonts w:cstheme="minorHAnsi"/>
              </w:rPr>
            </w:pPr>
            <w:r>
              <w:rPr>
                <w:rFonts w:cstheme="minorHAnsi"/>
              </w:rPr>
              <w:t xml:space="preserve">   never</w:t>
            </w:r>
          </w:p>
        </w:tc>
        <w:tc>
          <w:tcPr>
            <w:tcW w:w="1202" w:type="dxa"/>
            <w:tcBorders>
              <w:top w:val="nil"/>
              <w:left w:val="single" w:sz="4" w:space="0" w:color="auto"/>
              <w:bottom w:val="nil"/>
              <w:right w:val="single" w:sz="4" w:space="0" w:color="auto"/>
            </w:tcBorders>
          </w:tcPr>
          <w:p w14:paraId="4B4AE828" w14:textId="2F398670" w:rsidR="00023B24" w:rsidRDefault="00023B24" w:rsidP="0087409B">
            <w:pPr>
              <w:jc w:val="center"/>
            </w:pPr>
            <w:r>
              <w:t>61.2</w:t>
            </w:r>
          </w:p>
        </w:tc>
        <w:tc>
          <w:tcPr>
            <w:tcW w:w="1059" w:type="dxa"/>
            <w:tcBorders>
              <w:top w:val="nil"/>
              <w:left w:val="single" w:sz="4" w:space="0" w:color="auto"/>
              <w:bottom w:val="nil"/>
              <w:right w:val="single" w:sz="4" w:space="0" w:color="auto"/>
            </w:tcBorders>
          </w:tcPr>
          <w:p w14:paraId="13B928B1" w14:textId="56D96333" w:rsidR="00023B24" w:rsidRDefault="00023B24" w:rsidP="0087409B">
            <w:pPr>
              <w:jc w:val="center"/>
            </w:pPr>
            <w:r>
              <w:t>54.6</w:t>
            </w:r>
          </w:p>
        </w:tc>
        <w:tc>
          <w:tcPr>
            <w:tcW w:w="1102" w:type="dxa"/>
            <w:tcBorders>
              <w:top w:val="nil"/>
              <w:left w:val="single" w:sz="4" w:space="0" w:color="auto"/>
              <w:bottom w:val="nil"/>
              <w:right w:val="single" w:sz="4" w:space="0" w:color="auto"/>
            </w:tcBorders>
          </w:tcPr>
          <w:p w14:paraId="415ABFD4" w14:textId="77777777" w:rsidR="00023B24" w:rsidRDefault="00023B24" w:rsidP="0087409B">
            <w:pPr>
              <w:jc w:val="center"/>
            </w:pPr>
          </w:p>
        </w:tc>
        <w:tc>
          <w:tcPr>
            <w:tcW w:w="1131" w:type="dxa"/>
            <w:tcBorders>
              <w:top w:val="nil"/>
              <w:left w:val="single" w:sz="4" w:space="0" w:color="auto"/>
              <w:bottom w:val="nil"/>
              <w:right w:val="single" w:sz="4" w:space="0" w:color="auto"/>
            </w:tcBorders>
          </w:tcPr>
          <w:p w14:paraId="517E0454" w14:textId="77066B5D" w:rsidR="00023B24" w:rsidRDefault="00023B24" w:rsidP="0087409B">
            <w:pPr>
              <w:jc w:val="center"/>
            </w:pPr>
            <w:r>
              <w:t>0</w:t>
            </w:r>
          </w:p>
        </w:tc>
        <w:tc>
          <w:tcPr>
            <w:tcW w:w="1102" w:type="dxa"/>
            <w:tcBorders>
              <w:top w:val="nil"/>
              <w:left w:val="single" w:sz="4" w:space="0" w:color="auto"/>
              <w:bottom w:val="nil"/>
              <w:right w:val="single" w:sz="4" w:space="0" w:color="auto"/>
            </w:tcBorders>
          </w:tcPr>
          <w:p w14:paraId="6A78DBF6" w14:textId="77777777" w:rsidR="00023B24" w:rsidRDefault="00023B24" w:rsidP="0087409B">
            <w:pPr>
              <w:jc w:val="center"/>
            </w:pPr>
          </w:p>
        </w:tc>
        <w:tc>
          <w:tcPr>
            <w:tcW w:w="1102" w:type="dxa"/>
            <w:tcBorders>
              <w:top w:val="nil"/>
              <w:left w:val="single" w:sz="4" w:space="0" w:color="auto"/>
              <w:bottom w:val="nil"/>
              <w:right w:val="single" w:sz="4" w:space="0" w:color="auto"/>
            </w:tcBorders>
          </w:tcPr>
          <w:p w14:paraId="399B5737" w14:textId="6EED6474" w:rsidR="00023B24" w:rsidRDefault="00023B24" w:rsidP="0087409B">
            <w:pPr>
              <w:jc w:val="center"/>
            </w:pPr>
          </w:p>
        </w:tc>
      </w:tr>
      <w:tr w:rsidR="00023B24" w14:paraId="32CD5A50" w14:textId="77777777" w:rsidTr="00C60244">
        <w:tc>
          <w:tcPr>
            <w:tcW w:w="2542" w:type="dxa"/>
            <w:tcBorders>
              <w:top w:val="nil"/>
              <w:left w:val="single" w:sz="4" w:space="0" w:color="auto"/>
              <w:bottom w:val="nil"/>
              <w:right w:val="single" w:sz="4" w:space="0" w:color="auto"/>
            </w:tcBorders>
          </w:tcPr>
          <w:p w14:paraId="47E62F42" w14:textId="07B96892" w:rsidR="00023B24" w:rsidRDefault="00023B24" w:rsidP="0087409B">
            <w:pPr>
              <w:rPr>
                <w:rFonts w:cstheme="minorHAnsi"/>
              </w:rPr>
            </w:pPr>
            <w:r>
              <w:rPr>
                <w:rFonts w:cstheme="minorHAnsi"/>
              </w:rPr>
              <w:t xml:space="preserve">   ex</w:t>
            </w:r>
          </w:p>
        </w:tc>
        <w:tc>
          <w:tcPr>
            <w:tcW w:w="1202" w:type="dxa"/>
            <w:tcBorders>
              <w:top w:val="nil"/>
              <w:left w:val="single" w:sz="4" w:space="0" w:color="auto"/>
              <w:bottom w:val="nil"/>
              <w:right w:val="single" w:sz="4" w:space="0" w:color="auto"/>
            </w:tcBorders>
          </w:tcPr>
          <w:p w14:paraId="64AFDF33" w14:textId="2E8D1D18" w:rsidR="00023B24" w:rsidRDefault="00023B24" w:rsidP="0087409B">
            <w:pPr>
              <w:jc w:val="center"/>
            </w:pPr>
            <w:r>
              <w:t>21.8</w:t>
            </w:r>
          </w:p>
        </w:tc>
        <w:tc>
          <w:tcPr>
            <w:tcW w:w="1059" w:type="dxa"/>
            <w:tcBorders>
              <w:top w:val="nil"/>
              <w:left w:val="single" w:sz="4" w:space="0" w:color="auto"/>
              <w:bottom w:val="nil"/>
              <w:right w:val="single" w:sz="4" w:space="0" w:color="auto"/>
            </w:tcBorders>
          </w:tcPr>
          <w:p w14:paraId="4A129AC4" w14:textId="5AF267E5" w:rsidR="00023B24" w:rsidRDefault="00023B24" w:rsidP="0087409B">
            <w:pPr>
              <w:jc w:val="center"/>
            </w:pPr>
            <w:r>
              <w:t>30.4</w:t>
            </w:r>
          </w:p>
        </w:tc>
        <w:tc>
          <w:tcPr>
            <w:tcW w:w="1102" w:type="dxa"/>
            <w:tcBorders>
              <w:top w:val="nil"/>
              <w:left w:val="single" w:sz="4" w:space="0" w:color="auto"/>
              <w:bottom w:val="nil"/>
              <w:right w:val="single" w:sz="4" w:space="0" w:color="auto"/>
            </w:tcBorders>
          </w:tcPr>
          <w:p w14:paraId="46C838FB" w14:textId="77777777" w:rsidR="00023B24" w:rsidRDefault="00023B24" w:rsidP="0087409B">
            <w:pPr>
              <w:jc w:val="center"/>
            </w:pPr>
          </w:p>
        </w:tc>
        <w:tc>
          <w:tcPr>
            <w:tcW w:w="1131" w:type="dxa"/>
            <w:tcBorders>
              <w:top w:val="nil"/>
              <w:left w:val="single" w:sz="4" w:space="0" w:color="auto"/>
              <w:bottom w:val="nil"/>
              <w:right w:val="single" w:sz="4" w:space="0" w:color="auto"/>
            </w:tcBorders>
          </w:tcPr>
          <w:p w14:paraId="0A3EBE9E" w14:textId="115B747C" w:rsidR="00023B24" w:rsidRDefault="00023B24" w:rsidP="0087409B">
            <w:pPr>
              <w:jc w:val="center"/>
            </w:pPr>
            <w:r>
              <w:t>40.9</w:t>
            </w:r>
          </w:p>
        </w:tc>
        <w:tc>
          <w:tcPr>
            <w:tcW w:w="1102" w:type="dxa"/>
            <w:tcBorders>
              <w:top w:val="nil"/>
              <w:left w:val="single" w:sz="4" w:space="0" w:color="auto"/>
              <w:bottom w:val="nil"/>
              <w:right w:val="single" w:sz="4" w:space="0" w:color="auto"/>
            </w:tcBorders>
          </w:tcPr>
          <w:p w14:paraId="2423672D" w14:textId="77777777" w:rsidR="00023B24" w:rsidRDefault="00023B24" w:rsidP="0087409B">
            <w:pPr>
              <w:jc w:val="center"/>
            </w:pPr>
          </w:p>
        </w:tc>
        <w:tc>
          <w:tcPr>
            <w:tcW w:w="1102" w:type="dxa"/>
            <w:tcBorders>
              <w:top w:val="nil"/>
              <w:left w:val="single" w:sz="4" w:space="0" w:color="auto"/>
              <w:bottom w:val="nil"/>
              <w:right w:val="single" w:sz="4" w:space="0" w:color="auto"/>
            </w:tcBorders>
          </w:tcPr>
          <w:p w14:paraId="7D39F087" w14:textId="400E82B6" w:rsidR="00023B24" w:rsidRDefault="00023B24" w:rsidP="0087409B">
            <w:pPr>
              <w:jc w:val="center"/>
            </w:pPr>
          </w:p>
        </w:tc>
      </w:tr>
      <w:tr w:rsidR="00023B24" w14:paraId="7543E90E" w14:textId="77777777" w:rsidTr="00C60244">
        <w:tc>
          <w:tcPr>
            <w:tcW w:w="2542" w:type="dxa"/>
            <w:tcBorders>
              <w:top w:val="nil"/>
              <w:left w:val="single" w:sz="4" w:space="0" w:color="auto"/>
              <w:bottom w:val="single" w:sz="4" w:space="0" w:color="auto"/>
              <w:right w:val="single" w:sz="4" w:space="0" w:color="auto"/>
            </w:tcBorders>
          </w:tcPr>
          <w:p w14:paraId="7F2FF661" w14:textId="542C3C34" w:rsidR="00023B24" w:rsidRDefault="00023B24" w:rsidP="0087409B">
            <w:pPr>
              <w:rPr>
                <w:rFonts w:cstheme="minorHAnsi"/>
              </w:rPr>
            </w:pPr>
            <w:r>
              <w:rPr>
                <w:rFonts w:cstheme="minorHAnsi"/>
              </w:rPr>
              <w:t xml:space="preserve">   current</w:t>
            </w:r>
          </w:p>
        </w:tc>
        <w:tc>
          <w:tcPr>
            <w:tcW w:w="1202" w:type="dxa"/>
            <w:tcBorders>
              <w:top w:val="nil"/>
              <w:left w:val="single" w:sz="4" w:space="0" w:color="auto"/>
              <w:bottom w:val="single" w:sz="4" w:space="0" w:color="auto"/>
              <w:right w:val="single" w:sz="4" w:space="0" w:color="auto"/>
            </w:tcBorders>
          </w:tcPr>
          <w:p w14:paraId="6E0BD7A1" w14:textId="072E143D" w:rsidR="00023B24" w:rsidRDefault="00023B24" w:rsidP="0087409B">
            <w:pPr>
              <w:jc w:val="center"/>
            </w:pPr>
            <w:r>
              <w:t>17.0</w:t>
            </w:r>
          </w:p>
        </w:tc>
        <w:tc>
          <w:tcPr>
            <w:tcW w:w="1059" w:type="dxa"/>
            <w:tcBorders>
              <w:top w:val="nil"/>
              <w:left w:val="single" w:sz="4" w:space="0" w:color="auto"/>
              <w:bottom w:val="single" w:sz="4" w:space="0" w:color="auto"/>
              <w:right w:val="single" w:sz="4" w:space="0" w:color="auto"/>
            </w:tcBorders>
          </w:tcPr>
          <w:p w14:paraId="575C2702" w14:textId="77AD80FA" w:rsidR="00023B24" w:rsidRDefault="00023B24" w:rsidP="0087409B">
            <w:pPr>
              <w:jc w:val="center"/>
            </w:pPr>
            <w:r>
              <w:t>15.1</w:t>
            </w:r>
          </w:p>
        </w:tc>
        <w:tc>
          <w:tcPr>
            <w:tcW w:w="1102" w:type="dxa"/>
            <w:tcBorders>
              <w:top w:val="nil"/>
              <w:left w:val="single" w:sz="4" w:space="0" w:color="auto"/>
              <w:bottom w:val="single" w:sz="4" w:space="0" w:color="auto"/>
              <w:right w:val="single" w:sz="4" w:space="0" w:color="auto"/>
            </w:tcBorders>
          </w:tcPr>
          <w:p w14:paraId="05516ABF" w14:textId="77777777" w:rsidR="00023B24" w:rsidRDefault="00023B24" w:rsidP="0087409B">
            <w:pPr>
              <w:jc w:val="center"/>
            </w:pPr>
          </w:p>
        </w:tc>
        <w:tc>
          <w:tcPr>
            <w:tcW w:w="1131" w:type="dxa"/>
            <w:tcBorders>
              <w:top w:val="nil"/>
              <w:left w:val="single" w:sz="4" w:space="0" w:color="auto"/>
              <w:bottom w:val="single" w:sz="4" w:space="0" w:color="auto"/>
              <w:right w:val="single" w:sz="4" w:space="0" w:color="auto"/>
            </w:tcBorders>
          </w:tcPr>
          <w:p w14:paraId="1F78CDE5" w14:textId="5AB3667F" w:rsidR="00023B24" w:rsidRDefault="00023B24" w:rsidP="0087409B">
            <w:pPr>
              <w:jc w:val="center"/>
            </w:pPr>
            <w:r>
              <w:t>59.1</w:t>
            </w:r>
          </w:p>
        </w:tc>
        <w:tc>
          <w:tcPr>
            <w:tcW w:w="1102" w:type="dxa"/>
            <w:tcBorders>
              <w:top w:val="nil"/>
              <w:left w:val="single" w:sz="4" w:space="0" w:color="auto"/>
              <w:bottom w:val="single" w:sz="4" w:space="0" w:color="auto"/>
              <w:right w:val="single" w:sz="4" w:space="0" w:color="auto"/>
            </w:tcBorders>
          </w:tcPr>
          <w:p w14:paraId="787F9FFB" w14:textId="77777777" w:rsidR="00023B24" w:rsidRDefault="00023B24" w:rsidP="0087409B">
            <w:pPr>
              <w:jc w:val="center"/>
            </w:pPr>
          </w:p>
        </w:tc>
        <w:tc>
          <w:tcPr>
            <w:tcW w:w="1102" w:type="dxa"/>
            <w:tcBorders>
              <w:top w:val="nil"/>
              <w:left w:val="single" w:sz="4" w:space="0" w:color="auto"/>
              <w:bottom w:val="single" w:sz="4" w:space="0" w:color="auto"/>
              <w:right w:val="single" w:sz="4" w:space="0" w:color="auto"/>
            </w:tcBorders>
          </w:tcPr>
          <w:p w14:paraId="53295F90" w14:textId="4DDDE1CC" w:rsidR="00023B24" w:rsidRDefault="00023B24" w:rsidP="0087409B">
            <w:pPr>
              <w:jc w:val="center"/>
            </w:pPr>
          </w:p>
        </w:tc>
      </w:tr>
      <w:tr w:rsidR="00023B24" w14:paraId="0CFFE5AC" w14:textId="77777777" w:rsidTr="00C60244">
        <w:tc>
          <w:tcPr>
            <w:tcW w:w="2542" w:type="dxa"/>
            <w:tcBorders>
              <w:top w:val="single" w:sz="4" w:space="0" w:color="auto"/>
              <w:left w:val="single" w:sz="4" w:space="0" w:color="auto"/>
              <w:bottom w:val="nil"/>
              <w:right w:val="single" w:sz="4" w:space="0" w:color="auto"/>
            </w:tcBorders>
          </w:tcPr>
          <w:p w14:paraId="6621730D" w14:textId="49369423" w:rsidR="00023B24" w:rsidRPr="00060FA8" w:rsidRDefault="00023B24" w:rsidP="0087409B">
            <w:pPr>
              <w:rPr>
                <w:rFonts w:cstheme="minorHAnsi"/>
                <w:b/>
              </w:rPr>
            </w:pPr>
            <w:r>
              <w:rPr>
                <w:rFonts w:cstheme="minorHAnsi"/>
              </w:rPr>
              <w:t>BMI</w:t>
            </w:r>
          </w:p>
        </w:tc>
        <w:tc>
          <w:tcPr>
            <w:tcW w:w="1202" w:type="dxa"/>
            <w:tcBorders>
              <w:top w:val="single" w:sz="4" w:space="0" w:color="auto"/>
              <w:left w:val="single" w:sz="4" w:space="0" w:color="auto"/>
              <w:bottom w:val="nil"/>
              <w:right w:val="single" w:sz="4" w:space="0" w:color="auto"/>
            </w:tcBorders>
          </w:tcPr>
          <w:p w14:paraId="2C47ACF7" w14:textId="77777777" w:rsidR="00023B24" w:rsidRDefault="00023B24" w:rsidP="0087409B">
            <w:pPr>
              <w:jc w:val="center"/>
            </w:pPr>
          </w:p>
        </w:tc>
        <w:tc>
          <w:tcPr>
            <w:tcW w:w="1059" w:type="dxa"/>
            <w:tcBorders>
              <w:top w:val="single" w:sz="4" w:space="0" w:color="auto"/>
              <w:left w:val="single" w:sz="4" w:space="0" w:color="auto"/>
              <w:bottom w:val="nil"/>
              <w:right w:val="single" w:sz="4" w:space="0" w:color="auto"/>
            </w:tcBorders>
          </w:tcPr>
          <w:p w14:paraId="54C34124" w14:textId="77777777" w:rsidR="00023B24" w:rsidRDefault="00023B24" w:rsidP="0087409B">
            <w:pPr>
              <w:jc w:val="center"/>
            </w:pPr>
          </w:p>
        </w:tc>
        <w:tc>
          <w:tcPr>
            <w:tcW w:w="1102" w:type="dxa"/>
            <w:tcBorders>
              <w:top w:val="single" w:sz="4" w:space="0" w:color="auto"/>
              <w:left w:val="single" w:sz="4" w:space="0" w:color="auto"/>
              <w:bottom w:val="nil"/>
              <w:right w:val="single" w:sz="4" w:space="0" w:color="auto"/>
            </w:tcBorders>
          </w:tcPr>
          <w:p w14:paraId="61A6F1DF" w14:textId="509634FC" w:rsidR="00023B24" w:rsidRDefault="00023B24" w:rsidP="0087409B">
            <w:pPr>
              <w:jc w:val="center"/>
            </w:pPr>
            <w:r>
              <w:t>&lt;0.0001</w:t>
            </w:r>
          </w:p>
        </w:tc>
        <w:tc>
          <w:tcPr>
            <w:tcW w:w="1131" w:type="dxa"/>
            <w:tcBorders>
              <w:top w:val="single" w:sz="4" w:space="0" w:color="auto"/>
              <w:left w:val="single" w:sz="4" w:space="0" w:color="auto"/>
              <w:bottom w:val="nil"/>
              <w:right w:val="single" w:sz="4" w:space="0" w:color="auto"/>
            </w:tcBorders>
          </w:tcPr>
          <w:p w14:paraId="5C99D226" w14:textId="77777777" w:rsidR="00023B24" w:rsidRDefault="00023B24" w:rsidP="0087409B">
            <w:pPr>
              <w:jc w:val="center"/>
            </w:pPr>
          </w:p>
        </w:tc>
        <w:tc>
          <w:tcPr>
            <w:tcW w:w="1102" w:type="dxa"/>
            <w:tcBorders>
              <w:top w:val="single" w:sz="4" w:space="0" w:color="auto"/>
              <w:left w:val="single" w:sz="4" w:space="0" w:color="auto"/>
              <w:bottom w:val="nil"/>
              <w:right w:val="single" w:sz="4" w:space="0" w:color="auto"/>
            </w:tcBorders>
          </w:tcPr>
          <w:p w14:paraId="141FE95A" w14:textId="7A3F3FAF" w:rsidR="00023B24" w:rsidRDefault="00023B24" w:rsidP="0087409B">
            <w:pPr>
              <w:jc w:val="center"/>
            </w:pPr>
            <w:r>
              <w:t>&lt;0.0001</w:t>
            </w:r>
          </w:p>
        </w:tc>
        <w:tc>
          <w:tcPr>
            <w:tcW w:w="1102" w:type="dxa"/>
            <w:tcBorders>
              <w:top w:val="single" w:sz="4" w:space="0" w:color="auto"/>
              <w:left w:val="single" w:sz="4" w:space="0" w:color="auto"/>
              <w:bottom w:val="nil"/>
              <w:right w:val="single" w:sz="4" w:space="0" w:color="auto"/>
            </w:tcBorders>
          </w:tcPr>
          <w:p w14:paraId="2747EA9A" w14:textId="2AE25DD6" w:rsidR="00023B24" w:rsidRDefault="00023B24" w:rsidP="0087409B">
            <w:pPr>
              <w:jc w:val="center"/>
            </w:pPr>
            <w:r>
              <w:t>&lt;0.0001</w:t>
            </w:r>
          </w:p>
        </w:tc>
      </w:tr>
      <w:tr w:rsidR="00023B24" w14:paraId="567C6504" w14:textId="77777777" w:rsidTr="00C60244">
        <w:tc>
          <w:tcPr>
            <w:tcW w:w="2542" w:type="dxa"/>
            <w:tcBorders>
              <w:top w:val="nil"/>
              <w:left w:val="single" w:sz="4" w:space="0" w:color="auto"/>
              <w:bottom w:val="nil"/>
              <w:right w:val="single" w:sz="4" w:space="0" w:color="auto"/>
            </w:tcBorders>
          </w:tcPr>
          <w:p w14:paraId="501AB526" w14:textId="29548796" w:rsidR="00023B24" w:rsidRPr="00060FA8" w:rsidRDefault="00023B24" w:rsidP="0087409B">
            <w:pPr>
              <w:rPr>
                <w:rFonts w:cstheme="minorHAnsi"/>
                <w:b/>
              </w:rPr>
            </w:pPr>
            <w:r>
              <w:rPr>
                <w:rFonts w:cstheme="minorHAnsi"/>
              </w:rPr>
              <w:t xml:space="preserve">   &lt;20</w:t>
            </w:r>
          </w:p>
        </w:tc>
        <w:tc>
          <w:tcPr>
            <w:tcW w:w="1202" w:type="dxa"/>
            <w:tcBorders>
              <w:top w:val="nil"/>
              <w:left w:val="single" w:sz="4" w:space="0" w:color="auto"/>
              <w:bottom w:val="nil"/>
              <w:right w:val="single" w:sz="4" w:space="0" w:color="auto"/>
            </w:tcBorders>
          </w:tcPr>
          <w:p w14:paraId="2BA45F74" w14:textId="10DC3F46" w:rsidR="00023B24" w:rsidRDefault="00023B24" w:rsidP="0087409B">
            <w:pPr>
              <w:jc w:val="center"/>
            </w:pPr>
            <w:r>
              <w:t>8.3</w:t>
            </w:r>
          </w:p>
        </w:tc>
        <w:tc>
          <w:tcPr>
            <w:tcW w:w="1059" w:type="dxa"/>
            <w:tcBorders>
              <w:top w:val="nil"/>
              <w:left w:val="single" w:sz="4" w:space="0" w:color="auto"/>
              <w:bottom w:val="nil"/>
              <w:right w:val="single" w:sz="4" w:space="0" w:color="auto"/>
            </w:tcBorders>
          </w:tcPr>
          <w:p w14:paraId="5BEEA727" w14:textId="716BF70F" w:rsidR="00023B24" w:rsidRDefault="00023B24" w:rsidP="0087409B">
            <w:pPr>
              <w:jc w:val="center"/>
            </w:pPr>
            <w:r>
              <w:t>5.3</w:t>
            </w:r>
          </w:p>
        </w:tc>
        <w:tc>
          <w:tcPr>
            <w:tcW w:w="1102" w:type="dxa"/>
            <w:tcBorders>
              <w:top w:val="nil"/>
              <w:left w:val="single" w:sz="4" w:space="0" w:color="auto"/>
              <w:bottom w:val="nil"/>
              <w:right w:val="single" w:sz="4" w:space="0" w:color="auto"/>
            </w:tcBorders>
          </w:tcPr>
          <w:p w14:paraId="6D8F5DFB" w14:textId="77777777" w:rsidR="00023B24" w:rsidRDefault="00023B24" w:rsidP="0087409B">
            <w:pPr>
              <w:jc w:val="center"/>
            </w:pPr>
          </w:p>
        </w:tc>
        <w:tc>
          <w:tcPr>
            <w:tcW w:w="1131" w:type="dxa"/>
            <w:tcBorders>
              <w:top w:val="nil"/>
              <w:left w:val="single" w:sz="4" w:space="0" w:color="auto"/>
              <w:bottom w:val="nil"/>
              <w:right w:val="single" w:sz="4" w:space="0" w:color="auto"/>
            </w:tcBorders>
          </w:tcPr>
          <w:p w14:paraId="301545B8" w14:textId="0E9C0661" w:rsidR="00023B24" w:rsidRDefault="00023B24" w:rsidP="0087409B">
            <w:pPr>
              <w:jc w:val="center"/>
            </w:pPr>
            <w:r>
              <w:t>14.8</w:t>
            </w:r>
          </w:p>
        </w:tc>
        <w:tc>
          <w:tcPr>
            <w:tcW w:w="1102" w:type="dxa"/>
            <w:tcBorders>
              <w:top w:val="nil"/>
              <w:left w:val="single" w:sz="4" w:space="0" w:color="auto"/>
              <w:bottom w:val="nil"/>
              <w:right w:val="single" w:sz="4" w:space="0" w:color="auto"/>
            </w:tcBorders>
          </w:tcPr>
          <w:p w14:paraId="3B206E19" w14:textId="77777777" w:rsidR="00023B24" w:rsidRDefault="00023B24" w:rsidP="0087409B">
            <w:pPr>
              <w:jc w:val="center"/>
            </w:pPr>
          </w:p>
        </w:tc>
        <w:tc>
          <w:tcPr>
            <w:tcW w:w="1102" w:type="dxa"/>
            <w:tcBorders>
              <w:top w:val="nil"/>
              <w:left w:val="single" w:sz="4" w:space="0" w:color="auto"/>
              <w:bottom w:val="nil"/>
              <w:right w:val="single" w:sz="4" w:space="0" w:color="auto"/>
            </w:tcBorders>
          </w:tcPr>
          <w:p w14:paraId="662C8F25" w14:textId="670AEDE0" w:rsidR="00023B24" w:rsidRDefault="00023B24" w:rsidP="0087409B">
            <w:pPr>
              <w:jc w:val="center"/>
            </w:pPr>
          </w:p>
        </w:tc>
      </w:tr>
      <w:tr w:rsidR="00023B24" w14:paraId="227286A7" w14:textId="77777777" w:rsidTr="00C60244">
        <w:tc>
          <w:tcPr>
            <w:tcW w:w="2542" w:type="dxa"/>
            <w:tcBorders>
              <w:top w:val="nil"/>
              <w:left w:val="single" w:sz="4" w:space="0" w:color="auto"/>
              <w:bottom w:val="nil"/>
              <w:right w:val="single" w:sz="4" w:space="0" w:color="auto"/>
            </w:tcBorders>
          </w:tcPr>
          <w:p w14:paraId="7D3C3DD7" w14:textId="3F98E160" w:rsidR="00023B24" w:rsidRPr="00060FA8" w:rsidRDefault="00023B24" w:rsidP="0087409B">
            <w:pPr>
              <w:rPr>
                <w:rFonts w:cstheme="minorHAnsi"/>
                <w:b/>
              </w:rPr>
            </w:pPr>
            <w:r>
              <w:rPr>
                <w:rFonts w:cstheme="minorHAnsi"/>
              </w:rPr>
              <w:t xml:space="preserve">   20-25</w:t>
            </w:r>
          </w:p>
        </w:tc>
        <w:tc>
          <w:tcPr>
            <w:tcW w:w="1202" w:type="dxa"/>
            <w:tcBorders>
              <w:top w:val="nil"/>
              <w:left w:val="single" w:sz="4" w:space="0" w:color="auto"/>
              <w:bottom w:val="nil"/>
              <w:right w:val="single" w:sz="4" w:space="0" w:color="auto"/>
            </w:tcBorders>
          </w:tcPr>
          <w:p w14:paraId="0B1D56D2" w14:textId="25B1FB9D" w:rsidR="00023B24" w:rsidRDefault="00023B24" w:rsidP="0087409B">
            <w:pPr>
              <w:jc w:val="center"/>
            </w:pPr>
            <w:r>
              <w:t>33.6</w:t>
            </w:r>
          </w:p>
        </w:tc>
        <w:tc>
          <w:tcPr>
            <w:tcW w:w="1059" w:type="dxa"/>
            <w:tcBorders>
              <w:top w:val="nil"/>
              <w:left w:val="single" w:sz="4" w:space="0" w:color="auto"/>
              <w:bottom w:val="nil"/>
              <w:right w:val="single" w:sz="4" w:space="0" w:color="auto"/>
            </w:tcBorders>
          </w:tcPr>
          <w:p w14:paraId="7F98778C" w14:textId="1A87CA37" w:rsidR="00023B24" w:rsidRDefault="00023B24" w:rsidP="0087409B">
            <w:pPr>
              <w:jc w:val="center"/>
            </w:pPr>
            <w:r>
              <w:t>29.6</w:t>
            </w:r>
          </w:p>
        </w:tc>
        <w:tc>
          <w:tcPr>
            <w:tcW w:w="1102" w:type="dxa"/>
            <w:tcBorders>
              <w:top w:val="nil"/>
              <w:left w:val="single" w:sz="4" w:space="0" w:color="auto"/>
              <w:bottom w:val="nil"/>
              <w:right w:val="single" w:sz="4" w:space="0" w:color="auto"/>
            </w:tcBorders>
          </w:tcPr>
          <w:p w14:paraId="172F3E15" w14:textId="77777777" w:rsidR="00023B24" w:rsidRDefault="00023B24" w:rsidP="0087409B">
            <w:pPr>
              <w:jc w:val="center"/>
            </w:pPr>
          </w:p>
        </w:tc>
        <w:tc>
          <w:tcPr>
            <w:tcW w:w="1131" w:type="dxa"/>
            <w:tcBorders>
              <w:top w:val="nil"/>
              <w:left w:val="single" w:sz="4" w:space="0" w:color="auto"/>
              <w:bottom w:val="nil"/>
              <w:right w:val="single" w:sz="4" w:space="0" w:color="auto"/>
            </w:tcBorders>
          </w:tcPr>
          <w:p w14:paraId="0A6D67CD" w14:textId="04F3A6B9" w:rsidR="00023B24" w:rsidRDefault="00023B24" w:rsidP="0087409B">
            <w:pPr>
              <w:jc w:val="center"/>
            </w:pPr>
            <w:r>
              <w:t>37.4</w:t>
            </w:r>
          </w:p>
        </w:tc>
        <w:tc>
          <w:tcPr>
            <w:tcW w:w="1102" w:type="dxa"/>
            <w:tcBorders>
              <w:top w:val="nil"/>
              <w:left w:val="single" w:sz="4" w:space="0" w:color="auto"/>
              <w:bottom w:val="nil"/>
              <w:right w:val="single" w:sz="4" w:space="0" w:color="auto"/>
            </w:tcBorders>
          </w:tcPr>
          <w:p w14:paraId="2233D17B" w14:textId="77777777" w:rsidR="00023B24" w:rsidRDefault="00023B24" w:rsidP="0087409B">
            <w:pPr>
              <w:jc w:val="center"/>
            </w:pPr>
          </w:p>
        </w:tc>
        <w:tc>
          <w:tcPr>
            <w:tcW w:w="1102" w:type="dxa"/>
            <w:tcBorders>
              <w:top w:val="nil"/>
              <w:left w:val="single" w:sz="4" w:space="0" w:color="auto"/>
              <w:bottom w:val="nil"/>
              <w:right w:val="single" w:sz="4" w:space="0" w:color="auto"/>
            </w:tcBorders>
          </w:tcPr>
          <w:p w14:paraId="38F82364" w14:textId="2BE65D5F" w:rsidR="00023B24" w:rsidRDefault="00023B24" w:rsidP="0087409B">
            <w:pPr>
              <w:jc w:val="center"/>
            </w:pPr>
          </w:p>
        </w:tc>
      </w:tr>
      <w:tr w:rsidR="00023B24" w14:paraId="4092BC0E" w14:textId="77777777" w:rsidTr="00C60244">
        <w:tc>
          <w:tcPr>
            <w:tcW w:w="2542" w:type="dxa"/>
            <w:tcBorders>
              <w:top w:val="nil"/>
              <w:left w:val="single" w:sz="4" w:space="0" w:color="auto"/>
              <w:bottom w:val="nil"/>
              <w:right w:val="single" w:sz="4" w:space="0" w:color="auto"/>
            </w:tcBorders>
          </w:tcPr>
          <w:p w14:paraId="1EA4678C" w14:textId="4787481D" w:rsidR="00023B24" w:rsidRPr="00060FA8" w:rsidRDefault="00023B24" w:rsidP="0087409B">
            <w:pPr>
              <w:rPr>
                <w:rFonts w:cstheme="minorHAnsi"/>
                <w:b/>
              </w:rPr>
            </w:pPr>
            <w:r>
              <w:rPr>
                <w:rFonts w:cstheme="minorHAnsi"/>
              </w:rPr>
              <w:t xml:space="preserve">   &gt;25-30</w:t>
            </w:r>
          </w:p>
        </w:tc>
        <w:tc>
          <w:tcPr>
            <w:tcW w:w="1202" w:type="dxa"/>
            <w:tcBorders>
              <w:top w:val="nil"/>
              <w:left w:val="single" w:sz="4" w:space="0" w:color="auto"/>
              <w:bottom w:val="nil"/>
              <w:right w:val="single" w:sz="4" w:space="0" w:color="auto"/>
            </w:tcBorders>
          </w:tcPr>
          <w:p w14:paraId="24252626" w14:textId="4D19E2AF" w:rsidR="00023B24" w:rsidRDefault="00023B24" w:rsidP="0087409B">
            <w:pPr>
              <w:jc w:val="center"/>
            </w:pPr>
            <w:r>
              <w:t>35.3</w:t>
            </w:r>
          </w:p>
        </w:tc>
        <w:tc>
          <w:tcPr>
            <w:tcW w:w="1059" w:type="dxa"/>
            <w:tcBorders>
              <w:top w:val="nil"/>
              <w:left w:val="single" w:sz="4" w:space="0" w:color="auto"/>
              <w:bottom w:val="nil"/>
              <w:right w:val="single" w:sz="4" w:space="0" w:color="auto"/>
            </w:tcBorders>
          </w:tcPr>
          <w:p w14:paraId="403553CD" w14:textId="233EEB15" w:rsidR="00023B24" w:rsidRDefault="00023B24" w:rsidP="0087409B">
            <w:pPr>
              <w:jc w:val="center"/>
            </w:pPr>
            <w:r>
              <w:t>32.2</w:t>
            </w:r>
          </w:p>
        </w:tc>
        <w:tc>
          <w:tcPr>
            <w:tcW w:w="1102" w:type="dxa"/>
            <w:tcBorders>
              <w:top w:val="nil"/>
              <w:left w:val="single" w:sz="4" w:space="0" w:color="auto"/>
              <w:bottom w:val="nil"/>
              <w:right w:val="single" w:sz="4" w:space="0" w:color="auto"/>
            </w:tcBorders>
          </w:tcPr>
          <w:p w14:paraId="58DCAAB3" w14:textId="77777777" w:rsidR="00023B24" w:rsidRDefault="00023B24" w:rsidP="0087409B">
            <w:pPr>
              <w:jc w:val="center"/>
            </w:pPr>
          </w:p>
        </w:tc>
        <w:tc>
          <w:tcPr>
            <w:tcW w:w="1131" w:type="dxa"/>
            <w:tcBorders>
              <w:top w:val="nil"/>
              <w:left w:val="single" w:sz="4" w:space="0" w:color="auto"/>
              <w:bottom w:val="nil"/>
              <w:right w:val="single" w:sz="4" w:space="0" w:color="auto"/>
            </w:tcBorders>
          </w:tcPr>
          <w:p w14:paraId="248D7CF4" w14:textId="666B764D" w:rsidR="00023B24" w:rsidRDefault="00023B24" w:rsidP="0087409B">
            <w:pPr>
              <w:jc w:val="center"/>
            </w:pPr>
            <w:r>
              <w:t>32.8</w:t>
            </w:r>
          </w:p>
        </w:tc>
        <w:tc>
          <w:tcPr>
            <w:tcW w:w="1102" w:type="dxa"/>
            <w:tcBorders>
              <w:top w:val="nil"/>
              <w:left w:val="single" w:sz="4" w:space="0" w:color="auto"/>
              <w:bottom w:val="nil"/>
              <w:right w:val="single" w:sz="4" w:space="0" w:color="auto"/>
            </w:tcBorders>
          </w:tcPr>
          <w:p w14:paraId="62FF7401" w14:textId="77777777" w:rsidR="00023B24" w:rsidRDefault="00023B24" w:rsidP="0087409B">
            <w:pPr>
              <w:jc w:val="center"/>
            </w:pPr>
          </w:p>
        </w:tc>
        <w:tc>
          <w:tcPr>
            <w:tcW w:w="1102" w:type="dxa"/>
            <w:tcBorders>
              <w:top w:val="nil"/>
              <w:left w:val="single" w:sz="4" w:space="0" w:color="auto"/>
              <w:bottom w:val="nil"/>
              <w:right w:val="single" w:sz="4" w:space="0" w:color="auto"/>
            </w:tcBorders>
          </w:tcPr>
          <w:p w14:paraId="7D12429F" w14:textId="574D3216" w:rsidR="00023B24" w:rsidRDefault="00023B24" w:rsidP="0087409B">
            <w:pPr>
              <w:jc w:val="center"/>
            </w:pPr>
          </w:p>
        </w:tc>
      </w:tr>
      <w:tr w:rsidR="00023B24" w14:paraId="33EC0274" w14:textId="77777777" w:rsidTr="00C60363">
        <w:tc>
          <w:tcPr>
            <w:tcW w:w="2542" w:type="dxa"/>
            <w:tcBorders>
              <w:top w:val="nil"/>
              <w:left w:val="single" w:sz="4" w:space="0" w:color="auto"/>
              <w:bottom w:val="single" w:sz="4" w:space="0" w:color="auto"/>
              <w:right w:val="single" w:sz="4" w:space="0" w:color="auto"/>
            </w:tcBorders>
          </w:tcPr>
          <w:p w14:paraId="58454D4F" w14:textId="051D7CE6" w:rsidR="00023B24" w:rsidRPr="00060FA8" w:rsidRDefault="00023B24" w:rsidP="0087409B">
            <w:pPr>
              <w:rPr>
                <w:rFonts w:cstheme="minorHAnsi"/>
                <w:b/>
              </w:rPr>
            </w:pPr>
            <w:r>
              <w:rPr>
                <w:rFonts w:cstheme="minorHAnsi"/>
              </w:rPr>
              <w:t xml:space="preserve">   &gt;30</w:t>
            </w:r>
          </w:p>
        </w:tc>
        <w:tc>
          <w:tcPr>
            <w:tcW w:w="1202" w:type="dxa"/>
            <w:tcBorders>
              <w:top w:val="nil"/>
              <w:left w:val="single" w:sz="4" w:space="0" w:color="auto"/>
              <w:bottom w:val="single" w:sz="4" w:space="0" w:color="auto"/>
              <w:right w:val="single" w:sz="4" w:space="0" w:color="auto"/>
            </w:tcBorders>
          </w:tcPr>
          <w:p w14:paraId="75B3C2F0" w14:textId="35C2B2A6" w:rsidR="00023B24" w:rsidRDefault="00023B24" w:rsidP="0087409B">
            <w:pPr>
              <w:jc w:val="center"/>
            </w:pPr>
            <w:r>
              <w:t>22.8</w:t>
            </w:r>
          </w:p>
        </w:tc>
        <w:tc>
          <w:tcPr>
            <w:tcW w:w="1059" w:type="dxa"/>
            <w:tcBorders>
              <w:top w:val="nil"/>
              <w:left w:val="single" w:sz="4" w:space="0" w:color="auto"/>
              <w:bottom w:val="single" w:sz="4" w:space="0" w:color="auto"/>
              <w:right w:val="single" w:sz="4" w:space="0" w:color="auto"/>
            </w:tcBorders>
          </w:tcPr>
          <w:p w14:paraId="0C4A58F7" w14:textId="6426E4FD" w:rsidR="00023B24" w:rsidRDefault="00023B24" w:rsidP="0087409B">
            <w:pPr>
              <w:jc w:val="center"/>
            </w:pPr>
            <w:r>
              <w:t>32.9</w:t>
            </w:r>
          </w:p>
        </w:tc>
        <w:tc>
          <w:tcPr>
            <w:tcW w:w="1102" w:type="dxa"/>
            <w:tcBorders>
              <w:top w:val="nil"/>
              <w:left w:val="single" w:sz="4" w:space="0" w:color="auto"/>
              <w:bottom w:val="single" w:sz="4" w:space="0" w:color="auto"/>
              <w:right w:val="single" w:sz="4" w:space="0" w:color="auto"/>
            </w:tcBorders>
          </w:tcPr>
          <w:p w14:paraId="1B43C53D" w14:textId="77777777" w:rsidR="00023B24" w:rsidRDefault="00023B24" w:rsidP="0087409B">
            <w:pPr>
              <w:jc w:val="center"/>
            </w:pPr>
          </w:p>
        </w:tc>
        <w:tc>
          <w:tcPr>
            <w:tcW w:w="1131" w:type="dxa"/>
            <w:tcBorders>
              <w:top w:val="nil"/>
              <w:left w:val="single" w:sz="4" w:space="0" w:color="auto"/>
              <w:bottom w:val="single" w:sz="4" w:space="0" w:color="auto"/>
              <w:right w:val="single" w:sz="4" w:space="0" w:color="auto"/>
            </w:tcBorders>
          </w:tcPr>
          <w:p w14:paraId="11F26FE8" w14:textId="064084E1" w:rsidR="00023B24" w:rsidRDefault="00023B24" w:rsidP="0087409B">
            <w:pPr>
              <w:jc w:val="center"/>
            </w:pPr>
            <w:r>
              <w:t>15.0</w:t>
            </w:r>
          </w:p>
        </w:tc>
        <w:tc>
          <w:tcPr>
            <w:tcW w:w="1102" w:type="dxa"/>
            <w:tcBorders>
              <w:top w:val="nil"/>
              <w:left w:val="single" w:sz="4" w:space="0" w:color="auto"/>
              <w:bottom w:val="single" w:sz="4" w:space="0" w:color="auto"/>
              <w:right w:val="single" w:sz="4" w:space="0" w:color="auto"/>
            </w:tcBorders>
          </w:tcPr>
          <w:p w14:paraId="1CBBDA58" w14:textId="77777777" w:rsidR="00023B24" w:rsidRDefault="00023B24" w:rsidP="0087409B">
            <w:pPr>
              <w:jc w:val="center"/>
            </w:pPr>
          </w:p>
        </w:tc>
        <w:tc>
          <w:tcPr>
            <w:tcW w:w="1102" w:type="dxa"/>
            <w:tcBorders>
              <w:top w:val="nil"/>
              <w:left w:val="single" w:sz="4" w:space="0" w:color="auto"/>
              <w:bottom w:val="single" w:sz="4" w:space="0" w:color="auto"/>
              <w:right w:val="single" w:sz="4" w:space="0" w:color="auto"/>
            </w:tcBorders>
          </w:tcPr>
          <w:p w14:paraId="6DB42B3F" w14:textId="20089A8B" w:rsidR="00023B24" w:rsidRDefault="00023B24" w:rsidP="0087409B">
            <w:pPr>
              <w:jc w:val="center"/>
            </w:pPr>
          </w:p>
        </w:tc>
      </w:tr>
      <w:tr w:rsidR="00023B24" w14:paraId="2C29813C" w14:textId="77777777" w:rsidTr="00C60363">
        <w:tc>
          <w:tcPr>
            <w:tcW w:w="2542" w:type="dxa"/>
            <w:tcBorders>
              <w:top w:val="single" w:sz="4" w:space="0" w:color="auto"/>
              <w:left w:val="single" w:sz="4" w:space="0" w:color="auto"/>
              <w:bottom w:val="nil"/>
              <w:right w:val="single" w:sz="4" w:space="0" w:color="auto"/>
            </w:tcBorders>
          </w:tcPr>
          <w:p w14:paraId="766C4BD5" w14:textId="54DC3C78" w:rsidR="00023B24" w:rsidRDefault="00023B24" w:rsidP="0087409B">
            <w:pPr>
              <w:rPr>
                <w:rFonts w:cstheme="minorHAnsi"/>
                <w:b/>
              </w:rPr>
            </w:pPr>
            <w:r>
              <w:rPr>
                <w:rFonts w:cstheme="minorHAnsi"/>
              </w:rPr>
              <w:t>FEV1 pre % of predicted</w:t>
            </w:r>
          </w:p>
        </w:tc>
        <w:tc>
          <w:tcPr>
            <w:tcW w:w="1202" w:type="dxa"/>
            <w:tcBorders>
              <w:top w:val="single" w:sz="4" w:space="0" w:color="auto"/>
              <w:left w:val="single" w:sz="4" w:space="0" w:color="auto"/>
              <w:bottom w:val="nil"/>
              <w:right w:val="single" w:sz="4" w:space="0" w:color="auto"/>
            </w:tcBorders>
          </w:tcPr>
          <w:p w14:paraId="33A62962" w14:textId="59680745" w:rsidR="00023B24" w:rsidRDefault="00023B24" w:rsidP="0087409B">
            <w:pPr>
              <w:jc w:val="center"/>
            </w:pPr>
            <w:r>
              <w:t>87±18</w:t>
            </w:r>
          </w:p>
        </w:tc>
        <w:tc>
          <w:tcPr>
            <w:tcW w:w="1059" w:type="dxa"/>
            <w:tcBorders>
              <w:top w:val="single" w:sz="4" w:space="0" w:color="auto"/>
              <w:left w:val="single" w:sz="4" w:space="0" w:color="auto"/>
              <w:bottom w:val="nil"/>
              <w:right w:val="single" w:sz="4" w:space="0" w:color="auto"/>
            </w:tcBorders>
          </w:tcPr>
          <w:p w14:paraId="088E69F3" w14:textId="6ACCBFEB" w:rsidR="00023B24" w:rsidRDefault="00023B24" w:rsidP="0087409B">
            <w:pPr>
              <w:jc w:val="center"/>
            </w:pPr>
            <w:r>
              <w:t>78±21</w:t>
            </w:r>
          </w:p>
        </w:tc>
        <w:tc>
          <w:tcPr>
            <w:tcW w:w="1102" w:type="dxa"/>
            <w:tcBorders>
              <w:top w:val="single" w:sz="4" w:space="0" w:color="auto"/>
              <w:left w:val="single" w:sz="4" w:space="0" w:color="auto"/>
              <w:bottom w:val="nil"/>
              <w:right w:val="single" w:sz="4" w:space="0" w:color="auto"/>
            </w:tcBorders>
          </w:tcPr>
          <w:p w14:paraId="5A833E7B" w14:textId="7A05CCD0" w:rsidR="00023B24" w:rsidRDefault="00023B24" w:rsidP="0087409B">
            <w:pPr>
              <w:jc w:val="center"/>
            </w:pPr>
            <w:r>
              <w:t>&lt;0.0001</w:t>
            </w:r>
          </w:p>
        </w:tc>
        <w:tc>
          <w:tcPr>
            <w:tcW w:w="1131" w:type="dxa"/>
            <w:tcBorders>
              <w:top w:val="single" w:sz="4" w:space="0" w:color="auto"/>
              <w:left w:val="single" w:sz="4" w:space="0" w:color="auto"/>
              <w:bottom w:val="nil"/>
              <w:right w:val="single" w:sz="4" w:space="0" w:color="auto"/>
            </w:tcBorders>
          </w:tcPr>
          <w:p w14:paraId="7800DF27" w14:textId="6CDFA2AC" w:rsidR="00023B24" w:rsidRDefault="00023B24" w:rsidP="0087409B">
            <w:pPr>
              <w:jc w:val="center"/>
            </w:pPr>
            <w:r>
              <w:t>65±20</w:t>
            </w:r>
          </w:p>
        </w:tc>
        <w:tc>
          <w:tcPr>
            <w:tcW w:w="1102" w:type="dxa"/>
            <w:tcBorders>
              <w:top w:val="single" w:sz="4" w:space="0" w:color="auto"/>
              <w:left w:val="single" w:sz="4" w:space="0" w:color="auto"/>
              <w:bottom w:val="nil"/>
              <w:right w:val="single" w:sz="4" w:space="0" w:color="auto"/>
            </w:tcBorders>
          </w:tcPr>
          <w:p w14:paraId="547DDFA4" w14:textId="677B0AB7" w:rsidR="00023B24" w:rsidRDefault="00023B24" w:rsidP="0087409B">
            <w:pPr>
              <w:jc w:val="center"/>
            </w:pPr>
            <w:r>
              <w:t>&lt;0.0001</w:t>
            </w:r>
          </w:p>
        </w:tc>
        <w:tc>
          <w:tcPr>
            <w:tcW w:w="1102" w:type="dxa"/>
            <w:tcBorders>
              <w:top w:val="single" w:sz="4" w:space="0" w:color="auto"/>
              <w:left w:val="single" w:sz="4" w:space="0" w:color="auto"/>
              <w:bottom w:val="nil"/>
              <w:right w:val="single" w:sz="4" w:space="0" w:color="auto"/>
            </w:tcBorders>
          </w:tcPr>
          <w:p w14:paraId="7BF975CF" w14:textId="13E860F4" w:rsidR="00023B24" w:rsidRDefault="00023B24" w:rsidP="0087409B">
            <w:pPr>
              <w:jc w:val="center"/>
            </w:pPr>
            <w:r>
              <w:t>&lt;0.0001</w:t>
            </w:r>
          </w:p>
        </w:tc>
      </w:tr>
      <w:tr w:rsidR="00023B24" w14:paraId="75739CFF" w14:textId="77777777" w:rsidTr="00C60363">
        <w:tc>
          <w:tcPr>
            <w:tcW w:w="2542" w:type="dxa"/>
            <w:tcBorders>
              <w:top w:val="nil"/>
              <w:left w:val="single" w:sz="4" w:space="0" w:color="auto"/>
              <w:bottom w:val="nil"/>
              <w:right w:val="single" w:sz="4" w:space="0" w:color="auto"/>
            </w:tcBorders>
          </w:tcPr>
          <w:p w14:paraId="4F4F982A" w14:textId="1E71EEF1" w:rsidR="00023B24" w:rsidRDefault="00023B24" w:rsidP="0087409B">
            <w:pPr>
              <w:rPr>
                <w:rFonts w:cstheme="minorHAnsi"/>
                <w:b/>
              </w:rPr>
            </w:pPr>
            <w:r>
              <w:rPr>
                <w:rFonts w:cstheme="minorHAnsi"/>
              </w:rPr>
              <w:t>FVC pre % of predicted</w:t>
            </w:r>
          </w:p>
        </w:tc>
        <w:tc>
          <w:tcPr>
            <w:tcW w:w="1202" w:type="dxa"/>
            <w:tcBorders>
              <w:top w:val="nil"/>
              <w:left w:val="single" w:sz="4" w:space="0" w:color="auto"/>
              <w:bottom w:val="nil"/>
              <w:right w:val="single" w:sz="4" w:space="0" w:color="auto"/>
            </w:tcBorders>
          </w:tcPr>
          <w:p w14:paraId="3B8D5408" w14:textId="45448DE8" w:rsidR="00023B24" w:rsidRDefault="00023B24" w:rsidP="0087409B">
            <w:pPr>
              <w:jc w:val="center"/>
            </w:pPr>
            <w:r>
              <w:t>90±18</w:t>
            </w:r>
          </w:p>
        </w:tc>
        <w:tc>
          <w:tcPr>
            <w:tcW w:w="1059" w:type="dxa"/>
            <w:tcBorders>
              <w:top w:val="nil"/>
              <w:left w:val="single" w:sz="4" w:space="0" w:color="auto"/>
              <w:bottom w:val="nil"/>
              <w:right w:val="single" w:sz="4" w:space="0" w:color="auto"/>
            </w:tcBorders>
          </w:tcPr>
          <w:p w14:paraId="37DD8967" w14:textId="2AB0393C" w:rsidR="00023B24" w:rsidRDefault="00023B24" w:rsidP="0087409B">
            <w:pPr>
              <w:jc w:val="center"/>
            </w:pPr>
            <w:r>
              <w:t>88±18</w:t>
            </w:r>
          </w:p>
        </w:tc>
        <w:tc>
          <w:tcPr>
            <w:tcW w:w="1102" w:type="dxa"/>
            <w:tcBorders>
              <w:top w:val="nil"/>
              <w:left w:val="single" w:sz="4" w:space="0" w:color="auto"/>
              <w:bottom w:val="nil"/>
              <w:right w:val="single" w:sz="4" w:space="0" w:color="auto"/>
            </w:tcBorders>
          </w:tcPr>
          <w:p w14:paraId="48ED0DBB" w14:textId="38EC655C" w:rsidR="00023B24" w:rsidRDefault="00023B24" w:rsidP="0087409B">
            <w:pPr>
              <w:jc w:val="center"/>
            </w:pPr>
            <w:r>
              <w:t>&lt;0.0001</w:t>
            </w:r>
          </w:p>
        </w:tc>
        <w:tc>
          <w:tcPr>
            <w:tcW w:w="1131" w:type="dxa"/>
            <w:tcBorders>
              <w:top w:val="nil"/>
              <w:left w:val="single" w:sz="4" w:space="0" w:color="auto"/>
              <w:bottom w:val="nil"/>
              <w:right w:val="single" w:sz="4" w:space="0" w:color="auto"/>
            </w:tcBorders>
          </w:tcPr>
          <w:p w14:paraId="4934AC8E" w14:textId="573BDBEE" w:rsidR="00023B24" w:rsidRDefault="00023B24" w:rsidP="0087409B">
            <w:pPr>
              <w:jc w:val="center"/>
            </w:pPr>
            <w:r>
              <w:t>87±20</w:t>
            </w:r>
          </w:p>
        </w:tc>
        <w:tc>
          <w:tcPr>
            <w:tcW w:w="1102" w:type="dxa"/>
            <w:tcBorders>
              <w:top w:val="nil"/>
              <w:left w:val="single" w:sz="4" w:space="0" w:color="auto"/>
              <w:bottom w:val="nil"/>
              <w:right w:val="single" w:sz="4" w:space="0" w:color="auto"/>
            </w:tcBorders>
          </w:tcPr>
          <w:p w14:paraId="04CC9377" w14:textId="76570F47" w:rsidR="00023B24" w:rsidRDefault="00023B24" w:rsidP="0087409B">
            <w:pPr>
              <w:jc w:val="center"/>
            </w:pPr>
            <w:r>
              <w:t>&lt;0.0001</w:t>
            </w:r>
          </w:p>
        </w:tc>
        <w:tc>
          <w:tcPr>
            <w:tcW w:w="1102" w:type="dxa"/>
            <w:tcBorders>
              <w:top w:val="nil"/>
              <w:left w:val="single" w:sz="4" w:space="0" w:color="auto"/>
              <w:bottom w:val="nil"/>
              <w:right w:val="single" w:sz="4" w:space="0" w:color="auto"/>
            </w:tcBorders>
          </w:tcPr>
          <w:p w14:paraId="3741E178" w14:textId="06D83012" w:rsidR="00023B24" w:rsidRDefault="00023B24" w:rsidP="0087409B">
            <w:pPr>
              <w:jc w:val="center"/>
            </w:pPr>
            <w:r>
              <w:t>0.58</w:t>
            </w:r>
          </w:p>
        </w:tc>
      </w:tr>
      <w:tr w:rsidR="0087409B" w14:paraId="4A67BA4F" w14:textId="77777777" w:rsidTr="00C60363">
        <w:tc>
          <w:tcPr>
            <w:tcW w:w="2542" w:type="dxa"/>
            <w:tcBorders>
              <w:top w:val="nil"/>
              <w:left w:val="single" w:sz="4" w:space="0" w:color="auto"/>
              <w:bottom w:val="nil"/>
              <w:right w:val="single" w:sz="4" w:space="0" w:color="auto"/>
            </w:tcBorders>
          </w:tcPr>
          <w:p w14:paraId="52F2843D" w14:textId="793271F1" w:rsidR="0087409B" w:rsidRDefault="0087409B" w:rsidP="0087409B">
            <w:pPr>
              <w:rPr>
                <w:rFonts w:cstheme="minorHAnsi"/>
              </w:rPr>
            </w:pPr>
            <w:r>
              <w:rPr>
                <w:rFonts w:cstheme="minorHAnsi"/>
              </w:rPr>
              <w:t>FEV1/FVC pre  %</w:t>
            </w:r>
          </w:p>
        </w:tc>
        <w:tc>
          <w:tcPr>
            <w:tcW w:w="1202" w:type="dxa"/>
            <w:tcBorders>
              <w:top w:val="nil"/>
              <w:left w:val="single" w:sz="4" w:space="0" w:color="auto"/>
              <w:bottom w:val="nil"/>
              <w:right w:val="single" w:sz="4" w:space="0" w:color="auto"/>
            </w:tcBorders>
          </w:tcPr>
          <w:p w14:paraId="3CC7F9CB" w14:textId="0758E683" w:rsidR="0087409B" w:rsidRDefault="008813B0" w:rsidP="0087409B">
            <w:pPr>
              <w:jc w:val="center"/>
            </w:pPr>
            <w:r>
              <w:t>77±7</w:t>
            </w:r>
          </w:p>
        </w:tc>
        <w:tc>
          <w:tcPr>
            <w:tcW w:w="1059" w:type="dxa"/>
            <w:tcBorders>
              <w:top w:val="nil"/>
              <w:left w:val="single" w:sz="4" w:space="0" w:color="auto"/>
              <w:bottom w:val="nil"/>
              <w:right w:val="single" w:sz="4" w:space="0" w:color="auto"/>
            </w:tcBorders>
          </w:tcPr>
          <w:p w14:paraId="5EC6AE38" w14:textId="3C0E539E" w:rsidR="0087409B" w:rsidRDefault="008813B0" w:rsidP="0087409B">
            <w:pPr>
              <w:jc w:val="center"/>
            </w:pPr>
            <w:r>
              <w:t>69±13</w:t>
            </w:r>
          </w:p>
        </w:tc>
        <w:tc>
          <w:tcPr>
            <w:tcW w:w="1102" w:type="dxa"/>
            <w:tcBorders>
              <w:top w:val="nil"/>
              <w:left w:val="single" w:sz="4" w:space="0" w:color="auto"/>
              <w:bottom w:val="nil"/>
              <w:right w:val="single" w:sz="4" w:space="0" w:color="auto"/>
            </w:tcBorders>
          </w:tcPr>
          <w:p w14:paraId="07169382" w14:textId="493BDE99" w:rsidR="0087409B" w:rsidRDefault="008813B0" w:rsidP="0087409B">
            <w:pPr>
              <w:jc w:val="center"/>
            </w:pPr>
            <w:r>
              <w:t>&lt;0.0001</w:t>
            </w:r>
          </w:p>
        </w:tc>
        <w:tc>
          <w:tcPr>
            <w:tcW w:w="1131" w:type="dxa"/>
            <w:tcBorders>
              <w:top w:val="nil"/>
              <w:left w:val="single" w:sz="4" w:space="0" w:color="auto"/>
              <w:bottom w:val="nil"/>
              <w:right w:val="single" w:sz="4" w:space="0" w:color="auto"/>
            </w:tcBorders>
          </w:tcPr>
          <w:p w14:paraId="08258AB1" w14:textId="3021C798" w:rsidR="0087409B" w:rsidRDefault="008813B0" w:rsidP="0087409B">
            <w:pPr>
              <w:jc w:val="center"/>
            </w:pPr>
            <w:r>
              <w:t>57±10</w:t>
            </w:r>
          </w:p>
        </w:tc>
        <w:tc>
          <w:tcPr>
            <w:tcW w:w="1102" w:type="dxa"/>
            <w:tcBorders>
              <w:top w:val="nil"/>
              <w:left w:val="single" w:sz="4" w:space="0" w:color="auto"/>
              <w:bottom w:val="nil"/>
              <w:right w:val="single" w:sz="4" w:space="0" w:color="auto"/>
            </w:tcBorders>
          </w:tcPr>
          <w:p w14:paraId="23465F13" w14:textId="70A34796" w:rsidR="0087409B" w:rsidRDefault="008813B0" w:rsidP="0087409B">
            <w:pPr>
              <w:jc w:val="center"/>
            </w:pPr>
            <w:r>
              <w:t>&lt;0.0001</w:t>
            </w:r>
          </w:p>
        </w:tc>
        <w:tc>
          <w:tcPr>
            <w:tcW w:w="1102" w:type="dxa"/>
            <w:tcBorders>
              <w:top w:val="nil"/>
              <w:left w:val="single" w:sz="4" w:space="0" w:color="auto"/>
              <w:bottom w:val="nil"/>
              <w:right w:val="single" w:sz="4" w:space="0" w:color="auto"/>
            </w:tcBorders>
          </w:tcPr>
          <w:p w14:paraId="5DBA2D46" w14:textId="354B4D0E" w:rsidR="0087409B" w:rsidRDefault="008813B0" w:rsidP="0087409B">
            <w:pPr>
              <w:jc w:val="center"/>
            </w:pPr>
            <w:r>
              <w:t>&lt;0.0001</w:t>
            </w:r>
          </w:p>
        </w:tc>
      </w:tr>
      <w:tr w:rsidR="0087409B" w14:paraId="199820BB" w14:textId="77777777" w:rsidTr="00C60363">
        <w:tc>
          <w:tcPr>
            <w:tcW w:w="2542" w:type="dxa"/>
            <w:tcBorders>
              <w:top w:val="nil"/>
              <w:left w:val="single" w:sz="4" w:space="0" w:color="auto"/>
              <w:bottom w:val="nil"/>
              <w:right w:val="single" w:sz="4" w:space="0" w:color="auto"/>
            </w:tcBorders>
          </w:tcPr>
          <w:p w14:paraId="0863476A" w14:textId="3CF7E35B" w:rsidR="0087409B" w:rsidRDefault="0087409B" w:rsidP="0087409B">
            <w:pPr>
              <w:rPr>
                <w:rFonts w:cstheme="minorHAnsi"/>
              </w:rPr>
            </w:pPr>
            <w:r>
              <w:rPr>
                <w:rFonts w:cstheme="minorHAnsi"/>
              </w:rPr>
              <w:t>FEV1 post % of predicted</w:t>
            </w:r>
          </w:p>
        </w:tc>
        <w:tc>
          <w:tcPr>
            <w:tcW w:w="1202" w:type="dxa"/>
            <w:tcBorders>
              <w:top w:val="nil"/>
              <w:left w:val="single" w:sz="4" w:space="0" w:color="auto"/>
              <w:bottom w:val="nil"/>
              <w:right w:val="single" w:sz="4" w:space="0" w:color="auto"/>
            </w:tcBorders>
          </w:tcPr>
          <w:p w14:paraId="63B75166" w14:textId="66323852" w:rsidR="0087409B" w:rsidRDefault="008813B0" w:rsidP="0087409B">
            <w:pPr>
              <w:jc w:val="center"/>
            </w:pPr>
            <w:r>
              <w:t>89±18</w:t>
            </w:r>
          </w:p>
        </w:tc>
        <w:tc>
          <w:tcPr>
            <w:tcW w:w="1059" w:type="dxa"/>
            <w:tcBorders>
              <w:top w:val="nil"/>
              <w:left w:val="single" w:sz="4" w:space="0" w:color="auto"/>
              <w:bottom w:val="nil"/>
              <w:right w:val="single" w:sz="4" w:space="0" w:color="auto"/>
            </w:tcBorders>
          </w:tcPr>
          <w:p w14:paraId="0ABA901F" w14:textId="24D4AD08" w:rsidR="0087409B" w:rsidRDefault="008813B0" w:rsidP="0087409B">
            <w:pPr>
              <w:jc w:val="center"/>
            </w:pPr>
            <w:r>
              <w:t>82±21</w:t>
            </w:r>
          </w:p>
        </w:tc>
        <w:tc>
          <w:tcPr>
            <w:tcW w:w="1102" w:type="dxa"/>
            <w:tcBorders>
              <w:top w:val="nil"/>
              <w:left w:val="single" w:sz="4" w:space="0" w:color="auto"/>
              <w:bottom w:val="nil"/>
              <w:right w:val="single" w:sz="4" w:space="0" w:color="auto"/>
            </w:tcBorders>
          </w:tcPr>
          <w:p w14:paraId="3237B57A" w14:textId="68EB2250" w:rsidR="0087409B" w:rsidRDefault="008813B0" w:rsidP="0087409B">
            <w:pPr>
              <w:jc w:val="center"/>
            </w:pPr>
            <w:r>
              <w:t>&lt;0.0001</w:t>
            </w:r>
          </w:p>
        </w:tc>
        <w:tc>
          <w:tcPr>
            <w:tcW w:w="1131" w:type="dxa"/>
            <w:tcBorders>
              <w:top w:val="nil"/>
              <w:left w:val="single" w:sz="4" w:space="0" w:color="auto"/>
              <w:bottom w:val="nil"/>
              <w:right w:val="single" w:sz="4" w:space="0" w:color="auto"/>
            </w:tcBorders>
          </w:tcPr>
          <w:p w14:paraId="1E39D659" w14:textId="2F4279C3" w:rsidR="0087409B" w:rsidRDefault="008813B0" w:rsidP="0087409B">
            <w:pPr>
              <w:jc w:val="center"/>
            </w:pPr>
            <w:r>
              <w:t>69±20</w:t>
            </w:r>
          </w:p>
        </w:tc>
        <w:tc>
          <w:tcPr>
            <w:tcW w:w="1102" w:type="dxa"/>
            <w:tcBorders>
              <w:top w:val="nil"/>
              <w:left w:val="single" w:sz="4" w:space="0" w:color="auto"/>
              <w:bottom w:val="nil"/>
              <w:right w:val="single" w:sz="4" w:space="0" w:color="auto"/>
            </w:tcBorders>
          </w:tcPr>
          <w:p w14:paraId="2BE0E3AF" w14:textId="35A860AD" w:rsidR="0087409B" w:rsidRDefault="008813B0" w:rsidP="0087409B">
            <w:pPr>
              <w:jc w:val="center"/>
            </w:pPr>
            <w:r>
              <w:t>&lt;0.0001</w:t>
            </w:r>
          </w:p>
        </w:tc>
        <w:tc>
          <w:tcPr>
            <w:tcW w:w="1102" w:type="dxa"/>
            <w:tcBorders>
              <w:top w:val="nil"/>
              <w:left w:val="single" w:sz="4" w:space="0" w:color="auto"/>
              <w:bottom w:val="nil"/>
              <w:right w:val="single" w:sz="4" w:space="0" w:color="auto"/>
            </w:tcBorders>
          </w:tcPr>
          <w:p w14:paraId="6D8B71C2" w14:textId="261B95A8" w:rsidR="0087409B" w:rsidRDefault="008813B0" w:rsidP="0087409B">
            <w:pPr>
              <w:jc w:val="center"/>
            </w:pPr>
            <w:r>
              <w:t>&lt;0.0001</w:t>
            </w:r>
          </w:p>
        </w:tc>
      </w:tr>
      <w:tr w:rsidR="0087409B" w14:paraId="03F58AE6" w14:textId="77777777" w:rsidTr="00C60363">
        <w:tc>
          <w:tcPr>
            <w:tcW w:w="2542" w:type="dxa"/>
            <w:tcBorders>
              <w:top w:val="nil"/>
              <w:left w:val="single" w:sz="4" w:space="0" w:color="auto"/>
              <w:bottom w:val="nil"/>
              <w:right w:val="single" w:sz="4" w:space="0" w:color="auto"/>
            </w:tcBorders>
          </w:tcPr>
          <w:p w14:paraId="15919A88" w14:textId="6757047C" w:rsidR="0087409B" w:rsidRDefault="0087409B" w:rsidP="0087409B">
            <w:pPr>
              <w:rPr>
                <w:rFonts w:cstheme="minorHAnsi"/>
              </w:rPr>
            </w:pPr>
            <w:r>
              <w:rPr>
                <w:rFonts w:cstheme="minorHAnsi"/>
              </w:rPr>
              <w:t>FVC post % of predicted</w:t>
            </w:r>
          </w:p>
        </w:tc>
        <w:tc>
          <w:tcPr>
            <w:tcW w:w="1202" w:type="dxa"/>
            <w:tcBorders>
              <w:top w:val="nil"/>
              <w:left w:val="single" w:sz="4" w:space="0" w:color="auto"/>
              <w:bottom w:val="nil"/>
              <w:right w:val="single" w:sz="4" w:space="0" w:color="auto"/>
            </w:tcBorders>
          </w:tcPr>
          <w:p w14:paraId="0DE20251" w14:textId="089E0769" w:rsidR="0087409B" w:rsidRDefault="008813B0" w:rsidP="0087409B">
            <w:pPr>
              <w:jc w:val="center"/>
            </w:pPr>
            <w:r>
              <w:t>90±18</w:t>
            </w:r>
          </w:p>
        </w:tc>
        <w:tc>
          <w:tcPr>
            <w:tcW w:w="1059" w:type="dxa"/>
            <w:tcBorders>
              <w:top w:val="nil"/>
              <w:left w:val="single" w:sz="4" w:space="0" w:color="auto"/>
              <w:bottom w:val="nil"/>
              <w:right w:val="single" w:sz="4" w:space="0" w:color="auto"/>
            </w:tcBorders>
          </w:tcPr>
          <w:p w14:paraId="327F85AA" w14:textId="0F3A7F44" w:rsidR="0087409B" w:rsidRDefault="008813B0" w:rsidP="0087409B">
            <w:pPr>
              <w:jc w:val="center"/>
            </w:pPr>
            <w:r>
              <w:t>90±18</w:t>
            </w:r>
          </w:p>
        </w:tc>
        <w:tc>
          <w:tcPr>
            <w:tcW w:w="1102" w:type="dxa"/>
            <w:tcBorders>
              <w:top w:val="nil"/>
              <w:left w:val="single" w:sz="4" w:space="0" w:color="auto"/>
              <w:bottom w:val="nil"/>
              <w:right w:val="single" w:sz="4" w:space="0" w:color="auto"/>
            </w:tcBorders>
          </w:tcPr>
          <w:p w14:paraId="613792FD" w14:textId="0C18E4AC" w:rsidR="0087409B" w:rsidRDefault="008813B0" w:rsidP="0087409B">
            <w:pPr>
              <w:jc w:val="center"/>
            </w:pPr>
            <w:r>
              <w:t>&gt;0.99</w:t>
            </w:r>
          </w:p>
        </w:tc>
        <w:tc>
          <w:tcPr>
            <w:tcW w:w="1131" w:type="dxa"/>
            <w:tcBorders>
              <w:top w:val="nil"/>
              <w:left w:val="single" w:sz="4" w:space="0" w:color="auto"/>
              <w:bottom w:val="nil"/>
              <w:right w:val="single" w:sz="4" w:space="0" w:color="auto"/>
            </w:tcBorders>
          </w:tcPr>
          <w:p w14:paraId="2C0ED1A6" w14:textId="788AEC52" w:rsidR="0087409B" w:rsidRDefault="008813B0" w:rsidP="0087409B">
            <w:pPr>
              <w:jc w:val="center"/>
            </w:pPr>
            <w:r>
              <w:t>92±20</w:t>
            </w:r>
          </w:p>
        </w:tc>
        <w:tc>
          <w:tcPr>
            <w:tcW w:w="1102" w:type="dxa"/>
            <w:tcBorders>
              <w:top w:val="nil"/>
              <w:left w:val="single" w:sz="4" w:space="0" w:color="auto"/>
              <w:bottom w:val="nil"/>
              <w:right w:val="single" w:sz="4" w:space="0" w:color="auto"/>
            </w:tcBorders>
          </w:tcPr>
          <w:p w14:paraId="4F8D89B2" w14:textId="15199596" w:rsidR="0087409B" w:rsidRDefault="008813B0" w:rsidP="0087409B">
            <w:pPr>
              <w:jc w:val="center"/>
            </w:pPr>
            <w:r>
              <w:t>0.001</w:t>
            </w:r>
          </w:p>
        </w:tc>
        <w:tc>
          <w:tcPr>
            <w:tcW w:w="1102" w:type="dxa"/>
            <w:tcBorders>
              <w:top w:val="nil"/>
              <w:left w:val="single" w:sz="4" w:space="0" w:color="auto"/>
              <w:bottom w:val="nil"/>
              <w:right w:val="single" w:sz="4" w:space="0" w:color="auto"/>
            </w:tcBorders>
          </w:tcPr>
          <w:p w14:paraId="03E85AF1" w14:textId="38C26829" w:rsidR="0087409B" w:rsidRDefault="008813B0" w:rsidP="0087409B">
            <w:pPr>
              <w:jc w:val="center"/>
            </w:pPr>
            <w:r>
              <w:t>0.001</w:t>
            </w:r>
          </w:p>
        </w:tc>
      </w:tr>
      <w:tr w:rsidR="0087409B" w14:paraId="0755DA6A" w14:textId="77777777" w:rsidTr="00C60363">
        <w:tc>
          <w:tcPr>
            <w:tcW w:w="2542" w:type="dxa"/>
            <w:tcBorders>
              <w:top w:val="nil"/>
              <w:left w:val="single" w:sz="4" w:space="0" w:color="auto"/>
              <w:bottom w:val="single" w:sz="4" w:space="0" w:color="auto"/>
              <w:right w:val="single" w:sz="4" w:space="0" w:color="auto"/>
            </w:tcBorders>
          </w:tcPr>
          <w:p w14:paraId="7DDE47A2" w14:textId="6B7CC423" w:rsidR="0087409B" w:rsidRDefault="0087409B" w:rsidP="0087409B">
            <w:pPr>
              <w:rPr>
                <w:rFonts w:cstheme="minorHAnsi"/>
              </w:rPr>
            </w:pPr>
            <w:r>
              <w:rPr>
                <w:rFonts w:cstheme="minorHAnsi"/>
              </w:rPr>
              <w:t>FEV1/FVC post  %</w:t>
            </w:r>
          </w:p>
        </w:tc>
        <w:tc>
          <w:tcPr>
            <w:tcW w:w="1202" w:type="dxa"/>
            <w:tcBorders>
              <w:top w:val="nil"/>
              <w:left w:val="single" w:sz="4" w:space="0" w:color="auto"/>
              <w:bottom w:val="single" w:sz="4" w:space="0" w:color="auto"/>
              <w:right w:val="single" w:sz="4" w:space="0" w:color="auto"/>
            </w:tcBorders>
          </w:tcPr>
          <w:p w14:paraId="536F06E4" w14:textId="38C076DE" w:rsidR="0087409B" w:rsidRDefault="008813B0" w:rsidP="0087409B">
            <w:pPr>
              <w:jc w:val="center"/>
            </w:pPr>
            <w:r>
              <w:t>79±7</w:t>
            </w:r>
          </w:p>
        </w:tc>
        <w:tc>
          <w:tcPr>
            <w:tcW w:w="1059" w:type="dxa"/>
            <w:tcBorders>
              <w:top w:val="nil"/>
              <w:left w:val="single" w:sz="4" w:space="0" w:color="auto"/>
              <w:bottom w:val="single" w:sz="4" w:space="0" w:color="auto"/>
              <w:right w:val="single" w:sz="4" w:space="0" w:color="auto"/>
            </w:tcBorders>
          </w:tcPr>
          <w:p w14:paraId="6568282D" w14:textId="0A8F737A" w:rsidR="0087409B" w:rsidRDefault="008813B0" w:rsidP="0087409B">
            <w:pPr>
              <w:jc w:val="center"/>
            </w:pPr>
            <w:r>
              <w:t>73±12</w:t>
            </w:r>
          </w:p>
        </w:tc>
        <w:tc>
          <w:tcPr>
            <w:tcW w:w="1102" w:type="dxa"/>
            <w:tcBorders>
              <w:top w:val="nil"/>
              <w:left w:val="single" w:sz="4" w:space="0" w:color="auto"/>
              <w:bottom w:val="single" w:sz="4" w:space="0" w:color="auto"/>
              <w:right w:val="single" w:sz="4" w:space="0" w:color="auto"/>
            </w:tcBorders>
          </w:tcPr>
          <w:p w14:paraId="67DA2DE5" w14:textId="77D19C79" w:rsidR="0087409B" w:rsidRDefault="008813B0" w:rsidP="0087409B">
            <w:pPr>
              <w:jc w:val="center"/>
            </w:pPr>
            <w:r>
              <w:t>&lt;0.0001</w:t>
            </w:r>
          </w:p>
        </w:tc>
        <w:tc>
          <w:tcPr>
            <w:tcW w:w="1131" w:type="dxa"/>
            <w:tcBorders>
              <w:top w:val="nil"/>
              <w:left w:val="single" w:sz="4" w:space="0" w:color="auto"/>
              <w:bottom w:val="single" w:sz="4" w:space="0" w:color="auto"/>
              <w:right w:val="single" w:sz="4" w:space="0" w:color="auto"/>
            </w:tcBorders>
          </w:tcPr>
          <w:p w14:paraId="381FAB72" w14:textId="4E6AA03D" w:rsidR="0087409B" w:rsidRDefault="008813B0" w:rsidP="0087409B">
            <w:pPr>
              <w:jc w:val="center"/>
            </w:pPr>
            <w:r>
              <w:t>58±9</w:t>
            </w:r>
          </w:p>
        </w:tc>
        <w:tc>
          <w:tcPr>
            <w:tcW w:w="1102" w:type="dxa"/>
            <w:tcBorders>
              <w:top w:val="nil"/>
              <w:left w:val="single" w:sz="4" w:space="0" w:color="auto"/>
              <w:bottom w:val="single" w:sz="4" w:space="0" w:color="auto"/>
              <w:right w:val="single" w:sz="4" w:space="0" w:color="auto"/>
            </w:tcBorders>
          </w:tcPr>
          <w:p w14:paraId="3200F48E" w14:textId="42970FBF" w:rsidR="0087409B" w:rsidRDefault="008813B0" w:rsidP="0087409B">
            <w:pPr>
              <w:jc w:val="center"/>
            </w:pPr>
            <w:r>
              <w:t>&lt;0.0001</w:t>
            </w:r>
          </w:p>
        </w:tc>
        <w:tc>
          <w:tcPr>
            <w:tcW w:w="1102" w:type="dxa"/>
            <w:tcBorders>
              <w:top w:val="nil"/>
              <w:left w:val="single" w:sz="4" w:space="0" w:color="auto"/>
              <w:bottom w:val="single" w:sz="4" w:space="0" w:color="auto"/>
              <w:right w:val="single" w:sz="4" w:space="0" w:color="auto"/>
            </w:tcBorders>
          </w:tcPr>
          <w:p w14:paraId="69B2B1A4" w14:textId="6A924907" w:rsidR="0087409B" w:rsidRDefault="008813B0" w:rsidP="0087409B">
            <w:pPr>
              <w:jc w:val="center"/>
            </w:pPr>
            <w:r>
              <w:t>&lt;0.0001</w:t>
            </w:r>
          </w:p>
        </w:tc>
      </w:tr>
      <w:tr w:rsidR="0087409B" w14:paraId="736E94AD" w14:textId="77777777" w:rsidTr="00C60363">
        <w:tc>
          <w:tcPr>
            <w:tcW w:w="2542" w:type="dxa"/>
            <w:tcBorders>
              <w:top w:val="single" w:sz="4" w:space="0" w:color="auto"/>
              <w:left w:val="single" w:sz="4" w:space="0" w:color="auto"/>
              <w:bottom w:val="nil"/>
              <w:right w:val="single" w:sz="4" w:space="0" w:color="auto"/>
            </w:tcBorders>
          </w:tcPr>
          <w:p w14:paraId="43512888" w14:textId="74672791" w:rsidR="0087409B" w:rsidRPr="00060FA8" w:rsidRDefault="0087409B" w:rsidP="0087409B">
            <w:pPr>
              <w:rPr>
                <w:rFonts w:cstheme="minorHAnsi"/>
                <w:b/>
              </w:rPr>
            </w:pPr>
            <w:r w:rsidRPr="00060FA8">
              <w:rPr>
                <w:rFonts w:cstheme="minorHAnsi"/>
                <w:b/>
              </w:rPr>
              <w:t>Flow response</w:t>
            </w:r>
          </w:p>
        </w:tc>
        <w:tc>
          <w:tcPr>
            <w:tcW w:w="1202" w:type="dxa"/>
            <w:tcBorders>
              <w:top w:val="single" w:sz="4" w:space="0" w:color="auto"/>
              <w:left w:val="single" w:sz="4" w:space="0" w:color="auto"/>
              <w:bottom w:val="nil"/>
              <w:right w:val="single" w:sz="4" w:space="0" w:color="auto"/>
            </w:tcBorders>
          </w:tcPr>
          <w:p w14:paraId="1B8CB370" w14:textId="77777777" w:rsidR="0087409B" w:rsidRDefault="0087409B" w:rsidP="0087409B">
            <w:pPr>
              <w:jc w:val="center"/>
            </w:pPr>
          </w:p>
        </w:tc>
        <w:tc>
          <w:tcPr>
            <w:tcW w:w="1059" w:type="dxa"/>
            <w:tcBorders>
              <w:top w:val="single" w:sz="4" w:space="0" w:color="auto"/>
              <w:left w:val="single" w:sz="4" w:space="0" w:color="auto"/>
              <w:bottom w:val="nil"/>
              <w:right w:val="single" w:sz="4" w:space="0" w:color="auto"/>
            </w:tcBorders>
          </w:tcPr>
          <w:p w14:paraId="7FCC94D8" w14:textId="77777777" w:rsidR="0087409B" w:rsidRDefault="0087409B" w:rsidP="0087409B">
            <w:pPr>
              <w:jc w:val="center"/>
            </w:pPr>
          </w:p>
        </w:tc>
        <w:tc>
          <w:tcPr>
            <w:tcW w:w="1102" w:type="dxa"/>
            <w:tcBorders>
              <w:top w:val="single" w:sz="4" w:space="0" w:color="auto"/>
              <w:left w:val="single" w:sz="4" w:space="0" w:color="auto"/>
              <w:bottom w:val="nil"/>
              <w:right w:val="single" w:sz="4" w:space="0" w:color="auto"/>
            </w:tcBorders>
          </w:tcPr>
          <w:p w14:paraId="66771568" w14:textId="77777777" w:rsidR="0087409B" w:rsidRDefault="0087409B" w:rsidP="0087409B">
            <w:pPr>
              <w:jc w:val="center"/>
            </w:pPr>
          </w:p>
        </w:tc>
        <w:tc>
          <w:tcPr>
            <w:tcW w:w="1131" w:type="dxa"/>
            <w:tcBorders>
              <w:top w:val="single" w:sz="4" w:space="0" w:color="auto"/>
              <w:left w:val="single" w:sz="4" w:space="0" w:color="auto"/>
              <w:bottom w:val="nil"/>
              <w:right w:val="single" w:sz="4" w:space="0" w:color="auto"/>
            </w:tcBorders>
          </w:tcPr>
          <w:p w14:paraId="017D2933" w14:textId="77777777" w:rsidR="0087409B" w:rsidRDefault="0087409B" w:rsidP="0087409B">
            <w:pPr>
              <w:jc w:val="center"/>
            </w:pPr>
          </w:p>
        </w:tc>
        <w:tc>
          <w:tcPr>
            <w:tcW w:w="1102" w:type="dxa"/>
            <w:tcBorders>
              <w:top w:val="single" w:sz="4" w:space="0" w:color="auto"/>
              <w:left w:val="single" w:sz="4" w:space="0" w:color="auto"/>
              <w:bottom w:val="nil"/>
              <w:right w:val="single" w:sz="4" w:space="0" w:color="auto"/>
            </w:tcBorders>
          </w:tcPr>
          <w:p w14:paraId="39A24B04" w14:textId="77777777" w:rsidR="0087409B" w:rsidRDefault="0087409B" w:rsidP="0087409B">
            <w:pPr>
              <w:jc w:val="center"/>
            </w:pPr>
          </w:p>
        </w:tc>
        <w:tc>
          <w:tcPr>
            <w:tcW w:w="1102" w:type="dxa"/>
            <w:tcBorders>
              <w:top w:val="single" w:sz="4" w:space="0" w:color="auto"/>
              <w:left w:val="single" w:sz="4" w:space="0" w:color="auto"/>
              <w:bottom w:val="nil"/>
              <w:right w:val="single" w:sz="4" w:space="0" w:color="auto"/>
            </w:tcBorders>
          </w:tcPr>
          <w:p w14:paraId="2224A8DB" w14:textId="74B61B30" w:rsidR="0087409B" w:rsidRDefault="0087409B" w:rsidP="0087409B">
            <w:pPr>
              <w:jc w:val="center"/>
            </w:pPr>
          </w:p>
        </w:tc>
      </w:tr>
      <w:tr w:rsidR="0087409B" w14:paraId="624F72D4" w14:textId="77777777" w:rsidTr="00C60244">
        <w:tc>
          <w:tcPr>
            <w:tcW w:w="2542" w:type="dxa"/>
            <w:tcBorders>
              <w:top w:val="nil"/>
              <w:left w:val="single" w:sz="4" w:space="0" w:color="auto"/>
              <w:bottom w:val="nil"/>
              <w:right w:val="single" w:sz="4" w:space="0" w:color="auto"/>
            </w:tcBorders>
          </w:tcPr>
          <w:p w14:paraId="744A96BF" w14:textId="173F5BEC" w:rsidR="0087409B" w:rsidRDefault="0087409B" w:rsidP="0087409B">
            <w:r>
              <w:rPr>
                <w:rFonts w:cstheme="minorHAnsi"/>
              </w:rPr>
              <w:t>Δ</w:t>
            </w:r>
            <w:r>
              <w:t>FEV1</w:t>
            </w:r>
            <w:r w:rsidRPr="00610BC5">
              <w:rPr>
                <w:u w:val="single"/>
              </w:rPr>
              <w:t>&gt;</w:t>
            </w:r>
            <w:r>
              <w:t xml:space="preserve"> 12% from baseline</w:t>
            </w:r>
          </w:p>
        </w:tc>
        <w:tc>
          <w:tcPr>
            <w:tcW w:w="1202" w:type="dxa"/>
            <w:tcBorders>
              <w:top w:val="nil"/>
              <w:left w:val="single" w:sz="4" w:space="0" w:color="auto"/>
              <w:bottom w:val="nil"/>
              <w:right w:val="single" w:sz="4" w:space="0" w:color="auto"/>
            </w:tcBorders>
          </w:tcPr>
          <w:p w14:paraId="6C861EC9" w14:textId="77777777" w:rsidR="0087409B" w:rsidRDefault="0087409B" w:rsidP="0087409B">
            <w:pPr>
              <w:jc w:val="center"/>
            </w:pPr>
            <w:r>
              <w:t>5.9</w:t>
            </w:r>
          </w:p>
        </w:tc>
        <w:tc>
          <w:tcPr>
            <w:tcW w:w="1059" w:type="dxa"/>
            <w:tcBorders>
              <w:top w:val="nil"/>
              <w:left w:val="single" w:sz="4" w:space="0" w:color="auto"/>
              <w:bottom w:val="nil"/>
              <w:right w:val="single" w:sz="4" w:space="0" w:color="auto"/>
            </w:tcBorders>
          </w:tcPr>
          <w:p w14:paraId="7057F988" w14:textId="77777777" w:rsidR="0087409B" w:rsidRDefault="0087409B" w:rsidP="0087409B">
            <w:pPr>
              <w:jc w:val="center"/>
            </w:pPr>
            <w:r>
              <w:t>20.2</w:t>
            </w:r>
          </w:p>
        </w:tc>
        <w:tc>
          <w:tcPr>
            <w:tcW w:w="1102" w:type="dxa"/>
            <w:tcBorders>
              <w:top w:val="nil"/>
              <w:left w:val="single" w:sz="4" w:space="0" w:color="auto"/>
              <w:bottom w:val="nil"/>
              <w:right w:val="single" w:sz="4" w:space="0" w:color="auto"/>
            </w:tcBorders>
          </w:tcPr>
          <w:p w14:paraId="7A0CC1A0" w14:textId="77777777" w:rsidR="0087409B" w:rsidRDefault="0087409B" w:rsidP="0087409B">
            <w:pPr>
              <w:jc w:val="center"/>
            </w:pPr>
            <w:r>
              <w:t>&lt;0.0001</w:t>
            </w:r>
          </w:p>
        </w:tc>
        <w:tc>
          <w:tcPr>
            <w:tcW w:w="1131" w:type="dxa"/>
            <w:tcBorders>
              <w:top w:val="nil"/>
              <w:left w:val="single" w:sz="4" w:space="0" w:color="auto"/>
              <w:bottom w:val="nil"/>
              <w:right w:val="single" w:sz="4" w:space="0" w:color="auto"/>
            </w:tcBorders>
          </w:tcPr>
          <w:p w14:paraId="566D14A1" w14:textId="77777777" w:rsidR="0087409B" w:rsidRDefault="0087409B" w:rsidP="0087409B">
            <w:pPr>
              <w:jc w:val="center"/>
            </w:pPr>
            <w:r>
              <w:t>24.5</w:t>
            </w:r>
          </w:p>
        </w:tc>
        <w:tc>
          <w:tcPr>
            <w:tcW w:w="1102" w:type="dxa"/>
            <w:tcBorders>
              <w:top w:val="nil"/>
              <w:left w:val="single" w:sz="4" w:space="0" w:color="auto"/>
              <w:bottom w:val="nil"/>
              <w:right w:val="single" w:sz="4" w:space="0" w:color="auto"/>
            </w:tcBorders>
          </w:tcPr>
          <w:p w14:paraId="31BD47EB" w14:textId="77777777" w:rsidR="0087409B" w:rsidRDefault="0087409B" w:rsidP="0087409B">
            <w:pPr>
              <w:jc w:val="center"/>
            </w:pPr>
            <w:r>
              <w:t>&lt;0.0001</w:t>
            </w:r>
          </w:p>
        </w:tc>
        <w:tc>
          <w:tcPr>
            <w:tcW w:w="1102" w:type="dxa"/>
            <w:tcBorders>
              <w:top w:val="nil"/>
              <w:left w:val="single" w:sz="4" w:space="0" w:color="auto"/>
              <w:bottom w:val="nil"/>
              <w:right w:val="single" w:sz="4" w:space="0" w:color="auto"/>
            </w:tcBorders>
          </w:tcPr>
          <w:p w14:paraId="457CDDA2" w14:textId="0B17485A" w:rsidR="0087409B" w:rsidRDefault="0087409B" w:rsidP="0087409B">
            <w:pPr>
              <w:jc w:val="center"/>
            </w:pPr>
            <w:r>
              <w:t>&lt;0.0001</w:t>
            </w:r>
          </w:p>
        </w:tc>
      </w:tr>
      <w:tr w:rsidR="0087409B" w14:paraId="0CFAF7F3" w14:textId="77777777" w:rsidTr="00C60244">
        <w:tc>
          <w:tcPr>
            <w:tcW w:w="2542" w:type="dxa"/>
            <w:tcBorders>
              <w:top w:val="nil"/>
              <w:left w:val="single" w:sz="4" w:space="0" w:color="auto"/>
              <w:bottom w:val="nil"/>
              <w:right w:val="single" w:sz="4" w:space="0" w:color="auto"/>
            </w:tcBorders>
          </w:tcPr>
          <w:p w14:paraId="1CF52D33" w14:textId="4BE78DAB" w:rsidR="0087409B" w:rsidRDefault="0087409B" w:rsidP="0087409B">
            <w:r>
              <w:rPr>
                <w:rFonts w:cstheme="minorHAnsi"/>
              </w:rPr>
              <w:t>Δ</w:t>
            </w:r>
            <w:r>
              <w:t xml:space="preserve">FEV1 </w:t>
            </w:r>
            <w:r w:rsidRPr="00610BC5">
              <w:rPr>
                <w:u w:val="single"/>
              </w:rPr>
              <w:t>&gt;</w:t>
            </w:r>
            <w:r>
              <w:t xml:space="preserve"> 10% of predicted</w:t>
            </w:r>
          </w:p>
        </w:tc>
        <w:tc>
          <w:tcPr>
            <w:tcW w:w="1202" w:type="dxa"/>
            <w:tcBorders>
              <w:top w:val="nil"/>
              <w:left w:val="single" w:sz="4" w:space="0" w:color="auto"/>
              <w:bottom w:val="nil"/>
              <w:right w:val="single" w:sz="4" w:space="0" w:color="auto"/>
            </w:tcBorders>
          </w:tcPr>
          <w:p w14:paraId="04D3AC83" w14:textId="77777777" w:rsidR="0087409B" w:rsidRDefault="0087409B" w:rsidP="0087409B">
            <w:pPr>
              <w:jc w:val="center"/>
            </w:pPr>
            <w:r>
              <w:t>8.9</w:t>
            </w:r>
          </w:p>
        </w:tc>
        <w:tc>
          <w:tcPr>
            <w:tcW w:w="1059" w:type="dxa"/>
            <w:tcBorders>
              <w:top w:val="nil"/>
              <w:left w:val="single" w:sz="4" w:space="0" w:color="auto"/>
              <w:bottom w:val="nil"/>
              <w:right w:val="single" w:sz="4" w:space="0" w:color="auto"/>
            </w:tcBorders>
          </w:tcPr>
          <w:p w14:paraId="478DCCCB" w14:textId="77777777" w:rsidR="0087409B" w:rsidRDefault="0087409B" w:rsidP="0087409B">
            <w:pPr>
              <w:jc w:val="center"/>
            </w:pPr>
            <w:r>
              <w:t>25.8</w:t>
            </w:r>
          </w:p>
        </w:tc>
        <w:tc>
          <w:tcPr>
            <w:tcW w:w="1102" w:type="dxa"/>
            <w:tcBorders>
              <w:top w:val="nil"/>
              <w:left w:val="single" w:sz="4" w:space="0" w:color="auto"/>
              <w:bottom w:val="nil"/>
              <w:right w:val="single" w:sz="4" w:space="0" w:color="auto"/>
            </w:tcBorders>
          </w:tcPr>
          <w:p w14:paraId="25F67239" w14:textId="77777777" w:rsidR="0087409B" w:rsidRDefault="0087409B" w:rsidP="0087409B">
            <w:pPr>
              <w:jc w:val="center"/>
            </w:pPr>
            <w:r>
              <w:t>&lt;0.0001</w:t>
            </w:r>
          </w:p>
        </w:tc>
        <w:tc>
          <w:tcPr>
            <w:tcW w:w="1131" w:type="dxa"/>
            <w:tcBorders>
              <w:top w:val="nil"/>
              <w:left w:val="single" w:sz="4" w:space="0" w:color="auto"/>
              <w:bottom w:val="nil"/>
              <w:right w:val="single" w:sz="4" w:space="0" w:color="auto"/>
            </w:tcBorders>
          </w:tcPr>
          <w:p w14:paraId="7A88AC73" w14:textId="77777777" w:rsidR="0087409B" w:rsidRDefault="0087409B" w:rsidP="0087409B">
            <w:pPr>
              <w:jc w:val="center"/>
            </w:pPr>
            <w:r>
              <w:t>29.8</w:t>
            </w:r>
          </w:p>
        </w:tc>
        <w:tc>
          <w:tcPr>
            <w:tcW w:w="1102" w:type="dxa"/>
            <w:tcBorders>
              <w:top w:val="nil"/>
              <w:left w:val="single" w:sz="4" w:space="0" w:color="auto"/>
              <w:bottom w:val="nil"/>
              <w:right w:val="single" w:sz="4" w:space="0" w:color="auto"/>
            </w:tcBorders>
          </w:tcPr>
          <w:p w14:paraId="684CBD5F" w14:textId="77777777" w:rsidR="0087409B" w:rsidRDefault="0087409B" w:rsidP="0087409B">
            <w:pPr>
              <w:jc w:val="center"/>
            </w:pPr>
            <w:r>
              <w:t>&lt;0.0001</w:t>
            </w:r>
          </w:p>
        </w:tc>
        <w:tc>
          <w:tcPr>
            <w:tcW w:w="1102" w:type="dxa"/>
            <w:tcBorders>
              <w:top w:val="nil"/>
              <w:left w:val="single" w:sz="4" w:space="0" w:color="auto"/>
              <w:bottom w:val="nil"/>
              <w:right w:val="single" w:sz="4" w:space="0" w:color="auto"/>
            </w:tcBorders>
          </w:tcPr>
          <w:p w14:paraId="6309E09E" w14:textId="52606FDF" w:rsidR="0087409B" w:rsidRDefault="0087409B" w:rsidP="0087409B">
            <w:pPr>
              <w:jc w:val="center"/>
            </w:pPr>
            <w:r>
              <w:t>0.10</w:t>
            </w:r>
          </w:p>
        </w:tc>
      </w:tr>
      <w:tr w:rsidR="0087409B" w14:paraId="51AB771C" w14:textId="77777777" w:rsidTr="00C60244">
        <w:tc>
          <w:tcPr>
            <w:tcW w:w="2542" w:type="dxa"/>
            <w:tcBorders>
              <w:top w:val="nil"/>
              <w:left w:val="single" w:sz="4" w:space="0" w:color="auto"/>
              <w:bottom w:val="single" w:sz="4" w:space="0" w:color="auto"/>
              <w:right w:val="single" w:sz="4" w:space="0" w:color="auto"/>
            </w:tcBorders>
          </w:tcPr>
          <w:p w14:paraId="1306E3FF" w14:textId="0510036F" w:rsidR="0087409B" w:rsidRDefault="0087409B" w:rsidP="0087409B">
            <w:pPr>
              <w:rPr>
                <w:rFonts w:cstheme="minorHAnsi"/>
              </w:rPr>
            </w:pPr>
            <w:r>
              <w:rPr>
                <w:rFonts w:cstheme="minorHAnsi"/>
              </w:rPr>
              <w:t>Δ</w:t>
            </w:r>
            <w:r>
              <w:t>FEV1</w:t>
            </w:r>
            <w:r w:rsidRPr="00610BC5">
              <w:rPr>
                <w:u w:val="single"/>
              </w:rPr>
              <w:t>&gt;</w:t>
            </w:r>
            <w:r>
              <w:t xml:space="preserve"> 12% and 200 mLfrom baseline</w:t>
            </w:r>
          </w:p>
        </w:tc>
        <w:tc>
          <w:tcPr>
            <w:tcW w:w="1202" w:type="dxa"/>
            <w:tcBorders>
              <w:top w:val="nil"/>
              <w:left w:val="single" w:sz="4" w:space="0" w:color="auto"/>
              <w:bottom w:val="single" w:sz="4" w:space="0" w:color="auto"/>
              <w:right w:val="single" w:sz="4" w:space="0" w:color="auto"/>
            </w:tcBorders>
          </w:tcPr>
          <w:p w14:paraId="0A656264" w14:textId="77777777" w:rsidR="0087409B" w:rsidRDefault="0087409B" w:rsidP="0087409B">
            <w:pPr>
              <w:jc w:val="center"/>
            </w:pPr>
            <w:r>
              <w:t>5.1</w:t>
            </w:r>
          </w:p>
        </w:tc>
        <w:tc>
          <w:tcPr>
            <w:tcW w:w="1059" w:type="dxa"/>
            <w:tcBorders>
              <w:top w:val="nil"/>
              <w:left w:val="single" w:sz="4" w:space="0" w:color="auto"/>
              <w:bottom w:val="single" w:sz="4" w:space="0" w:color="auto"/>
              <w:right w:val="single" w:sz="4" w:space="0" w:color="auto"/>
            </w:tcBorders>
          </w:tcPr>
          <w:p w14:paraId="6E7C4502" w14:textId="77777777" w:rsidR="0087409B" w:rsidRDefault="0087409B" w:rsidP="0087409B">
            <w:pPr>
              <w:jc w:val="center"/>
            </w:pPr>
            <w:r>
              <w:t>17.3</w:t>
            </w:r>
          </w:p>
        </w:tc>
        <w:tc>
          <w:tcPr>
            <w:tcW w:w="1102" w:type="dxa"/>
            <w:tcBorders>
              <w:top w:val="nil"/>
              <w:left w:val="single" w:sz="4" w:space="0" w:color="auto"/>
              <w:bottom w:val="single" w:sz="4" w:space="0" w:color="auto"/>
              <w:right w:val="single" w:sz="4" w:space="0" w:color="auto"/>
            </w:tcBorders>
          </w:tcPr>
          <w:p w14:paraId="30703DC9" w14:textId="77777777" w:rsidR="0087409B" w:rsidRDefault="0087409B" w:rsidP="0087409B">
            <w:pPr>
              <w:jc w:val="center"/>
            </w:pPr>
            <w:r>
              <w:t>&lt;0.0001</w:t>
            </w:r>
          </w:p>
        </w:tc>
        <w:tc>
          <w:tcPr>
            <w:tcW w:w="1131" w:type="dxa"/>
            <w:tcBorders>
              <w:top w:val="nil"/>
              <w:left w:val="single" w:sz="4" w:space="0" w:color="auto"/>
              <w:bottom w:val="single" w:sz="4" w:space="0" w:color="auto"/>
              <w:right w:val="single" w:sz="4" w:space="0" w:color="auto"/>
            </w:tcBorders>
          </w:tcPr>
          <w:p w14:paraId="5CFF1CC3" w14:textId="77777777" w:rsidR="0087409B" w:rsidRDefault="0087409B" w:rsidP="0087409B">
            <w:pPr>
              <w:jc w:val="center"/>
            </w:pPr>
            <w:r>
              <w:t>18.4</w:t>
            </w:r>
          </w:p>
        </w:tc>
        <w:tc>
          <w:tcPr>
            <w:tcW w:w="1102" w:type="dxa"/>
            <w:tcBorders>
              <w:top w:val="nil"/>
              <w:left w:val="single" w:sz="4" w:space="0" w:color="auto"/>
              <w:bottom w:val="single" w:sz="4" w:space="0" w:color="auto"/>
              <w:right w:val="single" w:sz="4" w:space="0" w:color="auto"/>
            </w:tcBorders>
          </w:tcPr>
          <w:p w14:paraId="41FF4F63" w14:textId="77777777" w:rsidR="0087409B" w:rsidRDefault="0087409B" w:rsidP="0087409B">
            <w:pPr>
              <w:jc w:val="center"/>
            </w:pPr>
            <w:r>
              <w:t>&lt;0.0001</w:t>
            </w:r>
          </w:p>
        </w:tc>
        <w:tc>
          <w:tcPr>
            <w:tcW w:w="1102" w:type="dxa"/>
            <w:tcBorders>
              <w:top w:val="nil"/>
              <w:left w:val="single" w:sz="4" w:space="0" w:color="auto"/>
              <w:bottom w:val="single" w:sz="4" w:space="0" w:color="auto"/>
              <w:right w:val="single" w:sz="4" w:space="0" w:color="auto"/>
            </w:tcBorders>
          </w:tcPr>
          <w:p w14:paraId="7A956E0A" w14:textId="4D38548A" w:rsidR="0087409B" w:rsidRDefault="0087409B" w:rsidP="0087409B">
            <w:pPr>
              <w:jc w:val="center"/>
            </w:pPr>
            <w:r>
              <w:t>0.39</w:t>
            </w:r>
          </w:p>
        </w:tc>
      </w:tr>
      <w:tr w:rsidR="0087409B" w14:paraId="2D8D7D08" w14:textId="77777777" w:rsidTr="00C60244">
        <w:tc>
          <w:tcPr>
            <w:tcW w:w="2542" w:type="dxa"/>
            <w:tcBorders>
              <w:top w:val="single" w:sz="4" w:space="0" w:color="auto"/>
              <w:left w:val="single" w:sz="4" w:space="0" w:color="auto"/>
              <w:bottom w:val="nil"/>
              <w:right w:val="single" w:sz="4" w:space="0" w:color="auto"/>
            </w:tcBorders>
          </w:tcPr>
          <w:p w14:paraId="235E6ADF" w14:textId="05D4B76F" w:rsidR="0087409B" w:rsidRPr="00060FA8" w:rsidRDefault="0087409B" w:rsidP="0087409B">
            <w:pPr>
              <w:rPr>
                <w:rFonts w:cstheme="minorHAnsi"/>
                <w:b/>
              </w:rPr>
            </w:pPr>
            <w:r w:rsidRPr="00060FA8">
              <w:rPr>
                <w:rFonts w:cstheme="minorHAnsi"/>
                <w:b/>
              </w:rPr>
              <w:t>Volume response</w:t>
            </w:r>
          </w:p>
        </w:tc>
        <w:tc>
          <w:tcPr>
            <w:tcW w:w="1202" w:type="dxa"/>
            <w:tcBorders>
              <w:top w:val="single" w:sz="4" w:space="0" w:color="auto"/>
              <w:left w:val="single" w:sz="4" w:space="0" w:color="auto"/>
              <w:bottom w:val="nil"/>
              <w:right w:val="single" w:sz="4" w:space="0" w:color="auto"/>
            </w:tcBorders>
          </w:tcPr>
          <w:p w14:paraId="7836B098" w14:textId="77777777" w:rsidR="0087409B" w:rsidRDefault="0087409B" w:rsidP="0087409B">
            <w:pPr>
              <w:jc w:val="center"/>
            </w:pPr>
          </w:p>
        </w:tc>
        <w:tc>
          <w:tcPr>
            <w:tcW w:w="1059" w:type="dxa"/>
            <w:tcBorders>
              <w:top w:val="single" w:sz="4" w:space="0" w:color="auto"/>
              <w:left w:val="single" w:sz="4" w:space="0" w:color="auto"/>
              <w:bottom w:val="nil"/>
              <w:right w:val="single" w:sz="4" w:space="0" w:color="auto"/>
            </w:tcBorders>
          </w:tcPr>
          <w:p w14:paraId="6521B146" w14:textId="77777777" w:rsidR="0087409B" w:rsidRDefault="0087409B" w:rsidP="0087409B">
            <w:pPr>
              <w:jc w:val="center"/>
            </w:pPr>
          </w:p>
        </w:tc>
        <w:tc>
          <w:tcPr>
            <w:tcW w:w="1102" w:type="dxa"/>
            <w:tcBorders>
              <w:top w:val="single" w:sz="4" w:space="0" w:color="auto"/>
              <w:left w:val="single" w:sz="4" w:space="0" w:color="auto"/>
              <w:bottom w:val="nil"/>
              <w:right w:val="single" w:sz="4" w:space="0" w:color="auto"/>
            </w:tcBorders>
          </w:tcPr>
          <w:p w14:paraId="589AC696" w14:textId="4FCB0A42" w:rsidR="0087409B" w:rsidRDefault="0087409B" w:rsidP="0087409B">
            <w:pPr>
              <w:jc w:val="center"/>
            </w:pPr>
          </w:p>
        </w:tc>
        <w:tc>
          <w:tcPr>
            <w:tcW w:w="1131" w:type="dxa"/>
            <w:tcBorders>
              <w:top w:val="single" w:sz="4" w:space="0" w:color="auto"/>
              <w:left w:val="single" w:sz="4" w:space="0" w:color="auto"/>
              <w:bottom w:val="nil"/>
              <w:right w:val="single" w:sz="4" w:space="0" w:color="auto"/>
            </w:tcBorders>
          </w:tcPr>
          <w:p w14:paraId="44C14182" w14:textId="77777777" w:rsidR="0087409B" w:rsidRDefault="0087409B" w:rsidP="0087409B">
            <w:pPr>
              <w:jc w:val="center"/>
            </w:pPr>
          </w:p>
        </w:tc>
        <w:tc>
          <w:tcPr>
            <w:tcW w:w="1102" w:type="dxa"/>
            <w:tcBorders>
              <w:top w:val="single" w:sz="4" w:space="0" w:color="auto"/>
              <w:left w:val="single" w:sz="4" w:space="0" w:color="auto"/>
              <w:bottom w:val="nil"/>
              <w:right w:val="single" w:sz="4" w:space="0" w:color="auto"/>
            </w:tcBorders>
          </w:tcPr>
          <w:p w14:paraId="44FAE9F9" w14:textId="4F3E9FAB" w:rsidR="0087409B" w:rsidRDefault="0087409B" w:rsidP="0087409B">
            <w:pPr>
              <w:jc w:val="center"/>
            </w:pPr>
          </w:p>
        </w:tc>
        <w:tc>
          <w:tcPr>
            <w:tcW w:w="1102" w:type="dxa"/>
            <w:tcBorders>
              <w:top w:val="single" w:sz="4" w:space="0" w:color="auto"/>
              <w:left w:val="single" w:sz="4" w:space="0" w:color="auto"/>
              <w:bottom w:val="nil"/>
              <w:right w:val="single" w:sz="4" w:space="0" w:color="auto"/>
            </w:tcBorders>
          </w:tcPr>
          <w:p w14:paraId="68EED5D0" w14:textId="29FF7305" w:rsidR="0087409B" w:rsidRDefault="0087409B" w:rsidP="0087409B">
            <w:pPr>
              <w:jc w:val="center"/>
            </w:pPr>
          </w:p>
        </w:tc>
      </w:tr>
      <w:tr w:rsidR="0087409B" w14:paraId="4006D8E2" w14:textId="77777777" w:rsidTr="00C60244">
        <w:tc>
          <w:tcPr>
            <w:tcW w:w="2542" w:type="dxa"/>
            <w:tcBorders>
              <w:top w:val="nil"/>
              <w:left w:val="single" w:sz="4" w:space="0" w:color="auto"/>
              <w:bottom w:val="nil"/>
              <w:right w:val="single" w:sz="4" w:space="0" w:color="auto"/>
            </w:tcBorders>
          </w:tcPr>
          <w:p w14:paraId="28026809" w14:textId="0C5BED31" w:rsidR="0087409B" w:rsidRDefault="0087409B" w:rsidP="0087409B">
            <w:pPr>
              <w:rPr>
                <w:rFonts w:cstheme="minorHAnsi"/>
              </w:rPr>
            </w:pPr>
            <w:r>
              <w:rPr>
                <w:rFonts w:cstheme="minorHAnsi"/>
              </w:rPr>
              <w:t>Δ</w:t>
            </w:r>
            <w:r>
              <w:t xml:space="preserve">FVC </w:t>
            </w:r>
            <w:r w:rsidRPr="00610BC5">
              <w:rPr>
                <w:u w:val="single"/>
              </w:rPr>
              <w:t>&gt;</w:t>
            </w:r>
            <w:r>
              <w:t xml:space="preserve"> 10.5% from baseline</w:t>
            </w:r>
          </w:p>
        </w:tc>
        <w:tc>
          <w:tcPr>
            <w:tcW w:w="1202" w:type="dxa"/>
            <w:tcBorders>
              <w:top w:val="nil"/>
              <w:left w:val="single" w:sz="4" w:space="0" w:color="auto"/>
              <w:bottom w:val="nil"/>
              <w:right w:val="single" w:sz="4" w:space="0" w:color="auto"/>
            </w:tcBorders>
          </w:tcPr>
          <w:p w14:paraId="7F5DE9B9" w14:textId="77777777" w:rsidR="0087409B" w:rsidRDefault="0087409B" w:rsidP="0087409B">
            <w:pPr>
              <w:jc w:val="center"/>
            </w:pPr>
            <w:r>
              <w:t>5.3</w:t>
            </w:r>
          </w:p>
        </w:tc>
        <w:tc>
          <w:tcPr>
            <w:tcW w:w="1059" w:type="dxa"/>
            <w:tcBorders>
              <w:top w:val="nil"/>
              <w:left w:val="single" w:sz="4" w:space="0" w:color="auto"/>
              <w:bottom w:val="nil"/>
              <w:right w:val="single" w:sz="4" w:space="0" w:color="auto"/>
            </w:tcBorders>
          </w:tcPr>
          <w:p w14:paraId="50DC50D9" w14:textId="77777777" w:rsidR="0087409B" w:rsidRDefault="0087409B" w:rsidP="0087409B">
            <w:pPr>
              <w:jc w:val="center"/>
            </w:pPr>
            <w:r>
              <w:t>15.8</w:t>
            </w:r>
          </w:p>
        </w:tc>
        <w:tc>
          <w:tcPr>
            <w:tcW w:w="1102" w:type="dxa"/>
            <w:tcBorders>
              <w:top w:val="nil"/>
              <w:left w:val="single" w:sz="4" w:space="0" w:color="auto"/>
              <w:bottom w:val="nil"/>
              <w:right w:val="single" w:sz="4" w:space="0" w:color="auto"/>
            </w:tcBorders>
          </w:tcPr>
          <w:p w14:paraId="2F166B60" w14:textId="77777777" w:rsidR="0087409B" w:rsidRDefault="0087409B" w:rsidP="0087409B">
            <w:pPr>
              <w:jc w:val="center"/>
            </w:pPr>
            <w:r>
              <w:t>&lt;0.0001</w:t>
            </w:r>
          </w:p>
        </w:tc>
        <w:tc>
          <w:tcPr>
            <w:tcW w:w="1131" w:type="dxa"/>
            <w:tcBorders>
              <w:top w:val="nil"/>
              <w:left w:val="single" w:sz="4" w:space="0" w:color="auto"/>
              <w:bottom w:val="nil"/>
              <w:right w:val="single" w:sz="4" w:space="0" w:color="auto"/>
            </w:tcBorders>
          </w:tcPr>
          <w:p w14:paraId="0A2213DA" w14:textId="77777777" w:rsidR="0087409B" w:rsidRDefault="0087409B" w:rsidP="0087409B">
            <w:pPr>
              <w:jc w:val="center"/>
            </w:pPr>
            <w:r>
              <w:t>25.2</w:t>
            </w:r>
          </w:p>
        </w:tc>
        <w:tc>
          <w:tcPr>
            <w:tcW w:w="1102" w:type="dxa"/>
            <w:tcBorders>
              <w:top w:val="nil"/>
              <w:left w:val="single" w:sz="4" w:space="0" w:color="auto"/>
              <w:bottom w:val="nil"/>
              <w:right w:val="single" w:sz="4" w:space="0" w:color="auto"/>
            </w:tcBorders>
          </w:tcPr>
          <w:p w14:paraId="58603ABB" w14:textId="77777777" w:rsidR="0087409B" w:rsidRDefault="0087409B" w:rsidP="0087409B">
            <w:pPr>
              <w:jc w:val="center"/>
            </w:pPr>
            <w:r>
              <w:t>&lt;0.0001</w:t>
            </w:r>
          </w:p>
        </w:tc>
        <w:tc>
          <w:tcPr>
            <w:tcW w:w="1102" w:type="dxa"/>
            <w:tcBorders>
              <w:top w:val="nil"/>
              <w:left w:val="single" w:sz="4" w:space="0" w:color="auto"/>
              <w:bottom w:val="nil"/>
              <w:right w:val="single" w:sz="4" w:space="0" w:color="auto"/>
            </w:tcBorders>
          </w:tcPr>
          <w:p w14:paraId="7EB9FC09" w14:textId="5DFB4A3D" w:rsidR="0087409B" w:rsidRDefault="0087409B" w:rsidP="0087409B">
            <w:pPr>
              <w:jc w:val="center"/>
            </w:pPr>
            <w:r>
              <w:t>&lt;0.0001</w:t>
            </w:r>
          </w:p>
        </w:tc>
      </w:tr>
      <w:tr w:rsidR="0087409B" w14:paraId="40290C69" w14:textId="77777777" w:rsidTr="00C60244">
        <w:tc>
          <w:tcPr>
            <w:tcW w:w="2542" w:type="dxa"/>
            <w:tcBorders>
              <w:top w:val="nil"/>
              <w:left w:val="single" w:sz="4" w:space="0" w:color="auto"/>
              <w:bottom w:val="nil"/>
              <w:right w:val="single" w:sz="4" w:space="0" w:color="auto"/>
            </w:tcBorders>
          </w:tcPr>
          <w:p w14:paraId="61BB3A6E" w14:textId="7459D1B0" w:rsidR="0087409B" w:rsidRDefault="0087409B" w:rsidP="0087409B">
            <w:pPr>
              <w:rPr>
                <w:rFonts w:cstheme="minorHAnsi"/>
              </w:rPr>
            </w:pPr>
            <w:r>
              <w:rPr>
                <w:rFonts w:cstheme="minorHAnsi"/>
              </w:rPr>
              <w:t>Δ</w:t>
            </w:r>
            <w:r>
              <w:t xml:space="preserve">FVC </w:t>
            </w:r>
            <w:r w:rsidRPr="00610BC5">
              <w:rPr>
                <w:u w:val="single"/>
              </w:rPr>
              <w:t>&gt;</w:t>
            </w:r>
            <w:r>
              <w:t xml:space="preserve"> 9.2% of predicted</w:t>
            </w:r>
          </w:p>
        </w:tc>
        <w:tc>
          <w:tcPr>
            <w:tcW w:w="1202" w:type="dxa"/>
            <w:tcBorders>
              <w:top w:val="nil"/>
              <w:left w:val="single" w:sz="4" w:space="0" w:color="auto"/>
              <w:bottom w:val="nil"/>
              <w:right w:val="single" w:sz="4" w:space="0" w:color="auto"/>
            </w:tcBorders>
          </w:tcPr>
          <w:p w14:paraId="66BD701D" w14:textId="77777777" w:rsidR="0087409B" w:rsidRDefault="0087409B" w:rsidP="0087409B">
            <w:pPr>
              <w:jc w:val="center"/>
            </w:pPr>
            <w:r>
              <w:t>10.7</w:t>
            </w:r>
          </w:p>
        </w:tc>
        <w:tc>
          <w:tcPr>
            <w:tcW w:w="1059" w:type="dxa"/>
            <w:tcBorders>
              <w:top w:val="nil"/>
              <w:left w:val="single" w:sz="4" w:space="0" w:color="auto"/>
              <w:bottom w:val="nil"/>
              <w:right w:val="single" w:sz="4" w:space="0" w:color="auto"/>
            </w:tcBorders>
          </w:tcPr>
          <w:p w14:paraId="0C8306CB" w14:textId="77777777" w:rsidR="0087409B" w:rsidRDefault="0087409B" w:rsidP="0087409B">
            <w:pPr>
              <w:jc w:val="center"/>
            </w:pPr>
            <w:r>
              <w:t>22.8</w:t>
            </w:r>
          </w:p>
        </w:tc>
        <w:tc>
          <w:tcPr>
            <w:tcW w:w="1102" w:type="dxa"/>
            <w:tcBorders>
              <w:top w:val="nil"/>
              <w:left w:val="single" w:sz="4" w:space="0" w:color="auto"/>
              <w:bottom w:val="nil"/>
              <w:right w:val="single" w:sz="4" w:space="0" w:color="auto"/>
            </w:tcBorders>
          </w:tcPr>
          <w:p w14:paraId="19A84FB2" w14:textId="77777777" w:rsidR="0087409B" w:rsidRDefault="0087409B" w:rsidP="0087409B">
            <w:pPr>
              <w:jc w:val="center"/>
            </w:pPr>
            <w:r>
              <w:t>&lt;0.0001</w:t>
            </w:r>
          </w:p>
        </w:tc>
        <w:tc>
          <w:tcPr>
            <w:tcW w:w="1131" w:type="dxa"/>
            <w:tcBorders>
              <w:top w:val="nil"/>
              <w:left w:val="single" w:sz="4" w:space="0" w:color="auto"/>
              <w:bottom w:val="nil"/>
              <w:right w:val="single" w:sz="4" w:space="0" w:color="auto"/>
            </w:tcBorders>
          </w:tcPr>
          <w:p w14:paraId="6906311C" w14:textId="77777777" w:rsidR="0087409B" w:rsidRDefault="0087409B" w:rsidP="0087409B">
            <w:pPr>
              <w:jc w:val="center"/>
            </w:pPr>
            <w:r>
              <w:t>31.6</w:t>
            </w:r>
          </w:p>
        </w:tc>
        <w:tc>
          <w:tcPr>
            <w:tcW w:w="1102" w:type="dxa"/>
            <w:tcBorders>
              <w:top w:val="nil"/>
              <w:left w:val="single" w:sz="4" w:space="0" w:color="auto"/>
              <w:bottom w:val="nil"/>
              <w:right w:val="single" w:sz="4" w:space="0" w:color="auto"/>
            </w:tcBorders>
          </w:tcPr>
          <w:p w14:paraId="2D96EA05" w14:textId="77777777" w:rsidR="0087409B" w:rsidRDefault="0087409B" w:rsidP="0087409B">
            <w:pPr>
              <w:jc w:val="center"/>
            </w:pPr>
            <w:r>
              <w:t>&lt;0.0001</w:t>
            </w:r>
          </w:p>
        </w:tc>
        <w:tc>
          <w:tcPr>
            <w:tcW w:w="1102" w:type="dxa"/>
            <w:tcBorders>
              <w:top w:val="nil"/>
              <w:left w:val="single" w:sz="4" w:space="0" w:color="auto"/>
              <w:bottom w:val="nil"/>
              <w:right w:val="single" w:sz="4" w:space="0" w:color="auto"/>
            </w:tcBorders>
          </w:tcPr>
          <w:p w14:paraId="119C9C68" w14:textId="200B24D6" w:rsidR="0087409B" w:rsidRDefault="0087409B" w:rsidP="0087409B">
            <w:pPr>
              <w:jc w:val="center"/>
            </w:pPr>
            <w:r>
              <w:t>&lt;0.0001</w:t>
            </w:r>
          </w:p>
        </w:tc>
      </w:tr>
      <w:tr w:rsidR="0087409B" w14:paraId="503F2C86" w14:textId="77777777" w:rsidTr="00C60244">
        <w:tc>
          <w:tcPr>
            <w:tcW w:w="2542" w:type="dxa"/>
            <w:tcBorders>
              <w:top w:val="nil"/>
              <w:left w:val="single" w:sz="4" w:space="0" w:color="auto"/>
              <w:bottom w:val="single" w:sz="4" w:space="0" w:color="auto"/>
              <w:right w:val="single" w:sz="4" w:space="0" w:color="auto"/>
            </w:tcBorders>
          </w:tcPr>
          <w:p w14:paraId="01CDEEB1" w14:textId="5D304670" w:rsidR="0087409B" w:rsidRPr="00294B6E" w:rsidRDefault="0087409B" w:rsidP="0087409B">
            <w:pPr>
              <w:rPr>
                <w:rFonts w:cstheme="minorHAnsi"/>
                <w:lang w:val="en-GB"/>
              </w:rPr>
            </w:pPr>
            <w:r>
              <w:rPr>
                <w:rFonts w:cstheme="minorHAnsi"/>
              </w:rPr>
              <w:t>Δ</w:t>
            </w:r>
            <w:r w:rsidRPr="00294B6E">
              <w:rPr>
                <w:lang w:val="en-GB"/>
              </w:rPr>
              <w:t>FVC</w:t>
            </w:r>
            <w:r w:rsidRPr="00610BC5">
              <w:rPr>
                <w:u w:val="single"/>
                <w:lang w:val="en-GB"/>
              </w:rPr>
              <w:t>&gt;</w:t>
            </w:r>
            <w:r w:rsidRPr="00294B6E">
              <w:rPr>
                <w:lang w:val="en-GB"/>
              </w:rPr>
              <w:t xml:space="preserve"> 10.5% and 320 mL from baseline </w:t>
            </w:r>
          </w:p>
        </w:tc>
        <w:tc>
          <w:tcPr>
            <w:tcW w:w="1202" w:type="dxa"/>
            <w:tcBorders>
              <w:top w:val="nil"/>
              <w:left w:val="single" w:sz="4" w:space="0" w:color="auto"/>
              <w:bottom w:val="single" w:sz="4" w:space="0" w:color="auto"/>
              <w:right w:val="single" w:sz="4" w:space="0" w:color="auto"/>
            </w:tcBorders>
          </w:tcPr>
          <w:p w14:paraId="544AA7E8" w14:textId="77777777" w:rsidR="0087409B" w:rsidRDefault="0087409B" w:rsidP="0087409B">
            <w:pPr>
              <w:jc w:val="center"/>
            </w:pPr>
            <w:r>
              <w:t>3.6</w:t>
            </w:r>
          </w:p>
        </w:tc>
        <w:tc>
          <w:tcPr>
            <w:tcW w:w="1059" w:type="dxa"/>
            <w:tcBorders>
              <w:top w:val="nil"/>
              <w:left w:val="single" w:sz="4" w:space="0" w:color="auto"/>
              <w:bottom w:val="single" w:sz="4" w:space="0" w:color="auto"/>
              <w:right w:val="single" w:sz="4" w:space="0" w:color="auto"/>
            </w:tcBorders>
          </w:tcPr>
          <w:p w14:paraId="4F18648C" w14:textId="77777777" w:rsidR="0087409B" w:rsidRDefault="0087409B" w:rsidP="0087409B">
            <w:pPr>
              <w:jc w:val="center"/>
            </w:pPr>
            <w:r>
              <w:t>11.8</w:t>
            </w:r>
          </w:p>
        </w:tc>
        <w:tc>
          <w:tcPr>
            <w:tcW w:w="1102" w:type="dxa"/>
            <w:tcBorders>
              <w:top w:val="nil"/>
              <w:left w:val="single" w:sz="4" w:space="0" w:color="auto"/>
              <w:bottom w:val="single" w:sz="4" w:space="0" w:color="auto"/>
              <w:right w:val="single" w:sz="4" w:space="0" w:color="auto"/>
            </w:tcBorders>
          </w:tcPr>
          <w:p w14:paraId="75D6239A" w14:textId="77777777" w:rsidR="0087409B" w:rsidRDefault="0087409B" w:rsidP="0087409B">
            <w:pPr>
              <w:jc w:val="center"/>
            </w:pPr>
            <w:r>
              <w:t>&lt;0.0001</w:t>
            </w:r>
          </w:p>
        </w:tc>
        <w:tc>
          <w:tcPr>
            <w:tcW w:w="1131" w:type="dxa"/>
            <w:tcBorders>
              <w:top w:val="nil"/>
              <w:left w:val="single" w:sz="4" w:space="0" w:color="auto"/>
              <w:bottom w:val="single" w:sz="4" w:space="0" w:color="auto"/>
              <w:right w:val="single" w:sz="4" w:space="0" w:color="auto"/>
            </w:tcBorders>
          </w:tcPr>
          <w:p w14:paraId="3320B57F" w14:textId="77777777" w:rsidR="0087409B" w:rsidRDefault="0087409B" w:rsidP="0087409B">
            <w:pPr>
              <w:jc w:val="center"/>
            </w:pPr>
            <w:r>
              <w:t>21.6</w:t>
            </w:r>
          </w:p>
        </w:tc>
        <w:tc>
          <w:tcPr>
            <w:tcW w:w="1102" w:type="dxa"/>
            <w:tcBorders>
              <w:top w:val="nil"/>
              <w:left w:val="single" w:sz="4" w:space="0" w:color="auto"/>
              <w:bottom w:val="single" w:sz="4" w:space="0" w:color="auto"/>
              <w:right w:val="single" w:sz="4" w:space="0" w:color="auto"/>
            </w:tcBorders>
          </w:tcPr>
          <w:p w14:paraId="08DF8801" w14:textId="77777777" w:rsidR="0087409B" w:rsidRDefault="0087409B" w:rsidP="0087409B">
            <w:pPr>
              <w:jc w:val="center"/>
            </w:pPr>
            <w:r>
              <w:t>&lt;0.0001</w:t>
            </w:r>
          </w:p>
        </w:tc>
        <w:tc>
          <w:tcPr>
            <w:tcW w:w="1102" w:type="dxa"/>
            <w:tcBorders>
              <w:top w:val="nil"/>
              <w:left w:val="single" w:sz="4" w:space="0" w:color="auto"/>
              <w:bottom w:val="single" w:sz="4" w:space="0" w:color="auto"/>
              <w:right w:val="single" w:sz="4" w:space="0" w:color="auto"/>
            </w:tcBorders>
          </w:tcPr>
          <w:p w14:paraId="0271510E" w14:textId="2061A629" w:rsidR="0087409B" w:rsidRDefault="0087409B" w:rsidP="0087409B">
            <w:pPr>
              <w:jc w:val="center"/>
            </w:pPr>
            <w:r>
              <w:t>&lt;0.0001</w:t>
            </w:r>
          </w:p>
        </w:tc>
      </w:tr>
    </w:tbl>
    <w:p w14:paraId="229BF17E" w14:textId="77777777" w:rsidR="000703FD" w:rsidRDefault="000703FD" w:rsidP="000703FD"/>
    <w:p w14:paraId="79188A54" w14:textId="77777777" w:rsidR="00E906F1" w:rsidRDefault="00E906F1">
      <w:pPr>
        <w:spacing w:after="200" w:line="276" w:lineRule="auto"/>
        <w:rPr>
          <w:lang w:val="en-GB"/>
        </w:rPr>
      </w:pPr>
      <w:r>
        <w:rPr>
          <w:lang w:val="en-GB"/>
        </w:rPr>
        <w:br w:type="page"/>
      </w:r>
    </w:p>
    <w:p w14:paraId="39E1C0C8" w14:textId="132471E8" w:rsidR="00E906F1" w:rsidRPr="00255038" w:rsidRDefault="00E906F1" w:rsidP="00255038">
      <w:pPr>
        <w:spacing w:line="360" w:lineRule="auto"/>
        <w:rPr>
          <w:sz w:val="24"/>
          <w:szCs w:val="24"/>
          <w:lang w:val="en-GB"/>
        </w:rPr>
      </w:pPr>
      <w:r w:rsidRPr="00255038">
        <w:rPr>
          <w:b/>
          <w:sz w:val="24"/>
          <w:szCs w:val="24"/>
          <w:lang w:val="en-GB"/>
        </w:rPr>
        <w:t>Table 2</w:t>
      </w:r>
      <w:r w:rsidRPr="00255038">
        <w:rPr>
          <w:sz w:val="24"/>
          <w:szCs w:val="24"/>
          <w:lang w:val="en-GB"/>
        </w:rPr>
        <w:t xml:space="preserve"> </w:t>
      </w:r>
      <w:r w:rsidR="00255038" w:rsidRPr="00255038">
        <w:rPr>
          <w:sz w:val="24"/>
          <w:szCs w:val="24"/>
          <w:lang w:val="en-GB"/>
        </w:rPr>
        <w:t>Comparison between part</w:t>
      </w:r>
      <w:r w:rsidR="00255038">
        <w:rPr>
          <w:sz w:val="24"/>
          <w:szCs w:val="24"/>
          <w:lang w:val="en-GB"/>
        </w:rPr>
        <w:t>i</w:t>
      </w:r>
      <w:r w:rsidR="00255038" w:rsidRPr="00255038">
        <w:rPr>
          <w:sz w:val="24"/>
          <w:szCs w:val="24"/>
          <w:lang w:val="en-GB"/>
        </w:rPr>
        <w:t>c</w:t>
      </w:r>
      <w:r w:rsidR="00255038">
        <w:rPr>
          <w:sz w:val="24"/>
          <w:szCs w:val="24"/>
          <w:lang w:val="en-GB"/>
        </w:rPr>
        <w:t>ipants</w:t>
      </w:r>
      <w:r w:rsidR="00255038" w:rsidRPr="00255038">
        <w:rPr>
          <w:sz w:val="24"/>
          <w:szCs w:val="24"/>
          <w:lang w:val="en-GB"/>
        </w:rPr>
        <w:t xml:space="preserve"> with asthma that have or do not have bronchodilator reversibility</w:t>
      </w:r>
      <w:r w:rsidR="00E80603">
        <w:rPr>
          <w:sz w:val="24"/>
          <w:szCs w:val="24"/>
          <w:lang w:val="en-GB"/>
        </w:rPr>
        <w:t xml:space="preserve"> (% and geometric mean (95% confidence interval))</w:t>
      </w:r>
      <w:r w:rsidR="00255038">
        <w:rPr>
          <w:sz w:val="24"/>
          <w:szCs w:val="24"/>
          <w:lang w:val="en-GB"/>
        </w:rPr>
        <w:t>.</w:t>
      </w:r>
    </w:p>
    <w:p w14:paraId="24AD7952" w14:textId="77777777" w:rsidR="00E906F1" w:rsidRPr="00255038" w:rsidRDefault="00E906F1" w:rsidP="00255038">
      <w:pPr>
        <w:spacing w:line="360" w:lineRule="auto"/>
        <w:rPr>
          <w:sz w:val="24"/>
          <w:szCs w:val="24"/>
          <w:lang w:val="en-GB"/>
        </w:rPr>
      </w:pPr>
    </w:p>
    <w:tbl>
      <w:tblPr>
        <w:tblStyle w:val="TableGrid"/>
        <w:tblW w:w="9931" w:type="dxa"/>
        <w:tblBorders>
          <w:insideH w:val="none" w:sz="0" w:space="0" w:color="auto"/>
          <w:insideV w:val="none" w:sz="0" w:space="0" w:color="auto"/>
        </w:tblBorders>
        <w:tblLook w:val="04A0" w:firstRow="1" w:lastRow="0" w:firstColumn="1" w:lastColumn="0" w:noHBand="0" w:noVBand="1"/>
      </w:tblPr>
      <w:tblGrid>
        <w:gridCol w:w="2668"/>
        <w:gridCol w:w="1192"/>
        <w:gridCol w:w="1380"/>
        <w:gridCol w:w="1171"/>
        <w:gridCol w:w="1244"/>
        <w:gridCol w:w="1271"/>
        <w:gridCol w:w="1005"/>
      </w:tblGrid>
      <w:tr w:rsidR="00E906F1" w14:paraId="2C3F5567" w14:textId="77777777" w:rsidTr="00C30D51">
        <w:tc>
          <w:tcPr>
            <w:tcW w:w="2668" w:type="dxa"/>
            <w:tcBorders>
              <w:top w:val="single" w:sz="4" w:space="0" w:color="auto"/>
              <w:bottom w:val="nil"/>
              <w:right w:val="single" w:sz="4" w:space="0" w:color="auto"/>
            </w:tcBorders>
          </w:tcPr>
          <w:p w14:paraId="2E140F43" w14:textId="77777777" w:rsidR="00E906F1" w:rsidRPr="00255038" w:rsidRDefault="00E906F1" w:rsidP="00C60244">
            <w:pPr>
              <w:spacing w:line="360" w:lineRule="auto"/>
              <w:rPr>
                <w:lang w:val="en-GB"/>
              </w:rPr>
            </w:pPr>
          </w:p>
        </w:tc>
        <w:tc>
          <w:tcPr>
            <w:tcW w:w="3743" w:type="dxa"/>
            <w:gridSpan w:val="3"/>
            <w:tcBorders>
              <w:top w:val="single" w:sz="4" w:space="0" w:color="auto"/>
              <w:left w:val="single" w:sz="4" w:space="0" w:color="auto"/>
              <w:bottom w:val="nil"/>
              <w:right w:val="single" w:sz="4" w:space="0" w:color="auto"/>
            </w:tcBorders>
          </w:tcPr>
          <w:p w14:paraId="529A5A53" w14:textId="47755713" w:rsidR="00E906F1" w:rsidRDefault="007451B9" w:rsidP="00C60244">
            <w:pPr>
              <w:spacing w:line="360" w:lineRule="auto"/>
              <w:jc w:val="center"/>
            </w:pPr>
            <w:r>
              <w:t>Δ</w:t>
            </w:r>
            <w:r w:rsidR="00E906F1">
              <w:t xml:space="preserve">FEV1 </w:t>
            </w:r>
          </w:p>
        </w:tc>
        <w:tc>
          <w:tcPr>
            <w:tcW w:w="3520" w:type="dxa"/>
            <w:gridSpan w:val="3"/>
            <w:tcBorders>
              <w:top w:val="single" w:sz="4" w:space="0" w:color="auto"/>
              <w:left w:val="single" w:sz="4" w:space="0" w:color="auto"/>
              <w:bottom w:val="nil"/>
            </w:tcBorders>
          </w:tcPr>
          <w:p w14:paraId="06880BF4" w14:textId="17C7E369" w:rsidR="00E906F1" w:rsidRDefault="007451B9" w:rsidP="00C60244">
            <w:pPr>
              <w:spacing w:line="360" w:lineRule="auto"/>
              <w:jc w:val="center"/>
            </w:pPr>
            <w:r>
              <w:t>Δ</w:t>
            </w:r>
            <w:r w:rsidR="00E906F1">
              <w:t xml:space="preserve">FVC </w:t>
            </w:r>
          </w:p>
        </w:tc>
      </w:tr>
      <w:tr w:rsidR="00E906F1" w14:paraId="6EB8CE6F" w14:textId="77777777" w:rsidTr="00C30D51">
        <w:tc>
          <w:tcPr>
            <w:tcW w:w="2668" w:type="dxa"/>
            <w:tcBorders>
              <w:top w:val="nil"/>
              <w:bottom w:val="single" w:sz="4" w:space="0" w:color="auto"/>
              <w:right w:val="single" w:sz="4" w:space="0" w:color="auto"/>
            </w:tcBorders>
          </w:tcPr>
          <w:p w14:paraId="14BC0805" w14:textId="77777777" w:rsidR="00E906F1" w:rsidRDefault="00E906F1" w:rsidP="00C60244">
            <w:pPr>
              <w:spacing w:line="360" w:lineRule="auto"/>
            </w:pPr>
          </w:p>
        </w:tc>
        <w:tc>
          <w:tcPr>
            <w:tcW w:w="1192" w:type="dxa"/>
            <w:tcBorders>
              <w:top w:val="nil"/>
              <w:left w:val="single" w:sz="4" w:space="0" w:color="auto"/>
              <w:bottom w:val="single" w:sz="4" w:space="0" w:color="auto"/>
            </w:tcBorders>
          </w:tcPr>
          <w:p w14:paraId="0C8C52C1" w14:textId="77777777" w:rsidR="00E906F1" w:rsidRDefault="00E906F1" w:rsidP="00C60244">
            <w:pPr>
              <w:spacing w:line="360" w:lineRule="auto"/>
              <w:jc w:val="center"/>
            </w:pPr>
            <w:r>
              <w:t>&lt;12%</w:t>
            </w:r>
          </w:p>
          <w:p w14:paraId="7E4F6CA8" w14:textId="77777777" w:rsidR="00E906F1" w:rsidRDefault="00E906F1" w:rsidP="00C60244">
            <w:pPr>
              <w:spacing w:line="360" w:lineRule="auto"/>
              <w:jc w:val="center"/>
            </w:pPr>
            <w:r>
              <w:t>(n=2261)</w:t>
            </w:r>
          </w:p>
        </w:tc>
        <w:tc>
          <w:tcPr>
            <w:tcW w:w="1380" w:type="dxa"/>
            <w:tcBorders>
              <w:top w:val="nil"/>
              <w:bottom w:val="single" w:sz="4" w:space="0" w:color="auto"/>
            </w:tcBorders>
          </w:tcPr>
          <w:p w14:paraId="4808723A" w14:textId="1F2F29A8" w:rsidR="00E906F1" w:rsidRDefault="00D32F76" w:rsidP="00C60244">
            <w:pPr>
              <w:spacing w:line="360" w:lineRule="auto"/>
              <w:jc w:val="center"/>
            </w:pPr>
            <w:r>
              <w:t>≥</w:t>
            </w:r>
            <w:r w:rsidR="00E906F1">
              <w:t>12%</w:t>
            </w:r>
          </w:p>
          <w:p w14:paraId="0712E507" w14:textId="77777777" w:rsidR="00E906F1" w:rsidRDefault="00E906F1" w:rsidP="00C60244">
            <w:pPr>
              <w:spacing w:line="360" w:lineRule="auto"/>
              <w:jc w:val="center"/>
            </w:pPr>
            <w:r>
              <w:t>(n=572)</w:t>
            </w:r>
          </w:p>
        </w:tc>
        <w:tc>
          <w:tcPr>
            <w:tcW w:w="1171" w:type="dxa"/>
            <w:tcBorders>
              <w:top w:val="nil"/>
              <w:bottom w:val="single" w:sz="4" w:space="0" w:color="auto"/>
              <w:right w:val="single" w:sz="4" w:space="0" w:color="auto"/>
            </w:tcBorders>
          </w:tcPr>
          <w:p w14:paraId="7AE8FBBB" w14:textId="77777777" w:rsidR="00E906F1" w:rsidRDefault="00E906F1" w:rsidP="00C60244">
            <w:pPr>
              <w:spacing w:line="360" w:lineRule="auto"/>
            </w:pPr>
            <w:r>
              <w:t>p-value</w:t>
            </w:r>
          </w:p>
        </w:tc>
        <w:tc>
          <w:tcPr>
            <w:tcW w:w="1244" w:type="dxa"/>
            <w:tcBorders>
              <w:top w:val="nil"/>
              <w:left w:val="single" w:sz="4" w:space="0" w:color="auto"/>
              <w:bottom w:val="single" w:sz="4" w:space="0" w:color="auto"/>
            </w:tcBorders>
          </w:tcPr>
          <w:p w14:paraId="0FCE449C" w14:textId="33A28DE5" w:rsidR="00E906F1" w:rsidRDefault="00E906F1" w:rsidP="00C60244">
            <w:pPr>
              <w:spacing w:line="360" w:lineRule="auto"/>
              <w:jc w:val="center"/>
            </w:pPr>
            <w:r>
              <w:t>&lt;10</w:t>
            </w:r>
            <w:r w:rsidR="00D57988">
              <w:t>.5</w:t>
            </w:r>
            <w:r>
              <w:t>%</w:t>
            </w:r>
          </w:p>
          <w:p w14:paraId="570E2BFE" w14:textId="7ADA6526" w:rsidR="00E906F1" w:rsidRDefault="001B14EE" w:rsidP="00C60244">
            <w:pPr>
              <w:spacing w:line="360" w:lineRule="auto"/>
              <w:jc w:val="center"/>
            </w:pPr>
            <w:r>
              <w:t>(n=</w:t>
            </w:r>
            <w:r w:rsidR="00F752F2">
              <w:t>2280</w:t>
            </w:r>
            <w:r>
              <w:t>)</w:t>
            </w:r>
          </w:p>
        </w:tc>
        <w:tc>
          <w:tcPr>
            <w:tcW w:w="1271" w:type="dxa"/>
            <w:tcBorders>
              <w:top w:val="nil"/>
              <w:bottom w:val="single" w:sz="4" w:space="0" w:color="auto"/>
            </w:tcBorders>
          </w:tcPr>
          <w:p w14:paraId="23C3D1A1" w14:textId="6F5DDCBB" w:rsidR="00E906F1" w:rsidRDefault="00D32F76" w:rsidP="00C60244">
            <w:pPr>
              <w:spacing w:line="360" w:lineRule="auto"/>
              <w:jc w:val="center"/>
            </w:pPr>
            <w:r>
              <w:t>≥</w:t>
            </w:r>
            <w:r w:rsidR="00E906F1">
              <w:t>10</w:t>
            </w:r>
            <w:r w:rsidR="00D57988">
              <w:t>.5</w:t>
            </w:r>
            <w:r w:rsidR="00E906F1">
              <w:t>%</w:t>
            </w:r>
          </w:p>
          <w:p w14:paraId="55BAA13D" w14:textId="6519E2AA" w:rsidR="001B14EE" w:rsidRDefault="001B14EE" w:rsidP="001B14EE">
            <w:pPr>
              <w:spacing w:line="360" w:lineRule="auto"/>
              <w:jc w:val="center"/>
            </w:pPr>
            <w:r>
              <w:t>(n=</w:t>
            </w:r>
            <w:r w:rsidR="00F752F2">
              <w:t>429</w:t>
            </w:r>
            <w:r>
              <w:t>)</w:t>
            </w:r>
          </w:p>
        </w:tc>
        <w:tc>
          <w:tcPr>
            <w:tcW w:w="1001" w:type="dxa"/>
            <w:tcBorders>
              <w:top w:val="nil"/>
              <w:bottom w:val="single" w:sz="4" w:space="0" w:color="auto"/>
            </w:tcBorders>
          </w:tcPr>
          <w:p w14:paraId="73C88590" w14:textId="77777777" w:rsidR="00E906F1" w:rsidRDefault="00E906F1" w:rsidP="00C60244">
            <w:pPr>
              <w:spacing w:line="360" w:lineRule="auto"/>
            </w:pPr>
            <w:r>
              <w:t>p-value</w:t>
            </w:r>
          </w:p>
        </w:tc>
      </w:tr>
      <w:tr w:rsidR="00E906F1" w14:paraId="2E9871D5" w14:textId="77777777" w:rsidTr="00C30D51">
        <w:tc>
          <w:tcPr>
            <w:tcW w:w="2668" w:type="dxa"/>
            <w:tcBorders>
              <w:top w:val="single" w:sz="4" w:space="0" w:color="auto"/>
              <w:right w:val="single" w:sz="4" w:space="0" w:color="auto"/>
            </w:tcBorders>
          </w:tcPr>
          <w:p w14:paraId="4FE5BD06" w14:textId="77777777" w:rsidR="00E906F1" w:rsidRDefault="00E906F1" w:rsidP="00C60244">
            <w:pPr>
              <w:spacing w:line="360" w:lineRule="auto"/>
              <w:rPr>
                <w:rFonts w:cstheme="minorHAnsi"/>
              </w:rPr>
            </w:pPr>
            <w:r>
              <w:rPr>
                <w:rFonts w:cstheme="minorHAnsi"/>
              </w:rPr>
              <w:t>Wheeze</w:t>
            </w:r>
          </w:p>
        </w:tc>
        <w:tc>
          <w:tcPr>
            <w:tcW w:w="1192" w:type="dxa"/>
            <w:tcBorders>
              <w:top w:val="single" w:sz="4" w:space="0" w:color="auto"/>
              <w:left w:val="single" w:sz="4" w:space="0" w:color="auto"/>
            </w:tcBorders>
          </w:tcPr>
          <w:p w14:paraId="3B9174B5" w14:textId="77777777" w:rsidR="00E906F1" w:rsidRDefault="00E906F1" w:rsidP="00C60244">
            <w:pPr>
              <w:spacing w:line="360" w:lineRule="auto"/>
              <w:jc w:val="center"/>
            </w:pPr>
            <w:r>
              <w:t>72.8</w:t>
            </w:r>
          </w:p>
        </w:tc>
        <w:tc>
          <w:tcPr>
            <w:tcW w:w="1380" w:type="dxa"/>
            <w:tcBorders>
              <w:top w:val="single" w:sz="4" w:space="0" w:color="auto"/>
            </w:tcBorders>
          </w:tcPr>
          <w:p w14:paraId="56372250" w14:textId="77777777" w:rsidR="00E906F1" w:rsidRDefault="00E906F1" w:rsidP="00C60244">
            <w:pPr>
              <w:spacing w:line="360" w:lineRule="auto"/>
              <w:jc w:val="center"/>
            </w:pPr>
            <w:r>
              <w:t>81.5</w:t>
            </w:r>
          </w:p>
        </w:tc>
        <w:tc>
          <w:tcPr>
            <w:tcW w:w="1171" w:type="dxa"/>
            <w:tcBorders>
              <w:top w:val="single" w:sz="4" w:space="0" w:color="auto"/>
              <w:right w:val="single" w:sz="4" w:space="0" w:color="auto"/>
            </w:tcBorders>
          </w:tcPr>
          <w:p w14:paraId="1C2C39BF" w14:textId="77777777" w:rsidR="00E906F1" w:rsidRDefault="00E906F1" w:rsidP="00C60244">
            <w:pPr>
              <w:spacing w:line="360" w:lineRule="auto"/>
            </w:pPr>
            <w:r>
              <w:t>&lt;0.0001</w:t>
            </w:r>
          </w:p>
        </w:tc>
        <w:tc>
          <w:tcPr>
            <w:tcW w:w="1244" w:type="dxa"/>
            <w:tcBorders>
              <w:top w:val="single" w:sz="4" w:space="0" w:color="auto"/>
              <w:left w:val="single" w:sz="4" w:space="0" w:color="auto"/>
            </w:tcBorders>
          </w:tcPr>
          <w:p w14:paraId="67B01054" w14:textId="77777777" w:rsidR="00E906F1" w:rsidRDefault="00E906F1" w:rsidP="00C60244">
            <w:pPr>
              <w:spacing w:line="360" w:lineRule="auto"/>
              <w:jc w:val="center"/>
            </w:pPr>
            <w:r>
              <w:t>72.9</w:t>
            </w:r>
          </w:p>
        </w:tc>
        <w:tc>
          <w:tcPr>
            <w:tcW w:w="1271" w:type="dxa"/>
            <w:tcBorders>
              <w:top w:val="single" w:sz="4" w:space="0" w:color="auto"/>
            </w:tcBorders>
          </w:tcPr>
          <w:p w14:paraId="686F4C57" w14:textId="77777777" w:rsidR="00E906F1" w:rsidRDefault="00E906F1" w:rsidP="00C60244">
            <w:pPr>
              <w:spacing w:line="360" w:lineRule="auto"/>
              <w:jc w:val="center"/>
            </w:pPr>
            <w:r>
              <w:t>81.8</w:t>
            </w:r>
          </w:p>
        </w:tc>
        <w:tc>
          <w:tcPr>
            <w:tcW w:w="1001" w:type="dxa"/>
            <w:tcBorders>
              <w:top w:val="single" w:sz="4" w:space="0" w:color="auto"/>
            </w:tcBorders>
          </w:tcPr>
          <w:p w14:paraId="10D0A00B" w14:textId="77777777" w:rsidR="00E906F1" w:rsidRDefault="00E906F1" w:rsidP="00C60244">
            <w:pPr>
              <w:spacing w:line="360" w:lineRule="auto"/>
            </w:pPr>
            <w:r>
              <w:t>&lt;0..0001</w:t>
            </w:r>
          </w:p>
        </w:tc>
      </w:tr>
      <w:tr w:rsidR="00E906F1" w14:paraId="0F7AB226" w14:textId="77777777" w:rsidTr="00C30D51">
        <w:tc>
          <w:tcPr>
            <w:tcW w:w="2668" w:type="dxa"/>
            <w:tcBorders>
              <w:right w:val="single" w:sz="4" w:space="0" w:color="auto"/>
            </w:tcBorders>
          </w:tcPr>
          <w:p w14:paraId="2953B5D2" w14:textId="77777777" w:rsidR="00E906F1" w:rsidRDefault="00E906F1" w:rsidP="00C60244">
            <w:pPr>
              <w:spacing w:line="360" w:lineRule="auto"/>
              <w:rPr>
                <w:rFonts w:cstheme="minorHAnsi"/>
              </w:rPr>
            </w:pPr>
            <w:r>
              <w:rPr>
                <w:rFonts w:cstheme="minorHAnsi"/>
              </w:rPr>
              <w:t xml:space="preserve">Wheeze </w:t>
            </w:r>
            <w:r w:rsidRPr="00D15152">
              <w:t>and breathlessness</w:t>
            </w:r>
          </w:p>
        </w:tc>
        <w:tc>
          <w:tcPr>
            <w:tcW w:w="1192" w:type="dxa"/>
            <w:tcBorders>
              <w:left w:val="single" w:sz="4" w:space="0" w:color="auto"/>
            </w:tcBorders>
          </w:tcPr>
          <w:p w14:paraId="0B731109" w14:textId="77777777" w:rsidR="00E906F1" w:rsidRDefault="00E906F1" w:rsidP="00C60244">
            <w:pPr>
              <w:spacing w:line="360" w:lineRule="auto"/>
              <w:jc w:val="center"/>
            </w:pPr>
            <w:r>
              <w:t>55.1</w:t>
            </w:r>
          </w:p>
        </w:tc>
        <w:tc>
          <w:tcPr>
            <w:tcW w:w="1380" w:type="dxa"/>
          </w:tcPr>
          <w:p w14:paraId="58612E48" w14:textId="77777777" w:rsidR="00E906F1" w:rsidRDefault="00E906F1" w:rsidP="00C60244">
            <w:pPr>
              <w:spacing w:line="360" w:lineRule="auto"/>
              <w:jc w:val="center"/>
            </w:pPr>
            <w:r>
              <w:t>63.9</w:t>
            </w:r>
          </w:p>
        </w:tc>
        <w:tc>
          <w:tcPr>
            <w:tcW w:w="1171" w:type="dxa"/>
            <w:tcBorders>
              <w:right w:val="single" w:sz="4" w:space="0" w:color="auto"/>
            </w:tcBorders>
          </w:tcPr>
          <w:p w14:paraId="233959D9" w14:textId="77777777" w:rsidR="00E906F1" w:rsidRDefault="00E906F1" w:rsidP="00C60244">
            <w:pPr>
              <w:spacing w:line="360" w:lineRule="auto"/>
            </w:pPr>
            <w:r>
              <w:t>&lt;0.0001</w:t>
            </w:r>
          </w:p>
        </w:tc>
        <w:tc>
          <w:tcPr>
            <w:tcW w:w="1244" w:type="dxa"/>
            <w:tcBorders>
              <w:left w:val="single" w:sz="4" w:space="0" w:color="auto"/>
            </w:tcBorders>
          </w:tcPr>
          <w:p w14:paraId="6A389D91" w14:textId="77777777" w:rsidR="00E906F1" w:rsidRDefault="00E906F1" w:rsidP="00C60244">
            <w:pPr>
              <w:spacing w:line="360" w:lineRule="auto"/>
              <w:jc w:val="center"/>
            </w:pPr>
            <w:r>
              <w:t>55.8</w:t>
            </w:r>
          </w:p>
        </w:tc>
        <w:tc>
          <w:tcPr>
            <w:tcW w:w="1271" w:type="dxa"/>
          </w:tcPr>
          <w:p w14:paraId="1901A54F" w14:textId="77777777" w:rsidR="00E906F1" w:rsidRDefault="00E906F1" w:rsidP="00C60244">
            <w:pPr>
              <w:spacing w:line="360" w:lineRule="auto"/>
              <w:jc w:val="center"/>
            </w:pPr>
            <w:r>
              <w:t>62.7</w:t>
            </w:r>
          </w:p>
        </w:tc>
        <w:tc>
          <w:tcPr>
            <w:tcW w:w="1001" w:type="dxa"/>
          </w:tcPr>
          <w:p w14:paraId="6F2F952C" w14:textId="77777777" w:rsidR="00E906F1" w:rsidRDefault="00E906F1" w:rsidP="00C60244">
            <w:pPr>
              <w:spacing w:line="360" w:lineRule="auto"/>
            </w:pPr>
            <w:r>
              <w:t>0.008</w:t>
            </w:r>
          </w:p>
        </w:tc>
      </w:tr>
      <w:tr w:rsidR="00E906F1" w:rsidRPr="00294B6E" w14:paraId="2F63716E" w14:textId="77777777" w:rsidTr="00C30D51">
        <w:tc>
          <w:tcPr>
            <w:tcW w:w="2668" w:type="dxa"/>
            <w:tcBorders>
              <w:right w:val="single" w:sz="4" w:space="0" w:color="auto"/>
            </w:tcBorders>
          </w:tcPr>
          <w:p w14:paraId="71110457" w14:textId="77777777" w:rsidR="00E906F1" w:rsidRPr="00467904" w:rsidRDefault="00E906F1" w:rsidP="00C60244">
            <w:pPr>
              <w:spacing w:line="360" w:lineRule="auto"/>
              <w:rPr>
                <w:rFonts w:cstheme="minorHAnsi"/>
                <w:lang w:val="en-GB"/>
              </w:rPr>
            </w:pPr>
            <w:r w:rsidRPr="00467904">
              <w:rPr>
                <w:rFonts w:cstheme="minorHAnsi"/>
                <w:lang w:val="en-GB"/>
              </w:rPr>
              <w:t xml:space="preserve">Wheeze when </w:t>
            </w:r>
            <w:r>
              <w:rPr>
                <w:rFonts w:cstheme="minorHAnsi"/>
                <w:lang w:val="en-GB"/>
              </w:rPr>
              <w:t>no</w:t>
            </w:r>
            <w:r w:rsidRPr="00467904">
              <w:rPr>
                <w:rFonts w:cstheme="minorHAnsi"/>
                <w:lang w:val="en-GB"/>
              </w:rPr>
              <w:t xml:space="preserve"> cold</w:t>
            </w:r>
          </w:p>
        </w:tc>
        <w:tc>
          <w:tcPr>
            <w:tcW w:w="1192" w:type="dxa"/>
            <w:tcBorders>
              <w:left w:val="single" w:sz="4" w:space="0" w:color="auto"/>
            </w:tcBorders>
          </w:tcPr>
          <w:p w14:paraId="34E061B6" w14:textId="77777777" w:rsidR="00E906F1" w:rsidRPr="00467904" w:rsidRDefault="00E906F1" w:rsidP="00C60244">
            <w:pPr>
              <w:spacing w:line="360" w:lineRule="auto"/>
              <w:jc w:val="center"/>
              <w:rPr>
                <w:lang w:val="en-GB"/>
              </w:rPr>
            </w:pPr>
            <w:r>
              <w:t>44.4</w:t>
            </w:r>
          </w:p>
        </w:tc>
        <w:tc>
          <w:tcPr>
            <w:tcW w:w="1380" w:type="dxa"/>
          </w:tcPr>
          <w:p w14:paraId="1F11505F" w14:textId="77777777" w:rsidR="00E906F1" w:rsidRPr="00467904" w:rsidRDefault="00E906F1" w:rsidP="00C60244">
            <w:pPr>
              <w:spacing w:line="360" w:lineRule="auto"/>
              <w:jc w:val="center"/>
              <w:rPr>
                <w:lang w:val="en-GB"/>
              </w:rPr>
            </w:pPr>
            <w:r>
              <w:t>47.5</w:t>
            </w:r>
          </w:p>
        </w:tc>
        <w:tc>
          <w:tcPr>
            <w:tcW w:w="1171" w:type="dxa"/>
            <w:tcBorders>
              <w:right w:val="single" w:sz="4" w:space="0" w:color="auto"/>
            </w:tcBorders>
          </w:tcPr>
          <w:p w14:paraId="76450A66" w14:textId="77777777" w:rsidR="00E906F1" w:rsidRPr="00467904" w:rsidRDefault="00E906F1" w:rsidP="00C60244">
            <w:pPr>
              <w:spacing w:line="360" w:lineRule="auto"/>
              <w:rPr>
                <w:lang w:val="en-GB"/>
              </w:rPr>
            </w:pPr>
            <w:r>
              <w:t>0.18</w:t>
            </w:r>
          </w:p>
        </w:tc>
        <w:tc>
          <w:tcPr>
            <w:tcW w:w="1244" w:type="dxa"/>
            <w:tcBorders>
              <w:left w:val="single" w:sz="4" w:space="0" w:color="auto"/>
            </w:tcBorders>
          </w:tcPr>
          <w:p w14:paraId="51ACEC9B" w14:textId="77777777" w:rsidR="00E906F1" w:rsidRPr="00467904" w:rsidRDefault="00E906F1" w:rsidP="00C60244">
            <w:pPr>
              <w:spacing w:line="360" w:lineRule="auto"/>
              <w:jc w:val="center"/>
              <w:rPr>
                <w:lang w:val="en-GB"/>
              </w:rPr>
            </w:pPr>
            <w:r>
              <w:rPr>
                <w:lang w:val="en-GB"/>
              </w:rPr>
              <w:t>44.8</w:t>
            </w:r>
          </w:p>
        </w:tc>
        <w:tc>
          <w:tcPr>
            <w:tcW w:w="1271" w:type="dxa"/>
          </w:tcPr>
          <w:p w14:paraId="71FDD265" w14:textId="77777777" w:rsidR="00E906F1" w:rsidRPr="00467904" w:rsidRDefault="00E906F1" w:rsidP="00C60244">
            <w:pPr>
              <w:spacing w:line="360" w:lineRule="auto"/>
              <w:jc w:val="center"/>
              <w:rPr>
                <w:lang w:val="en-GB"/>
              </w:rPr>
            </w:pPr>
            <w:r>
              <w:rPr>
                <w:lang w:val="en-GB"/>
              </w:rPr>
              <w:t>49.0</w:t>
            </w:r>
          </w:p>
        </w:tc>
        <w:tc>
          <w:tcPr>
            <w:tcW w:w="1001" w:type="dxa"/>
          </w:tcPr>
          <w:p w14:paraId="317D4F99" w14:textId="77777777" w:rsidR="00E906F1" w:rsidRPr="00467904" w:rsidRDefault="00E906F1" w:rsidP="00C60244">
            <w:pPr>
              <w:spacing w:line="360" w:lineRule="auto"/>
              <w:rPr>
                <w:lang w:val="en-GB"/>
              </w:rPr>
            </w:pPr>
            <w:r>
              <w:rPr>
                <w:lang w:val="en-GB"/>
              </w:rPr>
              <w:t>0.12</w:t>
            </w:r>
          </w:p>
        </w:tc>
      </w:tr>
      <w:tr w:rsidR="00E906F1" w14:paraId="62E90A7A" w14:textId="77777777" w:rsidTr="00C30D51">
        <w:tc>
          <w:tcPr>
            <w:tcW w:w="2668" w:type="dxa"/>
            <w:tcBorders>
              <w:right w:val="single" w:sz="4" w:space="0" w:color="auto"/>
            </w:tcBorders>
          </w:tcPr>
          <w:p w14:paraId="1503626E" w14:textId="66FD5523" w:rsidR="00E906F1" w:rsidRDefault="00E906F1" w:rsidP="00C60244">
            <w:pPr>
              <w:spacing w:line="360" w:lineRule="auto"/>
              <w:rPr>
                <w:rFonts w:cstheme="minorHAnsi"/>
              </w:rPr>
            </w:pPr>
            <w:r>
              <w:rPr>
                <w:rFonts w:cstheme="minorHAnsi"/>
              </w:rPr>
              <w:t>Nocturnal chest tightness</w:t>
            </w:r>
            <w:r w:rsidR="00D80A8C">
              <w:rPr>
                <w:rFonts w:cstheme="minorHAnsi"/>
              </w:rPr>
              <w:t>*</w:t>
            </w:r>
          </w:p>
        </w:tc>
        <w:tc>
          <w:tcPr>
            <w:tcW w:w="1192" w:type="dxa"/>
            <w:tcBorders>
              <w:left w:val="single" w:sz="4" w:space="0" w:color="auto"/>
            </w:tcBorders>
          </w:tcPr>
          <w:p w14:paraId="3DE3C4CB" w14:textId="77777777" w:rsidR="00E906F1" w:rsidRDefault="00E906F1" w:rsidP="00C60244">
            <w:pPr>
              <w:spacing w:line="360" w:lineRule="auto"/>
              <w:jc w:val="center"/>
            </w:pPr>
            <w:r>
              <w:t>41.2</w:t>
            </w:r>
          </w:p>
        </w:tc>
        <w:tc>
          <w:tcPr>
            <w:tcW w:w="1380" w:type="dxa"/>
          </w:tcPr>
          <w:p w14:paraId="66016760" w14:textId="77777777" w:rsidR="00E906F1" w:rsidRDefault="00E906F1" w:rsidP="00C60244">
            <w:pPr>
              <w:spacing w:line="360" w:lineRule="auto"/>
              <w:jc w:val="center"/>
            </w:pPr>
            <w:r>
              <w:t>51.0</w:t>
            </w:r>
          </w:p>
        </w:tc>
        <w:tc>
          <w:tcPr>
            <w:tcW w:w="1171" w:type="dxa"/>
            <w:tcBorders>
              <w:right w:val="single" w:sz="4" w:space="0" w:color="auto"/>
            </w:tcBorders>
          </w:tcPr>
          <w:p w14:paraId="5EE7C097" w14:textId="77777777" w:rsidR="00E906F1" w:rsidRDefault="00E906F1" w:rsidP="00C60244">
            <w:pPr>
              <w:spacing w:line="360" w:lineRule="auto"/>
            </w:pPr>
            <w:r>
              <w:t>0.10</w:t>
            </w:r>
          </w:p>
        </w:tc>
        <w:tc>
          <w:tcPr>
            <w:tcW w:w="1244" w:type="dxa"/>
            <w:tcBorders>
              <w:left w:val="single" w:sz="4" w:space="0" w:color="auto"/>
            </w:tcBorders>
          </w:tcPr>
          <w:p w14:paraId="7BD43E36" w14:textId="77777777" w:rsidR="00E906F1" w:rsidRDefault="00E906F1" w:rsidP="00C60244">
            <w:pPr>
              <w:spacing w:line="360" w:lineRule="auto"/>
              <w:jc w:val="center"/>
            </w:pPr>
            <w:r>
              <w:t>40.4</w:t>
            </w:r>
          </w:p>
        </w:tc>
        <w:tc>
          <w:tcPr>
            <w:tcW w:w="1271" w:type="dxa"/>
          </w:tcPr>
          <w:p w14:paraId="1863AA43" w14:textId="77777777" w:rsidR="00E906F1" w:rsidRDefault="00E906F1" w:rsidP="00C60244">
            <w:pPr>
              <w:spacing w:line="360" w:lineRule="auto"/>
              <w:jc w:val="center"/>
            </w:pPr>
            <w:r>
              <w:t>57.0</w:t>
            </w:r>
          </w:p>
        </w:tc>
        <w:tc>
          <w:tcPr>
            <w:tcW w:w="1001" w:type="dxa"/>
          </w:tcPr>
          <w:p w14:paraId="42877D91" w14:textId="77777777" w:rsidR="00E906F1" w:rsidRDefault="00E906F1" w:rsidP="00C60244">
            <w:pPr>
              <w:spacing w:line="360" w:lineRule="auto"/>
            </w:pPr>
            <w:r>
              <w:t>&lt;0.0001</w:t>
            </w:r>
          </w:p>
        </w:tc>
      </w:tr>
      <w:tr w:rsidR="00E906F1" w14:paraId="3C6B495B" w14:textId="77777777" w:rsidTr="00C30D51">
        <w:tc>
          <w:tcPr>
            <w:tcW w:w="2668" w:type="dxa"/>
            <w:tcBorders>
              <w:right w:val="single" w:sz="4" w:space="0" w:color="auto"/>
            </w:tcBorders>
          </w:tcPr>
          <w:p w14:paraId="2143CC41" w14:textId="269740BC" w:rsidR="00E906F1" w:rsidRDefault="00E906F1" w:rsidP="00C60244">
            <w:pPr>
              <w:spacing w:line="360" w:lineRule="auto"/>
              <w:rPr>
                <w:rFonts w:cstheme="minorHAnsi"/>
              </w:rPr>
            </w:pPr>
            <w:r>
              <w:rPr>
                <w:rFonts w:cstheme="minorHAnsi"/>
              </w:rPr>
              <w:t>Breathlessness at rest</w:t>
            </w:r>
            <w:r w:rsidR="00D80A8C">
              <w:rPr>
                <w:rFonts w:cstheme="minorHAnsi"/>
              </w:rPr>
              <w:t>*</w:t>
            </w:r>
          </w:p>
        </w:tc>
        <w:tc>
          <w:tcPr>
            <w:tcW w:w="1192" w:type="dxa"/>
            <w:tcBorders>
              <w:left w:val="single" w:sz="4" w:space="0" w:color="auto"/>
            </w:tcBorders>
          </w:tcPr>
          <w:p w14:paraId="40FF9C99" w14:textId="77777777" w:rsidR="00E906F1" w:rsidRDefault="00E906F1" w:rsidP="00C60244">
            <w:pPr>
              <w:spacing w:line="360" w:lineRule="auto"/>
              <w:jc w:val="center"/>
            </w:pPr>
            <w:r>
              <w:t>26.0</w:t>
            </w:r>
          </w:p>
        </w:tc>
        <w:tc>
          <w:tcPr>
            <w:tcW w:w="1380" w:type="dxa"/>
          </w:tcPr>
          <w:p w14:paraId="29278242" w14:textId="77777777" w:rsidR="00E906F1" w:rsidRDefault="00E906F1" w:rsidP="00C60244">
            <w:pPr>
              <w:spacing w:line="360" w:lineRule="auto"/>
              <w:jc w:val="center"/>
            </w:pPr>
            <w:r>
              <w:t>33.8</w:t>
            </w:r>
          </w:p>
        </w:tc>
        <w:tc>
          <w:tcPr>
            <w:tcW w:w="1171" w:type="dxa"/>
            <w:tcBorders>
              <w:right w:val="single" w:sz="4" w:space="0" w:color="auto"/>
            </w:tcBorders>
          </w:tcPr>
          <w:p w14:paraId="6BBCEE4C" w14:textId="77777777" w:rsidR="00E906F1" w:rsidRDefault="00E906F1" w:rsidP="00C60244">
            <w:pPr>
              <w:spacing w:line="360" w:lineRule="auto"/>
            </w:pPr>
            <w:r>
              <w:t>0.02</w:t>
            </w:r>
          </w:p>
        </w:tc>
        <w:tc>
          <w:tcPr>
            <w:tcW w:w="1244" w:type="dxa"/>
            <w:tcBorders>
              <w:left w:val="single" w:sz="4" w:space="0" w:color="auto"/>
            </w:tcBorders>
          </w:tcPr>
          <w:p w14:paraId="4A0ECF06" w14:textId="77777777" w:rsidR="00E906F1" w:rsidRDefault="00E906F1" w:rsidP="00C60244">
            <w:pPr>
              <w:spacing w:line="360" w:lineRule="auto"/>
              <w:jc w:val="center"/>
            </w:pPr>
            <w:r>
              <w:t>26.2</w:t>
            </w:r>
          </w:p>
        </w:tc>
        <w:tc>
          <w:tcPr>
            <w:tcW w:w="1271" w:type="dxa"/>
          </w:tcPr>
          <w:p w14:paraId="3528E4EF" w14:textId="77777777" w:rsidR="00E906F1" w:rsidRDefault="00E906F1" w:rsidP="00C60244">
            <w:pPr>
              <w:spacing w:line="360" w:lineRule="auto"/>
              <w:jc w:val="center"/>
            </w:pPr>
            <w:r>
              <w:t>36.0</w:t>
            </w:r>
          </w:p>
        </w:tc>
        <w:tc>
          <w:tcPr>
            <w:tcW w:w="1001" w:type="dxa"/>
          </w:tcPr>
          <w:p w14:paraId="7CE370CC" w14:textId="77777777" w:rsidR="00E906F1" w:rsidRDefault="00E906F1" w:rsidP="00C60244">
            <w:pPr>
              <w:spacing w:line="360" w:lineRule="auto"/>
            </w:pPr>
            <w:r>
              <w:t>0.02</w:t>
            </w:r>
          </w:p>
        </w:tc>
      </w:tr>
      <w:tr w:rsidR="00E906F1" w14:paraId="4B9CB1CE" w14:textId="77777777" w:rsidTr="00C30D51">
        <w:tc>
          <w:tcPr>
            <w:tcW w:w="2668" w:type="dxa"/>
            <w:tcBorders>
              <w:right w:val="single" w:sz="4" w:space="0" w:color="auto"/>
            </w:tcBorders>
          </w:tcPr>
          <w:p w14:paraId="7AE9FCA6" w14:textId="19D5B625" w:rsidR="00E906F1" w:rsidRDefault="00E906F1" w:rsidP="00C60244">
            <w:pPr>
              <w:spacing w:line="360" w:lineRule="auto"/>
              <w:rPr>
                <w:rFonts w:cstheme="minorHAnsi"/>
              </w:rPr>
            </w:pPr>
            <w:r>
              <w:rPr>
                <w:rFonts w:cstheme="minorHAnsi"/>
              </w:rPr>
              <w:t>Breathless after effort</w:t>
            </w:r>
            <w:r w:rsidR="00D80A8C">
              <w:rPr>
                <w:rFonts w:cstheme="minorHAnsi"/>
              </w:rPr>
              <w:t>*</w:t>
            </w:r>
          </w:p>
        </w:tc>
        <w:tc>
          <w:tcPr>
            <w:tcW w:w="1192" w:type="dxa"/>
            <w:tcBorders>
              <w:left w:val="single" w:sz="4" w:space="0" w:color="auto"/>
            </w:tcBorders>
          </w:tcPr>
          <w:p w14:paraId="7D8E6F47" w14:textId="77777777" w:rsidR="00E906F1" w:rsidRDefault="00E906F1" w:rsidP="00C60244">
            <w:pPr>
              <w:spacing w:line="360" w:lineRule="auto"/>
              <w:jc w:val="center"/>
            </w:pPr>
            <w:r>
              <w:t>54.2</w:t>
            </w:r>
          </w:p>
        </w:tc>
        <w:tc>
          <w:tcPr>
            <w:tcW w:w="1380" w:type="dxa"/>
          </w:tcPr>
          <w:p w14:paraId="5C4FE41D" w14:textId="77777777" w:rsidR="00E906F1" w:rsidRDefault="00E906F1" w:rsidP="00C60244">
            <w:pPr>
              <w:spacing w:line="360" w:lineRule="auto"/>
              <w:jc w:val="center"/>
            </w:pPr>
            <w:r>
              <w:t>61.4</w:t>
            </w:r>
          </w:p>
        </w:tc>
        <w:tc>
          <w:tcPr>
            <w:tcW w:w="1171" w:type="dxa"/>
            <w:tcBorders>
              <w:right w:val="single" w:sz="4" w:space="0" w:color="auto"/>
            </w:tcBorders>
          </w:tcPr>
          <w:p w14:paraId="7FEF06F8" w14:textId="77777777" w:rsidR="00E906F1" w:rsidRDefault="00E906F1" w:rsidP="00C60244">
            <w:pPr>
              <w:spacing w:line="360" w:lineRule="auto"/>
            </w:pPr>
            <w:r>
              <w:t>0.06</w:t>
            </w:r>
          </w:p>
        </w:tc>
        <w:tc>
          <w:tcPr>
            <w:tcW w:w="1244" w:type="dxa"/>
            <w:tcBorders>
              <w:left w:val="single" w:sz="4" w:space="0" w:color="auto"/>
            </w:tcBorders>
          </w:tcPr>
          <w:p w14:paraId="0FEB6184" w14:textId="77777777" w:rsidR="00E906F1" w:rsidRDefault="00E906F1" w:rsidP="00C60244">
            <w:pPr>
              <w:spacing w:line="360" w:lineRule="auto"/>
              <w:jc w:val="center"/>
            </w:pPr>
            <w:r>
              <w:t>53.6</w:t>
            </w:r>
          </w:p>
        </w:tc>
        <w:tc>
          <w:tcPr>
            <w:tcW w:w="1271" w:type="dxa"/>
          </w:tcPr>
          <w:p w14:paraId="5408BD86" w14:textId="77777777" w:rsidR="00E906F1" w:rsidRDefault="00E906F1" w:rsidP="00C60244">
            <w:pPr>
              <w:spacing w:line="360" w:lineRule="auto"/>
              <w:jc w:val="center"/>
            </w:pPr>
            <w:r>
              <w:t>64.4</w:t>
            </w:r>
          </w:p>
        </w:tc>
        <w:tc>
          <w:tcPr>
            <w:tcW w:w="1001" w:type="dxa"/>
          </w:tcPr>
          <w:p w14:paraId="6E5B9CD6" w14:textId="77777777" w:rsidR="00E906F1" w:rsidRDefault="00E906F1" w:rsidP="00C60244">
            <w:pPr>
              <w:spacing w:line="360" w:lineRule="auto"/>
            </w:pPr>
            <w:r>
              <w:t>0.02</w:t>
            </w:r>
          </w:p>
        </w:tc>
      </w:tr>
      <w:tr w:rsidR="00E906F1" w14:paraId="31BBA7BB" w14:textId="77777777" w:rsidTr="00C30D51">
        <w:tc>
          <w:tcPr>
            <w:tcW w:w="2668" w:type="dxa"/>
            <w:tcBorders>
              <w:right w:val="single" w:sz="4" w:space="0" w:color="auto"/>
            </w:tcBorders>
          </w:tcPr>
          <w:p w14:paraId="555E139C" w14:textId="1D794D31" w:rsidR="00E906F1" w:rsidRDefault="00E906F1" w:rsidP="00C60244">
            <w:pPr>
              <w:spacing w:line="360" w:lineRule="auto"/>
              <w:rPr>
                <w:rFonts w:cstheme="minorHAnsi"/>
              </w:rPr>
            </w:pPr>
            <w:r>
              <w:rPr>
                <w:rFonts w:cstheme="minorHAnsi"/>
              </w:rPr>
              <w:t>Nocturnal breathlessness</w:t>
            </w:r>
            <w:r w:rsidR="00D80A8C">
              <w:rPr>
                <w:rFonts w:cstheme="minorHAnsi"/>
              </w:rPr>
              <w:t>*</w:t>
            </w:r>
          </w:p>
        </w:tc>
        <w:tc>
          <w:tcPr>
            <w:tcW w:w="1192" w:type="dxa"/>
            <w:tcBorders>
              <w:left w:val="single" w:sz="4" w:space="0" w:color="auto"/>
            </w:tcBorders>
          </w:tcPr>
          <w:p w14:paraId="15233778" w14:textId="77777777" w:rsidR="00E906F1" w:rsidRDefault="00E906F1" w:rsidP="00C60244">
            <w:pPr>
              <w:spacing w:line="360" w:lineRule="auto"/>
              <w:jc w:val="center"/>
            </w:pPr>
            <w:r>
              <w:t>26.6</w:t>
            </w:r>
          </w:p>
        </w:tc>
        <w:tc>
          <w:tcPr>
            <w:tcW w:w="1380" w:type="dxa"/>
          </w:tcPr>
          <w:p w14:paraId="0313AA60" w14:textId="77777777" w:rsidR="00E906F1" w:rsidRDefault="00E906F1" w:rsidP="00C60244">
            <w:pPr>
              <w:spacing w:line="360" w:lineRule="auto"/>
              <w:jc w:val="center"/>
            </w:pPr>
            <w:r>
              <w:t>36.2</w:t>
            </w:r>
          </w:p>
        </w:tc>
        <w:tc>
          <w:tcPr>
            <w:tcW w:w="1171" w:type="dxa"/>
            <w:tcBorders>
              <w:right w:val="single" w:sz="4" w:space="0" w:color="auto"/>
            </w:tcBorders>
          </w:tcPr>
          <w:p w14:paraId="247BC5B2" w14:textId="77777777" w:rsidR="00E906F1" w:rsidRDefault="00E906F1" w:rsidP="00C60244">
            <w:pPr>
              <w:spacing w:line="360" w:lineRule="auto"/>
            </w:pPr>
            <w:r>
              <w:t>0.006</w:t>
            </w:r>
          </w:p>
        </w:tc>
        <w:tc>
          <w:tcPr>
            <w:tcW w:w="1244" w:type="dxa"/>
            <w:tcBorders>
              <w:left w:val="single" w:sz="4" w:space="0" w:color="auto"/>
            </w:tcBorders>
          </w:tcPr>
          <w:p w14:paraId="3B5C0692" w14:textId="77777777" w:rsidR="00E906F1" w:rsidRDefault="00E906F1" w:rsidP="00C60244">
            <w:pPr>
              <w:spacing w:line="360" w:lineRule="auto"/>
              <w:jc w:val="center"/>
            </w:pPr>
            <w:r>
              <w:t>26.6</w:t>
            </w:r>
          </w:p>
        </w:tc>
        <w:tc>
          <w:tcPr>
            <w:tcW w:w="1271" w:type="dxa"/>
          </w:tcPr>
          <w:p w14:paraId="5474F5C4" w14:textId="77777777" w:rsidR="00E906F1" w:rsidRDefault="00E906F1" w:rsidP="00C60244">
            <w:pPr>
              <w:spacing w:line="360" w:lineRule="auto"/>
              <w:jc w:val="center"/>
            </w:pPr>
            <w:r>
              <w:t>36.3</w:t>
            </w:r>
          </w:p>
        </w:tc>
        <w:tc>
          <w:tcPr>
            <w:tcW w:w="1001" w:type="dxa"/>
          </w:tcPr>
          <w:p w14:paraId="26053B2B" w14:textId="77777777" w:rsidR="00E906F1" w:rsidRDefault="00E906F1" w:rsidP="00C60244">
            <w:pPr>
              <w:spacing w:line="360" w:lineRule="auto"/>
            </w:pPr>
            <w:r>
              <w:t>0.02</w:t>
            </w:r>
          </w:p>
        </w:tc>
      </w:tr>
      <w:tr w:rsidR="00E906F1" w14:paraId="70087F61" w14:textId="77777777" w:rsidTr="00C30D51">
        <w:tc>
          <w:tcPr>
            <w:tcW w:w="2668" w:type="dxa"/>
            <w:tcBorders>
              <w:right w:val="single" w:sz="4" w:space="0" w:color="auto"/>
            </w:tcBorders>
          </w:tcPr>
          <w:p w14:paraId="071E72E0" w14:textId="1D934CBE" w:rsidR="00E906F1" w:rsidRDefault="00E906F1" w:rsidP="00C60244">
            <w:pPr>
              <w:spacing w:line="360" w:lineRule="auto"/>
            </w:pPr>
            <w:r>
              <w:t>Nocturnal cough</w:t>
            </w:r>
            <w:r w:rsidR="00D80A8C">
              <w:t>*</w:t>
            </w:r>
          </w:p>
        </w:tc>
        <w:tc>
          <w:tcPr>
            <w:tcW w:w="1192" w:type="dxa"/>
            <w:tcBorders>
              <w:left w:val="single" w:sz="4" w:space="0" w:color="auto"/>
            </w:tcBorders>
          </w:tcPr>
          <w:p w14:paraId="3629A8DB" w14:textId="77777777" w:rsidR="00E906F1" w:rsidRDefault="00E906F1" w:rsidP="00C60244">
            <w:pPr>
              <w:spacing w:line="360" w:lineRule="auto"/>
              <w:jc w:val="center"/>
            </w:pPr>
            <w:r>
              <w:t>55.5</w:t>
            </w:r>
          </w:p>
        </w:tc>
        <w:tc>
          <w:tcPr>
            <w:tcW w:w="1380" w:type="dxa"/>
          </w:tcPr>
          <w:p w14:paraId="773FBD36" w14:textId="77777777" w:rsidR="00E906F1" w:rsidRDefault="00E906F1" w:rsidP="00C60244">
            <w:pPr>
              <w:spacing w:line="360" w:lineRule="auto"/>
              <w:jc w:val="center"/>
            </w:pPr>
            <w:r>
              <w:t>51.0</w:t>
            </w:r>
          </w:p>
        </w:tc>
        <w:tc>
          <w:tcPr>
            <w:tcW w:w="1171" w:type="dxa"/>
            <w:tcBorders>
              <w:right w:val="single" w:sz="4" w:space="0" w:color="auto"/>
            </w:tcBorders>
          </w:tcPr>
          <w:p w14:paraId="634AB0C8" w14:textId="77777777" w:rsidR="00E906F1" w:rsidRDefault="00E906F1" w:rsidP="00C60244">
            <w:pPr>
              <w:spacing w:line="360" w:lineRule="auto"/>
            </w:pPr>
            <w:r>
              <w:t>0.24</w:t>
            </w:r>
          </w:p>
        </w:tc>
        <w:tc>
          <w:tcPr>
            <w:tcW w:w="1244" w:type="dxa"/>
            <w:tcBorders>
              <w:left w:val="single" w:sz="4" w:space="0" w:color="auto"/>
            </w:tcBorders>
          </w:tcPr>
          <w:p w14:paraId="436CE5B6" w14:textId="77777777" w:rsidR="00E906F1" w:rsidRDefault="00E906F1" w:rsidP="00C60244">
            <w:pPr>
              <w:spacing w:line="360" w:lineRule="auto"/>
              <w:jc w:val="center"/>
            </w:pPr>
            <w:r>
              <w:t>55.8</w:t>
            </w:r>
          </w:p>
        </w:tc>
        <w:tc>
          <w:tcPr>
            <w:tcW w:w="1271" w:type="dxa"/>
          </w:tcPr>
          <w:p w14:paraId="43B55707" w14:textId="77777777" w:rsidR="00E906F1" w:rsidRDefault="00E906F1" w:rsidP="00C60244">
            <w:pPr>
              <w:spacing w:line="360" w:lineRule="auto"/>
              <w:jc w:val="center"/>
            </w:pPr>
            <w:r>
              <w:t>47.1</w:t>
            </w:r>
          </w:p>
        </w:tc>
        <w:tc>
          <w:tcPr>
            <w:tcW w:w="1001" w:type="dxa"/>
          </w:tcPr>
          <w:p w14:paraId="1ED86E34" w14:textId="77777777" w:rsidR="00E906F1" w:rsidRDefault="00E906F1" w:rsidP="00C60244">
            <w:pPr>
              <w:spacing w:line="360" w:lineRule="auto"/>
            </w:pPr>
            <w:r>
              <w:t>0.052</w:t>
            </w:r>
          </w:p>
        </w:tc>
      </w:tr>
      <w:tr w:rsidR="00E906F1" w:rsidRPr="003D7BF2" w14:paraId="54A5F7FA" w14:textId="77777777" w:rsidTr="00C30D51">
        <w:tc>
          <w:tcPr>
            <w:tcW w:w="2668" w:type="dxa"/>
            <w:tcBorders>
              <w:right w:val="single" w:sz="4" w:space="0" w:color="auto"/>
            </w:tcBorders>
          </w:tcPr>
          <w:p w14:paraId="110B98D0" w14:textId="77777777" w:rsidR="00E906F1" w:rsidRDefault="00E906F1" w:rsidP="00C60244">
            <w:pPr>
              <w:spacing w:line="360" w:lineRule="auto"/>
              <w:rPr>
                <w:rFonts w:cstheme="minorHAnsi"/>
              </w:rPr>
            </w:pPr>
            <w:r>
              <w:rPr>
                <w:rFonts w:cstheme="minorHAnsi"/>
              </w:rPr>
              <w:t>Habitual cough</w:t>
            </w:r>
          </w:p>
        </w:tc>
        <w:tc>
          <w:tcPr>
            <w:tcW w:w="1192" w:type="dxa"/>
            <w:tcBorders>
              <w:left w:val="single" w:sz="4" w:space="0" w:color="auto"/>
            </w:tcBorders>
          </w:tcPr>
          <w:p w14:paraId="04F21EAF" w14:textId="77777777" w:rsidR="00E906F1" w:rsidRPr="003D7BF2" w:rsidRDefault="00E906F1" w:rsidP="00C60244">
            <w:pPr>
              <w:spacing w:line="360" w:lineRule="auto"/>
              <w:jc w:val="center"/>
            </w:pPr>
            <w:r>
              <w:t>49.0</w:t>
            </w:r>
          </w:p>
        </w:tc>
        <w:tc>
          <w:tcPr>
            <w:tcW w:w="1380" w:type="dxa"/>
          </w:tcPr>
          <w:p w14:paraId="578FDF1D" w14:textId="77777777" w:rsidR="00E906F1" w:rsidRPr="003D7BF2" w:rsidRDefault="00E906F1" w:rsidP="00C60244">
            <w:pPr>
              <w:spacing w:line="360" w:lineRule="auto"/>
              <w:jc w:val="center"/>
            </w:pPr>
            <w:r>
              <w:t>47.0</w:t>
            </w:r>
          </w:p>
        </w:tc>
        <w:tc>
          <w:tcPr>
            <w:tcW w:w="1171" w:type="dxa"/>
            <w:tcBorders>
              <w:right w:val="single" w:sz="4" w:space="0" w:color="auto"/>
            </w:tcBorders>
          </w:tcPr>
          <w:p w14:paraId="456F3693" w14:textId="77777777" w:rsidR="00E906F1" w:rsidRPr="003D7BF2" w:rsidRDefault="00E906F1" w:rsidP="00C60244">
            <w:pPr>
              <w:spacing w:line="360" w:lineRule="auto"/>
            </w:pPr>
            <w:r>
              <w:t>0.39</w:t>
            </w:r>
          </w:p>
        </w:tc>
        <w:tc>
          <w:tcPr>
            <w:tcW w:w="1244" w:type="dxa"/>
            <w:tcBorders>
              <w:left w:val="single" w:sz="4" w:space="0" w:color="auto"/>
            </w:tcBorders>
          </w:tcPr>
          <w:p w14:paraId="568D737A" w14:textId="77777777" w:rsidR="00E906F1" w:rsidRPr="003D7BF2" w:rsidRDefault="00E906F1" w:rsidP="00C60244">
            <w:pPr>
              <w:spacing w:line="360" w:lineRule="auto"/>
              <w:jc w:val="center"/>
            </w:pPr>
            <w:r>
              <w:t>47.7</w:t>
            </w:r>
          </w:p>
        </w:tc>
        <w:tc>
          <w:tcPr>
            <w:tcW w:w="1271" w:type="dxa"/>
          </w:tcPr>
          <w:p w14:paraId="0B93F381" w14:textId="77777777" w:rsidR="00E906F1" w:rsidRPr="003D7BF2" w:rsidRDefault="00E906F1" w:rsidP="00C60244">
            <w:pPr>
              <w:spacing w:line="360" w:lineRule="auto"/>
              <w:jc w:val="center"/>
            </w:pPr>
            <w:r>
              <w:t>50.4</w:t>
            </w:r>
          </w:p>
        </w:tc>
        <w:tc>
          <w:tcPr>
            <w:tcW w:w="1001" w:type="dxa"/>
          </w:tcPr>
          <w:p w14:paraId="45F149B8" w14:textId="77777777" w:rsidR="00E906F1" w:rsidRDefault="00E906F1" w:rsidP="00C60244">
            <w:pPr>
              <w:spacing w:line="360" w:lineRule="auto"/>
            </w:pPr>
            <w:r>
              <w:t>0.31</w:t>
            </w:r>
          </w:p>
        </w:tc>
      </w:tr>
      <w:tr w:rsidR="00E906F1" w:rsidRPr="003D7BF2" w14:paraId="2C11D526" w14:textId="77777777" w:rsidTr="00C30D51">
        <w:tc>
          <w:tcPr>
            <w:tcW w:w="2668" w:type="dxa"/>
            <w:tcBorders>
              <w:right w:val="single" w:sz="4" w:space="0" w:color="auto"/>
            </w:tcBorders>
          </w:tcPr>
          <w:p w14:paraId="7E270D61" w14:textId="77777777" w:rsidR="00E906F1" w:rsidRPr="003D7BF2" w:rsidRDefault="00E906F1" w:rsidP="00C60244">
            <w:pPr>
              <w:spacing w:line="360" w:lineRule="auto"/>
              <w:rPr>
                <w:rFonts w:cstheme="minorHAnsi"/>
              </w:rPr>
            </w:pPr>
            <w:r>
              <w:rPr>
                <w:rFonts w:cstheme="minorHAnsi"/>
              </w:rPr>
              <w:t>Chronic bronchitis</w:t>
            </w:r>
          </w:p>
        </w:tc>
        <w:tc>
          <w:tcPr>
            <w:tcW w:w="1192" w:type="dxa"/>
            <w:tcBorders>
              <w:left w:val="single" w:sz="4" w:space="0" w:color="auto"/>
            </w:tcBorders>
          </w:tcPr>
          <w:p w14:paraId="3B394118" w14:textId="77777777" w:rsidR="00E906F1" w:rsidRPr="003D7BF2" w:rsidRDefault="00E906F1" w:rsidP="00C60244">
            <w:pPr>
              <w:spacing w:line="360" w:lineRule="auto"/>
              <w:jc w:val="center"/>
            </w:pPr>
            <w:r>
              <w:t>23.9</w:t>
            </w:r>
          </w:p>
        </w:tc>
        <w:tc>
          <w:tcPr>
            <w:tcW w:w="1380" w:type="dxa"/>
          </w:tcPr>
          <w:p w14:paraId="1E82FD21" w14:textId="77777777" w:rsidR="00E906F1" w:rsidRPr="003D7BF2" w:rsidRDefault="00E906F1" w:rsidP="00C60244">
            <w:pPr>
              <w:spacing w:line="360" w:lineRule="auto"/>
              <w:jc w:val="center"/>
            </w:pPr>
            <w:r>
              <w:t>29.6</w:t>
            </w:r>
          </w:p>
        </w:tc>
        <w:tc>
          <w:tcPr>
            <w:tcW w:w="1171" w:type="dxa"/>
            <w:tcBorders>
              <w:right w:val="single" w:sz="4" w:space="0" w:color="auto"/>
            </w:tcBorders>
          </w:tcPr>
          <w:p w14:paraId="22359270" w14:textId="77777777" w:rsidR="00E906F1" w:rsidRPr="003D7BF2" w:rsidRDefault="00E906F1" w:rsidP="00C60244">
            <w:pPr>
              <w:spacing w:line="360" w:lineRule="auto"/>
            </w:pPr>
            <w:r>
              <w:t>0.006</w:t>
            </w:r>
          </w:p>
        </w:tc>
        <w:tc>
          <w:tcPr>
            <w:tcW w:w="1244" w:type="dxa"/>
            <w:tcBorders>
              <w:left w:val="single" w:sz="4" w:space="0" w:color="auto"/>
            </w:tcBorders>
          </w:tcPr>
          <w:p w14:paraId="7C3F960B" w14:textId="77777777" w:rsidR="00E906F1" w:rsidRPr="003D7BF2" w:rsidRDefault="00E906F1" w:rsidP="00C60244">
            <w:pPr>
              <w:spacing w:line="360" w:lineRule="auto"/>
              <w:jc w:val="center"/>
            </w:pPr>
            <w:r>
              <w:t>22.4</w:t>
            </w:r>
          </w:p>
        </w:tc>
        <w:tc>
          <w:tcPr>
            <w:tcW w:w="1271" w:type="dxa"/>
          </w:tcPr>
          <w:p w14:paraId="2E6C2F84" w14:textId="77777777" w:rsidR="00E906F1" w:rsidRPr="003D7BF2" w:rsidRDefault="00E906F1" w:rsidP="00C60244">
            <w:pPr>
              <w:spacing w:line="360" w:lineRule="auto"/>
              <w:jc w:val="center"/>
            </w:pPr>
            <w:r>
              <w:t>34.5</w:t>
            </w:r>
          </w:p>
        </w:tc>
        <w:tc>
          <w:tcPr>
            <w:tcW w:w="1001" w:type="dxa"/>
          </w:tcPr>
          <w:p w14:paraId="076796D3" w14:textId="77777777" w:rsidR="00E906F1" w:rsidRPr="003D7BF2" w:rsidRDefault="00E906F1" w:rsidP="00C60244">
            <w:pPr>
              <w:spacing w:line="360" w:lineRule="auto"/>
            </w:pPr>
            <w:r>
              <w:t>&lt;0.0001</w:t>
            </w:r>
          </w:p>
        </w:tc>
      </w:tr>
      <w:tr w:rsidR="00E906F1" w:rsidRPr="00D15152" w14:paraId="67A3A5A1" w14:textId="77777777" w:rsidTr="00C30D51">
        <w:tc>
          <w:tcPr>
            <w:tcW w:w="2668" w:type="dxa"/>
            <w:tcBorders>
              <w:right w:val="single" w:sz="4" w:space="0" w:color="auto"/>
            </w:tcBorders>
          </w:tcPr>
          <w:p w14:paraId="432AEAFF" w14:textId="72AF6C4F" w:rsidR="00E906F1" w:rsidRPr="007E727E" w:rsidRDefault="00E906F1" w:rsidP="00C60244">
            <w:pPr>
              <w:spacing w:line="360" w:lineRule="auto"/>
              <w:rPr>
                <w:lang w:val="en-GB"/>
              </w:rPr>
            </w:pPr>
            <w:r w:rsidRPr="007E727E">
              <w:rPr>
                <w:lang w:val="en-GB"/>
              </w:rPr>
              <w:t>Asthma attacks</w:t>
            </w:r>
            <w:r w:rsidR="00864CA9" w:rsidRPr="007E727E">
              <w:rPr>
                <w:lang w:val="en-GB"/>
              </w:rPr>
              <w:t xml:space="preserve"> in last 3 months</w:t>
            </w:r>
            <w:r w:rsidR="00D80A8C" w:rsidRPr="007E727E">
              <w:rPr>
                <w:lang w:val="en-GB"/>
              </w:rPr>
              <w:t>*</w:t>
            </w:r>
          </w:p>
        </w:tc>
        <w:tc>
          <w:tcPr>
            <w:tcW w:w="1192" w:type="dxa"/>
            <w:tcBorders>
              <w:left w:val="single" w:sz="4" w:space="0" w:color="auto"/>
            </w:tcBorders>
          </w:tcPr>
          <w:p w14:paraId="60860A75" w14:textId="77777777" w:rsidR="00E906F1" w:rsidRPr="007E727E" w:rsidRDefault="00E906F1" w:rsidP="00C60244">
            <w:pPr>
              <w:spacing w:line="360" w:lineRule="auto"/>
              <w:jc w:val="center"/>
              <w:rPr>
                <w:lang w:val="en-GB"/>
              </w:rPr>
            </w:pPr>
          </w:p>
        </w:tc>
        <w:tc>
          <w:tcPr>
            <w:tcW w:w="1380" w:type="dxa"/>
          </w:tcPr>
          <w:p w14:paraId="114C11D5" w14:textId="77777777" w:rsidR="00E906F1" w:rsidRPr="007E727E" w:rsidRDefault="00E906F1" w:rsidP="00C60244">
            <w:pPr>
              <w:spacing w:line="360" w:lineRule="auto"/>
              <w:jc w:val="center"/>
              <w:rPr>
                <w:lang w:val="en-GB"/>
              </w:rPr>
            </w:pPr>
          </w:p>
        </w:tc>
        <w:tc>
          <w:tcPr>
            <w:tcW w:w="1171" w:type="dxa"/>
            <w:tcBorders>
              <w:right w:val="single" w:sz="4" w:space="0" w:color="auto"/>
            </w:tcBorders>
          </w:tcPr>
          <w:p w14:paraId="2E54DE5D" w14:textId="763AC1B5" w:rsidR="00E906F1" w:rsidRPr="00D15152" w:rsidRDefault="00E906F1" w:rsidP="00697AC0">
            <w:pPr>
              <w:spacing w:line="360" w:lineRule="auto"/>
            </w:pPr>
            <w:r>
              <w:t>0.</w:t>
            </w:r>
            <w:r w:rsidR="00697AC0">
              <w:t>99</w:t>
            </w:r>
          </w:p>
        </w:tc>
        <w:tc>
          <w:tcPr>
            <w:tcW w:w="1244" w:type="dxa"/>
            <w:tcBorders>
              <w:left w:val="single" w:sz="4" w:space="0" w:color="auto"/>
            </w:tcBorders>
          </w:tcPr>
          <w:p w14:paraId="08E3624A" w14:textId="77777777" w:rsidR="00E906F1" w:rsidRPr="00D15152" w:rsidRDefault="00E906F1" w:rsidP="00C60244">
            <w:pPr>
              <w:spacing w:line="360" w:lineRule="auto"/>
              <w:jc w:val="center"/>
            </w:pPr>
          </w:p>
        </w:tc>
        <w:tc>
          <w:tcPr>
            <w:tcW w:w="1271" w:type="dxa"/>
          </w:tcPr>
          <w:p w14:paraId="163E75D2" w14:textId="77777777" w:rsidR="00E906F1" w:rsidRPr="00D15152" w:rsidRDefault="00E906F1" w:rsidP="00C60244">
            <w:pPr>
              <w:spacing w:line="360" w:lineRule="auto"/>
              <w:jc w:val="center"/>
            </w:pPr>
          </w:p>
        </w:tc>
        <w:tc>
          <w:tcPr>
            <w:tcW w:w="1001" w:type="dxa"/>
          </w:tcPr>
          <w:p w14:paraId="753AB0F5" w14:textId="095D9656" w:rsidR="00E906F1" w:rsidRPr="00D15152" w:rsidRDefault="00593D21" w:rsidP="00C60244">
            <w:pPr>
              <w:spacing w:line="360" w:lineRule="auto"/>
            </w:pPr>
            <w:r>
              <w:t>0.96</w:t>
            </w:r>
          </w:p>
        </w:tc>
      </w:tr>
      <w:tr w:rsidR="00E906F1" w14:paraId="53F924D9" w14:textId="77777777" w:rsidTr="00C30D51">
        <w:tc>
          <w:tcPr>
            <w:tcW w:w="2668" w:type="dxa"/>
            <w:tcBorders>
              <w:right w:val="single" w:sz="4" w:space="0" w:color="auto"/>
            </w:tcBorders>
          </w:tcPr>
          <w:p w14:paraId="0C1610CC" w14:textId="77777777" w:rsidR="00E906F1" w:rsidRDefault="00E906F1" w:rsidP="00C60244">
            <w:pPr>
              <w:spacing w:line="360" w:lineRule="auto"/>
            </w:pPr>
            <w:r>
              <w:t xml:space="preserve">  0</w:t>
            </w:r>
          </w:p>
        </w:tc>
        <w:tc>
          <w:tcPr>
            <w:tcW w:w="1192" w:type="dxa"/>
            <w:tcBorders>
              <w:left w:val="single" w:sz="4" w:space="0" w:color="auto"/>
            </w:tcBorders>
          </w:tcPr>
          <w:p w14:paraId="458F0686" w14:textId="743B91C0" w:rsidR="00E906F1" w:rsidRDefault="00697AC0" w:rsidP="00C60244">
            <w:pPr>
              <w:spacing w:line="360" w:lineRule="auto"/>
              <w:jc w:val="center"/>
            </w:pPr>
            <w:r>
              <w:t>61.9</w:t>
            </w:r>
          </w:p>
        </w:tc>
        <w:tc>
          <w:tcPr>
            <w:tcW w:w="1380" w:type="dxa"/>
          </w:tcPr>
          <w:p w14:paraId="1AFA2729" w14:textId="304F7425" w:rsidR="00E906F1" w:rsidRDefault="00697AC0" w:rsidP="00C60244">
            <w:pPr>
              <w:spacing w:line="360" w:lineRule="auto"/>
              <w:jc w:val="center"/>
            </w:pPr>
            <w:r>
              <w:t>62.0</w:t>
            </w:r>
          </w:p>
        </w:tc>
        <w:tc>
          <w:tcPr>
            <w:tcW w:w="1171" w:type="dxa"/>
            <w:tcBorders>
              <w:right w:val="single" w:sz="4" w:space="0" w:color="auto"/>
            </w:tcBorders>
          </w:tcPr>
          <w:p w14:paraId="09BD19A1" w14:textId="77777777" w:rsidR="00E906F1" w:rsidRDefault="00E906F1" w:rsidP="00C60244">
            <w:pPr>
              <w:spacing w:line="360" w:lineRule="auto"/>
            </w:pPr>
          </w:p>
        </w:tc>
        <w:tc>
          <w:tcPr>
            <w:tcW w:w="1244" w:type="dxa"/>
            <w:tcBorders>
              <w:left w:val="single" w:sz="4" w:space="0" w:color="auto"/>
            </w:tcBorders>
          </w:tcPr>
          <w:p w14:paraId="368CDEC6" w14:textId="6E682AA8" w:rsidR="00E906F1" w:rsidRDefault="00593D21" w:rsidP="00C60244">
            <w:pPr>
              <w:spacing w:line="360" w:lineRule="auto"/>
              <w:jc w:val="center"/>
            </w:pPr>
            <w:r>
              <w:t>62.0</w:t>
            </w:r>
          </w:p>
        </w:tc>
        <w:tc>
          <w:tcPr>
            <w:tcW w:w="1271" w:type="dxa"/>
          </w:tcPr>
          <w:p w14:paraId="554B2EFD" w14:textId="6192222C" w:rsidR="00E906F1" w:rsidRDefault="00593D21" w:rsidP="00C60244">
            <w:pPr>
              <w:spacing w:line="360" w:lineRule="auto"/>
              <w:jc w:val="center"/>
            </w:pPr>
            <w:r>
              <w:t>61.6</w:t>
            </w:r>
          </w:p>
        </w:tc>
        <w:tc>
          <w:tcPr>
            <w:tcW w:w="1001" w:type="dxa"/>
          </w:tcPr>
          <w:p w14:paraId="405690AD" w14:textId="77777777" w:rsidR="00E906F1" w:rsidRDefault="00E906F1" w:rsidP="00C60244">
            <w:pPr>
              <w:spacing w:line="360" w:lineRule="auto"/>
            </w:pPr>
          </w:p>
        </w:tc>
      </w:tr>
      <w:tr w:rsidR="00E906F1" w14:paraId="10CFC25E" w14:textId="77777777" w:rsidTr="00C30D51">
        <w:tc>
          <w:tcPr>
            <w:tcW w:w="2668" w:type="dxa"/>
            <w:tcBorders>
              <w:right w:val="single" w:sz="4" w:space="0" w:color="auto"/>
            </w:tcBorders>
          </w:tcPr>
          <w:p w14:paraId="1807772B" w14:textId="77777777" w:rsidR="00E906F1" w:rsidRDefault="00E906F1" w:rsidP="00C60244">
            <w:pPr>
              <w:spacing w:line="360" w:lineRule="auto"/>
            </w:pPr>
            <w:r>
              <w:t xml:space="preserve">  1</w:t>
            </w:r>
          </w:p>
        </w:tc>
        <w:tc>
          <w:tcPr>
            <w:tcW w:w="1192" w:type="dxa"/>
            <w:tcBorders>
              <w:left w:val="single" w:sz="4" w:space="0" w:color="auto"/>
            </w:tcBorders>
          </w:tcPr>
          <w:p w14:paraId="71737A65" w14:textId="77B42B03" w:rsidR="00E906F1" w:rsidRDefault="00697AC0" w:rsidP="00C60244">
            <w:pPr>
              <w:spacing w:line="360" w:lineRule="auto"/>
              <w:jc w:val="center"/>
            </w:pPr>
            <w:r>
              <w:t>17.1</w:t>
            </w:r>
          </w:p>
        </w:tc>
        <w:tc>
          <w:tcPr>
            <w:tcW w:w="1380" w:type="dxa"/>
          </w:tcPr>
          <w:p w14:paraId="762B635C" w14:textId="2913ED43" w:rsidR="00E906F1" w:rsidRDefault="00697AC0" w:rsidP="00C60244">
            <w:pPr>
              <w:spacing w:line="360" w:lineRule="auto"/>
              <w:jc w:val="center"/>
            </w:pPr>
            <w:r>
              <w:t>17.2</w:t>
            </w:r>
          </w:p>
        </w:tc>
        <w:tc>
          <w:tcPr>
            <w:tcW w:w="1171" w:type="dxa"/>
            <w:tcBorders>
              <w:right w:val="single" w:sz="4" w:space="0" w:color="auto"/>
            </w:tcBorders>
          </w:tcPr>
          <w:p w14:paraId="798FA532" w14:textId="77777777" w:rsidR="00E906F1" w:rsidRDefault="00E906F1" w:rsidP="00C60244">
            <w:pPr>
              <w:spacing w:line="360" w:lineRule="auto"/>
            </w:pPr>
          </w:p>
        </w:tc>
        <w:tc>
          <w:tcPr>
            <w:tcW w:w="1244" w:type="dxa"/>
            <w:tcBorders>
              <w:left w:val="single" w:sz="4" w:space="0" w:color="auto"/>
            </w:tcBorders>
          </w:tcPr>
          <w:p w14:paraId="16C17B35" w14:textId="779A6FF2" w:rsidR="00E906F1" w:rsidRDefault="00593D21" w:rsidP="00C60244">
            <w:pPr>
              <w:spacing w:line="360" w:lineRule="auto"/>
              <w:jc w:val="center"/>
            </w:pPr>
            <w:r>
              <w:t>17.2</w:t>
            </w:r>
          </w:p>
        </w:tc>
        <w:tc>
          <w:tcPr>
            <w:tcW w:w="1271" w:type="dxa"/>
          </w:tcPr>
          <w:p w14:paraId="17A06677" w14:textId="25D4B797" w:rsidR="00E906F1" w:rsidRDefault="00593D21" w:rsidP="00C60244">
            <w:pPr>
              <w:spacing w:line="360" w:lineRule="auto"/>
              <w:jc w:val="center"/>
            </w:pPr>
            <w:r>
              <w:t>16.5</w:t>
            </w:r>
          </w:p>
        </w:tc>
        <w:tc>
          <w:tcPr>
            <w:tcW w:w="1001" w:type="dxa"/>
          </w:tcPr>
          <w:p w14:paraId="7F879E45" w14:textId="77777777" w:rsidR="00E906F1" w:rsidRDefault="00E906F1" w:rsidP="00C60244">
            <w:pPr>
              <w:spacing w:line="360" w:lineRule="auto"/>
            </w:pPr>
          </w:p>
        </w:tc>
      </w:tr>
      <w:tr w:rsidR="00E906F1" w14:paraId="78BED90B" w14:textId="77777777" w:rsidTr="00C30D51">
        <w:tc>
          <w:tcPr>
            <w:tcW w:w="2668" w:type="dxa"/>
            <w:tcBorders>
              <w:right w:val="single" w:sz="4" w:space="0" w:color="auto"/>
            </w:tcBorders>
          </w:tcPr>
          <w:p w14:paraId="0D604906" w14:textId="77777777" w:rsidR="00E906F1" w:rsidRDefault="00E906F1" w:rsidP="00C60244">
            <w:pPr>
              <w:spacing w:line="360" w:lineRule="auto"/>
            </w:pPr>
            <w:r>
              <w:t xml:space="preserve">  2 or more</w:t>
            </w:r>
          </w:p>
        </w:tc>
        <w:tc>
          <w:tcPr>
            <w:tcW w:w="1192" w:type="dxa"/>
            <w:tcBorders>
              <w:left w:val="single" w:sz="4" w:space="0" w:color="auto"/>
            </w:tcBorders>
          </w:tcPr>
          <w:p w14:paraId="41DE197C" w14:textId="2454BB07" w:rsidR="00E906F1" w:rsidRDefault="00697AC0" w:rsidP="00C60244">
            <w:pPr>
              <w:spacing w:line="360" w:lineRule="auto"/>
              <w:jc w:val="center"/>
            </w:pPr>
            <w:r>
              <w:t>21.0</w:t>
            </w:r>
          </w:p>
        </w:tc>
        <w:tc>
          <w:tcPr>
            <w:tcW w:w="1380" w:type="dxa"/>
          </w:tcPr>
          <w:p w14:paraId="00848DA1" w14:textId="69C61A8F" w:rsidR="00E906F1" w:rsidRDefault="00697AC0" w:rsidP="00C60244">
            <w:pPr>
              <w:spacing w:line="360" w:lineRule="auto"/>
              <w:jc w:val="center"/>
            </w:pPr>
            <w:r>
              <w:t>20.8</w:t>
            </w:r>
          </w:p>
        </w:tc>
        <w:tc>
          <w:tcPr>
            <w:tcW w:w="1171" w:type="dxa"/>
            <w:tcBorders>
              <w:right w:val="single" w:sz="4" w:space="0" w:color="auto"/>
            </w:tcBorders>
          </w:tcPr>
          <w:p w14:paraId="783A1C52" w14:textId="77777777" w:rsidR="00E906F1" w:rsidRDefault="00E906F1" w:rsidP="00C60244">
            <w:pPr>
              <w:spacing w:line="360" w:lineRule="auto"/>
            </w:pPr>
          </w:p>
        </w:tc>
        <w:tc>
          <w:tcPr>
            <w:tcW w:w="1244" w:type="dxa"/>
            <w:tcBorders>
              <w:left w:val="single" w:sz="4" w:space="0" w:color="auto"/>
            </w:tcBorders>
          </w:tcPr>
          <w:p w14:paraId="685D76E4" w14:textId="408DE6D9" w:rsidR="00E906F1" w:rsidRDefault="00593D21" w:rsidP="00C60244">
            <w:pPr>
              <w:spacing w:line="360" w:lineRule="auto"/>
              <w:jc w:val="center"/>
            </w:pPr>
            <w:r>
              <w:t>20.8</w:t>
            </w:r>
          </w:p>
        </w:tc>
        <w:tc>
          <w:tcPr>
            <w:tcW w:w="1271" w:type="dxa"/>
          </w:tcPr>
          <w:p w14:paraId="64A6ED01" w14:textId="715005A9" w:rsidR="00E906F1" w:rsidRDefault="00593D21" w:rsidP="00C60244">
            <w:pPr>
              <w:spacing w:line="360" w:lineRule="auto"/>
              <w:jc w:val="center"/>
            </w:pPr>
            <w:r>
              <w:t>21.8</w:t>
            </w:r>
          </w:p>
        </w:tc>
        <w:tc>
          <w:tcPr>
            <w:tcW w:w="1001" w:type="dxa"/>
          </w:tcPr>
          <w:p w14:paraId="72DF39F1" w14:textId="77777777" w:rsidR="00E906F1" w:rsidRDefault="00E906F1" w:rsidP="00C60244">
            <w:pPr>
              <w:spacing w:line="360" w:lineRule="auto"/>
            </w:pPr>
          </w:p>
        </w:tc>
      </w:tr>
      <w:tr w:rsidR="00E906F1" w14:paraId="4898FC0C" w14:textId="77777777" w:rsidTr="00C30D51">
        <w:tc>
          <w:tcPr>
            <w:tcW w:w="2668" w:type="dxa"/>
            <w:tcBorders>
              <w:right w:val="single" w:sz="4" w:space="0" w:color="auto"/>
            </w:tcBorders>
          </w:tcPr>
          <w:p w14:paraId="4C997CFF" w14:textId="0812922C" w:rsidR="00E906F1" w:rsidRDefault="00E906F1" w:rsidP="00C60244">
            <w:pPr>
              <w:spacing w:line="360" w:lineRule="auto"/>
              <w:rPr>
                <w:rFonts w:cstheme="minorHAnsi"/>
              </w:rPr>
            </w:pPr>
            <w:r>
              <w:rPr>
                <w:rFonts w:cstheme="minorHAnsi"/>
              </w:rPr>
              <w:t>Nasal allergy</w:t>
            </w:r>
            <w:r w:rsidR="00D80A8C">
              <w:rPr>
                <w:rFonts w:cstheme="minorHAnsi"/>
              </w:rPr>
              <w:t>*</w:t>
            </w:r>
          </w:p>
        </w:tc>
        <w:tc>
          <w:tcPr>
            <w:tcW w:w="1192" w:type="dxa"/>
            <w:tcBorders>
              <w:left w:val="single" w:sz="4" w:space="0" w:color="auto"/>
            </w:tcBorders>
          </w:tcPr>
          <w:p w14:paraId="375D222C" w14:textId="77777777" w:rsidR="00E906F1" w:rsidRDefault="00E906F1" w:rsidP="00C60244">
            <w:pPr>
              <w:spacing w:line="360" w:lineRule="auto"/>
              <w:jc w:val="center"/>
            </w:pPr>
            <w:r>
              <w:t>65.7</w:t>
            </w:r>
          </w:p>
        </w:tc>
        <w:tc>
          <w:tcPr>
            <w:tcW w:w="1380" w:type="dxa"/>
          </w:tcPr>
          <w:p w14:paraId="0AF4BC2B" w14:textId="77777777" w:rsidR="00E906F1" w:rsidRDefault="00E906F1" w:rsidP="00C60244">
            <w:pPr>
              <w:spacing w:line="360" w:lineRule="auto"/>
              <w:jc w:val="center"/>
            </w:pPr>
            <w:r>
              <w:t>62.2</w:t>
            </w:r>
          </w:p>
        </w:tc>
        <w:tc>
          <w:tcPr>
            <w:tcW w:w="1171" w:type="dxa"/>
            <w:tcBorders>
              <w:right w:val="single" w:sz="4" w:space="0" w:color="auto"/>
            </w:tcBorders>
          </w:tcPr>
          <w:p w14:paraId="69E36A5A" w14:textId="77777777" w:rsidR="00E906F1" w:rsidRDefault="00E906F1" w:rsidP="00C60244">
            <w:pPr>
              <w:spacing w:line="360" w:lineRule="auto"/>
            </w:pPr>
            <w:r>
              <w:t>0.35</w:t>
            </w:r>
          </w:p>
        </w:tc>
        <w:tc>
          <w:tcPr>
            <w:tcW w:w="1244" w:type="dxa"/>
            <w:tcBorders>
              <w:left w:val="single" w:sz="4" w:space="0" w:color="auto"/>
            </w:tcBorders>
          </w:tcPr>
          <w:p w14:paraId="5473E964" w14:textId="77777777" w:rsidR="00E906F1" w:rsidRDefault="00E906F1" w:rsidP="00C60244">
            <w:pPr>
              <w:spacing w:line="360" w:lineRule="auto"/>
              <w:jc w:val="center"/>
            </w:pPr>
            <w:r>
              <w:t>66.9</w:t>
            </w:r>
          </w:p>
        </w:tc>
        <w:tc>
          <w:tcPr>
            <w:tcW w:w="1271" w:type="dxa"/>
          </w:tcPr>
          <w:p w14:paraId="7DCD9457" w14:textId="77777777" w:rsidR="00E906F1" w:rsidRDefault="00E906F1" w:rsidP="00C60244">
            <w:pPr>
              <w:spacing w:line="360" w:lineRule="auto"/>
              <w:jc w:val="center"/>
            </w:pPr>
            <w:r>
              <w:t>56.3</w:t>
            </w:r>
          </w:p>
        </w:tc>
        <w:tc>
          <w:tcPr>
            <w:tcW w:w="1001" w:type="dxa"/>
          </w:tcPr>
          <w:p w14:paraId="52C0C6D7" w14:textId="77777777" w:rsidR="00E906F1" w:rsidRDefault="00E906F1" w:rsidP="00C60244">
            <w:pPr>
              <w:spacing w:line="360" w:lineRule="auto"/>
            </w:pPr>
            <w:r>
              <w:t>0.01</w:t>
            </w:r>
          </w:p>
        </w:tc>
      </w:tr>
      <w:tr w:rsidR="00E906F1" w14:paraId="047B3E23" w14:textId="77777777" w:rsidTr="00C30D51">
        <w:tc>
          <w:tcPr>
            <w:tcW w:w="2668" w:type="dxa"/>
            <w:tcBorders>
              <w:right w:val="single" w:sz="4" w:space="0" w:color="auto"/>
            </w:tcBorders>
          </w:tcPr>
          <w:p w14:paraId="300A3F50" w14:textId="77777777" w:rsidR="00E906F1" w:rsidRDefault="00E906F1" w:rsidP="00C60244">
            <w:pPr>
              <w:spacing w:line="360" w:lineRule="auto"/>
              <w:rPr>
                <w:rFonts w:cstheme="minorHAnsi"/>
              </w:rPr>
            </w:pPr>
            <w:r>
              <w:rPr>
                <w:rFonts w:cstheme="minorHAnsi"/>
              </w:rPr>
              <w:t>IgE sensitisation**</w:t>
            </w:r>
          </w:p>
        </w:tc>
        <w:tc>
          <w:tcPr>
            <w:tcW w:w="1192" w:type="dxa"/>
            <w:tcBorders>
              <w:left w:val="single" w:sz="4" w:space="0" w:color="auto"/>
            </w:tcBorders>
          </w:tcPr>
          <w:p w14:paraId="142BA992" w14:textId="77777777" w:rsidR="00E906F1" w:rsidRDefault="00E906F1" w:rsidP="00C60244">
            <w:pPr>
              <w:spacing w:line="360" w:lineRule="auto"/>
              <w:jc w:val="center"/>
            </w:pPr>
          </w:p>
        </w:tc>
        <w:tc>
          <w:tcPr>
            <w:tcW w:w="1380" w:type="dxa"/>
          </w:tcPr>
          <w:p w14:paraId="6A1500C8" w14:textId="77777777" w:rsidR="00E906F1" w:rsidRDefault="00E906F1" w:rsidP="00C60244">
            <w:pPr>
              <w:spacing w:line="360" w:lineRule="auto"/>
              <w:jc w:val="center"/>
            </w:pPr>
          </w:p>
        </w:tc>
        <w:tc>
          <w:tcPr>
            <w:tcW w:w="1171" w:type="dxa"/>
            <w:tcBorders>
              <w:right w:val="single" w:sz="4" w:space="0" w:color="auto"/>
            </w:tcBorders>
          </w:tcPr>
          <w:p w14:paraId="42CBE215" w14:textId="77777777" w:rsidR="00E906F1" w:rsidRDefault="00E906F1" w:rsidP="00C60244">
            <w:pPr>
              <w:spacing w:line="360" w:lineRule="auto"/>
            </w:pPr>
          </w:p>
        </w:tc>
        <w:tc>
          <w:tcPr>
            <w:tcW w:w="1244" w:type="dxa"/>
            <w:tcBorders>
              <w:left w:val="single" w:sz="4" w:space="0" w:color="auto"/>
            </w:tcBorders>
          </w:tcPr>
          <w:p w14:paraId="22AD08E9" w14:textId="77777777" w:rsidR="00E906F1" w:rsidRDefault="00E906F1" w:rsidP="00C60244">
            <w:pPr>
              <w:spacing w:line="360" w:lineRule="auto"/>
              <w:jc w:val="center"/>
            </w:pPr>
          </w:p>
        </w:tc>
        <w:tc>
          <w:tcPr>
            <w:tcW w:w="1271" w:type="dxa"/>
          </w:tcPr>
          <w:p w14:paraId="633B9ED8" w14:textId="77777777" w:rsidR="00E906F1" w:rsidRDefault="00E906F1" w:rsidP="00C60244">
            <w:pPr>
              <w:spacing w:line="360" w:lineRule="auto"/>
              <w:jc w:val="center"/>
            </w:pPr>
          </w:p>
        </w:tc>
        <w:tc>
          <w:tcPr>
            <w:tcW w:w="1001" w:type="dxa"/>
          </w:tcPr>
          <w:p w14:paraId="0149BA43" w14:textId="77777777" w:rsidR="00E906F1" w:rsidRDefault="00E906F1" w:rsidP="00C60244">
            <w:pPr>
              <w:spacing w:line="360" w:lineRule="auto"/>
            </w:pPr>
          </w:p>
        </w:tc>
      </w:tr>
      <w:tr w:rsidR="00E906F1" w14:paraId="1F63FC4E" w14:textId="77777777" w:rsidTr="00C30D51">
        <w:tc>
          <w:tcPr>
            <w:tcW w:w="2668" w:type="dxa"/>
            <w:tcBorders>
              <w:right w:val="single" w:sz="4" w:space="0" w:color="auto"/>
            </w:tcBorders>
          </w:tcPr>
          <w:p w14:paraId="070B7520" w14:textId="7AACB24C" w:rsidR="00E906F1" w:rsidRDefault="00E906F1" w:rsidP="00C60244">
            <w:pPr>
              <w:spacing w:line="360" w:lineRule="auto"/>
              <w:rPr>
                <w:rFonts w:cstheme="minorHAnsi"/>
              </w:rPr>
            </w:pPr>
            <w:r>
              <w:rPr>
                <w:rFonts w:cstheme="minorHAnsi"/>
              </w:rPr>
              <w:t xml:space="preserve">  Pets</w:t>
            </w:r>
            <w:r w:rsidR="00D82092">
              <w:rPr>
                <w:rFonts w:cstheme="minorHAnsi"/>
              </w:rPr>
              <w:t>**</w:t>
            </w:r>
          </w:p>
        </w:tc>
        <w:tc>
          <w:tcPr>
            <w:tcW w:w="1192" w:type="dxa"/>
            <w:tcBorders>
              <w:left w:val="single" w:sz="4" w:space="0" w:color="auto"/>
            </w:tcBorders>
          </w:tcPr>
          <w:p w14:paraId="5D98F245" w14:textId="77777777" w:rsidR="00E906F1" w:rsidRDefault="00E906F1" w:rsidP="00C60244">
            <w:pPr>
              <w:spacing w:line="360" w:lineRule="auto"/>
              <w:jc w:val="center"/>
            </w:pPr>
            <w:r>
              <w:t>51.0</w:t>
            </w:r>
          </w:p>
        </w:tc>
        <w:tc>
          <w:tcPr>
            <w:tcW w:w="1380" w:type="dxa"/>
          </w:tcPr>
          <w:p w14:paraId="4F9330FD" w14:textId="77777777" w:rsidR="00E906F1" w:rsidRDefault="00E906F1" w:rsidP="00C60244">
            <w:pPr>
              <w:spacing w:line="360" w:lineRule="auto"/>
              <w:jc w:val="center"/>
            </w:pPr>
            <w:r>
              <w:t>58.0</w:t>
            </w:r>
          </w:p>
        </w:tc>
        <w:tc>
          <w:tcPr>
            <w:tcW w:w="1171" w:type="dxa"/>
            <w:tcBorders>
              <w:right w:val="single" w:sz="4" w:space="0" w:color="auto"/>
            </w:tcBorders>
          </w:tcPr>
          <w:p w14:paraId="5CCB49DA" w14:textId="77777777" w:rsidR="00E906F1" w:rsidRDefault="00E906F1" w:rsidP="00C60244">
            <w:pPr>
              <w:spacing w:line="360" w:lineRule="auto"/>
            </w:pPr>
            <w:r>
              <w:t>0.09</w:t>
            </w:r>
          </w:p>
        </w:tc>
        <w:tc>
          <w:tcPr>
            <w:tcW w:w="1244" w:type="dxa"/>
            <w:tcBorders>
              <w:left w:val="single" w:sz="4" w:space="0" w:color="auto"/>
            </w:tcBorders>
          </w:tcPr>
          <w:p w14:paraId="7DDD1844" w14:textId="44B52CD9" w:rsidR="00E906F1" w:rsidRDefault="00593D21" w:rsidP="00C60244">
            <w:pPr>
              <w:spacing w:line="360" w:lineRule="auto"/>
              <w:jc w:val="center"/>
            </w:pPr>
            <w:r>
              <w:t>52.7</w:t>
            </w:r>
          </w:p>
        </w:tc>
        <w:tc>
          <w:tcPr>
            <w:tcW w:w="1271" w:type="dxa"/>
          </w:tcPr>
          <w:p w14:paraId="25F8F45F" w14:textId="14C66B82" w:rsidR="00E906F1" w:rsidRDefault="00593D21" w:rsidP="00C60244">
            <w:pPr>
              <w:spacing w:line="360" w:lineRule="auto"/>
              <w:jc w:val="center"/>
            </w:pPr>
            <w:r>
              <w:t>50.4</w:t>
            </w:r>
          </w:p>
        </w:tc>
        <w:tc>
          <w:tcPr>
            <w:tcW w:w="1001" w:type="dxa"/>
          </w:tcPr>
          <w:p w14:paraId="5AC3AA2A" w14:textId="6038C00F" w:rsidR="00E906F1" w:rsidRDefault="00593D21" w:rsidP="00C60244">
            <w:pPr>
              <w:spacing w:line="360" w:lineRule="auto"/>
            </w:pPr>
            <w:r>
              <w:t>0.63</w:t>
            </w:r>
          </w:p>
        </w:tc>
      </w:tr>
      <w:tr w:rsidR="00E906F1" w14:paraId="443F3C02" w14:textId="77777777" w:rsidTr="00C30D51">
        <w:tc>
          <w:tcPr>
            <w:tcW w:w="2668" w:type="dxa"/>
            <w:tcBorders>
              <w:right w:val="single" w:sz="4" w:space="0" w:color="auto"/>
            </w:tcBorders>
          </w:tcPr>
          <w:p w14:paraId="59D2F727" w14:textId="18873386" w:rsidR="00E906F1" w:rsidRDefault="00E906F1" w:rsidP="00C60244">
            <w:pPr>
              <w:spacing w:line="360" w:lineRule="auto"/>
              <w:rPr>
                <w:rFonts w:cstheme="minorHAnsi"/>
              </w:rPr>
            </w:pPr>
            <w:r>
              <w:rPr>
                <w:rFonts w:cstheme="minorHAnsi"/>
              </w:rPr>
              <w:t xml:space="preserve">  Mite</w:t>
            </w:r>
            <w:r w:rsidR="00D82092">
              <w:rPr>
                <w:rFonts w:cstheme="minorHAnsi"/>
              </w:rPr>
              <w:t>**</w:t>
            </w:r>
          </w:p>
        </w:tc>
        <w:tc>
          <w:tcPr>
            <w:tcW w:w="1192" w:type="dxa"/>
            <w:tcBorders>
              <w:left w:val="single" w:sz="4" w:space="0" w:color="auto"/>
            </w:tcBorders>
          </w:tcPr>
          <w:p w14:paraId="0D608390" w14:textId="77777777" w:rsidR="00E906F1" w:rsidRDefault="00E906F1" w:rsidP="00C60244">
            <w:pPr>
              <w:spacing w:line="360" w:lineRule="auto"/>
              <w:jc w:val="center"/>
            </w:pPr>
            <w:r>
              <w:t>33.9</w:t>
            </w:r>
          </w:p>
        </w:tc>
        <w:tc>
          <w:tcPr>
            <w:tcW w:w="1380" w:type="dxa"/>
          </w:tcPr>
          <w:p w14:paraId="4AA3F079" w14:textId="77777777" w:rsidR="00E906F1" w:rsidRDefault="00E906F1" w:rsidP="00C60244">
            <w:pPr>
              <w:spacing w:line="360" w:lineRule="auto"/>
              <w:jc w:val="center"/>
            </w:pPr>
            <w:r>
              <w:t>42.4</w:t>
            </w:r>
          </w:p>
        </w:tc>
        <w:tc>
          <w:tcPr>
            <w:tcW w:w="1171" w:type="dxa"/>
            <w:tcBorders>
              <w:right w:val="single" w:sz="4" w:space="0" w:color="auto"/>
            </w:tcBorders>
          </w:tcPr>
          <w:p w14:paraId="0E4D1E89" w14:textId="77777777" w:rsidR="00E906F1" w:rsidRDefault="00E906F1" w:rsidP="00C60244">
            <w:pPr>
              <w:spacing w:line="360" w:lineRule="auto"/>
            </w:pPr>
            <w:r>
              <w:t>0.03</w:t>
            </w:r>
          </w:p>
        </w:tc>
        <w:tc>
          <w:tcPr>
            <w:tcW w:w="1244" w:type="dxa"/>
            <w:tcBorders>
              <w:left w:val="single" w:sz="4" w:space="0" w:color="auto"/>
            </w:tcBorders>
          </w:tcPr>
          <w:p w14:paraId="3F9939AC" w14:textId="2C17C8E3" w:rsidR="00E906F1" w:rsidRDefault="00593D21" w:rsidP="00C60244">
            <w:pPr>
              <w:spacing w:line="360" w:lineRule="auto"/>
              <w:jc w:val="center"/>
            </w:pPr>
            <w:r>
              <w:t>35.3</w:t>
            </w:r>
          </w:p>
        </w:tc>
        <w:tc>
          <w:tcPr>
            <w:tcW w:w="1271" w:type="dxa"/>
          </w:tcPr>
          <w:p w14:paraId="74465565" w14:textId="1FBB315C" w:rsidR="00E906F1" w:rsidRDefault="00593D21" w:rsidP="00C60244">
            <w:pPr>
              <w:spacing w:line="360" w:lineRule="auto"/>
              <w:jc w:val="center"/>
            </w:pPr>
            <w:r>
              <w:t>35.8</w:t>
            </w:r>
          </w:p>
        </w:tc>
        <w:tc>
          <w:tcPr>
            <w:tcW w:w="1001" w:type="dxa"/>
          </w:tcPr>
          <w:p w14:paraId="494702B2" w14:textId="6BE7185A" w:rsidR="00E906F1" w:rsidRDefault="00593D21" w:rsidP="00C60244">
            <w:pPr>
              <w:spacing w:line="360" w:lineRule="auto"/>
            </w:pPr>
            <w:r>
              <w:t>0.91</w:t>
            </w:r>
          </w:p>
        </w:tc>
      </w:tr>
      <w:tr w:rsidR="00E906F1" w14:paraId="0E5251B0" w14:textId="77777777" w:rsidTr="00C30D51">
        <w:tc>
          <w:tcPr>
            <w:tcW w:w="2668" w:type="dxa"/>
            <w:tcBorders>
              <w:right w:val="single" w:sz="4" w:space="0" w:color="auto"/>
            </w:tcBorders>
          </w:tcPr>
          <w:p w14:paraId="48EDEE4B" w14:textId="415717DE" w:rsidR="00E906F1" w:rsidRDefault="00E906F1" w:rsidP="00C60244">
            <w:pPr>
              <w:spacing w:line="360" w:lineRule="auto"/>
              <w:rPr>
                <w:rFonts w:cstheme="minorHAnsi"/>
              </w:rPr>
            </w:pPr>
            <w:r>
              <w:rPr>
                <w:rFonts w:cstheme="minorHAnsi"/>
              </w:rPr>
              <w:t xml:space="preserve">  Pollen</w:t>
            </w:r>
            <w:r w:rsidR="00D82092">
              <w:rPr>
                <w:rFonts w:cstheme="minorHAnsi"/>
              </w:rPr>
              <w:t>**</w:t>
            </w:r>
          </w:p>
        </w:tc>
        <w:tc>
          <w:tcPr>
            <w:tcW w:w="1192" w:type="dxa"/>
            <w:tcBorders>
              <w:left w:val="single" w:sz="4" w:space="0" w:color="auto"/>
            </w:tcBorders>
          </w:tcPr>
          <w:p w14:paraId="6ADB9DB8" w14:textId="77777777" w:rsidR="00E906F1" w:rsidRDefault="00E906F1" w:rsidP="00C60244">
            <w:pPr>
              <w:spacing w:line="360" w:lineRule="auto"/>
              <w:jc w:val="center"/>
            </w:pPr>
            <w:r>
              <w:t>54.6</w:t>
            </w:r>
          </w:p>
        </w:tc>
        <w:tc>
          <w:tcPr>
            <w:tcW w:w="1380" w:type="dxa"/>
          </w:tcPr>
          <w:p w14:paraId="063E79F5" w14:textId="77777777" w:rsidR="00E906F1" w:rsidRDefault="00E906F1" w:rsidP="00C60244">
            <w:pPr>
              <w:spacing w:line="360" w:lineRule="auto"/>
              <w:jc w:val="center"/>
            </w:pPr>
            <w:r>
              <w:t>56.0</w:t>
            </w:r>
          </w:p>
        </w:tc>
        <w:tc>
          <w:tcPr>
            <w:tcW w:w="1171" w:type="dxa"/>
            <w:tcBorders>
              <w:right w:val="single" w:sz="4" w:space="0" w:color="auto"/>
            </w:tcBorders>
          </w:tcPr>
          <w:p w14:paraId="25D964E0" w14:textId="77777777" w:rsidR="00E906F1" w:rsidRDefault="00E906F1" w:rsidP="00C60244">
            <w:pPr>
              <w:spacing w:line="360" w:lineRule="auto"/>
            </w:pPr>
            <w:r>
              <w:t>0.74</w:t>
            </w:r>
          </w:p>
        </w:tc>
        <w:tc>
          <w:tcPr>
            <w:tcW w:w="1244" w:type="dxa"/>
            <w:tcBorders>
              <w:left w:val="single" w:sz="4" w:space="0" w:color="auto"/>
            </w:tcBorders>
          </w:tcPr>
          <w:p w14:paraId="1FFFBA0C" w14:textId="5E2960DD" w:rsidR="00E906F1" w:rsidRDefault="00593D21" w:rsidP="00C60244">
            <w:pPr>
              <w:spacing w:line="360" w:lineRule="auto"/>
              <w:jc w:val="center"/>
            </w:pPr>
            <w:r>
              <w:t>56.0</w:t>
            </w:r>
          </w:p>
        </w:tc>
        <w:tc>
          <w:tcPr>
            <w:tcW w:w="1271" w:type="dxa"/>
          </w:tcPr>
          <w:p w14:paraId="30911B94" w14:textId="5063EBD3" w:rsidR="00E906F1" w:rsidRDefault="00593D21" w:rsidP="00C60244">
            <w:pPr>
              <w:spacing w:line="360" w:lineRule="auto"/>
              <w:jc w:val="center"/>
            </w:pPr>
            <w:r>
              <w:t>50.4</w:t>
            </w:r>
          </w:p>
        </w:tc>
        <w:tc>
          <w:tcPr>
            <w:tcW w:w="1001" w:type="dxa"/>
          </w:tcPr>
          <w:p w14:paraId="49DBBF9A" w14:textId="25A32341" w:rsidR="00E906F1" w:rsidRDefault="00593D21" w:rsidP="00C60244">
            <w:pPr>
              <w:spacing w:line="360" w:lineRule="auto"/>
            </w:pPr>
            <w:r>
              <w:t>0.24</w:t>
            </w:r>
          </w:p>
        </w:tc>
      </w:tr>
      <w:tr w:rsidR="00E906F1" w14:paraId="7534F068" w14:textId="77777777" w:rsidTr="00C30D51">
        <w:tc>
          <w:tcPr>
            <w:tcW w:w="2668" w:type="dxa"/>
            <w:tcBorders>
              <w:right w:val="single" w:sz="4" w:space="0" w:color="auto"/>
            </w:tcBorders>
          </w:tcPr>
          <w:p w14:paraId="07147F25" w14:textId="1D8129A6" w:rsidR="00E906F1" w:rsidRDefault="00E906F1" w:rsidP="00C60244">
            <w:pPr>
              <w:spacing w:line="360" w:lineRule="auto"/>
              <w:rPr>
                <w:rFonts w:cstheme="minorHAnsi"/>
              </w:rPr>
            </w:pPr>
            <w:r>
              <w:rPr>
                <w:rFonts w:cstheme="minorHAnsi"/>
              </w:rPr>
              <w:t xml:space="preserve">  Any</w:t>
            </w:r>
            <w:r w:rsidR="00D82092">
              <w:rPr>
                <w:rFonts w:cstheme="minorHAnsi"/>
              </w:rPr>
              <w:t>**</w:t>
            </w:r>
          </w:p>
        </w:tc>
        <w:tc>
          <w:tcPr>
            <w:tcW w:w="1192" w:type="dxa"/>
            <w:tcBorders>
              <w:left w:val="single" w:sz="4" w:space="0" w:color="auto"/>
            </w:tcBorders>
          </w:tcPr>
          <w:p w14:paraId="385E5661" w14:textId="77777777" w:rsidR="00E906F1" w:rsidRDefault="00E906F1" w:rsidP="00C60244">
            <w:pPr>
              <w:spacing w:line="360" w:lineRule="auto"/>
              <w:jc w:val="center"/>
            </w:pPr>
            <w:r>
              <w:t>70.1</w:t>
            </w:r>
          </w:p>
        </w:tc>
        <w:tc>
          <w:tcPr>
            <w:tcW w:w="1380" w:type="dxa"/>
          </w:tcPr>
          <w:p w14:paraId="162499F6" w14:textId="77777777" w:rsidR="00E906F1" w:rsidRDefault="00E906F1" w:rsidP="00C60244">
            <w:pPr>
              <w:spacing w:line="360" w:lineRule="auto"/>
              <w:jc w:val="center"/>
            </w:pPr>
            <w:r>
              <w:t>75.1</w:t>
            </w:r>
          </w:p>
        </w:tc>
        <w:tc>
          <w:tcPr>
            <w:tcW w:w="1171" w:type="dxa"/>
            <w:tcBorders>
              <w:right w:val="single" w:sz="4" w:space="0" w:color="auto"/>
            </w:tcBorders>
          </w:tcPr>
          <w:p w14:paraId="15333A3A" w14:textId="77777777" w:rsidR="00E906F1" w:rsidRDefault="00E906F1" w:rsidP="00C60244">
            <w:pPr>
              <w:spacing w:line="360" w:lineRule="auto"/>
            </w:pPr>
            <w:r>
              <w:t>0.18</w:t>
            </w:r>
          </w:p>
        </w:tc>
        <w:tc>
          <w:tcPr>
            <w:tcW w:w="1244" w:type="dxa"/>
            <w:tcBorders>
              <w:left w:val="single" w:sz="4" w:space="0" w:color="auto"/>
            </w:tcBorders>
          </w:tcPr>
          <w:p w14:paraId="694D7DF6" w14:textId="77777777" w:rsidR="00E906F1" w:rsidRDefault="00E906F1" w:rsidP="00C60244">
            <w:pPr>
              <w:spacing w:line="360" w:lineRule="auto"/>
              <w:jc w:val="center"/>
            </w:pPr>
            <w:r>
              <w:t>72.3</w:t>
            </w:r>
          </w:p>
        </w:tc>
        <w:tc>
          <w:tcPr>
            <w:tcW w:w="1271" w:type="dxa"/>
          </w:tcPr>
          <w:p w14:paraId="5CE63DBA" w14:textId="77777777" w:rsidR="00E906F1" w:rsidRDefault="00E906F1" w:rsidP="00C60244">
            <w:pPr>
              <w:spacing w:line="360" w:lineRule="auto"/>
              <w:jc w:val="center"/>
            </w:pPr>
            <w:r>
              <w:t>67.0</w:t>
            </w:r>
          </w:p>
        </w:tc>
        <w:tc>
          <w:tcPr>
            <w:tcW w:w="1001" w:type="dxa"/>
          </w:tcPr>
          <w:p w14:paraId="07DAEFFA" w14:textId="77777777" w:rsidR="00E906F1" w:rsidRDefault="00E906F1" w:rsidP="00C60244">
            <w:pPr>
              <w:spacing w:line="360" w:lineRule="auto"/>
            </w:pPr>
            <w:r>
              <w:t>0.22</w:t>
            </w:r>
          </w:p>
        </w:tc>
      </w:tr>
      <w:tr w:rsidR="00E906F1" w14:paraId="35414C4E" w14:textId="77777777" w:rsidTr="00C30D51">
        <w:tc>
          <w:tcPr>
            <w:tcW w:w="2668" w:type="dxa"/>
            <w:tcBorders>
              <w:right w:val="single" w:sz="4" w:space="0" w:color="auto"/>
            </w:tcBorders>
          </w:tcPr>
          <w:p w14:paraId="0AF7B487" w14:textId="5A4C317F" w:rsidR="00E906F1" w:rsidRDefault="00E906F1" w:rsidP="00C60244">
            <w:pPr>
              <w:spacing w:line="360" w:lineRule="auto"/>
              <w:rPr>
                <w:rFonts w:cstheme="minorHAnsi"/>
              </w:rPr>
            </w:pPr>
            <w:r>
              <w:rPr>
                <w:rFonts w:cstheme="minorHAnsi"/>
              </w:rPr>
              <w:t>Total IgE</w:t>
            </w:r>
            <w:r w:rsidR="00D82092">
              <w:rPr>
                <w:rFonts w:cstheme="minorHAnsi"/>
              </w:rPr>
              <w:t>**</w:t>
            </w:r>
          </w:p>
        </w:tc>
        <w:tc>
          <w:tcPr>
            <w:tcW w:w="1192" w:type="dxa"/>
            <w:tcBorders>
              <w:left w:val="single" w:sz="4" w:space="0" w:color="auto"/>
            </w:tcBorders>
          </w:tcPr>
          <w:p w14:paraId="5BD56480" w14:textId="6A5D3E4B" w:rsidR="00E906F1" w:rsidRDefault="00C30D51" w:rsidP="00C60244">
            <w:pPr>
              <w:spacing w:line="360" w:lineRule="auto"/>
              <w:jc w:val="center"/>
            </w:pPr>
            <w:r>
              <w:t>64 (59-71)</w:t>
            </w:r>
          </w:p>
        </w:tc>
        <w:tc>
          <w:tcPr>
            <w:tcW w:w="1380" w:type="dxa"/>
          </w:tcPr>
          <w:p w14:paraId="247D6AF4" w14:textId="0AD7D611" w:rsidR="00E906F1" w:rsidRDefault="00C30D51" w:rsidP="00C60244">
            <w:pPr>
              <w:spacing w:line="360" w:lineRule="auto"/>
              <w:jc w:val="center"/>
            </w:pPr>
            <w:r>
              <w:t>108 (90-131)</w:t>
            </w:r>
          </w:p>
        </w:tc>
        <w:tc>
          <w:tcPr>
            <w:tcW w:w="1171" w:type="dxa"/>
            <w:tcBorders>
              <w:right w:val="single" w:sz="4" w:space="0" w:color="auto"/>
            </w:tcBorders>
          </w:tcPr>
          <w:p w14:paraId="7A7CCE0E" w14:textId="77777777" w:rsidR="00E906F1" w:rsidRDefault="00E906F1" w:rsidP="00C60244">
            <w:pPr>
              <w:spacing w:line="360" w:lineRule="auto"/>
            </w:pPr>
            <w:r>
              <w:t>&lt;0.0001</w:t>
            </w:r>
          </w:p>
        </w:tc>
        <w:tc>
          <w:tcPr>
            <w:tcW w:w="1244" w:type="dxa"/>
            <w:tcBorders>
              <w:left w:val="single" w:sz="4" w:space="0" w:color="auto"/>
            </w:tcBorders>
          </w:tcPr>
          <w:p w14:paraId="20F9F0DD" w14:textId="7BB8F554" w:rsidR="00E906F1" w:rsidRDefault="00C30D51" w:rsidP="00C60244">
            <w:pPr>
              <w:spacing w:line="360" w:lineRule="auto"/>
              <w:jc w:val="center"/>
            </w:pPr>
            <w:r>
              <w:t>68 (62-74)</w:t>
            </w:r>
          </w:p>
        </w:tc>
        <w:tc>
          <w:tcPr>
            <w:tcW w:w="1271" w:type="dxa"/>
          </w:tcPr>
          <w:p w14:paraId="2F9A18D7" w14:textId="5F613178" w:rsidR="00E906F1" w:rsidRDefault="00C30D51" w:rsidP="00C60244">
            <w:pPr>
              <w:spacing w:line="360" w:lineRule="auto"/>
              <w:jc w:val="center"/>
            </w:pPr>
            <w:r>
              <w:t>80 (59-108)</w:t>
            </w:r>
          </w:p>
        </w:tc>
        <w:tc>
          <w:tcPr>
            <w:tcW w:w="1001" w:type="dxa"/>
          </w:tcPr>
          <w:p w14:paraId="45B7BFAE" w14:textId="77777777" w:rsidR="00E906F1" w:rsidRDefault="00E906F1" w:rsidP="00C60244">
            <w:pPr>
              <w:spacing w:line="360" w:lineRule="auto"/>
            </w:pPr>
            <w:r>
              <w:t>0.28</w:t>
            </w:r>
          </w:p>
        </w:tc>
      </w:tr>
      <w:tr w:rsidR="00E906F1" w14:paraId="2D0932B6" w14:textId="77777777" w:rsidTr="00C30D51">
        <w:tc>
          <w:tcPr>
            <w:tcW w:w="2668" w:type="dxa"/>
            <w:tcBorders>
              <w:right w:val="single" w:sz="4" w:space="0" w:color="auto"/>
            </w:tcBorders>
          </w:tcPr>
          <w:p w14:paraId="25191ADD" w14:textId="66954BB3" w:rsidR="00E906F1" w:rsidRDefault="00E906F1" w:rsidP="00C60244">
            <w:pPr>
              <w:spacing w:line="360" w:lineRule="auto"/>
              <w:rPr>
                <w:rFonts w:cstheme="minorHAnsi"/>
              </w:rPr>
            </w:pPr>
            <w:r>
              <w:rPr>
                <w:rFonts w:cstheme="minorHAnsi"/>
              </w:rPr>
              <w:t>FeNO**</w:t>
            </w:r>
            <w:r w:rsidR="00D82092">
              <w:rPr>
                <w:rFonts w:cstheme="minorHAnsi"/>
              </w:rPr>
              <w:t>*</w:t>
            </w:r>
          </w:p>
        </w:tc>
        <w:tc>
          <w:tcPr>
            <w:tcW w:w="1192" w:type="dxa"/>
            <w:tcBorders>
              <w:left w:val="single" w:sz="4" w:space="0" w:color="auto"/>
              <w:bottom w:val="single" w:sz="4" w:space="0" w:color="auto"/>
            </w:tcBorders>
          </w:tcPr>
          <w:p w14:paraId="4F28518C" w14:textId="52722159" w:rsidR="00E906F1" w:rsidRDefault="00C30D51" w:rsidP="00C60244">
            <w:pPr>
              <w:spacing w:line="360" w:lineRule="auto"/>
              <w:jc w:val="center"/>
            </w:pPr>
            <w:r>
              <w:t>20 (19-21)</w:t>
            </w:r>
          </w:p>
        </w:tc>
        <w:tc>
          <w:tcPr>
            <w:tcW w:w="1380" w:type="dxa"/>
            <w:tcBorders>
              <w:bottom w:val="single" w:sz="4" w:space="0" w:color="auto"/>
            </w:tcBorders>
          </w:tcPr>
          <w:p w14:paraId="58CD49B7" w14:textId="2BBA7B75" w:rsidR="00E906F1" w:rsidRDefault="00C30D51" w:rsidP="00C60244">
            <w:pPr>
              <w:spacing w:line="360" w:lineRule="auto"/>
              <w:jc w:val="center"/>
            </w:pPr>
            <w:r>
              <w:t>25 (22-29)</w:t>
            </w:r>
          </w:p>
        </w:tc>
        <w:tc>
          <w:tcPr>
            <w:tcW w:w="1171" w:type="dxa"/>
            <w:tcBorders>
              <w:bottom w:val="single" w:sz="4" w:space="0" w:color="auto"/>
              <w:right w:val="single" w:sz="4" w:space="0" w:color="auto"/>
            </w:tcBorders>
          </w:tcPr>
          <w:p w14:paraId="5691D3DC" w14:textId="77777777" w:rsidR="00E906F1" w:rsidRDefault="00E906F1" w:rsidP="00C60244">
            <w:pPr>
              <w:spacing w:line="360" w:lineRule="auto"/>
            </w:pPr>
            <w:r>
              <w:t>0.001</w:t>
            </w:r>
          </w:p>
        </w:tc>
        <w:tc>
          <w:tcPr>
            <w:tcW w:w="1244" w:type="dxa"/>
            <w:tcBorders>
              <w:left w:val="single" w:sz="4" w:space="0" w:color="auto"/>
            </w:tcBorders>
          </w:tcPr>
          <w:p w14:paraId="33798BB8" w14:textId="3F504BD7" w:rsidR="00E906F1" w:rsidRDefault="00C30D51" w:rsidP="00C60244">
            <w:pPr>
              <w:spacing w:line="360" w:lineRule="auto"/>
              <w:jc w:val="center"/>
            </w:pPr>
            <w:r>
              <w:t>20 (19-21)</w:t>
            </w:r>
          </w:p>
        </w:tc>
        <w:tc>
          <w:tcPr>
            <w:tcW w:w="1271" w:type="dxa"/>
          </w:tcPr>
          <w:p w14:paraId="58F1E1CB" w14:textId="094B13BE" w:rsidR="00E906F1" w:rsidRDefault="00C30D51" w:rsidP="00C60244">
            <w:pPr>
              <w:spacing w:line="360" w:lineRule="auto"/>
              <w:jc w:val="center"/>
            </w:pPr>
            <w:r>
              <w:t>24 (20-28)</w:t>
            </w:r>
          </w:p>
        </w:tc>
        <w:tc>
          <w:tcPr>
            <w:tcW w:w="1001" w:type="dxa"/>
          </w:tcPr>
          <w:p w14:paraId="526FFB51" w14:textId="77777777" w:rsidR="00E906F1" w:rsidRDefault="00E906F1" w:rsidP="00C60244">
            <w:pPr>
              <w:spacing w:line="360" w:lineRule="auto"/>
            </w:pPr>
            <w:r>
              <w:t>0.04</w:t>
            </w:r>
          </w:p>
        </w:tc>
      </w:tr>
    </w:tbl>
    <w:p w14:paraId="5D91E1AA" w14:textId="77777777" w:rsidR="00E906F1" w:rsidRDefault="00E906F1" w:rsidP="00E906F1"/>
    <w:p w14:paraId="408B243A" w14:textId="77777777" w:rsidR="00E906F1" w:rsidRDefault="00E906F1" w:rsidP="00E906F1">
      <w:pPr>
        <w:rPr>
          <w:lang w:val="en-GB"/>
        </w:rPr>
      </w:pPr>
      <w:r>
        <w:rPr>
          <w:lang w:val="en-GB"/>
        </w:rPr>
        <w:t>*data available from 1321 subjects</w:t>
      </w:r>
    </w:p>
    <w:p w14:paraId="34F9AD5F" w14:textId="260B5F38" w:rsidR="00E906F1" w:rsidRDefault="00E906F1" w:rsidP="00E906F1">
      <w:pPr>
        <w:rPr>
          <w:lang w:val="en-GB"/>
        </w:rPr>
      </w:pPr>
      <w:r>
        <w:rPr>
          <w:lang w:val="en-GB"/>
        </w:rPr>
        <w:t>** data available from 12</w:t>
      </w:r>
      <w:r w:rsidR="00D82092">
        <w:rPr>
          <w:lang w:val="en-GB"/>
        </w:rPr>
        <w:t>15</w:t>
      </w:r>
      <w:r>
        <w:rPr>
          <w:lang w:val="en-GB"/>
        </w:rPr>
        <w:t xml:space="preserve"> subjects</w:t>
      </w:r>
    </w:p>
    <w:p w14:paraId="0ABF48FB" w14:textId="776AB206" w:rsidR="000703FD" w:rsidRDefault="00D80A8C" w:rsidP="00165AE5">
      <w:pPr>
        <w:tabs>
          <w:tab w:val="left" w:pos="426"/>
          <w:tab w:val="left" w:pos="567"/>
        </w:tabs>
        <w:spacing w:line="360" w:lineRule="auto"/>
        <w:rPr>
          <w:lang w:val="en-GB"/>
        </w:rPr>
      </w:pPr>
      <w:r>
        <w:rPr>
          <w:lang w:val="en-GB"/>
        </w:rPr>
        <w:t xml:space="preserve">*** data available from </w:t>
      </w:r>
      <w:r w:rsidR="00D82092">
        <w:rPr>
          <w:lang w:val="en-GB"/>
        </w:rPr>
        <w:t>878</w:t>
      </w:r>
    </w:p>
    <w:p w14:paraId="71176C5C" w14:textId="77777777" w:rsidR="0047184B" w:rsidRDefault="0047184B" w:rsidP="00165AE5">
      <w:pPr>
        <w:tabs>
          <w:tab w:val="left" w:pos="426"/>
          <w:tab w:val="left" w:pos="567"/>
        </w:tabs>
        <w:spacing w:line="360" w:lineRule="auto"/>
        <w:rPr>
          <w:lang w:val="en-GB"/>
        </w:rPr>
      </w:pPr>
    </w:p>
    <w:p w14:paraId="134C511F" w14:textId="77777777" w:rsidR="0047184B" w:rsidRDefault="0047184B">
      <w:pPr>
        <w:spacing w:after="200" w:line="276" w:lineRule="auto"/>
        <w:rPr>
          <w:lang w:val="en-GB"/>
        </w:rPr>
      </w:pPr>
      <w:r>
        <w:rPr>
          <w:lang w:val="en-GB"/>
        </w:rPr>
        <w:br w:type="page"/>
      </w:r>
    </w:p>
    <w:p w14:paraId="2F485E5F" w14:textId="7EE9F5CE" w:rsidR="0047184B" w:rsidRPr="00F752F2" w:rsidRDefault="0047184B" w:rsidP="00F752F2">
      <w:pPr>
        <w:spacing w:line="360" w:lineRule="auto"/>
        <w:ind w:right="-993"/>
        <w:rPr>
          <w:sz w:val="24"/>
          <w:szCs w:val="24"/>
          <w:lang w:val="en-GB"/>
        </w:rPr>
      </w:pPr>
      <w:r w:rsidRPr="00F752F2">
        <w:rPr>
          <w:b/>
          <w:sz w:val="24"/>
          <w:szCs w:val="24"/>
          <w:lang w:val="en-GB"/>
        </w:rPr>
        <w:t xml:space="preserve">Table </w:t>
      </w:r>
      <w:r w:rsidR="00106292" w:rsidRPr="00F752F2">
        <w:rPr>
          <w:b/>
          <w:sz w:val="24"/>
          <w:szCs w:val="24"/>
          <w:lang w:val="en-GB"/>
        </w:rPr>
        <w:t>3</w:t>
      </w:r>
      <w:r w:rsidRPr="00F752F2">
        <w:rPr>
          <w:sz w:val="24"/>
          <w:szCs w:val="24"/>
          <w:lang w:val="en-GB"/>
        </w:rPr>
        <w:t xml:space="preserve"> </w:t>
      </w:r>
      <w:r w:rsidR="00F752F2" w:rsidRPr="00F752F2">
        <w:rPr>
          <w:sz w:val="24"/>
          <w:szCs w:val="24"/>
          <w:lang w:val="en-GB"/>
        </w:rPr>
        <w:t>Determinants of bronchodilator reversibility in subject with asthma measured as adjusted* odds ratio (95 % confidence interval)</w:t>
      </w:r>
      <w:r w:rsidR="00F95B81">
        <w:rPr>
          <w:sz w:val="24"/>
          <w:szCs w:val="24"/>
          <w:lang w:val="en-GB"/>
        </w:rPr>
        <w:t xml:space="preserve"> (Statistically significant a</w:t>
      </w:r>
      <w:r w:rsidR="002910B6">
        <w:rPr>
          <w:sz w:val="24"/>
          <w:szCs w:val="24"/>
          <w:lang w:val="en-GB"/>
        </w:rPr>
        <w:t>s</w:t>
      </w:r>
      <w:r w:rsidR="00F95B81">
        <w:rPr>
          <w:sz w:val="24"/>
          <w:szCs w:val="24"/>
          <w:lang w:val="en-GB"/>
        </w:rPr>
        <w:t>soc</w:t>
      </w:r>
      <w:r w:rsidR="002910B6">
        <w:rPr>
          <w:sz w:val="24"/>
          <w:szCs w:val="24"/>
          <w:lang w:val="en-GB"/>
        </w:rPr>
        <w:t>iations are</w:t>
      </w:r>
      <w:r w:rsidR="00F95B81">
        <w:rPr>
          <w:sz w:val="24"/>
          <w:szCs w:val="24"/>
          <w:lang w:val="en-GB"/>
        </w:rPr>
        <w:t xml:space="preserve"> </w:t>
      </w:r>
      <w:r w:rsidR="002910B6">
        <w:rPr>
          <w:sz w:val="24"/>
          <w:szCs w:val="24"/>
          <w:lang w:val="en-GB"/>
        </w:rPr>
        <w:t xml:space="preserve">marked with bold </w:t>
      </w:r>
      <w:r w:rsidR="00DD00BE">
        <w:rPr>
          <w:sz w:val="24"/>
          <w:szCs w:val="24"/>
          <w:lang w:val="en-GB"/>
        </w:rPr>
        <w:t>font</w:t>
      </w:r>
      <w:r w:rsidR="002910B6">
        <w:rPr>
          <w:sz w:val="24"/>
          <w:szCs w:val="24"/>
          <w:lang w:val="en-GB"/>
        </w:rPr>
        <w:t>)</w:t>
      </w:r>
    </w:p>
    <w:p w14:paraId="06591DEF" w14:textId="77777777" w:rsidR="0047184B" w:rsidRPr="00F752F2" w:rsidRDefault="0047184B" w:rsidP="0047184B">
      <w:pPr>
        <w:rPr>
          <w:sz w:val="24"/>
          <w:szCs w:val="24"/>
          <w:lang w:val="en-GB"/>
        </w:rPr>
      </w:pPr>
    </w:p>
    <w:tbl>
      <w:tblPr>
        <w:tblStyle w:val="TableGrid"/>
        <w:tblW w:w="10061" w:type="dxa"/>
        <w:tblBorders>
          <w:insideH w:val="none" w:sz="0" w:space="0" w:color="auto"/>
          <w:insideV w:val="none" w:sz="0" w:space="0" w:color="auto"/>
        </w:tblBorders>
        <w:tblLook w:val="04A0" w:firstRow="1" w:lastRow="0" w:firstColumn="1" w:lastColumn="0" w:noHBand="0" w:noVBand="1"/>
      </w:tblPr>
      <w:tblGrid>
        <w:gridCol w:w="2547"/>
        <w:gridCol w:w="1843"/>
        <w:gridCol w:w="1984"/>
        <w:gridCol w:w="1844"/>
        <w:gridCol w:w="1843"/>
      </w:tblGrid>
      <w:tr w:rsidR="0047184B" w14:paraId="5BA13A5C" w14:textId="77777777" w:rsidTr="00787967">
        <w:tc>
          <w:tcPr>
            <w:tcW w:w="2547" w:type="dxa"/>
            <w:tcBorders>
              <w:top w:val="single" w:sz="4" w:space="0" w:color="auto"/>
              <w:bottom w:val="nil"/>
              <w:right w:val="single" w:sz="4" w:space="0" w:color="auto"/>
            </w:tcBorders>
          </w:tcPr>
          <w:p w14:paraId="23DE0EE0" w14:textId="77777777" w:rsidR="0047184B" w:rsidRPr="00F752F2" w:rsidRDefault="0047184B" w:rsidP="00787967">
            <w:pPr>
              <w:spacing w:line="276" w:lineRule="auto"/>
              <w:rPr>
                <w:lang w:val="en-GB"/>
              </w:rPr>
            </w:pPr>
          </w:p>
        </w:tc>
        <w:tc>
          <w:tcPr>
            <w:tcW w:w="3827" w:type="dxa"/>
            <w:gridSpan w:val="2"/>
            <w:tcBorders>
              <w:top w:val="single" w:sz="4" w:space="0" w:color="auto"/>
              <w:left w:val="single" w:sz="4" w:space="0" w:color="auto"/>
              <w:bottom w:val="nil"/>
              <w:right w:val="single" w:sz="4" w:space="0" w:color="auto"/>
            </w:tcBorders>
          </w:tcPr>
          <w:p w14:paraId="18ED71EE" w14:textId="703D397C" w:rsidR="0047184B" w:rsidRDefault="007451B9" w:rsidP="00787967">
            <w:pPr>
              <w:spacing w:line="276" w:lineRule="auto"/>
              <w:jc w:val="center"/>
            </w:pPr>
            <w:r>
              <w:t>Δ</w:t>
            </w:r>
            <w:r w:rsidR="0047184B">
              <w:t>FEV1</w:t>
            </w:r>
          </w:p>
        </w:tc>
        <w:tc>
          <w:tcPr>
            <w:tcW w:w="3687" w:type="dxa"/>
            <w:gridSpan w:val="2"/>
            <w:tcBorders>
              <w:top w:val="single" w:sz="4" w:space="0" w:color="auto"/>
              <w:left w:val="single" w:sz="4" w:space="0" w:color="auto"/>
              <w:bottom w:val="nil"/>
            </w:tcBorders>
          </w:tcPr>
          <w:p w14:paraId="68388708" w14:textId="74E68BF3" w:rsidR="0047184B" w:rsidRDefault="007451B9" w:rsidP="00787967">
            <w:pPr>
              <w:spacing w:line="276" w:lineRule="auto"/>
              <w:jc w:val="center"/>
            </w:pPr>
            <w:r>
              <w:t>Δ</w:t>
            </w:r>
            <w:r w:rsidR="0047184B">
              <w:t>FVC</w:t>
            </w:r>
          </w:p>
        </w:tc>
      </w:tr>
      <w:tr w:rsidR="0047184B" w14:paraId="2B8A3134" w14:textId="77777777" w:rsidTr="00787967">
        <w:tc>
          <w:tcPr>
            <w:tcW w:w="2547" w:type="dxa"/>
            <w:tcBorders>
              <w:top w:val="nil"/>
              <w:bottom w:val="single" w:sz="4" w:space="0" w:color="auto"/>
              <w:right w:val="single" w:sz="4" w:space="0" w:color="auto"/>
            </w:tcBorders>
          </w:tcPr>
          <w:p w14:paraId="5348D04F" w14:textId="77777777" w:rsidR="0047184B" w:rsidRDefault="0047184B" w:rsidP="00787967">
            <w:pPr>
              <w:spacing w:line="276" w:lineRule="auto"/>
            </w:pPr>
          </w:p>
        </w:tc>
        <w:tc>
          <w:tcPr>
            <w:tcW w:w="1843" w:type="dxa"/>
            <w:tcBorders>
              <w:top w:val="nil"/>
              <w:left w:val="single" w:sz="4" w:space="0" w:color="auto"/>
              <w:bottom w:val="single" w:sz="4" w:space="0" w:color="auto"/>
            </w:tcBorders>
          </w:tcPr>
          <w:p w14:paraId="2B6C4E54" w14:textId="7087D40C" w:rsidR="0047184B" w:rsidRDefault="005C42D4" w:rsidP="00787967">
            <w:pPr>
              <w:spacing w:line="276" w:lineRule="auto"/>
              <w:jc w:val="center"/>
            </w:pPr>
            <w:r>
              <w:t>≥</w:t>
            </w:r>
            <w:r w:rsidR="0047184B">
              <w:t>12%</w:t>
            </w:r>
          </w:p>
        </w:tc>
        <w:tc>
          <w:tcPr>
            <w:tcW w:w="1984" w:type="dxa"/>
            <w:tcBorders>
              <w:top w:val="nil"/>
              <w:bottom w:val="single" w:sz="4" w:space="0" w:color="auto"/>
              <w:right w:val="single" w:sz="4" w:space="0" w:color="auto"/>
            </w:tcBorders>
          </w:tcPr>
          <w:p w14:paraId="7505A801" w14:textId="25DEC613" w:rsidR="0047184B" w:rsidRDefault="005C42D4" w:rsidP="00787967">
            <w:pPr>
              <w:spacing w:line="276" w:lineRule="auto"/>
              <w:jc w:val="center"/>
            </w:pPr>
            <w:r>
              <w:t>≥</w:t>
            </w:r>
            <w:r w:rsidR="0047184B">
              <w:t>12% + 200mL</w:t>
            </w:r>
          </w:p>
        </w:tc>
        <w:tc>
          <w:tcPr>
            <w:tcW w:w="1844" w:type="dxa"/>
            <w:tcBorders>
              <w:top w:val="nil"/>
              <w:left w:val="single" w:sz="4" w:space="0" w:color="auto"/>
              <w:bottom w:val="single" w:sz="4" w:space="0" w:color="auto"/>
            </w:tcBorders>
          </w:tcPr>
          <w:p w14:paraId="750B371B" w14:textId="6E61882A" w:rsidR="0047184B" w:rsidRDefault="005C42D4" w:rsidP="00787967">
            <w:pPr>
              <w:spacing w:line="276" w:lineRule="auto"/>
              <w:jc w:val="center"/>
            </w:pPr>
            <w:r>
              <w:t>≥</w:t>
            </w:r>
            <w:r w:rsidR="0047184B">
              <w:t>10.5%</w:t>
            </w:r>
          </w:p>
        </w:tc>
        <w:tc>
          <w:tcPr>
            <w:tcW w:w="1843" w:type="dxa"/>
            <w:tcBorders>
              <w:top w:val="nil"/>
              <w:bottom w:val="single" w:sz="4" w:space="0" w:color="auto"/>
            </w:tcBorders>
          </w:tcPr>
          <w:p w14:paraId="4A4DF3AE" w14:textId="2EB1951E" w:rsidR="0047184B" w:rsidRDefault="005C42D4" w:rsidP="00787967">
            <w:pPr>
              <w:spacing w:line="276" w:lineRule="auto"/>
              <w:jc w:val="center"/>
            </w:pPr>
            <w:r>
              <w:t>≥</w:t>
            </w:r>
            <w:r w:rsidR="0047184B">
              <w:t>10.5% +320mL</w:t>
            </w:r>
          </w:p>
        </w:tc>
      </w:tr>
      <w:tr w:rsidR="0047184B" w14:paraId="5B9577D9" w14:textId="77777777" w:rsidTr="00787967">
        <w:tc>
          <w:tcPr>
            <w:tcW w:w="2547" w:type="dxa"/>
            <w:tcBorders>
              <w:top w:val="single" w:sz="4" w:space="0" w:color="auto"/>
              <w:right w:val="single" w:sz="4" w:space="0" w:color="auto"/>
            </w:tcBorders>
          </w:tcPr>
          <w:p w14:paraId="6F8E6D4E" w14:textId="77777777" w:rsidR="0047184B" w:rsidRDefault="0047184B" w:rsidP="00787967">
            <w:pPr>
              <w:spacing w:line="276" w:lineRule="auto"/>
              <w:rPr>
                <w:rFonts w:cstheme="minorHAnsi"/>
              </w:rPr>
            </w:pPr>
            <w:r>
              <w:rPr>
                <w:rFonts w:cstheme="minorHAnsi"/>
              </w:rPr>
              <w:t>Age per 10 year</w:t>
            </w:r>
          </w:p>
        </w:tc>
        <w:tc>
          <w:tcPr>
            <w:tcW w:w="1843" w:type="dxa"/>
            <w:tcBorders>
              <w:top w:val="single" w:sz="4" w:space="0" w:color="auto"/>
              <w:left w:val="single" w:sz="4" w:space="0" w:color="auto"/>
            </w:tcBorders>
          </w:tcPr>
          <w:p w14:paraId="46044C3C" w14:textId="77777777" w:rsidR="0047184B" w:rsidRPr="00197BC4" w:rsidRDefault="0047184B" w:rsidP="00787967">
            <w:pPr>
              <w:spacing w:line="276" w:lineRule="auto"/>
              <w:jc w:val="center"/>
              <w:rPr>
                <w:b/>
              </w:rPr>
            </w:pPr>
            <w:r w:rsidRPr="00197BC4">
              <w:rPr>
                <w:b/>
              </w:rPr>
              <w:t>0.90 (0.82-0.99)</w:t>
            </w:r>
          </w:p>
        </w:tc>
        <w:tc>
          <w:tcPr>
            <w:tcW w:w="1984" w:type="dxa"/>
            <w:tcBorders>
              <w:top w:val="single" w:sz="4" w:space="0" w:color="auto"/>
              <w:right w:val="single" w:sz="4" w:space="0" w:color="auto"/>
            </w:tcBorders>
          </w:tcPr>
          <w:p w14:paraId="2DED803A" w14:textId="77777777" w:rsidR="0047184B" w:rsidRDefault="0047184B" w:rsidP="00787967">
            <w:pPr>
              <w:spacing w:line="276" w:lineRule="auto"/>
              <w:jc w:val="center"/>
            </w:pPr>
            <w:r w:rsidRPr="00197BC4">
              <w:rPr>
                <w:b/>
              </w:rPr>
              <w:t>0.82 (0.75-0.91)</w:t>
            </w:r>
          </w:p>
        </w:tc>
        <w:tc>
          <w:tcPr>
            <w:tcW w:w="1844" w:type="dxa"/>
            <w:tcBorders>
              <w:top w:val="single" w:sz="4" w:space="0" w:color="auto"/>
              <w:left w:val="single" w:sz="4" w:space="0" w:color="auto"/>
            </w:tcBorders>
          </w:tcPr>
          <w:p w14:paraId="0B5CF02A" w14:textId="77777777" w:rsidR="0047184B" w:rsidRPr="00197BC4" w:rsidRDefault="0047184B" w:rsidP="00787967">
            <w:pPr>
              <w:spacing w:line="276" w:lineRule="auto"/>
              <w:jc w:val="center"/>
              <w:rPr>
                <w:b/>
              </w:rPr>
            </w:pPr>
            <w:r w:rsidRPr="00197BC4">
              <w:rPr>
                <w:b/>
              </w:rPr>
              <w:t>1.23 (1.11-1.37)</w:t>
            </w:r>
          </w:p>
        </w:tc>
        <w:tc>
          <w:tcPr>
            <w:tcW w:w="1843" w:type="dxa"/>
            <w:tcBorders>
              <w:top w:val="single" w:sz="4" w:space="0" w:color="auto"/>
            </w:tcBorders>
          </w:tcPr>
          <w:p w14:paraId="07762C7D" w14:textId="77777777" w:rsidR="0047184B" w:rsidRPr="00197BC4" w:rsidRDefault="0047184B" w:rsidP="00787967">
            <w:pPr>
              <w:spacing w:line="276" w:lineRule="auto"/>
              <w:jc w:val="center"/>
              <w:rPr>
                <w:b/>
              </w:rPr>
            </w:pPr>
            <w:r>
              <w:t>1.08 (0.96-1.22)</w:t>
            </w:r>
          </w:p>
        </w:tc>
      </w:tr>
      <w:tr w:rsidR="0047184B" w14:paraId="1D37C323" w14:textId="77777777" w:rsidTr="00787967">
        <w:tc>
          <w:tcPr>
            <w:tcW w:w="2547" w:type="dxa"/>
            <w:tcBorders>
              <w:right w:val="single" w:sz="4" w:space="0" w:color="auto"/>
            </w:tcBorders>
          </w:tcPr>
          <w:p w14:paraId="1023A1C4" w14:textId="77777777" w:rsidR="0047184B" w:rsidRDefault="0047184B" w:rsidP="00787967">
            <w:pPr>
              <w:spacing w:line="276" w:lineRule="auto"/>
              <w:rPr>
                <w:rFonts w:cstheme="minorHAnsi"/>
              </w:rPr>
            </w:pPr>
            <w:r>
              <w:rPr>
                <w:rFonts w:cstheme="minorHAnsi"/>
              </w:rPr>
              <w:t>Female</w:t>
            </w:r>
          </w:p>
        </w:tc>
        <w:tc>
          <w:tcPr>
            <w:tcW w:w="1843" w:type="dxa"/>
            <w:tcBorders>
              <w:left w:val="single" w:sz="4" w:space="0" w:color="auto"/>
            </w:tcBorders>
          </w:tcPr>
          <w:p w14:paraId="42019F30" w14:textId="77777777" w:rsidR="0047184B" w:rsidRDefault="0047184B" w:rsidP="00787967">
            <w:pPr>
              <w:spacing w:line="276" w:lineRule="auto"/>
              <w:jc w:val="center"/>
            </w:pPr>
            <w:r>
              <w:t>1.19 (0.95-1.50)</w:t>
            </w:r>
          </w:p>
        </w:tc>
        <w:tc>
          <w:tcPr>
            <w:tcW w:w="1984" w:type="dxa"/>
            <w:tcBorders>
              <w:right w:val="single" w:sz="4" w:space="0" w:color="auto"/>
            </w:tcBorders>
          </w:tcPr>
          <w:p w14:paraId="5344DD1D" w14:textId="77777777" w:rsidR="0047184B" w:rsidRDefault="0047184B" w:rsidP="00787967">
            <w:pPr>
              <w:spacing w:line="276" w:lineRule="auto"/>
              <w:jc w:val="center"/>
            </w:pPr>
            <w:r>
              <w:t>0.99 (0.79-1.25)</w:t>
            </w:r>
          </w:p>
        </w:tc>
        <w:tc>
          <w:tcPr>
            <w:tcW w:w="1844" w:type="dxa"/>
            <w:tcBorders>
              <w:left w:val="single" w:sz="4" w:space="0" w:color="auto"/>
            </w:tcBorders>
          </w:tcPr>
          <w:p w14:paraId="13E371DC" w14:textId="77777777" w:rsidR="0047184B" w:rsidRDefault="0047184B" w:rsidP="00787967">
            <w:pPr>
              <w:spacing w:line="276" w:lineRule="auto"/>
              <w:jc w:val="center"/>
            </w:pPr>
            <w:r>
              <w:t>1.19 (0.91-1.54)</w:t>
            </w:r>
          </w:p>
        </w:tc>
        <w:tc>
          <w:tcPr>
            <w:tcW w:w="1843" w:type="dxa"/>
          </w:tcPr>
          <w:p w14:paraId="1793D3F9" w14:textId="77777777" w:rsidR="0047184B" w:rsidRPr="00197BC4" w:rsidRDefault="0047184B" w:rsidP="00787967">
            <w:pPr>
              <w:spacing w:line="276" w:lineRule="auto"/>
              <w:jc w:val="center"/>
              <w:rPr>
                <w:b/>
              </w:rPr>
            </w:pPr>
            <w:r w:rsidRPr="00197BC4">
              <w:rPr>
                <w:b/>
              </w:rPr>
              <w:t>0.72 (0.55-0.95)</w:t>
            </w:r>
          </w:p>
        </w:tc>
      </w:tr>
      <w:tr w:rsidR="0047184B" w14:paraId="4E7E5B8D" w14:textId="77777777" w:rsidTr="00787967">
        <w:tc>
          <w:tcPr>
            <w:tcW w:w="2547" w:type="dxa"/>
            <w:tcBorders>
              <w:right w:val="single" w:sz="4" w:space="0" w:color="auto"/>
            </w:tcBorders>
          </w:tcPr>
          <w:p w14:paraId="7F45DAB8" w14:textId="77777777" w:rsidR="0047184B" w:rsidRDefault="0047184B" w:rsidP="00787967">
            <w:pPr>
              <w:spacing w:line="276" w:lineRule="auto"/>
              <w:rPr>
                <w:rFonts w:cstheme="minorHAnsi"/>
              </w:rPr>
            </w:pPr>
            <w:r>
              <w:rPr>
                <w:rFonts w:cstheme="minorHAnsi"/>
              </w:rPr>
              <w:t>Smoke history</w:t>
            </w:r>
          </w:p>
        </w:tc>
        <w:tc>
          <w:tcPr>
            <w:tcW w:w="1843" w:type="dxa"/>
            <w:tcBorders>
              <w:left w:val="single" w:sz="4" w:space="0" w:color="auto"/>
            </w:tcBorders>
          </w:tcPr>
          <w:p w14:paraId="35E4D036" w14:textId="77777777" w:rsidR="0047184B" w:rsidRDefault="0047184B" w:rsidP="00787967">
            <w:pPr>
              <w:spacing w:line="276" w:lineRule="auto"/>
              <w:jc w:val="center"/>
            </w:pPr>
          </w:p>
        </w:tc>
        <w:tc>
          <w:tcPr>
            <w:tcW w:w="1984" w:type="dxa"/>
            <w:tcBorders>
              <w:right w:val="single" w:sz="4" w:space="0" w:color="auto"/>
            </w:tcBorders>
          </w:tcPr>
          <w:p w14:paraId="26147BC3" w14:textId="77777777" w:rsidR="0047184B" w:rsidRDefault="0047184B" w:rsidP="00787967">
            <w:pPr>
              <w:spacing w:line="276" w:lineRule="auto"/>
              <w:jc w:val="center"/>
            </w:pPr>
          </w:p>
        </w:tc>
        <w:tc>
          <w:tcPr>
            <w:tcW w:w="1844" w:type="dxa"/>
            <w:tcBorders>
              <w:left w:val="single" w:sz="4" w:space="0" w:color="auto"/>
            </w:tcBorders>
          </w:tcPr>
          <w:p w14:paraId="7ADCC100" w14:textId="77777777" w:rsidR="0047184B" w:rsidRDefault="0047184B" w:rsidP="00787967">
            <w:pPr>
              <w:spacing w:line="276" w:lineRule="auto"/>
              <w:jc w:val="center"/>
            </w:pPr>
          </w:p>
        </w:tc>
        <w:tc>
          <w:tcPr>
            <w:tcW w:w="1843" w:type="dxa"/>
          </w:tcPr>
          <w:p w14:paraId="01E5230D" w14:textId="77777777" w:rsidR="0047184B" w:rsidRDefault="0047184B" w:rsidP="00787967">
            <w:pPr>
              <w:spacing w:line="276" w:lineRule="auto"/>
              <w:jc w:val="center"/>
            </w:pPr>
          </w:p>
        </w:tc>
      </w:tr>
      <w:tr w:rsidR="0047184B" w14:paraId="707C551B" w14:textId="77777777" w:rsidTr="00787967">
        <w:tc>
          <w:tcPr>
            <w:tcW w:w="2547" w:type="dxa"/>
            <w:tcBorders>
              <w:right w:val="single" w:sz="4" w:space="0" w:color="auto"/>
            </w:tcBorders>
          </w:tcPr>
          <w:p w14:paraId="608B020C" w14:textId="77777777" w:rsidR="0047184B" w:rsidRDefault="0047184B" w:rsidP="00787967">
            <w:pPr>
              <w:spacing w:line="276" w:lineRule="auto"/>
              <w:rPr>
                <w:rFonts w:cstheme="minorHAnsi"/>
              </w:rPr>
            </w:pPr>
            <w:r>
              <w:rPr>
                <w:rFonts w:cstheme="minorHAnsi"/>
              </w:rPr>
              <w:t xml:space="preserve">   never</w:t>
            </w:r>
          </w:p>
        </w:tc>
        <w:tc>
          <w:tcPr>
            <w:tcW w:w="1843" w:type="dxa"/>
            <w:tcBorders>
              <w:left w:val="single" w:sz="4" w:space="0" w:color="auto"/>
            </w:tcBorders>
          </w:tcPr>
          <w:p w14:paraId="4FDA5E53" w14:textId="77777777" w:rsidR="0047184B" w:rsidRDefault="0047184B" w:rsidP="00787967">
            <w:pPr>
              <w:spacing w:line="276" w:lineRule="auto"/>
              <w:jc w:val="center"/>
            </w:pPr>
            <w:r>
              <w:t>1</w:t>
            </w:r>
          </w:p>
        </w:tc>
        <w:tc>
          <w:tcPr>
            <w:tcW w:w="1984" w:type="dxa"/>
            <w:tcBorders>
              <w:right w:val="single" w:sz="4" w:space="0" w:color="auto"/>
            </w:tcBorders>
          </w:tcPr>
          <w:p w14:paraId="07617970" w14:textId="77777777" w:rsidR="0047184B" w:rsidRDefault="0047184B" w:rsidP="00787967">
            <w:pPr>
              <w:spacing w:line="276" w:lineRule="auto"/>
              <w:jc w:val="center"/>
            </w:pPr>
            <w:r>
              <w:t>1</w:t>
            </w:r>
          </w:p>
        </w:tc>
        <w:tc>
          <w:tcPr>
            <w:tcW w:w="1844" w:type="dxa"/>
            <w:tcBorders>
              <w:left w:val="single" w:sz="4" w:space="0" w:color="auto"/>
            </w:tcBorders>
          </w:tcPr>
          <w:p w14:paraId="417C64A7" w14:textId="77777777" w:rsidR="0047184B" w:rsidRDefault="0047184B" w:rsidP="00787967">
            <w:pPr>
              <w:spacing w:line="276" w:lineRule="auto"/>
              <w:jc w:val="center"/>
            </w:pPr>
            <w:r>
              <w:t>1</w:t>
            </w:r>
          </w:p>
        </w:tc>
        <w:tc>
          <w:tcPr>
            <w:tcW w:w="1843" w:type="dxa"/>
          </w:tcPr>
          <w:p w14:paraId="5C2E1F87" w14:textId="77777777" w:rsidR="0047184B" w:rsidRDefault="0047184B" w:rsidP="00787967">
            <w:pPr>
              <w:spacing w:line="276" w:lineRule="auto"/>
              <w:jc w:val="center"/>
            </w:pPr>
            <w:r>
              <w:t>1</w:t>
            </w:r>
          </w:p>
        </w:tc>
      </w:tr>
      <w:tr w:rsidR="0047184B" w14:paraId="1DFD0911" w14:textId="77777777" w:rsidTr="00787967">
        <w:tc>
          <w:tcPr>
            <w:tcW w:w="2547" w:type="dxa"/>
            <w:tcBorders>
              <w:right w:val="single" w:sz="4" w:space="0" w:color="auto"/>
            </w:tcBorders>
          </w:tcPr>
          <w:p w14:paraId="6CD9EF8E" w14:textId="77777777" w:rsidR="0047184B" w:rsidRDefault="0047184B" w:rsidP="00787967">
            <w:pPr>
              <w:spacing w:line="276" w:lineRule="auto"/>
              <w:rPr>
                <w:rFonts w:cstheme="minorHAnsi"/>
              </w:rPr>
            </w:pPr>
            <w:r>
              <w:rPr>
                <w:rFonts w:cstheme="minorHAnsi"/>
              </w:rPr>
              <w:t xml:space="preserve">   ex</w:t>
            </w:r>
          </w:p>
        </w:tc>
        <w:tc>
          <w:tcPr>
            <w:tcW w:w="1843" w:type="dxa"/>
            <w:tcBorders>
              <w:left w:val="single" w:sz="4" w:space="0" w:color="auto"/>
            </w:tcBorders>
          </w:tcPr>
          <w:p w14:paraId="7FC81970" w14:textId="77777777" w:rsidR="0047184B" w:rsidRDefault="0047184B" w:rsidP="00787967">
            <w:pPr>
              <w:spacing w:line="276" w:lineRule="auto"/>
              <w:jc w:val="center"/>
            </w:pPr>
            <w:r>
              <w:t>0.96 (0.74-1.24)</w:t>
            </w:r>
          </w:p>
        </w:tc>
        <w:tc>
          <w:tcPr>
            <w:tcW w:w="1984" w:type="dxa"/>
            <w:tcBorders>
              <w:right w:val="single" w:sz="4" w:space="0" w:color="auto"/>
            </w:tcBorders>
          </w:tcPr>
          <w:p w14:paraId="3A84CB75" w14:textId="77777777" w:rsidR="0047184B" w:rsidRDefault="0047184B" w:rsidP="00787967">
            <w:pPr>
              <w:spacing w:line="276" w:lineRule="auto"/>
              <w:jc w:val="center"/>
            </w:pPr>
            <w:r>
              <w:t>1.01 (0.78-1.31)</w:t>
            </w:r>
          </w:p>
        </w:tc>
        <w:tc>
          <w:tcPr>
            <w:tcW w:w="1844" w:type="dxa"/>
            <w:tcBorders>
              <w:left w:val="single" w:sz="4" w:space="0" w:color="auto"/>
            </w:tcBorders>
          </w:tcPr>
          <w:p w14:paraId="137E2564" w14:textId="77777777" w:rsidR="0047184B" w:rsidRDefault="0047184B" w:rsidP="00787967">
            <w:pPr>
              <w:spacing w:line="276" w:lineRule="auto"/>
              <w:jc w:val="center"/>
            </w:pPr>
            <w:r>
              <w:t>1.05 (0.79-1.41)</w:t>
            </w:r>
          </w:p>
        </w:tc>
        <w:tc>
          <w:tcPr>
            <w:tcW w:w="1843" w:type="dxa"/>
          </w:tcPr>
          <w:p w14:paraId="696D37A8" w14:textId="77777777" w:rsidR="0047184B" w:rsidRDefault="0047184B" w:rsidP="00787967">
            <w:pPr>
              <w:spacing w:line="276" w:lineRule="auto"/>
              <w:jc w:val="center"/>
            </w:pPr>
            <w:r>
              <w:t>1.15 (0.84-1.57)</w:t>
            </w:r>
          </w:p>
        </w:tc>
      </w:tr>
      <w:tr w:rsidR="0047184B" w14:paraId="7FB075FF" w14:textId="77777777" w:rsidTr="00787967">
        <w:tc>
          <w:tcPr>
            <w:tcW w:w="2547" w:type="dxa"/>
            <w:tcBorders>
              <w:right w:val="single" w:sz="4" w:space="0" w:color="auto"/>
            </w:tcBorders>
          </w:tcPr>
          <w:p w14:paraId="0F518D46" w14:textId="77777777" w:rsidR="0047184B" w:rsidRDefault="0047184B" w:rsidP="00787967">
            <w:pPr>
              <w:spacing w:line="276" w:lineRule="auto"/>
              <w:rPr>
                <w:rFonts w:cstheme="minorHAnsi"/>
              </w:rPr>
            </w:pPr>
            <w:r>
              <w:rPr>
                <w:rFonts w:cstheme="minorHAnsi"/>
              </w:rPr>
              <w:t xml:space="preserve">   current</w:t>
            </w:r>
          </w:p>
        </w:tc>
        <w:tc>
          <w:tcPr>
            <w:tcW w:w="1843" w:type="dxa"/>
            <w:tcBorders>
              <w:left w:val="single" w:sz="4" w:space="0" w:color="auto"/>
            </w:tcBorders>
          </w:tcPr>
          <w:p w14:paraId="46A55D78" w14:textId="77777777" w:rsidR="0047184B" w:rsidRDefault="0047184B" w:rsidP="00787967">
            <w:pPr>
              <w:spacing w:line="276" w:lineRule="auto"/>
              <w:jc w:val="center"/>
            </w:pPr>
            <w:r>
              <w:t>0.75 (0.55-1.01)</w:t>
            </w:r>
          </w:p>
        </w:tc>
        <w:tc>
          <w:tcPr>
            <w:tcW w:w="1984" w:type="dxa"/>
            <w:tcBorders>
              <w:right w:val="single" w:sz="4" w:space="0" w:color="auto"/>
            </w:tcBorders>
          </w:tcPr>
          <w:p w14:paraId="50FF906C" w14:textId="77777777" w:rsidR="0047184B" w:rsidRDefault="0047184B" w:rsidP="00787967">
            <w:pPr>
              <w:spacing w:line="276" w:lineRule="auto"/>
              <w:jc w:val="center"/>
            </w:pPr>
            <w:r>
              <w:t>0.78 (0.57-1.06)</w:t>
            </w:r>
          </w:p>
        </w:tc>
        <w:tc>
          <w:tcPr>
            <w:tcW w:w="1844" w:type="dxa"/>
            <w:tcBorders>
              <w:left w:val="single" w:sz="4" w:space="0" w:color="auto"/>
            </w:tcBorders>
          </w:tcPr>
          <w:p w14:paraId="7754522D" w14:textId="77777777" w:rsidR="0047184B" w:rsidRDefault="0047184B" w:rsidP="00787967">
            <w:pPr>
              <w:spacing w:line="276" w:lineRule="auto"/>
              <w:jc w:val="center"/>
            </w:pPr>
            <w:r>
              <w:t>1.06 (0.76-1.06)</w:t>
            </w:r>
          </w:p>
        </w:tc>
        <w:tc>
          <w:tcPr>
            <w:tcW w:w="1843" w:type="dxa"/>
          </w:tcPr>
          <w:p w14:paraId="78E18B78" w14:textId="77777777" w:rsidR="0047184B" w:rsidRDefault="0047184B" w:rsidP="00787967">
            <w:pPr>
              <w:spacing w:line="276" w:lineRule="auto"/>
              <w:jc w:val="center"/>
            </w:pPr>
            <w:r>
              <w:t>1.08 (0.75-1.06)</w:t>
            </w:r>
          </w:p>
        </w:tc>
      </w:tr>
      <w:tr w:rsidR="0047184B" w14:paraId="6DA7D68E" w14:textId="77777777" w:rsidTr="00787967">
        <w:tc>
          <w:tcPr>
            <w:tcW w:w="2547" w:type="dxa"/>
            <w:tcBorders>
              <w:right w:val="single" w:sz="4" w:space="0" w:color="auto"/>
            </w:tcBorders>
          </w:tcPr>
          <w:p w14:paraId="2FABBE22" w14:textId="77777777" w:rsidR="0047184B" w:rsidRDefault="0047184B" w:rsidP="00787967">
            <w:pPr>
              <w:spacing w:line="276" w:lineRule="auto"/>
              <w:rPr>
                <w:rFonts w:cstheme="minorHAnsi"/>
              </w:rPr>
            </w:pPr>
            <w:r>
              <w:rPr>
                <w:rFonts w:cstheme="minorHAnsi"/>
              </w:rPr>
              <w:t>BMI</w:t>
            </w:r>
          </w:p>
        </w:tc>
        <w:tc>
          <w:tcPr>
            <w:tcW w:w="1843" w:type="dxa"/>
            <w:tcBorders>
              <w:left w:val="single" w:sz="4" w:space="0" w:color="auto"/>
            </w:tcBorders>
          </w:tcPr>
          <w:p w14:paraId="6AA9F9FD" w14:textId="77777777" w:rsidR="0047184B" w:rsidRDefault="0047184B" w:rsidP="00787967">
            <w:pPr>
              <w:spacing w:line="276" w:lineRule="auto"/>
              <w:jc w:val="center"/>
            </w:pPr>
          </w:p>
        </w:tc>
        <w:tc>
          <w:tcPr>
            <w:tcW w:w="1984" w:type="dxa"/>
            <w:tcBorders>
              <w:right w:val="single" w:sz="4" w:space="0" w:color="auto"/>
            </w:tcBorders>
          </w:tcPr>
          <w:p w14:paraId="15E83E5F" w14:textId="77777777" w:rsidR="0047184B" w:rsidRDefault="0047184B" w:rsidP="00787967">
            <w:pPr>
              <w:spacing w:line="276" w:lineRule="auto"/>
              <w:jc w:val="center"/>
            </w:pPr>
          </w:p>
        </w:tc>
        <w:tc>
          <w:tcPr>
            <w:tcW w:w="1844" w:type="dxa"/>
            <w:tcBorders>
              <w:left w:val="single" w:sz="4" w:space="0" w:color="auto"/>
            </w:tcBorders>
          </w:tcPr>
          <w:p w14:paraId="09AD85BA" w14:textId="77777777" w:rsidR="0047184B" w:rsidRDefault="0047184B" w:rsidP="00787967">
            <w:pPr>
              <w:spacing w:line="276" w:lineRule="auto"/>
              <w:jc w:val="center"/>
            </w:pPr>
          </w:p>
        </w:tc>
        <w:tc>
          <w:tcPr>
            <w:tcW w:w="1843" w:type="dxa"/>
          </w:tcPr>
          <w:p w14:paraId="60EFE16C" w14:textId="77777777" w:rsidR="0047184B" w:rsidRDefault="0047184B" w:rsidP="00787967">
            <w:pPr>
              <w:spacing w:line="276" w:lineRule="auto"/>
              <w:jc w:val="center"/>
            </w:pPr>
          </w:p>
        </w:tc>
      </w:tr>
      <w:tr w:rsidR="0047184B" w14:paraId="111AA0D3" w14:textId="77777777" w:rsidTr="00787967">
        <w:tc>
          <w:tcPr>
            <w:tcW w:w="2547" w:type="dxa"/>
            <w:tcBorders>
              <w:right w:val="single" w:sz="4" w:space="0" w:color="auto"/>
            </w:tcBorders>
          </w:tcPr>
          <w:p w14:paraId="5ADEFC1F" w14:textId="77777777" w:rsidR="0047184B" w:rsidRDefault="0047184B" w:rsidP="00787967">
            <w:pPr>
              <w:spacing w:line="276" w:lineRule="auto"/>
              <w:rPr>
                <w:rFonts w:cstheme="minorHAnsi"/>
              </w:rPr>
            </w:pPr>
            <w:r>
              <w:rPr>
                <w:rFonts w:cstheme="minorHAnsi"/>
              </w:rPr>
              <w:t xml:space="preserve">   &lt;20</w:t>
            </w:r>
          </w:p>
        </w:tc>
        <w:tc>
          <w:tcPr>
            <w:tcW w:w="1843" w:type="dxa"/>
            <w:tcBorders>
              <w:left w:val="single" w:sz="4" w:space="0" w:color="auto"/>
            </w:tcBorders>
          </w:tcPr>
          <w:p w14:paraId="377B18E3" w14:textId="77777777" w:rsidR="0047184B" w:rsidRPr="00197BC4" w:rsidRDefault="0047184B" w:rsidP="00787967">
            <w:pPr>
              <w:spacing w:line="276" w:lineRule="auto"/>
              <w:jc w:val="center"/>
              <w:rPr>
                <w:b/>
              </w:rPr>
            </w:pPr>
            <w:r w:rsidRPr="00197BC4">
              <w:rPr>
                <w:b/>
              </w:rPr>
              <w:t>0.60 (0.37-0.97)</w:t>
            </w:r>
          </w:p>
        </w:tc>
        <w:tc>
          <w:tcPr>
            <w:tcW w:w="1984" w:type="dxa"/>
            <w:tcBorders>
              <w:right w:val="single" w:sz="4" w:space="0" w:color="auto"/>
            </w:tcBorders>
          </w:tcPr>
          <w:p w14:paraId="08769E53" w14:textId="77777777" w:rsidR="0047184B" w:rsidRPr="00197BC4" w:rsidRDefault="0047184B" w:rsidP="00787967">
            <w:pPr>
              <w:spacing w:line="276" w:lineRule="auto"/>
              <w:jc w:val="center"/>
              <w:rPr>
                <w:b/>
              </w:rPr>
            </w:pPr>
            <w:r w:rsidRPr="00197BC4">
              <w:rPr>
                <w:b/>
              </w:rPr>
              <w:t>0.51 (0.31-0.85)</w:t>
            </w:r>
          </w:p>
        </w:tc>
        <w:tc>
          <w:tcPr>
            <w:tcW w:w="1844" w:type="dxa"/>
            <w:tcBorders>
              <w:left w:val="single" w:sz="4" w:space="0" w:color="auto"/>
            </w:tcBorders>
          </w:tcPr>
          <w:p w14:paraId="49A4922B" w14:textId="77777777" w:rsidR="0047184B" w:rsidRPr="00197BC4" w:rsidRDefault="0047184B" w:rsidP="00787967">
            <w:pPr>
              <w:spacing w:line="276" w:lineRule="auto"/>
              <w:jc w:val="center"/>
              <w:rPr>
                <w:b/>
              </w:rPr>
            </w:pPr>
            <w:r>
              <w:t>0.61 (0.36-1.06)</w:t>
            </w:r>
          </w:p>
        </w:tc>
        <w:tc>
          <w:tcPr>
            <w:tcW w:w="1843" w:type="dxa"/>
          </w:tcPr>
          <w:p w14:paraId="4988686B" w14:textId="77777777" w:rsidR="0047184B" w:rsidRPr="00197BC4" w:rsidRDefault="0047184B" w:rsidP="00787967">
            <w:pPr>
              <w:spacing w:line="276" w:lineRule="auto"/>
              <w:jc w:val="center"/>
              <w:rPr>
                <w:b/>
              </w:rPr>
            </w:pPr>
            <w:r>
              <w:t>0.60-(0.33-1.06)</w:t>
            </w:r>
          </w:p>
        </w:tc>
      </w:tr>
      <w:tr w:rsidR="0047184B" w14:paraId="476E9BF4" w14:textId="77777777" w:rsidTr="00787967">
        <w:tc>
          <w:tcPr>
            <w:tcW w:w="2547" w:type="dxa"/>
            <w:tcBorders>
              <w:right w:val="single" w:sz="4" w:space="0" w:color="auto"/>
            </w:tcBorders>
          </w:tcPr>
          <w:p w14:paraId="45986ADC" w14:textId="77777777" w:rsidR="0047184B" w:rsidRDefault="0047184B" w:rsidP="00787967">
            <w:pPr>
              <w:spacing w:line="276" w:lineRule="auto"/>
              <w:rPr>
                <w:rFonts w:cstheme="minorHAnsi"/>
              </w:rPr>
            </w:pPr>
            <w:r>
              <w:rPr>
                <w:rFonts w:cstheme="minorHAnsi"/>
              </w:rPr>
              <w:t xml:space="preserve">   20-25</w:t>
            </w:r>
          </w:p>
        </w:tc>
        <w:tc>
          <w:tcPr>
            <w:tcW w:w="1843" w:type="dxa"/>
            <w:tcBorders>
              <w:left w:val="single" w:sz="4" w:space="0" w:color="auto"/>
            </w:tcBorders>
          </w:tcPr>
          <w:p w14:paraId="03485A35" w14:textId="77777777" w:rsidR="0047184B" w:rsidRDefault="0047184B" w:rsidP="00787967">
            <w:pPr>
              <w:spacing w:line="276" w:lineRule="auto"/>
              <w:jc w:val="center"/>
            </w:pPr>
            <w:r>
              <w:t>1</w:t>
            </w:r>
          </w:p>
        </w:tc>
        <w:tc>
          <w:tcPr>
            <w:tcW w:w="1984" w:type="dxa"/>
            <w:tcBorders>
              <w:right w:val="single" w:sz="4" w:space="0" w:color="auto"/>
            </w:tcBorders>
          </w:tcPr>
          <w:p w14:paraId="09B96665" w14:textId="77777777" w:rsidR="0047184B" w:rsidRDefault="0047184B" w:rsidP="00787967">
            <w:pPr>
              <w:spacing w:line="276" w:lineRule="auto"/>
              <w:jc w:val="center"/>
            </w:pPr>
            <w:r>
              <w:t>1</w:t>
            </w:r>
          </w:p>
        </w:tc>
        <w:tc>
          <w:tcPr>
            <w:tcW w:w="1844" w:type="dxa"/>
            <w:tcBorders>
              <w:left w:val="single" w:sz="4" w:space="0" w:color="auto"/>
            </w:tcBorders>
          </w:tcPr>
          <w:p w14:paraId="2899DA95" w14:textId="77777777" w:rsidR="0047184B" w:rsidRDefault="0047184B" w:rsidP="00787967">
            <w:pPr>
              <w:spacing w:line="276" w:lineRule="auto"/>
              <w:jc w:val="center"/>
            </w:pPr>
            <w:r>
              <w:t>1</w:t>
            </w:r>
          </w:p>
        </w:tc>
        <w:tc>
          <w:tcPr>
            <w:tcW w:w="1843" w:type="dxa"/>
          </w:tcPr>
          <w:p w14:paraId="31633ED7" w14:textId="77777777" w:rsidR="0047184B" w:rsidRDefault="0047184B" w:rsidP="00787967">
            <w:pPr>
              <w:spacing w:line="276" w:lineRule="auto"/>
              <w:jc w:val="center"/>
            </w:pPr>
            <w:r>
              <w:t>1</w:t>
            </w:r>
          </w:p>
        </w:tc>
      </w:tr>
      <w:tr w:rsidR="0047184B" w14:paraId="05ECDBDE" w14:textId="77777777" w:rsidTr="00787967">
        <w:tc>
          <w:tcPr>
            <w:tcW w:w="2547" w:type="dxa"/>
            <w:tcBorders>
              <w:right w:val="single" w:sz="4" w:space="0" w:color="auto"/>
            </w:tcBorders>
          </w:tcPr>
          <w:p w14:paraId="7961B9AA" w14:textId="77777777" w:rsidR="0047184B" w:rsidRDefault="0047184B" w:rsidP="00787967">
            <w:pPr>
              <w:spacing w:line="276" w:lineRule="auto"/>
              <w:rPr>
                <w:rFonts w:cstheme="minorHAnsi"/>
              </w:rPr>
            </w:pPr>
            <w:r>
              <w:rPr>
                <w:rFonts w:cstheme="minorHAnsi"/>
              </w:rPr>
              <w:t xml:space="preserve">   &gt;25-30</w:t>
            </w:r>
          </w:p>
        </w:tc>
        <w:tc>
          <w:tcPr>
            <w:tcW w:w="1843" w:type="dxa"/>
            <w:tcBorders>
              <w:left w:val="single" w:sz="4" w:space="0" w:color="auto"/>
            </w:tcBorders>
          </w:tcPr>
          <w:p w14:paraId="351CA4FF" w14:textId="77777777" w:rsidR="0047184B" w:rsidRDefault="0047184B" w:rsidP="00787967">
            <w:pPr>
              <w:spacing w:line="276" w:lineRule="auto"/>
              <w:jc w:val="center"/>
            </w:pPr>
            <w:r>
              <w:t>0.98 (0.75-1.29)</w:t>
            </w:r>
          </w:p>
        </w:tc>
        <w:tc>
          <w:tcPr>
            <w:tcW w:w="1984" w:type="dxa"/>
            <w:tcBorders>
              <w:right w:val="single" w:sz="4" w:space="0" w:color="auto"/>
            </w:tcBorders>
          </w:tcPr>
          <w:p w14:paraId="26F29664" w14:textId="77777777" w:rsidR="0047184B" w:rsidRDefault="0047184B" w:rsidP="00787967">
            <w:pPr>
              <w:spacing w:line="276" w:lineRule="auto"/>
              <w:jc w:val="center"/>
            </w:pPr>
            <w:r>
              <w:t>1.06 (0.81-1.40)</w:t>
            </w:r>
          </w:p>
        </w:tc>
        <w:tc>
          <w:tcPr>
            <w:tcW w:w="1844" w:type="dxa"/>
            <w:tcBorders>
              <w:left w:val="single" w:sz="4" w:space="0" w:color="auto"/>
            </w:tcBorders>
          </w:tcPr>
          <w:p w14:paraId="4380464E" w14:textId="77777777" w:rsidR="0047184B" w:rsidRDefault="0047184B" w:rsidP="00787967">
            <w:pPr>
              <w:spacing w:line="276" w:lineRule="auto"/>
              <w:jc w:val="center"/>
            </w:pPr>
            <w:r>
              <w:t>1.10 (0.80-1.52)</w:t>
            </w:r>
          </w:p>
        </w:tc>
        <w:tc>
          <w:tcPr>
            <w:tcW w:w="1843" w:type="dxa"/>
          </w:tcPr>
          <w:p w14:paraId="2B15FF38" w14:textId="77777777" w:rsidR="0047184B" w:rsidRDefault="0047184B" w:rsidP="00787967">
            <w:pPr>
              <w:spacing w:line="276" w:lineRule="auto"/>
              <w:jc w:val="center"/>
            </w:pPr>
            <w:r>
              <w:t>1.06 (0.76-1.48)</w:t>
            </w:r>
          </w:p>
        </w:tc>
      </w:tr>
      <w:tr w:rsidR="0047184B" w14:paraId="0594EADF" w14:textId="77777777" w:rsidTr="005766E3">
        <w:tc>
          <w:tcPr>
            <w:tcW w:w="2547" w:type="dxa"/>
            <w:tcBorders>
              <w:bottom w:val="single" w:sz="4" w:space="0" w:color="auto"/>
              <w:right w:val="single" w:sz="4" w:space="0" w:color="auto"/>
            </w:tcBorders>
          </w:tcPr>
          <w:p w14:paraId="6ABB82ED" w14:textId="77777777" w:rsidR="0047184B" w:rsidRDefault="0047184B" w:rsidP="00787967">
            <w:pPr>
              <w:spacing w:line="276" w:lineRule="auto"/>
              <w:rPr>
                <w:rFonts w:cstheme="minorHAnsi"/>
              </w:rPr>
            </w:pPr>
            <w:r>
              <w:rPr>
                <w:rFonts w:cstheme="minorHAnsi"/>
              </w:rPr>
              <w:t xml:space="preserve">   &gt;30</w:t>
            </w:r>
          </w:p>
        </w:tc>
        <w:tc>
          <w:tcPr>
            <w:tcW w:w="1843" w:type="dxa"/>
            <w:tcBorders>
              <w:left w:val="single" w:sz="4" w:space="0" w:color="auto"/>
              <w:bottom w:val="single" w:sz="4" w:space="0" w:color="auto"/>
            </w:tcBorders>
          </w:tcPr>
          <w:p w14:paraId="369AAF8A" w14:textId="77777777" w:rsidR="0047184B" w:rsidRDefault="0047184B" w:rsidP="00787967">
            <w:pPr>
              <w:spacing w:line="276" w:lineRule="auto"/>
              <w:jc w:val="center"/>
            </w:pPr>
            <w:r>
              <w:t>1.06 (0.81-1.38)</w:t>
            </w:r>
          </w:p>
        </w:tc>
        <w:tc>
          <w:tcPr>
            <w:tcW w:w="1984" w:type="dxa"/>
            <w:tcBorders>
              <w:bottom w:val="single" w:sz="4" w:space="0" w:color="auto"/>
              <w:right w:val="single" w:sz="4" w:space="0" w:color="auto"/>
            </w:tcBorders>
          </w:tcPr>
          <w:p w14:paraId="674D1B1F" w14:textId="77777777" w:rsidR="0047184B" w:rsidRDefault="0047184B" w:rsidP="00787967">
            <w:pPr>
              <w:spacing w:line="276" w:lineRule="auto"/>
              <w:jc w:val="center"/>
            </w:pPr>
            <w:r>
              <w:t>1.06 (0.81-1.40)</w:t>
            </w:r>
          </w:p>
        </w:tc>
        <w:tc>
          <w:tcPr>
            <w:tcW w:w="1844" w:type="dxa"/>
            <w:tcBorders>
              <w:left w:val="single" w:sz="4" w:space="0" w:color="auto"/>
              <w:bottom w:val="single" w:sz="4" w:space="0" w:color="auto"/>
            </w:tcBorders>
          </w:tcPr>
          <w:p w14:paraId="141653E0" w14:textId="77777777" w:rsidR="0047184B" w:rsidRDefault="0047184B" w:rsidP="00787967">
            <w:pPr>
              <w:spacing w:line="276" w:lineRule="auto"/>
              <w:jc w:val="center"/>
            </w:pPr>
            <w:r>
              <w:t>1.31 (0.96-1.79)</w:t>
            </w:r>
          </w:p>
        </w:tc>
        <w:tc>
          <w:tcPr>
            <w:tcW w:w="1843" w:type="dxa"/>
            <w:tcBorders>
              <w:bottom w:val="single" w:sz="4" w:space="0" w:color="auto"/>
            </w:tcBorders>
          </w:tcPr>
          <w:p w14:paraId="379C6329" w14:textId="77777777" w:rsidR="0047184B" w:rsidRDefault="0047184B" w:rsidP="00787967">
            <w:pPr>
              <w:spacing w:line="276" w:lineRule="auto"/>
              <w:jc w:val="center"/>
            </w:pPr>
            <w:r>
              <w:t>1.17 (0.84-1.64)</w:t>
            </w:r>
          </w:p>
        </w:tc>
      </w:tr>
      <w:tr w:rsidR="0047184B" w14:paraId="02F2F136" w14:textId="77777777" w:rsidTr="005766E3">
        <w:tc>
          <w:tcPr>
            <w:tcW w:w="2547" w:type="dxa"/>
            <w:tcBorders>
              <w:top w:val="single" w:sz="4" w:space="0" w:color="auto"/>
              <w:bottom w:val="nil"/>
              <w:right w:val="single" w:sz="4" w:space="0" w:color="auto"/>
            </w:tcBorders>
          </w:tcPr>
          <w:p w14:paraId="3D0331B9" w14:textId="77777777" w:rsidR="0047184B" w:rsidRDefault="0047184B" w:rsidP="00787967">
            <w:pPr>
              <w:spacing w:line="276" w:lineRule="auto"/>
              <w:rPr>
                <w:rFonts w:cstheme="minorHAnsi"/>
              </w:rPr>
            </w:pPr>
            <w:r>
              <w:rPr>
                <w:rFonts w:cstheme="minorHAnsi"/>
              </w:rPr>
              <w:t>Wheeze</w:t>
            </w:r>
          </w:p>
        </w:tc>
        <w:tc>
          <w:tcPr>
            <w:tcW w:w="1843" w:type="dxa"/>
            <w:tcBorders>
              <w:top w:val="single" w:sz="4" w:space="0" w:color="auto"/>
              <w:left w:val="single" w:sz="4" w:space="0" w:color="auto"/>
              <w:bottom w:val="nil"/>
            </w:tcBorders>
          </w:tcPr>
          <w:p w14:paraId="3E974F56" w14:textId="77777777" w:rsidR="0047184B" w:rsidRPr="00197BC4" w:rsidRDefault="0047184B" w:rsidP="00787967">
            <w:pPr>
              <w:spacing w:line="276" w:lineRule="auto"/>
              <w:jc w:val="center"/>
              <w:rPr>
                <w:b/>
              </w:rPr>
            </w:pPr>
            <w:r w:rsidRPr="00197BC4">
              <w:rPr>
                <w:b/>
              </w:rPr>
              <w:t>1.33 (1.02-1.73)</w:t>
            </w:r>
          </w:p>
        </w:tc>
        <w:tc>
          <w:tcPr>
            <w:tcW w:w="1984" w:type="dxa"/>
            <w:tcBorders>
              <w:top w:val="single" w:sz="4" w:space="0" w:color="auto"/>
              <w:bottom w:val="nil"/>
              <w:right w:val="single" w:sz="4" w:space="0" w:color="auto"/>
            </w:tcBorders>
          </w:tcPr>
          <w:p w14:paraId="4DCB7ADF" w14:textId="77777777" w:rsidR="0047184B" w:rsidRPr="00197BC4" w:rsidRDefault="0047184B" w:rsidP="00787967">
            <w:pPr>
              <w:spacing w:line="276" w:lineRule="auto"/>
              <w:jc w:val="center"/>
              <w:rPr>
                <w:b/>
              </w:rPr>
            </w:pPr>
            <w:r w:rsidRPr="00197BC4">
              <w:rPr>
                <w:b/>
              </w:rPr>
              <w:t>1.36 (1.04-1.79)</w:t>
            </w:r>
          </w:p>
        </w:tc>
        <w:tc>
          <w:tcPr>
            <w:tcW w:w="1844" w:type="dxa"/>
            <w:tcBorders>
              <w:top w:val="single" w:sz="4" w:space="0" w:color="auto"/>
              <w:left w:val="single" w:sz="4" w:space="0" w:color="auto"/>
              <w:bottom w:val="nil"/>
            </w:tcBorders>
          </w:tcPr>
          <w:p w14:paraId="123594AE" w14:textId="77777777" w:rsidR="0047184B" w:rsidRPr="00197BC4" w:rsidRDefault="0047184B" w:rsidP="00787967">
            <w:pPr>
              <w:spacing w:line="276" w:lineRule="auto"/>
              <w:jc w:val="center"/>
              <w:rPr>
                <w:b/>
              </w:rPr>
            </w:pPr>
            <w:r w:rsidRPr="00197BC4">
              <w:rPr>
                <w:b/>
              </w:rPr>
              <w:t>1.42 (1.04-1.92)</w:t>
            </w:r>
          </w:p>
        </w:tc>
        <w:tc>
          <w:tcPr>
            <w:tcW w:w="1843" w:type="dxa"/>
            <w:tcBorders>
              <w:top w:val="single" w:sz="4" w:space="0" w:color="auto"/>
              <w:bottom w:val="nil"/>
            </w:tcBorders>
          </w:tcPr>
          <w:p w14:paraId="2C959E9E" w14:textId="77777777" w:rsidR="0047184B" w:rsidRDefault="0047184B" w:rsidP="00787967">
            <w:pPr>
              <w:spacing w:line="276" w:lineRule="auto"/>
              <w:jc w:val="center"/>
            </w:pPr>
            <w:r>
              <w:t>1.19 (0.86-1.64)</w:t>
            </w:r>
          </w:p>
        </w:tc>
      </w:tr>
      <w:tr w:rsidR="0047184B" w14:paraId="22CEB9A4" w14:textId="77777777" w:rsidTr="005766E3">
        <w:tc>
          <w:tcPr>
            <w:tcW w:w="2547" w:type="dxa"/>
            <w:tcBorders>
              <w:top w:val="nil"/>
              <w:bottom w:val="nil"/>
              <w:right w:val="single" w:sz="4" w:space="0" w:color="auto"/>
            </w:tcBorders>
          </w:tcPr>
          <w:p w14:paraId="3D1C67FA" w14:textId="77777777" w:rsidR="0047184B" w:rsidRDefault="0047184B" w:rsidP="00787967">
            <w:pPr>
              <w:spacing w:line="276" w:lineRule="auto"/>
              <w:rPr>
                <w:rFonts w:cstheme="minorHAnsi"/>
              </w:rPr>
            </w:pPr>
            <w:r>
              <w:rPr>
                <w:rFonts w:cstheme="minorHAnsi"/>
              </w:rPr>
              <w:t xml:space="preserve">Wheeze  </w:t>
            </w:r>
            <w:r w:rsidRPr="00D15152">
              <w:t>and breathlessness</w:t>
            </w:r>
          </w:p>
        </w:tc>
        <w:tc>
          <w:tcPr>
            <w:tcW w:w="1843" w:type="dxa"/>
            <w:tcBorders>
              <w:top w:val="nil"/>
              <w:left w:val="single" w:sz="4" w:space="0" w:color="auto"/>
              <w:bottom w:val="nil"/>
            </w:tcBorders>
          </w:tcPr>
          <w:p w14:paraId="05CDC6FB" w14:textId="77777777" w:rsidR="0047184B" w:rsidRDefault="0047184B" w:rsidP="00787967">
            <w:pPr>
              <w:spacing w:line="276" w:lineRule="auto"/>
              <w:jc w:val="center"/>
            </w:pPr>
            <w:r>
              <w:t>1.17 (0.94-1.46)</w:t>
            </w:r>
          </w:p>
        </w:tc>
        <w:tc>
          <w:tcPr>
            <w:tcW w:w="1984" w:type="dxa"/>
            <w:tcBorders>
              <w:top w:val="nil"/>
              <w:bottom w:val="nil"/>
              <w:right w:val="single" w:sz="4" w:space="0" w:color="auto"/>
            </w:tcBorders>
          </w:tcPr>
          <w:p w14:paraId="4257378B" w14:textId="77777777" w:rsidR="0047184B" w:rsidRPr="00197BC4" w:rsidRDefault="0047184B" w:rsidP="00787967">
            <w:pPr>
              <w:spacing w:line="276" w:lineRule="auto"/>
              <w:jc w:val="center"/>
              <w:rPr>
                <w:b/>
              </w:rPr>
            </w:pPr>
            <w:r>
              <w:t>1.16 (0.93-1.45)</w:t>
            </w:r>
          </w:p>
        </w:tc>
        <w:tc>
          <w:tcPr>
            <w:tcW w:w="1844" w:type="dxa"/>
            <w:tcBorders>
              <w:top w:val="nil"/>
              <w:left w:val="single" w:sz="4" w:space="0" w:color="auto"/>
              <w:bottom w:val="nil"/>
            </w:tcBorders>
          </w:tcPr>
          <w:p w14:paraId="26FA975B" w14:textId="77777777" w:rsidR="0047184B" w:rsidRDefault="0047184B" w:rsidP="00787967">
            <w:pPr>
              <w:spacing w:line="276" w:lineRule="auto"/>
              <w:jc w:val="center"/>
            </w:pPr>
            <w:r>
              <w:t>1.10 (0.85-1.42)</w:t>
            </w:r>
          </w:p>
        </w:tc>
        <w:tc>
          <w:tcPr>
            <w:tcW w:w="1843" w:type="dxa"/>
            <w:tcBorders>
              <w:top w:val="nil"/>
              <w:bottom w:val="nil"/>
            </w:tcBorders>
          </w:tcPr>
          <w:p w14:paraId="768D38F3" w14:textId="77777777" w:rsidR="0047184B" w:rsidRDefault="0047184B" w:rsidP="00787967">
            <w:pPr>
              <w:spacing w:line="276" w:lineRule="auto"/>
              <w:jc w:val="center"/>
            </w:pPr>
            <w:r>
              <w:t>1.02 (0.78-1.33)</w:t>
            </w:r>
          </w:p>
        </w:tc>
      </w:tr>
      <w:tr w:rsidR="0047184B" w:rsidRPr="00294B6E" w14:paraId="190B10D5" w14:textId="77777777" w:rsidTr="005766E3">
        <w:tc>
          <w:tcPr>
            <w:tcW w:w="2547" w:type="dxa"/>
            <w:tcBorders>
              <w:top w:val="nil"/>
              <w:bottom w:val="nil"/>
              <w:right w:val="single" w:sz="4" w:space="0" w:color="auto"/>
            </w:tcBorders>
          </w:tcPr>
          <w:p w14:paraId="6FB489B0" w14:textId="77777777" w:rsidR="0047184B" w:rsidRPr="00467904" w:rsidRDefault="0047184B" w:rsidP="00787967">
            <w:pPr>
              <w:spacing w:line="276" w:lineRule="auto"/>
              <w:rPr>
                <w:rFonts w:cstheme="minorHAnsi"/>
                <w:lang w:val="en-GB"/>
              </w:rPr>
            </w:pPr>
            <w:r w:rsidRPr="00467904">
              <w:rPr>
                <w:rFonts w:cstheme="minorHAnsi"/>
                <w:lang w:val="en-GB"/>
              </w:rPr>
              <w:t xml:space="preserve">Wheeze </w:t>
            </w:r>
            <w:r>
              <w:rPr>
                <w:rFonts w:cstheme="minorHAnsi"/>
                <w:lang w:val="en-GB"/>
              </w:rPr>
              <w:t>not</w:t>
            </w:r>
            <w:r w:rsidRPr="00467904">
              <w:rPr>
                <w:rFonts w:cstheme="minorHAnsi"/>
                <w:lang w:val="en-GB"/>
              </w:rPr>
              <w:t xml:space="preserve"> having a cold</w:t>
            </w:r>
          </w:p>
        </w:tc>
        <w:tc>
          <w:tcPr>
            <w:tcW w:w="1843" w:type="dxa"/>
            <w:tcBorders>
              <w:top w:val="nil"/>
              <w:left w:val="single" w:sz="4" w:space="0" w:color="auto"/>
              <w:bottom w:val="nil"/>
            </w:tcBorders>
          </w:tcPr>
          <w:p w14:paraId="7C131F38" w14:textId="77777777" w:rsidR="0047184B" w:rsidRPr="00467904" w:rsidRDefault="0047184B" w:rsidP="00787967">
            <w:pPr>
              <w:spacing w:line="276" w:lineRule="auto"/>
              <w:jc w:val="center"/>
              <w:rPr>
                <w:lang w:val="en-GB"/>
              </w:rPr>
            </w:pPr>
            <w:r>
              <w:rPr>
                <w:lang w:val="en-GB"/>
              </w:rPr>
              <w:t>1.05 (0.84-1.31)</w:t>
            </w:r>
          </w:p>
        </w:tc>
        <w:tc>
          <w:tcPr>
            <w:tcW w:w="1984" w:type="dxa"/>
            <w:tcBorders>
              <w:top w:val="nil"/>
              <w:bottom w:val="nil"/>
              <w:right w:val="single" w:sz="4" w:space="0" w:color="auto"/>
            </w:tcBorders>
          </w:tcPr>
          <w:p w14:paraId="04A191F8" w14:textId="77777777" w:rsidR="0047184B" w:rsidRPr="00467904" w:rsidRDefault="0047184B" w:rsidP="00787967">
            <w:pPr>
              <w:spacing w:line="276" w:lineRule="auto"/>
              <w:jc w:val="center"/>
              <w:rPr>
                <w:lang w:val="en-GB"/>
              </w:rPr>
            </w:pPr>
            <w:r>
              <w:rPr>
                <w:lang w:val="en-GB"/>
              </w:rPr>
              <w:t>1.10 (0.88-1.38)</w:t>
            </w:r>
          </w:p>
        </w:tc>
        <w:tc>
          <w:tcPr>
            <w:tcW w:w="1844" w:type="dxa"/>
            <w:tcBorders>
              <w:top w:val="nil"/>
              <w:left w:val="single" w:sz="4" w:space="0" w:color="auto"/>
              <w:bottom w:val="nil"/>
            </w:tcBorders>
          </w:tcPr>
          <w:p w14:paraId="45699CDA" w14:textId="77777777" w:rsidR="0047184B" w:rsidRPr="00467904" w:rsidRDefault="0047184B" w:rsidP="00787967">
            <w:pPr>
              <w:spacing w:line="276" w:lineRule="auto"/>
              <w:jc w:val="center"/>
              <w:rPr>
                <w:lang w:val="en-GB"/>
              </w:rPr>
            </w:pPr>
            <w:r>
              <w:rPr>
                <w:lang w:val="en-GB"/>
              </w:rPr>
              <w:t>1.16 (0.90-1.49)</w:t>
            </w:r>
          </w:p>
        </w:tc>
        <w:tc>
          <w:tcPr>
            <w:tcW w:w="1843" w:type="dxa"/>
            <w:tcBorders>
              <w:top w:val="nil"/>
              <w:bottom w:val="nil"/>
            </w:tcBorders>
          </w:tcPr>
          <w:p w14:paraId="7FB33527" w14:textId="77777777" w:rsidR="0047184B" w:rsidRPr="00467904" w:rsidRDefault="0047184B" w:rsidP="00787967">
            <w:pPr>
              <w:spacing w:line="276" w:lineRule="auto"/>
              <w:jc w:val="center"/>
              <w:rPr>
                <w:lang w:val="en-GB"/>
              </w:rPr>
            </w:pPr>
            <w:r>
              <w:rPr>
                <w:lang w:val="en-GB"/>
              </w:rPr>
              <w:t>1.08 (0.82-1.42)</w:t>
            </w:r>
          </w:p>
        </w:tc>
      </w:tr>
      <w:tr w:rsidR="0047184B" w14:paraId="7E0963D1" w14:textId="77777777" w:rsidTr="005766E3">
        <w:tc>
          <w:tcPr>
            <w:tcW w:w="2547" w:type="dxa"/>
            <w:tcBorders>
              <w:top w:val="nil"/>
              <w:bottom w:val="nil"/>
              <w:right w:val="single" w:sz="4" w:space="0" w:color="auto"/>
            </w:tcBorders>
          </w:tcPr>
          <w:p w14:paraId="58917200" w14:textId="77777777" w:rsidR="0047184B" w:rsidRDefault="0047184B" w:rsidP="00787967">
            <w:pPr>
              <w:spacing w:line="276" w:lineRule="auto"/>
              <w:rPr>
                <w:rFonts w:cstheme="minorHAnsi"/>
              </w:rPr>
            </w:pPr>
            <w:r>
              <w:rPr>
                <w:rFonts w:cstheme="minorHAnsi"/>
              </w:rPr>
              <w:t>Nocturnal chest tightness</w:t>
            </w:r>
          </w:p>
        </w:tc>
        <w:tc>
          <w:tcPr>
            <w:tcW w:w="1843" w:type="dxa"/>
            <w:tcBorders>
              <w:top w:val="nil"/>
              <w:left w:val="single" w:sz="4" w:space="0" w:color="auto"/>
              <w:bottom w:val="nil"/>
            </w:tcBorders>
          </w:tcPr>
          <w:p w14:paraId="5ECF53CC" w14:textId="77777777" w:rsidR="0047184B" w:rsidRDefault="0047184B" w:rsidP="00787967">
            <w:pPr>
              <w:spacing w:line="276" w:lineRule="auto"/>
              <w:jc w:val="center"/>
            </w:pPr>
            <w:r>
              <w:t>1.32 (0.93-1.86)</w:t>
            </w:r>
          </w:p>
        </w:tc>
        <w:tc>
          <w:tcPr>
            <w:tcW w:w="1984" w:type="dxa"/>
            <w:tcBorders>
              <w:top w:val="nil"/>
              <w:bottom w:val="nil"/>
              <w:right w:val="single" w:sz="4" w:space="0" w:color="auto"/>
            </w:tcBorders>
          </w:tcPr>
          <w:p w14:paraId="52CEA53B" w14:textId="77777777" w:rsidR="0047184B" w:rsidRDefault="0047184B" w:rsidP="00787967">
            <w:pPr>
              <w:spacing w:line="276" w:lineRule="auto"/>
              <w:jc w:val="center"/>
            </w:pPr>
            <w:r>
              <w:t>1.</w:t>
            </w:r>
            <w:r>
              <w:rPr>
                <w:lang w:val="en-GB"/>
              </w:rPr>
              <w:t>35 (0.6-1.91)</w:t>
            </w:r>
          </w:p>
        </w:tc>
        <w:tc>
          <w:tcPr>
            <w:tcW w:w="1844" w:type="dxa"/>
            <w:tcBorders>
              <w:top w:val="nil"/>
              <w:left w:val="single" w:sz="4" w:space="0" w:color="auto"/>
              <w:bottom w:val="nil"/>
            </w:tcBorders>
          </w:tcPr>
          <w:p w14:paraId="5CA5A664" w14:textId="77777777" w:rsidR="0047184B" w:rsidRDefault="0047184B" w:rsidP="00787967">
            <w:pPr>
              <w:spacing w:line="276" w:lineRule="auto"/>
              <w:jc w:val="center"/>
            </w:pPr>
            <w:r w:rsidRPr="00197BC4">
              <w:rPr>
                <w:b/>
              </w:rPr>
              <w:t>2.31 (1.50-3.55)</w:t>
            </w:r>
          </w:p>
        </w:tc>
        <w:tc>
          <w:tcPr>
            <w:tcW w:w="1843" w:type="dxa"/>
            <w:tcBorders>
              <w:top w:val="nil"/>
              <w:bottom w:val="nil"/>
            </w:tcBorders>
          </w:tcPr>
          <w:p w14:paraId="59ED41FD" w14:textId="77777777" w:rsidR="0047184B" w:rsidRDefault="0047184B" w:rsidP="00787967">
            <w:pPr>
              <w:spacing w:line="276" w:lineRule="auto"/>
              <w:jc w:val="center"/>
            </w:pPr>
            <w:r w:rsidRPr="00197BC4">
              <w:rPr>
                <w:b/>
              </w:rPr>
              <w:t>2.25 (1.44-3.52)</w:t>
            </w:r>
          </w:p>
        </w:tc>
      </w:tr>
      <w:tr w:rsidR="0047184B" w14:paraId="1A0D18B3" w14:textId="77777777" w:rsidTr="005766E3">
        <w:tc>
          <w:tcPr>
            <w:tcW w:w="2547" w:type="dxa"/>
            <w:tcBorders>
              <w:top w:val="nil"/>
              <w:bottom w:val="nil"/>
              <w:right w:val="single" w:sz="4" w:space="0" w:color="auto"/>
            </w:tcBorders>
          </w:tcPr>
          <w:p w14:paraId="4947521F" w14:textId="77777777" w:rsidR="0047184B" w:rsidRDefault="0047184B" w:rsidP="00787967">
            <w:pPr>
              <w:spacing w:line="276" w:lineRule="auto"/>
              <w:rPr>
                <w:rFonts w:cstheme="minorHAnsi"/>
              </w:rPr>
            </w:pPr>
            <w:r>
              <w:rPr>
                <w:rFonts w:cstheme="minorHAnsi"/>
              </w:rPr>
              <w:t>Beathless at rest</w:t>
            </w:r>
          </w:p>
        </w:tc>
        <w:tc>
          <w:tcPr>
            <w:tcW w:w="1843" w:type="dxa"/>
            <w:tcBorders>
              <w:top w:val="nil"/>
              <w:left w:val="single" w:sz="4" w:space="0" w:color="auto"/>
              <w:bottom w:val="nil"/>
            </w:tcBorders>
          </w:tcPr>
          <w:p w14:paraId="50263937" w14:textId="77777777" w:rsidR="0047184B" w:rsidRDefault="0047184B" w:rsidP="00787967">
            <w:pPr>
              <w:spacing w:line="276" w:lineRule="auto"/>
              <w:jc w:val="center"/>
            </w:pPr>
            <w:r>
              <w:t>1.28 (0.89-1.86)</w:t>
            </w:r>
          </w:p>
        </w:tc>
        <w:tc>
          <w:tcPr>
            <w:tcW w:w="1984" w:type="dxa"/>
            <w:tcBorders>
              <w:top w:val="nil"/>
              <w:bottom w:val="nil"/>
              <w:right w:val="single" w:sz="4" w:space="0" w:color="auto"/>
            </w:tcBorders>
          </w:tcPr>
          <w:p w14:paraId="656DD788" w14:textId="77777777" w:rsidR="0047184B" w:rsidRDefault="0047184B" w:rsidP="00787967">
            <w:pPr>
              <w:spacing w:line="276" w:lineRule="auto"/>
              <w:jc w:val="center"/>
            </w:pPr>
            <w:r>
              <w:t>1.28 (0.88-1.86)</w:t>
            </w:r>
          </w:p>
        </w:tc>
        <w:tc>
          <w:tcPr>
            <w:tcW w:w="1844" w:type="dxa"/>
            <w:tcBorders>
              <w:top w:val="nil"/>
              <w:left w:val="single" w:sz="4" w:space="0" w:color="auto"/>
              <w:bottom w:val="nil"/>
            </w:tcBorders>
          </w:tcPr>
          <w:p w14:paraId="41F27378" w14:textId="77777777" w:rsidR="0047184B" w:rsidRDefault="0047184B" w:rsidP="00787967">
            <w:pPr>
              <w:spacing w:line="276" w:lineRule="auto"/>
              <w:jc w:val="center"/>
            </w:pPr>
            <w:r>
              <w:t>1.48 (0.95-2.31)</w:t>
            </w:r>
          </w:p>
        </w:tc>
        <w:tc>
          <w:tcPr>
            <w:tcW w:w="1843" w:type="dxa"/>
            <w:tcBorders>
              <w:top w:val="nil"/>
              <w:bottom w:val="nil"/>
            </w:tcBorders>
          </w:tcPr>
          <w:p w14:paraId="0D448E20" w14:textId="77777777" w:rsidR="0047184B" w:rsidRDefault="0047184B" w:rsidP="00787967">
            <w:pPr>
              <w:spacing w:line="276" w:lineRule="auto"/>
              <w:jc w:val="center"/>
            </w:pPr>
            <w:r>
              <w:t>1.65 (1.04-2.60)</w:t>
            </w:r>
          </w:p>
        </w:tc>
      </w:tr>
      <w:tr w:rsidR="0047184B" w14:paraId="1AA53F33" w14:textId="77777777" w:rsidTr="005766E3">
        <w:tc>
          <w:tcPr>
            <w:tcW w:w="2547" w:type="dxa"/>
            <w:tcBorders>
              <w:top w:val="nil"/>
              <w:bottom w:val="nil"/>
              <w:right w:val="single" w:sz="4" w:space="0" w:color="auto"/>
            </w:tcBorders>
          </w:tcPr>
          <w:p w14:paraId="037951EA" w14:textId="77777777" w:rsidR="0047184B" w:rsidRDefault="0047184B" w:rsidP="00787967">
            <w:pPr>
              <w:spacing w:line="276" w:lineRule="auto"/>
              <w:rPr>
                <w:rFonts w:cstheme="minorHAnsi"/>
              </w:rPr>
            </w:pPr>
            <w:r>
              <w:rPr>
                <w:rFonts w:cstheme="minorHAnsi"/>
              </w:rPr>
              <w:t>Breathless after effort</w:t>
            </w:r>
          </w:p>
        </w:tc>
        <w:tc>
          <w:tcPr>
            <w:tcW w:w="1843" w:type="dxa"/>
            <w:tcBorders>
              <w:top w:val="nil"/>
              <w:left w:val="single" w:sz="4" w:space="0" w:color="auto"/>
              <w:bottom w:val="nil"/>
            </w:tcBorders>
          </w:tcPr>
          <w:p w14:paraId="60482B0A" w14:textId="77777777" w:rsidR="0047184B" w:rsidRDefault="0047184B" w:rsidP="00787967">
            <w:pPr>
              <w:spacing w:line="276" w:lineRule="auto"/>
              <w:jc w:val="center"/>
            </w:pPr>
            <w:r>
              <w:t>0.92 (0.64-1.31)</w:t>
            </w:r>
          </w:p>
        </w:tc>
        <w:tc>
          <w:tcPr>
            <w:tcW w:w="1984" w:type="dxa"/>
            <w:tcBorders>
              <w:top w:val="nil"/>
              <w:bottom w:val="nil"/>
              <w:right w:val="single" w:sz="4" w:space="0" w:color="auto"/>
            </w:tcBorders>
          </w:tcPr>
          <w:p w14:paraId="4BA7FED7" w14:textId="77777777" w:rsidR="0047184B" w:rsidRDefault="0047184B" w:rsidP="00787967">
            <w:pPr>
              <w:spacing w:line="276" w:lineRule="auto"/>
              <w:jc w:val="center"/>
            </w:pPr>
            <w:r>
              <w:t>0.87 (0.61-1.24)</w:t>
            </w:r>
          </w:p>
        </w:tc>
        <w:tc>
          <w:tcPr>
            <w:tcW w:w="1844" w:type="dxa"/>
            <w:tcBorders>
              <w:top w:val="nil"/>
              <w:left w:val="single" w:sz="4" w:space="0" w:color="auto"/>
              <w:bottom w:val="nil"/>
            </w:tcBorders>
          </w:tcPr>
          <w:p w14:paraId="06E860A4" w14:textId="77777777" w:rsidR="0047184B" w:rsidRDefault="0047184B" w:rsidP="00787967">
            <w:pPr>
              <w:spacing w:line="276" w:lineRule="auto"/>
              <w:jc w:val="center"/>
            </w:pPr>
            <w:r>
              <w:t>1.08 (0.70-1.68)</w:t>
            </w:r>
          </w:p>
        </w:tc>
        <w:tc>
          <w:tcPr>
            <w:tcW w:w="1843" w:type="dxa"/>
            <w:tcBorders>
              <w:top w:val="nil"/>
              <w:bottom w:val="nil"/>
            </w:tcBorders>
          </w:tcPr>
          <w:p w14:paraId="1BD02196" w14:textId="77777777" w:rsidR="0047184B" w:rsidRDefault="0047184B" w:rsidP="00787967">
            <w:pPr>
              <w:spacing w:line="276" w:lineRule="auto"/>
              <w:jc w:val="center"/>
            </w:pPr>
            <w:r>
              <w:t>1.32 (0.83-2.10)</w:t>
            </w:r>
          </w:p>
        </w:tc>
      </w:tr>
      <w:tr w:rsidR="0047184B" w14:paraId="3B98642B" w14:textId="77777777" w:rsidTr="005766E3">
        <w:tc>
          <w:tcPr>
            <w:tcW w:w="2547" w:type="dxa"/>
            <w:tcBorders>
              <w:top w:val="nil"/>
              <w:bottom w:val="nil"/>
              <w:right w:val="single" w:sz="4" w:space="0" w:color="auto"/>
            </w:tcBorders>
          </w:tcPr>
          <w:p w14:paraId="50765AD9" w14:textId="77777777" w:rsidR="0047184B" w:rsidRDefault="0047184B" w:rsidP="00787967">
            <w:pPr>
              <w:spacing w:line="276" w:lineRule="auto"/>
              <w:rPr>
                <w:rFonts w:cstheme="minorHAnsi"/>
              </w:rPr>
            </w:pPr>
            <w:r>
              <w:rPr>
                <w:rFonts w:cstheme="minorHAnsi"/>
              </w:rPr>
              <w:t>Nocturnal brathlessness</w:t>
            </w:r>
          </w:p>
        </w:tc>
        <w:tc>
          <w:tcPr>
            <w:tcW w:w="1843" w:type="dxa"/>
            <w:tcBorders>
              <w:top w:val="nil"/>
              <w:left w:val="single" w:sz="4" w:space="0" w:color="auto"/>
              <w:bottom w:val="nil"/>
            </w:tcBorders>
          </w:tcPr>
          <w:p w14:paraId="67881012" w14:textId="77777777" w:rsidR="0047184B" w:rsidRDefault="0047184B" w:rsidP="00787967">
            <w:pPr>
              <w:spacing w:line="276" w:lineRule="auto"/>
              <w:jc w:val="center"/>
            </w:pPr>
            <w:r>
              <w:t>1.14 (0.79-1.66)</w:t>
            </w:r>
          </w:p>
        </w:tc>
        <w:tc>
          <w:tcPr>
            <w:tcW w:w="1984" w:type="dxa"/>
            <w:tcBorders>
              <w:top w:val="nil"/>
              <w:bottom w:val="nil"/>
              <w:right w:val="single" w:sz="4" w:space="0" w:color="auto"/>
            </w:tcBorders>
          </w:tcPr>
          <w:p w14:paraId="69DD6930" w14:textId="77777777" w:rsidR="0047184B" w:rsidRDefault="0047184B" w:rsidP="00787967">
            <w:pPr>
              <w:spacing w:line="276" w:lineRule="auto"/>
              <w:jc w:val="center"/>
            </w:pPr>
            <w:r>
              <w:t>1.12 (0.77-1.63)</w:t>
            </w:r>
          </w:p>
        </w:tc>
        <w:tc>
          <w:tcPr>
            <w:tcW w:w="1844" w:type="dxa"/>
            <w:tcBorders>
              <w:top w:val="nil"/>
              <w:left w:val="single" w:sz="4" w:space="0" w:color="auto"/>
              <w:bottom w:val="nil"/>
            </w:tcBorders>
          </w:tcPr>
          <w:p w14:paraId="6E1950CB" w14:textId="77777777" w:rsidR="0047184B" w:rsidRDefault="0047184B" w:rsidP="00787967">
            <w:pPr>
              <w:spacing w:line="276" w:lineRule="auto"/>
              <w:jc w:val="center"/>
            </w:pPr>
            <w:r>
              <w:t>1.19 (0.76-1.88)</w:t>
            </w:r>
          </w:p>
        </w:tc>
        <w:tc>
          <w:tcPr>
            <w:tcW w:w="1843" w:type="dxa"/>
            <w:tcBorders>
              <w:top w:val="nil"/>
              <w:bottom w:val="nil"/>
            </w:tcBorders>
          </w:tcPr>
          <w:p w14:paraId="5C3D6D56" w14:textId="77777777" w:rsidR="0047184B" w:rsidRDefault="0047184B" w:rsidP="00787967">
            <w:pPr>
              <w:spacing w:line="276" w:lineRule="auto"/>
              <w:jc w:val="center"/>
            </w:pPr>
            <w:r>
              <w:t>1.25 (0.78-1.99)</w:t>
            </w:r>
          </w:p>
        </w:tc>
      </w:tr>
      <w:tr w:rsidR="0047184B" w14:paraId="1BCA9D56" w14:textId="77777777" w:rsidTr="005766E3">
        <w:tc>
          <w:tcPr>
            <w:tcW w:w="2547" w:type="dxa"/>
            <w:tcBorders>
              <w:top w:val="nil"/>
              <w:bottom w:val="nil"/>
              <w:right w:val="single" w:sz="4" w:space="0" w:color="auto"/>
            </w:tcBorders>
          </w:tcPr>
          <w:p w14:paraId="60479CFC" w14:textId="77777777" w:rsidR="0047184B" w:rsidRDefault="0047184B" w:rsidP="00787967">
            <w:pPr>
              <w:spacing w:line="276" w:lineRule="auto"/>
            </w:pPr>
            <w:r>
              <w:t>Nocturnal cough</w:t>
            </w:r>
          </w:p>
        </w:tc>
        <w:tc>
          <w:tcPr>
            <w:tcW w:w="1843" w:type="dxa"/>
            <w:tcBorders>
              <w:top w:val="nil"/>
              <w:left w:val="single" w:sz="4" w:space="0" w:color="auto"/>
              <w:bottom w:val="nil"/>
            </w:tcBorders>
          </w:tcPr>
          <w:p w14:paraId="365E67CF" w14:textId="77777777" w:rsidR="0047184B" w:rsidRDefault="0047184B" w:rsidP="00787967">
            <w:pPr>
              <w:spacing w:line="276" w:lineRule="auto"/>
              <w:jc w:val="center"/>
            </w:pPr>
            <w:r>
              <w:t>0.84 (0.59-1.20)</w:t>
            </w:r>
          </w:p>
        </w:tc>
        <w:tc>
          <w:tcPr>
            <w:tcW w:w="1984" w:type="dxa"/>
            <w:tcBorders>
              <w:top w:val="nil"/>
              <w:bottom w:val="nil"/>
              <w:right w:val="single" w:sz="4" w:space="0" w:color="auto"/>
            </w:tcBorders>
          </w:tcPr>
          <w:p w14:paraId="5EC13821" w14:textId="77777777" w:rsidR="0047184B" w:rsidRDefault="0047184B" w:rsidP="00787967">
            <w:pPr>
              <w:spacing w:line="276" w:lineRule="auto"/>
              <w:jc w:val="center"/>
            </w:pPr>
            <w:r>
              <w:t>0.82 (0.58-1.17)</w:t>
            </w:r>
          </w:p>
        </w:tc>
        <w:tc>
          <w:tcPr>
            <w:tcW w:w="1844" w:type="dxa"/>
            <w:tcBorders>
              <w:top w:val="nil"/>
              <w:left w:val="single" w:sz="4" w:space="0" w:color="auto"/>
              <w:bottom w:val="nil"/>
            </w:tcBorders>
          </w:tcPr>
          <w:p w14:paraId="35933237" w14:textId="77777777" w:rsidR="0047184B" w:rsidRDefault="0047184B" w:rsidP="00787967">
            <w:pPr>
              <w:spacing w:line="276" w:lineRule="auto"/>
              <w:jc w:val="center"/>
            </w:pPr>
            <w:r w:rsidRPr="00197BC4">
              <w:rPr>
                <w:b/>
              </w:rPr>
              <w:t>0.64 (0.42-0.98)</w:t>
            </w:r>
          </w:p>
        </w:tc>
        <w:tc>
          <w:tcPr>
            <w:tcW w:w="1843" w:type="dxa"/>
            <w:tcBorders>
              <w:top w:val="nil"/>
              <w:bottom w:val="nil"/>
            </w:tcBorders>
          </w:tcPr>
          <w:p w14:paraId="6AFA34DB" w14:textId="77777777" w:rsidR="0047184B" w:rsidRDefault="0047184B" w:rsidP="00787967">
            <w:pPr>
              <w:spacing w:line="276" w:lineRule="auto"/>
              <w:jc w:val="center"/>
            </w:pPr>
            <w:r w:rsidRPr="00197BC4">
              <w:rPr>
                <w:b/>
              </w:rPr>
              <w:t>0.59 (0.38-0.93)</w:t>
            </w:r>
          </w:p>
        </w:tc>
      </w:tr>
      <w:tr w:rsidR="0047184B" w:rsidRPr="003D7BF2" w14:paraId="749B8895" w14:textId="77777777" w:rsidTr="005766E3">
        <w:tc>
          <w:tcPr>
            <w:tcW w:w="2547" w:type="dxa"/>
            <w:tcBorders>
              <w:top w:val="nil"/>
              <w:bottom w:val="nil"/>
              <w:right w:val="single" w:sz="4" w:space="0" w:color="auto"/>
            </w:tcBorders>
          </w:tcPr>
          <w:p w14:paraId="4702B5BF" w14:textId="77777777" w:rsidR="0047184B" w:rsidRDefault="0047184B" w:rsidP="00787967">
            <w:pPr>
              <w:spacing w:line="276" w:lineRule="auto"/>
              <w:rPr>
                <w:rFonts w:cstheme="minorHAnsi"/>
              </w:rPr>
            </w:pPr>
            <w:r>
              <w:rPr>
                <w:rFonts w:cstheme="minorHAnsi"/>
              </w:rPr>
              <w:t>Chronic cough</w:t>
            </w:r>
          </w:p>
        </w:tc>
        <w:tc>
          <w:tcPr>
            <w:tcW w:w="1843" w:type="dxa"/>
            <w:tcBorders>
              <w:top w:val="nil"/>
              <w:left w:val="single" w:sz="4" w:space="0" w:color="auto"/>
              <w:bottom w:val="nil"/>
            </w:tcBorders>
          </w:tcPr>
          <w:p w14:paraId="4E03417E" w14:textId="77777777" w:rsidR="0047184B" w:rsidRPr="00197BC4" w:rsidRDefault="0047184B" w:rsidP="00787967">
            <w:pPr>
              <w:spacing w:line="276" w:lineRule="auto"/>
              <w:jc w:val="center"/>
              <w:rPr>
                <w:b/>
              </w:rPr>
            </w:pPr>
            <w:r w:rsidRPr="00197BC4">
              <w:rPr>
                <w:b/>
              </w:rPr>
              <w:t>0.74 (0.59-0.92)</w:t>
            </w:r>
          </w:p>
        </w:tc>
        <w:tc>
          <w:tcPr>
            <w:tcW w:w="1984" w:type="dxa"/>
            <w:tcBorders>
              <w:top w:val="nil"/>
              <w:bottom w:val="nil"/>
              <w:right w:val="single" w:sz="4" w:space="0" w:color="auto"/>
            </w:tcBorders>
          </w:tcPr>
          <w:p w14:paraId="6DF46832" w14:textId="77777777" w:rsidR="0047184B" w:rsidRPr="00197BC4" w:rsidRDefault="0047184B" w:rsidP="00787967">
            <w:pPr>
              <w:spacing w:line="276" w:lineRule="auto"/>
              <w:jc w:val="center"/>
              <w:rPr>
                <w:b/>
              </w:rPr>
            </w:pPr>
            <w:r w:rsidRPr="00197BC4">
              <w:rPr>
                <w:b/>
              </w:rPr>
              <w:t>0.71 (0.57-0.88)</w:t>
            </w:r>
          </w:p>
        </w:tc>
        <w:tc>
          <w:tcPr>
            <w:tcW w:w="1844" w:type="dxa"/>
            <w:tcBorders>
              <w:top w:val="nil"/>
              <w:left w:val="single" w:sz="4" w:space="0" w:color="auto"/>
              <w:bottom w:val="nil"/>
            </w:tcBorders>
          </w:tcPr>
          <w:p w14:paraId="544E35CE" w14:textId="77777777" w:rsidR="0047184B" w:rsidRPr="00197BC4" w:rsidRDefault="0047184B" w:rsidP="00787967">
            <w:pPr>
              <w:spacing w:line="276" w:lineRule="auto"/>
              <w:jc w:val="center"/>
              <w:rPr>
                <w:b/>
              </w:rPr>
            </w:pPr>
            <w:r>
              <w:t>0.86 (0.67-1.10)</w:t>
            </w:r>
          </w:p>
        </w:tc>
        <w:tc>
          <w:tcPr>
            <w:tcW w:w="1843" w:type="dxa"/>
            <w:tcBorders>
              <w:top w:val="nil"/>
              <w:bottom w:val="nil"/>
            </w:tcBorders>
          </w:tcPr>
          <w:p w14:paraId="5773128D" w14:textId="77777777" w:rsidR="0047184B" w:rsidRPr="00197BC4" w:rsidRDefault="0047184B" w:rsidP="00787967">
            <w:pPr>
              <w:spacing w:line="276" w:lineRule="auto"/>
              <w:jc w:val="center"/>
              <w:rPr>
                <w:b/>
              </w:rPr>
            </w:pPr>
            <w:r>
              <w:t>0.96 (0.74-1.25)</w:t>
            </w:r>
          </w:p>
        </w:tc>
      </w:tr>
      <w:tr w:rsidR="0047184B" w:rsidRPr="003D7BF2" w14:paraId="6BE0256F" w14:textId="77777777" w:rsidTr="005766E3">
        <w:tc>
          <w:tcPr>
            <w:tcW w:w="2547" w:type="dxa"/>
            <w:tcBorders>
              <w:top w:val="nil"/>
              <w:bottom w:val="nil"/>
              <w:right w:val="single" w:sz="4" w:space="0" w:color="auto"/>
            </w:tcBorders>
          </w:tcPr>
          <w:p w14:paraId="0DD3A269" w14:textId="77777777" w:rsidR="0047184B" w:rsidRPr="003D7BF2" w:rsidRDefault="0047184B" w:rsidP="00787967">
            <w:pPr>
              <w:spacing w:line="276" w:lineRule="auto"/>
              <w:rPr>
                <w:rFonts w:cstheme="minorHAnsi"/>
              </w:rPr>
            </w:pPr>
            <w:r>
              <w:rPr>
                <w:rFonts w:cstheme="minorHAnsi"/>
              </w:rPr>
              <w:t>Chronic bronchitis</w:t>
            </w:r>
          </w:p>
        </w:tc>
        <w:tc>
          <w:tcPr>
            <w:tcW w:w="1843" w:type="dxa"/>
            <w:tcBorders>
              <w:top w:val="nil"/>
              <w:left w:val="single" w:sz="4" w:space="0" w:color="auto"/>
              <w:bottom w:val="nil"/>
            </w:tcBorders>
          </w:tcPr>
          <w:p w14:paraId="0B0A4760" w14:textId="77777777" w:rsidR="0047184B" w:rsidRPr="003D7BF2" w:rsidRDefault="0047184B" w:rsidP="00787967">
            <w:pPr>
              <w:spacing w:line="276" w:lineRule="auto"/>
              <w:jc w:val="center"/>
            </w:pPr>
            <w:r>
              <w:t>0.85 (0.67-1.09)1</w:t>
            </w:r>
          </w:p>
        </w:tc>
        <w:tc>
          <w:tcPr>
            <w:tcW w:w="1984" w:type="dxa"/>
            <w:tcBorders>
              <w:top w:val="nil"/>
              <w:bottom w:val="nil"/>
              <w:right w:val="single" w:sz="4" w:space="0" w:color="auto"/>
            </w:tcBorders>
          </w:tcPr>
          <w:p w14:paraId="2460EE51" w14:textId="77777777" w:rsidR="0047184B" w:rsidRPr="003D7BF2" w:rsidRDefault="0047184B" w:rsidP="00787967">
            <w:pPr>
              <w:spacing w:line="276" w:lineRule="auto"/>
              <w:jc w:val="center"/>
            </w:pPr>
            <w:r w:rsidRPr="00197BC4">
              <w:rPr>
                <w:b/>
              </w:rPr>
              <w:t>0.90 (0.76-0.92)</w:t>
            </w:r>
          </w:p>
        </w:tc>
        <w:tc>
          <w:tcPr>
            <w:tcW w:w="1844" w:type="dxa"/>
            <w:tcBorders>
              <w:top w:val="nil"/>
              <w:left w:val="single" w:sz="4" w:space="0" w:color="auto"/>
              <w:bottom w:val="nil"/>
            </w:tcBorders>
          </w:tcPr>
          <w:p w14:paraId="35A354FF" w14:textId="77777777" w:rsidR="0047184B" w:rsidRPr="00197BC4" w:rsidRDefault="0047184B" w:rsidP="00787967">
            <w:pPr>
              <w:spacing w:line="276" w:lineRule="auto"/>
              <w:jc w:val="center"/>
              <w:rPr>
                <w:b/>
              </w:rPr>
            </w:pPr>
            <w:r>
              <w:t>1.15 (0.88-1.50)</w:t>
            </w:r>
          </w:p>
        </w:tc>
        <w:tc>
          <w:tcPr>
            <w:tcW w:w="1843" w:type="dxa"/>
            <w:tcBorders>
              <w:top w:val="nil"/>
              <w:bottom w:val="nil"/>
            </w:tcBorders>
          </w:tcPr>
          <w:p w14:paraId="56007D9F" w14:textId="77777777" w:rsidR="0047184B" w:rsidRPr="003D7BF2" w:rsidRDefault="0047184B" w:rsidP="00787967">
            <w:pPr>
              <w:spacing w:line="276" w:lineRule="auto"/>
              <w:jc w:val="center"/>
            </w:pPr>
            <w:r>
              <w:t>1.12 (0.84-1.50)</w:t>
            </w:r>
          </w:p>
        </w:tc>
      </w:tr>
      <w:tr w:rsidR="0047184B" w:rsidRPr="00575351" w14:paraId="6F20FBDD" w14:textId="77777777" w:rsidTr="005766E3">
        <w:tc>
          <w:tcPr>
            <w:tcW w:w="2547" w:type="dxa"/>
            <w:tcBorders>
              <w:top w:val="nil"/>
              <w:bottom w:val="nil"/>
              <w:right w:val="single" w:sz="4" w:space="0" w:color="auto"/>
            </w:tcBorders>
          </w:tcPr>
          <w:p w14:paraId="11090A04" w14:textId="3B3DF1DF" w:rsidR="0047184B" w:rsidRPr="007E727E" w:rsidRDefault="0047184B" w:rsidP="00787967">
            <w:pPr>
              <w:spacing w:line="276" w:lineRule="auto"/>
              <w:rPr>
                <w:lang w:val="en-GB"/>
              </w:rPr>
            </w:pPr>
            <w:r w:rsidRPr="007E727E">
              <w:rPr>
                <w:lang w:val="en-GB"/>
              </w:rPr>
              <w:t>Asthma attacks</w:t>
            </w:r>
            <w:r w:rsidR="00864CA9" w:rsidRPr="007E727E">
              <w:rPr>
                <w:lang w:val="en-GB"/>
              </w:rPr>
              <w:t xml:space="preserve"> in last 3 months</w:t>
            </w:r>
          </w:p>
        </w:tc>
        <w:tc>
          <w:tcPr>
            <w:tcW w:w="1843" w:type="dxa"/>
            <w:tcBorders>
              <w:top w:val="nil"/>
              <w:left w:val="single" w:sz="4" w:space="0" w:color="auto"/>
              <w:bottom w:val="nil"/>
            </w:tcBorders>
          </w:tcPr>
          <w:p w14:paraId="22D1E424" w14:textId="77777777" w:rsidR="0047184B" w:rsidRPr="007E727E" w:rsidRDefault="0047184B" w:rsidP="00787967">
            <w:pPr>
              <w:spacing w:line="276" w:lineRule="auto"/>
              <w:jc w:val="center"/>
              <w:rPr>
                <w:lang w:val="en-GB"/>
              </w:rPr>
            </w:pPr>
          </w:p>
        </w:tc>
        <w:tc>
          <w:tcPr>
            <w:tcW w:w="1984" w:type="dxa"/>
            <w:tcBorders>
              <w:top w:val="nil"/>
              <w:bottom w:val="nil"/>
              <w:right w:val="single" w:sz="4" w:space="0" w:color="auto"/>
            </w:tcBorders>
          </w:tcPr>
          <w:p w14:paraId="692A04C1" w14:textId="77777777" w:rsidR="0047184B" w:rsidRPr="007E727E" w:rsidRDefault="0047184B" w:rsidP="00787967">
            <w:pPr>
              <w:spacing w:line="276" w:lineRule="auto"/>
              <w:jc w:val="center"/>
              <w:rPr>
                <w:lang w:val="en-GB"/>
              </w:rPr>
            </w:pPr>
          </w:p>
        </w:tc>
        <w:tc>
          <w:tcPr>
            <w:tcW w:w="1844" w:type="dxa"/>
            <w:tcBorders>
              <w:top w:val="nil"/>
              <w:left w:val="single" w:sz="4" w:space="0" w:color="auto"/>
              <w:bottom w:val="nil"/>
            </w:tcBorders>
          </w:tcPr>
          <w:p w14:paraId="0C054B7D" w14:textId="77777777" w:rsidR="0047184B" w:rsidRPr="007E727E" w:rsidRDefault="0047184B" w:rsidP="00787967">
            <w:pPr>
              <w:spacing w:line="276" w:lineRule="auto"/>
              <w:jc w:val="center"/>
              <w:rPr>
                <w:lang w:val="en-GB"/>
              </w:rPr>
            </w:pPr>
          </w:p>
        </w:tc>
        <w:tc>
          <w:tcPr>
            <w:tcW w:w="1843" w:type="dxa"/>
            <w:tcBorders>
              <w:top w:val="nil"/>
              <w:bottom w:val="nil"/>
            </w:tcBorders>
          </w:tcPr>
          <w:p w14:paraId="422DB90D" w14:textId="77777777" w:rsidR="0047184B" w:rsidRPr="007E727E" w:rsidRDefault="0047184B" w:rsidP="00787967">
            <w:pPr>
              <w:spacing w:line="276" w:lineRule="auto"/>
              <w:jc w:val="center"/>
              <w:rPr>
                <w:lang w:val="en-GB"/>
              </w:rPr>
            </w:pPr>
          </w:p>
        </w:tc>
      </w:tr>
      <w:tr w:rsidR="0047184B" w14:paraId="6A39D24E" w14:textId="77777777" w:rsidTr="005766E3">
        <w:tc>
          <w:tcPr>
            <w:tcW w:w="2547" w:type="dxa"/>
            <w:tcBorders>
              <w:top w:val="nil"/>
              <w:bottom w:val="nil"/>
              <w:right w:val="single" w:sz="4" w:space="0" w:color="auto"/>
            </w:tcBorders>
          </w:tcPr>
          <w:p w14:paraId="5F6B4CD0" w14:textId="77777777" w:rsidR="0047184B" w:rsidRDefault="0047184B" w:rsidP="00787967">
            <w:pPr>
              <w:spacing w:line="276" w:lineRule="auto"/>
            </w:pPr>
            <w:r w:rsidRPr="007E727E">
              <w:rPr>
                <w:lang w:val="en-GB"/>
              </w:rPr>
              <w:t xml:space="preserve">  </w:t>
            </w:r>
            <w:r>
              <w:t>0</w:t>
            </w:r>
          </w:p>
        </w:tc>
        <w:tc>
          <w:tcPr>
            <w:tcW w:w="1843" w:type="dxa"/>
            <w:tcBorders>
              <w:top w:val="nil"/>
              <w:left w:val="single" w:sz="4" w:space="0" w:color="auto"/>
              <w:bottom w:val="nil"/>
            </w:tcBorders>
          </w:tcPr>
          <w:p w14:paraId="326EA766" w14:textId="77777777" w:rsidR="0047184B" w:rsidRDefault="0047184B" w:rsidP="00787967">
            <w:pPr>
              <w:spacing w:line="276" w:lineRule="auto"/>
              <w:jc w:val="center"/>
            </w:pPr>
            <w:r>
              <w:t>1</w:t>
            </w:r>
          </w:p>
        </w:tc>
        <w:tc>
          <w:tcPr>
            <w:tcW w:w="1984" w:type="dxa"/>
            <w:tcBorders>
              <w:top w:val="nil"/>
              <w:bottom w:val="nil"/>
              <w:right w:val="single" w:sz="4" w:space="0" w:color="auto"/>
            </w:tcBorders>
          </w:tcPr>
          <w:p w14:paraId="5A18B3BE" w14:textId="77777777" w:rsidR="0047184B" w:rsidRDefault="0047184B" w:rsidP="00787967">
            <w:pPr>
              <w:spacing w:line="276" w:lineRule="auto"/>
              <w:jc w:val="center"/>
            </w:pPr>
            <w:r>
              <w:t>1</w:t>
            </w:r>
          </w:p>
        </w:tc>
        <w:tc>
          <w:tcPr>
            <w:tcW w:w="1844" w:type="dxa"/>
            <w:tcBorders>
              <w:top w:val="nil"/>
              <w:left w:val="single" w:sz="4" w:space="0" w:color="auto"/>
              <w:bottom w:val="nil"/>
            </w:tcBorders>
          </w:tcPr>
          <w:p w14:paraId="00B46901" w14:textId="77777777" w:rsidR="0047184B" w:rsidRDefault="0047184B" w:rsidP="00787967">
            <w:pPr>
              <w:spacing w:line="276" w:lineRule="auto"/>
              <w:jc w:val="center"/>
            </w:pPr>
            <w:r>
              <w:t>1</w:t>
            </w:r>
          </w:p>
        </w:tc>
        <w:tc>
          <w:tcPr>
            <w:tcW w:w="1843" w:type="dxa"/>
            <w:tcBorders>
              <w:top w:val="nil"/>
              <w:bottom w:val="nil"/>
            </w:tcBorders>
          </w:tcPr>
          <w:p w14:paraId="242CEAD6" w14:textId="77777777" w:rsidR="0047184B" w:rsidRDefault="0047184B" w:rsidP="00787967">
            <w:pPr>
              <w:spacing w:line="276" w:lineRule="auto"/>
              <w:jc w:val="center"/>
            </w:pPr>
            <w:r>
              <w:t>1</w:t>
            </w:r>
          </w:p>
        </w:tc>
      </w:tr>
      <w:tr w:rsidR="0047184B" w14:paraId="2B6CC608" w14:textId="77777777" w:rsidTr="005766E3">
        <w:tc>
          <w:tcPr>
            <w:tcW w:w="2547" w:type="dxa"/>
            <w:tcBorders>
              <w:top w:val="nil"/>
              <w:bottom w:val="nil"/>
              <w:right w:val="single" w:sz="4" w:space="0" w:color="auto"/>
            </w:tcBorders>
          </w:tcPr>
          <w:p w14:paraId="4745F960" w14:textId="77777777" w:rsidR="0047184B" w:rsidRDefault="0047184B" w:rsidP="00787967">
            <w:pPr>
              <w:spacing w:line="276" w:lineRule="auto"/>
            </w:pPr>
            <w:r>
              <w:t xml:space="preserve">  1</w:t>
            </w:r>
          </w:p>
        </w:tc>
        <w:tc>
          <w:tcPr>
            <w:tcW w:w="1843" w:type="dxa"/>
            <w:tcBorders>
              <w:top w:val="nil"/>
              <w:left w:val="single" w:sz="4" w:space="0" w:color="auto"/>
              <w:bottom w:val="nil"/>
            </w:tcBorders>
          </w:tcPr>
          <w:p w14:paraId="627CC3C5" w14:textId="77777777" w:rsidR="0047184B" w:rsidRDefault="0047184B" w:rsidP="00787967">
            <w:pPr>
              <w:spacing w:line="276" w:lineRule="auto"/>
              <w:jc w:val="center"/>
            </w:pPr>
            <w:r>
              <w:t>1.13 (0.70-1.82)</w:t>
            </w:r>
          </w:p>
        </w:tc>
        <w:tc>
          <w:tcPr>
            <w:tcW w:w="1984" w:type="dxa"/>
            <w:tcBorders>
              <w:top w:val="nil"/>
              <w:bottom w:val="nil"/>
              <w:right w:val="single" w:sz="4" w:space="0" w:color="auto"/>
            </w:tcBorders>
          </w:tcPr>
          <w:p w14:paraId="676F4BFC" w14:textId="77777777" w:rsidR="0047184B" w:rsidRDefault="0047184B" w:rsidP="00787967">
            <w:pPr>
              <w:spacing w:line="276" w:lineRule="auto"/>
              <w:jc w:val="center"/>
            </w:pPr>
            <w:r>
              <w:t>1.15 (0.72-1.86)</w:t>
            </w:r>
          </w:p>
        </w:tc>
        <w:tc>
          <w:tcPr>
            <w:tcW w:w="1844" w:type="dxa"/>
            <w:tcBorders>
              <w:top w:val="nil"/>
              <w:left w:val="single" w:sz="4" w:space="0" w:color="auto"/>
              <w:bottom w:val="nil"/>
            </w:tcBorders>
          </w:tcPr>
          <w:p w14:paraId="33C2E035" w14:textId="77777777" w:rsidR="0047184B" w:rsidRDefault="0047184B" w:rsidP="00787967">
            <w:pPr>
              <w:spacing w:line="276" w:lineRule="auto"/>
              <w:jc w:val="center"/>
            </w:pPr>
            <w:r>
              <w:t>1.42 (0.80-2.52)</w:t>
            </w:r>
          </w:p>
        </w:tc>
        <w:tc>
          <w:tcPr>
            <w:tcW w:w="1843" w:type="dxa"/>
            <w:tcBorders>
              <w:top w:val="nil"/>
              <w:bottom w:val="nil"/>
            </w:tcBorders>
          </w:tcPr>
          <w:p w14:paraId="56202D0A" w14:textId="77777777" w:rsidR="0047184B" w:rsidRDefault="0047184B" w:rsidP="00787967">
            <w:pPr>
              <w:spacing w:line="276" w:lineRule="auto"/>
              <w:jc w:val="center"/>
            </w:pPr>
            <w:r>
              <w:t>1.38 (0.75-2.53)</w:t>
            </w:r>
          </w:p>
        </w:tc>
      </w:tr>
      <w:tr w:rsidR="0047184B" w14:paraId="5B77AE73" w14:textId="77777777" w:rsidTr="005766E3">
        <w:tc>
          <w:tcPr>
            <w:tcW w:w="2547" w:type="dxa"/>
            <w:tcBorders>
              <w:top w:val="nil"/>
              <w:bottom w:val="nil"/>
              <w:right w:val="single" w:sz="4" w:space="0" w:color="auto"/>
            </w:tcBorders>
          </w:tcPr>
          <w:p w14:paraId="06F5DBE1" w14:textId="77777777" w:rsidR="0047184B" w:rsidRDefault="0047184B" w:rsidP="00787967">
            <w:pPr>
              <w:spacing w:line="276" w:lineRule="auto"/>
            </w:pPr>
            <w:r>
              <w:t xml:space="preserve">  2 or more</w:t>
            </w:r>
          </w:p>
        </w:tc>
        <w:tc>
          <w:tcPr>
            <w:tcW w:w="1843" w:type="dxa"/>
            <w:tcBorders>
              <w:top w:val="nil"/>
              <w:left w:val="single" w:sz="4" w:space="0" w:color="auto"/>
              <w:bottom w:val="nil"/>
            </w:tcBorders>
          </w:tcPr>
          <w:p w14:paraId="2100F858" w14:textId="77777777" w:rsidR="0047184B" w:rsidRDefault="0047184B" w:rsidP="00787967">
            <w:pPr>
              <w:spacing w:line="276" w:lineRule="auto"/>
              <w:jc w:val="center"/>
            </w:pPr>
            <w:r>
              <w:t>0.92 (0.72)</w:t>
            </w:r>
          </w:p>
        </w:tc>
        <w:tc>
          <w:tcPr>
            <w:tcW w:w="1984" w:type="dxa"/>
            <w:tcBorders>
              <w:top w:val="nil"/>
              <w:bottom w:val="nil"/>
              <w:right w:val="single" w:sz="4" w:space="0" w:color="auto"/>
            </w:tcBorders>
          </w:tcPr>
          <w:p w14:paraId="3D4404E3" w14:textId="77777777" w:rsidR="0047184B" w:rsidRDefault="0047184B" w:rsidP="00787967">
            <w:pPr>
              <w:spacing w:line="276" w:lineRule="auto"/>
              <w:jc w:val="center"/>
            </w:pPr>
            <w:r>
              <w:t>0.85 (0.54-1.33)</w:t>
            </w:r>
          </w:p>
        </w:tc>
        <w:tc>
          <w:tcPr>
            <w:tcW w:w="1844" w:type="dxa"/>
            <w:tcBorders>
              <w:top w:val="nil"/>
              <w:left w:val="single" w:sz="4" w:space="0" w:color="auto"/>
              <w:bottom w:val="nil"/>
            </w:tcBorders>
          </w:tcPr>
          <w:p w14:paraId="757C45CA" w14:textId="77777777" w:rsidR="0047184B" w:rsidRDefault="0047184B" w:rsidP="00787967">
            <w:pPr>
              <w:spacing w:line="276" w:lineRule="auto"/>
              <w:jc w:val="center"/>
            </w:pPr>
            <w:r>
              <w:t>1.03 (0.60-1.75)</w:t>
            </w:r>
          </w:p>
        </w:tc>
        <w:tc>
          <w:tcPr>
            <w:tcW w:w="1843" w:type="dxa"/>
            <w:tcBorders>
              <w:top w:val="nil"/>
              <w:bottom w:val="nil"/>
            </w:tcBorders>
          </w:tcPr>
          <w:p w14:paraId="3B8E419B" w14:textId="77777777" w:rsidR="0047184B" w:rsidRDefault="0047184B" w:rsidP="00787967">
            <w:pPr>
              <w:spacing w:line="276" w:lineRule="auto"/>
              <w:jc w:val="center"/>
            </w:pPr>
            <w:r>
              <w:t>1.13 (0.66-1.96)</w:t>
            </w:r>
          </w:p>
        </w:tc>
      </w:tr>
      <w:tr w:rsidR="0047184B" w14:paraId="5C480F44" w14:textId="77777777" w:rsidTr="005766E3">
        <w:tc>
          <w:tcPr>
            <w:tcW w:w="2547" w:type="dxa"/>
            <w:tcBorders>
              <w:top w:val="nil"/>
              <w:bottom w:val="single" w:sz="4" w:space="0" w:color="auto"/>
              <w:right w:val="single" w:sz="4" w:space="0" w:color="auto"/>
            </w:tcBorders>
          </w:tcPr>
          <w:p w14:paraId="196C5523" w14:textId="77777777" w:rsidR="0047184B" w:rsidRDefault="0047184B" w:rsidP="00787967">
            <w:pPr>
              <w:spacing w:line="276" w:lineRule="auto"/>
              <w:rPr>
                <w:rFonts w:cstheme="minorHAnsi"/>
              </w:rPr>
            </w:pPr>
            <w:r>
              <w:rPr>
                <w:rFonts w:cstheme="minorHAnsi"/>
              </w:rPr>
              <w:t>Nasal allergy</w:t>
            </w:r>
          </w:p>
        </w:tc>
        <w:tc>
          <w:tcPr>
            <w:tcW w:w="1843" w:type="dxa"/>
            <w:tcBorders>
              <w:top w:val="nil"/>
              <w:left w:val="single" w:sz="4" w:space="0" w:color="auto"/>
              <w:bottom w:val="single" w:sz="4" w:space="0" w:color="auto"/>
            </w:tcBorders>
          </w:tcPr>
          <w:p w14:paraId="6C0ACDA5" w14:textId="77777777" w:rsidR="0047184B" w:rsidRDefault="0047184B" w:rsidP="00787967">
            <w:pPr>
              <w:spacing w:line="276" w:lineRule="auto"/>
              <w:jc w:val="center"/>
            </w:pPr>
            <w:r>
              <w:t>1.15 (0.79-1.66)</w:t>
            </w:r>
          </w:p>
        </w:tc>
        <w:tc>
          <w:tcPr>
            <w:tcW w:w="1984" w:type="dxa"/>
            <w:tcBorders>
              <w:top w:val="nil"/>
              <w:bottom w:val="single" w:sz="4" w:space="0" w:color="auto"/>
              <w:right w:val="single" w:sz="4" w:space="0" w:color="auto"/>
            </w:tcBorders>
          </w:tcPr>
          <w:p w14:paraId="75801A0A" w14:textId="77777777" w:rsidR="0047184B" w:rsidRDefault="0047184B" w:rsidP="00787967">
            <w:pPr>
              <w:spacing w:line="276" w:lineRule="auto"/>
              <w:jc w:val="center"/>
            </w:pPr>
            <w:r>
              <w:t>1.12 (0.77-1.62)</w:t>
            </w:r>
          </w:p>
        </w:tc>
        <w:tc>
          <w:tcPr>
            <w:tcW w:w="1844" w:type="dxa"/>
            <w:tcBorders>
              <w:top w:val="nil"/>
              <w:left w:val="single" w:sz="4" w:space="0" w:color="auto"/>
              <w:bottom w:val="single" w:sz="4" w:space="0" w:color="auto"/>
            </w:tcBorders>
          </w:tcPr>
          <w:p w14:paraId="4E73EF70" w14:textId="77777777" w:rsidR="0047184B" w:rsidRDefault="0047184B" w:rsidP="00787967">
            <w:pPr>
              <w:spacing w:line="276" w:lineRule="auto"/>
              <w:jc w:val="center"/>
            </w:pPr>
            <w:r>
              <w:t>0.84 (0.54-1.29).</w:t>
            </w:r>
          </w:p>
        </w:tc>
        <w:tc>
          <w:tcPr>
            <w:tcW w:w="1843" w:type="dxa"/>
            <w:tcBorders>
              <w:top w:val="nil"/>
              <w:bottom w:val="single" w:sz="4" w:space="0" w:color="auto"/>
            </w:tcBorders>
          </w:tcPr>
          <w:p w14:paraId="50B574A0" w14:textId="77777777" w:rsidR="0047184B" w:rsidRDefault="0047184B" w:rsidP="00787967">
            <w:pPr>
              <w:spacing w:line="276" w:lineRule="auto"/>
              <w:jc w:val="center"/>
            </w:pPr>
            <w:r>
              <w:t>0.79 (0.50-1.25)</w:t>
            </w:r>
          </w:p>
        </w:tc>
      </w:tr>
      <w:tr w:rsidR="0047184B" w14:paraId="55DB5F67" w14:textId="77777777" w:rsidTr="005766E3">
        <w:tc>
          <w:tcPr>
            <w:tcW w:w="2547" w:type="dxa"/>
            <w:tcBorders>
              <w:top w:val="single" w:sz="4" w:space="0" w:color="auto"/>
              <w:right w:val="single" w:sz="4" w:space="0" w:color="auto"/>
            </w:tcBorders>
          </w:tcPr>
          <w:p w14:paraId="537E882E" w14:textId="77777777" w:rsidR="0047184B" w:rsidRDefault="0047184B" w:rsidP="00787967">
            <w:pPr>
              <w:spacing w:line="276" w:lineRule="auto"/>
              <w:rPr>
                <w:rFonts w:cstheme="minorHAnsi"/>
              </w:rPr>
            </w:pPr>
            <w:r>
              <w:rPr>
                <w:rFonts w:cstheme="minorHAnsi"/>
              </w:rPr>
              <w:t>IgE sensitisation</w:t>
            </w:r>
          </w:p>
        </w:tc>
        <w:tc>
          <w:tcPr>
            <w:tcW w:w="1843" w:type="dxa"/>
            <w:tcBorders>
              <w:top w:val="single" w:sz="4" w:space="0" w:color="auto"/>
              <w:left w:val="single" w:sz="4" w:space="0" w:color="auto"/>
            </w:tcBorders>
          </w:tcPr>
          <w:p w14:paraId="383B3CCE" w14:textId="77777777" w:rsidR="0047184B" w:rsidRDefault="0047184B" w:rsidP="00787967">
            <w:pPr>
              <w:spacing w:line="276" w:lineRule="auto"/>
              <w:jc w:val="center"/>
            </w:pPr>
          </w:p>
        </w:tc>
        <w:tc>
          <w:tcPr>
            <w:tcW w:w="1984" w:type="dxa"/>
            <w:tcBorders>
              <w:top w:val="single" w:sz="4" w:space="0" w:color="auto"/>
              <w:right w:val="single" w:sz="4" w:space="0" w:color="auto"/>
            </w:tcBorders>
          </w:tcPr>
          <w:p w14:paraId="53987A7C" w14:textId="77777777" w:rsidR="0047184B" w:rsidRDefault="0047184B" w:rsidP="00787967">
            <w:pPr>
              <w:spacing w:line="276" w:lineRule="auto"/>
              <w:jc w:val="center"/>
            </w:pPr>
          </w:p>
        </w:tc>
        <w:tc>
          <w:tcPr>
            <w:tcW w:w="1844" w:type="dxa"/>
            <w:tcBorders>
              <w:top w:val="single" w:sz="4" w:space="0" w:color="auto"/>
              <w:left w:val="single" w:sz="4" w:space="0" w:color="auto"/>
            </w:tcBorders>
          </w:tcPr>
          <w:p w14:paraId="1B9FC41C" w14:textId="77777777" w:rsidR="0047184B" w:rsidRDefault="0047184B" w:rsidP="00787967">
            <w:pPr>
              <w:spacing w:line="276" w:lineRule="auto"/>
              <w:jc w:val="center"/>
            </w:pPr>
          </w:p>
        </w:tc>
        <w:tc>
          <w:tcPr>
            <w:tcW w:w="1843" w:type="dxa"/>
            <w:tcBorders>
              <w:top w:val="single" w:sz="4" w:space="0" w:color="auto"/>
            </w:tcBorders>
          </w:tcPr>
          <w:p w14:paraId="5B333093" w14:textId="77777777" w:rsidR="0047184B" w:rsidRDefault="0047184B" w:rsidP="00787967">
            <w:pPr>
              <w:spacing w:line="276" w:lineRule="auto"/>
              <w:jc w:val="center"/>
            </w:pPr>
          </w:p>
        </w:tc>
      </w:tr>
      <w:tr w:rsidR="0047184B" w14:paraId="3BC83491" w14:textId="77777777" w:rsidTr="00787967">
        <w:tc>
          <w:tcPr>
            <w:tcW w:w="2547" w:type="dxa"/>
            <w:tcBorders>
              <w:right w:val="single" w:sz="4" w:space="0" w:color="auto"/>
            </w:tcBorders>
          </w:tcPr>
          <w:p w14:paraId="5BE7D0C0" w14:textId="77777777" w:rsidR="0047184B" w:rsidRDefault="0047184B" w:rsidP="00787967">
            <w:pPr>
              <w:spacing w:line="276" w:lineRule="auto"/>
              <w:rPr>
                <w:rFonts w:cstheme="minorHAnsi"/>
              </w:rPr>
            </w:pPr>
            <w:r>
              <w:rPr>
                <w:rFonts w:cstheme="minorHAnsi"/>
              </w:rPr>
              <w:t xml:space="preserve">  Pollen</w:t>
            </w:r>
          </w:p>
        </w:tc>
        <w:tc>
          <w:tcPr>
            <w:tcW w:w="1843" w:type="dxa"/>
            <w:tcBorders>
              <w:left w:val="single" w:sz="4" w:space="0" w:color="auto"/>
            </w:tcBorders>
          </w:tcPr>
          <w:p w14:paraId="674049E3" w14:textId="77777777" w:rsidR="0047184B" w:rsidRPr="00197BC4" w:rsidRDefault="0047184B" w:rsidP="00787967">
            <w:pPr>
              <w:spacing w:line="276" w:lineRule="auto"/>
              <w:jc w:val="center"/>
              <w:rPr>
                <w:b/>
              </w:rPr>
            </w:pPr>
            <w:r w:rsidRPr="00197BC4">
              <w:rPr>
                <w:b/>
              </w:rPr>
              <w:t>1.80 (1.22-2.67)</w:t>
            </w:r>
          </w:p>
        </w:tc>
        <w:tc>
          <w:tcPr>
            <w:tcW w:w="1984" w:type="dxa"/>
            <w:tcBorders>
              <w:right w:val="single" w:sz="4" w:space="0" w:color="auto"/>
            </w:tcBorders>
          </w:tcPr>
          <w:p w14:paraId="285F7823" w14:textId="77777777" w:rsidR="0047184B" w:rsidRPr="00197BC4" w:rsidRDefault="0047184B" w:rsidP="00787967">
            <w:pPr>
              <w:spacing w:line="276" w:lineRule="auto"/>
              <w:jc w:val="center"/>
              <w:rPr>
                <w:b/>
              </w:rPr>
            </w:pPr>
            <w:r w:rsidRPr="00197BC4">
              <w:rPr>
                <w:b/>
              </w:rPr>
              <w:t>1.54 (1.03-2.31)</w:t>
            </w:r>
          </w:p>
        </w:tc>
        <w:tc>
          <w:tcPr>
            <w:tcW w:w="1844" w:type="dxa"/>
            <w:tcBorders>
              <w:left w:val="single" w:sz="4" w:space="0" w:color="auto"/>
            </w:tcBorders>
          </w:tcPr>
          <w:p w14:paraId="7190950D" w14:textId="77777777" w:rsidR="0047184B" w:rsidRPr="00197BC4" w:rsidRDefault="0047184B" w:rsidP="00787967">
            <w:pPr>
              <w:spacing w:line="276" w:lineRule="auto"/>
              <w:jc w:val="center"/>
              <w:rPr>
                <w:b/>
              </w:rPr>
            </w:pPr>
            <w:r>
              <w:t>1.44 (0.90-2.29)</w:t>
            </w:r>
          </w:p>
        </w:tc>
        <w:tc>
          <w:tcPr>
            <w:tcW w:w="1843" w:type="dxa"/>
          </w:tcPr>
          <w:p w14:paraId="52B318B8" w14:textId="77777777" w:rsidR="0047184B" w:rsidRPr="00197BC4" w:rsidRDefault="0047184B" w:rsidP="00787967">
            <w:pPr>
              <w:spacing w:line="276" w:lineRule="auto"/>
              <w:jc w:val="center"/>
              <w:rPr>
                <w:b/>
              </w:rPr>
            </w:pPr>
            <w:r>
              <w:t>1.57 (0.94-2.60)</w:t>
            </w:r>
          </w:p>
        </w:tc>
      </w:tr>
      <w:tr w:rsidR="0047184B" w14:paraId="1046EE15" w14:textId="77777777" w:rsidTr="00787967">
        <w:tc>
          <w:tcPr>
            <w:tcW w:w="2547" w:type="dxa"/>
            <w:tcBorders>
              <w:right w:val="single" w:sz="4" w:space="0" w:color="auto"/>
            </w:tcBorders>
          </w:tcPr>
          <w:p w14:paraId="0A9583D5" w14:textId="77777777" w:rsidR="0047184B" w:rsidRDefault="0047184B" w:rsidP="00787967">
            <w:pPr>
              <w:spacing w:line="276" w:lineRule="auto"/>
              <w:rPr>
                <w:rFonts w:cstheme="minorHAnsi"/>
              </w:rPr>
            </w:pPr>
            <w:r>
              <w:rPr>
                <w:rFonts w:cstheme="minorHAnsi"/>
              </w:rPr>
              <w:t xml:space="preserve">  Mite</w:t>
            </w:r>
          </w:p>
        </w:tc>
        <w:tc>
          <w:tcPr>
            <w:tcW w:w="1843" w:type="dxa"/>
            <w:tcBorders>
              <w:left w:val="single" w:sz="4" w:space="0" w:color="auto"/>
            </w:tcBorders>
          </w:tcPr>
          <w:p w14:paraId="24EF3E19" w14:textId="77777777" w:rsidR="0047184B" w:rsidRPr="00197BC4" w:rsidRDefault="0047184B" w:rsidP="00787967">
            <w:pPr>
              <w:spacing w:line="276" w:lineRule="auto"/>
              <w:jc w:val="center"/>
              <w:rPr>
                <w:b/>
              </w:rPr>
            </w:pPr>
            <w:r w:rsidRPr="00197BC4">
              <w:rPr>
                <w:b/>
              </w:rPr>
              <w:t>1.91 (1.30-2.81)</w:t>
            </w:r>
          </w:p>
        </w:tc>
        <w:tc>
          <w:tcPr>
            <w:tcW w:w="1984" w:type="dxa"/>
            <w:tcBorders>
              <w:right w:val="single" w:sz="4" w:space="0" w:color="auto"/>
            </w:tcBorders>
          </w:tcPr>
          <w:p w14:paraId="092E1602" w14:textId="77777777" w:rsidR="0047184B" w:rsidRPr="00197BC4" w:rsidRDefault="0047184B" w:rsidP="00787967">
            <w:pPr>
              <w:spacing w:line="276" w:lineRule="auto"/>
              <w:jc w:val="center"/>
              <w:rPr>
                <w:b/>
              </w:rPr>
            </w:pPr>
            <w:r w:rsidRPr="00197BC4">
              <w:rPr>
                <w:b/>
              </w:rPr>
              <w:t>2.00 (1.36-2.93)</w:t>
            </w:r>
          </w:p>
        </w:tc>
        <w:tc>
          <w:tcPr>
            <w:tcW w:w="1844" w:type="dxa"/>
            <w:tcBorders>
              <w:left w:val="single" w:sz="4" w:space="0" w:color="auto"/>
            </w:tcBorders>
          </w:tcPr>
          <w:p w14:paraId="480F04CC" w14:textId="77777777" w:rsidR="0047184B" w:rsidRPr="00197BC4" w:rsidRDefault="0047184B" w:rsidP="00787967">
            <w:pPr>
              <w:spacing w:line="276" w:lineRule="auto"/>
              <w:jc w:val="center"/>
              <w:rPr>
                <w:b/>
              </w:rPr>
            </w:pPr>
            <w:r>
              <w:t>1.58 (0.99-2.539</w:t>
            </w:r>
          </w:p>
        </w:tc>
        <w:tc>
          <w:tcPr>
            <w:tcW w:w="1843" w:type="dxa"/>
          </w:tcPr>
          <w:p w14:paraId="0337D730" w14:textId="77777777" w:rsidR="0047184B" w:rsidRPr="00197BC4" w:rsidRDefault="0047184B" w:rsidP="00787967">
            <w:pPr>
              <w:spacing w:line="276" w:lineRule="auto"/>
              <w:jc w:val="center"/>
              <w:rPr>
                <w:b/>
              </w:rPr>
            </w:pPr>
            <w:r w:rsidRPr="00197BC4">
              <w:rPr>
                <w:b/>
              </w:rPr>
              <w:t>1.69 (1.04-2.76)</w:t>
            </w:r>
          </w:p>
        </w:tc>
      </w:tr>
      <w:tr w:rsidR="0047184B" w14:paraId="64D9C7B1" w14:textId="77777777" w:rsidTr="00787967">
        <w:tc>
          <w:tcPr>
            <w:tcW w:w="2547" w:type="dxa"/>
            <w:tcBorders>
              <w:right w:val="single" w:sz="4" w:space="0" w:color="auto"/>
            </w:tcBorders>
          </w:tcPr>
          <w:p w14:paraId="0C286477" w14:textId="77777777" w:rsidR="0047184B" w:rsidRDefault="0047184B" w:rsidP="00787967">
            <w:pPr>
              <w:spacing w:line="276" w:lineRule="auto"/>
              <w:rPr>
                <w:rFonts w:cstheme="minorHAnsi"/>
              </w:rPr>
            </w:pPr>
            <w:r>
              <w:rPr>
                <w:rFonts w:cstheme="minorHAnsi"/>
              </w:rPr>
              <w:t xml:space="preserve">  Pets</w:t>
            </w:r>
          </w:p>
        </w:tc>
        <w:tc>
          <w:tcPr>
            <w:tcW w:w="1843" w:type="dxa"/>
            <w:tcBorders>
              <w:left w:val="single" w:sz="4" w:space="0" w:color="auto"/>
            </w:tcBorders>
          </w:tcPr>
          <w:p w14:paraId="04A2E2A1" w14:textId="77777777" w:rsidR="0047184B" w:rsidRPr="00197BC4" w:rsidRDefault="0047184B" w:rsidP="00787967">
            <w:pPr>
              <w:spacing w:line="276" w:lineRule="auto"/>
              <w:jc w:val="center"/>
              <w:rPr>
                <w:b/>
              </w:rPr>
            </w:pPr>
            <w:r w:rsidRPr="00197BC4">
              <w:rPr>
                <w:b/>
              </w:rPr>
              <w:t>1.56 (1.04-2.34)</w:t>
            </w:r>
          </w:p>
        </w:tc>
        <w:tc>
          <w:tcPr>
            <w:tcW w:w="1984" w:type="dxa"/>
            <w:tcBorders>
              <w:right w:val="single" w:sz="4" w:space="0" w:color="auto"/>
            </w:tcBorders>
          </w:tcPr>
          <w:p w14:paraId="77DCF335" w14:textId="77777777" w:rsidR="0047184B" w:rsidRPr="00197BC4" w:rsidRDefault="0047184B" w:rsidP="00787967">
            <w:pPr>
              <w:spacing w:line="276" w:lineRule="auto"/>
              <w:jc w:val="center"/>
              <w:rPr>
                <w:b/>
              </w:rPr>
            </w:pPr>
            <w:r w:rsidRPr="00197BC4">
              <w:rPr>
                <w:b/>
              </w:rPr>
              <w:t>1.82 (1.23-2.69)</w:t>
            </w:r>
          </w:p>
        </w:tc>
        <w:tc>
          <w:tcPr>
            <w:tcW w:w="1844" w:type="dxa"/>
            <w:tcBorders>
              <w:left w:val="single" w:sz="4" w:space="0" w:color="auto"/>
            </w:tcBorders>
          </w:tcPr>
          <w:p w14:paraId="726B2559" w14:textId="77777777" w:rsidR="0047184B" w:rsidRPr="00197BC4" w:rsidRDefault="0047184B" w:rsidP="00787967">
            <w:pPr>
              <w:spacing w:line="276" w:lineRule="auto"/>
              <w:jc w:val="center"/>
              <w:rPr>
                <w:b/>
              </w:rPr>
            </w:pPr>
            <w:r>
              <w:t>1.60 (0.98-2.59)</w:t>
            </w:r>
          </w:p>
        </w:tc>
        <w:tc>
          <w:tcPr>
            <w:tcW w:w="1843" w:type="dxa"/>
          </w:tcPr>
          <w:p w14:paraId="1384B328" w14:textId="77777777" w:rsidR="0047184B" w:rsidRPr="00197BC4" w:rsidRDefault="0047184B" w:rsidP="00787967">
            <w:pPr>
              <w:spacing w:line="276" w:lineRule="auto"/>
              <w:jc w:val="center"/>
              <w:rPr>
                <w:b/>
              </w:rPr>
            </w:pPr>
            <w:r>
              <w:t>1.29 (0.80-2.11)</w:t>
            </w:r>
          </w:p>
        </w:tc>
      </w:tr>
      <w:tr w:rsidR="0047184B" w14:paraId="5D54EECA" w14:textId="77777777" w:rsidTr="00787967">
        <w:trPr>
          <w:trHeight w:val="282"/>
        </w:trPr>
        <w:tc>
          <w:tcPr>
            <w:tcW w:w="2547" w:type="dxa"/>
            <w:tcBorders>
              <w:right w:val="single" w:sz="4" w:space="0" w:color="auto"/>
            </w:tcBorders>
          </w:tcPr>
          <w:p w14:paraId="11CEBA0E" w14:textId="77777777" w:rsidR="0047184B" w:rsidRDefault="0047184B" w:rsidP="00787967">
            <w:pPr>
              <w:spacing w:line="276" w:lineRule="auto"/>
              <w:rPr>
                <w:rFonts w:cstheme="minorHAnsi"/>
              </w:rPr>
            </w:pPr>
            <w:r>
              <w:rPr>
                <w:rFonts w:cstheme="minorHAnsi"/>
              </w:rPr>
              <w:t xml:space="preserve">  Any</w:t>
            </w:r>
          </w:p>
        </w:tc>
        <w:tc>
          <w:tcPr>
            <w:tcW w:w="1843" w:type="dxa"/>
            <w:tcBorders>
              <w:left w:val="single" w:sz="4" w:space="0" w:color="auto"/>
            </w:tcBorders>
          </w:tcPr>
          <w:p w14:paraId="42C45C04" w14:textId="77777777" w:rsidR="0047184B" w:rsidRPr="00197BC4" w:rsidRDefault="0047184B" w:rsidP="00787967">
            <w:pPr>
              <w:spacing w:line="276" w:lineRule="auto"/>
              <w:jc w:val="center"/>
              <w:rPr>
                <w:b/>
              </w:rPr>
            </w:pPr>
            <w:r w:rsidRPr="00197BC4">
              <w:rPr>
                <w:b/>
              </w:rPr>
              <w:t>2.19 (1.37-3.51=</w:t>
            </w:r>
          </w:p>
        </w:tc>
        <w:tc>
          <w:tcPr>
            <w:tcW w:w="1984" w:type="dxa"/>
            <w:tcBorders>
              <w:right w:val="single" w:sz="4" w:space="0" w:color="auto"/>
            </w:tcBorders>
          </w:tcPr>
          <w:p w14:paraId="020AD063" w14:textId="4EFB2A70" w:rsidR="0047184B" w:rsidRPr="00197BC4" w:rsidRDefault="002121FA" w:rsidP="00787967">
            <w:pPr>
              <w:spacing w:line="276" w:lineRule="auto"/>
              <w:jc w:val="center"/>
              <w:rPr>
                <w:b/>
              </w:rPr>
            </w:pPr>
            <w:r w:rsidRPr="00197BC4">
              <w:rPr>
                <w:b/>
              </w:rPr>
              <w:t>1.36 (1.04-1.79)</w:t>
            </w:r>
          </w:p>
        </w:tc>
        <w:tc>
          <w:tcPr>
            <w:tcW w:w="1844" w:type="dxa"/>
            <w:tcBorders>
              <w:left w:val="single" w:sz="4" w:space="0" w:color="auto"/>
            </w:tcBorders>
          </w:tcPr>
          <w:p w14:paraId="73E90BA7" w14:textId="77777777" w:rsidR="0047184B" w:rsidRPr="00197BC4" w:rsidRDefault="0047184B" w:rsidP="00787967">
            <w:pPr>
              <w:spacing w:line="276" w:lineRule="auto"/>
              <w:jc w:val="center"/>
              <w:rPr>
                <w:b/>
              </w:rPr>
            </w:pPr>
            <w:r>
              <w:t>1.57 (0.93-2.64)</w:t>
            </w:r>
          </w:p>
        </w:tc>
        <w:tc>
          <w:tcPr>
            <w:tcW w:w="1843" w:type="dxa"/>
          </w:tcPr>
          <w:p w14:paraId="4E70ED85" w14:textId="77777777" w:rsidR="0047184B" w:rsidRPr="00197BC4" w:rsidRDefault="0047184B" w:rsidP="00787967">
            <w:pPr>
              <w:spacing w:line="276" w:lineRule="auto"/>
              <w:jc w:val="center"/>
              <w:rPr>
                <w:b/>
              </w:rPr>
            </w:pPr>
            <w:r>
              <w:t>1.42 (0.82-2.45)</w:t>
            </w:r>
          </w:p>
        </w:tc>
      </w:tr>
      <w:tr w:rsidR="0047184B" w14:paraId="7722F50B" w14:textId="77777777" w:rsidTr="00787967">
        <w:tc>
          <w:tcPr>
            <w:tcW w:w="2547" w:type="dxa"/>
            <w:tcBorders>
              <w:right w:val="single" w:sz="4" w:space="0" w:color="auto"/>
            </w:tcBorders>
          </w:tcPr>
          <w:p w14:paraId="1E59B5AB" w14:textId="1AD27CFE" w:rsidR="0047184B" w:rsidRDefault="0047184B" w:rsidP="00787967">
            <w:pPr>
              <w:spacing w:line="276" w:lineRule="auto"/>
              <w:rPr>
                <w:rFonts w:cstheme="minorHAnsi"/>
              </w:rPr>
            </w:pPr>
            <w:r>
              <w:rPr>
                <w:rFonts w:cstheme="minorHAnsi"/>
              </w:rPr>
              <w:t>Total IgE</w:t>
            </w:r>
            <w:r w:rsidR="009A6E96">
              <w:rPr>
                <w:rFonts w:cstheme="minorHAnsi"/>
              </w:rPr>
              <w:t xml:space="preserve"> (per log unit)</w:t>
            </w:r>
          </w:p>
        </w:tc>
        <w:tc>
          <w:tcPr>
            <w:tcW w:w="1843" w:type="dxa"/>
            <w:tcBorders>
              <w:left w:val="single" w:sz="4" w:space="0" w:color="auto"/>
            </w:tcBorders>
          </w:tcPr>
          <w:p w14:paraId="729B2561" w14:textId="77777777" w:rsidR="0047184B" w:rsidRPr="00197BC4" w:rsidRDefault="0047184B" w:rsidP="00787967">
            <w:pPr>
              <w:spacing w:line="276" w:lineRule="auto"/>
              <w:jc w:val="center"/>
              <w:rPr>
                <w:b/>
              </w:rPr>
            </w:pPr>
            <w:r w:rsidRPr="00197BC4">
              <w:rPr>
                <w:b/>
              </w:rPr>
              <w:t>1.50 (1.12-2.03)</w:t>
            </w:r>
          </w:p>
        </w:tc>
        <w:tc>
          <w:tcPr>
            <w:tcW w:w="1984" w:type="dxa"/>
            <w:tcBorders>
              <w:right w:val="single" w:sz="4" w:space="0" w:color="auto"/>
            </w:tcBorders>
          </w:tcPr>
          <w:p w14:paraId="44F5E649" w14:textId="77777777" w:rsidR="0047184B" w:rsidRDefault="0047184B" w:rsidP="00787967">
            <w:pPr>
              <w:spacing w:line="276" w:lineRule="auto"/>
              <w:jc w:val="center"/>
            </w:pPr>
            <w:r w:rsidRPr="00197BC4">
              <w:rPr>
                <w:b/>
              </w:rPr>
              <w:t>1.53 (1.13-2.06)</w:t>
            </w:r>
          </w:p>
        </w:tc>
        <w:tc>
          <w:tcPr>
            <w:tcW w:w="1844" w:type="dxa"/>
            <w:tcBorders>
              <w:left w:val="single" w:sz="4" w:space="0" w:color="auto"/>
            </w:tcBorders>
          </w:tcPr>
          <w:p w14:paraId="289055AA" w14:textId="77777777" w:rsidR="0047184B" w:rsidRPr="00197BC4" w:rsidRDefault="0047184B" w:rsidP="00787967">
            <w:pPr>
              <w:spacing w:line="276" w:lineRule="auto"/>
              <w:jc w:val="center"/>
              <w:rPr>
                <w:b/>
              </w:rPr>
            </w:pPr>
            <w:r>
              <w:t>0.94 (0.65-1.36)</w:t>
            </w:r>
          </w:p>
        </w:tc>
        <w:tc>
          <w:tcPr>
            <w:tcW w:w="1843" w:type="dxa"/>
          </w:tcPr>
          <w:p w14:paraId="443317C0" w14:textId="77777777" w:rsidR="0047184B" w:rsidRPr="00197BC4" w:rsidRDefault="0047184B" w:rsidP="00787967">
            <w:pPr>
              <w:spacing w:line="276" w:lineRule="auto"/>
              <w:jc w:val="center"/>
              <w:rPr>
                <w:b/>
              </w:rPr>
            </w:pPr>
            <w:r>
              <w:t>1.01 (0.68-1.49)</w:t>
            </w:r>
          </w:p>
        </w:tc>
      </w:tr>
      <w:tr w:rsidR="0047184B" w14:paraId="2A4BA590" w14:textId="77777777" w:rsidTr="00787967">
        <w:tc>
          <w:tcPr>
            <w:tcW w:w="2547" w:type="dxa"/>
            <w:tcBorders>
              <w:right w:val="single" w:sz="4" w:space="0" w:color="auto"/>
            </w:tcBorders>
          </w:tcPr>
          <w:p w14:paraId="131F8E1A" w14:textId="19429AC2" w:rsidR="0047184B" w:rsidRDefault="0047184B" w:rsidP="00787967">
            <w:pPr>
              <w:spacing w:line="276" w:lineRule="auto"/>
              <w:rPr>
                <w:rFonts w:cstheme="minorHAnsi"/>
              </w:rPr>
            </w:pPr>
            <w:r>
              <w:rPr>
                <w:rFonts w:cstheme="minorHAnsi"/>
              </w:rPr>
              <w:t>FeNO</w:t>
            </w:r>
            <w:r w:rsidR="009A6E96">
              <w:rPr>
                <w:rFonts w:cstheme="minorHAnsi"/>
              </w:rPr>
              <w:t xml:space="preserve"> (per log unit)</w:t>
            </w:r>
          </w:p>
        </w:tc>
        <w:tc>
          <w:tcPr>
            <w:tcW w:w="1843" w:type="dxa"/>
            <w:tcBorders>
              <w:left w:val="single" w:sz="4" w:space="0" w:color="auto"/>
            </w:tcBorders>
          </w:tcPr>
          <w:p w14:paraId="3C9B2C86" w14:textId="77777777" w:rsidR="0047184B" w:rsidRPr="00197BC4" w:rsidRDefault="0047184B" w:rsidP="00787967">
            <w:pPr>
              <w:spacing w:line="276" w:lineRule="auto"/>
              <w:jc w:val="center"/>
              <w:rPr>
                <w:b/>
              </w:rPr>
            </w:pPr>
            <w:r w:rsidRPr="00197BC4">
              <w:rPr>
                <w:b/>
              </w:rPr>
              <w:t>5.27 (2.47-11.3)</w:t>
            </w:r>
          </w:p>
        </w:tc>
        <w:tc>
          <w:tcPr>
            <w:tcW w:w="1984" w:type="dxa"/>
            <w:tcBorders>
              <w:right w:val="single" w:sz="4" w:space="0" w:color="auto"/>
            </w:tcBorders>
          </w:tcPr>
          <w:p w14:paraId="2807E98C" w14:textId="77777777" w:rsidR="0047184B" w:rsidRPr="00197BC4" w:rsidRDefault="0047184B" w:rsidP="00787967">
            <w:pPr>
              <w:spacing w:line="276" w:lineRule="auto"/>
              <w:jc w:val="center"/>
              <w:rPr>
                <w:b/>
              </w:rPr>
            </w:pPr>
            <w:r w:rsidRPr="00197BC4">
              <w:rPr>
                <w:b/>
              </w:rPr>
              <w:t>5.02 (2.36-10.7)</w:t>
            </w:r>
          </w:p>
        </w:tc>
        <w:tc>
          <w:tcPr>
            <w:tcW w:w="1844" w:type="dxa"/>
            <w:tcBorders>
              <w:left w:val="single" w:sz="4" w:space="0" w:color="auto"/>
            </w:tcBorders>
          </w:tcPr>
          <w:p w14:paraId="529763AB" w14:textId="77777777" w:rsidR="0047184B" w:rsidRPr="00197BC4" w:rsidRDefault="0047184B" w:rsidP="00787967">
            <w:pPr>
              <w:spacing w:line="276" w:lineRule="auto"/>
              <w:jc w:val="center"/>
              <w:rPr>
                <w:b/>
              </w:rPr>
            </w:pPr>
            <w:r w:rsidRPr="00197BC4">
              <w:rPr>
                <w:b/>
              </w:rPr>
              <w:t>3.61 (1.48-8.82)</w:t>
            </w:r>
          </w:p>
        </w:tc>
        <w:tc>
          <w:tcPr>
            <w:tcW w:w="1843" w:type="dxa"/>
          </w:tcPr>
          <w:p w14:paraId="14D77FB9" w14:textId="77777777" w:rsidR="0047184B" w:rsidRPr="00197BC4" w:rsidRDefault="0047184B" w:rsidP="00787967">
            <w:pPr>
              <w:spacing w:line="276" w:lineRule="auto"/>
              <w:jc w:val="center"/>
              <w:rPr>
                <w:b/>
              </w:rPr>
            </w:pPr>
            <w:r w:rsidRPr="00197BC4">
              <w:rPr>
                <w:b/>
              </w:rPr>
              <w:t>3.80 (1.49-9.64)</w:t>
            </w:r>
          </w:p>
        </w:tc>
      </w:tr>
      <w:tr w:rsidR="0047184B" w:rsidRPr="0087303D" w14:paraId="2F886D70" w14:textId="77777777" w:rsidTr="00787967">
        <w:tc>
          <w:tcPr>
            <w:tcW w:w="2547" w:type="dxa"/>
            <w:tcBorders>
              <w:right w:val="single" w:sz="4" w:space="0" w:color="auto"/>
            </w:tcBorders>
          </w:tcPr>
          <w:p w14:paraId="331B587C" w14:textId="23E9134A" w:rsidR="0047184B" w:rsidRPr="0087303D" w:rsidRDefault="0047184B" w:rsidP="00787967">
            <w:pPr>
              <w:spacing w:line="276" w:lineRule="auto"/>
              <w:rPr>
                <w:rFonts w:cstheme="minorHAnsi"/>
                <w:lang w:val="en-GB"/>
              </w:rPr>
            </w:pPr>
            <w:r w:rsidRPr="0087303D">
              <w:rPr>
                <w:rFonts w:cstheme="minorHAnsi"/>
                <w:lang w:val="en-GB"/>
              </w:rPr>
              <w:t>F</w:t>
            </w:r>
            <w:r>
              <w:rPr>
                <w:rFonts w:cstheme="minorHAnsi"/>
                <w:lang w:val="en-GB"/>
              </w:rPr>
              <w:t>EV1</w:t>
            </w:r>
            <w:r w:rsidR="00205EB2">
              <w:rPr>
                <w:rFonts w:cstheme="minorHAnsi"/>
                <w:lang w:val="en-GB"/>
              </w:rPr>
              <w:t xml:space="preserve"> pre</w:t>
            </w:r>
            <w:r>
              <w:rPr>
                <w:rFonts w:cstheme="minorHAnsi"/>
                <w:lang w:val="en-GB"/>
              </w:rPr>
              <w:t xml:space="preserve"> </w:t>
            </w:r>
            <w:r w:rsidR="00C01437">
              <w:rPr>
                <w:rFonts w:cstheme="minorHAnsi"/>
                <w:lang w:val="en-GB"/>
              </w:rPr>
              <w:t xml:space="preserve">% </w:t>
            </w:r>
            <w:r w:rsidRPr="0087303D">
              <w:rPr>
                <w:rFonts w:cstheme="minorHAnsi"/>
                <w:lang w:val="en-GB"/>
              </w:rPr>
              <w:t>of predicted</w:t>
            </w:r>
          </w:p>
        </w:tc>
        <w:tc>
          <w:tcPr>
            <w:tcW w:w="1843" w:type="dxa"/>
            <w:tcBorders>
              <w:left w:val="single" w:sz="4" w:space="0" w:color="auto"/>
            </w:tcBorders>
          </w:tcPr>
          <w:p w14:paraId="3B1E585A" w14:textId="4010549D" w:rsidR="0047184B" w:rsidRPr="00205EB2" w:rsidRDefault="00205EB2" w:rsidP="00787967">
            <w:pPr>
              <w:spacing w:line="276" w:lineRule="auto"/>
              <w:jc w:val="center"/>
              <w:rPr>
                <w:b/>
                <w:lang w:val="en-GB"/>
              </w:rPr>
            </w:pPr>
            <w:r w:rsidRPr="00205EB2">
              <w:rPr>
                <w:b/>
                <w:lang w:val="en-GB"/>
              </w:rPr>
              <w:t>0.94 (0.93-0.95)</w:t>
            </w:r>
          </w:p>
        </w:tc>
        <w:tc>
          <w:tcPr>
            <w:tcW w:w="1984" w:type="dxa"/>
            <w:tcBorders>
              <w:right w:val="single" w:sz="4" w:space="0" w:color="auto"/>
            </w:tcBorders>
          </w:tcPr>
          <w:p w14:paraId="16303D3B" w14:textId="59175130" w:rsidR="0047184B" w:rsidRPr="00F95B81" w:rsidRDefault="00015ECA" w:rsidP="00787967">
            <w:pPr>
              <w:spacing w:line="276" w:lineRule="auto"/>
              <w:jc w:val="center"/>
              <w:rPr>
                <w:b/>
                <w:lang w:val="en-GB"/>
              </w:rPr>
            </w:pPr>
            <w:r w:rsidRPr="00F95B81">
              <w:rPr>
                <w:b/>
                <w:lang w:val="en-GB"/>
              </w:rPr>
              <w:t>0.95 (0.95-0.96)</w:t>
            </w:r>
          </w:p>
        </w:tc>
        <w:tc>
          <w:tcPr>
            <w:tcW w:w="1844" w:type="dxa"/>
            <w:tcBorders>
              <w:left w:val="single" w:sz="4" w:space="0" w:color="auto"/>
            </w:tcBorders>
          </w:tcPr>
          <w:p w14:paraId="53A9AD51" w14:textId="3927FDC3" w:rsidR="0047184B" w:rsidRPr="00205EB2" w:rsidRDefault="00205EB2" w:rsidP="00787967">
            <w:pPr>
              <w:spacing w:line="276" w:lineRule="auto"/>
              <w:jc w:val="center"/>
              <w:rPr>
                <w:b/>
                <w:lang w:val="en-GB"/>
              </w:rPr>
            </w:pPr>
            <w:r w:rsidRPr="00205EB2">
              <w:rPr>
                <w:b/>
                <w:lang w:val="en-GB"/>
              </w:rPr>
              <w:t>0.94 (0.94-0.95)</w:t>
            </w:r>
          </w:p>
        </w:tc>
        <w:tc>
          <w:tcPr>
            <w:tcW w:w="1843" w:type="dxa"/>
          </w:tcPr>
          <w:p w14:paraId="2F6ACEB3" w14:textId="29C86341" w:rsidR="0047184B" w:rsidRPr="001C3691" w:rsidRDefault="001C3691" w:rsidP="00787967">
            <w:pPr>
              <w:spacing w:line="276" w:lineRule="auto"/>
              <w:jc w:val="center"/>
              <w:rPr>
                <w:b/>
                <w:lang w:val="en-GB"/>
              </w:rPr>
            </w:pPr>
            <w:r w:rsidRPr="001C3691">
              <w:rPr>
                <w:b/>
                <w:lang w:val="en-GB"/>
              </w:rPr>
              <w:t>0.97 (0.96-0.98)</w:t>
            </w:r>
          </w:p>
        </w:tc>
      </w:tr>
      <w:tr w:rsidR="00205EB2" w:rsidRPr="0087303D" w14:paraId="7D4515B2" w14:textId="77777777" w:rsidTr="00787967">
        <w:tc>
          <w:tcPr>
            <w:tcW w:w="2547" w:type="dxa"/>
            <w:tcBorders>
              <w:right w:val="single" w:sz="4" w:space="0" w:color="auto"/>
            </w:tcBorders>
          </w:tcPr>
          <w:p w14:paraId="1158D81D" w14:textId="11A09089" w:rsidR="00205EB2" w:rsidRPr="0087303D" w:rsidRDefault="00205EB2" w:rsidP="00787967">
            <w:pPr>
              <w:spacing w:line="276" w:lineRule="auto"/>
              <w:rPr>
                <w:rFonts w:cstheme="minorHAnsi"/>
                <w:lang w:val="en-GB"/>
              </w:rPr>
            </w:pPr>
            <w:r w:rsidRPr="0087303D">
              <w:rPr>
                <w:rFonts w:cstheme="minorHAnsi"/>
                <w:lang w:val="en-GB"/>
              </w:rPr>
              <w:t>F</w:t>
            </w:r>
            <w:r>
              <w:rPr>
                <w:rFonts w:cstheme="minorHAnsi"/>
                <w:lang w:val="en-GB"/>
              </w:rPr>
              <w:t xml:space="preserve">VC pre </w:t>
            </w:r>
            <w:r w:rsidRPr="0087303D">
              <w:rPr>
                <w:rFonts w:cstheme="minorHAnsi"/>
                <w:lang w:val="en-GB"/>
              </w:rPr>
              <w:t xml:space="preserve"> </w:t>
            </w:r>
            <w:r>
              <w:rPr>
                <w:rFonts w:cstheme="minorHAnsi"/>
                <w:lang w:val="en-GB"/>
              </w:rPr>
              <w:t xml:space="preserve">% </w:t>
            </w:r>
            <w:r w:rsidRPr="0087303D">
              <w:rPr>
                <w:rFonts w:cstheme="minorHAnsi"/>
                <w:lang w:val="en-GB"/>
              </w:rPr>
              <w:t>of predicted</w:t>
            </w:r>
          </w:p>
        </w:tc>
        <w:tc>
          <w:tcPr>
            <w:tcW w:w="1843" w:type="dxa"/>
            <w:tcBorders>
              <w:left w:val="single" w:sz="4" w:space="0" w:color="auto"/>
              <w:bottom w:val="single" w:sz="4" w:space="0" w:color="auto"/>
            </w:tcBorders>
          </w:tcPr>
          <w:p w14:paraId="1867885C" w14:textId="4DF94CB2" w:rsidR="00205EB2" w:rsidRPr="00205EB2" w:rsidRDefault="00C728B5" w:rsidP="00787967">
            <w:pPr>
              <w:spacing w:line="276" w:lineRule="auto"/>
              <w:jc w:val="center"/>
              <w:rPr>
                <w:b/>
                <w:lang w:val="en-GB"/>
              </w:rPr>
            </w:pPr>
            <w:r>
              <w:rPr>
                <w:b/>
                <w:lang w:val="en-GB"/>
              </w:rPr>
              <w:t>0.96 (0.95-0.97)</w:t>
            </w:r>
          </w:p>
        </w:tc>
        <w:tc>
          <w:tcPr>
            <w:tcW w:w="1984" w:type="dxa"/>
            <w:tcBorders>
              <w:bottom w:val="single" w:sz="4" w:space="0" w:color="auto"/>
              <w:right w:val="single" w:sz="4" w:space="0" w:color="auto"/>
            </w:tcBorders>
          </w:tcPr>
          <w:p w14:paraId="56E6F142" w14:textId="2D8E1395" w:rsidR="00205EB2" w:rsidRPr="00F95B81" w:rsidRDefault="00881043" w:rsidP="00787967">
            <w:pPr>
              <w:spacing w:line="276" w:lineRule="auto"/>
              <w:jc w:val="center"/>
              <w:rPr>
                <w:b/>
                <w:lang w:val="en-GB"/>
              </w:rPr>
            </w:pPr>
            <w:r w:rsidRPr="00F95B81">
              <w:rPr>
                <w:b/>
                <w:lang w:val="en-GB"/>
              </w:rPr>
              <w:t>0.97 (0</w:t>
            </w:r>
            <w:r w:rsidR="00015ECA" w:rsidRPr="00F95B81">
              <w:rPr>
                <w:b/>
                <w:lang w:val="en-GB"/>
              </w:rPr>
              <w:t>.96-0.98)</w:t>
            </w:r>
          </w:p>
        </w:tc>
        <w:tc>
          <w:tcPr>
            <w:tcW w:w="1844" w:type="dxa"/>
            <w:tcBorders>
              <w:left w:val="single" w:sz="4" w:space="0" w:color="auto"/>
            </w:tcBorders>
          </w:tcPr>
          <w:p w14:paraId="74C267E3" w14:textId="684D566A" w:rsidR="00205EB2" w:rsidRPr="00205EB2" w:rsidRDefault="00C728B5" w:rsidP="00787967">
            <w:pPr>
              <w:spacing w:line="276" w:lineRule="auto"/>
              <w:jc w:val="center"/>
              <w:rPr>
                <w:b/>
                <w:lang w:val="en-GB"/>
              </w:rPr>
            </w:pPr>
            <w:r>
              <w:rPr>
                <w:b/>
                <w:lang w:val="en-GB"/>
              </w:rPr>
              <w:t>0.94 (0.93-0.95)</w:t>
            </w:r>
          </w:p>
        </w:tc>
        <w:tc>
          <w:tcPr>
            <w:tcW w:w="1843" w:type="dxa"/>
          </w:tcPr>
          <w:p w14:paraId="6118536B" w14:textId="5554DFFE" w:rsidR="00205EB2" w:rsidRPr="001C3691" w:rsidRDefault="001C3691" w:rsidP="00787967">
            <w:pPr>
              <w:spacing w:line="276" w:lineRule="auto"/>
              <w:jc w:val="center"/>
              <w:rPr>
                <w:b/>
                <w:lang w:val="en-GB"/>
              </w:rPr>
            </w:pPr>
            <w:r w:rsidRPr="001C3691">
              <w:rPr>
                <w:b/>
                <w:lang w:val="en-GB"/>
              </w:rPr>
              <w:t>0.96 (0.96-0.97)</w:t>
            </w:r>
          </w:p>
        </w:tc>
      </w:tr>
    </w:tbl>
    <w:p w14:paraId="7048A57F" w14:textId="77777777" w:rsidR="0047184B" w:rsidRPr="0087303D" w:rsidRDefault="0047184B" w:rsidP="0047184B">
      <w:pPr>
        <w:rPr>
          <w:lang w:val="en-GB"/>
        </w:rPr>
      </w:pPr>
    </w:p>
    <w:p w14:paraId="2E01F811" w14:textId="745BCED4" w:rsidR="0047184B" w:rsidRPr="00467904" w:rsidRDefault="00950EC3" w:rsidP="0047184B">
      <w:pPr>
        <w:rPr>
          <w:lang w:val="en-GB"/>
        </w:rPr>
      </w:pPr>
      <w:r>
        <w:rPr>
          <w:lang w:val="en-GB"/>
        </w:rPr>
        <w:t>*</w:t>
      </w:r>
      <w:r w:rsidR="0047184B" w:rsidRPr="00467904">
        <w:rPr>
          <w:lang w:val="en-GB"/>
        </w:rPr>
        <w:t>Adjust</w:t>
      </w:r>
      <w:r>
        <w:rPr>
          <w:lang w:val="en-GB"/>
        </w:rPr>
        <w:t>ed</w:t>
      </w:r>
      <w:r w:rsidR="0047184B" w:rsidRPr="00467904">
        <w:rPr>
          <w:lang w:val="en-GB"/>
        </w:rPr>
        <w:t xml:space="preserve"> </w:t>
      </w:r>
      <w:r>
        <w:rPr>
          <w:lang w:val="en-GB"/>
        </w:rPr>
        <w:t>by</w:t>
      </w:r>
      <w:r w:rsidR="0047184B" w:rsidRPr="00467904">
        <w:rPr>
          <w:lang w:val="en-GB"/>
        </w:rPr>
        <w:t xml:space="preserve"> sex, age, BMI, smoking, </w:t>
      </w:r>
      <w:r w:rsidR="006B0989">
        <w:rPr>
          <w:lang w:val="en-GB"/>
        </w:rPr>
        <w:t xml:space="preserve">prebronchodilator </w:t>
      </w:r>
      <w:r w:rsidR="0047184B" w:rsidRPr="00467904">
        <w:rPr>
          <w:lang w:val="en-GB"/>
        </w:rPr>
        <w:t xml:space="preserve">FEV1 </w:t>
      </w:r>
      <w:r>
        <w:rPr>
          <w:lang w:val="en-GB"/>
        </w:rPr>
        <w:t>and study</w:t>
      </w:r>
    </w:p>
    <w:p w14:paraId="5BAF948B" w14:textId="6CFD8D0D" w:rsidR="00106292" w:rsidRDefault="00106292">
      <w:pPr>
        <w:spacing w:after="200" w:line="276" w:lineRule="auto"/>
        <w:rPr>
          <w:lang w:val="en-GB"/>
        </w:rPr>
      </w:pPr>
      <w:r>
        <w:rPr>
          <w:lang w:val="en-GB"/>
        </w:rPr>
        <w:br w:type="page"/>
      </w:r>
    </w:p>
    <w:p w14:paraId="3956435A" w14:textId="246AF3E1" w:rsidR="006B0989" w:rsidRPr="00255038" w:rsidRDefault="00106292" w:rsidP="006B0989">
      <w:pPr>
        <w:spacing w:line="360" w:lineRule="auto"/>
        <w:rPr>
          <w:sz w:val="24"/>
          <w:szCs w:val="24"/>
          <w:lang w:val="en-GB"/>
        </w:rPr>
      </w:pPr>
      <w:r w:rsidRPr="00F752F2">
        <w:rPr>
          <w:b/>
          <w:lang w:val="en-GB"/>
        </w:rPr>
        <w:t xml:space="preserve">Table </w:t>
      </w:r>
      <w:r w:rsidR="00F752F2">
        <w:rPr>
          <w:b/>
          <w:lang w:val="en-GB"/>
        </w:rPr>
        <w:t>4</w:t>
      </w:r>
      <w:r w:rsidRPr="00467904">
        <w:rPr>
          <w:lang w:val="en-GB"/>
        </w:rPr>
        <w:t xml:space="preserve"> </w:t>
      </w:r>
      <w:r w:rsidR="006B0989" w:rsidRPr="00255038">
        <w:rPr>
          <w:sz w:val="24"/>
          <w:szCs w:val="24"/>
          <w:lang w:val="en-GB"/>
        </w:rPr>
        <w:t>Comparison between part</w:t>
      </w:r>
      <w:r w:rsidR="006B0989">
        <w:rPr>
          <w:sz w:val="24"/>
          <w:szCs w:val="24"/>
          <w:lang w:val="en-GB"/>
        </w:rPr>
        <w:t>i</w:t>
      </w:r>
      <w:r w:rsidR="006B0989" w:rsidRPr="00255038">
        <w:rPr>
          <w:sz w:val="24"/>
          <w:szCs w:val="24"/>
          <w:lang w:val="en-GB"/>
        </w:rPr>
        <w:t>c</w:t>
      </w:r>
      <w:r w:rsidR="006B0989">
        <w:rPr>
          <w:sz w:val="24"/>
          <w:szCs w:val="24"/>
          <w:lang w:val="en-GB"/>
        </w:rPr>
        <w:t>ipants</w:t>
      </w:r>
      <w:r w:rsidR="006B0989" w:rsidRPr="00255038">
        <w:rPr>
          <w:sz w:val="24"/>
          <w:szCs w:val="24"/>
          <w:lang w:val="en-GB"/>
        </w:rPr>
        <w:t xml:space="preserve"> with </w:t>
      </w:r>
      <w:r w:rsidR="006B0989">
        <w:rPr>
          <w:sz w:val="24"/>
          <w:szCs w:val="24"/>
          <w:lang w:val="en-GB"/>
        </w:rPr>
        <w:t>C</w:t>
      </w:r>
      <w:r w:rsidR="00F752F2">
        <w:rPr>
          <w:sz w:val="24"/>
          <w:szCs w:val="24"/>
          <w:lang w:val="en-GB"/>
        </w:rPr>
        <w:t>OPD</w:t>
      </w:r>
      <w:r w:rsidR="006B0989" w:rsidRPr="00255038">
        <w:rPr>
          <w:sz w:val="24"/>
          <w:szCs w:val="24"/>
          <w:lang w:val="en-GB"/>
        </w:rPr>
        <w:t xml:space="preserve"> that have or do not have bronchodilator reversibility</w:t>
      </w:r>
      <w:r w:rsidR="006B0989">
        <w:rPr>
          <w:sz w:val="24"/>
          <w:szCs w:val="24"/>
          <w:lang w:val="en-GB"/>
        </w:rPr>
        <w:t>.</w:t>
      </w:r>
    </w:p>
    <w:p w14:paraId="2A199A80" w14:textId="03784E08" w:rsidR="00106292" w:rsidRPr="00467904" w:rsidRDefault="00106292" w:rsidP="00106292">
      <w:pPr>
        <w:rPr>
          <w:lang w:val="en-GB"/>
        </w:rPr>
      </w:pPr>
    </w:p>
    <w:tbl>
      <w:tblPr>
        <w:tblStyle w:val="TableGrid"/>
        <w:tblW w:w="9716" w:type="dxa"/>
        <w:tblBorders>
          <w:insideH w:val="none" w:sz="0" w:space="0" w:color="auto"/>
          <w:insideV w:val="none" w:sz="0" w:space="0" w:color="auto"/>
        </w:tblBorders>
        <w:tblLook w:val="04A0" w:firstRow="1" w:lastRow="0" w:firstColumn="1" w:lastColumn="0" w:noHBand="0" w:noVBand="1"/>
      </w:tblPr>
      <w:tblGrid>
        <w:gridCol w:w="2689"/>
        <w:gridCol w:w="1193"/>
        <w:gridCol w:w="1245"/>
        <w:gridCol w:w="1175"/>
        <w:gridCol w:w="1246"/>
        <w:gridCol w:w="1199"/>
        <w:gridCol w:w="969"/>
      </w:tblGrid>
      <w:tr w:rsidR="00106292" w14:paraId="3405BE32" w14:textId="77777777" w:rsidTr="00255038">
        <w:tc>
          <w:tcPr>
            <w:tcW w:w="2689" w:type="dxa"/>
            <w:tcBorders>
              <w:top w:val="single" w:sz="4" w:space="0" w:color="auto"/>
              <w:bottom w:val="nil"/>
              <w:right w:val="single" w:sz="4" w:space="0" w:color="auto"/>
            </w:tcBorders>
          </w:tcPr>
          <w:p w14:paraId="3348FCE3" w14:textId="77777777" w:rsidR="00106292" w:rsidRPr="00467904" w:rsidRDefault="00106292" w:rsidP="00787967">
            <w:pPr>
              <w:spacing w:line="360" w:lineRule="auto"/>
              <w:rPr>
                <w:lang w:val="en-GB"/>
              </w:rPr>
            </w:pPr>
          </w:p>
        </w:tc>
        <w:tc>
          <w:tcPr>
            <w:tcW w:w="3613" w:type="dxa"/>
            <w:gridSpan w:val="3"/>
            <w:tcBorders>
              <w:top w:val="single" w:sz="4" w:space="0" w:color="auto"/>
              <w:left w:val="single" w:sz="4" w:space="0" w:color="auto"/>
              <w:bottom w:val="nil"/>
              <w:right w:val="single" w:sz="4" w:space="0" w:color="auto"/>
            </w:tcBorders>
          </w:tcPr>
          <w:p w14:paraId="121A68E2" w14:textId="66CD9514" w:rsidR="00106292" w:rsidRDefault="007451B9" w:rsidP="00787967">
            <w:pPr>
              <w:spacing w:line="360" w:lineRule="auto"/>
              <w:jc w:val="center"/>
            </w:pPr>
            <w:r>
              <w:t>Δ</w:t>
            </w:r>
            <w:r w:rsidR="00106292">
              <w:t>FEV1</w:t>
            </w:r>
          </w:p>
        </w:tc>
        <w:tc>
          <w:tcPr>
            <w:tcW w:w="3414" w:type="dxa"/>
            <w:gridSpan w:val="3"/>
            <w:tcBorders>
              <w:top w:val="single" w:sz="4" w:space="0" w:color="auto"/>
              <w:left w:val="single" w:sz="4" w:space="0" w:color="auto"/>
              <w:bottom w:val="nil"/>
            </w:tcBorders>
          </w:tcPr>
          <w:p w14:paraId="1A366678" w14:textId="6B14DF41" w:rsidR="00106292" w:rsidRDefault="007451B9" w:rsidP="00787967">
            <w:pPr>
              <w:spacing w:line="360" w:lineRule="auto"/>
              <w:jc w:val="center"/>
            </w:pPr>
            <w:r>
              <w:t>Δ</w:t>
            </w:r>
            <w:r w:rsidR="00106292">
              <w:t>FVC</w:t>
            </w:r>
          </w:p>
        </w:tc>
      </w:tr>
      <w:tr w:rsidR="00106292" w14:paraId="618A832D" w14:textId="77777777" w:rsidTr="00255038">
        <w:tc>
          <w:tcPr>
            <w:tcW w:w="2689" w:type="dxa"/>
            <w:tcBorders>
              <w:top w:val="nil"/>
              <w:bottom w:val="single" w:sz="4" w:space="0" w:color="auto"/>
              <w:right w:val="single" w:sz="4" w:space="0" w:color="auto"/>
            </w:tcBorders>
          </w:tcPr>
          <w:p w14:paraId="5B5E4B45" w14:textId="77777777" w:rsidR="00106292" w:rsidRDefault="00106292" w:rsidP="00787967">
            <w:pPr>
              <w:spacing w:line="360" w:lineRule="auto"/>
            </w:pPr>
          </w:p>
        </w:tc>
        <w:tc>
          <w:tcPr>
            <w:tcW w:w="1193" w:type="dxa"/>
            <w:tcBorders>
              <w:top w:val="nil"/>
              <w:left w:val="single" w:sz="4" w:space="0" w:color="auto"/>
              <w:bottom w:val="single" w:sz="4" w:space="0" w:color="auto"/>
            </w:tcBorders>
          </w:tcPr>
          <w:p w14:paraId="4B7A7E5E" w14:textId="77777777" w:rsidR="00106292" w:rsidRDefault="00106292" w:rsidP="00787967">
            <w:pPr>
              <w:spacing w:line="360" w:lineRule="auto"/>
              <w:jc w:val="center"/>
            </w:pPr>
            <w:r>
              <w:t>&lt;12%</w:t>
            </w:r>
          </w:p>
          <w:p w14:paraId="354EAFFF" w14:textId="77777777" w:rsidR="00106292" w:rsidRDefault="00106292" w:rsidP="00787967">
            <w:pPr>
              <w:spacing w:line="360" w:lineRule="auto"/>
              <w:jc w:val="center"/>
            </w:pPr>
            <w:r>
              <w:t>(n=865)</w:t>
            </w:r>
          </w:p>
        </w:tc>
        <w:tc>
          <w:tcPr>
            <w:tcW w:w="1245" w:type="dxa"/>
            <w:tcBorders>
              <w:top w:val="nil"/>
              <w:bottom w:val="single" w:sz="4" w:space="0" w:color="auto"/>
            </w:tcBorders>
          </w:tcPr>
          <w:p w14:paraId="26C286EE" w14:textId="6DB25C10" w:rsidR="00106292" w:rsidRDefault="00EE330C" w:rsidP="00787967">
            <w:pPr>
              <w:spacing w:line="360" w:lineRule="auto"/>
              <w:jc w:val="center"/>
            </w:pPr>
            <w:r>
              <w:t>≥</w:t>
            </w:r>
            <w:r w:rsidR="00106292">
              <w:t>12%</w:t>
            </w:r>
          </w:p>
          <w:p w14:paraId="0FBF2245" w14:textId="77777777" w:rsidR="00106292" w:rsidRDefault="00106292" w:rsidP="00787967">
            <w:pPr>
              <w:spacing w:line="360" w:lineRule="auto"/>
              <w:jc w:val="center"/>
            </w:pPr>
            <w:r>
              <w:t>(n=281)</w:t>
            </w:r>
          </w:p>
        </w:tc>
        <w:tc>
          <w:tcPr>
            <w:tcW w:w="1175" w:type="dxa"/>
            <w:tcBorders>
              <w:top w:val="nil"/>
              <w:bottom w:val="single" w:sz="4" w:space="0" w:color="auto"/>
              <w:right w:val="single" w:sz="4" w:space="0" w:color="auto"/>
            </w:tcBorders>
          </w:tcPr>
          <w:p w14:paraId="32926152" w14:textId="77777777" w:rsidR="00106292" w:rsidRDefault="00106292" w:rsidP="00787967">
            <w:pPr>
              <w:spacing w:line="360" w:lineRule="auto"/>
            </w:pPr>
            <w:r>
              <w:t>p-value</w:t>
            </w:r>
          </w:p>
        </w:tc>
        <w:tc>
          <w:tcPr>
            <w:tcW w:w="1246" w:type="dxa"/>
            <w:tcBorders>
              <w:top w:val="nil"/>
              <w:left w:val="single" w:sz="4" w:space="0" w:color="auto"/>
              <w:bottom w:val="single" w:sz="4" w:space="0" w:color="auto"/>
            </w:tcBorders>
          </w:tcPr>
          <w:p w14:paraId="34AC5FBB" w14:textId="77777777" w:rsidR="00106292" w:rsidRDefault="00106292" w:rsidP="00787967">
            <w:pPr>
              <w:spacing w:line="360" w:lineRule="auto"/>
              <w:jc w:val="center"/>
            </w:pPr>
            <w:r>
              <w:t>&lt;10.5%</w:t>
            </w:r>
          </w:p>
          <w:p w14:paraId="53E153B6" w14:textId="77777777" w:rsidR="00106292" w:rsidRDefault="00106292" w:rsidP="00787967">
            <w:pPr>
              <w:spacing w:line="360" w:lineRule="auto"/>
              <w:jc w:val="center"/>
            </w:pPr>
            <w:r>
              <w:t>(n=833)</w:t>
            </w:r>
          </w:p>
        </w:tc>
        <w:tc>
          <w:tcPr>
            <w:tcW w:w="1199" w:type="dxa"/>
            <w:tcBorders>
              <w:top w:val="nil"/>
              <w:bottom w:val="single" w:sz="4" w:space="0" w:color="auto"/>
            </w:tcBorders>
          </w:tcPr>
          <w:p w14:paraId="0655519A" w14:textId="6E82CC8B" w:rsidR="00106292" w:rsidRDefault="002D4F40" w:rsidP="00787967">
            <w:pPr>
              <w:spacing w:line="360" w:lineRule="auto"/>
              <w:jc w:val="center"/>
            </w:pPr>
            <w:r>
              <w:t>≥</w:t>
            </w:r>
            <w:r w:rsidR="00106292">
              <w:t>10.5%</w:t>
            </w:r>
          </w:p>
          <w:p w14:paraId="12282451" w14:textId="77777777" w:rsidR="00106292" w:rsidRDefault="00106292" w:rsidP="00787967">
            <w:pPr>
              <w:spacing w:line="360" w:lineRule="auto"/>
              <w:jc w:val="center"/>
            </w:pPr>
            <w:r>
              <w:t>(n=280)</w:t>
            </w:r>
          </w:p>
        </w:tc>
        <w:tc>
          <w:tcPr>
            <w:tcW w:w="969" w:type="dxa"/>
            <w:tcBorders>
              <w:top w:val="nil"/>
              <w:bottom w:val="single" w:sz="4" w:space="0" w:color="auto"/>
            </w:tcBorders>
          </w:tcPr>
          <w:p w14:paraId="2905E0B7" w14:textId="77777777" w:rsidR="00106292" w:rsidRDefault="00106292" w:rsidP="00787967">
            <w:pPr>
              <w:spacing w:line="360" w:lineRule="auto"/>
            </w:pPr>
            <w:r>
              <w:t>p-value</w:t>
            </w:r>
          </w:p>
        </w:tc>
      </w:tr>
      <w:tr w:rsidR="00106292" w14:paraId="6AD0B662" w14:textId="77777777" w:rsidTr="00255038">
        <w:tc>
          <w:tcPr>
            <w:tcW w:w="2689" w:type="dxa"/>
            <w:tcBorders>
              <w:top w:val="single" w:sz="4" w:space="0" w:color="auto"/>
              <w:right w:val="single" w:sz="4" w:space="0" w:color="auto"/>
            </w:tcBorders>
          </w:tcPr>
          <w:p w14:paraId="19D7461E" w14:textId="77777777" w:rsidR="00106292" w:rsidRDefault="00106292" w:rsidP="00787967">
            <w:pPr>
              <w:spacing w:line="360" w:lineRule="auto"/>
              <w:rPr>
                <w:rFonts w:cstheme="minorHAnsi"/>
              </w:rPr>
            </w:pPr>
            <w:r>
              <w:rPr>
                <w:rFonts w:cstheme="minorHAnsi"/>
              </w:rPr>
              <w:t>Wheeze</w:t>
            </w:r>
          </w:p>
        </w:tc>
        <w:tc>
          <w:tcPr>
            <w:tcW w:w="1193" w:type="dxa"/>
            <w:tcBorders>
              <w:top w:val="single" w:sz="4" w:space="0" w:color="auto"/>
              <w:left w:val="single" w:sz="4" w:space="0" w:color="auto"/>
            </w:tcBorders>
          </w:tcPr>
          <w:p w14:paraId="72A9AE88" w14:textId="77777777" w:rsidR="00106292" w:rsidRDefault="00106292" w:rsidP="00787967">
            <w:pPr>
              <w:spacing w:line="360" w:lineRule="auto"/>
              <w:jc w:val="center"/>
            </w:pPr>
            <w:r>
              <w:t>37.3</w:t>
            </w:r>
          </w:p>
        </w:tc>
        <w:tc>
          <w:tcPr>
            <w:tcW w:w="1245" w:type="dxa"/>
            <w:tcBorders>
              <w:top w:val="single" w:sz="4" w:space="0" w:color="auto"/>
            </w:tcBorders>
          </w:tcPr>
          <w:p w14:paraId="72999C1A" w14:textId="77777777" w:rsidR="00106292" w:rsidRDefault="00106292" w:rsidP="00787967">
            <w:pPr>
              <w:spacing w:line="360" w:lineRule="auto"/>
              <w:jc w:val="center"/>
            </w:pPr>
            <w:r>
              <w:t>52.0</w:t>
            </w:r>
          </w:p>
        </w:tc>
        <w:tc>
          <w:tcPr>
            <w:tcW w:w="1175" w:type="dxa"/>
            <w:tcBorders>
              <w:top w:val="single" w:sz="4" w:space="0" w:color="auto"/>
              <w:right w:val="single" w:sz="4" w:space="0" w:color="auto"/>
            </w:tcBorders>
          </w:tcPr>
          <w:p w14:paraId="0A0685AA" w14:textId="77777777" w:rsidR="00106292" w:rsidRDefault="00106292" w:rsidP="00787967">
            <w:pPr>
              <w:spacing w:line="360" w:lineRule="auto"/>
            </w:pPr>
            <w:r>
              <w:t>&lt;0.0001</w:t>
            </w:r>
          </w:p>
        </w:tc>
        <w:tc>
          <w:tcPr>
            <w:tcW w:w="1246" w:type="dxa"/>
            <w:tcBorders>
              <w:top w:val="single" w:sz="4" w:space="0" w:color="auto"/>
              <w:left w:val="single" w:sz="4" w:space="0" w:color="auto"/>
            </w:tcBorders>
          </w:tcPr>
          <w:p w14:paraId="374273BF" w14:textId="77777777" w:rsidR="00106292" w:rsidRDefault="00106292" w:rsidP="00787967">
            <w:pPr>
              <w:spacing w:line="360" w:lineRule="auto"/>
              <w:jc w:val="center"/>
            </w:pPr>
            <w:r>
              <w:t>40.2</w:t>
            </w:r>
          </w:p>
        </w:tc>
        <w:tc>
          <w:tcPr>
            <w:tcW w:w="1199" w:type="dxa"/>
            <w:tcBorders>
              <w:top w:val="single" w:sz="4" w:space="0" w:color="auto"/>
            </w:tcBorders>
          </w:tcPr>
          <w:p w14:paraId="0B5F2794" w14:textId="77777777" w:rsidR="00106292" w:rsidRDefault="00106292" w:rsidP="00787967">
            <w:pPr>
              <w:spacing w:line="360" w:lineRule="auto"/>
              <w:jc w:val="center"/>
            </w:pPr>
            <w:r>
              <w:t>45.0</w:t>
            </w:r>
          </w:p>
        </w:tc>
        <w:tc>
          <w:tcPr>
            <w:tcW w:w="969" w:type="dxa"/>
            <w:tcBorders>
              <w:top w:val="single" w:sz="4" w:space="0" w:color="auto"/>
            </w:tcBorders>
          </w:tcPr>
          <w:p w14:paraId="5C7E0D4A" w14:textId="77777777" w:rsidR="00106292" w:rsidRDefault="00106292" w:rsidP="00787967">
            <w:pPr>
              <w:spacing w:line="360" w:lineRule="auto"/>
            </w:pPr>
            <w:r>
              <w:t>0.16</w:t>
            </w:r>
          </w:p>
        </w:tc>
      </w:tr>
      <w:tr w:rsidR="00106292" w14:paraId="26A5860F" w14:textId="77777777" w:rsidTr="00255038">
        <w:tc>
          <w:tcPr>
            <w:tcW w:w="2689" w:type="dxa"/>
            <w:tcBorders>
              <w:right w:val="single" w:sz="4" w:space="0" w:color="auto"/>
            </w:tcBorders>
          </w:tcPr>
          <w:p w14:paraId="63F1BA05" w14:textId="77777777" w:rsidR="00106292" w:rsidRDefault="00106292" w:rsidP="00787967">
            <w:pPr>
              <w:spacing w:line="360" w:lineRule="auto"/>
              <w:rPr>
                <w:rFonts w:cstheme="minorHAnsi"/>
              </w:rPr>
            </w:pPr>
            <w:r>
              <w:rPr>
                <w:rFonts w:cstheme="minorHAnsi"/>
              </w:rPr>
              <w:t xml:space="preserve">Wheeze  </w:t>
            </w:r>
            <w:r w:rsidRPr="00D15152">
              <w:t>and breathlessness</w:t>
            </w:r>
          </w:p>
        </w:tc>
        <w:tc>
          <w:tcPr>
            <w:tcW w:w="1193" w:type="dxa"/>
            <w:tcBorders>
              <w:left w:val="single" w:sz="4" w:space="0" w:color="auto"/>
            </w:tcBorders>
          </w:tcPr>
          <w:p w14:paraId="4B7A4BB9" w14:textId="77777777" w:rsidR="00106292" w:rsidRDefault="00106292" w:rsidP="00787967">
            <w:pPr>
              <w:spacing w:line="360" w:lineRule="auto"/>
              <w:jc w:val="center"/>
            </w:pPr>
            <w:r>
              <w:t>15.3</w:t>
            </w:r>
          </w:p>
        </w:tc>
        <w:tc>
          <w:tcPr>
            <w:tcW w:w="1245" w:type="dxa"/>
          </w:tcPr>
          <w:p w14:paraId="2DB7E65A" w14:textId="77777777" w:rsidR="00106292" w:rsidRDefault="00106292" w:rsidP="00787967">
            <w:pPr>
              <w:spacing w:line="360" w:lineRule="auto"/>
              <w:jc w:val="center"/>
            </w:pPr>
            <w:r>
              <w:t>30.6</w:t>
            </w:r>
          </w:p>
        </w:tc>
        <w:tc>
          <w:tcPr>
            <w:tcW w:w="1175" w:type="dxa"/>
            <w:tcBorders>
              <w:right w:val="single" w:sz="4" w:space="0" w:color="auto"/>
            </w:tcBorders>
          </w:tcPr>
          <w:p w14:paraId="030CE4FD" w14:textId="77777777" w:rsidR="00106292" w:rsidRDefault="00106292" w:rsidP="00787967">
            <w:pPr>
              <w:spacing w:line="360" w:lineRule="auto"/>
            </w:pPr>
            <w:r>
              <w:t>&lt;0.0001</w:t>
            </w:r>
          </w:p>
        </w:tc>
        <w:tc>
          <w:tcPr>
            <w:tcW w:w="1246" w:type="dxa"/>
            <w:tcBorders>
              <w:left w:val="single" w:sz="4" w:space="0" w:color="auto"/>
            </w:tcBorders>
          </w:tcPr>
          <w:p w14:paraId="20B96CAB" w14:textId="77777777" w:rsidR="00106292" w:rsidRDefault="00106292" w:rsidP="00787967">
            <w:pPr>
              <w:spacing w:line="360" w:lineRule="auto"/>
              <w:jc w:val="center"/>
            </w:pPr>
            <w:r>
              <w:t>17.2</w:t>
            </w:r>
          </w:p>
        </w:tc>
        <w:tc>
          <w:tcPr>
            <w:tcW w:w="1199" w:type="dxa"/>
          </w:tcPr>
          <w:p w14:paraId="048A9CCA" w14:textId="77777777" w:rsidR="00106292" w:rsidRDefault="00106292" w:rsidP="00787967">
            <w:pPr>
              <w:spacing w:line="360" w:lineRule="auto"/>
              <w:jc w:val="center"/>
            </w:pPr>
            <w:r>
              <w:t>25.7</w:t>
            </w:r>
          </w:p>
        </w:tc>
        <w:tc>
          <w:tcPr>
            <w:tcW w:w="969" w:type="dxa"/>
          </w:tcPr>
          <w:p w14:paraId="54ADB27F" w14:textId="77777777" w:rsidR="00106292" w:rsidRDefault="00106292" w:rsidP="00787967">
            <w:pPr>
              <w:spacing w:line="360" w:lineRule="auto"/>
            </w:pPr>
            <w:r>
              <w:t>0.002</w:t>
            </w:r>
          </w:p>
        </w:tc>
      </w:tr>
      <w:tr w:rsidR="00106292" w:rsidRPr="00F50280" w14:paraId="5587925D" w14:textId="77777777" w:rsidTr="00255038">
        <w:tc>
          <w:tcPr>
            <w:tcW w:w="2689" w:type="dxa"/>
            <w:tcBorders>
              <w:right w:val="single" w:sz="4" w:space="0" w:color="auto"/>
            </w:tcBorders>
          </w:tcPr>
          <w:p w14:paraId="3714B1B6" w14:textId="77777777" w:rsidR="00106292" w:rsidRPr="00467904" w:rsidRDefault="00106292" w:rsidP="00787967">
            <w:pPr>
              <w:spacing w:line="360" w:lineRule="auto"/>
              <w:rPr>
                <w:rFonts w:cstheme="minorHAnsi"/>
                <w:lang w:val="en-GB"/>
              </w:rPr>
            </w:pPr>
            <w:r w:rsidRPr="00467904">
              <w:rPr>
                <w:rFonts w:cstheme="minorHAnsi"/>
                <w:lang w:val="en-GB"/>
              </w:rPr>
              <w:t>Wheeze when no cold</w:t>
            </w:r>
          </w:p>
        </w:tc>
        <w:tc>
          <w:tcPr>
            <w:tcW w:w="1193" w:type="dxa"/>
            <w:tcBorders>
              <w:left w:val="single" w:sz="4" w:space="0" w:color="auto"/>
            </w:tcBorders>
          </w:tcPr>
          <w:p w14:paraId="2FF258CD" w14:textId="77777777" w:rsidR="00106292" w:rsidRPr="00467904" w:rsidRDefault="00106292" w:rsidP="00787967">
            <w:pPr>
              <w:spacing w:line="360" w:lineRule="auto"/>
              <w:jc w:val="center"/>
              <w:rPr>
                <w:lang w:val="en-GB"/>
              </w:rPr>
            </w:pPr>
            <w:r>
              <w:t>17.2</w:t>
            </w:r>
          </w:p>
        </w:tc>
        <w:tc>
          <w:tcPr>
            <w:tcW w:w="1245" w:type="dxa"/>
          </w:tcPr>
          <w:p w14:paraId="7F458776" w14:textId="77777777" w:rsidR="00106292" w:rsidRPr="00467904" w:rsidRDefault="00106292" w:rsidP="00787967">
            <w:pPr>
              <w:spacing w:line="360" w:lineRule="auto"/>
              <w:jc w:val="center"/>
              <w:rPr>
                <w:lang w:val="en-GB"/>
              </w:rPr>
            </w:pPr>
            <w:r>
              <w:t>28.8</w:t>
            </w:r>
          </w:p>
        </w:tc>
        <w:tc>
          <w:tcPr>
            <w:tcW w:w="1175" w:type="dxa"/>
            <w:tcBorders>
              <w:right w:val="single" w:sz="4" w:space="0" w:color="auto"/>
            </w:tcBorders>
          </w:tcPr>
          <w:p w14:paraId="296AB5A7" w14:textId="77777777" w:rsidR="00106292" w:rsidRPr="00467904" w:rsidRDefault="00106292" w:rsidP="00787967">
            <w:pPr>
              <w:spacing w:line="360" w:lineRule="auto"/>
              <w:rPr>
                <w:lang w:val="en-GB"/>
              </w:rPr>
            </w:pPr>
            <w:r>
              <w:t>&lt;0.0001</w:t>
            </w:r>
          </w:p>
        </w:tc>
        <w:tc>
          <w:tcPr>
            <w:tcW w:w="1246" w:type="dxa"/>
            <w:tcBorders>
              <w:left w:val="single" w:sz="4" w:space="0" w:color="auto"/>
            </w:tcBorders>
          </w:tcPr>
          <w:p w14:paraId="7DC77DD6" w14:textId="77777777" w:rsidR="00106292" w:rsidRPr="00467904" w:rsidRDefault="00106292" w:rsidP="00787967">
            <w:pPr>
              <w:spacing w:line="360" w:lineRule="auto"/>
              <w:jc w:val="center"/>
              <w:rPr>
                <w:lang w:val="en-GB"/>
              </w:rPr>
            </w:pPr>
            <w:r>
              <w:rPr>
                <w:lang w:val="en-GB"/>
              </w:rPr>
              <w:t>18.8</w:t>
            </w:r>
          </w:p>
        </w:tc>
        <w:tc>
          <w:tcPr>
            <w:tcW w:w="1199" w:type="dxa"/>
          </w:tcPr>
          <w:p w14:paraId="69338775" w14:textId="77777777" w:rsidR="00106292" w:rsidRPr="00467904" w:rsidRDefault="00106292" w:rsidP="00787967">
            <w:pPr>
              <w:spacing w:line="360" w:lineRule="auto"/>
              <w:jc w:val="center"/>
              <w:rPr>
                <w:lang w:val="en-GB"/>
              </w:rPr>
            </w:pPr>
            <w:r>
              <w:rPr>
                <w:lang w:val="en-GB"/>
              </w:rPr>
              <w:t>24.3</w:t>
            </w:r>
          </w:p>
        </w:tc>
        <w:tc>
          <w:tcPr>
            <w:tcW w:w="969" w:type="dxa"/>
          </w:tcPr>
          <w:p w14:paraId="78E07223" w14:textId="77777777" w:rsidR="00106292" w:rsidRPr="00467904" w:rsidRDefault="00106292" w:rsidP="00787967">
            <w:pPr>
              <w:spacing w:line="360" w:lineRule="auto"/>
              <w:rPr>
                <w:lang w:val="en-GB"/>
              </w:rPr>
            </w:pPr>
            <w:r>
              <w:rPr>
                <w:lang w:val="en-GB"/>
              </w:rPr>
              <w:t>0.047</w:t>
            </w:r>
          </w:p>
        </w:tc>
      </w:tr>
      <w:tr w:rsidR="00106292" w14:paraId="4E7A70EB" w14:textId="77777777" w:rsidTr="00255038">
        <w:tc>
          <w:tcPr>
            <w:tcW w:w="2689" w:type="dxa"/>
            <w:tcBorders>
              <w:right w:val="single" w:sz="4" w:space="0" w:color="auto"/>
            </w:tcBorders>
          </w:tcPr>
          <w:p w14:paraId="4D06D81F" w14:textId="77777777" w:rsidR="00106292" w:rsidRDefault="00106292" w:rsidP="00787967">
            <w:pPr>
              <w:spacing w:line="360" w:lineRule="auto"/>
              <w:rPr>
                <w:rFonts w:cstheme="minorHAnsi"/>
              </w:rPr>
            </w:pPr>
            <w:r>
              <w:rPr>
                <w:rFonts w:cstheme="minorHAnsi"/>
              </w:rPr>
              <w:t>Habitual coughing</w:t>
            </w:r>
          </w:p>
        </w:tc>
        <w:tc>
          <w:tcPr>
            <w:tcW w:w="1193" w:type="dxa"/>
            <w:tcBorders>
              <w:left w:val="single" w:sz="4" w:space="0" w:color="auto"/>
            </w:tcBorders>
          </w:tcPr>
          <w:p w14:paraId="1A9DEB0A" w14:textId="77777777" w:rsidR="00106292" w:rsidRDefault="00106292" w:rsidP="00787967">
            <w:pPr>
              <w:spacing w:line="360" w:lineRule="auto"/>
              <w:jc w:val="center"/>
            </w:pPr>
            <w:r>
              <w:t>39.3</w:t>
            </w:r>
          </w:p>
        </w:tc>
        <w:tc>
          <w:tcPr>
            <w:tcW w:w="1245" w:type="dxa"/>
          </w:tcPr>
          <w:p w14:paraId="374EA6F1" w14:textId="77777777" w:rsidR="00106292" w:rsidRDefault="00106292" w:rsidP="00787967">
            <w:pPr>
              <w:spacing w:line="360" w:lineRule="auto"/>
              <w:jc w:val="center"/>
            </w:pPr>
            <w:r>
              <w:t>47.0</w:t>
            </w:r>
          </w:p>
        </w:tc>
        <w:tc>
          <w:tcPr>
            <w:tcW w:w="1175" w:type="dxa"/>
            <w:tcBorders>
              <w:right w:val="single" w:sz="4" w:space="0" w:color="auto"/>
            </w:tcBorders>
          </w:tcPr>
          <w:p w14:paraId="5F6729E4" w14:textId="77777777" w:rsidR="00106292" w:rsidRDefault="00106292" w:rsidP="00787967">
            <w:pPr>
              <w:spacing w:line="360" w:lineRule="auto"/>
            </w:pPr>
            <w:r>
              <w:t>0.02</w:t>
            </w:r>
          </w:p>
        </w:tc>
        <w:tc>
          <w:tcPr>
            <w:tcW w:w="1246" w:type="dxa"/>
            <w:tcBorders>
              <w:left w:val="single" w:sz="4" w:space="0" w:color="auto"/>
            </w:tcBorders>
          </w:tcPr>
          <w:p w14:paraId="13BEEE77" w14:textId="77777777" w:rsidR="00106292" w:rsidRDefault="00106292" w:rsidP="00787967">
            <w:pPr>
              <w:spacing w:line="360" w:lineRule="auto"/>
              <w:jc w:val="center"/>
            </w:pPr>
            <w:r>
              <w:t>40.6</w:t>
            </w:r>
          </w:p>
        </w:tc>
        <w:tc>
          <w:tcPr>
            <w:tcW w:w="1199" w:type="dxa"/>
          </w:tcPr>
          <w:p w14:paraId="1ECF0E85" w14:textId="77777777" w:rsidR="00106292" w:rsidRDefault="00106292" w:rsidP="00787967">
            <w:pPr>
              <w:spacing w:line="360" w:lineRule="auto"/>
              <w:jc w:val="center"/>
            </w:pPr>
            <w:r>
              <w:t>44.3</w:t>
            </w:r>
          </w:p>
        </w:tc>
        <w:tc>
          <w:tcPr>
            <w:tcW w:w="969" w:type="dxa"/>
          </w:tcPr>
          <w:p w14:paraId="086CBC24" w14:textId="77777777" w:rsidR="00106292" w:rsidRDefault="00106292" w:rsidP="00787967">
            <w:pPr>
              <w:spacing w:line="360" w:lineRule="auto"/>
            </w:pPr>
            <w:r>
              <w:t>0.28</w:t>
            </w:r>
          </w:p>
        </w:tc>
      </w:tr>
      <w:tr w:rsidR="00106292" w14:paraId="691FAE1C" w14:textId="77777777" w:rsidTr="00255038">
        <w:tc>
          <w:tcPr>
            <w:tcW w:w="2689" w:type="dxa"/>
            <w:tcBorders>
              <w:right w:val="single" w:sz="4" w:space="0" w:color="auto"/>
            </w:tcBorders>
          </w:tcPr>
          <w:p w14:paraId="4A4AB7EB" w14:textId="77777777" w:rsidR="00106292" w:rsidRDefault="00106292" w:rsidP="00787967">
            <w:pPr>
              <w:spacing w:line="360" w:lineRule="auto"/>
              <w:rPr>
                <w:rFonts w:cstheme="minorHAnsi"/>
              </w:rPr>
            </w:pPr>
            <w:r>
              <w:rPr>
                <w:rFonts w:cstheme="minorHAnsi"/>
              </w:rPr>
              <w:t>Chronic bronchitis</w:t>
            </w:r>
          </w:p>
        </w:tc>
        <w:tc>
          <w:tcPr>
            <w:tcW w:w="1193" w:type="dxa"/>
            <w:tcBorders>
              <w:left w:val="single" w:sz="4" w:space="0" w:color="auto"/>
            </w:tcBorders>
          </w:tcPr>
          <w:p w14:paraId="2F7E9654" w14:textId="77777777" w:rsidR="00106292" w:rsidRDefault="00106292" w:rsidP="00787967">
            <w:pPr>
              <w:spacing w:line="360" w:lineRule="auto"/>
              <w:jc w:val="center"/>
            </w:pPr>
            <w:r>
              <w:t>18.7</w:t>
            </w:r>
          </w:p>
        </w:tc>
        <w:tc>
          <w:tcPr>
            <w:tcW w:w="1245" w:type="dxa"/>
          </w:tcPr>
          <w:p w14:paraId="2659D3D5" w14:textId="77777777" w:rsidR="00106292" w:rsidRDefault="00106292" w:rsidP="00787967">
            <w:pPr>
              <w:spacing w:line="360" w:lineRule="auto"/>
              <w:jc w:val="center"/>
            </w:pPr>
            <w:r>
              <w:t>26.2</w:t>
            </w:r>
          </w:p>
        </w:tc>
        <w:tc>
          <w:tcPr>
            <w:tcW w:w="1175" w:type="dxa"/>
            <w:tcBorders>
              <w:right w:val="single" w:sz="4" w:space="0" w:color="auto"/>
            </w:tcBorders>
          </w:tcPr>
          <w:p w14:paraId="5F205883" w14:textId="77777777" w:rsidR="00106292" w:rsidRDefault="00106292" w:rsidP="00787967">
            <w:pPr>
              <w:spacing w:line="360" w:lineRule="auto"/>
            </w:pPr>
            <w:r>
              <w:t>0.007</w:t>
            </w:r>
          </w:p>
        </w:tc>
        <w:tc>
          <w:tcPr>
            <w:tcW w:w="1246" w:type="dxa"/>
            <w:tcBorders>
              <w:left w:val="single" w:sz="4" w:space="0" w:color="auto"/>
            </w:tcBorders>
          </w:tcPr>
          <w:p w14:paraId="76F07406" w14:textId="77777777" w:rsidR="00106292" w:rsidRDefault="00106292" w:rsidP="00787967">
            <w:pPr>
              <w:spacing w:line="360" w:lineRule="auto"/>
              <w:jc w:val="center"/>
            </w:pPr>
            <w:r>
              <w:t>18.8</w:t>
            </w:r>
          </w:p>
        </w:tc>
        <w:tc>
          <w:tcPr>
            <w:tcW w:w="1199" w:type="dxa"/>
          </w:tcPr>
          <w:p w14:paraId="01A0139A" w14:textId="77777777" w:rsidR="00106292" w:rsidRDefault="00106292" w:rsidP="00787967">
            <w:pPr>
              <w:spacing w:line="360" w:lineRule="auto"/>
              <w:jc w:val="center"/>
            </w:pPr>
            <w:r>
              <w:t>26.3</w:t>
            </w:r>
          </w:p>
        </w:tc>
        <w:tc>
          <w:tcPr>
            <w:tcW w:w="969" w:type="dxa"/>
          </w:tcPr>
          <w:p w14:paraId="751CB383" w14:textId="77777777" w:rsidR="00106292" w:rsidRDefault="00106292" w:rsidP="00787967">
            <w:pPr>
              <w:spacing w:line="360" w:lineRule="auto"/>
            </w:pPr>
            <w:r>
              <w:t>0.008</w:t>
            </w:r>
          </w:p>
        </w:tc>
      </w:tr>
      <w:tr w:rsidR="00106292" w14:paraId="29DAF0FE" w14:textId="77777777" w:rsidTr="00255038">
        <w:tc>
          <w:tcPr>
            <w:tcW w:w="2689" w:type="dxa"/>
            <w:tcBorders>
              <w:right w:val="single" w:sz="4" w:space="0" w:color="auto"/>
            </w:tcBorders>
          </w:tcPr>
          <w:p w14:paraId="1340FE73" w14:textId="77777777" w:rsidR="00106292" w:rsidRDefault="00106292" w:rsidP="00787967">
            <w:pPr>
              <w:spacing w:line="360" w:lineRule="auto"/>
              <w:rPr>
                <w:rFonts w:cstheme="minorHAnsi"/>
              </w:rPr>
            </w:pPr>
            <w:r>
              <w:rPr>
                <w:rFonts w:cstheme="minorHAnsi"/>
              </w:rPr>
              <w:t>Exacerbations</w:t>
            </w:r>
          </w:p>
        </w:tc>
        <w:tc>
          <w:tcPr>
            <w:tcW w:w="1193" w:type="dxa"/>
            <w:tcBorders>
              <w:left w:val="single" w:sz="4" w:space="0" w:color="auto"/>
            </w:tcBorders>
          </w:tcPr>
          <w:p w14:paraId="3F6E34CE" w14:textId="77777777" w:rsidR="00106292" w:rsidRDefault="00106292" w:rsidP="00787967">
            <w:pPr>
              <w:spacing w:line="360" w:lineRule="auto"/>
              <w:jc w:val="center"/>
            </w:pPr>
          </w:p>
        </w:tc>
        <w:tc>
          <w:tcPr>
            <w:tcW w:w="1245" w:type="dxa"/>
          </w:tcPr>
          <w:p w14:paraId="01EC9111" w14:textId="77777777" w:rsidR="00106292" w:rsidRDefault="00106292" w:rsidP="00787967">
            <w:pPr>
              <w:spacing w:line="360" w:lineRule="auto"/>
              <w:jc w:val="center"/>
            </w:pPr>
          </w:p>
        </w:tc>
        <w:tc>
          <w:tcPr>
            <w:tcW w:w="1175" w:type="dxa"/>
            <w:tcBorders>
              <w:right w:val="single" w:sz="4" w:space="0" w:color="auto"/>
            </w:tcBorders>
          </w:tcPr>
          <w:p w14:paraId="6B85DE90" w14:textId="77777777" w:rsidR="00106292" w:rsidRDefault="00106292" w:rsidP="00787967">
            <w:pPr>
              <w:spacing w:line="360" w:lineRule="auto"/>
            </w:pPr>
            <w:r>
              <w:t>0.008</w:t>
            </w:r>
          </w:p>
        </w:tc>
        <w:tc>
          <w:tcPr>
            <w:tcW w:w="1246" w:type="dxa"/>
            <w:tcBorders>
              <w:left w:val="single" w:sz="4" w:space="0" w:color="auto"/>
            </w:tcBorders>
          </w:tcPr>
          <w:p w14:paraId="09B82CA9" w14:textId="77777777" w:rsidR="00106292" w:rsidRDefault="00106292" w:rsidP="00787967">
            <w:pPr>
              <w:spacing w:line="360" w:lineRule="auto"/>
              <w:jc w:val="center"/>
            </w:pPr>
          </w:p>
        </w:tc>
        <w:tc>
          <w:tcPr>
            <w:tcW w:w="1199" w:type="dxa"/>
          </w:tcPr>
          <w:p w14:paraId="7995FAA0" w14:textId="77777777" w:rsidR="00106292" w:rsidRDefault="00106292" w:rsidP="00787967">
            <w:pPr>
              <w:spacing w:line="360" w:lineRule="auto"/>
              <w:jc w:val="center"/>
            </w:pPr>
          </w:p>
        </w:tc>
        <w:tc>
          <w:tcPr>
            <w:tcW w:w="969" w:type="dxa"/>
          </w:tcPr>
          <w:p w14:paraId="09BCC4EA" w14:textId="77777777" w:rsidR="00106292" w:rsidRDefault="00106292" w:rsidP="00787967">
            <w:pPr>
              <w:spacing w:line="360" w:lineRule="auto"/>
            </w:pPr>
            <w:r>
              <w:t>0.13</w:t>
            </w:r>
          </w:p>
        </w:tc>
      </w:tr>
      <w:tr w:rsidR="00106292" w14:paraId="653BE6A0" w14:textId="77777777" w:rsidTr="00255038">
        <w:tc>
          <w:tcPr>
            <w:tcW w:w="2689" w:type="dxa"/>
            <w:tcBorders>
              <w:right w:val="single" w:sz="4" w:space="0" w:color="auto"/>
            </w:tcBorders>
          </w:tcPr>
          <w:p w14:paraId="4F5C0BA7" w14:textId="77777777" w:rsidR="00106292" w:rsidRDefault="00106292" w:rsidP="00787967">
            <w:pPr>
              <w:spacing w:line="360" w:lineRule="auto"/>
              <w:rPr>
                <w:rFonts w:cstheme="minorHAnsi"/>
              </w:rPr>
            </w:pPr>
            <w:r>
              <w:rPr>
                <w:rFonts w:cstheme="minorHAnsi"/>
              </w:rPr>
              <w:t xml:space="preserve">  0</w:t>
            </w:r>
          </w:p>
        </w:tc>
        <w:tc>
          <w:tcPr>
            <w:tcW w:w="1193" w:type="dxa"/>
            <w:tcBorders>
              <w:left w:val="single" w:sz="4" w:space="0" w:color="auto"/>
            </w:tcBorders>
          </w:tcPr>
          <w:p w14:paraId="1937D52B" w14:textId="77777777" w:rsidR="00106292" w:rsidRDefault="00106292" w:rsidP="00787967">
            <w:pPr>
              <w:spacing w:line="360" w:lineRule="auto"/>
              <w:jc w:val="center"/>
            </w:pPr>
            <w:r>
              <w:t>94.9</w:t>
            </w:r>
          </w:p>
        </w:tc>
        <w:tc>
          <w:tcPr>
            <w:tcW w:w="1245" w:type="dxa"/>
          </w:tcPr>
          <w:p w14:paraId="0DF9A1C0" w14:textId="77777777" w:rsidR="00106292" w:rsidRDefault="00106292" w:rsidP="00787967">
            <w:pPr>
              <w:spacing w:line="360" w:lineRule="auto"/>
              <w:jc w:val="center"/>
            </w:pPr>
            <w:r>
              <w:t>89.6</w:t>
            </w:r>
          </w:p>
        </w:tc>
        <w:tc>
          <w:tcPr>
            <w:tcW w:w="1175" w:type="dxa"/>
            <w:tcBorders>
              <w:right w:val="single" w:sz="4" w:space="0" w:color="auto"/>
            </w:tcBorders>
          </w:tcPr>
          <w:p w14:paraId="3CBEEF08" w14:textId="77777777" w:rsidR="00106292" w:rsidRDefault="00106292" w:rsidP="00787967">
            <w:pPr>
              <w:spacing w:line="360" w:lineRule="auto"/>
            </w:pPr>
          </w:p>
        </w:tc>
        <w:tc>
          <w:tcPr>
            <w:tcW w:w="1246" w:type="dxa"/>
            <w:tcBorders>
              <w:left w:val="single" w:sz="4" w:space="0" w:color="auto"/>
            </w:tcBorders>
          </w:tcPr>
          <w:p w14:paraId="03E4ED29" w14:textId="77777777" w:rsidR="00106292" w:rsidRDefault="00106292" w:rsidP="00787967">
            <w:pPr>
              <w:spacing w:line="360" w:lineRule="auto"/>
              <w:jc w:val="center"/>
            </w:pPr>
            <w:r>
              <w:t>94.3</w:t>
            </w:r>
          </w:p>
        </w:tc>
        <w:tc>
          <w:tcPr>
            <w:tcW w:w="1199" w:type="dxa"/>
          </w:tcPr>
          <w:p w14:paraId="006AFCEA" w14:textId="77777777" w:rsidR="00106292" w:rsidRDefault="00106292" w:rsidP="00787967">
            <w:pPr>
              <w:spacing w:line="360" w:lineRule="auto"/>
              <w:jc w:val="center"/>
            </w:pPr>
            <w:r>
              <w:t>91.0</w:t>
            </w:r>
          </w:p>
        </w:tc>
        <w:tc>
          <w:tcPr>
            <w:tcW w:w="969" w:type="dxa"/>
          </w:tcPr>
          <w:p w14:paraId="23754745" w14:textId="77777777" w:rsidR="00106292" w:rsidRDefault="00106292" w:rsidP="00787967">
            <w:pPr>
              <w:spacing w:line="360" w:lineRule="auto"/>
            </w:pPr>
          </w:p>
        </w:tc>
      </w:tr>
      <w:tr w:rsidR="00106292" w14:paraId="5E44D25D" w14:textId="77777777" w:rsidTr="00255038">
        <w:tc>
          <w:tcPr>
            <w:tcW w:w="2689" w:type="dxa"/>
            <w:tcBorders>
              <w:right w:val="single" w:sz="4" w:space="0" w:color="auto"/>
            </w:tcBorders>
          </w:tcPr>
          <w:p w14:paraId="460B752F" w14:textId="77777777" w:rsidR="00106292" w:rsidRDefault="00106292" w:rsidP="00787967">
            <w:pPr>
              <w:spacing w:line="360" w:lineRule="auto"/>
              <w:rPr>
                <w:rFonts w:cstheme="minorHAnsi"/>
              </w:rPr>
            </w:pPr>
            <w:r>
              <w:rPr>
                <w:rFonts w:cstheme="minorHAnsi"/>
              </w:rPr>
              <w:t xml:space="preserve">  1</w:t>
            </w:r>
          </w:p>
        </w:tc>
        <w:tc>
          <w:tcPr>
            <w:tcW w:w="1193" w:type="dxa"/>
            <w:tcBorders>
              <w:left w:val="single" w:sz="4" w:space="0" w:color="auto"/>
            </w:tcBorders>
          </w:tcPr>
          <w:p w14:paraId="409B6131" w14:textId="77777777" w:rsidR="00106292" w:rsidRDefault="00106292" w:rsidP="00787967">
            <w:pPr>
              <w:spacing w:line="360" w:lineRule="auto"/>
              <w:jc w:val="center"/>
            </w:pPr>
            <w:r>
              <w:t>1.4</w:t>
            </w:r>
          </w:p>
        </w:tc>
        <w:tc>
          <w:tcPr>
            <w:tcW w:w="1245" w:type="dxa"/>
          </w:tcPr>
          <w:p w14:paraId="23EC7BD4" w14:textId="77777777" w:rsidR="00106292" w:rsidRDefault="00106292" w:rsidP="00787967">
            <w:pPr>
              <w:spacing w:line="360" w:lineRule="auto"/>
              <w:jc w:val="center"/>
            </w:pPr>
            <w:r>
              <w:t>2.3</w:t>
            </w:r>
          </w:p>
        </w:tc>
        <w:tc>
          <w:tcPr>
            <w:tcW w:w="1175" w:type="dxa"/>
            <w:tcBorders>
              <w:right w:val="single" w:sz="4" w:space="0" w:color="auto"/>
            </w:tcBorders>
          </w:tcPr>
          <w:p w14:paraId="4257447D" w14:textId="77777777" w:rsidR="00106292" w:rsidRDefault="00106292" w:rsidP="00787967">
            <w:pPr>
              <w:spacing w:line="360" w:lineRule="auto"/>
            </w:pPr>
          </w:p>
        </w:tc>
        <w:tc>
          <w:tcPr>
            <w:tcW w:w="1246" w:type="dxa"/>
            <w:tcBorders>
              <w:left w:val="single" w:sz="4" w:space="0" w:color="auto"/>
            </w:tcBorders>
          </w:tcPr>
          <w:p w14:paraId="28EB4C66" w14:textId="77777777" w:rsidR="00106292" w:rsidRDefault="00106292" w:rsidP="00787967">
            <w:pPr>
              <w:spacing w:line="360" w:lineRule="auto"/>
              <w:jc w:val="center"/>
            </w:pPr>
            <w:r>
              <w:t>1.3</w:t>
            </w:r>
          </w:p>
        </w:tc>
        <w:tc>
          <w:tcPr>
            <w:tcW w:w="1199" w:type="dxa"/>
          </w:tcPr>
          <w:p w14:paraId="65DEA87D" w14:textId="77777777" w:rsidR="00106292" w:rsidRDefault="00106292" w:rsidP="00787967">
            <w:pPr>
              <w:spacing w:line="360" w:lineRule="auto"/>
              <w:jc w:val="center"/>
            </w:pPr>
            <w:r>
              <w:t>2.8</w:t>
            </w:r>
          </w:p>
        </w:tc>
        <w:tc>
          <w:tcPr>
            <w:tcW w:w="969" w:type="dxa"/>
          </w:tcPr>
          <w:p w14:paraId="29F2AF89" w14:textId="77777777" w:rsidR="00106292" w:rsidRDefault="00106292" w:rsidP="00787967">
            <w:pPr>
              <w:spacing w:line="360" w:lineRule="auto"/>
            </w:pPr>
          </w:p>
        </w:tc>
      </w:tr>
      <w:tr w:rsidR="00106292" w14:paraId="5E8AA482" w14:textId="77777777" w:rsidTr="00255038">
        <w:tc>
          <w:tcPr>
            <w:tcW w:w="2689" w:type="dxa"/>
            <w:tcBorders>
              <w:right w:val="single" w:sz="4" w:space="0" w:color="auto"/>
            </w:tcBorders>
          </w:tcPr>
          <w:p w14:paraId="11473173" w14:textId="77777777" w:rsidR="00106292" w:rsidRDefault="00106292" w:rsidP="00787967">
            <w:pPr>
              <w:spacing w:line="360" w:lineRule="auto"/>
              <w:rPr>
                <w:rFonts w:cstheme="minorHAnsi"/>
              </w:rPr>
            </w:pPr>
            <w:r>
              <w:rPr>
                <w:rFonts w:cstheme="minorHAnsi"/>
              </w:rPr>
              <w:t xml:space="preserve">  2 or more</w:t>
            </w:r>
          </w:p>
        </w:tc>
        <w:tc>
          <w:tcPr>
            <w:tcW w:w="1193" w:type="dxa"/>
            <w:tcBorders>
              <w:left w:val="single" w:sz="4" w:space="0" w:color="auto"/>
            </w:tcBorders>
          </w:tcPr>
          <w:p w14:paraId="7340BF53" w14:textId="77777777" w:rsidR="00106292" w:rsidRDefault="00106292" w:rsidP="00787967">
            <w:pPr>
              <w:spacing w:line="360" w:lineRule="auto"/>
              <w:jc w:val="center"/>
            </w:pPr>
            <w:r>
              <w:t>3.7</w:t>
            </w:r>
          </w:p>
        </w:tc>
        <w:tc>
          <w:tcPr>
            <w:tcW w:w="1245" w:type="dxa"/>
          </w:tcPr>
          <w:p w14:paraId="15F8B5FC" w14:textId="77777777" w:rsidR="00106292" w:rsidRDefault="00106292" w:rsidP="00787967">
            <w:pPr>
              <w:spacing w:line="360" w:lineRule="auto"/>
              <w:jc w:val="center"/>
            </w:pPr>
            <w:r>
              <w:t>8.1</w:t>
            </w:r>
          </w:p>
        </w:tc>
        <w:tc>
          <w:tcPr>
            <w:tcW w:w="1175" w:type="dxa"/>
            <w:tcBorders>
              <w:right w:val="single" w:sz="4" w:space="0" w:color="auto"/>
            </w:tcBorders>
          </w:tcPr>
          <w:p w14:paraId="016A4E81" w14:textId="77777777" w:rsidR="00106292" w:rsidRDefault="00106292" w:rsidP="00787967">
            <w:pPr>
              <w:spacing w:line="360" w:lineRule="auto"/>
            </w:pPr>
          </w:p>
        </w:tc>
        <w:tc>
          <w:tcPr>
            <w:tcW w:w="1246" w:type="dxa"/>
            <w:tcBorders>
              <w:left w:val="single" w:sz="4" w:space="0" w:color="auto"/>
            </w:tcBorders>
          </w:tcPr>
          <w:p w14:paraId="6652690D" w14:textId="77777777" w:rsidR="00106292" w:rsidRDefault="00106292" w:rsidP="00787967">
            <w:pPr>
              <w:spacing w:line="360" w:lineRule="auto"/>
              <w:jc w:val="center"/>
            </w:pPr>
            <w:r>
              <w:t>4.5</w:t>
            </w:r>
          </w:p>
        </w:tc>
        <w:tc>
          <w:tcPr>
            <w:tcW w:w="1199" w:type="dxa"/>
          </w:tcPr>
          <w:p w14:paraId="02950ECA" w14:textId="77777777" w:rsidR="00106292" w:rsidRDefault="00106292" w:rsidP="00787967">
            <w:pPr>
              <w:spacing w:line="360" w:lineRule="auto"/>
              <w:jc w:val="center"/>
            </w:pPr>
            <w:r>
              <w:t>6.3</w:t>
            </w:r>
          </w:p>
        </w:tc>
        <w:tc>
          <w:tcPr>
            <w:tcW w:w="969" w:type="dxa"/>
          </w:tcPr>
          <w:p w14:paraId="2B650C03" w14:textId="77777777" w:rsidR="00106292" w:rsidRDefault="00106292" w:rsidP="00787967">
            <w:pPr>
              <w:spacing w:line="360" w:lineRule="auto"/>
            </w:pPr>
          </w:p>
        </w:tc>
      </w:tr>
      <w:tr w:rsidR="00106292" w14:paraId="31760F5B" w14:textId="77777777" w:rsidTr="00255038">
        <w:tc>
          <w:tcPr>
            <w:tcW w:w="2689" w:type="dxa"/>
            <w:tcBorders>
              <w:right w:val="single" w:sz="4" w:space="0" w:color="auto"/>
            </w:tcBorders>
          </w:tcPr>
          <w:p w14:paraId="07D602C5" w14:textId="77777777" w:rsidR="00106292" w:rsidRDefault="00106292" w:rsidP="00787967">
            <w:pPr>
              <w:spacing w:line="360" w:lineRule="auto"/>
              <w:rPr>
                <w:rFonts w:cstheme="minorHAnsi"/>
              </w:rPr>
            </w:pPr>
            <w:r>
              <w:rPr>
                <w:rFonts w:cstheme="minorHAnsi"/>
              </w:rPr>
              <w:t>MRC</w:t>
            </w:r>
          </w:p>
        </w:tc>
        <w:tc>
          <w:tcPr>
            <w:tcW w:w="1193" w:type="dxa"/>
            <w:tcBorders>
              <w:left w:val="single" w:sz="4" w:space="0" w:color="auto"/>
            </w:tcBorders>
          </w:tcPr>
          <w:p w14:paraId="3834F67D" w14:textId="77777777" w:rsidR="00106292" w:rsidRDefault="00106292" w:rsidP="00787967">
            <w:pPr>
              <w:spacing w:line="360" w:lineRule="auto"/>
              <w:jc w:val="center"/>
            </w:pPr>
          </w:p>
        </w:tc>
        <w:tc>
          <w:tcPr>
            <w:tcW w:w="1245" w:type="dxa"/>
          </w:tcPr>
          <w:p w14:paraId="62E0F8B8" w14:textId="77777777" w:rsidR="00106292" w:rsidRDefault="00106292" w:rsidP="00787967">
            <w:pPr>
              <w:spacing w:line="360" w:lineRule="auto"/>
              <w:jc w:val="center"/>
            </w:pPr>
          </w:p>
        </w:tc>
        <w:tc>
          <w:tcPr>
            <w:tcW w:w="1175" w:type="dxa"/>
            <w:tcBorders>
              <w:right w:val="single" w:sz="4" w:space="0" w:color="auto"/>
            </w:tcBorders>
          </w:tcPr>
          <w:p w14:paraId="6BB2867B" w14:textId="77777777" w:rsidR="00106292" w:rsidRDefault="00106292" w:rsidP="00787967">
            <w:pPr>
              <w:spacing w:line="360" w:lineRule="auto"/>
            </w:pPr>
            <w:r>
              <w:t>&lt;0.0001</w:t>
            </w:r>
          </w:p>
        </w:tc>
        <w:tc>
          <w:tcPr>
            <w:tcW w:w="1246" w:type="dxa"/>
            <w:tcBorders>
              <w:left w:val="single" w:sz="4" w:space="0" w:color="auto"/>
            </w:tcBorders>
          </w:tcPr>
          <w:p w14:paraId="3ADDFC25" w14:textId="77777777" w:rsidR="00106292" w:rsidRDefault="00106292" w:rsidP="00787967">
            <w:pPr>
              <w:spacing w:line="360" w:lineRule="auto"/>
              <w:jc w:val="center"/>
            </w:pPr>
          </w:p>
        </w:tc>
        <w:tc>
          <w:tcPr>
            <w:tcW w:w="1199" w:type="dxa"/>
          </w:tcPr>
          <w:p w14:paraId="711EDACD" w14:textId="77777777" w:rsidR="00106292" w:rsidRDefault="00106292" w:rsidP="00787967">
            <w:pPr>
              <w:spacing w:line="360" w:lineRule="auto"/>
              <w:jc w:val="center"/>
            </w:pPr>
          </w:p>
        </w:tc>
        <w:tc>
          <w:tcPr>
            <w:tcW w:w="969" w:type="dxa"/>
          </w:tcPr>
          <w:p w14:paraId="47BCCFA0" w14:textId="77777777" w:rsidR="00106292" w:rsidRDefault="00106292" w:rsidP="00787967">
            <w:pPr>
              <w:spacing w:line="360" w:lineRule="auto"/>
            </w:pPr>
            <w:r>
              <w:t>0.001</w:t>
            </w:r>
          </w:p>
        </w:tc>
      </w:tr>
      <w:tr w:rsidR="00106292" w14:paraId="1CABF6FE" w14:textId="77777777" w:rsidTr="00255038">
        <w:tc>
          <w:tcPr>
            <w:tcW w:w="2689" w:type="dxa"/>
            <w:tcBorders>
              <w:right w:val="single" w:sz="4" w:space="0" w:color="auto"/>
            </w:tcBorders>
          </w:tcPr>
          <w:p w14:paraId="1937F4EC" w14:textId="77777777" w:rsidR="00106292" w:rsidRDefault="00106292" w:rsidP="00787967">
            <w:pPr>
              <w:spacing w:line="360" w:lineRule="auto"/>
              <w:rPr>
                <w:rFonts w:cstheme="minorHAnsi"/>
              </w:rPr>
            </w:pPr>
            <w:r>
              <w:rPr>
                <w:rFonts w:cstheme="minorHAnsi"/>
              </w:rPr>
              <w:t xml:space="preserve">   0</w:t>
            </w:r>
          </w:p>
        </w:tc>
        <w:tc>
          <w:tcPr>
            <w:tcW w:w="1193" w:type="dxa"/>
            <w:tcBorders>
              <w:left w:val="single" w:sz="4" w:space="0" w:color="auto"/>
            </w:tcBorders>
          </w:tcPr>
          <w:p w14:paraId="12BBB391" w14:textId="77777777" w:rsidR="00106292" w:rsidRDefault="00106292" w:rsidP="00787967">
            <w:pPr>
              <w:spacing w:line="360" w:lineRule="auto"/>
              <w:jc w:val="center"/>
            </w:pPr>
            <w:r>
              <w:t>60.4</w:t>
            </w:r>
          </w:p>
        </w:tc>
        <w:tc>
          <w:tcPr>
            <w:tcW w:w="1245" w:type="dxa"/>
          </w:tcPr>
          <w:p w14:paraId="45E46D22" w14:textId="77777777" w:rsidR="00106292" w:rsidRDefault="00106292" w:rsidP="00787967">
            <w:pPr>
              <w:spacing w:line="360" w:lineRule="auto"/>
              <w:jc w:val="center"/>
            </w:pPr>
            <w:r>
              <w:t>43.5</w:t>
            </w:r>
          </w:p>
        </w:tc>
        <w:tc>
          <w:tcPr>
            <w:tcW w:w="1175" w:type="dxa"/>
            <w:tcBorders>
              <w:right w:val="single" w:sz="4" w:space="0" w:color="auto"/>
            </w:tcBorders>
          </w:tcPr>
          <w:p w14:paraId="673B98AD" w14:textId="77777777" w:rsidR="00106292" w:rsidRDefault="00106292" w:rsidP="00787967">
            <w:pPr>
              <w:spacing w:line="360" w:lineRule="auto"/>
            </w:pPr>
          </w:p>
        </w:tc>
        <w:tc>
          <w:tcPr>
            <w:tcW w:w="1246" w:type="dxa"/>
            <w:tcBorders>
              <w:left w:val="single" w:sz="4" w:space="0" w:color="auto"/>
            </w:tcBorders>
          </w:tcPr>
          <w:p w14:paraId="745D1131" w14:textId="77777777" w:rsidR="00106292" w:rsidRDefault="00106292" w:rsidP="00787967">
            <w:pPr>
              <w:spacing w:line="360" w:lineRule="auto"/>
              <w:jc w:val="center"/>
            </w:pPr>
            <w:r>
              <w:t>58.9</w:t>
            </w:r>
          </w:p>
        </w:tc>
        <w:tc>
          <w:tcPr>
            <w:tcW w:w="1199" w:type="dxa"/>
          </w:tcPr>
          <w:p w14:paraId="316977AB" w14:textId="77777777" w:rsidR="00106292" w:rsidRDefault="00106292" w:rsidP="00787967">
            <w:pPr>
              <w:spacing w:line="360" w:lineRule="auto"/>
              <w:jc w:val="center"/>
            </w:pPr>
            <w:r>
              <w:t>46.2</w:t>
            </w:r>
          </w:p>
        </w:tc>
        <w:tc>
          <w:tcPr>
            <w:tcW w:w="969" w:type="dxa"/>
          </w:tcPr>
          <w:p w14:paraId="3620A022" w14:textId="77777777" w:rsidR="00106292" w:rsidRDefault="00106292" w:rsidP="00787967">
            <w:pPr>
              <w:spacing w:line="360" w:lineRule="auto"/>
            </w:pPr>
          </w:p>
        </w:tc>
      </w:tr>
      <w:tr w:rsidR="00106292" w14:paraId="5BF0745E" w14:textId="77777777" w:rsidTr="00255038">
        <w:tc>
          <w:tcPr>
            <w:tcW w:w="2689" w:type="dxa"/>
            <w:tcBorders>
              <w:right w:val="single" w:sz="4" w:space="0" w:color="auto"/>
            </w:tcBorders>
          </w:tcPr>
          <w:p w14:paraId="0C2F426C" w14:textId="77777777" w:rsidR="00106292" w:rsidRDefault="00106292" w:rsidP="00787967">
            <w:pPr>
              <w:spacing w:line="360" w:lineRule="auto"/>
              <w:rPr>
                <w:rFonts w:cstheme="minorHAnsi"/>
              </w:rPr>
            </w:pPr>
            <w:r>
              <w:rPr>
                <w:rFonts w:cstheme="minorHAnsi"/>
              </w:rPr>
              <w:t xml:space="preserve">   1</w:t>
            </w:r>
          </w:p>
        </w:tc>
        <w:tc>
          <w:tcPr>
            <w:tcW w:w="1193" w:type="dxa"/>
            <w:tcBorders>
              <w:left w:val="single" w:sz="4" w:space="0" w:color="auto"/>
            </w:tcBorders>
          </w:tcPr>
          <w:p w14:paraId="0C13DC0A" w14:textId="77777777" w:rsidR="00106292" w:rsidRDefault="00106292" w:rsidP="00787967">
            <w:pPr>
              <w:spacing w:line="360" w:lineRule="auto"/>
              <w:jc w:val="center"/>
            </w:pPr>
            <w:r>
              <w:t>24.6</w:t>
            </w:r>
          </w:p>
        </w:tc>
        <w:tc>
          <w:tcPr>
            <w:tcW w:w="1245" w:type="dxa"/>
          </w:tcPr>
          <w:p w14:paraId="70ED24F3" w14:textId="77777777" w:rsidR="00106292" w:rsidRDefault="00106292" w:rsidP="00787967">
            <w:pPr>
              <w:spacing w:line="360" w:lineRule="auto"/>
              <w:jc w:val="center"/>
            </w:pPr>
            <w:r>
              <w:t>31.3</w:t>
            </w:r>
          </w:p>
        </w:tc>
        <w:tc>
          <w:tcPr>
            <w:tcW w:w="1175" w:type="dxa"/>
            <w:tcBorders>
              <w:right w:val="single" w:sz="4" w:space="0" w:color="auto"/>
            </w:tcBorders>
          </w:tcPr>
          <w:p w14:paraId="54AF7CC1" w14:textId="77777777" w:rsidR="00106292" w:rsidRDefault="00106292" w:rsidP="00787967">
            <w:pPr>
              <w:spacing w:line="360" w:lineRule="auto"/>
            </w:pPr>
          </w:p>
        </w:tc>
        <w:tc>
          <w:tcPr>
            <w:tcW w:w="1246" w:type="dxa"/>
            <w:tcBorders>
              <w:left w:val="single" w:sz="4" w:space="0" w:color="auto"/>
            </w:tcBorders>
          </w:tcPr>
          <w:p w14:paraId="6B51E954" w14:textId="77777777" w:rsidR="00106292" w:rsidRDefault="00106292" w:rsidP="00787967">
            <w:pPr>
              <w:spacing w:line="360" w:lineRule="auto"/>
              <w:jc w:val="center"/>
            </w:pPr>
            <w:r>
              <w:t>25.8</w:t>
            </w:r>
          </w:p>
        </w:tc>
        <w:tc>
          <w:tcPr>
            <w:tcW w:w="1199" w:type="dxa"/>
          </w:tcPr>
          <w:p w14:paraId="407126F7" w14:textId="77777777" w:rsidR="00106292" w:rsidRDefault="00106292" w:rsidP="00787967">
            <w:pPr>
              <w:spacing w:line="360" w:lineRule="auto"/>
              <w:jc w:val="center"/>
            </w:pPr>
            <w:r>
              <w:t>29.4</w:t>
            </w:r>
          </w:p>
        </w:tc>
        <w:tc>
          <w:tcPr>
            <w:tcW w:w="969" w:type="dxa"/>
          </w:tcPr>
          <w:p w14:paraId="4FF0977D" w14:textId="77777777" w:rsidR="00106292" w:rsidRDefault="00106292" w:rsidP="00787967">
            <w:pPr>
              <w:spacing w:line="360" w:lineRule="auto"/>
            </w:pPr>
          </w:p>
        </w:tc>
      </w:tr>
      <w:tr w:rsidR="00106292" w14:paraId="22E5F7BE" w14:textId="77777777" w:rsidTr="00255038">
        <w:tc>
          <w:tcPr>
            <w:tcW w:w="2689" w:type="dxa"/>
            <w:tcBorders>
              <w:right w:val="single" w:sz="4" w:space="0" w:color="auto"/>
            </w:tcBorders>
          </w:tcPr>
          <w:p w14:paraId="32AD31CF" w14:textId="77777777" w:rsidR="00106292" w:rsidRDefault="00106292" w:rsidP="00787967">
            <w:pPr>
              <w:spacing w:line="360" w:lineRule="auto"/>
              <w:rPr>
                <w:rFonts w:cstheme="minorHAnsi"/>
              </w:rPr>
            </w:pPr>
            <w:r>
              <w:rPr>
                <w:rFonts w:cstheme="minorHAnsi"/>
              </w:rPr>
              <w:t xml:space="preserve">   2</w:t>
            </w:r>
          </w:p>
        </w:tc>
        <w:tc>
          <w:tcPr>
            <w:tcW w:w="1193" w:type="dxa"/>
            <w:tcBorders>
              <w:left w:val="single" w:sz="4" w:space="0" w:color="auto"/>
            </w:tcBorders>
          </w:tcPr>
          <w:p w14:paraId="395CAF1C" w14:textId="77777777" w:rsidR="00106292" w:rsidRDefault="00106292" w:rsidP="00787967">
            <w:pPr>
              <w:spacing w:line="360" w:lineRule="auto"/>
              <w:jc w:val="center"/>
            </w:pPr>
            <w:r>
              <w:t>4.3</w:t>
            </w:r>
          </w:p>
        </w:tc>
        <w:tc>
          <w:tcPr>
            <w:tcW w:w="1245" w:type="dxa"/>
          </w:tcPr>
          <w:p w14:paraId="33B6A801" w14:textId="77777777" w:rsidR="00106292" w:rsidRDefault="00106292" w:rsidP="00787967">
            <w:pPr>
              <w:spacing w:line="360" w:lineRule="auto"/>
              <w:jc w:val="center"/>
            </w:pPr>
            <w:r>
              <w:t>4.9</w:t>
            </w:r>
          </w:p>
        </w:tc>
        <w:tc>
          <w:tcPr>
            <w:tcW w:w="1175" w:type="dxa"/>
            <w:tcBorders>
              <w:right w:val="single" w:sz="4" w:space="0" w:color="auto"/>
            </w:tcBorders>
          </w:tcPr>
          <w:p w14:paraId="0157F83F" w14:textId="77777777" w:rsidR="00106292" w:rsidRDefault="00106292" w:rsidP="00787967">
            <w:pPr>
              <w:spacing w:line="360" w:lineRule="auto"/>
            </w:pPr>
          </w:p>
        </w:tc>
        <w:tc>
          <w:tcPr>
            <w:tcW w:w="1246" w:type="dxa"/>
            <w:tcBorders>
              <w:left w:val="single" w:sz="4" w:space="0" w:color="auto"/>
            </w:tcBorders>
          </w:tcPr>
          <w:p w14:paraId="26DB401C" w14:textId="77777777" w:rsidR="00106292" w:rsidRDefault="00106292" w:rsidP="00787967">
            <w:pPr>
              <w:spacing w:line="360" w:lineRule="auto"/>
              <w:jc w:val="center"/>
            </w:pPr>
            <w:r>
              <w:t>4.4</w:t>
            </w:r>
          </w:p>
        </w:tc>
        <w:tc>
          <w:tcPr>
            <w:tcW w:w="1199" w:type="dxa"/>
          </w:tcPr>
          <w:p w14:paraId="443746FE" w14:textId="77777777" w:rsidR="00106292" w:rsidRDefault="00106292" w:rsidP="00787967">
            <w:pPr>
              <w:spacing w:line="360" w:lineRule="auto"/>
              <w:jc w:val="center"/>
            </w:pPr>
            <w:r>
              <w:t>5.5</w:t>
            </w:r>
          </w:p>
        </w:tc>
        <w:tc>
          <w:tcPr>
            <w:tcW w:w="969" w:type="dxa"/>
          </w:tcPr>
          <w:p w14:paraId="17AB54EE" w14:textId="77777777" w:rsidR="00106292" w:rsidRDefault="00106292" w:rsidP="00787967">
            <w:pPr>
              <w:spacing w:line="360" w:lineRule="auto"/>
            </w:pPr>
          </w:p>
        </w:tc>
      </w:tr>
      <w:tr w:rsidR="00106292" w14:paraId="25499388" w14:textId="77777777" w:rsidTr="00255038">
        <w:tc>
          <w:tcPr>
            <w:tcW w:w="2689" w:type="dxa"/>
            <w:tcBorders>
              <w:right w:val="single" w:sz="4" w:space="0" w:color="auto"/>
            </w:tcBorders>
          </w:tcPr>
          <w:p w14:paraId="6B5E0039" w14:textId="77777777" w:rsidR="00106292" w:rsidRDefault="00106292" w:rsidP="00787967">
            <w:pPr>
              <w:spacing w:line="360" w:lineRule="auto"/>
              <w:rPr>
                <w:rFonts w:cstheme="minorHAnsi"/>
              </w:rPr>
            </w:pPr>
            <w:r>
              <w:rPr>
                <w:rFonts w:cstheme="minorHAnsi"/>
              </w:rPr>
              <w:t xml:space="preserve">   3 or 4</w:t>
            </w:r>
          </w:p>
        </w:tc>
        <w:tc>
          <w:tcPr>
            <w:tcW w:w="1193" w:type="dxa"/>
            <w:tcBorders>
              <w:left w:val="single" w:sz="4" w:space="0" w:color="auto"/>
            </w:tcBorders>
          </w:tcPr>
          <w:p w14:paraId="103B807F" w14:textId="77777777" w:rsidR="00106292" w:rsidRDefault="00106292" w:rsidP="00787967">
            <w:pPr>
              <w:spacing w:line="360" w:lineRule="auto"/>
              <w:jc w:val="center"/>
            </w:pPr>
            <w:r>
              <w:t>10.6</w:t>
            </w:r>
          </w:p>
        </w:tc>
        <w:tc>
          <w:tcPr>
            <w:tcW w:w="1245" w:type="dxa"/>
          </w:tcPr>
          <w:p w14:paraId="55BD504B" w14:textId="77777777" w:rsidR="00106292" w:rsidRDefault="00106292" w:rsidP="00787967">
            <w:pPr>
              <w:spacing w:line="360" w:lineRule="auto"/>
              <w:jc w:val="center"/>
            </w:pPr>
            <w:r>
              <w:t>20.3</w:t>
            </w:r>
          </w:p>
        </w:tc>
        <w:tc>
          <w:tcPr>
            <w:tcW w:w="1175" w:type="dxa"/>
            <w:tcBorders>
              <w:right w:val="single" w:sz="4" w:space="0" w:color="auto"/>
            </w:tcBorders>
          </w:tcPr>
          <w:p w14:paraId="5ABE2403" w14:textId="77777777" w:rsidR="00106292" w:rsidRDefault="00106292" w:rsidP="00787967">
            <w:pPr>
              <w:spacing w:line="360" w:lineRule="auto"/>
            </w:pPr>
          </w:p>
        </w:tc>
        <w:tc>
          <w:tcPr>
            <w:tcW w:w="1246" w:type="dxa"/>
            <w:tcBorders>
              <w:left w:val="single" w:sz="4" w:space="0" w:color="auto"/>
            </w:tcBorders>
          </w:tcPr>
          <w:p w14:paraId="4B786DF7" w14:textId="77777777" w:rsidR="00106292" w:rsidRDefault="00106292" w:rsidP="00787967">
            <w:pPr>
              <w:spacing w:line="360" w:lineRule="auto"/>
              <w:jc w:val="center"/>
            </w:pPr>
            <w:r>
              <w:t>10.9</w:t>
            </w:r>
          </w:p>
        </w:tc>
        <w:tc>
          <w:tcPr>
            <w:tcW w:w="1199" w:type="dxa"/>
          </w:tcPr>
          <w:p w14:paraId="661F85A1" w14:textId="77777777" w:rsidR="00106292" w:rsidRDefault="00106292" w:rsidP="00787967">
            <w:pPr>
              <w:spacing w:line="360" w:lineRule="auto"/>
              <w:jc w:val="center"/>
            </w:pPr>
            <w:r>
              <w:t>18.9</w:t>
            </w:r>
          </w:p>
        </w:tc>
        <w:tc>
          <w:tcPr>
            <w:tcW w:w="969" w:type="dxa"/>
          </w:tcPr>
          <w:p w14:paraId="625656B7" w14:textId="77777777" w:rsidR="00106292" w:rsidRDefault="00106292" w:rsidP="00787967">
            <w:pPr>
              <w:spacing w:line="360" w:lineRule="auto"/>
            </w:pPr>
          </w:p>
        </w:tc>
      </w:tr>
      <w:tr w:rsidR="00106292" w14:paraId="291864F5" w14:textId="77777777" w:rsidTr="00255038">
        <w:tc>
          <w:tcPr>
            <w:tcW w:w="2689" w:type="dxa"/>
            <w:tcBorders>
              <w:right w:val="single" w:sz="4" w:space="0" w:color="auto"/>
            </w:tcBorders>
          </w:tcPr>
          <w:p w14:paraId="12AD9536" w14:textId="77777777" w:rsidR="00106292" w:rsidRDefault="00106292" w:rsidP="00787967">
            <w:pPr>
              <w:spacing w:line="360" w:lineRule="auto"/>
              <w:rPr>
                <w:rFonts w:cstheme="minorHAnsi"/>
              </w:rPr>
            </w:pPr>
            <w:r>
              <w:rPr>
                <w:rFonts w:cstheme="minorHAnsi"/>
              </w:rPr>
              <w:t>SF12*</w:t>
            </w:r>
          </w:p>
        </w:tc>
        <w:tc>
          <w:tcPr>
            <w:tcW w:w="1193" w:type="dxa"/>
            <w:tcBorders>
              <w:left w:val="single" w:sz="4" w:space="0" w:color="auto"/>
            </w:tcBorders>
          </w:tcPr>
          <w:p w14:paraId="2841F310" w14:textId="77777777" w:rsidR="00106292" w:rsidRDefault="00106292" w:rsidP="00787967">
            <w:pPr>
              <w:spacing w:line="360" w:lineRule="auto"/>
              <w:jc w:val="center"/>
            </w:pPr>
          </w:p>
        </w:tc>
        <w:tc>
          <w:tcPr>
            <w:tcW w:w="1245" w:type="dxa"/>
          </w:tcPr>
          <w:p w14:paraId="05167A5E" w14:textId="77777777" w:rsidR="00106292" w:rsidRDefault="00106292" w:rsidP="00787967">
            <w:pPr>
              <w:spacing w:line="360" w:lineRule="auto"/>
              <w:jc w:val="center"/>
            </w:pPr>
          </w:p>
        </w:tc>
        <w:tc>
          <w:tcPr>
            <w:tcW w:w="1175" w:type="dxa"/>
            <w:tcBorders>
              <w:right w:val="single" w:sz="4" w:space="0" w:color="auto"/>
            </w:tcBorders>
          </w:tcPr>
          <w:p w14:paraId="4A611B8D" w14:textId="77777777" w:rsidR="00106292" w:rsidRDefault="00106292" w:rsidP="00787967">
            <w:pPr>
              <w:spacing w:line="360" w:lineRule="auto"/>
            </w:pPr>
          </w:p>
        </w:tc>
        <w:tc>
          <w:tcPr>
            <w:tcW w:w="1246" w:type="dxa"/>
            <w:tcBorders>
              <w:left w:val="single" w:sz="4" w:space="0" w:color="auto"/>
            </w:tcBorders>
          </w:tcPr>
          <w:p w14:paraId="0A6ABAEE" w14:textId="77777777" w:rsidR="00106292" w:rsidRDefault="00106292" w:rsidP="00787967">
            <w:pPr>
              <w:spacing w:line="360" w:lineRule="auto"/>
              <w:jc w:val="center"/>
            </w:pPr>
          </w:p>
        </w:tc>
        <w:tc>
          <w:tcPr>
            <w:tcW w:w="1199" w:type="dxa"/>
          </w:tcPr>
          <w:p w14:paraId="3B91F39C" w14:textId="77777777" w:rsidR="00106292" w:rsidRDefault="00106292" w:rsidP="00787967">
            <w:pPr>
              <w:spacing w:line="360" w:lineRule="auto"/>
              <w:jc w:val="center"/>
            </w:pPr>
          </w:p>
        </w:tc>
        <w:tc>
          <w:tcPr>
            <w:tcW w:w="969" w:type="dxa"/>
          </w:tcPr>
          <w:p w14:paraId="693B7585" w14:textId="77777777" w:rsidR="00106292" w:rsidRDefault="00106292" w:rsidP="00787967">
            <w:pPr>
              <w:spacing w:line="360" w:lineRule="auto"/>
            </w:pPr>
          </w:p>
        </w:tc>
      </w:tr>
      <w:tr w:rsidR="00106292" w14:paraId="59938D93" w14:textId="77777777" w:rsidTr="00255038">
        <w:tc>
          <w:tcPr>
            <w:tcW w:w="2689" w:type="dxa"/>
            <w:tcBorders>
              <w:right w:val="single" w:sz="4" w:space="0" w:color="auto"/>
            </w:tcBorders>
          </w:tcPr>
          <w:p w14:paraId="27E5C53A" w14:textId="77777777" w:rsidR="00106292" w:rsidRDefault="00106292" w:rsidP="00787967">
            <w:pPr>
              <w:spacing w:line="360" w:lineRule="auto"/>
              <w:rPr>
                <w:rFonts w:cstheme="minorHAnsi"/>
              </w:rPr>
            </w:pPr>
            <w:r>
              <w:rPr>
                <w:rFonts w:cstheme="minorHAnsi"/>
              </w:rPr>
              <w:t xml:space="preserve">   mcs12</w:t>
            </w:r>
          </w:p>
        </w:tc>
        <w:tc>
          <w:tcPr>
            <w:tcW w:w="1193" w:type="dxa"/>
            <w:tcBorders>
              <w:left w:val="single" w:sz="4" w:space="0" w:color="auto"/>
            </w:tcBorders>
          </w:tcPr>
          <w:p w14:paraId="34CBFAB8" w14:textId="77777777" w:rsidR="00106292" w:rsidRDefault="00106292" w:rsidP="00787967">
            <w:pPr>
              <w:spacing w:line="360" w:lineRule="auto"/>
              <w:jc w:val="center"/>
            </w:pPr>
            <w:r>
              <w:t>50.5±10.2</w:t>
            </w:r>
          </w:p>
        </w:tc>
        <w:tc>
          <w:tcPr>
            <w:tcW w:w="1245" w:type="dxa"/>
          </w:tcPr>
          <w:p w14:paraId="105E249C" w14:textId="77777777" w:rsidR="00106292" w:rsidRDefault="00106292" w:rsidP="00787967">
            <w:pPr>
              <w:spacing w:line="360" w:lineRule="auto"/>
              <w:jc w:val="center"/>
            </w:pPr>
            <w:r>
              <w:t>49.2±11.0</w:t>
            </w:r>
          </w:p>
        </w:tc>
        <w:tc>
          <w:tcPr>
            <w:tcW w:w="1175" w:type="dxa"/>
            <w:tcBorders>
              <w:right w:val="single" w:sz="4" w:space="0" w:color="auto"/>
            </w:tcBorders>
          </w:tcPr>
          <w:p w14:paraId="06AF3E41" w14:textId="77777777" w:rsidR="00106292" w:rsidRDefault="00106292" w:rsidP="00787967">
            <w:pPr>
              <w:spacing w:line="360" w:lineRule="auto"/>
            </w:pPr>
            <w:r>
              <w:t>0.12</w:t>
            </w:r>
          </w:p>
        </w:tc>
        <w:tc>
          <w:tcPr>
            <w:tcW w:w="1246" w:type="dxa"/>
            <w:tcBorders>
              <w:left w:val="single" w:sz="4" w:space="0" w:color="auto"/>
            </w:tcBorders>
          </w:tcPr>
          <w:p w14:paraId="0BF40554" w14:textId="77777777" w:rsidR="00106292" w:rsidRDefault="00106292" w:rsidP="00787967">
            <w:pPr>
              <w:spacing w:line="360" w:lineRule="auto"/>
              <w:jc w:val="center"/>
            </w:pPr>
            <w:r>
              <w:t>50.5±10.0</w:t>
            </w:r>
          </w:p>
        </w:tc>
        <w:tc>
          <w:tcPr>
            <w:tcW w:w="1199" w:type="dxa"/>
          </w:tcPr>
          <w:p w14:paraId="2B7D2675" w14:textId="77777777" w:rsidR="00106292" w:rsidRDefault="00106292" w:rsidP="00787967">
            <w:pPr>
              <w:spacing w:line="360" w:lineRule="auto"/>
              <w:jc w:val="center"/>
            </w:pPr>
            <w:r>
              <w:t>49.6±11.3</w:t>
            </w:r>
          </w:p>
        </w:tc>
        <w:tc>
          <w:tcPr>
            <w:tcW w:w="969" w:type="dxa"/>
          </w:tcPr>
          <w:p w14:paraId="7B392028" w14:textId="77777777" w:rsidR="00106292" w:rsidRDefault="00106292" w:rsidP="00787967">
            <w:pPr>
              <w:spacing w:line="360" w:lineRule="auto"/>
            </w:pPr>
            <w:r>
              <w:t>0.32</w:t>
            </w:r>
          </w:p>
        </w:tc>
      </w:tr>
      <w:tr w:rsidR="00106292" w14:paraId="103202CE" w14:textId="77777777" w:rsidTr="00255038">
        <w:trPr>
          <w:trHeight w:val="58"/>
        </w:trPr>
        <w:tc>
          <w:tcPr>
            <w:tcW w:w="2689" w:type="dxa"/>
            <w:tcBorders>
              <w:right w:val="single" w:sz="4" w:space="0" w:color="auto"/>
            </w:tcBorders>
          </w:tcPr>
          <w:p w14:paraId="0CAB21BD" w14:textId="77777777" w:rsidR="00106292" w:rsidRDefault="00106292" w:rsidP="00787967">
            <w:pPr>
              <w:spacing w:line="360" w:lineRule="auto"/>
              <w:rPr>
                <w:rFonts w:cstheme="minorHAnsi"/>
              </w:rPr>
            </w:pPr>
            <w:r>
              <w:rPr>
                <w:rFonts w:cstheme="minorHAnsi"/>
              </w:rPr>
              <w:t xml:space="preserve">   pcs12</w:t>
            </w:r>
          </w:p>
        </w:tc>
        <w:tc>
          <w:tcPr>
            <w:tcW w:w="1193" w:type="dxa"/>
            <w:tcBorders>
              <w:left w:val="single" w:sz="4" w:space="0" w:color="auto"/>
              <w:bottom w:val="single" w:sz="4" w:space="0" w:color="auto"/>
            </w:tcBorders>
          </w:tcPr>
          <w:p w14:paraId="1C3A0144" w14:textId="77777777" w:rsidR="00106292" w:rsidRDefault="00106292" w:rsidP="00787967">
            <w:pPr>
              <w:spacing w:line="360" w:lineRule="auto"/>
              <w:jc w:val="center"/>
            </w:pPr>
            <w:r>
              <w:t>45.1±10.2</w:t>
            </w:r>
          </w:p>
        </w:tc>
        <w:tc>
          <w:tcPr>
            <w:tcW w:w="1245" w:type="dxa"/>
            <w:tcBorders>
              <w:bottom w:val="single" w:sz="4" w:space="0" w:color="auto"/>
            </w:tcBorders>
          </w:tcPr>
          <w:p w14:paraId="784F4A9E" w14:textId="77777777" w:rsidR="00106292" w:rsidRDefault="00106292" w:rsidP="00787967">
            <w:pPr>
              <w:spacing w:line="360" w:lineRule="auto"/>
              <w:jc w:val="center"/>
            </w:pPr>
            <w:r>
              <w:t>42.2±11.0</w:t>
            </w:r>
          </w:p>
        </w:tc>
        <w:tc>
          <w:tcPr>
            <w:tcW w:w="1175" w:type="dxa"/>
            <w:tcBorders>
              <w:bottom w:val="single" w:sz="4" w:space="0" w:color="auto"/>
              <w:right w:val="single" w:sz="4" w:space="0" w:color="auto"/>
            </w:tcBorders>
          </w:tcPr>
          <w:p w14:paraId="14EE8317" w14:textId="77777777" w:rsidR="00106292" w:rsidRDefault="00106292" w:rsidP="00787967">
            <w:pPr>
              <w:spacing w:line="360" w:lineRule="auto"/>
            </w:pPr>
            <w:r>
              <w:t>0.0006</w:t>
            </w:r>
          </w:p>
        </w:tc>
        <w:tc>
          <w:tcPr>
            <w:tcW w:w="1246" w:type="dxa"/>
            <w:tcBorders>
              <w:left w:val="single" w:sz="4" w:space="0" w:color="auto"/>
            </w:tcBorders>
          </w:tcPr>
          <w:p w14:paraId="1D27CE38" w14:textId="77777777" w:rsidR="00106292" w:rsidRDefault="00106292" w:rsidP="00787967">
            <w:pPr>
              <w:spacing w:line="360" w:lineRule="auto"/>
              <w:jc w:val="center"/>
            </w:pPr>
            <w:r>
              <w:t>45.0±10.2</w:t>
            </w:r>
          </w:p>
        </w:tc>
        <w:tc>
          <w:tcPr>
            <w:tcW w:w="1199" w:type="dxa"/>
          </w:tcPr>
          <w:p w14:paraId="1B1EEB0D" w14:textId="77777777" w:rsidR="00106292" w:rsidRDefault="00106292" w:rsidP="00787967">
            <w:pPr>
              <w:spacing w:line="360" w:lineRule="auto"/>
              <w:jc w:val="center"/>
            </w:pPr>
            <w:r>
              <w:t>42.6±11.1</w:t>
            </w:r>
          </w:p>
        </w:tc>
        <w:tc>
          <w:tcPr>
            <w:tcW w:w="969" w:type="dxa"/>
          </w:tcPr>
          <w:p w14:paraId="0C2C07C0" w14:textId="77777777" w:rsidR="00106292" w:rsidRDefault="00106292" w:rsidP="00787967">
            <w:pPr>
              <w:spacing w:line="360" w:lineRule="auto"/>
            </w:pPr>
            <w:r>
              <w:t>0.005</w:t>
            </w:r>
          </w:p>
        </w:tc>
      </w:tr>
    </w:tbl>
    <w:p w14:paraId="69A25932" w14:textId="77777777" w:rsidR="00106292" w:rsidRDefault="00106292" w:rsidP="00106292"/>
    <w:p w14:paraId="1444D47E" w14:textId="231455EA" w:rsidR="00106292" w:rsidRPr="00467904" w:rsidRDefault="00106292" w:rsidP="00106292">
      <w:pPr>
        <w:rPr>
          <w:lang w:val="en-GB"/>
        </w:rPr>
      </w:pPr>
      <w:r>
        <w:rPr>
          <w:lang w:val="en-GB"/>
        </w:rPr>
        <w:t>*available for 839 part</w:t>
      </w:r>
      <w:r w:rsidR="009C6FAD">
        <w:rPr>
          <w:lang w:val="en-GB"/>
        </w:rPr>
        <w:t>i</w:t>
      </w:r>
      <w:r>
        <w:rPr>
          <w:lang w:val="en-GB"/>
        </w:rPr>
        <w:t>cipants</w:t>
      </w:r>
    </w:p>
    <w:p w14:paraId="12267CB0" w14:textId="77777777" w:rsidR="00106292" w:rsidRDefault="00106292">
      <w:pPr>
        <w:spacing w:after="200" w:line="276" w:lineRule="auto"/>
        <w:rPr>
          <w:lang w:val="en-GB"/>
        </w:rPr>
      </w:pPr>
      <w:r>
        <w:rPr>
          <w:lang w:val="en-GB"/>
        </w:rPr>
        <w:br w:type="page"/>
      </w:r>
    </w:p>
    <w:p w14:paraId="07A37B86" w14:textId="2AEDDEB8" w:rsidR="002910B6" w:rsidRPr="00F752F2" w:rsidRDefault="00F752F2" w:rsidP="002910B6">
      <w:pPr>
        <w:spacing w:line="360" w:lineRule="auto"/>
        <w:ind w:right="-993"/>
        <w:rPr>
          <w:sz w:val="24"/>
          <w:szCs w:val="24"/>
          <w:lang w:val="en-GB"/>
        </w:rPr>
      </w:pPr>
      <w:r w:rsidRPr="00F752F2">
        <w:rPr>
          <w:b/>
          <w:sz w:val="24"/>
          <w:szCs w:val="24"/>
          <w:lang w:val="en-GB"/>
        </w:rPr>
        <w:t xml:space="preserve">Table </w:t>
      </w:r>
      <w:r w:rsidR="00950EC3">
        <w:rPr>
          <w:b/>
          <w:sz w:val="24"/>
          <w:szCs w:val="24"/>
          <w:lang w:val="en-GB"/>
        </w:rPr>
        <w:t>5.</w:t>
      </w:r>
      <w:r w:rsidRPr="00F752F2">
        <w:rPr>
          <w:sz w:val="24"/>
          <w:szCs w:val="24"/>
          <w:lang w:val="en-GB"/>
        </w:rPr>
        <w:t xml:space="preserve"> Determinants of bronchodilator reversibility </w:t>
      </w:r>
      <w:r w:rsidR="00950EC3">
        <w:rPr>
          <w:sz w:val="24"/>
          <w:szCs w:val="24"/>
          <w:lang w:val="en-GB"/>
        </w:rPr>
        <w:t>in subject with COPD</w:t>
      </w:r>
      <w:r w:rsidRPr="00F752F2">
        <w:rPr>
          <w:sz w:val="24"/>
          <w:szCs w:val="24"/>
          <w:lang w:val="en-GB"/>
        </w:rPr>
        <w:t xml:space="preserve"> measured as adjusted* odds ratio (95 % confidence interval)</w:t>
      </w:r>
      <w:r w:rsidR="002910B6">
        <w:rPr>
          <w:sz w:val="24"/>
          <w:szCs w:val="24"/>
          <w:lang w:val="en-GB"/>
        </w:rPr>
        <w:t xml:space="preserve"> (Statistically significant associations are marked with bold </w:t>
      </w:r>
      <w:r w:rsidR="002D4F40">
        <w:rPr>
          <w:sz w:val="24"/>
          <w:szCs w:val="24"/>
          <w:lang w:val="en-GB"/>
        </w:rPr>
        <w:t>font</w:t>
      </w:r>
      <w:r w:rsidR="002910B6">
        <w:rPr>
          <w:sz w:val="24"/>
          <w:szCs w:val="24"/>
          <w:lang w:val="en-GB"/>
        </w:rPr>
        <w:t>).</w:t>
      </w:r>
    </w:p>
    <w:p w14:paraId="399BF042" w14:textId="5CE350E7" w:rsidR="00F752F2" w:rsidRPr="00F752F2" w:rsidRDefault="00F752F2" w:rsidP="00950EC3">
      <w:pPr>
        <w:spacing w:line="360" w:lineRule="auto"/>
        <w:ind w:right="-993"/>
        <w:rPr>
          <w:sz w:val="24"/>
          <w:szCs w:val="24"/>
          <w:lang w:val="en-GB"/>
        </w:rPr>
      </w:pPr>
    </w:p>
    <w:p w14:paraId="233E6E31" w14:textId="77777777" w:rsidR="00106292" w:rsidRPr="00F752F2" w:rsidRDefault="00106292" w:rsidP="00950EC3">
      <w:pPr>
        <w:spacing w:line="360" w:lineRule="auto"/>
        <w:rPr>
          <w:lang w:val="en-GB"/>
        </w:rPr>
      </w:pPr>
    </w:p>
    <w:tbl>
      <w:tblPr>
        <w:tblStyle w:val="TableGrid"/>
        <w:tblW w:w="9919" w:type="dxa"/>
        <w:tblBorders>
          <w:insideH w:val="none" w:sz="0" w:space="0" w:color="auto"/>
          <w:insideV w:val="none" w:sz="0" w:space="0" w:color="auto"/>
        </w:tblBorders>
        <w:tblLook w:val="04A0" w:firstRow="1" w:lastRow="0" w:firstColumn="1" w:lastColumn="0" w:noHBand="0" w:noVBand="1"/>
      </w:tblPr>
      <w:tblGrid>
        <w:gridCol w:w="2405"/>
        <w:gridCol w:w="1843"/>
        <w:gridCol w:w="1984"/>
        <w:gridCol w:w="1844"/>
        <w:gridCol w:w="1843"/>
      </w:tblGrid>
      <w:tr w:rsidR="00106292" w14:paraId="0CFFFC89" w14:textId="77777777" w:rsidTr="00255038">
        <w:tc>
          <w:tcPr>
            <w:tcW w:w="2405" w:type="dxa"/>
            <w:tcBorders>
              <w:top w:val="single" w:sz="4" w:space="0" w:color="auto"/>
              <w:bottom w:val="nil"/>
              <w:right w:val="single" w:sz="4" w:space="0" w:color="auto"/>
            </w:tcBorders>
          </w:tcPr>
          <w:p w14:paraId="2D1625B1" w14:textId="77777777" w:rsidR="00106292" w:rsidRPr="00F752F2" w:rsidRDefault="00106292" w:rsidP="00255038">
            <w:pPr>
              <w:spacing w:line="276" w:lineRule="auto"/>
              <w:rPr>
                <w:lang w:val="en-GB"/>
              </w:rPr>
            </w:pPr>
          </w:p>
        </w:tc>
        <w:tc>
          <w:tcPr>
            <w:tcW w:w="3827" w:type="dxa"/>
            <w:gridSpan w:val="2"/>
            <w:tcBorders>
              <w:top w:val="single" w:sz="4" w:space="0" w:color="auto"/>
              <w:left w:val="single" w:sz="4" w:space="0" w:color="auto"/>
              <w:bottom w:val="nil"/>
              <w:right w:val="single" w:sz="4" w:space="0" w:color="auto"/>
            </w:tcBorders>
          </w:tcPr>
          <w:p w14:paraId="45B0D39D" w14:textId="1EF021CB" w:rsidR="00106292" w:rsidRDefault="007451B9" w:rsidP="00255038">
            <w:pPr>
              <w:spacing w:line="276" w:lineRule="auto"/>
              <w:jc w:val="center"/>
            </w:pPr>
            <w:r>
              <w:t>Δ</w:t>
            </w:r>
            <w:r w:rsidR="00106292">
              <w:t>FEV1</w:t>
            </w:r>
          </w:p>
        </w:tc>
        <w:tc>
          <w:tcPr>
            <w:tcW w:w="3687" w:type="dxa"/>
            <w:gridSpan w:val="2"/>
            <w:tcBorders>
              <w:top w:val="single" w:sz="4" w:space="0" w:color="auto"/>
              <w:left w:val="single" w:sz="4" w:space="0" w:color="auto"/>
              <w:bottom w:val="nil"/>
            </w:tcBorders>
          </w:tcPr>
          <w:p w14:paraId="2BB2FF7C" w14:textId="6300F235" w:rsidR="00106292" w:rsidRDefault="007451B9" w:rsidP="00255038">
            <w:pPr>
              <w:spacing w:line="276" w:lineRule="auto"/>
              <w:jc w:val="center"/>
            </w:pPr>
            <w:r>
              <w:t>Δ</w:t>
            </w:r>
            <w:r w:rsidR="00106292">
              <w:t>FVC</w:t>
            </w:r>
          </w:p>
        </w:tc>
      </w:tr>
      <w:tr w:rsidR="00106292" w14:paraId="28324B65" w14:textId="77777777" w:rsidTr="005766E3">
        <w:tc>
          <w:tcPr>
            <w:tcW w:w="2405" w:type="dxa"/>
            <w:tcBorders>
              <w:top w:val="nil"/>
              <w:bottom w:val="single" w:sz="4" w:space="0" w:color="auto"/>
              <w:right w:val="single" w:sz="4" w:space="0" w:color="auto"/>
            </w:tcBorders>
          </w:tcPr>
          <w:p w14:paraId="5387C7FE" w14:textId="77777777" w:rsidR="00106292" w:rsidRDefault="00106292" w:rsidP="00255038">
            <w:pPr>
              <w:spacing w:line="276" w:lineRule="auto"/>
            </w:pPr>
          </w:p>
        </w:tc>
        <w:tc>
          <w:tcPr>
            <w:tcW w:w="1843" w:type="dxa"/>
            <w:tcBorders>
              <w:top w:val="nil"/>
              <w:left w:val="single" w:sz="4" w:space="0" w:color="auto"/>
              <w:bottom w:val="single" w:sz="4" w:space="0" w:color="auto"/>
            </w:tcBorders>
          </w:tcPr>
          <w:p w14:paraId="1B104C45" w14:textId="0285F3D1" w:rsidR="00106292" w:rsidRDefault="002D4F40" w:rsidP="00255038">
            <w:pPr>
              <w:spacing w:line="276" w:lineRule="auto"/>
              <w:jc w:val="center"/>
            </w:pPr>
            <w:r>
              <w:t>≥</w:t>
            </w:r>
            <w:r w:rsidR="00106292">
              <w:t>12%</w:t>
            </w:r>
          </w:p>
        </w:tc>
        <w:tc>
          <w:tcPr>
            <w:tcW w:w="1984" w:type="dxa"/>
            <w:tcBorders>
              <w:top w:val="nil"/>
              <w:bottom w:val="single" w:sz="4" w:space="0" w:color="auto"/>
              <w:right w:val="single" w:sz="4" w:space="0" w:color="auto"/>
            </w:tcBorders>
          </w:tcPr>
          <w:p w14:paraId="5B4AA33E" w14:textId="67E74A87" w:rsidR="00106292" w:rsidRDefault="002D4F40" w:rsidP="00255038">
            <w:pPr>
              <w:spacing w:line="276" w:lineRule="auto"/>
              <w:jc w:val="center"/>
            </w:pPr>
            <w:r>
              <w:t>≥</w:t>
            </w:r>
            <w:r w:rsidR="00106292">
              <w:t>12% + 200mL</w:t>
            </w:r>
          </w:p>
        </w:tc>
        <w:tc>
          <w:tcPr>
            <w:tcW w:w="1844" w:type="dxa"/>
            <w:tcBorders>
              <w:top w:val="nil"/>
              <w:left w:val="single" w:sz="4" w:space="0" w:color="auto"/>
              <w:bottom w:val="single" w:sz="4" w:space="0" w:color="auto"/>
            </w:tcBorders>
          </w:tcPr>
          <w:p w14:paraId="596579DB" w14:textId="2F230054" w:rsidR="00106292" w:rsidRDefault="002D4F40" w:rsidP="00255038">
            <w:pPr>
              <w:spacing w:line="276" w:lineRule="auto"/>
              <w:jc w:val="center"/>
            </w:pPr>
            <w:r>
              <w:t>≥</w:t>
            </w:r>
            <w:r w:rsidR="00106292">
              <w:t>10.5%</w:t>
            </w:r>
          </w:p>
        </w:tc>
        <w:tc>
          <w:tcPr>
            <w:tcW w:w="1843" w:type="dxa"/>
            <w:tcBorders>
              <w:top w:val="nil"/>
              <w:bottom w:val="single" w:sz="4" w:space="0" w:color="auto"/>
            </w:tcBorders>
          </w:tcPr>
          <w:p w14:paraId="2500BBD3" w14:textId="6CD0547B" w:rsidR="00106292" w:rsidRDefault="002D4F40" w:rsidP="00255038">
            <w:pPr>
              <w:spacing w:line="276" w:lineRule="auto"/>
              <w:jc w:val="center"/>
            </w:pPr>
            <w:r>
              <w:t>≥</w:t>
            </w:r>
            <w:r w:rsidR="00106292">
              <w:t>10.5% +320mL</w:t>
            </w:r>
          </w:p>
        </w:tc>
      </w:tr>
      <w:tr w:rsidR="00106292" w14:paraId="6DE609A1" w14:textId="77777777" w:rsidTr="005766E3">
        <w:tc>
          <w:tcPr>
            <w:tcW w:w="2405" w:type="dxa"/>
            <w:tcBorders>
              <w:top w:val="single" w:sz="4" w:space="0" w:color="auto"/>
              <w:bottom w:val="nil"/>
              <w:right w:val="single" w:sz="4" w:space="0" w:color="auto"/>
            </w:tcBorders>
          </w:tcPr>
          <w:p w14:paraId="2C832EF2" w14:textId="77777777" w:rsidR="00106292" w:rsidRDefault="00106292" w:rsidP="00255038">
            <w:pPr>
              <w:spacing w:line="276" w:lineRule="auto"/>
              <w:rPr>
                <w:rFonts w:cstheme="minorHAnsi"/>
              </w:rPr>
            </w:pPr>
            <w:r>
              <w:rPr>
                <w:rFonts w:cstheme="minorHAnsi"/>
              </w:rPr>
              <w:t>Female</w:t>
            </w:r>
          </w:p>
        </w:tc>
        <w:tc>
          <w:tcPr>
            <w:tcW w:w="1843" w:type="dxa"/>
            <w:tcBorders>
              <w:top w:val="single" w:sz="4" w:space="0" w:color="auto"/>
              <w:left w:val="single" w:sz="4" w:space="0" w:color="auto"/>
              <w:bottom w:val="nil"/>
            </w:tcBorders>
          </w:tcPr>
          <w:p w14:paraId="3FACB7CE" w14:textId="77777777" w:rsidR="00106292" w:rsidRDefault="00106292" w:rsidP="00255038">
            <w:pPr>
              <w:spacing w:line="276" w:lineRule="auto"/>
              <w:jc w:val="center"/>
            </w:pPr>
            <w:r>
              <w:t>1.30 (0.92-1.84)</w:t>
            </w:r>
          </w:p>
        </w:tc>
        <w:tc>
          <w:tcPr>
            <w:tcW w:w="1984" w:type="dxa"/>
            <w:tcBorders>
              <w:top w:val="single" w:sz="4" w:space="0" w:color="auto"/>
              <w:bottom w:val="nil"/>
              <w:right w:val="single" w:sz="4" w:space="0" w:color="auto"/>
            </w:tcBorders>
          </w:tcPr>
          <w:p w14:paraId="60143506" w14:textId="77777777" w:rsidR="00106292" w:rsidRDefault="00106292" w:rsidP="00255038">
            <w:pPr>
              <w:spacing w:line="276" w:lineRule="auto"/>
              <w:jc w:val="center"/>
            </w:pPr>
            <w:r>
              <w:t>0.88 (0.61-1.28)</w:t>
            </w:r>
          </w:p>
        </w:tc>
        <w:tc>
          <w:tcPr>
            <w:tcW w:w="1844" w:type="dxa"/>
            <w:tcBorders>
              <w:top w:val="single" w:sz="4" w:space="0" w:color="auto"/>
              <w:left w:val="single" w:sz="4" w:space="0" w:color="auto"/>
              <w:bottom w:val="nil"/>
            </w:tcBorders>
          </w:tcPr>
          <w:p w14:paraId="02430332" w14:textId="77777777" w:rsidR="00106292" w:rsidRDefault="00106292" w:rsidP="00255038">
            <w:pPr>
              <w:spacing w:line="276" w:lineRule="auto"/>
              <w:jc w:val="center"/>
            </w:pPr>
            <w:r w:rsidRPr="0059552C">
              <w:rPr>
                <w:b/>
              </w:rPr>
              <w:t>1.21 (1.04-1.40)</w:t>
            </w:r>
          </w:p>
        </w:tc>
        <w:tc>
          <w:tcPr>
            <w:tcW w:w="1843" w:type="dxa"/>
            <w:tcBorders>
              <w:top w:val="single" w:sz="4" w:space="0" w:color="auto"/>
              <w:bottom w:val="nil"/>
            </w:tcBorders>
          </w:tcPr>
          <w:p w14:paraId="5FDE4ABC" w14:textId="77777777" w:rsidR="00106292" w:rsidRPr="0059552C" w:rsidRDefault="00106292" w:rsidP="00255038">
            <w:pPr>
              <w:spacing w:line="276" w:lineRule="auto"/>
              <w:jc w:val="center"/>
              <w:rPr>
                <w:b/>
              </w:rPr>
            </w:pPr>
            <w:r>
              <w:t>1.15 (0.99-1.33)</w:t>
            </w:r>
          </w:p>
        </w:tc>
      </w:tr>
      <w:tr w:rsidR="00106292" w14:paraId="6DEFE4FB" w14:textId="77777777" w:rsidTr="005766E3">
        <w:tc>
          <w:tcPr>
            <w:tcW w:w="2405" w:type="dxa"/>
            <w:tcBorders>
              <w:top w:val="nil"/>
              <w:bottom w:val="nil"/>
              <w:right w:val="single" w:sz="4" w:space="0" w:color="auto"/>
            </w:tcBorders>
          </w:tcPr>
          <w:p w14:paraId="2D0C5595" w14:textId="77777777" w:rsidR="00106292" w:rsidRDefault="00106292" w:rsidP="00255038">
            <w:pPr>
              <w:spacing w:line="276" w:lineRule="auto"/>
              <w:rPr>
                <w:rFonts w:cstheme="minorHAnsi"/>
              </w:rPr>
            </w:pPr>
            <w:r>
              <w:rPr>
                <w:rFonts w:cstheme="minorHAnsi"/>
              </w:rPr>
              <w:t>Age</w:t>
            </w:r>
          </w:p>
        </w:tc>
        <w:tc>
          <w:tcPr>
            <w:tcW w:w="1843" w:type="dxa"/>
            <w:tcBorders>
              <w:top w:val="nil"/>
              <w:left w:val="single" w:sz="4" w:space="0" w:color="auto"/>
              <w:bottom w:val="nil"/>
            </w:tcBorders>
          </w:tcPr>
          <w:p w14:paraId="4D3C04C7" w14:textId="77777777" w:rsidR="00106292" w:rsidRDefault="00106292" w:rsidP="00255038">
            <w:pPr>
              <w:spacing w:line="276" w:lineRule="auto"/>
              <w:jc w:val="center"/>
            </w:pPr>
            <w:r>
              <w:t>1.10 (0.94-1.28)</w:t>
            </w:r>
          </w:p>
        </w:tc>
        <w:tc>
          <w:tcPr>
            <w:tcW w:w="1984" w:type="dxa"/>
            <w:tcBorders>
              <w:top w:val="nil"/>
              <w:bottom w:val="nil"/>
              <w:right w:val="single" w:sz="4" w:space="0" w:color="auto"/>
            </w:tcBorders>
          </w:tcPr>
          <w:p w14:paraId="1290235B" w14:textId="77777777" w:rsidR="00106292" w:rsidRDefault="00106292" w:rsidP="00255038">
            <w:pPr>
              <w:spacing w:line="276" w:lineRule="auto"/>
              <w:jc w:val="center"/>
            </w:pPr>
            <w:r>
              <w:t>0.95 (0.81-1.11)</w:t>
            </w:r>
          </w:p>
        </w:tc>
        <w:tc>
          <w:tcPr>
            <w:tcW w:w="1844" w:type="dxa"/>
            <w:tcBorders>
              <w:top w:val="nil"/>
              <w:left w:val="single" w:sz="4" w:space="0" w:color="auto"/>
              <w:bottom w:val="nil"/>
            </w:tcBorders>
          </w:tcPr>
          <w:p w14:paraId="3EA92476" w14:textId="77777777" w:rsidR="00106292" w:rsidRDefault="00106292" w:rsidP="00255038">
            <w:pPr>
              <w:spacing w:line="276" w:lineRule="auto"/>
              <w:jc w:val="center"/>
            </w:pPr>
            <w:r w:rsidRPr="0059552C">
              <w:rPr>
                <w:b/>
              </w:rPr>
              <w:t>1.61 (1.16-2.23)</w:t>
            </w:r>
          </w:p>
        </w:tc>
        <w:tc>
          <w:tcPr>
            <w:tcW w:w="1843" w:type="dxa"/>
            <w:tcBorders>
              <w:top w:val="nil"/>
              <w:bottom w:val="nil"/>
            </w:tcBorders>
          </w:tcPr>
          <w:p w14:paraId="79E8AADD" w14:textId="77777777" w:rsidR="00106292" w:rsidRDefault="00106292" w:rsidP="00255038">
            <w:pPr>
              <w:spacing w:line="276" w:lineRule="auto"/>
              <w:jc w:val="center"/>
            </w:pPr>
            <w:r>
              <w:t>1.11 (0.79-1.56)</w:t>
            </w:r>
          </w:p>
        </w:tc>
      </w:tr>
      <w:tr w:rsidR="00106292" w14:paraId="337D87DE" w14:textId="77777777" w:rsidTr="005766E3">
        <w:tc>
          <w:tcPr>
            <w:tcW w:w="2405" w:type="dxa"/>
            <w:tcBorders>
              <w:top w:val="nil"/>
              <w:bottom w:val="nil"/>
              <w:right w:val="single" w:sz="4" w:space="0" w:color="auto"/>
            </w:tcBorders>
          </w:tcPr>
          <w:p w14:paraId="27306566" w14:textId="77777777" w:rsidR="00106292" w:rsidRDefault="00106292" w:rsidP="00255038">
            <w:pPr>
              <w:spacing w:line="276" w:lineRule="auto"/>
              <w:rPr>
                <w:rFonts w:cstheme="minorHAnsi"/>
              </w:rPr>
            </w:pPr>
            <w:r>
              <w:rPr>
                <w:rFonts w:cstheme="minorHAnsi"/>
              </w:rPr>
              <w:t>Current smoking</w:t>
            </w:r>
          </w:p>
        </w:tc>
        <w:tc>
          <w:tcPr>
            <w:tcW w:w="1843" w:type="dxa"/>
            <w:tcBorders>
              <w:top w:val="nil"/>
              <w:left w:val="single" w:sz="4" w:space="0" w:color="auto"/>
              <w:bottom w:val="nil"/>
            </w:tcBorders>
          </w:tcPr>
          <w:p w14:paraId="06AEC968" w14:textId="77777777" w:rsidR="00106292" w:rsidRDefault="00106292" w:rsidP="00255038">
            <w:pPr>
              <w:spacing w:line="276" w:lineRule="auto"/>
              <w:jc w:val="center"/>
            </w:pPr>
            <w:r>
              <w:t>0.97 (0.69-1.35)</w:t>
            </w:r>
          </w:p>
        </w:tc>
        <w:tc>
          <w:tcPr>
            <w:tcW w:w="1984" w:type="dxa"/>
            <w:tcBorders>
              <w:top w:val="nil"/>
              <w:bottom w:val="nil"/>
              <w:right w:val="single" w:sz="4" w:space="0" w:color="auto"/>
            </w:tcBorders>
          </w:tcPr>
          <w:p w14:paraId="7A715BF7" w14:textId="77777777" w:rsidR="00106292" w:rsidRDefault="00106292" w:rsidP="00255038">
            <w:pPr>
              <w:spacing w:line="276" w:lineRule="auto"/>
              <w:jc w:val="center"/>
            </w:pPr>
            <w:r>
              <w:t>0.93 (0.66-1.31)</w:t>
            </w:r>
          </w:p>
        </w:tc>
        <w:tc>
          <w:tcPr>
            <w:tcW w:w="1844" w:type="dxa"/>
            <w:tcBorders>
              <w:top w:val="nil"/>
              <w:left w:val="single" w:sz="4" w:space="0" w:color="auto"/>
              <w:bottom w:val="nil"/>
            </w:tcBorders>
          </w:tcPr>
          <w:p w14:paraId="69E213FB" w14:textId="05F52A85" w:rsidR="00106292" w:rsidRDefault="002910B6" w:rsidP="00255038">
            <w:pPr>
              <w:spacing w:line="276" w:lineRule="auto"/>
              <w:jc w:val="center"/>
            </w:pPr>
            <w:r>
              <w:t>1.14 (0.82-1.58)</w:t>
            </w:r>
          </w:p>
        </w:tc>
        <w:tc>
          <w:tcPr>
            <w:tcW w:w="1843" w:type="dxa"/>
            <w:tcBorders>
              <w:top w:val="nil"/>
              <w:bottom w:val="nil"/>
            </w:tcBorders>
          </w:tcPr>
          <w:p w14:paraId="21256AC3" w14:textId="77777777" w:rsidR="00106292" w:rsidRDefault="00106292" w:rsidP="00255038">
            <w:pPr>
              <w:spacing w:line="276" w:lineRule="auto"/>
              <w:jc w:val="center"/>
            </w:pPr>
            <w:r>
              <w:t>1.03 (0.74-1.43)</w:t>
            </w:r>
          </w:p>
        </w:tc>
      </w:tr>
      <w:tr w:rsidR="00106292" w14:paraId="720BF2F9" w14:textId="77777777" w:rsidTr="005766E3">
        <w:tc>
          <w:tcPr>
            <w:tcW w:w="2405" w:type="dxa"/>
            <w:tcBorders>
              <w:top w:val="nil"/>
              <w:bottom w:val="nil"/>
              <w:right w:val="single" w:sz="4" w:space="0" w:color="auto"/>
            </w:tcBorders>
          </w:tcPr>
          <w:p w14:paraId="71D21EFF" w14:textId="77777777" w:rsidR="00106292" w:rsidRDefault="00106292" w:rsidP="00255038">
            <w:pPr>
              <w:spacing w:line="276" w:lineRule="auto"/>
              <w:rPr>
                <w:rFonts w:cstheme="minorHAnsi"/>
              </w:rPr>
            </w:pPr>
            <w:r>
              <w:rPr>
                <w:rFonts w:cstheme="minorHAnsi"/>
              </w:rPr>
              <w:t>BMI</w:t>
            </w:r>
          </w:p>
        </w:tc>
        <w:tc>
          <w:tcPr>
            <w:tcW w:w="1843" w:type="dxa"/>
            <w:tcBorders>
              <w:top w:val="nil"/>
              <w:left w:val="single" w:sz="4" w:space="0" w:color="auto"/>
              <w:bottom w:val="nil"/>
            </w:tcBorders>
          </w:tcPr>
          <w:p w14:paraId="24FC0431" w14:textId="77777777" w:rsidR="00106292" w:rsidRDefault="00106292" w:rsidP="00255038">
            <w:pPr>
              <w:spacing w:line="276" w:lineRule="auto"/>
              <w:jc w:val="center"/>
            </w:pPr>
          </w:p>
        </w:tc>
        <w:tc>
          <w:tcPr>
            <w:tcW w:w="1984" w:type="dxa"/>
            <w:tcBorders>
              <w:top w:val="nil"/>
              <w:bottom w:val="nil"/>
              <w:right w:val="single" w:sz="4" w:space="0" w:color="auto"/>
            </w:tcBorders>
          </w:tcPr>
          <w:p w14:paraId="73398079" w14:textId="77777777" w:rsidR="00106292" w:rsidRDefault="00106292" w:rsidP="00255038">
            <w:pPr>
              <w:spacing w:line="276" w:lineRule="auto"/>
              <w:jc w:val="center"/>
            </w:pPr>
          </w:p>
        </w:tc>
        <w:tc>
          <w:tcPr>
            <w:tcW w:w="1844" w:type="dxa"/>
            <w:tcBorders>
              <w:top w:val="nil"/>
              <w:left w:val="single" w:sz="4" w:space="0" w:color="auto"/>
              <w:bottom w:val="nil"/>
            </w:tcBorders>
          </w:tcPr>
          <w:p w14:paraId="00029666" w14:textId="77777777" w:rsidR="00106292" w:rsidRDefault="00106292" w:rsidP="00255038">
            <w:pPr>
              <w:spacing w:line="276" w:lineRule="auto"/>
              <w:jc w:val="center"/>
            </w:pPr>
          </w:p>
        </w:tc>
        <w:tc>
          <w:tcPr>
            <w:tcW w:w="1843" w:type="dxa"/>
            <w:tcBorders>
              <w:top w:val="nil"/>
              <w:bottom w:val="nil"/>
            </w:tcBorders>
          </w:tcPr>
          <w:p w14:paraId="7E508504" w14:textId="77777777" w:rsidR="00106292" w:rsidRDefault="00106292" w:rsidP="00255038">
            <w:pPr>
              <w:spacing w:line="276" w:lineRule="auto"/>
              <w:jc w:val="center"/>
            </w:pPr>
          </w:p>
        </w:tc>
      </w:tr>
      <w:tr w:rsidR="00106292" w14:paraId="45DA37C3" w14:textId="77777777" w:rsidTr="005766E3">
        <w:tc>
          <w:tcPr>
            <w:tcW w:w="2405" w:type="dxa"/>
            <w:tcBorders>
              <w:top w:val="nil"/>
              <w:bottom w:val="nil"/>
              <w:right w:val="single" w:sz="4" w:space="0" w:color="auto"/>
            </w:tcBorders>
          </w:tcPr>
          <w:p w14:paraId="4F752049" w14:textId="77777777" w:rsidR="00106292" w:rsidRDefault="00106292" w:rsidP="00255038">
            <w:pPr>
              <w:spacing w:line="276" w:lineRule="auto"/>
              <w:rPr>
                <w:rFonts w:cstheme="minorHAnsi"/>
              </w:rPr>
            </w:pPr>
            <w:r>
              <w:rPr>
                <w:rFonts w:cstheme="minorHAnsi"/>
              </w:rPr>
              <w:t xml:space="preserve">   &lt;20</w:t>
            </w:r>
          </w:p>
        </w:tc>
        <w:tc>
          <w:tcPr>
            <w:tcW w:w="1843" w:type="dxa"/>
            <w:tcBorders>
              <w:top w:val="nil"/>
              <w:left w:val="single" w:sz="4" w:space="0" w:color="auto"/>
              <w:bottom w:val="nil"/>
            </w:tcBorders>
          </w:tcPr>
          <w:p w14:paraId="5B6464AA" w14:textId="77777777" w:rsidR="00106292" w:rsidRDefault="00106292" w:rsidP="00255038">
            <w:pPr>
              <w:spacing w:line="276" w:lineRule="auto"/>
              <w:jc w:val="center"/>
            </w:pPr>
            <w:r>
              <w:t>0.65 (0.41-1.04)</w:t>
            </w:r>
          </w:p>
        </w:tc>
        <w:tc>
          <w:tcPr>
            <w:tcW w:w="1984" w:type="dxa"/>
            <w:tcBorders>
              <w:top w:val="nil"/>
              <w:bottom w:val="nil"/>
              <w:right w:val="single" w:sz="4" w:space="0" w:color="auto"/>
            </w:tcBorders>
          </w:tcPr>
          <w:p w14:paraId="3576A6EC" w14:textId="77777777" w:rsidR="00106292" w:rsidRPr="0059552C" w:rsidRDefault="00106292" w:rsidP="00255038">
            <w:pPr>
              <w:spacing w:line="276" w:lineRule="auto"/>
              <w:jc w:val="center"/>
              <w:rPr>
                <w:b/>
              </w:rPr>
            </w:pPr>
            <w:r w:rsidRPr="0059552C">
              <w:rPr>
                <w:b/>
              </w:rPr>
              <w:t>0.53 (0.32-0.90)</w:t>
            </w:r>
          </w:p>
        </w:tc>
        <w:tc>
          <w:tcPr>
            <w:tcW w:w="1844" w:type="dxa"/>
            <w:tcBorders>
              <w:top w:val="nil"/>
              <w:left w:val="single" w:sz="4" w:space="0" w:color="auto"/>
              <w:bottom w:val="nil"/>
            </w:tcBorders>
          </w:tcPr>
          <w:p w14:paraId="23EE8B6B" w14:textId="77777777" w:rsidR="00106292" w:rsidRPr="0059552C" w:rsidRDefault="00106292" w:rsidP="00255038">
            <w:pPr>
              <w:spacing w:line="276" w:lineRule="auto"/>
              <w:jc w:val="center"/>
              <w:rPr>
                <w:b/>
              </w:rPr>
            </w:pPr>
            <w:r>
              <w:t>0.82 (0.52-1.29)</w:t>
            </w:r>
          </w:p>
        </w:tc>
        <w:tc>
          <w:tcPr>
            <w:tcW w:w="1843" w:type="dxa"/>
            <w:tcBorders>
              <w:top w:val="nil"/>
              <w:bottom w:val="nil"/>
            </w:tcBorders>
          </w:tcPr>
          <w:p w14:paraId="11675FFD" w14:textId="77777777" w:rsidR="00106292" w:rsidRDefault="00106292" w:rsidP="00255038">
            <w:pPr>
              <w:spacing w:line="276" w:lineRule="auto"/>
              <w:jc w:val="center"/>
            </w:pPr>
            <w:r>
              <w:t>0.75 (0.47-1.21)</w:t>
            </w:r>
          </w:p>
        </w:tc>
      </w:tr>
      <w:tr w:rsidR="00106292" w14:paraId="712CB1F9" w14:textId="77777777" w:rsidTr="005766E3">
        <w:tc>
          <w:tcPr>
            <w:tcW w:w="2405" w:type="dxa"/>
            <w:tcBorders>
              <w:top w:val="nil"/>
              <w:bottom w:val="nil"/>
              <w:right w:val="single" w:sz="4" w:space="0" w:color="auto"/>
            </w:tcBorders>
          </w:tcPr>
          <w:p w14:paraId="5F9A1F49" w14:textId="77777777" w:rsidR="00106292" w:rsidRDefault="00106292" w:rsidP="00255038">
            <w:pPr>
              <w:spacing w:line="276" w:lineRule="auto"/>
              <w:rPr>
                <w:rFonts w:cstheme="minorHAnsi"/>
              </w:rPr>
            </w:pPr>
            <w:r>
              <w:rPr>
                <w:rFonts w:cstheme="minorHAnsi"/>
              </w:rPr>
              <w:t xml:space="preserve">   20-25</w:t>
            </w:r>
          </w:p>
        </w:tc>
        <w:tc>
          <w:tcPr>
            <w:tcW w:w="1843" w:type="dxa"/>
            <w:tcBorders>
              <w:top w:val="nil"/>
              <w:left w:val="single" w:sz="4" w:space="0" w:color="auto"/>
              <w:bottom w:val="nil"/>
            </w:tcBorders>
          </w:tcPr>
          <w:p w14:paraId="36AF1F7E" w14:textId="77777777" w:rsidR="00106292" w:rsidRDefault="00106292" w:rsidP="00255038">
            <w:pPr>
              <w:spacing w:line="276" w:lineRule="auto"/>
              <w:jc w:val="center"/>
            </w:pPr>
            <w:r>
              <w:t>1</w:t>
            </w:r>
          </w:p>
        </w:tc>
        <w:tc>
          <w:tcPr>
            <w:tcW w:w="1984" w:type="dxa"/>
            <w:tcBorders>
              <w:top w:val="nil"/>
              <w:bottom w:val="nil"/>
              <w:right w:val="single" w:sz="4" w:space="0" w:color="auto"/>
            </w:tcBorders>
          </w:tcPr>
          <w:p w14:paraId="7757F4CB" w14:textId="77777777" w:rsidR="00106292" w:rsidRDefault="00106292" w:rsidP="00255038">
            <w:pPr>
              <w:spacing w:line="276" w:lineRule="auto"/>
              <w:jc w:val="center"/>
            </w:pPr>
            <w:r>
              <w:t>1</w:t>
            </w:r>
          </w:p>
        </w:tc>
        <w:tc>
          <w:tcPr>
            <w:tcW w:w="1844" w:type="dxa"/>
            <w:tcBorders>
              <w:top w:val="nil"/>
              <w:left w:val="single" w:sz="4" w:space="0" w:color="auto"/>
              <w:bottom w:val="nil"/>
            </w:tcBorders>
          </w:tcPr>
          <w:p w14:paraId="04570FA7" w14:textId="77777777" w:rsidR="00106292" w:rsidRDefault="00106292" w:rsidP="00255038">
            <w:pPr>
              <w:spacing w:line="276" w:lineRule="auto"/>
              <w:jc w:val="center"/>
            </w:pPr>
            <w:r>
              <w:t>1</w:t>
            </w:r>
          </w:p>
        </w:tc>
        <w:tc>
          <w:tcPr>
            <w:tcW w:w="1843" w:type="dxa"/>
            <w:tcBorders>
              <w:top w:val="nil"/>
              <w:bottom w:val="nil"/>
            </w:tcBorders>
          </w:tcPr>
          <w:p w14:paraId="1B002F8B" w14:textId="77777777" w:rsidR="00106292" w:rsidRDefault="00106292" w:rsidP="00255038">
            <w:pPr>
              <w:spacing w:line="276" w:lineRule="auto"/>
              <w:jc w:val="center"/>
            </w:pPr>
            <w:r>
              <w:t>1</w:t>
            </w:r>
          </w:p>
        </w:tc>
      </w:tr>
      <w:tr w:rsidR="00106292" w14:paraId="06F8C15A" w14:textId="77777777" w:rsidTr="005766E3">
        <w:tc>
          <w:tcPr>
            <w:tcW w:w="2405" w:type="dxa"/>
            <w:tcBorders>
              <w:top w:val="nil"/>
              <w:bottom w:val="nil"/>
              <w:right w:val="single" w:sz="4" w:space="0" w:color="auto"/>
            </w:tcBorders>
          </w:tcPr>
          <w:p w14:paraId="5AB48C6D" w14:textId="77777777" w:rsidR="00106292" w:rsidRDefault="00106292" w:rsidP="00255038">
            <w:pPr>
              <w:spacing w:line="276" w:lineRule="auto"/>
              <w:rPr>
                <w:rFonts w:cstheme="minorHAnsi"/>
              </w:rPr>
            </w:pPr>
            <w:r>
              <w:rPr>
                <w:rFonts w:cstheme="minorHAnsi"/>
              </w:rPr>
              <w:t xml:space="preserve">   &gt;25-30</w:t>
            </w:r>
          </w:p>
        </w:tc>
        <w:tc>
          <w:tcPr>
            <w:tcW w:w="1843" w:type="dxa"/>
            <w:tcBorders>
              <w:top w:val="nil"/>
              <w:left w:val="single" w:sz="4" w:space="0" w:color="auto"/>
              <w:bottom w:val="nil"/>
            </w:tcBorders>
          </w:tcPr>
          <w:p w14:paraId="5B7C0BE3" w14:textId="77777777" w:rsidR="00106292" w:rsidRDefault="00106292" w:rsidP="00255038">
            <w:pPr>
              <w:spacing w:line="276" w:lineRule="auto"/>
              <w:jc w:val="center"/>
            </w:pPr>
            <w:r>
              <w:t>1.32 (0.90-1.92)</w:t>
            </w:r>
          </w:p>
        </w:tc>
        <w:tc>
          <w:tcPr>
            <w:tcW w:w="1984" w:type="dxa"/>
            <w:tcBorders>
              <w:top w:val="nil"/>
              <w:bottom w:val="nil"/>
              <w:right w:val="single" w:sz="4" w:space="0" w:color="auto"/>
            </w:tcBorders>
          </w:tcPr>
          <w:p w14:paraId="40E0D895" w14:textId="77777777" w:rsidR="00106292" w:rsidRDefault="00106292" w:rsidP="00255038">
            <w:pPr>
              <w:spacing w:line="276" w:lineRule="auto"/>
              <w:jc w:val="center"/>
            </w:pPr>
            <w:r>
              <w:t>1.30 (0.89-1.90)</w:t>
            </w:r>
          </w:p>
        </w:tc>
        <w:tc>
          <w:tcPr>
            <w:tcW w:w="1844" w:type="dxa"/>
            <w:tcBorders>
              <w:top w:val="nil"/>
              <w:left w:val="single" w:sz="4" w:space="0" w:color="auto"/>
              <w:bottom w:val="nil"/>
            </w:tcBorders>
          </w:tcPr>
          <w:p w14:paraId="0CE1B329" w14:textId="77777777" w:rsidR="00106292" w:rsidRDefault="00106292" w:rsidP="00255038">
            <w:pPr>
              <w:spacing w:line="276" w:lineRule="auto"/>
              <w:jc w:val="center"/>
            </w:pPr>
            <w:r>
              <w:t>1.19 (0.83-1.71)</w:t>
            </w:r>
          </w:p>
        </w:tc>
        <w:tc>
          <w:tcPr>
            <w:tcW w:w="1843" w:type="dxa"/>
            <w:tcBorders>
              <w:top w:val="nil"/>
              <w:bottom w:val="nil"/>
            </w:tcBorders>
          </w:tcPr>
          <w:p w14:paraId="49A2D601" w14:textId="77777777" w:rsidR="00106292" w:rsidRDefault="00106292" w:rsidP="00255038">
            <w:pPr>
              <w:spacing w:line="276" w:lineRule="auto"/>
              <w:jc w:val="center"/>
            </w:pPr>
            <w:r>
              <w:t>1.14 (0.79-1.64)</w:t>
            </w:r>
          </w:p>
        </w:tc>
      </w:tr>
      <w:tr w:rsidR="00106292" w14:paraId="43A03598" w14:textId="77777777" w:rsidTr="005766E3">
        <w:tc>
          <w:tcPr>
            <w:tcW w:w="2405" w:type="dxa"/>
            <w:tcBorders>
              <w:top w:val="nil"/>
              <w:bottom w:val="single" w:sz="4" w:space="0" w:color="auto"/>
              <w:right w:val="single" w:sz="4" w:space="0" w:color="auto"/>
            </w:tcBorders>
          </w:tcPr>
          <w:p w14:paraId="101E5D22" w14:textId="77777777" w:rsidR="00106292" w:rsidRDefault="00106292" w:rsidP="00255038">
            <w:pPr>
              <w:spacing w:line="276" w:lineRule="auto"/>
              <w:rPr>
                <w:rFonts w:cstheme="minorHAnsi"/>
              </w:rPr>
            </w:pPr>
            <w:r>
              <w:rPr>
                <w:rFonts w:cstheme="minorHAnsi"/>
              </w:rPr>
              <w:t xml:space="preserve">   &gt;30</w:t>
            </w:r>
          </w:p>
        </w:tc>
        <w:tc>
          <w:tcPr>
            <w:tcW w:w="1843" w:type="dxa"/>
            <w:tcBorders>
              <w:top w:val="nil"/>
              <w:left w:val="single" w:sz="4" w:space="0" w:color="auto"/>
              <w:bottom w:val="single" w:sz="4" w:space="0" w:color="auto"/>
            </w:tcBorders>
          </w:tcPr>
          <w:p w14:paraId="77E7A71B" w14:textId="77777777" w:rsidR="00106292" w:rsidRDefault="00106292" w:rsidP="00255038">
            <w:pPr>
              <w:spacing w:line="276" w:lineRule="auto"/>
              <w:jc w:val="center"/>
            </w:pPr>
            <w:r>
              <w:t>1.30 (0.82-2.07)</w:t>
            </w:r>
          </w:p>
        </w:tc>
        <w:tc>
          <w:tcPr>
            <w:tcW w:w="1984" w:type="dxa"/>
            <w:tcBorders>
              <w:top w:val="nil"/>
              <w:bottom w:val="single" w:sz="4" w:space="0" w:color="auto"/>
              <w:right w:val="single" w:sz="4" w:space="0" w:color="auto"/>
            </w:tcBorders>
          </w:tcPr>
          <w:p w14:paraId="0D02BB23" w14:textId="77777777" w:rsidR="00106292" w:rsidRDefault="00106292" w:rsidP="00255038">
            <w:pPr>
              <w:spacing w:line="276" w:lineRule="auto"/>
              <w:jc w:val="center"/>
            </w:pPr>
            <w:r>
              <w:t>1.27 (0.80-2.03)</w:t>
            </w:r>
          </w:p>
        </w:tc>
        <w:tc>
          <w:tcPr>
            <w:tcW w:w="1844" w:type="dxa"/>
            <w:tcBorders>
              <w:top w:val="nil"/>
              <w:left w:val="single" w:sz="4" w:space="0" w:color="auto"/>
              <w:bottom w:val="single" w:sz="4" w:space="0" w:color="auto"/>
            </w:tcBorders>
          </w:tcPr>
          <w:p w14:paraId="3CD1D8CD" w14:textId="77777777" w:rsidR="00106292" w:rsidRDefault="00106292" w:rsidP="00255038">
            <w:pPr>
              <w:spacing w:line="276" w:lineRule="auto"/>
              <w:jc w:val="center"/>
            </w:pPr>
            <w:r>
              <w:t>1.46 (0.94-2.27)</w:t>
            </w:r>
          </w:p>
        </w:tc>
        <w:tc>
          <w:tcPr>
            <w:tcW w:w="1843" w:type="dxa"/>
            <w:tcBorders>
              <w:top w:val="nil"/>
              <w:bottom w:val="single" w:sz="4" w:space="0" w:color="auto"/>
            </w:tcBorders>
          </w:tcPr>
          <w:p w14:paraId="5976F4F5" w14:textId="77777777" w:rsidR="00106292" w:rsidRDefault="00106292" w:rsidP="00255038">
            <w:pPr>
              <w:spacing w:line="276" w:lineRule="auto"/>
              <w:jc w:val="center"/>
            </w:pPr>
            <w:r>
              <w:t>1.42 (0.91-2.21)</w:t>
            </w:r>
          </w:p>
        </w:tc>
      </w:tr>
      <w:tr w:rsidR="00106292" w14:paraId="57BB8316" w14:textId="77777777" w:rsidTr="005766E3">
        <w:tc>
          <w:tcPr>
            <w:tcW w:w="2405" w:type="dxa"/>
            <w:tcBorders>
              <w:top w:val="single" w:sz="4" w:space="0" w:color="auto"/>
              <w:right w:val="single" w:sz="4" w:space="0" w:color="auto"/>
            </w:tcBorders>
          </w:tcPr>
          <w:p w14:paraId="7434D2D8" w14:textId="77777777" w:rsidR="00106292" w:rsidRDefault="00106292" w:rsidP="00255038">
            <w:pPr>
              <w:spacing w:line="276" w:lineRule="auto"/>
              <w:rPr>
                <w:rFonts w:cstheme="minorHAnsi"/>
              </w:rPr>
            </w:pPr>
            <w:r>
              <w:rPr>
                <w:rFonts w:cstheme="minorHAnsi"/>
              </w:rPr>
              <w:t>Wheeze</w:t>
            </w:r>
          </w:p>
        </w:tc>
        <w:tc>
          <w:tcPr>
            <w:tcW w:w="1843" w:type="dxa"/>
            <w:tcBorders>
              <w:top w:val="single" w:sz="4" w:space="0" w:color="auto"/>
              <w:left w:val="single" w:sz="4" w:space="0" w:color="auto"/>
            </w:tcBorders>
          </w:tcPr>
          <w:p w14:paraId="2989A560" w14:textId="77777777" w:rsidR="00106292" w:rsidRDefault="00106292" w:rsidP="00255038">
            <w:pPr>
              <w:spacing w:line="276" w:lineRule="auto"/>
              <w:jc w:val="center"/>
            </w:pPr>
            <w:r>
              <w:t>1.23 (0.90-1.70)</w:t>
            </w:r>
          </w:p>
        </w:tc>
        <w:tc>
          <w:tcPr>
            <w:tcW w:w="1984" w:type="dxa"/>
            <w:tcBorders>
              <w:top w:val="single" w:sz="4" w:space="0" w:color="auto"/>
              <w:right w:val="single" w:sz="4" w:space="0" w:color="auto"/>
            </w:tcBorders>
          </w:tcPr>
          <w:p w14:paraId="209A25EC" w14:textId="77777777" w:rsidR="00106292" w:rsidRDefault="00106292" w:rsidP="00255038">
            <w:pPr>
              <w:spacing w:line="276" w:lineRule="auto"/>
              <w:jc w:val="center"/>
            </w:pPr>
            <w:r>
              <w:t>1.21 (0.88-1.68)</w:t>
            </w:r>
          </w:p>
        </w:tc>
        <w:tc>
          <w:tcPr>
            <w:tcW w:w="1844" w:type="dxa"/>
            <w:tcBorders>
              <w:top w:val="single" w:sz="4" w:space="0" w:color="auto"/>
              <w:left w:val="single" w:sz="4" w:space="0" w:color="auto"/>
            </w:tcBorders>
          </w:tcPr>
          <w:p w14:paraId="54ADA49A" w14:textId="77777777" w:rsidR="00106292" w:rsidRDefault="00106292" w:rsidP="00255038">
            <w:pPr>
              <w:spacing w:line="276" w:lineRule="auto"/>
              <w:jc w:val="center"/>
            </w:pPr>
            <w:r>
              <w:t>0.89 (0.65-1.20)</w:t>
            </w:r>
          </w:p>
        </w:tc>
        <w:tc>
          <w:tcPr>
            <w:tcW w:w="1843" w:type="dxa"/>
            <w:tcBorders>
              <w:top w:val="single" w:sz="4" w:space="0" w:color="auto"/>
            </w:tcBorders>
          </w:tcPr>
          <w:p w14:paraId="249087EE" w14:textId="77777777" w:rsidR="00106292" w:rsidRDefault="00106292" w:rsidP="00255038">
            <w:pPr>
              <w:spacing w:line="276" w:lineRule="auto"/>
              <w:jc w:val="center"/>
            </w:pPr>
            <w:r>
              <w:t>0.98 (0.72-1.34)</w:t>
            </w:r>
          </w:p>
        </w:tc>
      </w:tr>
      <w:tr w:rsidR="00106292" w14:paraId="125D3D97" w14:textId="77777777" w:rsidTr="00255038">
        <w:tc>
          <w:tcPr>
            <w:tcW w:w="2405" w:type="dxa"/>
            <w:tcBorders>
              <w:right w:val="single" w:sz="4" w:space="0" w:color="auto"/>
            </w:tcBorders>
          </w:tcPr>
          <w:p w14:paraId="4FA0C3B9" w14:textId="77777777" w:rsidR="00106292" w:rsidRDefault="00106292" w:rsidP="00255038">
            <w:pPr>
              <w:spacing w:line="276" w:lineRule="auto"/>
              <w:rPr>
                <w:rFonts w:cstheme="minorHAnsi"/>
              </w:rPr>
            </w:pPr>
            <w:r>
              <w:rPr>
                <w:rFonts w:cstheme="minorHAnsi"/>
              </w:rPr>
              <w:t xml:space="preserve">Wheeze  </w:t>
            </w:r>
            <w:r w:rsidRPr="00D15152">
              <w:t>and breathlessness</w:t>
            </w:r>
          </w:p>
        </w:tc>
        <w:tc>
          <w:tcPr>
            <w:tcW w:w="1843" w:type="dxa"/>
            <w:tcBorders>
              <w:left w:val="single" w:sz="4" w:space="0" w:color="auto"/>
            </w:tcBorders>
          </w:tcPr>
          <w:p w14:paraId="65817D27" w14:textId="77777777" w:rsidR="00106292" w:rsidRDefault="00106292" w:rsidP="00255038">
            <w:pPr>
              <w:spacing w:line="276" w:lineRule="auto"/>
              <w:jc w:val="center"/>
            </w:pPr>
            <w:r>
              <w:t>1.41 (0.98-2.03)</w:t>
            </w:r>
          </w:p>
        </w:tc>
        <w:tc>
          <w:tcPr>
            <w:tcW w:w="1984" w:type="dxa"/>
            <w:tcBorders>
              <w:right w:val="single" w:sz="4" w:space="0" w:color="auto"/>
            </w:tcBorders>
          </w:tcPr>
          <w:p w14:paraId="33AB1F0E" w14:textId="77777777" w:rsidR="00106292" w:rsidRDefault="00106292" w:rsidP="00255038">
            <w:pPr>
              <w:spacing w:line="276" w:lineRule="auto"/>
              <w:jc w:val="center"/>
            </w:pPr>
            <w:r>
              <w:t>1.31 (0.90-1.91)</w:t>
            </w:r>
          </w:p>
        </w:tc>
        <w:tc>
          <w:tcPr>
            <w:tcW w:w="1844" w:type="dxa"/>
            <w:tcBorders>
              <w:left w:val="single" w:sz="4" w:space="0" w:color="auto"/>
            </w:tcBorders>
          </w:tcPr>
          <w:p w14:paraId="46D3266A" w14:textId="77777777" w:rsidR="00106292" w:rsidRDefault="00106292" w:rsidP="00255038">
            <w:pPr>
              <w:spacing w:line="276" w:lineRule="auto"/>
              <w:jc w:val="center"/>
            </w:pPr>
            <w:r>
              <w:t>1.06 (0.74-1.52)</w:t>
            </w:r>
          </w:p>
        </w:tc>
        <w:tc>
          <w:tcPr>
            <w:tcW w:w="1843" w:type="dxa"/>
          </w:tcPr>
          <w:p w14:paraId="2D75918B" w14:textId="77777777" w:rsidR="00106292" w:rsidRPr="0059552C" w:rsidRDefault="00106292" w:rsidP="00255038">
            <w:pPr>
              <w:spacing w:line="276" w:lineRule="auto"/>
              <w:jc w:val="center"/>
              <w:rPr>
                <w:b/>
              </w:rPr>
            </w:pPr>
            <w:r>
              <w:t>1.16 (0.80-1.67)</w:t>
            </w:r>
          </w:p>
        </w:tc>
      </w:tr>
      <w:tr w:rsidR="00106292" w14:paraId="5BED4037" w14:textId="77777777" w:rsidTr="00255038">
        <w:tc>
          <w:tcPr>
            <w:tcW w:w="2405" w:type="dxa"/>
            <w:tcBorders>
              <w:right w:val="single" w:sz="4" w:space="0" w:color="auto"/>
            </w:tcBorders>
          </w:tcPr>
          <w:p w14:paraId="1E109742" w14:textId="77777777" w:rsidR="00106292" w:rsidRDefault="00106292" w:rsidP="00255038">
            <w:pPr>
              <w:spacing w:line="276" w:lineRule="auto"/>
              <w:rPr>
                <w:rFonts w:cstheme="minorHAnsi"/>
              </w:rPr>
            </w:pPr>
            <w:r w:rsidRPr="00467904">
              <w:rPr>
                <w:rFonts w:cstheme="minorHAnsi"/>
                <w:lang w:val="en-GB"/>
              </w:rPr>
              <w:t>Wheeze when no cold</w:t>
            </w:r>
          </w:p>
        </w:tc>
        <w:tc>
          <w:tcPr>
            <w:tcW w:w="1843" w:type="dxa"/>
            <w:tcBorders>
              <w:left w:val="single" w:sz="4" w:space="0" w:color="auto"/>
            </w:tcBorders>
          </w:tcPr>
          <w:p w14:paraId="7D878ACD" w14:textId="77777777" w:rsidR="00106292" w:rsidRDefault="00106292" w:rsidP="00255038">
            <w:pPr>
              <w:spacing w:line="276" w:lineRule="auto"/>
              <w:jc w:val="center"/>
            </w:pPr>
            <w:r>
              <w:t>1.43 (0.99-2.06)</w:t>
            </w:r>
          </w:p>
        </w:tc>
        <w:tc>
          <w:tcPr>
            <w:tcW w:w="1984" w:type="dxa"/>
            <w:tcBorders>
              <w:right w:val="single" w:sz="4" w:space="0" w:color="auto"/>
            </w:tcBorders>
          </w:tcPr>
          <w:p w14:paraId="53E4D3C8" w14:textId="77777777" w:rsidR="00106292" w:rsidRDefault="00106292" w:rsidP="00255038">
            <w:pPr>
              <w:spacing w:line="276" w:lineRule="auto"/>
              <w:jc w:val="center"/>
            </w:pPr>
            <w:r w:rsidRPr="0059552C">
              <w:rPr>
                <w:b/>
              </w:rPr>
              <w:t>1.56 (1.08-2.26)</w:t>
            </w:r>
          </w:p>
        </w:tc>
        <w:tc>
          <w:tcPr>
            <w:tcW w:w="1844" w:type="dxa"/>
            <w:tcBorders>
              <w:left w:val="single" w:sz="4" w:space="0" w:color="auto"/>
            </w:tcBorders>
          </w:tcPr>
          <w:p w14:paraId="0C9D7C7F" w14:textId="77777777" w:rsidR="00106292" w:rsidRPr="0059552C" w:rsidRDefault="00106292" w:rsidP="00255038">
            <w:pPr>
              <w:spacing w:line="276" w:lineRule="auto"/>
              <w:jc w:val="center"/>
              <w:rPr>
                <w:b/>
              </w:rPr>
            </w:pPr>
            <w:r>
              <w:t>1.10 (0.77-1.57)</w:t>
            </w:r>
          </w:p>
        </w:tc>
        <w:tc>
          <w:tcPr>
            <w:tcW w:w="1843" w:type="dxa"/>
          </w:tcPr>
          <w:p w14:paraId="10BDC9A4" w14:textId="77777777" w:rsidR="00106292" w:rsidRPr="0059552C" w:rsidRDefault="00106292" w:rsidP="00255038">
            <w:pPr>
              <w:spacing w:line="276" w:lineRule="auto"/>
              <w:jc w:val="center"/>
              <w:rPr>
                <w:b/>
              </w:rPr>
            </w:pPr>
            <w:r>
              <w:t>1.17 (0.81-1.69)</w:t>
            </w:r>
          </w:p>
        </w:tc>
      </w:tr>
      <w:tr w:rsidR="00106292" w14:paraId="28423D36" w14:textId="77777777" w:rsidTr="00255038">
        <w:tc>
          <w:tcPr>
            <w:tcW w:w="2405" w:type="dxa"/>
            <w:tcBorders>
              <w:right w:val="single" w:sz="4" w:space="0" w:color="auto"/>
            </w:tcBorders>
          </w:tcPr>
          <w:p w14:paraId="37C55B31" w14:textId="77777777" w:rsidR="00106292" w:rsidRDefault="00106292" w:rsidP="00255038">
            <w:pPr>
              <w:spacing w:line="276" w:lineRule="auto"/>
              <w:rPr>
                <w:rFonts w:cstheme="minorHAnsi"/>
              </w:rPr>
            </w:pPr>
            <w:r>
              <w:rPr>
                <w:rFonts w:cstheme="minorHAnsi"/>
              </w:rPr>
              <w:t>Habitual coughing</w:t>
            </w:r>
          </w:p>
        </w:tc>
        <w:tc>
          <w:tcPr>
            <w:tcW w:w="1843" w:type="dxa"/>
            <w:tcBorders>
              <w:left w:val="single" w:sz="4" w:space="0" w:color="auto"/>
            </w:tcBorders>
          </w:tcPr>
          <w:p w14:paraId="29483F25" w14:textId="77777777" w:rsidR="00106292" w:rsidRDefault="00106292" w:rsidP="00255038">
            <w:pPr>
              <w:spacing w:line="276" w:lineRule="auto"/>
              <w:jc w:val="center"/>
            </w:pPr>
            <w:r>
              <w:t>1.06 (0.77-1.45)</w:t>
            </w:r>
          </w:p>
        </w:tc>
        <w:tc>
          <w:tcPr>
            <w:tcW w:w="1984" w:type="dxa"/>
            <w:tcBorders>
              <w:right w:val="single" w:sz="4" w:space="0" w:color="auto"/>
            </w:tcBorders>
          </w:tcPr>
          <w:p w14:paraId="53AB27D6" w14:textId="77777777" w:rsidR="00106292" w:rsidRDefault="00106292" w:rsidP="00255038">
            <w:pPr>
              <w:spacing w:line="276" w:lineRule="auto"/>
              <w:jc w:val="center"/>
            </w:pPr>
            <w:r>
              <w:t>0.97 (0.69-1.34)</w:t>
            </w:r>
          </w:p>
        </w:tc>
        <w:tc>
          <w:tcPr>
            <w:tcW w:w="1844" w:type="dxa"/>
            <w:tcBorders>
              <w:left w:val="single" w:sz="4" w:space="0" w:color="auto"/>
            </w:tcBorders>
          </w:tcPr>
          <w:p w14:paraId="68241BD3" w14:textId="77777777" w:rsidR="00106292" w:rsidRDefault="00106292" w:rsidP="00255038">
            <w:pPr>
              <w:spacing w:line="276" w:lineRule="auto"/>
              <w:jc w:val="center"/>
            </w:pPr>
            <w:r>
              <w:t>0.92 (0.68-1.25)</w:t>
            </w:r>
          </w:p>
        </w:tc>
        <w:tc>
          <w:tcPr>
            <w:tcW w:w="1843" w:type="dxa"/>
          </w:tcPr>
          <w:p w14:paraId="4C4C5ABF" w14:textId="77777777" w:rsidR="00106292" w:rsidRDefault="00106292" w:rsidP="00255038">
            <w:pPr>
              <w:spacing w:line="276" w:lineRule="auto"/>
              <w:jc w:val="center"/>
            </w:pPr>
            <w:r>
              <w:t>0.94 (0.69-1.28)</w:t>
            </w:r>
          </w:p>
        </w:tc>
      </w:tr>
      <w:tr w:rsidR="00106292" w14:paraId="6DFE85FA" w14:textId="77777777" w:rsidTr="00255038">
        <w:tc>
          <w:tcPr>
            <w:tcW w:w="2405" w:type="dxa"/>
            <w:tcBorders>
              <w:right w:val="single" w:sz="4" w:space="0" w:color="auto"/>
            </w:tcBorders>
          </w:tcPr>
          <w:p w14:paraId="103302B5" w14:textId="77777777" w:rsidR="00106292" w:rsidRDefault="00106292" w:rsidP="00255038">
            <w:pPr>
              <w:spacing w:line="276" w:lineRule="auto"/>
              <w:rPr>
                <w:rFonts w:cstheme="minorHAnsi"/>
              </w:rPr>
            </w:pPr>
            <w:r>
              <w:rPr>
                <w:rFonts w:cstheme="minorHAnsi"/>
              </w:rPr>
              <w:t>Chronic bronchitis</w:t>
            </w:r>
          </w:p>
        </w:tc>
        <w:tc>
          <w:tcPr>
            <w:tcW w:w="1843" w:type="dxa"/>
            <w:tcBorders>
              <w:left w:val="single" w:sz="4" w:space="0" w:color="auto"/>
            </w:tcBorders>
          </w:tcPr>
          <w:p w14:paraId="0FFB952D" w14:textId="77777777" w:rsidR="00106292" w:rsidRDefault="00106292" w:rsidP="00255038">
            <w:pPr>
              <w:spacing w:line="276" w:lineRule="auto"/>
              <w:jc w:val="center"/>
            </w:pPr>
            <w:r>
              <w:t>1.01 (0.70-1.47)</w:t>
            </w:r>
          </w:p>
        </w:tc>
        <w:tc>
          <w:tcPr>
            <w:tcW w:w="1984" w:type="dxa"/>
            <w:tcBorders>
              <w:right w:val="single" w:sz="4" w:space="0" w:color="auto"/>
            </w:tcBorders>
          </w:tcPr>
          <w:p w14:paraId="41969466" w14:textId="77777777" w:rsidR="00106292" w:rsidRDefault="00106292" w:rsidP="00255038">
            <w:pPr>
              <w:spacing w:line="276" w:lineRule="auto"/>
              <w:jc w:val="center"/>
            </w:pPr>
            <w:r>
              <w:t>0.95 (0.64-1.39)</w:t>
            </w:r>
          </w:p>
        </w:tc>
        <w:tc>
          <w:tcPr>
            <w:tcW w:w="1844" w:type="dxa"/>
            <w:tcBorders>
              <w:left w:val="single" w:sz="4" w:space="0" w:color="auto"/>
            </w:tcBorders>
          </w:tcPr>
          <w:p w14:paraId="48C7D79C" w14:textId="77777777" w:rsidR="00106292" w:rsidRDefault="00106292" w:rsidP="00255038">
            <w:pPr>
              <w:spacing w:line="276" w:lineRule="auto"/>
              <w:jc w:val="center"/>
            </w:pPr>
            <w:r>
              <w:t>1.20 (0.85-1.70)</w:t>
            </w:r>
          </w:p>
        </w:tc>
        <w:tc>
          <w:tcPr>
            <w:tcW w:w="1843" w:type="dxa"/>
          </w:tcPr>
          <w:p w14:paraId="35A74B3F" w14:textId="77777777" w:rsidR="00106292" w:rsidRDefault="00106292" w:rsidP="00255038">
            <w:pPr>
              <w:spacing w:line="276" w:lineRule="auto"/>
              <w:jc w:val="center"/>
            </w:pPr>
            <w:r>
              <w:t>1.29 (0.91-1.84)</w:t>
            </w:r>
          </w:p>
        </w:tc>
      </w:tr>
      <w:tr w:rsidR="00106292" w14:paraId="283A446B" w14:textId="77777777" w:rsidTr="00255038">
        <w:tc>
          <w:tcPr>
            <w:tcW w:w="2405" w:type="dxa"/>
            <w:tcBorders>
              <w:right w:val="single" w:sz="4" w:space="0" w:color="auto"/>
            </w:tcBorders>
          </w:tcPr>
          <w:p w14:paraId="7B184F6D" w14:textId="77777777" w:rsidR="00106292" w:rsidRDefault="00106292" w:rsidP="00255038">
            <w:pPr>
              <w:spacing w:line="276" w:lineRule="auto"/>
              <w:rPr>
                <w:rFonts w:cstheme="minorHAnsi"/>
              </w:rPr>
            </w:pPr>
            <w:r>
              <w:rPr>
                <w:rFonts w:cstheme="minorHAnsi"/>
              </w:rPr>
              <w:t>Exacerbations</w:t>
            </w:r>
          </w:p>
        </w:tc>
        <w:tc>
          <w:tcPr>
            <w:tcW w:w="1843" w:type="dxa"/>
            <w:tcBorders>
              <w:left w:val="single" w:sz="4" w:space="0" w:color="auto"/>
            </w:tcBorders>
          </w:tcPr>
          <w:p w14:paraId="6EAC099F" w14:textId="77777777" w:rsidR="00106292" w:rsidRDefault="00106292" w:rsidP="00255038">
            <w:pPr>
              <w:spacing w:line="276" w:lineRule="auto"/>
              <w:jc w:val="center"/>
            </w:pPr>
          </w:p>
        </w:tc>
        <w:tc>
          <w:tcPr>
            <w:tcW w:w="1984" w:type="dxa"/>
            <w:tcBorders>
              <w:right w:val="single" w:sz="4" w:space="0" w:color="auto"/>
            </w:tcBorders>
          </w:tcPr>
          <w:p w14:paraId="58FA10DF" w14:textId="77777777" w:rsidR="00106292" w:rsidRDefault="00106292" w:rsidP="00255038">
            <w:pPr>
              <w:spacing w:line="276" w:lineRule="auto"/>
              <w:jc w:val="center"/>
            </w:pPr>
          </w:p>
        </w:tc>
        <w:tc>
          <w:tcPr>
            <w:tcW w:w="1844" w:type="dxa"/>
            <w:tcBorders>
              <w:left w:val="single" w:sz="4" w:space="0" w:color="auto"/>
            </w:tcBorders>
          </w:tcPr>
          <w:p w14:paraId="0C661B73" w14:textId="77777777" w:rsidR="00106292" w:rsidRDefault="00106292" w:rsidP="00255038">
            <w:pPr>
              <w:spacing w:line="276" w:lineRule="auto"/>
              <w:jc w:val="center"/>
            </w:pPr>
          </w:p>
        </w:tc>
        <w:tc>
          <w:tcPr>
            <w:tcW w:w="1843" w:type="dxa"/>
          </w:tcPr>
          <w:p w14:paraId="4437B57D" w14:textId="77777777" w:rsidR="00106292" w:rsidRDefault="00106292" w:rsidP="00255038">
            <w:pPr>
              <w:spacing w:line="276" w:lineRule="auto"/>
              <w:jc w:val="center"/>
            </w:pPr>
          </w:p>
        </w:tc>
      </w:tr>
      <w:tr w:rsidR="00106292" w14:paraId="618ECFBC" w14:textId="77777777" w:rsidTr="00255038">
        <w:tc>
          <w:tcPr>
            <w:tcW w:w="2405" w:type="dxa"/>
            <w:tcBorders>
              <w:right w:val="single" w:sz="4" w:space="0" w:color="auto"/>
            </w:tcBorders>
          </w:tcPr>
          <w:p w14:paraId="5E5F85B3" w14:textId="77777777" w:rsidR="00106292" w:rsidRDefault="00106292" w:rsidP="00255038">
            <w:pPr>
              <w:spacing w:line="276" w:lineRule="auto"/>
            </w:pPr>
            <w:r>
              <w:rPr>
                <w:rFonts w:cstheme="minorHAnsi"/>
              </w:rPr>
              <w:t xml:space="preserve">  0</w:t>
            </w:r>
          </w:p>
        </w:tc>
        <w:tc>
          <w:tcPr>
            <w:tcW w:w="1843" w:type="dxa"/>
            <w:tcBorders>
              <w:left w:val="single" w:sz="4" w:space="0" w:color="auto"/>
            </w:tcBorders>
          </w:tcPr>
          <w:p w14:paraId="11991326" w14:textId="77777777" w:rsidR="00106292" w:rsidRDefault="00106292" w:rsidP="00255038">
            <w:pPr>
              <w:spacing w:line="276" w:lineRule="auto"/>
              <w:jc w:val="center"/>
            </w:pPr>
            <w:r>
              <w:t>1</w:t>
            </w:r>
          </w:p>
        </w:tc>
        <w:tc>
          <w:tcPr>
            <w:tcW w:w="1984" w:type="dxa"/>
            <w:tcBorders>
              <w:right w:val="single" w:sz="4" w:space="0" w:color="auto"/>
            </w:tcBorders>
          </w:tcPr>
          <w:p w14:paraId="38805A98" w14:textId="77777777" w:rsidR="00106292" w:rsidRDefault="00106292" w:rsidP="00255038">
            <w:pPr>
              <w:spacing w:line="276" w:lineRule="auto"/>
              <w:jc w:val="center"/>
            </w:pPr>
            <w:r>
              <w:t>1</w:t>
            </w:r>
          </w:p>
        </w:tc>
        <w:tc>
          <w:tcPr>
            <w:tcW w:w="1844" w:type="dxa"/>
            <w:tcBorders>
              <w:left w:val="single" w:sz="4" w:space="0" w:color="auto"/>
            </w:tcBorders>
          </w:tcPr>
          <w:p w14:paraId="2F203F21" w14:textId="77777777" w:rsidR="00106292" w:rsidRDefault="00106292" w:rsidP="00255038">
            <w:pPr>
              <w:spacing w:line="276" w:lineRule="auto"/>
              <w:jc w:val="center"/>
            </w:pPr>
            <w:r>
              <w:t>1</w:t>
            </w:r>
          </w:p>
        </w:tc>
        <w:tc>
          <w:tcPr>
            <w:tcW w:w="1843" w:type="dxa"/>
          </w:tcPr>
          <w:p w14:paraId="03229A87" w14:textId="77777777" w:rsidR="00106292" w:rsidRDefault="00106292" w:rsidP="00255038">
            <w:pPr>
              <w:spacing w:line="276" w:lineRule="auto"/>
              <w:jc w:val="center"/>
            </w:pPr>
            <w:r>
              <w:t>1</w:t>
            </w:r>
          </w:p>
        </w:tc>
      </w:tr>
      <w:tr w:rsidR="00106292" w:rsidRPr="003D7BF2" w14:paraId="2B0628FE" w14:textId="77777777" w:rsidTr="00255038">
        <w:tc>
          <w:tcPr>
            <w:tcW w:w="2405" w:type="dxa"/>
            <w:tcBorders>
              <w:right w:val="single" w:sz="4" w:space="0" w:color="auto"/>
            </w:tcBorders>
          </w:tcPr>
          <w:p w14:paraId="3EC43CF6" w14:textId="77777777" w:rsidR="00106292" w:rsidRDefault="00106292" w:rsidP="00255038">
            <w:pPr>
              <w:spacing w:line="276" w:lineRule="auto"/>
              <w:rPr>
                <w:rFonts w:cstheme="minorHAnsi"/>
              </w:rPr>
            </w:pPr>
            <w:r>
              <w:rPr>
                <w:rFonts w:cstheme="minorHAnsi"/>
              </w:rPr>
              <w:t xml:space="preserve">  1</w:t>
            </w:r>
          </w:p>
        </w:tc>
        <w:tc>
          <w:tcPr>
            <w:tcW w:w="1843" w:type="dxa"/>
            <w:tcBorders>
              <w:left w:val="single" w:sz="4" w:space="0" w:color="auto"/>
            </w:tcBorders>
          </w:tcPr>
          <w:p w14:paraId="096375CC" w14:textId="77777777" w:rsidR="00106292" w:rsidRDefault="00106292" w:rsidP="00255038">
            <w:pPr>
              <w:spacing w:line="276" w:lineRule="auto"/>
              <w:jc w:val="center"/>
            </w:pPr>
            <w:r>
              <w:t>0.94 (0.30-2.90)</w:t>
            </w:r>
          </w:p>
        </w:tc>
        <w:tc>
          <w:tcPr>
            <w:tcW w:w="1984" w:type="dxa"/>
            <w:tcBorders>
              <w:right w:val="single" w:sz="4" w:space="0" w:color="auto"/>
            </w:tcBorders>
          </w:tcPr>
          <w:p w14:paraId="47AAD113" w14:textId="77777777" w:rsidR="00106292" w:rsidRPr="003D7BF2" w:rsidRDefault="00106292" w:rsidP="00255038">
            <w:pPr>
              <w:spacing w:line="276" w:lineRule="auto"/>
              <w:jc w:val="center"/>
            </w:pPr>
            <w:r>
              <w:t>0.88 (0.26-2.96)</w:t>
            </w:r>
          </w:p>
        </w:tc>
        <w:tc>
          <w:tcPr>
            <w:tcW w:w="1844" w:type="dxa"/>
            <w:tcBorders>
              <w:left w:val="single" w:sz="4" w:space="0" w:color="auto"/>
            </w:tcBorders>
          </w:tcPr>
          <w:p w14:paraId="7F23A80E" w14:textId="77777777" w:rsidR="00106292" w:rsidRPr="003D7BF2" w:rsidRDefault="00106292" w:rsidP="00255038">
            <w:pPr>
              <w:spacing w:line="276" w:lineRule="auto"/>
              <w:jc w:val="center"/>
            </w:pPr>
            <w:r>
              <w:t>1.38 (0.49-3.91)</w:t>
            </w:r>
          </w:p>
        </w:tc>
        <w:tc>
          <w:tcPr>
            <w:tcW w:w="1843" w:type="dxa"/>
          </w:tcPr>
          <w:p w14:paraId="15F31F58" w14:textId="77777777" w:rsidR="00106292" w:rsidRPr="003D7BF2" w:rsidRDefault="00106292" w:rsidP="00255038">
            <w:pPr>
              <w:spacing w:line="276" w:lineRule="auto"/>
              <w:jc w:val="center"/>
            </w:pPr>
            <w:r>
              <w:t>1.53 (0.53-4.37)</w:t>
            </w:r>
          </w:p>
        </w:tc>
      </w:tr>
      <w:tr w:rsidR="00106292" w:rsidRPr="003D7BF2" w14:paraId="08A7CE81" w14:textId="77777777" w:rsidTr="00255038">
        <w:tc>
          <w:tcPr>
            <w:tcW w:w="2405" w:type="dxa"/>
            <w:tcBorders>
              <w:right w:val="single" w:sz="4" w:space="0" w:color="auto"/>
            </w:tcBorders>
          </w:tcPr>
          <w:p w14:paraId="265F70B1" w14:textId="77777777" w:rsidR="00106292" w:rsidRPr="003D7BF2" w:rsidRDefault="00106292" w:rsidP="00255038">
            <w:pPr>
              <w:spacing w:line="276" w:lineRule="auto"/>
              <w:rPr>
                <w:rFonts w:cstheme="minorHAnsi"/>
              </w:rPr>
            </w:pPr>
            <w:r>
              <w:rPr>
                <w:rFonts w:cstheme="minorHAnsi"/>
              </w:rPr>
              <w:t xml:space="preserve">  2 or more</w:t>
            </w:r>
          </w:p>
        </w:tc>
        <w:tc>
          <w:tcPr>
            <w:tcW w:w="1843" w:type="dxa"/>
            <w:tcBorders>
              <w:left w:val="single" w:sz="4" w:space="0" w:color="auto"/>
            </w:tcBorders>
          </w:tcPr>
          <w:p w14:paraId="3672F6AA" w14:textId="77777777" w:rsidR="00106292" w:rsidRPr="003D7BF2" w:rsidRDefault="00106292" w:rsidP="00255038">
            <w:pPr>
              <w:spacing w:line="276" w:lineRule="auto"/>
              <w:jc w:val="center"/>
            </w:pPr>
            <w:r>
              <w:t>1.16 (0.58-2.30)</w:t>
            </w:r>
          </w:p>
        </w:tc>
        <w:tc>
          <w:tcPr>
            <w:tcW w:w="1984" w:type="dxa"/>
            <w:tcBorders>
              <w:right w:val="single" w:sz="4" w:space="0" w:color="auto"/>
            </w:tcBorders>
          </w:tcPr>
          <w:p w14:paraId="736DB2B8" w14:textId="77777777" w:rsidR="00106292" w:rsidRPr="003D7BF2" w:rsidRDefault="00106292" w:rsidP="00255038">
            <w:pPr>
              <w:spacing w:line="276" w:lineRule="auto"/>
              <w:jc w:val="center"/>
            </w:pPr>
            <w:r>
              <w:t>0.65 (0.30-1.39)</w:t>
            </w:r>
          </w:p>
        </w:tc>
        <w:tc>
          <w:tcPr>
            <w:tcW w:w="1844" w:type="dxa"/>
            <w:tcBorders>
              <w:left w:val="single" w:sz="4" w:space="0" w:color="auto"/>
            </w:tcBorders>
          </w:tcPr>
          <w:p w14:paraId="526E2A50" w14:textId="77777777" w:rsidR="00106292" w:rsidRPr="003D7BF2" w:rsidRDefault="00106292" w:rsidP="00255038">
            <w:pPr>
              <w:spacing w:line="276" w:lineRule="auto"/>
              <w:jc w:val="center"/>
            </w:pPr>
            <w:r>
              <w:t>0.87 (0.44-1.73)</w:t>
            </w:r>
          </w:p>
        </w:tc>
        <w:tc>
          <w:tcPr>
            <w:tcW w:w="1843" w:type="dxa"/>
          </w:tcPr>
          <w:p w14:paraId="675A276F" w14:textId="77777777" w:rsidR="00106292" w:rsidRPr="003D7BF2" w:rsidRDefault="00106292" w:rsidP="00255038">
            <w:pPr>
              <w:spacing w:line="276" w:lineRule="auto"/>
              <w:jc w:val="center"/>
            </w:pPr>
            <w:r>
              <w:t>1.04 (0.52-4.37)</w:t>
            </w:r>
          </w:p>
        </w:tc>
      </w:tr>
      <w:tr w:rsidR="00106292" w:rsidRPr="00D15152" w14:paraId="76648C6F" w14:textId="77777777" w:rsidTr="00255038">
        <w:tc>
          <w:tcPr>
            <w:tcW w:w="2405" w:type="dxa"/>
            <w:tcBorders>
              <w:right w:val="single" w:sz="4" w:space="0" w:color="auto"/>
            </w:tcBorders>
          </w:tcPr>
          <w:p w14:paraId="28A9E409" w14:textId="77777777" w:rsidR="00106292" w:rsidRPr="00D15152" w:rsidRDefault="00106292" w:rsidP="00255038">
            <w:pPr>
              <w:spacing w:line="276" w:lineRule="auto"/>
            </w:pPr>
            <w:r>
              <w:rPr>
                <w:rFonts w:cstheme="minorHAnsi"/>
              </w:rPr>
              <w:t>MRC</w:t>
            </w:r>
          </w:p>
        </w:tc>
        <w:tc>
          <w:tcPr>
            <w:tcW w:w="1843" w:type="dxa"/>
            <w:tcBorders>
              <w:left w:val="single" w:sz="4" w:space="0" w:color="auto"/>
            </w:tcBorders>
          </w:tcPr>
          <w:p w14:paraId="189DF774" w14:textId="77777777" w:rsidR="00106292" w:rsidRPr="00D15152" w:rsidRDefault="00106292" w:rsidP="00255038">
            <w:pPr>
              <w:spacing w:line="276" w:lineRule="auto"/>
              <w:jc w:val="center"/>
            </w:pPr>
          </w:p>
        </w:tc>
        <w:tc>
          <w:tcPr>
            <w:tcW w:w="1984" w:type="dxa"/>
            <w:tcBorders>
              <w:right w:val="single" w:sz="4" w:space="0" w:color="auto"/>
            </w:tcBorders>
          </w:tcPr>
          <w:p w14:paraId="7F2AC9DF" w14:textId="77777777" w:rsidR="00106292" w:rsidRPr="00D15152" w:rsidRDefault="00106292" w:rsidP="00255038">
            <w:pPr>
              <w:spacing w:line="276" w:lineRule="auto"/>
              <w:jc w:val="center"/>
            </w:pPr>
          </w:p>
        </w:tc>
        <w:tc>
          <w:tcPr>
            <w:tcW w:w="1844" w:type="dxa"/>
            <w:tcBorders>
              <w:left w:val="single" w:sz="4" w:space="0" w:color="auto"/>
            </w:tcBorders>
          </w:tcPr>
          <w:p w14:paraId="278F5AB6" w14:textId="77777777" w:rsidR="00106292" w:rsidRPr="00D15152" w:rsidRDefault="00106292" w:rsidP="00255038">
            <w:pPr>
              <w:spacing w:line="276" w:lineRule="auto"/>
              <w:jc w:val="center"/>
            </w:pPr>
          </w:p>
        </w:tc>
        <w:tc>
          <w:tcPr>
            <w:tcW w:w="1843" w:type="dxa"/>
          </w:tcPr>
          <w:p w14:paraId="4197C4C5" w14:textId="77777777" w:rsidR="00106292" w:rsidRPr="00D15152" w:rsidRDefault="00106292" w:rsidP="00255038">
            <w:pPr>
              <w:spacing w:line="276" w:lineRule="auto"/>
              <w:jc w:val="center"/>
            </w:pPr>
          </w:p>
        </w:tc>
      </w:tr>
      <w:tr w:rsidR="00106292" w14:paraId="3888F668" w14:textId="77777777" w:rsidTr="00255038">
        <w:tc>
          <w:tcPr>
            <w:tcW w:w="2405" w:type="dxa"/>
            <w:tcBorders>
              <w:right w:val="single" w:sz="4" w:space="0" w:color="auto"/>
            </w:tcBorders>
          </w:tcPr>
          <w:p w14:paraId="0A6C7A7C" w14:textId="77777777" w:rsidR="00106292" w:rsidRDefault="00106292" w:rsidP="00255038">
            <w:pPr>
              <w:spacing w:line="276" w:lineRule="auto"/>
            </w:pPr>
            <w:r>
              <w:rPr>
                <w:rFonts w:cstheme="minorHAnsi"/>
              </w:rPr>
              <w:t xml:space="preserve">   0</w:t>
            </w:r>
          </w:p>
        </w:tc>
        <w:tc>
          <w:tcPr>
            <w:tcW w:w="1843" w:type="dxa"/>
            <w:tcBorders>
              <w:left w:val="single" w:sz="4" w:space="0" w:color="auto"/>
            </w:tcBorders>
          </w:tcPr>
          <w:p w14:paraId="7EA399C5" w14:textId="77777777" w:rsidR="00106292" w:rsidRDefault="00106292" w:rsidP="00255038">
            <w:pPr>
              <w:spacing w:line="276" w:lineRule="auto"/>
              <w:jc w:val="center"/>
            </w:pPr>
            <w:r>
              <w:t>1</w:t>
            </w:r>
          </w:p>
        </w:tc>
        <w:tc>
          <w:tcPr>
            <w:tcW w:w="1984" w:type="dxa"/>
            <w:tcBorders>
              <w:right w:val="single" w:sz="4" w:space="0" w:color="auto"/>
            </w:tcBorders>
          </w:tcPr>
          <w:p w14:paraId="654F19A5" w14:textId="77777777" w:rsidR="00106292" w:rsidRDefault="00106292" w:rsidP="00255038">
            <w:pPr>
              <w:spacing w:line="276" w:lineRule="auto"/>
              <w:jc w:val="center"/>
            </w:pPr>
            <w:r>
              <w:t>1</w:t>
            </w:r>
          </w:p>
        </w:tc>
        <w:tc>
          <w:tcPr>
            <w:tcW w:w="1844" w:type="dxa"/>
            <w:tcBorders>
              <w:left w:val="single" w:sz="4" w:space="0" w:color="auto"/>
            </w:tcBorders>
          </w:tcPr>
          <w:p w14:paraId="2697AB2E" w14:textId="77777777" w:rsidR="00106292" w:rsidRDefault="00106292" w:rsidP="00255038">
            <w:pPr>
              <w:spacing w:line="276" w:lineRule="auto"/>
              <w:jc w:val="center"/>
            </w:pPr>
            <w:r>
              <w:t>1</w:t>
            </w:r>
          </w:p>
        </w:tc>
        <w:tc>
          <w:tcPr>
            <w:tcW w:w="1843" w:type="dxa"/>
          </w:tcPr>
          <w:p w14:paraId="238ECE31" w14:textId="77777777" w:rsidR="00106292" w:rsidRDefault="00106292" w:rsidP="00255038">
            <w:pPr>
              <w:spacing w:line="276" w:lineRule="auto"/>
              <w:jc w:val="center"/>
            </w:pPr>
            <w:r>
              <w:t>1</w:t>
            </w:r>
          </w:p>
        </w:tc>
      </w:tr>
      <w:tr w:rsidR="00106292" w14:paraId="1E45B3F1" w14:textId="77777777" w:rsidTr="00255038">
        <w:tc>
          <w:tcPr>
            <w:tcW w:w="2405" w:type="dxa"/>
            <w:tcBorders>
              <w:right w:val="single" w:sz="4" w:space="0" w:color="auto"/>
            </w:tcBorders>
          </w:tcPr>
          <w:p w14:paraId="7961CDFE" w14:textId="77777777" w:rsidR="00106292" w:rsidRDefault="00106292" w:rsidP="00255038">
            <w:pPr>
              <w:spacing w:line="276" w:lineRule="auto"/>
            </w:pPr>
            <w:r>
              <w:rPr>
                <w:rFonts w:cstheme="minorHAnsi"/>
              </w:rPr>
              <w:t xml:space="preserve">   1</w:t>
            </w:r>
          </w:p>
        </w:tc>
        <w:tc>
          <w:tcPr>
            <w:tcW w:w="1843" w:type="dxa"/>
            <w:tcBorders>
              <w:left w:val="single" w:sz="4" w:space="0" w:color="auto"/>
            </w:tcBorders>
          </w:tcPr>
          <w:p w14:paraId="38287DCA" w14:textId="77777777" w:rsidR="00106292" w:rsidRDefault="00106292" w:rsidP="00255038">
            <w:pPr>
              <w:spacing w:line="276" w:lineRule="auto"/>
              <w:jc w:val="center"/>
            </w:pPr>
            <w:r>
              <w:t>1.10 (0.75-1.63)</w:t>
            </w:r>
          </w:p>
        </w:tc>
        <w:tc>
          <w:tcPr>
            <w:tcW w:w="1984" w:type="dxa"/>
            <w:tcBorders>
              <w:right w:val="single" w:sz="4" w:space="0" w:color="auto"/>
            </w:tcBorders>
          </w:tcPr>
          <w:p w14:paraId="046E733F" w14:textId="77777777" w:rsidR="00106292" w:rsidRDefault="00106292" w:rsidP="00255038">
            <w:pPr>
              <w:spacing w:line="276" w:lineRule="auto"/>
              <w:jc w:val="center"/>
            </w:pPr>
            <w:r>
              <w:t>1.13 (0.76-1.67)</w:t>
            </w:r>
          </w:p>
        </w:tc>
        <w:tc>
          <w:tcPr>
            <w:tcW w:w="1844" w:type="dxa"/>
            <w:tcBorders>
              <w:left w:val="single" w:sz="4" w:space="0" w:color="auto"/>
            </w:tcBorders>
          </w:tcPr>
          <w:p w14:paraId="1C47E898" w14:textId="77777777" w:rsidR="00106292" w:rsidRDefault="00106292" w:rsidP="00255038">
            <w:pPr>
              <w:spacing w:line="276" w:lineRule="auto"/>
              <w:jc w:val="center"/>
            </w:pPr>
            <w:r>
              <w:t>0.98 (0.67-1.42)</w:t>
            </w:r>
          </w:p>
        </w:tc>
        <w:tc>
          <w:tcPr>
            <w:tcW w:w="1843" w:type="dxa"/>
          </w:tcPr>
          <w:p w14:paraId="0DB2C53F" w14:textId="77777777" w:rsidR="00106292" w:rsidRDefault="00106292" w:rsidP="00255038">
            <w:pPr>
              <w:spacing w:line="276" w:lineRule="auto"/>
              <w:jc w:val="center"/>
            </w:pPr>
            <w:r>
              <w:t>0.96 (0.65-1.42)</w:t>
            </w:r>
          </w:p>
        </w:tc>
      </w:tr>
      <w:tr w:rsidR="00106292" w14:paraId="7D626B9C" w14:textId="77777777" w:rsidTr="00255038">
        <w:tc>
          <w:tcPr>
            <w:tcW w:w="2405" w:type="dxa"/>
            <w:tcBorders>
              <w:right w:val="single" w:sz="4" w:space="0" w:color="auto"/>
            </w:tcBorders>
          </w:tcPr>
          <w:p w14:paraId="7314E4E9" w14:textId="77777777" w:rsidR="00106292" w:rsidRDefault="00106292" w:rsidP="00255038">
            <w:pPr>
              <w:spacing w:line="276" w:lineRule="auto"/>
            </w:pPr>
            <w:r>
              <w:rPr>
                <w:rFonts w:cstheme="minorHAnsi"/>
              </w:rPr>
              <w:t xml:space="preserve">   2</w:t>
            </w:r>
          </w:p>
        </w:tc>
        <w:tc>
          <w:tcPr>
            <w:tcW w:w="1843" w:type="dxa"/>
            <w:tcBorders>
              <w:left w:val="single" w:sz="4" w:space="0" w:color="auto"/>
            </w:tcBorders>
          </w:tcPr>
          <w:p w14:paraId="039EBFFA" w14:textId="77777777" w:rsidR="00106292" w:rsidRDefault="00106292" w:rsidP="00255038">
            <w:pPr>
              <w:spacing w:line="276" w:lineRule="auto"/>
              <w:jc w:val="center"/>
            </w:pPr>
            <w:r>
              <w:t>0.70 (0.31-1.56)</w:t>
            </w:r>
          </w:p>
        </w:tc>
        <w:tc>
          <w:tcPr>
            <w:tcW w:w="1984" w:type="dxa"/>
            <w:tcBorders>
              <w:right w:val="single" w:sz="4" w:space="0" w:color="auto"/>
            </w:tcBorders>
          </w:tcPr>
          <w:p w14:paraId="7C377AB6" w14:textId="77777777" w:rsidR="00106292" w:rsidRDefault="00106292" w:rsidP="00255038">
            <w:pPr>
              <w:spacing w:line="276" w:lineRule="auto"/>
              <w:jc w:val="center"/>
            </w:pPr>
            <w:r>
              <w:t>0.67 (0.29-1.57)</w:t>
            </w:r>
          </w:p>
        </w:tc>
        <w:tc>
          <w:tcPr>
            <w:tcW w:w="1844" w:type="dxa"/>
            <w:tcBorders>
              <w:left w:val="single" w:sz="4" w:space="0" w:color="auto"/>
            </w:tcBorders>
          </w:tcPr>
          <w:p w14:paraId="776B8E5A" w14:textId="77777777" w:rsidR="00106292" w:rsidRDefault="00106292" w:rsidP="00255038">
            <w:pPr>
              <w:spacing w:line="276" w:lineRule="auto"/>
              <w:jc w:val="center"/>
            </w:pPr>
            <w:r>
              <w:t>0.91 (0.43-1.93)</w:t>
            </w:r>
          </w:p>
        </w:tc>
        <w:tc>
          <w:tcPr>
            <w:tcW w:w="1843" w:type="dxa"/>
          </w:tcPr>
          <w:p w14:paraId="744104CF" w14:textId="77777777" w:rsidR="00106292" w:rsidRDefault="00106292" w:rsidP="00255038">
            <w:pPr>
              <w:spacing w:line="276" w:lineRule="auto"/>
              <w:jc w:val="center"/>
            </w:pPr>
            <w:r>
              <w:t>0.71 (0.32-1.60)</w:t>
            </w:r>
          </w:p>
        </w:tc>
      </w:tr>
      <w:tr w:rsidR="00106292" w14:paraId="6BB49128" w14:textId="77777777" w:rsidTr="00255038">
        <w:tc>
          <w:tcPr>
            <w:tcW w:w="2405" w:type="dxa"/>
            <w:tcBorders>
              <w:right w:val="single" w:sz="4" w:space="0" w:color="auto"/>
            </w:tcBorders>
          </w:tcPr>
          <w:p w14:paraId="43C74DF6" w14:textId="77777777" w:rsidR="00106292" w:rsidRDefault="00106292" w:rsidP="00255038">
            <w:pPr>
              <w:spacing w:line="276" w:lineRule="auto"/>
              <w:rPr>
                <w:rFonts w:cstheme="minorHAnsi"/>
              </w:rPr>
            </w:pPr>
            <w:r>
              <w:rPr>
                <w:rFonts w:cstheme="minorHAnsi"/>
              </w:rPr>
              <w:t xml:space="preserve">   3 or 4</w:t>
            </w:r>
          </w:p>
        </w:tc>
        <w:tc>
          <w:tcPr>
            <w:tcW w:w="1843" w:type="dxa"/>
            <w:tcBorders>
              <w:left w:val="single" w:sz="4" w:space="0" w:color="auto"/>
            </w:tcBorders>
          </w:tcPr>
          <w:p w14:paraId="5006ADCF" w14:textId="77777777" w:rsidR="00106292" w:rsidRDefault="00106292" w:rsidP="00255038">
            <w:pPr>
              <w:spacing w:line="276" w:lineRule="auto"/>
              <w:jc w:val="center"/>
            </w:pPr>
            <w:r>
              <w:t>0.84 (0.51-1.39)</w:t>
            </w:r>
          </w:p>
        </w:tc>
        <w:tc>
          <w:tcPr>
            <w:tcW w:w="1984" w:type="dxa"/>
            <w:tcBorders>
              <w:right w:val="single" w:sz="4" w:space="0" w:color="auto"/>
            </w:tcBorders>
          </w:tcPr>
          <w:p w14:paraId="2B46B711" w14:textId="77777777" w:rsidR="00106292" w:rsidRDefault="00106292" w:rsidP="00255038">
            <w:pPr>
              <w:spacing w:line="276" w:lineRule="auto"/>
              <w:jc w:val="center"/>
            </w:pPr>
            <w:r>
              <w:t>0.69 (0.40-1.17)</w:t>
            </w:r>
          </w:p>
        </w:tc>
        <w:tc>
          <w:tcPr>
            <w:tcW w:w="1844" w:type="dxa"/>
            <w:tcBorders>
              <w:left w:val="single" w:sz="4" w:space="0" w:color="auto"/>
            </w:tcBorders>
          </w:tcPr>
          <w:p w14:paraId="52E9CAFC" w14:textId="77777777" w:rsidR="00106292" w:rsidRDefault="00106292" w:rsidP="00255038">
            <w:pPr>
              <w:spacing w:line="276" w:lineRule="auto"/>
              <w:jc w:val="center"/>
            </w:pPr>
            <w:r>
              <w:t>0.99 (0.61-1.61)</w:t>
            </w:r>
          </w:p>
        </w:tc>
        <w:tc>
          <w:tcPr>
            <w:tcW w:w="1843" w:type="dxa"/>
          </w:tcPr>
          <w:p w14:paraId="6E1D0E25" w14:textId="77777777" w:rsidR="00106292" w:rsidRDefault="00106292" w:rsidP="00255038">
            <w:pPr>
              <w:spacing w:line="276" w:lineRule="auto"/>
              <w:jc w:val="center"/>
            </w:pPr>
            <w:r>
              <w:t>1.02 (0.62-1.67)</w:t>
            </w:r>
          </w:p>
        </w:tc>
      </w:tr>
      <w:tr w:rsidR="00106292" w14:paraId="73B7D9A7" w14:textId="77777777" w:rsidTr="00255038">
        <w:tc>
          <w:tcPr>
            <w:tcW w:w="2405" w:type="dxa"/>
            <w:tcBorders>
              <w:right w:val="single" w:sz="4" w:space="0" w:color="auto"/>
            </w:tcBorders>
          </w:tcPr>
          <w:p w14:paraId="0931A525" w14:textId="77777777" w:rsidR="00106292" w:rsidRDefault="00106292" w:rsidP="00255038">
            <w:pPr>
              <w:spacing w:line="276" w:lineRule="auto"/>
              <w:rPr>
                <w:rFonts w:cstheme="minorHAnsi"/>
              </w:rPr>
            </w:pPr>
            <w:r>
              <w:rPr>
                <w:rFonts w:cstheme="minorHAnsi"/>
              </w:rPr>
              <w:t>SF12*</w:t>
            </w:r>
          </w:p>
        </w:tc>
        <w:tc>
          <w:tcPr>
            <w:tcW w:w="1843" w:type="dxa"/>
            <w:tcBorders>
              <w:left w:val="single" w:sz="4" w:space="0" w:color="auto"/>
            </w:tcBorders>
          </w:tcPr>
          <w:p w14:paraId="5099286C" w14:textId="77777777" w:rsidR="00106292" w:rsidRDefault="00106292" w:rsidP="00255038">
            <w:pPr>
              <w:spacing w:line="276" w:lineRule="auto"/>
              <w:jc w:val="center"/>
            </w:pPr>
          </w:p>
        </w:tc>
        <w:tc>
          <w:tcPr>
            <w:tcW w:w="1984" w:type="dxa"/>
            <w:tcBorders>
              <w:right w:val="single" w:sz="4" w:space="0" w:color="auto"/>
            </w:tcBorders>
          </w:tcPr>
          <w:p w14:paraId="1EB0A8FA" w14:textId="77777777" w:rsidR="00106292" w:rsidRDefault="00106292" w:rsidP="00255038">
            <w:pPr>
              <w:spacing w:line="276" w:lineRule="auto"/>
              <w:jc w:val="center"/>
            </w:pPr>
          </w:p>
        </w:tc>
        <w:tc>
          <w:tcPr>
            <w:tcW w:w="1844" w:type="dxa"/>
            <w:tcBorders>
              <w:left w:val="single" w:sz="4" w:space="0" w:color="auto"/>
            </w:tcBorders>
          </w:tcPr>
          <w:p w14:paraId="7A4F4E51" w14:textId="77777777" w:rsidR="00106292" w:rsidRDefault="00106292" w:rsidP="00255038">
            <w:pPr>
              <w:spacing w:line="276" w:lineRule="auto"/>
              <w:jc w:val="center"/>
            </w:pPr>
          </w:p>
        </w:tc>
        <w:tc>
          <w:tcPr>
            <w:tcW w:w="1843" w:type="dxa"/>
          </w:tcPr>
          <w:p w14:paraId="4F7C6EEA" w14:textId="77777777" w:rsidR="00106292" w:rsidRDefault="00106292" w:rsidP="00255038">
            <w:pPr>
              <w:spacing w:line="276" w:lineRule="auto"/>
              <w:jc w:val="center"/>
            </w:pPr>
          </w:p>
        </w:tc>
      </w:tr>
      <w:tr w:rsidR="00106292" w14:paraId="04FB548F" w14:textId="77777777" w:rsidTr="00255038">
        <w:tc>
          <w:tcPr>
            <w:tcW w:w="2405" w:type="dxa"/>
            <w:tcBorders>
              <w:right w:val="single" w:sz="4" w:space="0" w:color="auto"/>
            </w:tcBorders>
          </w:tcPr>
          <w:p w14:paraId="6F25C2EB" w14:textId="77777777" w:rsidR="00106292" w:rsidRDefault="00106292" w:rsidP="00255038">
            <w:pPr>
              <w:spacing w:line="276" w:lineRule="auto"/>
              <w:rPr>
                <w:rFonts w:cstheme="minorHAnsi"/>
              </w:rPr>
            </w:pPr>
            <w:r>
              <w:rPr>
                <w:rFonts w:cstheme="minorHAnsi"/>
              </w:rPr>
              <w:t xml:space="preserve">   mcs12</w:t>
            </w:r>
          </w:p>
        </w:tc>
        <w:tc>
          <w:tcPr>
            <w:tcW w:w="1843" w:type="dxa"/>
            <w:tcBorders>
              <w:left w:val="single" w:sz="4" w:space="0" w:color="auto"/>
            </w:tcBorders>
          </w:tcPr>
          <w:p w14:paraId="16B396E7" w14:textId="77777777" w:rsidR="00106292" w:rsidRDefault="00106292" w:rsidP="00255038">
            <w:pPr>
              <w:spacing w:line="276" w:lineRule="auto"/>
              <w:jc w:val="center"/>
            </w:pPr>
            <w:r>
              <w:t>0.99 (0.97-1.004)</w:t>
            </w:r>
          </w:p>
        </w:tc>
        <w:tc>
          <w:tcPr>
            <w:tcW w:w="1984" w:type="dxa"/>
            <w:tcBorders>
              <w:right w:val="single" w:sz="4" w:space="0" w:color="auto"/>
            </w:tcBorders>
          </w:tcPr>
          <w:p w14:paraId="02B0D431" w14:textId="77777777" w:rsidR="00106292" w:rsidRDefault="00106292" w:rsidP="00255038">
            <w:pPr>
              <w:spacing w:line="276" w:lineRule="auto"/>
              <w:jc w:val="center"/>
            </w:pPr>
            <w:r>
              <w:t>0.99 (0.98-1.01)</w:t>
            </w:r>
          </w:p>
        </w:tc>
        <w:tc>
          <w:tcPr>
            <w:tcW w:w="1844" w:type="dxa"/>
            <w:tcBorders>
              <w:left w:val="single" w:sz="4" w:space="0" w:color="auto"/>
            </w:tcBorders>
          </w:tcPr>
          <w:p w14:paraId="54C91F16" w14:textId="77777777" w:rsidR="00106292" w:rsidRDefault="00106292" w:rsidP="00255038">
            <w:pPr>
              <w:spacing w:line="276" w:lineRule="auto"/>
              <w:jc w:val="center"/>
            </w:pPr>
            <w:r>
              <w:t>1.00 (0.99-1.02)</w:t>
            </w:r>
          </w:p>
        </w:tc>
        <w:tc>
          <w:tcPr>
            <w:tcW w:w="1843" w:type="dxa"/>
          </w:tcPr>
          <w:p w14:paraId="42BA6D2E" w14:textId="3EFAD39A" w:rsidR="00106292" w:rsidRDefault="00015ECA" w:rsidP="00255038">
            <w:pPr>
              <w:spacing w:line="276" w:lineRule="auto"/>
              <w:jc w:val="center"/>
            </w:pPr>
            <w:r>
              <w:t>0.99 (0.98-1.01)</w:t>
            </w:r>
          </w:p>
        </w:tc>
      </w:tr>
      <w:tr w:rsidR="00106292" w14:paraId="7C841ED5" w14:textId="77777777" w:rsidTr="00255038">
        <w:tc>
          <w:tcPr>
            <w:tcW w:w="2405" w:type="dxa"/>
            <w:tcBorders>
              <w:right w:val="single" w:sz="4" w:space="0" w:color="auto"/>
            </w:tcBorders>
          </w:tcPr>
          <w:p w14:paraId="38E79311" w14:textId="77777777" w:rsidR="00106292" w:rsidRDefault="00106292" w:rsidP="00255038">
            <w:pPr>
              <w:spacing w:line="276" w:lineRule="auto"/>
              <w:rPr>
                <w:rFonts w:cstheme="minorHAnsi"/>
              </w:rPr>
            </w:pPr>
            <w:r>
              <w:rPr>
                <w:rFonts w:cstheme="minorHAnsi"/>
              </w:rPr>
              <w:t xml:space="preserve">   pcs12</w:t>
            </w:r>
          </w:p>
        </w:tc>
        <w:tc>
          <w:tcPr>
            <w:tcW w:w="1843" w:type="dxa"/>
            <w:tcBorders>
              <w:left w:val="single" w:sz="4" w:space="0" w:color="auto"/>
            </w:tcBorders>
          </w:tcPr>
          <w:p w14:paraId="2701D7F5" w14:textId="77777777" w:rsidR="00106292" w:rsidRDefault="00106292" w:rsidP="00255038">
            <w:pPr>
              <w:spacing w:line="276" w:lineRule="auto"/>
              <w:jc w:val="center"/>
            </w:pPr>
            <w:r>
              <w:t>1.01 (0.99-1.03)</w:t>
            </w:r>
          </w:p>
        </w:tc>
        <w:tc>
          <w:tcPr>
            <w:tcW w:w="1984" w:type="dxa"/>
            <w:tcBorders>
              <w:right w:val="single" w:sz="4" w:space="0" w:color="auto"/>
            </w:tcBorders>
          </w:tcPr>
          <w:p w14:paraId="0CC6913F" w14:textId="77777777" w:rsidR="00106292" w:rsidRDefault="00106292" w:rsidP="00255038">
            <w:pPr>
              <w:spacing w:line="276" w:lineRule="auto"/>
              <w:jc w:val="center"/>
            </w:pPr>
            <w:r>
              <w:t>1.01 (0.99-1.02)</w:t>
            </w:r>
          </w:p>
        </w:tc>
        <w:tc>
          <w:tcPr>
            <w:tcW w:w="1844" w:type="dxa"/>
            <w:tcBorders>
              <w:left w:val="single" w:sz="4" w:space="0" w:color="auto"/>
            </w:tcBorders>
          </w:tcPr>
          <w:p w14:paraId="38BEDD0D" w14:textId="77777777" w:rsidR="00106292" w:rsidRDefault="00106292" w:rsidP="00255038">
            <w:pPr>
              <w:spacing w:line="276" w:lineRule="auto"/>
              <w:jc w:val="center"/>
            </w:pPr>
            <w:r>
              <w:t>0.99 (0.98-1.01)</w:t>
            </w:r>
          </w:p>
        </w:tc>
        <w:tc>
          <w:tcPr>
            <w:tcW w:w="1843" w:type="dxa"/>
          </w:tcPr>
          <w:p w14:paraId="0D331A49" w14:textId="4CDD1F1C" w:rsidR="00106292" w:rsidRDefault="00015ECA" w:rsidP="00255038">
            <w:pPr>
              <w:spacing w:line="276" w:lineRule="auto"/>
              <w:jc w:val="center"/>
            </w:pPr>
            <w:r>
              <w:t>1.01 (0.99-1.03)</w:t>
            </w:r>
          </w:p>
        </w:tc>
      </w:tr>
      <w:tr w:rsidR="00205EB2" w14:paraId="03A36405" w14:textId="77777777" w:rsidTr="00255038">
        <w:tc>
          <w:tcPr>
            <w:tcW w:w="2405" w:type="dxa"/>
            <w:tcBorders>
              <w:right w:val="single" w:sz="4" w:space="0" w:color="auto"/>
            </w:tcBorders>
          </w:tcPr>
          <w:p w14:paraId="6666B187" w14:textId="48218505" w:rsidR="00205EB2" w:rsidRDefault="00205EB2" w:rsidP="00255038">
            <w:pPr>
              <w:spacing w:line="276" w:lineRule="auto"/>
              <w:rPr>
                <w:rFonts w:cstheme="minorHAnsi"/>
              </w:rPr>
            </w:pPr>
            <w:r>
              <w:rPr>
                <w:rFonts w:cstheme="minorHAnsi"/>
              </w:rPr>
              <w:t>FEV1 pre %of predicted</w:t>
            </w:r>
          </w:p>
        </w:tc>
        <w:tc>
          <w:tcPr>
            <w:tcW w:w="1843" w:type="dxa"/>
            <w:tcBorders>
              <w:left w:val="single" w:sz="4" w:space="0" w:color="auto"/>
            </w:tcBorders>
          </w:tcPr>
          <w:p w14:paraId="0CB5724B" w14:textId="231503AD" w:rsidR="00205EB2" w:rsidRDefault="00205EB2" w:rsidP="00255038">
            <w:pPr>
              <w:spacing w:line="276" w:lineRule="auto"/>
              <w:jc w:val="center"/>
            </w:pPr>
            <w:r w:rsidRPr="00205EB2">
              <w:rPr>
                <w:b/>
                <w:lang w:val="en-GB"/>
              </w:rPr>
              <w:t>0.94 (0.93-0.95)</w:t>
            </w:r>
          </w:p>
        </w:tc>
        <w:tc>
          <w:tcPr>
            <w:tcW w:w="1984" w:type="dxa"/>
            <w:tcBorders>
              <w:right w:val="single" w:sz="4" w:space="0" w:color="auto"/>
            </w:tcBorders>
          </w:tcPr>
          <w:p w14:paraId="27EE7074" w14:textId="580FAC9C" w:rsidR="00205EB2" w:rsidRPr="00645CD0" w:rsidRDefault="00881043" w:rsidP="00255038">
            <w:pPr>
              <w:spacing w:line="276" w:lineRule="auto"/>
              <w:jc w:val="center"/>
              <w:rPr>
                <w:b/>
              </w:rPr>
            </w:pPr>
            <w:r w:rsidRPr="00645CD0">
              <w:rPr>
                <w:b/>
              </w:rPr>
              <w:t>0.96 (0.95-0.97)</w:t>
            </w:r>
          </w:p>
        </w:tc>
        <w:tc>
          <w:tcPr>
            <w:tcW w:w="1844" w:type="dxa"/>
            <w:tcBorders>
              <w:left w:val="single" w:sz="4" w:space="0" w:color="auto"/>
            </w:tcBorders>
          </w:tcPr>
          <w:p w14:paraId="015CD761" w14:textId="2E41C6AE" w:rsidR="00205EB2" w:rsidRDefault="00205EB2" w:rsidP="00255038">
            <w:pPr>
              <w:spacing w:line="276" w:lineRule="auto"/>
              <w:jc w:val="center"/>
            </w:pPr>
            <w:r w:rsidRPr="00205EB2">
              <w:rPr>
                <w:b/>
                <w:lang w:val="en-GB"/>
              </w:rPr>
              <w:t>0.9</w:t>
            </w:r>
            <w:r>
              <w:rPr>
                <w:b/>
                <w:lang w:val="en-GB"/>
              </w:rPr>
              <w:t>6</w:t>
            </w:r>
            <w:r w:rsidRPr="00205EB2">
              <w:rPr>
                <w:b/>
                <w:lang w:val="en-GB"/>
              </w:rPr>
              <w:t xml:space="preserve"> (0.9</w:t>
            </w:r>
            <w:r>
              <w:rPr>
                <w:b/>
                <w:lang w:val="en-GB"/>
              </w:rPr>
              <w:t>5</w:t>
            </w:r>
            <w:r w:rsidRPr="00205EB2">
              <w:rPr>
                <w:b/>
                <w:lang w:val="en-GB"/>
              </w:rPr>
              <w:t>-0.9</w:t>
            </w:r>
            <w:r>
              <w:rPr>
                <w:b/>
                <w:lang w:val="en-GB"/>
              </w:rPr>
              <w:t>7</w:t>
            </w:r>
            <w:r w:rsidRPr="00205EB2">
              <w:rPr>
                <w:b/>
                <w:lang w:val="en-GB"/>
              </w:rPr>
              <w:t>)</w:t>
            </w:r>
          </w:p>
        </w:tc>
        <w:tc>
          <w:tcPr>
            <w:tcW w:w="1843" w:type="dxa"/>
          </w:tcPr>
          <w:p w14:paraId="61BF516B" w14:textId="4C4B57D4" w:rsidR="00205EB2" w:rsidRPr="00645CD0" w:rsidRDefault="00015ECA" w:rsidP="00255038">
            <w:pPr>
              <w:spacing w:line="276" w:lineRule="auto"/>
              <w:jc w:val="center"/>
              <w:rPr>
                <w:b/>
              </w:rPr>
            </w:pPr>
            <w:r w:rsidRPr="00645CD0">
              <w:rPr>
                <w:b/>
              </w:rPr>
              <w:t>0.97 (0.96-0.98)</w:t>
            </w:r>
          </w:p>
        </w:tc>
      </w:tr>
      <w:tr w:rsidR="00C728B5" w14:paraId="447648F6" w14:textId="77777777" w:rsidTr="00255038">
        <w:tc>
          <w:tcPr>
            <w:tcW w:w="2405" w:type="dxa"/>
            <w:tcBorders>
              <w:right w:val="single" w:sz="4" w:space="0" w:color="auto"/>
            </w:tcBorders>
          </w:tcPr>
          <w:p w14:paraId="34A6B701" w14:textId="08D9D7B8" w:rsidR="00C728B5" w:rsidRPr="0087303D" w:rsidRDefault="00C728B5" w:rsidP="00255038">
            <w:pPr>
              <w:spacing w:line="276" w:lineRule="auto"/>
              <w:rPr>
                <w:rFonts w:cstheme="minorHAnsi"/>
                <w:lang w:val="en-GB"/>
              </w:rPr>
            </w:pPr>
            <w:r w:rsidRPr="0087303D">
              <w:rPr>
                <w:rFonts w:cstheme="minorHAnsi"/>
                <w:lang w:val="en-GB"/>
              </w:rPr>
              <w:t>F</w:t>
            </w:r>
            <w:r>
              <w:rPr>
                <w:rFonts w:cstheme="minorHAnsi"/>
                <w:lang w:val="en-GB"/>
              </w:rPr>
              <w:t xml:space="preserve">VC pre </w:t>
            </w:r>
            <w:r w:rsidRPr="0087303D">
              <w:rPr>
                <w:rFonts w:cstheme="minorHAnsi"/>
                <w:lang w:val="en-GB"/>
              </w:rPr>
              <w:t xml:space="preserve"> </w:t>
            </w:r>
            <w:r>
              <w:rPr>
                <w:rFonts w:cstheme="minorHAnsi"/>
                <w:lang w:val="en-GB"/>
              </w:rPr>
              <w:t xml:space="preserve">% </w:t>
            </w:r>
            <w:r w:rsidRPr="0087303D">
              <w:rPr>
                <w:rFonts w:cstheme="minorHAnsi"/>
                <w:lang w:val="en-GB"/>
              </w:rPr>
              <w:t>of predicted</w:t>
            </w:r>
          </w:p>
        </w:tc>
        <w:tc>
          <w:tcPr>
            <w:tcW w:w="1843" w:type="dxa"/>
            <w:tcBorders>
              <w:left w:val="single" w:sz="4" w:space="0" w:color="auto"/>
              <w:bottom w:val="single" w:sz="4" w:space="0" w:color="auto"/>
            </w:tcBorders>
          </w:tcPr>
          <w:p w14:paraId="7AC7635F" w14:textId="19131ABF" w:rsidR="00C728B5" w:rsidRPr="00205EB2" w:rsidRDefault="00C728B5" w:rsidP="00255038">
            <w:pPr>
              <w:spacing w:line="276" w:lineRule="auto"/>
              <w:jc w:val="center"/>
              <w:rPr>
                <w:b/>
                <w:lang w:val="en-GB"/>
              </w:rPr>
            </w:pPr>
            <w:r>
              <w:rPr>
                <w:b/>
                <w:lang w:val="en-GB"/>
              </w:rPr>
              <w:t>0.96 (0.95-0.97)</w:t>
            </w:r>
          </w:p>
        </w:tc>
        <w:tc>
          <w:tcPr>
            <w:tcW w:w="1984" w:type="dxa"/>
            <w:tcBorders>
              <w:bottom w:val="single" w:sz="4" w:space="0" w:color="auto"/>
              <w:right w:val="single" w:sz="4" w:space="0" w:color="auto"/>
            </w:tcBorders>
          </w:tcPr>
          <w:p w14:paraId="4E3C34B0" w14:textId="69247849" w:rsidR="00C728B5" w:rsidRPr="00645CD0" w:rsidRDefault="00881043" w:rsidP="00255038">
            <w:pPr>
              <w:spacing w:line="276" w:lineRule="auto"/>
              <w:jc w:val="center"/>
              <w:rPr>
                <w:b/>
              </w:rPr>
            </w:pPr>
            <w:r w:rsidRPr="00645CD0">
              <w:rPr>
                <w:b/>
              </w:rPr>
              <w:t>0.98 (0.97-0.98)</w:t>
            </w:r>
          </w:p>
        </w:tc>
        <w:tc>
          <w:tcPr>
            <w:tcW w:w="1844" w:type="dxa"/>
            <w:tcBorders>
              <w:left w:val="single" w:sz="4" w:space="0" w:color="auto"/>
            </w:tcBorders>
          </w:tcPr>
          <w:p w14:paraId="76BE2378" w14:textId="0CF5CC5C" w:rsidR="00C728B5" w:rsidRPr="00205EB2" w:rsidRDefault="00C728B5" w:rsidP="00255038">
            <w:pPr>
              <w:spacing w:line="276" w:lineRule="auto"/>
              <w:jc w:val="center"/>
              <w:rPr>
                <w:b/>
                <w:lang w:val="en-GB"/>
              </w:rPr>
            </w:pPr>
            <w:r>
              <w:rPr>
                <w:b/>
                <w:lang w:val="en-GB"/>
              </w:rPr>
              <w:t>0.95 (0.94-0.96)</w:t>
            </w:r>
          </w:p>
        </w:tc>
        <w:tc>
          <w:tcPr>
            <w:tcW w:w="1843" w:type="dxa"/>
          </w:tcPr>
          <w:p w14:paraId="7763A322" w14:textId="6486CC8A" w:rsidR="00C728B5" w:rsidRPr="00645CD0" w:rsidRDefault="00015ECA" w:rsidP="00255038">
            <w:pPr>
              <w:spacing w:line="276" w:lineRule="auto"/>
              <w:jc w:val="center"/>
              <w:rPr>
                <w:b/>
              </w:rPr>
            </w:pPr>
            <w:r w:rsidRPr="00645CD0">
              <w:rPr>
                <w:b/>
              </w:rPr>
              <w:t>0.96 (0.96-0.97)</w:t>
            </w:r>
          </w:p>
        </w:tc>
      </w:tr>
    </w:tbl>
    <w:p w14:paraId="739FDA0C" w14:textId="77777777" w:rsidR="00106292" w:rsidRPr="0087303D" w:rsidRDefault="00106292" w:rsidP="00106292">
      <w:pPr>
        <w:rPr>
          <w:lang w:val="en-GB"/>
        </w:rPr>
      </w:pPr>
    </w:p>
    <w:p w14:paraId="567CE430" w14:textId="0C0BC06A" w:rsidR="00106292" w:rsidRPr="00467904" w:rsidRDefault="00950EC3" w:rsidP="00106292">
      <w:pPr>
        <w:rPr>
          <w:lang w:val="en-GB"/>
        </w:rPr>
      </w:pPr>
      <w:r>
        <w:rPr>
          <w:lang w:val="en-GB"/>
        </w:rPr>
        <w:t>*</w:t>
      </w:r>
      <w:r w:rsidR="00106292" w:rsidRPr="00467904">
        <w:rPr>
          <w:lang w:val="en-GB"/>
        </w:rPr>
        <w:t>Adjus</w:t>
      </w:r>
      <w:r w:rsidR="007573E2">
        <w:rPr>
          <w:lang w:val="en-GB"/>
        </w:rPr>
        <w:t>ted</w:t>
      </w:r>
      <w:r>
        <w:rPr>
          <w:lang w:val="en-GB"/>
        </w:rPr>
        <w:t xml:space="preserve"> by</w:t>
      </w:r>
      <w:r w:rsidR="00106292" w:rsidRPr="00467904">
        <w:rPr>
          <w:lang w:val="en-GB"/>
        </w:rPr>
        <w:t xml:space="preserve"> sex, age, BMI, smoking, </w:t>
      </w:r>
      <w:r w:rsidR="006B0989">
        <w:rPr>
          <w:lang w:val="en-GB"/>
        </w:rPr>
        <w:t xml:space="preserve">prebronchodilator </w:t>
      </w:r>
      <w:r w:rsidR="00106292" w:rsidRPr="00467904">
        <w:rPr>
          <w:lang w:val="en-GB"/>
        </w:rPr>
        <w:t xml:space="preserve">FEV1 </w:t>
      </w:r>
      <w:r>
        <w:rPr>
          <w:lang w:val="en-GB"/>
        </w:rPr>
        <w:t>and study</w:t>
      </w:r>
    </w:p>
    <w:p w14:paraId="104AD996" w14:textId="14D3244B" w:rsidR="00106292" w:rsidRPr="00182DE9" w:rsidRDefault="00106292" w:rsidP="00182DE9">
      <w:pPr>
        <w:spacing w:line="360" w:lineRule="auto"/>
        <w:rPr>
          <w:sz w:val="24"/>
          <w:szCs w:val="24"/>
          <w:lang w:val="en-GB"/>
        </w:rPr>
      </w:pPr>
      <w:r w:rsidRPr="00182DE9">
        <w:rPr>
          <w:sz w:val="24"/>
          <w:szCs w:val="24"/>
          <w:lang w:val="en-GB"/>
        </w:rPr>
        <w:t xml:space="preserve"> </w:t>
      </w:r>
    </w:p>
    <w:p w14:paraId="228A024C" w14:textId="77777777" w:rsidR="00106292" w:rsidRPr="00182DE9" w:rsidRDefault="00106292" w:rsidP="00182DE9">
      <w:pPr>
        <w:spacing w:line="360" w:lineRule="auto"/>
        <w:rPr>
          <w:sz w:val="24"/>
          <w:szCs w:val="24"/>
          <w:lang w:val="en-GB"/>
        </w:rPr>
      </w:pPr>
    </w:p>
    <w:p w14:paraId="2386D6EE" w14:textId="77777777" w:rsidR="00106292" w:rsidRPr="00182DE9" w:rsidRDefault="00106292" w:rsidP="00182DE9">
      <w:pPr>
        <w:spacing w:line="360" w:lineRule="auto"/>
        <w:rPr>
          <w:sz w:val="24"/>
          <w:szCs w:val="24"/>
          <w:lang w:val="en-GB"/>
        </w:rPr>
      </w:pPr>
    </w:p>
    <w:p w14:paraId="06F04095" w14:textId="77777777" w:rsidR="00106292" w:rsidRPr="00182DE9" w:rsidRDefault="00106292" w:rsidP="00182DE9">
      <w:pPr>
        <w:spacing w:line="360" w:lineRule="auto"/>
        <w:rPr>
          <w:sz w:val="24"/>
          <w:szCs w:val="24"/>
          <w:lang w:val="en-GB"/>
        </w:rPr>
      </w:pPr>
    </w:p>
    <w:p w14:paraId="56191D9D" w14:textId="3FB931C8" w:rsidR="00182DE9" w:rsidRDefault="00182DE9">
      <w:pPr>
        <w:spacing w:after="200" w:line="276" w:lineRule="auto"/>
        <w:rPr>
          <w:sz w:val="24"/>
          <w:szCs w:val="24"/>
          <w:lang w:val="en-GB"/>
        </w:rPr>
      </w:pPr>
      <w:r>
        <w:rPr>
          <w:sz w:val="24"/>
          <w:szCs w:val="24"/>
          <w:lang w:val="en-GB"/>
        </w:rPr>
        <w:br w:type="page"/>
      </w:r>
    </w:p>
    <w:p w14:paraId="3EB7AC9C" w14:textId="25AAA7D0" w:rsidR="0047184B" w:rsidRDefault="00182DE9" w:rsidP="00182DE9">
      <w:pPr>
        <w:tabs>
          <w:tab w:val="left" w:pos="426"/>
          <w:tab w:val="left" w:pos="567"/>
        </w:tabs>
        <w:spacing w:line="360" w:lineRule="auto"/>
        <w:rPr>
          <w:sz w:val="24"/>
          <w:szCs w:val="24"/>
          <w:lang w:val="en-GB"/>
        </w:rPr>
      </w:pPr>
      <w:r w:rsidRPr="007A2601">
        <w:rPr>
          <w:b/>
          <w:sz w:val="24"/>
          <w:szCs w:val="24"/>
          <w:lang w:val="en-GB"/>
        </w:rPr>
        <w:t>Figure 1</w:t>
      </w:r>
      <w:r w:rsidR="007A2601" w:rsidRPr="007A2601">
        <w:rPr>
          <w:b/>
          <w:sz w:val="24"/>
          <w:szCs w:val="24"/>
          <w:lang w:val="en-GB"/>
        </w:rPr>
        <w:t>.</w:t>
      </w:r>
      <w:r w:rsidR="007A2601">
        <w:rPr>
          <w:sz w:val="24"/>
          <w:szCs w:val="24"/>
          <w:lang w:val="en-GB"/>
        </w:rPr>
        <w:t xml:space="preserve"> Study design</w:t>
      </w:r>
    </w:p>
    <w:p w14:paraId="5BDED2AC" w14:textId="20F68CC5" w:rsidR="00182DE9" w:rsidRDefault="00182DE9" w:rsidP="00182DE9">
      <w:pPr>
        <w:tabs>
          <w:tab w:val="left" w:pos="426"/>
          <w:tab w:val="left" w:pos="567"/>
        </w:tabs>
        <w:spacing w:line="360" w:lineRule="auto"/>
        <w:rPr>
          <w:sz w:val="24"/>
          <w:szCs w:val="24"/>
          <w:lang w:val="en-GB"/>
        </w:rPr>
      </w:pPr>
    </w:p>
    <w:p w14:paraId="3F5B1D32" w14:textId="77777777" w:rsidR="007A2601" w:rsidRDefault="007A2601" w:rsidP="00182DE9">
      <w:pPr>
        <w:tabs>
          <w:tab w:val="left" w:pos="426"/>
          <w:tab w:val="left" w:pos="567"/>
        </w:tabs>
        <w:spacing w:line="360" w:lineRule="auto"/>
        <w:rPr>
          <w:sz w:val="24"/>
          <w:szCs w:val="24"/>
          <w:lang w:val="en-GB"/>
        </w:rPr>
      </w:pPr>
    </w:p>
    <w:p w14:paraId="0BBED76F" w14:textId="0F45D4D8" w:rsidR="007A2601" w:rsidRDefault="00182DE9" w:rsidP="00182DE9">
      <w:pPr>
        <w:tabs>
          <w:tab w:val="left" w:pos="426"/>
          <w:tab w:val="left" w:pos="567"/>
        </w:tabs>
        <w:spacing w:line="360" w:lineRule="auto"/>
        <w:rPr>
          <w:sz w:val="24"/>
          <w:szCs w:val="24"/>
          <w:lang w:val="en-GB"/>
        </w:rPr>
      </w:pPr>
      <w:r w:rsidRPr="00121154">
        <w:rPr>
          <w:b/>
          <w:sz w:val="24"/>
          <w:szCs w:val="24"/>
          <w:lang w:val="en-GB"/>
        </w:rPr>
        <w:t>Figure 2</w:t>
      </w:r>
      <w:r w:rsidR="007A2601" w:rsidRPr="00121154">
        <w:rPr>
          <w:b/>
          <w:sz w:val="24"/>
          <w:szCs w:val="24"/>
          <w:lang w:val="en-GB"/>
        </w:rPr>
        <w:t>.</w:t>
      </w:r>
      <w:r w:rsidR="007A2601">
        <w:rPr>
          <w:sz w:val="24"/>
          <w:szCs w:val="24"/>
          <w:lang w:val="en-GB"/>
        </w:rPr>
        <w:t xml:space="preserve"> Association between bronchodilator </w:t>
      </w:r>
      <w:r w:rsidR="00121154">
        <w:rPr>
          <w:sz w:val="24"/>
          <w:szCs w:val="24"/>
          <w:lang w:val="en-GB"/>
        </w:rPr>
        <w:t>responsiveness and asthma (circle) and COPD (triangle) with participants without airway disease as the reference group. The association is expressed as odds ratio (95% confidence interval) adjusted for prebronchodilator FEV1</w:t>
      </w:r>
    </w:p>
    <w:p w14:paraId="5F7B0884" w14:textId="45F6B246" w:rsidR="00182DE9" w:rsidRDefault="00182DE9" w:rsidP="00182DE9">
      <w:pPr>
        <w:tabs>
          <w:tab w:val="left" w:pos="426"/>
          <w:tab w:val="left" w:pos="567"/>
        </w:tabs>
        <w:spacing w:line="360" w:lineRule="auto"/>
        <w:rPr>
          <w:sz w:val="24"/>
          <w:szCs w:val="24"/>
          <w:lang w:val="en-GB"/>
        </w:rPr>
      </w:pPr>
    </w:p>
    <w:p w14:paraId="4C1F15D9" w14:textId="77777777" w:rsidR="00121154" w:rsidRDefault="00121154" w:rsidP="00182DE9">
      <w:pPr>
        <w:tabs>
          <w:tab w:val="left" w:pos="426"/>
          <w:tab w:val="left" w:pos="567"/>
        </w:tabs>
        <w:spacing w:line="360" w:lineRule="auto"/>
        <w:rPr>
          <w:sz w:val="24"/>
          <w:szCs w:val="24"/>
          <w:lang w:val="en-GB"/>
        </w:rPr>
      </w:pPr>
    </w:p>
    <w:p w14:paraId="2C6E04A8" w14:textId="6F38F16A" w:rsidR="00182DE9" w:rsidRPr="00182DE9" w:rsidRDefault="00182DE9" w:rsidP="00182DE9">
      <w:pPr>
        <w:tabs>
          <w:tab w:val="left" w:pos="426"/>
          <w:tab w:val="left" w:pos="567"/>
        </w:tabs>
        <w:spacing w:line="360" w:lineRule="auto"/>
        <w:rPr>
          <w:sz w:val="24"/>
          <w:szCs w:val="24"/>
          <w:lang w:val="en-GB"/>
        </w:rPr>
      </w:pPr>
    </w:p>
    <w:sectPr w:rsidR="00182DE9" w:rsidRPr="00182DE9" w:rsidSect="001F6A35">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950640" w16cid:durableId="1ECD594E"/>
  <w16cid:commentId w16cid:paraId="531032FC" w16cid:durableId="1ECD5A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005A6" w14:textId="77777777" w:rsidR="00EF17A6" w:rsidRDefault="00EF17A6" w:rsidP="003F7039">
      <w:r>
        <w:separator/>
      </w:r>
    </w:p>
  </w:endnote>
  <w:endnote w:type="continuationSeparator" w:id="0">
    <w:p w14:paraId="600005A7" w14:textId="77777777" w:rsidR="00EF17A6" w:rsidRDefault="00EF17A6" w:rsidP="003F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calaLancetPro">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451953"/>
      <w:docPartObj>
        <w:docPartGallery w:val="Page Numbers (Bottom of Page)"/>
        <w:docPartUnique/>
      </w:docPartObj>
    </w:sdtPr>
    <w:sdtEndPr/>
    <w:sdtContent>
      <w:p w14:paraId="0E371178" w14:textId="1717BDCA" w:rsidR="00EF17A6" w:rsidRDefault="00EF17A6">
        <w:pPr>
          <w:pStyle w:val="Footer"/>
          <w:jc w:val="right"/>
        </w:pPr>
        <w:r>
          <w:fldChar w:fldCharType="begin"/>
        </w:r>
        <w:r>
          <w:instrText>PAGE   \* MERGEFORMAT</w:instrText>
        </w:r>
        <w:r>
          <w:fldChar w:fldCharType="separate"/>
        </w:r>
        <w:r w:rsidR="00F86D6B">
          <w:rPr>
            <w:noProof/>
          </w:rPr>
          <w:t>1</w:t>
        </w:r>
        <w:r>
          <w:fldChar w:fldCharType="end"/>
        </w:r>
      </w:p>
    </w:sdtContent>
  </w:sdt>
  <w:p w14:paraId="600005A9" w14:textId="77777777" w:rsidR="00EF17A6" w:rsidRDefault="00EF1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005A4" w14:textId="77777777" w:rsidR="00EF17A6" w:rsidRDefault="00EF17A6" w:rsidP="003F7039">
      <w:r>
        <w:separator/>
      </w:r>
    </w:p>
  </w:footnote>
  <w:footnote w:type="continuationSeparator" w:id="0">
    <w:p w14:paraId="600005A5" w14:textId="77777777" w:rsidR="00EF17A6" w:rsidRDefault="00EF17A6" w:rsidP="003F7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E76D4"/>
    <w:multiLevelType w:val="hybridMultilevel"/>
    <w:tmpl w:val="9E2C798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61C616C"/>
    <w:multiLevelType w:val="hybridMultilevel"/>
    <w:tmpl w:val="EFD209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80B0404"/>
    <w:multiLevelType w:val="hybridMultilevel"/>
    <w:tmpl w:val="A932758C"/>
    <w:lvl w:ilvl="0" w:tplc="E5C438AA">
      <w:start w:val="1"/>
      <w:numFmt w:val="decimal"/>
      <w:lvlText w:val="%1"/>
      <w:lvlJc w:val="left"/>
      <w:pPr>
        <w:ind w:left="1668" w:hanging="1308"/>
      </w:pPr>
      <w:rPr>
        <w:rFonts w:hint="default"/>
        <w:sz w:val="20"/>
        <w:szCs w:val="20"/>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7595C39"/>
    <w:multiLevelType w:val="hybridMultilevel"/>
    <w:tmpl w:val="34F2876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50CC5F41"/>
    <w:multiLevelType w:val="hybridMultilevel"/>
    <w:tmpl w:val="7DD491D2"/>
    <w:lvl w:ilvl="0" w:tplc="8B6042C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a0zs50u0r95uefza7pfve6tsvsrstapza9&quot;&gt;My EndNote Library&lt;record-ids&gt;&lt;item&gt;714&lt;/item&gt;&lt;item&gt;1144&lt;/item&gt;&lt;item&gt;1329&lt;/item&gt;&lt;item&gt;1999&lt;/item&gt;&lt;item&gt;2102&lt;/item&gt;&lt;item&gt;2223&lt;/item&gt;&lt;item&gt;2227&lt;/item&gt;&lt;/record-ids&gt;&lt;/item&gt;&lt;/Libraries&gt;"/>
  </w:docVars>
  <w:rsids>
    <w:rsidRoot w:val="00FD669F"/>
    <w:rsid w:val="000036BD"/>
    <w:rsid w:val="00004DA6"/>
    <w:rsid w:val="00006B14"/>
    <w:rsid w:val="00006B44"/>
    <w:rsid w:val="00007081"/>
    <w:rsid w:val="000070F3"/>
    <w:rsid w:val="0000781E"/>
    <w:rsid w:val="0001368E"/>
    <w:rsid w:val="00014A6C"/>
    <w:rsid w:val="00015ECA"/>
    <w:rsid w:val="00023B24"/>
    <w:rsid w:val="00030D61"/>
    <w:rsid w:val="00033921"/>
    <w:rsid w:val="00036572"/>
    <w:rsid w:val="00040C3B"/>
    <w:rsid w:val="00041FC6"/>
    <w:rsid w:val="00043705"/>
    <w:rsid w:val="00044C67"/>
    <w:rsid w:val="000472B0"/>
    <w:rsid w:val="00052E4E"/>
    <w:rsid w:val="0005590F"/>
    <w:rsid w:val="00060EF9"/>
    <w:rsid w:val="00060FA8"/>
    <w:rsid w:val="00061DB3"/>
    <w:rsid w:val="00067E67"/>
    <w:rsid w:val="00070023"/>
    <w:rsid w:val="000703FD"/>
    <w:rsid w:val="000771CC"/>
    <w:rsid w:val="000811B2"/>
    <w:rsid w:val="00081711"/>
    <w:rsid w:val="00082650"/>
    <w:rsid w:val="00082E45"/>
    <w:rsid w:val="00086332"/>
    <w:rsid w:val="000865E4"/>
    <w:rsid w:val="00086B81"/>
    <w:rsid w:val="00093538"/>
    <w:rsid w:val="000958BB"/>
    <w:rsid w:val="00097A46"/>
    <w:rsid w:val="000A06E4"/>
    <w:rsid w:val="000A212C"/>
    <w:rsid w:val="000A34A0"/>
    <w:rsid w:val="000A632B"/>
    <w:rsid w:val="000A7E6F"/>
    <w:rsid w:val="000B1056"/>
    <w:rsid w:val="000B361F"/>
    <w:rsid w:val="000C00F3"/>
    <w:rsid w:val="000C0A70"/>
    <w:rsid w:val="000C3A54"/>
    <w:rsid w:val="000D07B2"/>
    <w:rsid w:val="000D2E8E"/>
    <w:rsid w:val="000D3A74"/>
    <w:rsid w:val="000D50F2"/>
    <w:rsid w:val="000D62BA"/>
    <w:rsid w:val="000E3549"/>
    <w:rsid w:val="000E599A"/>
    <w:rsid w:val="000F0522"/>
    <w:rsid w:val="000F1809"/>
    <w:rsid w:val="000F3BC3"/>
    <w:rsid w:val="000F5330"/>
    <w:rsid w:val="000F7876"/>
    <w:rsid w:val="00105465"/>
    <w:rsid w:val="00105570"/>
    <w:rsid w:val="00106292"/>
    <w:rsid w:val="00106CCE"/>
    <w:rsid w:val="0011181F"/>
    <w:rsid w:val="001141A0"/>
    <w:rsid w:val="00121154"/>
    <w:rsid w:val="001338C3"/>
    <w:rsid w:val="00140F7D"/>
    <w:rsid w:val="001506AB"/>
    <w:rsid w:val="00151B8E"/>
    <w:rsid w:val="00161E2F"/>
    <w:rsid w:val="0016206E"/>
    <w:rsid w:val="00164F2F"/>
    <w:rsid w:val="00165AE5"/>
    <w:rsid w:val="00172F14"/>
    <w:rsid w:val="00173E4F"/>
    <w:rsid w:val="00177FD2"/>
    <w:rsid w:val="00182481"/>
    <w:rsid w:val="00182DE9"/>
    <w:rsid w:val="00184C5C"/>
    <w:rsid w:val="001859DF"/>
    <w:rsid w:val="0019143B"/>
    <w:rsid w:val="00197B35"/>
    <w:rsid w:val="00197BC4"/>
    <w:rsid w:val="001A1644"/>
    <w:rsid w:val="001A1BE3"/>
    <w:rsid w:val="001A7DCD"/>
    <w:rsid w:val="001B0E99"/>
    <w:rsid w:val="001B14EE"/>
    <w:rsid w:val="001B63B9"/>
    <w:rsid w:val="001B6943"/>
    <w:rsid w:val="001B6B77"/>
    <w:rsid w:val="001B6C05"/>
    <w:rsid w:val="001C0B71"/>
    <w:rsid w:val="001C2EE4"/>
    <w:rsid w:val="001C3691"/>
    <w:rsid w:val="001C7F89"/>
    <w:rsid w:val="001D4D3B"/>
    <w:rsid w:val="001D5EA3"/>
    <w:rsid w:val="001D76E7"/>
    <w:rsid w:val="001E2021"/>
    <w:rsid w:val="001E2102"/>
    <w:rsid w:val="001F2FEB"/>
    <w:rsid w:val="001F36AE"/>
    <w:rsid w:val="001F670E"/>
    <w:rsid w:val="001F6A35"/>
    <w:rsid w:val="001F7A2C"/>
    <w:rsid w:val="00205EB2"/>
    <w:rsid w:val="0020679C"/>
    <w:rsid w:val="00207056"/>
    <w:rsid w:val="002121B9"/>
    <w:rsid w:val="002121FA"/>
    <w:rsid w:val="0021369B"/>
    <w:rsid w:val="00220F96"/>
    <w:rsid w:val="002229C1"/>
    <w:rsid w:val="00225AAC"/>
    <w:rsid w:val="00231701"/>
    <w:rsid w:val="00231AC0"/>
    <w:rsid w:val="0023370B"/>
    <w:rsid w:val="002367C5"/>
    <w:rsid w:val="00236CAC"/>
    <w:rsid w:val="00240700"/>
    <w:rsid w:val="0024083D"/>
    <w:rsid w:val="002436B3"/>
    <w:rsid w:val="00244A65"/>
    <w:rsid w:val="00247F28"/>
    <w:rsid w:val="00255038"/>
    <w:rsid w:val="002602C9"/>
    <w:rsid w:val="00261B0E"/>
    <w:rsid w:val="00261B30"/>
    <w:rsid w:val="0026288D"/>
    <w:rsid w:val="0027147A"/>
    <w:rsid w:val="002755C5"/>
    <w:rsid w:val="00281D66"/>
    <w:rsid w:val="0028373D"/>
    <w:rsid w:val="002875CA"/>
    <w:rsid w:val="002904BF"/>
    <w:rsid w:val="002910B6"/>
    <w:rsid w:val="002940BE"/>
    <w:rsid w:val="00294103"/>
    <w:rsid w:val="00294B6E"/>
    <w:rsid w:val="002A0A3B"/>
    <w:rsid w:val="002A39FC"/>
    <w:rsid w:val="002B43F3"/>
    <w:rsid w:val="002C1718"/>
    <w:rsid w:val="002C1735"/>
    <w:rsid w:val="002C27F3"/>
    <w:rsid w:val="002C3446"/>
    <w:rsid w:val="002C7129"/>
    <w:rsid w:val="002D15D6"/>
    <w:rsid w:val="002D17FB"/>
    <w:rsid w:val="002D4F40"/>
    <w:rsid w:val="002D632D"/>
    <w:rsid w:val="002D6F27"/>
    <w:rsid w:val="002E2F57"/>
    <w:rsid w:val="002F19C8"/>
    <w:rsid w:val="002F1B59"/>
    <w:rsid w:val="002F375E"/>
    <w:rsid w:val="002F42B0"/>
    <w:rsid w:val="002F56D2"/>
    <w:rsid w:val="002F5DE3"/>
    <w:rsid w:val="002F62DE"/>
    <w:rsid w:val="00301041"/>
    <w:rsid w:val="00305D69"/>
    <w:rsid w:val="0030670B"/>
    <w:rsid w:val="00311E94"/>
    <w:rsid w:val="00315A51"/>
    <w:rsid w:val="00325B0C"/>
    <w:rsid w:val="003327B9"/>
    <w:rsid w:val="00332956"/>
    <w:rsid w:val="0033474F"/>
    <w:rsid w:val="00341B82"/>
    <w:rsid w:val="00342A37"/>
    <w:rsid w:val="00343137"/>
    <w:rsid w:val="00355E77"/>
    <w:rsid w:val="003567F5"/>
    <w:rsid w:val="00367B69"/>
    <w:rsid w:val="00371513"/>
    <w:rsid w:val="0037326A"/>
    <w:rsid w:val="00373ABE"/>
    <w:rsid w:val="00380EC3"/>
    <w:rsid w:val="00381E11"/>
    <w:rsid w:val="003821D7"/>
    <w:rsid w:val="00382281"/>
    <w:rsid w:val="00382E60"/>
    <w:rsid w:val="0038466A"/>
    <w:rsid w:val="00386E89"/>
    <w:rsid w:val="00387E5C"/>
    <w:rsid w:val="00397F31"/>
    <w:rsid w:val="003A252B"/>
    <w:rsid w:val="003A7D12"/>
    <w:rsid w:val="003B0A10"/>
    <w:rsid w:val="003B7728"/>
    <w:rsid w:val="003C49AE"/>
    <w:rsid w:val="003D09C2"/>
    <w:rsid w:val="003D1462"/>
    <w:rsid w:val="003D3146"/>
    <w:rsid w:val="003E09E5"/>
    <w:rsid w:val="003E36A0"/>
    <w:rsid w:val="003E4612"/>
    <w:rsid w:val="003E54AA"/>
    <w:rsid w:val="003F04FA"/>
    <w:rsid w:val="003F0EFC"/>
    <w:rsid w:val="003F1BE5"/>
    <w:rsid w:val="003F25F5"/>
    <w:rsid w:val="003F266D"/>
    <w:rsid w:val="003F33F7"/>
    <w:rsid w:val="003F3D02"/>
    <w:rsid w:val="003F41F4"/>
    <w:rsid w:val="003F6BBB"/>
    <w:rsid w:val="003F7039"/>
    <w:rsid w:val="004030AF"/>
    <w:rsid w:val="0041072A"/>
    <w:rsid w:val="00411CEF"/>
    <w:rsid w:val="00411D5D"/>
    <w:rsid w:val="00427E1F"/>
    <w:rsid w:val="00430519"/>
    <w:rsid w:val="00444EAA"/>
    <w:rsid w:val="0044763A"/>
    <w:rsid w:val="004502B9"/>
    <w:rsid w:val="0045051A"/>
    <w:rsid w:val="00450FE1"/>
    <w:rsid w:val="0045207E"/>
    <w:rsid w:val="004522ED"/>
    <w:rsid w:val="00452721"/>
    <w:rsid w:val="00452A01"/>
    <w:rsid w:val="004616D7"/>
    <w:rsid w:val="0046258A"/>
    <w:rsid w:val="00464C9A"/>
    <w:rsid w:val="00464FD3"/>
    <w:rsid w:val="00466885"/>
    <w:rsid w:val="00467904"/>
    <w:rsid w:val="00467EAD"/>
    <w:rsid w:val="0047184B"/>
    <w:rsid w:val="00473E54"/>
    <w:rsid w:val="00474E39"/>
    <w:rsid w:val="0047768C"/>
    <w:rsid w:val="00482BEF"/>
    <w:rsid w:val="00482C48"/>
    <w:rsid w:val="004842B5"/>
    <w:rsid w:val="00486CB4"/>
    <w:rsid w:val="00496F72"/>
    <w:rsid w:val="0049788F"/>
    <w:rsid w:val="004A552F"/>
    <w:rsid w:val="004A6659"/>
    <w:rsid w:val="004A672C"/>
    <w:rsid w:val="004A71B2"/>
    <w:rsid w:val="004A7698"/>
    <w:rsid w:val="004B1296"/>
    <w:rsid w:val="004B5F87"/>
    <w:rsid w:val="004B6610"/>
    <w:rsid w:val="004C06F1"/>
    <w:rsid w:val="004C17D4"/>
    <w:rsid w:val="004C45D9"/>
    <w:rsid w:val="004C4A99"/>
    <w:rsid w:val="004E4734"/>
    <w:rsid w:val="004F25E8"/>
    <w:rsid w:val="004F4B59"/>
    <w:rsid w:val="004F50E8"/>
    <w:rsid w:val="00501361"/>
    <w:rsid w:val="005027DA"/>
    <w:rsid w:val="00503248"/>
    <w:rsid w:val="005047A6"/>
    <w:rsid w:val="00504FAF"/>
    <w:rsid w:val="00506752"/>
    <w:rsid w:val="005103D2"/>
    <w:rsid w:val="005219E9"/>
    <w:rsid w:val="0052538F"/>
    <w:rsid w:val="00530C7B"/>
    <w:rsid w:val="005343AD"/>
    <w:rsid w:val="005350CE"/>
    <w:rsid w:val="00535351"/>
    <w:rsid w:val="0053762D"/>
    <w:rsid w:val="00537CAD"/>
    <w:rsid w:val="00542D03"/>
    <w:rsid w:val="00543E15"/>
    <w:rsid w:val="005467AD"/>
    <w:rsid w:val="00546CD2"/>
    <w:rsid w:val="00547D0B"/>
    <w:rsid w:val="005507E2"/>
    <w:rsid w:val="005514E0"/>
    <w:rsid w:val="00552551"/>
    <w:rsid w:val="00553EF3"/>
    <w:rsid w:val="00554F1A"/>
    <w:rsid w:val="00556A56"/>
    <w:rsid w:val="00567968"/>
    <w:rsid w:val="00575351"/>
    <w:rsid w:val="005766E3"/>
    <w:rsid w:val="00592620"/>
    <w:rsid w:val="00593D21"/>
    <w:rsid w:val="0059552C"/>
    <w:rsid w:val="005A172C"/>
    <w:rsid w:val="005A3555"/>
    <w:rsid w:val="005A44F0"/>
    <w:rsid w:val="005A5B10"/>
    <w:rsid w:val="005A5E9E"/>
    <w:rsid w:val="005A7FB0"/>
    <w:rsid w:val="005B76CD"/>
    <w:rsid w:val="005C42D4"/>
    <w:rsid w:val="005C476B"/>
    <w:rsid w:val="005C5F67"/>
    <w:rsid w:val="005C5FF4"/>
    <w:rsid w:val="005C7E28"/>
    <w:rsid w:val="005D04AF"/>
    <w:rsid w:val="005E1570"/>
    <w:rsid w:val="005E3234"/>
    <w:rsid w:val="005E646A"/>
    <w:rsid w:val="005E67A5"/>
    <w:rsid w:val="005F0F97"/>
    <w:rsid w:val="005F7D05"/>
    <w:rsid w:val="00602B0A"/>
    <w:rsid w:val="00605956"/>
    <w:rsid w:val="00606032"/>
    <w:rsid w:val="00606162"/>
    <w:rsid w:val="00610BC5"/>
    <w:rsid w:val="0061246D"/>
    <w:rsid w:val="00614139"/>
    <w:rsid w:val="006166F2"/>
    <w:rsid w:val="00616EEF"/>
    <w:rsid w:val="0061793B"/>
    <w:rsid w:val="0063103E"/>
    <w:rsid w:val="00645CD0"/>
    <w:rsid w:val="00646BC4"/>
    <w:rsid w:val="00647797"/>
    <w:rsid w:val="00654C6E"/>
    <w:rsid w:val="00654E32"/>
    <w:rsid w:val="00667CA1"/>
    <w:rsid w:val="00670D86"/>
    <w:rsid w:val="0068267D"/>
    <w:rsid w:val="0068483D"/>
    <w:rsid w:val="00691C4B"/>
    <w:rsid w:val="00693841"/>
    <w:rsid w:val="00697AC0"/>
    <w:rsid w:val="006A3B6C"/>
    <w:rsid w:val="006A4872"/>
    <w:rsid w:val="006A6521"/>
    <w:rsid w:val="006B0563"/>
    <w:rsid w:val="006B0989"/>
    <w:rsid w:val="006B45BA"/>
    <w:rsid w:val="006B4982"/>
    <w:rsid w:val="006B50C7"/>
    <w:rsid w:val="006C2406"/>
    <w:rsid w:val="006C6254"/>
    <w:rsid w:val="006C6622"/>
    <w:rsid w:val="006D12CB"/>
    <w:rsid w:val="006D1FCA"/>
    <w:rsid w:val="006D3AB7"/>
    <w:rsid w:val="006D51D8"/>
    <w:rsid w:val="006F68CD"/>
    <w:rsid w:val="00701F29"/>
    <w:rsid w:val="00704BC3"/>
    <w:rsid w:val="00710D15"/>
    <w:rsid w:val="00711C0D"/>
    <w:rsid w:val="00711E1D"/>
    <w:rsid w:val="00713B26"/>
    <w:rsid w:val="00723C7C"/>
    <w:rsid w:val="00723E5E"/>
    <w:rsid w:val="007268E6"/>
    <w:rsid w:val="00733139"/>
    <w:rsid w:val="0073529A"/>
    <w:rsid w:val="00742C60"/>
    <w:rsid w:val="007451B9"/>
    <w:rsid w:val="00750B94"/>
    <w:rsid w:val="0075184D"/>
    <w:rsid w:val="00752AFC"/>
    <w:rsid w:val="00753046"/>
    <w:rsid w:val="007573E2"/>
    <w:rsid w:val="00757BBA"/>
    <w:rsid w:val="00762616"/>
    <w:rsid w:val="00767522"/>
    <w:rsid w:val="00772542"/>
    <w:rsid w:val="00773F1F"/>
    <w:rsid w:val="007776E8"/>
    <w:rsid w:val="007824B4"/>
    <w:rsid w:val="00782A24"/>
    <w:rsid w:val="00784776"/>
    <w:rsid w:val="00787967"/>
    <w:rsid w:val="00790D22"/>
    <w:rsid w:val="007964D3"/>
    <w:rsid w:val="007A17A0"/>
    <w:rsid w:val="007A2601"/>
    <w:rsid w:val="007B1504"/>
    <w:rsid w:val="007B1CBB"/>
    <w:rsid w:val="007B53AE"/>
    <w:rsid w:val="007C1900"/>
    <w:rsid w:val="007C4BEC"/>
    <w:rsid w:val="007E57E9"/>
    <w:rsid w:val="007E727E"/>
    <w:rsid w:val="008053FA"/>
    <w:rsid w:val="008058F0"/>
    <w:rsid w:val="00806040"/>
    <w:rsid w:val="00807E85"/>
    <w:rsid w:val="008130E3"/>
    <w:rsid w:val="00832401"/>
    <w:rsid w:val="00836417"/>
    <w:rsid w:val="00837C9A"/>
    <w:rsid w:val="0084430E"/>
    <w:rsid w:val="0084573A"/>
    <w:rsid w:val="008461B9"/>
    <w:rsid w:val="00857E26"/>
    <w:rsid w:val="008634E6"/>
    <w:rsid w:val="00864CA9"/>
    <w:rsid w:val="00866B8C"/>
    <w:rsid w:val="0087214C"/>
    <w:rsid w:val="0087303D"/>
    <w:rsid w:val="0087409B"/>
    <w:rsid w:val="008740DF"/>
    <w:rsid w:val="00876753"/>
    <w:rsid w:val="00881043"/>
    <w:rsid w:val="008813B0"/>
    <w:rsid w:val="0088391B"/>
    <w:rsid w:val="00885AFA"/>
    <w:rsid w:val="00895A2E"/>
    <w:rsid w:val="00895BC3"/>
    <w:rsid w:val="008A15AE"/>
    <w:rsid w:val="008A59B0"/>
    <w:rsid w:val="008A5EE3"/>
    <w:rsid w:val="008B2641"/>
    <w:rsid w:val="008C1EB9"/>
    <w:rsid w:val="008C454B"/>
    <w:rsid w:val="008D3CBF"/>
    <w:rsid w:val="008D3F86"/>
    <w:rsid w:val="008D4EFC"/>
    <w:rsid w:val="00902199"/>
    <w:rsid w:val="00902355"/>
    <w:rsid w:val="00903331"/>
    <w:rsid w:val="00904FB5"/>
    <w:rsid w:val="00906599"/>
    <w:rsid w:val="00915B13"/>
    <w:rsid w:val="00922582"/>
    <w:rsid w:val="009233B1"/>
    <w:rsid w:val="0093095A"/>
    <w:rsid w:val="00931222"/>
    <w:rsid w:val="009318BC"/>
    <w:rsid w:val="00931B2E"/>
    <w:rsid w:val="009327B8"/>
    <w:rsid w:val="0093546E"/>
    <w:rsid w:val="00941951"/>
    <w:rsid w:val="009443AC"/>
    <w:rsid w:val="00945B4F"/>
    <w:rsid w:val="00946F63"/>
    <w:rsid w:val="0094712D"/>
    <w:rsid w:val="00950EC3"/>
    <w:rsid w:val="0095212F"/>
    <w:rsid w:val="00955529"/>
    <w:rsid w:val="0096162D"/>
    <w:rsid w:val="00963303"/>
    <w:rsid w:val="00971981"/>
    <w:rsid w:val="00972A50"/>
    <w:rsid w:val="00980453"/>
    <w:rsid w:val="00991ED2"/>
    <w:rsid w:val="009935AC"/>
    <w:rsid w:val="00997AB3"/>
    <w:rsid w:val="009A4899"/>
    <w:rsid w:val="009A6E96"/>
    <w:rsid w:val="009B4269"/>
    <w:rsid w:val="009B4748"/>
    <w:rsid w:val="009B7F15"/>
    <w:rsid w:val="009C6DD0"/>
    <w:rsid w:val="009C6FAD"/>
    <w:rsid w:val="009D3574"/>
    <w:rsid w:val="009D3BB1"/>
    <w:rsid w:val="009E02F7"/>
    <w:rsid w:val="009E0506"/>
    <w:rsid w:val="009E1D01"/>
    <w:rsid w:val="009E432B"/>
    <w:rsid w:val="009F075E"/>
    <w:rsid w:val="009F6885"/>
    <w:rsid w:val="00A038B6"/>
    <w:rsid w:val="00A10766"/>
    <w:rsid w:val="00A16233"/>
    <w:rsid w:val="00A16417"/>
    <w:rsid w:val="00A2146B"/>
    <w:rsid w:val="00A23167"/>
    <w:rsid w:val="00A24A9C"/>
    <w:rsid w:val="00A2510D"/>
    <w:rsid w:val="00A251BC"/>
    <w:rsid w:val="00A2581F"/>
    <w:rsid w:val="00A26FC3"/>
    <w:rsid w:val="00A31D55"/>
    <w:rsid w:val="00A33532"/>
    <w:rsid w:val="00A337AC"/>
    <w:rsid w:val="00A36A32"/>
    <w:rsid w:val="00A40B6A"/>
    <w:rsid w:val="00A42E01"/>
    <w:rsid w:val="00A44851"/>
    <w:rsid w:val="00A469F8"/>
    <w:rsid w:val="00A5326F"/>
    <w:rsid w:val="00A627D3"/>
    <w:rsid w:val="00A62FCC"/>
    <w:rsid w:val="00A712B4"/>
    <w:rsid w:val="00A7183F"/>
    <w:rsid w:val="00A72DCD"/>
    <w:rsid w:val="00A72F4C"/>
    <w:rsid w:val="00A74EA9"/>
    <w:rsid w:val="00A863A5"/>
    <w:rsid w:val="00A90B46"/>
    <w:rsid w:val="00A92CD4"/>
    <w:rsid w:val="00A94950"/>
    <w:rsid w:val="00A9752D"/>
    <w:rsid w:val="00AA04F3"/>
    <w:rsid w:val="00AA14A1"/>
    <w:rsid w:val="00AA27F9"/>
    <w:rsid w:val="00AB2A2A"/>
    <w:rsid w:val="00AB5057"/>
    <w:rsid w:val="00AC4C8B"/>
    <w:rsid w:val="00AC6C49"/>
    <w:rsid w:val="00AD3EA1"/>
    <w:rsid w:val="00AD425B"/>
    <w:rsid w:val="00AD6E37"/>
    <w:rsid w:val="00AF0F95"/>
    <w:rsid w:val="00AF52B7"/>
    <w:rsid w:val="00B05252"/>
    <w:rsid w:val="00B217A6"/>
    <w:rsid w:val="00B23E4F"/>
    <w:rsid w:val="00B31E8A"/>
    <w:rsid w:val="00B32747"/>
    <w:rsid w:val="00B333C9"/>
    <w:rsid w:val="00B37118"/>
    <w:rsid w:val="00B3767D"/>
    <w:rsid w:val="00B4234A"/>
    <w:rsid w:val="00B5730F"/>
    <w:rsid w:val="00B57865"/>
    <w:rsid w:val="00B6321A"/>
    <w:rsid w:val="00B66666"/>
    <w:rsid w:val="00B673E4"/>
    <w:rsid w:val="00B7035C"/>
    <w:rsid w:val="00B76C7B"/>
    <w:rsid w:val="00B96DB4"/>
    <w:rsid w:val="00BA60F4"/>
    <w:rsid w:val="00BA62C2"/>
    <w:rsid w:val="00BA6736"/>
    <w:rsid w:val="00BA7E9C"/>
    <w:rsid w:val="00BB4D68"/>
    <w:rsid w:val="00BB6767"/>
    <w:rsid w:val="00BC35E7"/>
    <w:rsid w:val="00BC4E49"/>
    <w:rsid w:val="00BC547D"/>
    <w:rsid w:val="00BD20CF"/>
    <w:rsid w:val="00BE19B5"/>
    <w:rsid w:val="00BE3D55"/>
    <w:rsid w:val="00BE476B"/>
    <w:rsid w:val="00BE577A"/>
    <w:rsid w:val="00BE6F0C"/>
    <w:rsid w:val="00BF3147"/>
    <w:rsid w:val="00BF5B77"/>
    <w:rsid w:val="00C01437"/>
    <w:rsid w:val="00C059C7"/>
    <w:rsid w:val="00C101DB"/>
    <w:rsid w:val="00C12D72"/>
    <w:rsid w:val="00C139BC"/>
    <w:rsid w:val="00C1524A"/>
    <w:rsid w:val="00C165FF"/>
    <w:rsid w:val="00C16B51"/>
    <w:rsid w:val="00C20925"/>
    <w:rsid w:val="00C23914"/>
    <w:rsid w:val="00C24FD7"/>
    <w:rsid w:val="00C30D51"/>
    <w:rsid w:val="00C3660B"/>
    <w:rsid w:val="00C37339"/>
    <w:rsid w:val="00C4165C"/>
    <w:rsid w:val="00C529AD"/>
    <w:rsid w:val="00C543BD"/>
    <w:rsid w:val="00C568A3"/>
    <w:rsid w:val="00C60244"/>
    <w:rsid w:val="00C60363"/>
    <w:rsid w:val="00C60CFA"/>
    <w:rsid w:val="00C62753"/>
    <w:rsid w:val="00C62885"/>
    <w:rsid w:val="00C7126C"/>
    <w:rsid w:val="00C728B5"/>
    <w:rsid w:val="00C73D5C"/>
    <w:rsid w:val="00C80483"/>
    <w:rsid w:val="00C84A42"/>
    <w:rsid w:val="00C90E10"/>
    <w:rsid w:val="00C95BF8"/>
    <w:rsid w:val="00CA1CD7"/>
    <w:rsid w:val="00CA3E64"/>
    <w:rsid w:val="00CA5603"/>
    <w:rsid w:val="00CA6CC8"/>
    <w:rsid w:val="00CA7317"/>
    <w:rsid w:val="00CB29ED"/>
    <w:rsid w:val="00CB56B1"/>
    <w:rsid w:val="00CB64C8"/>
    <w:rsid w:val="00CC0383"/>
    <w:rsid w:val="00CC1732"/>
    <w:rsid w:val="00CC7E2E"/>
    <w:rsid w:val="00CD17FD"/>
    <w:rsid w:val="00CD3701"/>
    <w:rsid w:val="00CD615C"/>
    <w:rsid w:val="00CD7ED4"/>
    <w:rsid w:val="00CE1D22"/>
    <w:rsid w:val="00CE3C4D"/>
    <w:rsid w:val="00CF05E0"/>
    <w:rsid w:val="00CF1CDC"/>
    <w:rsid w:val="00CF3770"/>
    <w:rsid w:val="00D00D9E"/>
    <w:rsid w:val="00D03AE3"/>
    <w:rsid w:val="00D05B61"/>
    <w:rsid w:val="00D060CB"/>
    <w:rsid w:val="00D07866"/>
    <w:rsid w:val="00D119AD"/>
    <w:rsid w:val="00D12A8F"/>
    <w:rsid w:val="00D13138"/>
    <w:rsid w:val="00D132E1"/>
    <w:rsid w:val="00D158F1"/>
    <w:rsid w:val="00D15C5A"/>
    <w:rsid w:val="00D176DF"/>
    <w:rsid w:val="00D259D8"/>
    <w:rsid w:val="00D27D4D"/>
    <w:rsid w:val="00D3061C"/>
    <w:rsid w:val="00D31902"/>
    <w:rsid w:val="00D32F76"/>
    <w:rsid w:val="00D339BB"/>
    <w:rsid w:val="00D33FE9"/>
    <w:rsid w:val="00D34B7D"/>
    <w:rsid w:val="00D34D4C"/>
    <w:rsid w:val="00D419BD"/>
    <w:rsid w:val="00D4263D"/>
    <w:rsid w:val="00D434B0"/>
    <w:rsid w:val="00D46A92"/>
    <w:rsid w:val="00D47EAC"/>
    <w:rsid w:val="00D505F3"/>
    <w:rsid w:val="00D51A5C"/>
    <w:rsid w:val="00D557EC"/>
    <w:rsid w:val="00D57988"/>
    <w:rsid w:val="00D57D69"/>
    <w:rsid w:val="00D70684"/>
    <w:rsid w:val="00D738DE"/>
    <w:rsid w:val="00D80A8C"/>
    <w:rsid w:val="00D82092"/>
    <w:rsid w:val="00D82740"/>
    <w:rsid w:val="00D833A3"/>
    <w:rsid w:val="00D90074"/>
    <w:rsid w:val="00D92B8B"/>
    <w:rsid w:val="00D93556"/>
    <w:rsid w:val="00D943FD"/>
    <w:rsid w:val="00DA1662"/>
    <w:rsid w:val="00DA174C"/>
    <w:rsid w:val="00DA241C"/>
    <w:rsid w:val="00DA3C15"/>
    <w:rsid w:val="00DA5F8A"/>
    <w:rsid w:val="00DA6CBC"/>
    <w:rsid w:val="00DA7DBB"/>
    <w:rsid w:val="00DB5231"/>
    <w:rsid w:val="00DC2453"/>
    <w:rsid w:val="00DC34AB"/>
    <w:rsid w:val="00DD00BE"/>
    <w:rsid w:val="00DD1E8F"/>
    <w:rsid w:val="00DD5DE6"/>
    <w:rsid w:val="00DD652F"/>
    <w:rsid w:val="00DE2F46"/>
    <w:rsid w:val="00DE4C40"/>
    <w:rsid w:val="00DE5DE5"/>
    <w:rsid w:val="00DE7A87"/>
    <w:rsid w:val="00DF201A"/>
    <w:rsid w:val="00DF249A"/>
    <w:rsid w:val="00DF52D3"/>
    <w:rsid w:val="00DF581B"/>
    <w:rsid w:val="00E00AAF"/>
    <w:rsid w:val="00E02EB0"/>
    <w:rsid w:val="00E06808"/>
    <w:rsid w:val="00E07D73"/>
    <w:rsid w:val="00E1043F"/>
    <w:rsid w:val="00E10485"/>
    <w:rsid w:val="00E105F7"/>
    <w:rsid w:val="00E17FC9"/>
    <w:rsid w:val="00E25083"/>
    <w:rsid w:val="00E263C6"/>
    <w:rsid w:val="00E27074"/>
    <w:rsid w:val="00E30C33"/>
    <w:rsid w:val="00E31864"/>
    <w:rsid w:val="00E40634"/>
    <w:rsid w:val="00E437CE"/>
    <w:rsid w:val="00E51048"/>
    <w:rsid w:val="00E54E1B"/>
    <w:rsid w:val="00E572AE"/>
    <w:rsid w:val="00E6127B"/>
    <w:rsid w:val="00E65918"/>
    <w:rsid w:val="00E6648F"/>
    <w:rsid w:val="00E66CA3"/>
    <w:rsid w:val="00E710A0"/>
    <w:rsid w:val="00E729DD"/>
    <w:rsid w:val="00E73476"/>
    <w:rsid w:val="00E734F1"/>
    <w:rsid w:val="00E746AD"/>
    <w:rsid w:val="00E80603"/>
    <w:rsid w:val="00E87665"/>
    <w:rsid w:val="00E906F1"/>
    <w:rsid w:val="00E92D0F"/>
    <w:rsid w:val="00E95827"/>
    <w:rsid w:val="00E9669A"/>
    <w:rsid w:val="00E972A1"/>
    <w:rsid w:val="00EA2554"/>
    <w:rsid w:val="00EA30F3"/>
    <w:rsid w:val="00EB76F7"/>
    <w:rsid w:val="00EC0693"/>
    <w:rsid w:val="00EC1359"/>
    <w:rsid w:val="00EC43C1"/>
    <w:rsid w:val="00EC707C"/>
    <w:rsid w:val="00EE330C"/>
    <w:rsid w:val="00EE7274"/>
    <w:rsid w:val="00EE7F20"/>
    <w:rsid w:val="00EE7FD9"/>
    <w:rsid w:val="00EF17A6"/>
    <w:rsid w:val="00EF50C8"/>
    <w:rsid w:val="00EF5696"/>
    <w:rsid w:val="00EF5823"/>
    <w:rsid w:val="00EF5A17"/>
    <w:rsid w:val="00F151F3"/>
    <w:rsid w:val="00F30BC7"/>
    <w:rsid w:val="00F327F1"/>
    <w:rsid w:val="00F33FB9"/>
    <w:rsid w:val="00F40314"/>
    <w:rsid w:val="00F4055E"/>
    <w:rsid w:val="00F45E95"/>
    <w:rsid w:val="00F4609D"/>
    <w:rsid w:val="00F46A73"/>
    <w:rsid w:val="00F470E4"/>
    <w:rsid w:val="00F50280"/>
    <w:rsid w:val="00F504C3"/>
    <w:rsid w:val="00F50A91"/>
    <w:rsid w:val="00F54683"/>
    <w:rsid w:val="00F56B03"/>
    <w:rsid w:val="00F57FE4"/>
    <w:rsid w:val="00F64950"/>
    <w:rsid w:val="00F6567E"/>
    <w:rsid w:val="00F6698E"/>
    <w:rsid w:val="00F6706E"/>
    <w:rsid w:val="00F700AE"/>
    <w:rsid w:val="00F73903"/>
    <w:rsid w:val="00F750A5"/>
    <w:rsid w:val="00F752F2"/>
    <w:rsid w:val="00F75639"/>
    <w:rsid w:val="00F768A9"/>
    <w:rsid w:val="00F81315"/>
    <w:rsid w:val="00F82DFC"/>
    <w:rsid w:val="00F86816"/>
    <w:rsid w:val="00F86D6B"/>
    <w:rsid w:val="00F873B5"/>
    <w:rsid w:val="00F90178"/>
    <w:rsid w:val="00F95B81"/>
    <w:rsid w:val="00F9707D"/>
    <w:rsid w:val="00F97ADC"/>
    <w:rsid w:val="00F97F2F"/>
    <w:rsid w:val="00FA1EEB"/>
    <w:rsid w:val="00FA4DE7"/>
    <w:rsid w:val="00FA6E6D"/>
    <w:rsid w:val="00FB0093"/>
    <w:rsid w:val="00FB081E"/>
    <w:rsid w:val="00FB5C84"/>
    <w:rsid w:val="00FC3EC3"/>
    <w:rsid w:val="00FC4203"/>
    <w:rsid w:val="00FC7736"/>
    <w:rsid w:val="00FD1F2A"/>
    <w:rsid w:val="00FD44A5"/>
    <w:rsid w:val="00FD631B"/>
    <w:rsid w:val="00FD669F"/>
    <w:rsid w:val="00FE6F0D"/>
    <w:rsid w:val="00FE6F71"/>
    <w:rsid w:val="00FF0C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04B6"/>
  <w15:docId w15:val="{BB25FC6B-1096-417C-AE82-BA614464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69F"/>
    <w:pPr>
      <w:spacing w:after="0" w:line="240" w:lineRule="auto"/>
    </w:pPr>
    <w:rPr>
      <w:rFonts w:ascii="Times New Roman" w:eastAsia="Times New Roman" w:hAnsi="Times New Roman" w:cs="Times New Roman"/>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D669F"/>
    <w:pPr>
      <w:spacing w:after="120"/>
    </w:pPr>
  </w:style>
  <w:style w:type="character" w:customStyle="1" w:styleId="BodyTextChar">
    <w:name w:val="Body Text Char"/>
    <w:basedOn w:val="DefaultParagraphFont"/>
    <w:link w:val="BodyText"/>
    <w:rsid w:val="00FD669F"/>
    <w:rPr>
      <w:rFonts w:ascii="Times New Roman" w:eastAsia="Times New Roman" w:hAnsi="Times New Roman" w:cs="Times New Roman"/>
      <w:szCs w:val="20"/>
      <w:lang w:eastAsia="sv-SE"/>
    </w:rPr>
  </w:style>
  <w:style w:type="paragraph" w:styleId="BalloonText">
    <w:name w:val="Balloon Text"/>
    <w:basedOn w:val="Normal"/>
    <w:link w:val="BalloonTextChar"/>
    <w:uiPriority w:val="99"/>
    <w:semiHidden/>
    <w:unhideWhenUsed/>
    <w:rsid w:val="005E646A"/>
    <w:rPr>
      <w:rFonts w:ascii="Tahoma" w:hAnsi="Tahoma" w:cs="Tahoma"/>
      <w:sz w:val="16"/>
      <w:szCs w:val="16"/>
    </w:rPr>
  </w:style>
  <w:style w:type="character" w:customStyle="1" w:styleId="BalloonTextChar">
    <w:name w:val="Balloon Text Char"/>
    <w:basedOn w:val="DefaultParagraphFont"/>
    <w:link w:val="BalloonText"/>
    <w:uiPriority w:val="99"/>
    <w:semiHidden/>
    <w:rsid w:val="005E646A"/>
    <w:rPr>
      <w:rFonts w:ascii="Tahoma" w:eastAsia="Times New Roman" w:hAnsi="Tahoma" w:cs="Tahoma"/>
      <w:sz w:val="16"/>
      <w:szCs w:val="16"/>
      <w:lang w:eastAsia="sv-SE"/>
    </w:rPr>
  </w:style>
  <w:style w:type="character" w:styleId="Hyperlink">
    <w:name w:val="Hyperlink"/>
    <w:basedOn w:val="DefaultParagraphFont"/>
    <w:uiPriority w:val="99"/>
    <w:unhideWhenUsed/>
    <w:rsid w:val="00BF5B77"/>
    <w:rPr>
      <w:color w:val="0000FF" w:themeColor="hyperlink"/>
      <w:u w:val="single"/>
    </w:rPr>
  </w:style>
  <w:style w:type="paragraph" w:customStyle="1" w:styleId="EndNoteBibliographyTitle">
    <w:name w:val="EndNote Bibliography Title"/>
    <w:basedOn w:val="Normal"/>
    <w:link w:val="EndNoteBibliographyTitleChar"/>
    <w:rsid w:val="00DD652F"/>
    <w:pPr>
      <w:jc w:val="center"/>
    </w:pPr>
    <w:rPr>
      <w:noProof/>
    </w:rPr>
  </w:style>
  <w:style w:type="character" w:customStyle="1" w:styleId="EndNoteBibliographyTitleChar">
    <w:name w:val="EndNote Bibliography Title Char"/>
    <w:basedOn w:val="DefaultParagraphFont"/>
    <w:link w:val="EndNoteBibliographyTitle"/>
    <w:rsid w:val="00DD652F"/>
    <w:rPr>
      <w:rFonts w:ascii="Times New Roman" w:eastAsia="Times New Roman" w:hAnsi="Times New Roman" w:cs="Times New Roman"/>
      <w:noProof/>
      <w:szCs w:val="20"/>
      <w:lang w:eastAsia="sv-SE"/>
    </w:rPr>
  </w:style>
  <w:style w:type="paragraph" w:customStyle="1" w:styleId="EndNoteBibliography">
    <w:name w:val="EndNote Bibliography"/>
    <w:basedOn w:val="Normal"/>
    <w:link w:val="EndNoteBibliographyChar"/>
    <w:rsid w:val="00DD652F"/>
    <w:rPr>
      <w:noProof/>
    </w:rPr>
  </w:style>
  <w:style w:type="character" w:customStyle="1" w:styleId="EndNoteBibliographyChar">
    <w:name w:val="EndNote Bibliography Char"/>
    <w:basedOn w:val="DefaultParagraphFont"/>
    <w:link w:val="EndNoteBibliography"/>
    <w:rsid w:val="00DD652F"/>
    <w:rPr>
      <w:rFonts w:ascii="Times New Roman" w:eastAsia="Times New Roman" w:hAnsi="Times New Roman" w:cs="Times New Roman"/>
      <w:noProof/>
      <w:szCs w:val="20"/>
      <w:lang w:eastAsia="sv-SE"/>
    </w:rPr>
  </w:style>
  <w:style w:type="paragraph" w:styleId="Header">
    <w:name w:val="header"/>
    <w:basedOn w:val="Normal"/>
    <w:link w:val="HeaderChar"/>
    <w:uiPriority w:val="99"/>
    <w:unhideWhenUsed/>
    <w:rsid w:val="003F7039"/>
    <w:pPr>
      <w:tabs>
        <w:tab w:val="center" w:pos="4536"/>
        <w:tab w:val="right" w:pos="9072"/>
      </w:tabs>
    </w:pPr>
  </w:style>
  <w:style w:type="character" w:customStyle="1" w:styleId="HeaderChar">
    <w:name w:val="Header Char"/>
    <w:basedOn w:val="DefaultParagraphFont"/>
    <w:link w:val="Header"/>
    <w:uiPriority w:val="99"/>
    <w:rsid w:val="003F7039"/>
    <w:rPr>
      <w:rFonts w:ascii="Times New Roman" w:eastAsia="Times New Roman" w:hAnsi="Times New Roman" w:cs="Times New Roman"/>
      <w:szCs w:val="20"/>
      <w:lang w:eastAsia="sv-SE"/>
    </w:rPr>
  </w:style>
  <w:style w:type="paragraph" w:styleId="Footer">
    <w:name w:val="footer"/>
    <w:basedOn w:val="Normal"/>
    <w:link w:val="FooterChar"/>
    <w:uiPriority w:val="99"/>
    <w:unhideWhenUsed/>
    <w:rsid w:val="003F7039"/>
    <w:pPr>
      <w:tabs>
        <w:tab w:val="center" w:pos="4536"/>
        <w:tab w:val="right" w:pos="9072"/>
      </w:tabs>
    </w:pPr>
  </w:style>
  <w:style w:type="character" w:customStyle="1" w:styleId="FooterChar">
    <w:name w:val="Footer Char"/>
    <w:basedOn w:val="DefaultParagraphFont"/>
    <w:link w:val="Footer"/>
    <w:uiPriority w:val="99"/>
    <w:rsid w:val="003F7039"/>
    <w:rPr>
      <w:rFonts w:ascii="Times New Roman" w:eastAsia="Times New Roman" w:hAnsi="Times New Roman" w:cs="Times New Roman"/>
      <w:szCs w:val="20"/>
      <w:lang w:eastAsia="sv-SE"/>
    </w:rPr>
  </w:style>
  <w:style w:type="paragraph" w:styleId="HTMLPreformatted">
    <w:name w:val="HTML Preformatted"/>
    <w:basedOn w:val="Normal"/>
    <w:link w:val="HTMLPreformattedChar"/>
    <w:uiPriority w:val="99"/>
    <w:unhideWhenUsed/>
    <w:rsid w:val="000C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0C00F3"/>
    <w:rPr>
      <w:rFonts w:ascii="Courier New" w:eastAsia="Times New Roman" w:hAnsi="Courier New" w:cs="Courier New"/>
      <w:sz w:val="20"/>
      <w:szCs w:val="20"/>
      <w:lang w:eastAsia="sv-SE"/>
    </w:rPr>
  </w:style>
  <w:style w:type="character" w:styleId="CommentReference">
    <w:name w:val="annotation reference"/>
    <w:basedOn w:val="DefaultParagraphFont"/>
    <w:uiPriority w:val="99"/>
    <w:semiHidden/>
    <w:unhideWhenUsed/>
    <w:rsid w:val="00DA5F8A"/>
    <w:rPr>
      <w:sz w:val="16"/>
      <w:szCs w:val="16"/>
    </w:rPr>
  </w:style>
  <w:style w:type="paragraph" w:styleId="CommentText">
    <w:name w:val="annotation text"/>
    <w:basedOn w:val="Normal"/>
    <w:link w:val="CommentTextChar"/>
    <w:uiPriority w:val="99"/>
    <w:semiHidden/>
    <w:unhideWhenUsed/>
    <w:rsid w:val="00DA5F8A"/>
    <w:rPr>
      <w:sz w:val="20"/>
    </w:rPr>
  </w:style>
  <w:style w:type="character" w:customStyle="1" w:styleId="CommentTextChar">
    <w:name w:val="Comment Text Char"/>
    <w:basedOn w:val="DefaultParagraphFont"/>
    <w:link w:val="CommentText"/>
    <w:uiPriority w:val="99"/>
    <w:semiHidden/>
    <w:rsid w:val="00DA5F8A"/>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DA5F8A"/>
    <w:rPr>
      <w:b/>
      <w:bCs/>
    </w:rPr>
  </w:style>
  <w:style w:type="character" w:customStyle="1" w:styleId="CommentSubjectChar">
    <w:name w:val="Comment Subject Char"/>
    <w:basedOn w:val="CommentTextChar"/>
    <w:link w:val="CommentSubject"/>
    <w:uiPriority w:val="99"/>
    <w:semiHidden/>
    <w:rsid w:val="00DA5F8A"/>
    <w:rPr>
      <w:rFonts w:ascii="Times New Roman" w:eastAsia="Times New Roman" w:hAnsi="Times New Roman" w:cs="Times New Roman"/>
      <w:b/>
      <w:bCs/>
      <w:sz w:val="20"/>
      <w:szCs w:val="20"/>
      <w:lang w:eastAsia="sv-SE"/>
    </w:rPr>
  </w:style>
  <w:style w:type="paragraph" w:styleId="ListParagraph">
    <w:name w:val="List Paragraph"/>
    <w:basedOn w:val="Normal"/>
    <w:uiPriority w:val="34"/>
    <w:qFormat/>
    <w:rsid w:val="00B5730F"/>
    <w:pPr>
      <w:ind w:left="720"/>
      <w:contextualSpacing/>
    </w:pPr>
    <w:rPr>
      <w:rFonts w:eastAsia="SimSun"/>
      <w:sz w:val="24"/>
      <w:szCs w:val="24"/>
      <w:lang w:val="en-US" w:eastAsia="en-US"/>
    </w:rPr>
  </w:style>
  <w:style w:type="table" w:styleId="TableGrid">
    <w:name w:val="Table Grid"/>
    <w:basedOn w:val="TableNormal"/>
    <w:uiPriority w:val="39"/>
    <w:rsid w:val="00467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439">
      <w:bodyDiv w:val="1"/>
      <w:marLeft w:val="0"/>
      <w:marRight w:val="0"/>
      <w:marTop w:val="0"/>
      <w:marBottom w:val="0"/>
      <w:divBdr>
        <w:top w:val="none" w:sz="0" w:space="0" w:color="auto"/>
        <w:left w:val="none" w:sz="0" w:space="0" w:color="auto"/>
        <w:bottom w:val="none" w:sz="0" w:space="0" w:color="auto"/>
        <w:right w:val="none" w:sz="0" w:space="0" w:color="auto"/>
      </w:divBdr>
      <w:divsChild>
        <w:div w:id="649790885">
          <w:marLeft w:val="0"/>
          <w:marRight w:val="0"/>
          <w:marTop w:val="0"/>
          <w:marBottom w:val="0"/>
          <w:divBdr>
            <w:top w:val="none" w:sz="0" w:space="0" w:color="auto"/>
            <w:left w:val="none" w:sz="0" w:space="0" w:color="auto"/>
            <w:bottom w:val="none" w:sz="0" w:space="0" w:color="auto"/>
            <w:right w:val="none" w:sz="0" w:space="0" w:color="auto"/>
          </w:divBdr>
          <w:divsChild>
            <w:div w:id="1825850220">
              <w:marLeft w:val="0"/>
              <w:marRight w:val="0"/>
              <w:marTop w:val="0"/>
              <w:marBottom w:val="0"/>
              <w:divBdr>
                <w:top w:val="none" w:sz="0" w:space="0" w:color="auto"/>
                <w:left w:val="none" w:sz="0" w:space="0" w:color="auto"/>
                <w:bottom w:val="none" w:sz="0" w:space="0" w:color="auto"/>
                <w:right w:val="none" w:sz="0" w:space="0" w:color="auto"/>
              </w:divBdr>
              <w:divsChild>
                <w:div w:id="1739202548">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3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dstudy.org" TargetMode="External"/><Relationship Id="rId3" Type="http://schemas.openxmlformats.org/officeDocument/2006/relationships/settings" Target="settings.xml"/><Relationship Id="rId7" Type="http://schemas.openxmlformats.org/officeDocument/2006/relationships/hyperlink" Target="http://www.ecrh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5719</Words>
  <Characters>32604</Characters>
  <Application>Microsoft Office Word</Application>
  <DocSecurity>4</DocSecurity>
  <Lines>271</Lines>
  <Paragraphs>76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dc:creator>
  <cp:lastModifiedBy>Jarvis, Debbie L</cp:lastModifiedBy>
  <cp:revision>2</cp:revision>
  <cp:lastPrinted>2014-05-19T09:56:00Z</cp:lastPrinted>
  <dcterms:created xsi:type="dcterms:W3CDTF">2019-03-08T10:58:00Z</dcterms:created>
  <dcterms:modified xsi:type="dcterms:W3CDTF">2019-03-08T10:58:00Z</dcterms:modified>
</cp:coreProperties>
</file>