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BD6505" w14:textId="63DE8DC2" w:rsidR="005D3816" w:rsidRPr="0017704E" w:rsidRDefault="0017704E" w:rsidP="0017704E">
      <w:pPr>
        <w:pStyle w:val="Body"/>
        <w:spacing w:line="360" w:lineRule="auto"/>
        <w:rPr>
          <w:rFonts w:cs="Times New Roman"/>
          <w:bCs/>
        </w:rPr>
      </w:pPr>
      <w:bookmarkStart w:id="0" w:name="_GoBack"/>
      <w:bookmarkEnd w:id="0"/>
      <w:r w:rsidRPr="0017704E">
        <w:rPr>
          <w:rFonts w:cs="Times New Roman"/>
          <w:bCs/>
        </w:rPr>
        <w:t>Article type: Review paper</w:t>
      </w:r>
    </w:p>
    <w:p w14:paraId="78D5A99C" w14:textId="77777777" w:rsidR="0017704E" w:rsidRPr="00BD2160" w:rsidRDefault="0017704E" w:rsidP="00F13206">
      <w:pPr>
        <w:pStyle w:val="Body"/>
        <w:spacing w:line="360" w:lineRule="auto"/>
        <w:jc w:val="center"/>
        <w:rPr>
          <w:rFonts w:cs="Times New Roman"/>
          <w:b/>
          <w:bCs/>
        </w:rPr>
      </w:pPr>
    </w:p>
    <w:p w14:paraId="7CD92257" w14:textId="20F1BA1A" w:rsidR="00E212AA" w:rsidRPr="00FE19A5" w:rsidRDefault="0007389A" w:rsidP="00116E3B">
      <w:pPr>
        <w:pStyle w:val="Body"/>
        <w:spacing w:line="360" w:lineRule="auto"/>
        <w:jc w:val="center"/>
        <w:outlineLvl w:val="0"/>
        <w:rPr>
          <w:rFonts w:cs="Times New Roman"/>
          <w:b/>
          <w:bCs/>
          <w:sz w:val="28"/>
          <w:szCs w:val="28"/>
        </w:rPr>
      </w:pPr>
      <w:r>
        <w:rPr>
          <w:rFonts w:cs="Times New Roman"/>
          <w:b/>
          <w:bCs/>
          <w:sz w:val="28"/>
          <w:szCs w:val="28"/>
        </w:rPr>
        <w:t>O</w:t>
      </w:r>
      <w:r w:rsidR="00A73245">
        <w:rPr>
          <w:rFonts w:cs="Times New Roman"/>
          <w:b/>
          <w:bCs/>
          <w:sz w:val="28"/>
          <w:szCs w:val="28"/>
        </w:rPr>
        <w:t>bserved and modelled</w:t>
      </w:r>
      <w:r w:rsidR="009A4D61">
        <w:rPr>
          <w:rFonts w:cs="Times New Roman"/>
          <w:b/>
          <w:bCs/>
          <w:sz w:val="28"/>
          <w:szCs w:val="28"/>
        </w:rPr>
        <w:t xml:space="preserve"> historical trends in </w:t>
      </w:r>
      <w:r>
        <w:rPr>
          <w:rFonts w:cs="Times New Roman"/>
          <w:b/>
          <w:bCs/>
          <w:sz w:val="28"/>
          <w:szCs w:val="28"/>
        </w:rPr>
        <w:t xml:space="preserve">the </w:t>
      </w:r>
      <w:r w:rsidR="009A4D61">
        <w:rPr>
          <w:rFonts w:cs="Times New Roman"/>
          <w:b/>
          <w:bCs/>
          <w:sz w:val="28"/>
          <w:szCs w:val="28"/>
        </w:rPr>
        <w:t>water use efficiency of plants and ecosystems</w:t>
      </w:r>
    </w:p>
    <w:p w14:paraId="31076648" w14:textId="77777777" w:rsidR="005D3816" w:rsidRPr="00BD2160" w:rsidRDefault="005D3816" w:rsidP="00D37E2B">
      <w:pPr>
        <w:pStyle w:val="Body"/>
        <w:spacing w:line="360" w:lineRule="auto"/>
        <w:rPr>
          <w:rFonts w:cs="Times New Roman"/>
          <w:b/>
          <w:bCs/>
        </w:rPr>
      </w:pPr>
    </w:p>
    <w:p w14:paraId="03EBB525" w14:textId="082D3DB8" w:rsidR="005D3816" w:rsidRPr="00BD2160" w:rsidRDefault="00E212AA" w:rsidP="00EE6FAB">
      <w:pPr>
        <w:pStyle w:val="Body"/>
        <w:widowControl w:val="0"/>
        <w:spacing w:after="240" w:line="360" w:lineRule="auto"/>
        <w:jc w:val="center"/>
        <w:rPr>
          <w:rFonts w:cs="Times New Roman"/>
        </w:rPr>
      </w:pPr>
      <w:r w:rsidRPr="00BD2160">
        <w:rPr>
          <w:rFonts w:cs="Times New Roman"/>
          <w:b/>
          <w:bCs/>
        </w:rPr>
        <w:t>Alié</w:t>
      </w:r>
      <w:r w:rsidRPr="00BD2160">
        <w:rPr>
          <w:rFonts w:cs="Times New Roman"/>
          <w:b/>
          <w:bCs/>
          <w:lang w:val="en-GB"/>
        </w:rPr>
        <w:t>nor Lavergne</w:t>
      </w:r>
      <w:r w:rsidRPr="00BD2160">
        <w:rPr>
          <w:rFonts w:cs="Times New Roman"/>
          <w:b/>
          <w:bCs/>
          <w:vertAlign w:val="superscript"/>
        </w:rPr>
        <w:t>1</w:t>
      </w:r>
      <w:r w:rsidRPr="00BD2160">
        <w:rPr>
          <w:rFonts w:cs="Times New Roman"/>
          <w:b/>
          <w:bCs/>
        </w:rPr>
        <w:t xml:space="preserve">, </w:t>
      </w:r>
      <w:r w:rsidRPr="00CE26D7">
        <w:rPr>
          <w:rFonts w:cs="Times New Roman"/>
          <w:b/>
          <w:bCs/>
        </w:rPr>
        <w:t>Heather</w:t>
      </w:r>
      <w:r w:rsidRPr="00BD2160">
        <w:rPr>
          <w:rFonts w:cs="Times New Roman"/>
          <w:b/>
          <w:bCs/>
        </w:rPr>
        <w:t xml:space="preserve"> </w:t>
      </w:r>
      <w:r w:rsidR="0007389A" w:rsidRPr="00BD2160">
        <w:rPr>
          <w:rFonts w:cs="Times New Roman"/>
          <w:b/>
          <w:bCs/>
        </w:rPr>
        <w:t>Graven</w:t>
      </w:r>
      <w:r w:rsidR="00064103">
        <w:rPr>
          <w:rFonts w:cs="Times New Roman"/>
          <w:b/>
          <w:bCs/>
          <w:vertAlign w:val="superscript"/>
        </w:rPr>
        <w:t>2</w:t>
      </w:r>
      <w:r w:rsidRPr="00BD2160">
        <w:rPr>
          <w:rFonts w:cs="Times New Roman"/>
          <w:b/>
          <w:bCs/>
          <w:vertAlign w:val="superscript"/>
        </w:rPr>
        <w:t>,</w:t>
      </w:r>
      <w:r w:rsidR="00064103">
        <w:rPr>
          <w:rFonts w:cs="Times New Roman"/>
          <w:b/>
          <w:bCs/>
          <w:vertAlign w:val="superscript"/>
        </w:rPr>
        <w:t>3</w:t>
      </w:r>
      <w:r w:rsidRPr="00BD2160">
        <w:rPr>
          <w:rFonts w:cs="Times New Roman"/>
          <w:b/>
          <w:bCs/>
          <w:lang w:val="pt-PT"/>
        </w:rPr>
        <w:t xml:space="preserve">, </w:t>
      </w:r>
      <w:r w:rsidRPr="00BD2160">
        <w:rPr>
          <w:rFonts w:cs="Times New Roman"/>
          <w:b/>
          <w:bCs/>
          <w:lang w:val="nl-NL"/>
        </w:rPr>
        <w:t xml:space="preserve">Martin </w:t>
      </w:r>
      <w:r w:rsidR="009F32E3" w:rsidRPr="00BD2160">
        <w:rPr>
          <w:rFonts w:cs="Times New Roman"/>
          <w:b/>
          <w:bCs/>
          <w:lang w:val="nl-NL"/>
        </w:rPr>
        <w:t xml:space="preserve">G. </w:t>
      </w:r>
      <w:r w:rsidRPr="00BD2160">
        <w:rPr>
          <w:rFonts w:cs="Times New Roman"/>
          <w:b/>
          <w:bCs/>
          <w:lang w:val="nl-NL"/>
        </w:rPr>
        <w:t xml:space="preserve">De </w:t>
      </w:r>
      <w:r w:rsidR="00161044" w:rsidRPr="00BD2160">
        <w:rPr>
          <w:rFonts w:cs="Times New Roman"/>
          <w:b/>
          <w:bCs/>
          <w:lang w:val="nl-NL"/>
        </w:rPr>
        <w:t>Kauwe</w:t>
      </w:r>
      <w:r w:rsidR="00064103">
        <w:rPr>
          <w:rFonts w:cs="Times New Roman"/>
          <w:b/>
          <w:bCs/>
          <w:vertAlign w:val="superscript"/>
        </w:rPr>
        <w:t>4</w:t>
      </w:r>
      <w:r w:rsidR="00167B8E" w:rsidRPr="00BD2160">
        <w:rPr>
          <w:rFonts w:cs="Times New Roman"/>
          <w:b/>
          <w:bCs/>
          <w:vertAlign w:val="superscript"/>
        </w:rPr>
        <w:t>,</w:t>
      </w:r>
      <w:r w:rsidR="00064103">
        <w:rPr>
          <w:rFonts w:cs="Times New Roman"/>
          <w:b/>
          <w:bCs/>
          <w:vertAlign w:val="superscript"/>
        </w:rPr>
        <w:t>5</w:t>
      </w:r>
      <w:r w:rsidRPr="00BD2160">
        <w:rPr>
          <w:rFonts w:cs="Times New Roman"/>
          <w:b/>
          <w:bCs/>
        </w:rPr>
        <w:t xml:space="preserve">, Trevor </w:t>
      </w:r>
      <w:r w:rsidR="00272DAE">
        <w:rPr>
          <w:rFonts w:cs="Times New Roman"/>
          <w:b/>
          <w:bCs/>
        </w:rPr>
        <w:t xml:space="preserve">F. </w:t>
      </w:r>
      <w:r w:rsidR="00161044" w:rsidRPr="00BD2160">
        <w:rPr>
          <w:rFonts w:cs="Times New Roman"/>
          <w:b/>
          <w:bCs/>
        </w:rPr>
        <w:t>Keenan</w:t>
      </w:r>
      <w:r w:rsidR="00064103">
        <w:rPr>
          <w:rFonts w:cs="Times New Roman"/>
          <w:b/>
          <w:bCs/>
          <w:vertAlign w:val="superscript"/>
        </w:rPr>
        <w:t>6</w:t>
      </w:r>
      <w:r w:rsidR="00C15218" w:rsidRPr="00BD2160">
        <w:rPr>
          <w:rFonts w:cs="Times New Roman"/>
          <w:b/>
          <w:bCs/>
          <w:vertAlign w:val="superscript"/>
        </w:rPr>
        <w:t>,</w:t>
      </w:r>
      <w:r w:rsidR="00064103">
        <w:rPr>
          <w:rFonts w:cs="Times New Roman"/>
          <w:b/>
          <w:bCs/>
          <w:vertAlign w:val="superscript"/>
        </w:rPr>
        <w:t>7</w:t>
      </w:r>
      <w:r w:rsidRPr="00BD2160">
        <w:rPr>
          <w:rFonts w:cs="Times New Roman"/>
          <w:b/>
          <w:bCs/>
        </w:rPr>
        <w:t>,</w:t>
      </w:r>
      <w:r w:rsidR="00CE26D7">
        <w:rPr>
          <w:rFonts w:cs="Times New Roman"/>
          <w:b/>
          <w:bCs/>
        </w:rPr>
        <w:t xml:space="preserve"> </w:t>
      </w:r>
      <w:r w:rsidR="00064103" w:rsidRPr="00BD2160">
        <w:rPr>
          <w:rFonts w:cs="Times New Roman"/>
          <w:b/>
          <w:bCs/>
          <w:lang w:val="pt-PT"/>
        </w:rPr>
        <w:t>Belinda E. Medlyn</w:t>
      </w:r>
      <w:r w:rsidR="00064103">
        <w:rPr>
          <w:rFonts w:cs="Times New Roman"/>
          <w:b/>
          <w:bCs/>
          <w:vertAlign w:val="superscript"/>
        </w:rPr>
        <w:t>8</w:t>
      </w:r>
      <w:r w:rsidR="00064103">
        <w:rPr>
          <w:rFonts w:cs="Times New Roman"/>
          <w:b/>
          <w:bCs/>
        </w:rPr>
        <w:t xml:space="preserve"> </w:t>
      </w:r>
      <w:r w:rsidR="00CE26D7">
        <w:rPr>
          <w:rFonts w:cs="Times New Roman"/>
          <w:b/>
          <w:bCs/>
        </w:rPr>
        <w:t>and</w:t>
      </w:r>
      <w:r w:rsidRPr="00BD2160">
        <w:rPr>
          <w:rFonts w:cs="Times New Roman"/>
          <w:b/>
          <w:bCs/>
        </w:rPr>
        <w:t xml:space="preserve"> </w:t>
      </w:r>
      <w:r w:rsidR="0007389A" w:rsidRPr="00BD2160">
        <w:rPr>
          <w:rFonts w:cs="Times New Roman"/>
          <w:b/>
          <w:bCs/>
        </w:rPr>
        <w:t>I. Colin Prentice</w:t>
      </w:r>
      <w:r w:rsidR="0007389A" w:rsidRPr="00BD2160">
        <w:rPr>
          <w:rFonts w:cs="Times New Roman"/>
          <w:b/>
          <w:bCs/>
          <w:vertAlign w:val="superscript"/>
        </w:rPr>
        <w:t>1,</w:t>
      </w:r>
      <w:r w:rsidR="0007389A">
        <w:rPr>
          <w:rFonts w:cs="Times New Roman"/>
          <w:b/>
          <w:bCs/>
          <w:vertAlign w:val="superscript"/>
        </w:rPr>
        <w:t>3,</w:t>
      </w:r>
      <w:r w:rsidR="00064103">
        <w:rPr>
          <w:rFonts w:cs="Times New Roman"/>
          <w:b/>
          <w:bCs/>
          <w:vertAlign w:val="superscript"/>
        </w:rPr>
        <w:t>4</w:t>
      </w:r>
      <w:r w:rsidR="0007389A" w:rsidRPr="00BD2160">
        <w:rPr>
          <w:rFonts w:cs="Times New Roman"/>
          <w:b/>
          <w:bCs/>
          <w:vertAlign w:val="superscript"/>
        </w:rPr>
        <w:t>,</w:t>
      </w:r>
      <w:r w:rsidR="0007389A">
        <w:rPr>
          <w:rFonts w:cs="Times New Roman"/>
          <w:b/>
          <w:bCs/>
          <w:vertAlign w:val="superscript"/>
        </w:rPr>
        <w:t>9</w:t>
      </w:r>
    </w:p>
    <w:p w14:paraId="04910FE1" w14:textId="77777777" w:rsidR="005D3816" w:rsidRPr="00BD2160" w:rsidRDefault="005D3816">
      <w:pPr>
        <w:pStyle w:val="Body"/>
        <w:spacing w:line="360" w:lineRule="auto"/>
        <w:jc w:val="both"/>
        <w:rPr>
          <w:rFonts w:cs="Times New Roman"/>
          <w:vertAlign w:val="superscript"/>
        </w:rPr>
      </w:pPr>
    </w:p>
    <w:p w14:paraId="5BF7B075" w14:textId="4F89013C" w:rsidR="00161044" w:rsidRDefault="00E212AA">
      <w:pPr>
        <w:pStyle w:val="Body"/>
        <w:spacing w:line="360" w:lineRule="auto"/>
        <w:jc w:val="both"/>
        <w:rPr>
          <w:rFonts w:cs="Times New Roman"/>
        </w:rPr>
      </w:pPr>
      <w:r w:rsidRPr="00BD2160">
        <w:rPr>
          <w:rFonts w:cs="Times New Roman"/>
          <w:vertAlign w:val="superscript"/>
        </w:rPr>
        <w:t>1</w:t>
      </w:r>
      <w:r w:rsidRPr="00BD2160">
        <w:rPr>
          <w:rFonts w:cs="Times New Roman"/>
        </w:rPr>
        <w:t>AXA Chair Programme in Biosphere and Climate Impacts, Department of Life Science</w:t>
      </w:r>
      <w:r w:rsidR="003A13B7" w:rsidRPr="00BD2160">
        <w:rPr>
          <w:rFonts w:cs="Times New Roman"/>
        </w:rPr>
        <w:t>s</w:t>
      </w:r>
      <w:r w:rsidRPr="00BD2160">
        <w:rPr>
          <w:rFonts w:cs="Times New Roman"/>
        </w:rPr>
        <w:t>, Imperial College London, Silwood Park Campus, Buckhurst Road, SL5 7PY, Ascot, UK</w:t>
      </w:r>
    </w:p>
    <w:p w14:paraId="273FBDC1" w14:textId="55D5BC7C" w:rsidR="00064103" w:rsidRPr="00BD2160" w:rsidRDefault="00064103" w:rsidP="00064103">
      <w:pPr>
        <w:pStyle w:val="Body"/>
        <w:spacing w:line="360" w:lineRule="auto"/>
        <w:jc w:val="both"/>
        <w:outlineLvl w:val="0"/>
        <w:rPr>
          <w:rFonts w:cs="Times New Roman"/>
        </w:rPr>
      </w:pPr>
      <w:r>
        <w:rPr>
          <w:rFonts w:cs="Times New Roman"/>
          <w:vertAlign w:val="superscript"/>
        </w:rPr>
        <w:t>2</w:t>
      </w:r>
      <w:r w:rsidRPr="00BD2160">
        <w:rPr>
          <w:rFonts w:cs="Times New Roman"/>
        </w:rPr>
        <w:t xml:space="preserve">Department of Physics, Imperial College London, Exhibition Road, SW7 2AZ, London, UK </w:t>
      </w:r>
    </w:p>
    <w:p w14:paraId="560148CA" w14:textId="41824896" w:rsidR="00064103" w:rsidRDefault="00064103">
      <w:pPr>
        <w:pStyle w:val="Body"/>
        <w:spacing w:line="360" w:lineRule="auto"/>
        <w:jc w:val="both"/>
        <w:rPr>
          <w:rFonts w:cs="Times New Roman"/>
        </w:rPr>
      </w:pPr>
      <w:r>
        <w:rPr>
          <w:rFonts w:cs="Times New Roman"/>
          <w:vertAlign w:val="superscript"/>
        </w:rPr>
        <w:t>3</w:t>
      </w:r>
      <w:r w:rsidRPr="00BD2160">
        <w:rPr>
          <w:rFonts w:cs="Times New Roman"/>
          <w:lang w:val="de-DE"/>
        </w:rPr>
        <w:t xml:space="preserve">Grantham Institute – Climate Change and the Environment, Imperial College London, </w:t>
      </w:r>
      <w:r w:rsidRPr="00BD2160">
        <w:rPr>
          <w:rFonts w:cs="Times New Roman"/>
        </w:rPr>
        <w:t xml:space="preserve">Exhibition Road, </w:t>
      </w:r>
      <w:r w:rsidRPr="00BD2160">
        <w:rPr>
          <w:rFonts w:cs="Times New Roman"/>
          <w:lang w:val="de-DE"/>
        </w:rPr>
        <w:t>SW7 2AZ, London, UK</w:t>
      </w:r>
    </w:p>
    <w:p w14:paraId="09ABC160" w14:textId="3E278AF1" w:rsidR="0007389A" w:rsidRPr="00BD2160" w:rsidRDefault="00064103" w:rsidP="0007389A">
      <w:pPr>
        <w:pStyle w:val="Body"/>
        <w:spacing w:line="360" w:lineRule="auto"/>
        <w:jc w:val="both"/>
        <w:rPr>
          <w:rFonts w:cs="Times New Roman"/>
          <w:lang w:val="en-GB"/>
        </w:rPr>
      </w:pPr>
      <w:r>
        <w:rPr>
          <w:rFonts w:cs="Times New Roman"/>
          <w:vertAlign w:val="superscript"/>
        </w:rPr>
        <w:t>4</w:t>
      </w:r>
      <w:r w:rsidR="00161044" w:rsidRPr="00BD2160">
        <w:rPr>
          <w:rFonts w:cs="Times New Roman"/>
          <w:lang w:val="en-GB"/>
        </w:rPr>
        <w:t xml:space="preserve">Department of Biological Sciences, Macquarie University, North Ryde, NSW 2109, Australia </w:t>
      </w:r>
      <w:r>
        <w:rPr>
          <w:rFonts w:cs="Times New Roman"/>
          <w:vertAlign w:val="superscript"/>
        </w:rPr>
        <w:t>5</w:t>
      </w:r>
      <w:r w:rsidR="0007389A" w:rsidRPr="00BD2160">
        <w:rPr>
          <w:rFonts w:cs="Times New Roman"/>
          <w:lang w:val="en-GB"/>
        </w:rPr>
        <w:t xml:space="preserve">ARC Centre of Excellence for Climate Extremes, University of New South Wales, Sydney, NSW, Australia </w:t>
      </w:r>
    </w:p>
    <w:p w14:paraId="797E5318" w14:textId="3C128B3C" w:rsidR="00753E79" w:rsidRPr="00BD2160" w:rsidRDefault="00064103">
      <w:pPr>
        <w:pStyle w:val="Body"/>
        <w:spacing w:line="360" w:lineRule="auto"/>
        <w:jc w:val="both"/>
        <w:rPr>
          <w:rFonts w:cs="Times New Roman"/>
          <w:lang w:val="en-GB"/>
        </w:rPr>
      </w:pPr>
      <w:r>
        <w:rPr>
          <w:rFonts w:eastAsiaTheme="minorEastAsia" w:cs="Times New Roman"/>
          <w:vertAlign w:val="superscript"/>
        </w:rPr>
        <w:t>6</w:t>
      </w:r>
      <w:r w:rsidR="00161044" w:rsidRPr="00BD2160">
        <w:rPr>
          <w:rFonts w:cs="Times New Roman"/>
          <w:lang w:val="en-GB"/>
        </w:rPr>
        <w:t xml:space="preserve">Climate </w:t>
      </w:r>
      <w:r w:rsidR="00FA708B" w:rsidRPr="00BD2160">
        <w:rPr>
          <w:rFonts w:cs="Times New Roman"/>
          <w:lang w:val="en-GB"/>
        </w:rPr>
        <w:t xml:space="preserve">and Ecosystem Sciences Division, Lawrence Berkeley National Laboratory, 1 Cyclotron Road, Berkeley, CA 94720, USA </w:t>
      </w:r>
    </w:p>
    <w:p w14:paraId="35474B6B" w14:textId="5A5BB31C" w:rsidR="00C15218" w:rsidRDefault="00064103">
      <w:pPr>
        <w:pStyle w:val="Body"/>
        <w:spacing w:line="360" w:lineRule="auto"/>
        <w:jc w:val="both"/>
        <w:rPr>
          <w:rFonts w:cs="Times New Roman"/>
          <w:lang w:val="en-GB"/>
        </w:rPr>
      </w:pPr>
      <w:r>
        <w:rPr>
          <w:rFonts w:cs="Times New Roman"/>
          <w:vertAlign w:val="superscript"/>
          <w:lang w:val="en-GB"/>
        </w:rPr>
        <w:t>7</w:t>
      </w:r>
      <w:r w:rsidR="00161044" w:rsidRPr="00BD2160">
        <w:rPr>
          <w:rFonts w:cs="Times New Roman"/>
          <w:lang w:val="en-GB"/>
        </w:rPr>
        <w:t xml:space="preserve">Department </w:t>
      </w:r>
      <w:r w:rsidR="00C15218" w:rsidRPr="00BD2160">
        <w:rPr>
          <w:rFonts w:cs="Times New Roman"/>
          <w:lang w:val="en-GB"/>
        </w:rPr>
        <w:t xml:space="preserve">of Environmental Science, Policy and Management, UC Berkeley, Berkeley, CA 94720, USA </w:t>
      </w:r>
    </w:p>
    <w:p w14:paraId="2DB0CDCB" w14:textId="294488F6" w:rsidR="00064103" w:rsidRDefault="00064103">
      <w:pPr>
        <w:pStyle w:val="Body"/>
        <w:spacing w:line="360" w:lineRule="auto"/>
        <w:jc w:val="both"/>
        <w:rPr>
          <w:rFonts w:cs="Times New Roman"/>
          <w:lang w:val="en-GB"/>
        </w:rPr>
      </w:pPr>
      <w:r>
        <w:rPr>
          <w:rFonts w:cs="Times New Roman"/>
          <w:vertAlign w:val="superscript"/>
        </w:rPr>
        <w:t>8</w:t>
      </w:r>
      <w:r w:rsidRPr="00BD2160">
        <w:rPr>
          <w:rFonts w:cs="Times New Roman"/>
          <w:lang w:val="en-GB"/>
        </w:rPr>
        <w:t>Hawkesbury Institute for the Environment, Western Sydney University, Richmond, NSW, Australia</w:t>
      </w:r>
    </w:p>
    <w:p w14:paraId="2CE193CC" w14:textId="37420A5B" w:rsidR="0007389A" w:rsidRPr="00BD2160" w:rsidRDefault="0007389A">
      <w:pPr>
        <w:pStyle w:val="Body"/>
        <w:spacing w:line="360" w:lineRule="auto"/>
        <w:jc w:val="both"/>
        <w:rPr>
          <w:rFonts w:cs="Times New Roman"/>
          <w:lang w:val="en-GB"/>
        </w:rPr>
      </w:pPr>
      <w:r>
        <w:rPr>
          <w:rFonts w:eastAsiaTheme="minorEastAsia" w:cs="Times New Roman"/>
          <w:vertAlign w:val="superscript"/>
        </w:rPr>
        <w:t>9</w:t>
      </w:r>
      <w:r w:rsidRPr="00515145">
        <w:rPr>
          <w:rFonts w:eastAsiaTheme="minorEastAsia" w:cs="Times New Roman"/>
        </w:rPr>
        <w:t>Department of Earth System Science, Tsinghua Un</w:t>
      </w:r>
      <w:r>
        <w:rPr>
          <w:rFonts w:eastAsiaTheme="minorEastAsia" w:cs="Times New Roman"/>
        </w:rPr>
        <w:t>iversity, Beijing, 100084, China</w:t>
      </w:r>
    </w:p>
    <w:p w14:paraId="582DF1E5" w14:textId="77777777" w:rsidR="005D3816" w:rsidRPr="00BD2160" w:rsidRDefault="005D3816">
      <w:pPr>
        <w:pStyle w:val="Body"/>
        <w:spacing w:line="360" w:lineRule="auto"/>
        <w:jc w:val="both"/>
        <w:rPr>
          <w:rFonts w:cs="Times New Roman"/>
          <w:b/>
          <w:bCs/>
        </w:rPr>
      </w:pPr>
    </w:p>
    <w:p w14:paraId="3986390E" w14:textId="77777777" w:rsidR="0017704E" w:rsidRDefault="0017704E">
      <w:pPr>
        <w:pStyle w:val="Body"/>
        <w:spacing w:line="360" w:lineRule="auto"/>
        <w:jc w:val="both"/>
        <w:outlineLvl w:val="0"/>
        <w:rPr>
          <w:rFonts w:cs="Times New Roman"/>
        </w:rPr>
      </w:pPr>
      <w:r>
        <w:rPr>
          <w:rFonts w:cs="Times New Roman"/>
        </w:rPr>
        <w:t>A</w:t>
      </w:r>
      <w:r w:rsidR="00E212AA" w:rsidRPr="00BD2160">
        <w:rPr>
          <w:rFonts w:cs="Times New Roman"/>
        </w:rPr>
        <w:t>uthor</w:t>
      </w:r>
      <w:r>
        <w:rPr>
          <w:rFonts w:cs="Times New Roman"/>
        </w:rPr>
        <w:t xml:space="preserve"> for correspondence</w:t>
      </w:r>
      <w:r w:rsidR="00E212AA" w:rsidRPr="00BD2160">
        <w:rPr>
          <w:rFonts w:cs="Times New Roman"/>
        </w:rPr>
        <w:t xml:space="preserve">: </w:t>
      </w:r>
    </w:p>
    <w:p w14:paraId="64684917" w14:textId="71AD7C6A" w:rsidR="0017704E" w:rsidRDefault="00EE7ABB">
      <w:pPr>
        <w:pStyle w:val="Body"/>
        <w:spacing w:line="360" w:lineRule="auto"/>
        <w:jc w:val="both"/>
        <w:outlineLvl w:val="0"/>
        <w:rPr>
          <w:rFonts w:cs="Times New Roman"/>
          <w:lang w:val="en-GB"/>
        </w:rPr>
      </w:pPr>
      <w:r>
        <w:rPr>
          <w:rFonts w:cs="Times New Roman"/>
        </w:rPr>
        <w:t xml:space="preserve">Dr </w:t>
      </w:r>
      <w:r w:rsidR="00E212AA" w:rsidRPr="00BD2160">
        <w:rPr>
          <w:rFonts w:cs="Times New Roman"/>
        </w:rPr>
        <w:t>Alié</w:t>
      </w:r>
      <w:r w:rsidR="00E212AA" w:rsidRPr="00BD2160">
        <w:rPr>
          <w:rFonts w:cs="Times New Roman"/>
          <w:lang w:val="en-GB"/>
        </w:rPr>
        <w:t>nor Lavergne</w:t>
      </w:r>
    </w:p>
    <w:p w14:paraId="1633F3A0" w14:textId="6F39665B" w:rsidR="0017704E" w:rsidRDefault="0017704E">
      <w:pPr>
        <w:pStyle w:val="Body"/>
        <w:spacing w:line="360" w:lineRule="auto"/>
        <w:jc w:val="both"/>
        <w:outlineLvl w:val="0"/>
        <w:rPr>
          <w:rFonts w:cs="Times New Roman"/>
          <w:lang w:val="en-GB"/>
        </w:rPr>
      </w:pPr>
      <w:r>
        <w:rPr>
          <w:rFonts w:cs="Times New Roman"/>
          <w:lang w:val="en-GB"/>
        </w:rPr>
        <w:t>Tel.: +44 7751560400</w:t>
      </w:r>
      <w:r w:rsidR="00E212AA" w:rsidRPr="00BD2160">
        <w:rPr>
          <w:rFonts w:cs="Times New Roman"/>
          <w:lang w:val="en-GB"/>
        </w:rPr>
        <w:t xml:space="preserve"> </w:t>
      </w:r>
    </w:p>
    <w:p w14:paraId="75A5C776" w14:textId="023C0B78" w:rsidR="005D3816" w:rsidRPr="00BD2160" w:rsidRDefault="0017704E">
      <w:pPr>
        <w:pStyle w:val="Body"/>
        <w:spacing w:line="360" w:lineRule="auto"/>
        <w:jc w:val="both"/>
        <w:outlineLvl w:val="0"/>
        <w:rPr>
          <w:rFonts w:cs="Times New Roman"/>
          <w:lang w:val="en-GB"/>
        </w:rPr>
      </w:pPr>
      <w:r>
        <w:rPr>
          <w:rFonts w:cs="Times New Roman"/>
          <w:lang w:val="en-GB"/>
        </w:rPr>
        <w:t xml:space="preserve">Email: </w:t>
      </w:r>
      <w:r w:rsidR="00E212AA" w:rsidRPr="00BD2160">
        <w:rPr>
          <w:rFonts w:cs="Times New Roman"/>
          <w:lang w:val="en-GB"/>
        </w:rPr>
        <w:t xml:space="preserve">a.lavergne@imperial.ac.uk </w:t>
      </w:r>
    </w:p>
    <w:p w14:paraId="43C45887" w14:textId="1BDA235D" w:rsidR="00297B48" w:rsidRPr="00BD2160" w:rsidRDefault="00297B48">
      <w:pPr>
        <w:pStyle w:val="Body"/>
        <w:spacing w:line="360" w:lineRule="auto"/>
        <w:jc w:val="both"/>
        <w:outlineLvl w:val="0"/>
        <w:rPr>
          <w:rFonts w:cs="Times New Roman"/>
          <w:lang w:val="en-GB"/>
        </w:rPr>
      </w:pPr>
    </w:p>
    <w:p w14:paraId="55F270E1" w14:textId="77777777" w:rsidR="00F04DD1" w:rsidRDefault="00F04DD1" w:rsidP="009D7F82">
      <w:pPr>
        <w:pStyle w:val="Body"/>
        <w:spacing w:line="360" w:lineRule="auto"/>
        <w:jc w:val="both"/>
        <w:outlineLvl w:val="0"/>
        <w:rPr>
          <w:rFonts w:cs="Times New Roman"/>
          <w:b/>
          <w:bCs/>
          <w:lang w:val="sv-SE"/>
        </w:rPr>
      </w:pPr>
    </w:p>
    <w:p w14:paraId="1BE8B338" w14:textId="77777777" w:rsidR="00E53CB2" w:rsidRPr="00E53CB2" w:rsidRDefault="00E53CB2" w:rsidP="009D7F82">
      <w:pPr>
        <w:spacing w:line="360" w:lineRule="auto"/>
        <w:rPr>
          <w:b/>
          <w:bCs/>
          <w:color w:val="000000" w:themeColor="text1"/>
          <w:u w:val="single"/>
        </w:rPr>
      </w:pPr>
      <w:r w:rsidRPr="00E53CB2">
        <w:rPr>
          <w:b/>
          <w:bCs/>
          <w:color w:val="000000" w:themeColor="text1"/>
          <w:u w:val="single"/>
        </w:rPr>
        <w:lastRenderedPageBreak/>
        <w:t>Contents</w:t>
      </w:r>
    </w:p>
    <w:p w14:paraId="4930281C" w14:textId="66C2820A" w:rsidR="00E53CB2" w:rsidRPr="00BD2160" w:rsidRDefault="00C15A97" w:rsidP="009D7F82">
      <w:pPr>
        <w:spacing w:line="360" w:lineRule="auto"/>
        <w:rPr>
          <w:b/>
          <w:bCs/>
          <w:color w:val="000000" w:themeColor="text1"/>
        </w:rPr>
      </w:pPr>
      <w:r>
        <w:rPr>
          <w:b/>
          <w:bCs/>
          <w:color w:val="000000" w:themeColor="text1"/>
        </w:rPr>
        <w:t>Summary</w:t>
      </w:r>
    </w:p>
    <w:p w14:paraId="577F9FEC" w14:textId="1ABB62D8" w:rsidR="00E53CB2" w:rsidRDefault="00E53CB2" w:rsidP="009D7F82">
      <w:pPr>
        <w:pStyle w:val="Body"/>
        <w:spacing w:line="360" w:lineRule="auto"/>
        <w:jc w:val="both"/>
        <w:rPr>
          <w:rFonts w:cs="Times New Roman"/>
          <w:b/>
          <w:bCs/>
          <w:color w:val="000000" w:themeColor="text1"/>
        </w:rPr>
      </w:pPr>
      <w:r w:rsidRPr="00BD2160">
        <w:rPr>
          <w:rFonts w:cs="Times New Roman"/>
          <w:b/>
          <w:bCs/>
          <w:color w:val="000000" w:themeColor="text1"/>
        </w:rPr>
        <w:t>Introduction</w:t>
      </w:r>
    </w:p>
    <w:p w14:paraId="083AA7AF" w14:textId="7459A569" w:rsidR="00614FB4" w:rsidRDefault="00614FB4" w:rsidP="009D7F82">
      <w:pPr>
        <w:pStyle w:val="Body"/>
        <w:numPr>
          <w:ilvl w:val="0"/>
          <w:numId w:val="27"/>
        </w:numPr>
        <w:spacing w:before="240" w:line="360" w:lineRule="auto"/>
        <w:jc w:val="both"/>
        <w:rPr>
          <w:rFonts w:cs="Times New Roman"/>
          <w:color w:val="000000" w:themeColor="text1"/>
          <w:lang w:val="en-GB"/>
        </w:rPr>
      </w:pPr>
      <w:r>
        <w:rPr>
          <w:rFonts w:cs="Times New Roman"/>
          <w:color w:val="000000" w:themeColor="text1"/>
          <w:lang w:val="en-GB"/>
        </w:rPr>
        <w:t>Estimating historical trends in water use efficiency at the leaf v</w:t>
      </w:r>
      <w:r w:rsidR="00123514">
        <w:rPr>
          <w:rFonts w:cs="Times New Roman"/>
          <w:color w:val="000000" w:themeColor="text1"/>
          <w:lang w:val="en-GB"/>
        </w:rPr>
        <w:t>er</w:t>
      </w:r>
      <w:r>
        <w:rPr>
          <w:rFonts w:cs="Times New Roman"/>
          <w:color w:val="000000" w:themeColor="text1"/>
          <w:lang w:val="en-GB"/>
        </w:rPr>
        <w:t>s</w:t>
      </w:r>
      <w:r w:rsidR="00123514">
        <w:rPr>
          <w:rFonts w:cs="Times New Roman"/>
          <w:color w:val="000000" w:themeColor="text1"/>
          <w:lang w:val="en-GB"/>
        </w:rPr>
        <w:t>us the</w:t>
      </w:r>
      <w:r>
        <w:rPr>
          <w:rFonts w:cs="Times New Roman"/>
          <w:color w:val="000000" w:themeColor="text1"/>
          <w:lang w:val="en-GB"/>
        </w:rPr>
        <w:t xml:space="preserve"> ecosystem scale</w:t>
      </w:r>
    </w:p>
    <w:p w14:paraId="2E2BAA93" w14:textId="707E81C6" w:rsidR="009D7F82" w:rsidRDefault="009D7F82" w:rsidP="009D7F82">
      <w:pPr>
        <w:pStyle w:val="Body"/>
        <w:numPr>
          <w:ilvl w:val="1"/>
          <w:numId w:val="27"/>
        </w:numPr>
        <w:spacing w:before="240" w:line="360" w:lineRule="auto"/>
        <w:jc w:val="both"/>
        <w:rPr>
          <w:rFonts w:cs="Times New Roman"/>
          <w:color w:val="000000" w:themeColor="text1"/>
          <w:lang w:val="en-GB"/>
        </w:rPr>
      </w:pPr>
      <w:r>
        <w:rPr>
          <w:rFonts w:cs="Times New Roman"/>
          <w:color w:val="000000" w:themeColor="text1"/>
          <w:lang w:val="en-GB"/>
        </w:rPr>
        <w:t>Leaf</w:t>
      </w:r>
      <w:r w:rsidR="000358F3">
        <w:rPr>
          <w:rFonts w:cs="Times New Roman"/>
          <w:color w:val="000000" w:themeColor="text1"/>
          <w:lang w:val="en-GB"/>
        </w:rPr>
        <w:t xml:space="preserve"> </w:t>
      </w:r>
      <w:r>
        <w:rPr>
          <w:rFonts w:cs="Times New Roman"/>
          <w:color w:val="000000" w:themeColor="text1"/>
          <w:lang w:val="en-GB"/>
        </w:rPr>
        <w:t>level</w:t>
      </w:r>
      <w:r w:rsidR="00A661A8">
        <w:rPr>
          <w:rFonts w:cs="Times New Roman"/>
          <w:color w:val="000000" w:themeColor="text1"/>
          <w:lang w:val="en-GB"/>
        </w:rPr>
        <w:t xml:space="preserve"> estimates</w:t>
      </w:r>
    </w:p>
    <w:p w14:paraId="6030576B" w14:textId="4E29B4BB" w:rsidR="009D7F82" w:rsidRDefault="009D7F82" w:rsidP="009D7F82">
      <w:pPr>
        <w:pStyle w:val="Body"/>
        <w:numPr>
          <w:ilvl w:val="1"/>
          <w:numId w:val="27"/>
        </w:numPr>
        <w:spacing w:before="240" w:line="360" w:lineRule="auto"/>
        <w:jc w:val="both"/>
        <w:rPr>
          <w:rFonts w:cs="Times New Roman"/>
          <w:color w:val="000000" w:themeColor="text1"/>
          <w:lang w:val="en-GB"/>
        </w:rPr>
      </w:pPr>
      <w:r>
        <w:rPr>
          <w:rFonts w:cs="Times New Roman"/>
          <w:color w:val="000000" w:themeColor="text1"/>
          <w:lang w:val="en-GB"/>
        </w:rPr>
        <w:t>Ecosystem</w:t>
      </w:r>
      <w:r w:rsidR="000358F3">
        <w:rPr>
          <w:rFonts w:cs="Times New Roman"/>
          <w:color w:val="000000" w:themeColor="text1"/>
          <w:lang w:val="en-GB"/>
        </w:rPr>
        <w:t xml:space="preserve"> </w:t>
      </w:r>
      <w:r>
        <w:rPr>
          <w:rFonts w:cs="Times New Roman"/>
          <w:color w:val="000000" w:themeColor="text1"/>
          <w:lang w:val="en-GB"/>
        </w:rPr>
        <w:t>scale</w:t>
      </w:r>
      <w:r w:rsidR="00A661A8">
        <w:rPr>
          <w:rFonts w:cs="Times New Roman"/>
          <w:color w:val="000000" w:themeColor="text1"/>
          <w:lang w:val="en-GB"/>
        </w:rPr>
        <w:t xml:space="preserve"> estimates</w:t>
      </w:r>
    </w:p>
    <w:p w14:paraId="038FD3F2" w14:textId="754D49D3" w:rsidR="00614FB4" w:rsidRDefault="00614FB4" w:rsidP="009D7F82">
      <w:pPr>
        <w:pStyle w:val="Body"/>
        <w:numPr>
          <w:ilvl w:val="0"/>
          <w:numId w:val="27"/>
        </w:numPr>
        <w:spacing w:before="240" w:line="360" w:lineRule="auto"/>
        <w:jc w:val="both"/>
        <w:rPr>
          <w:rFonts w:cs="Times New Roman"/>
          <w:color w:val="000000" w:themeColor="text1"/>
          <w:lang w:val="en-GB"/>
        </w:rPr>
      </w:pPr>
      <w:r>
        <w:rPr>
          <w:rFonts w:cs="Times New Roman"/>
          <w:color w:val="000000" w:themeColor="text1"/>
          <w:lang w:val="en-GB"/>
        </w:rPr>
        <w:t xml:space="preserve">Trends </w:t>
      </w:r>
      <w:r w:rsidR="00A73245">
        <w:rPr>
          <w:rFonts w:cs="Times New Roman"/>
          <w:color w:val="000000" w:themeColor="text1"/>
          <w:lang w:val="en-GB"/>
        </w:rPr>
        <w:t>report</w:t>
      </w:r>
      <w:r>
        <w:rPr>
          <w:rFonts w:cs="Times New Roman"/>
          <w:color w:val="000000" w:themeColor="text1"/>
          <w:lang w:val="en-GB"/>
        </w:rPr>
        <w:t xml:space="preserve">ed in the literature from </w:t>
      </w:r>
      <w:r w:rsidR="00A73245">
        <w:rPr>
          <w:rFonts w:cs="Times New Roman"/>
          <w:color w:val="000000" w:themeColor="text1"/>
          <w:lang w:val="en-GB"/>
        </w:rPr>
        <w:t>observations</w:t>
      </w:r>
    </w:p>
    <w:p w14:paraId="2D740527" w14:textId="582EA661" w:rsidR="002E6988" w:rsidRPr="001A037C" w:rsidRDefault="002E6988" w:rsidP="009D7F82">
      <w:pPr>
        <w:pStyle w:val="ListParagraph"/>
        <w:keepNext/>
        <w:numPr>
          <w:ilvl w:val="1"/>
          <w:numId w:val="27"/>
        </w:numPr>
        <w:spacing w:line="360" w:lineRule="auto"/>
        <w:jc w:val="both"/>
        <w:rPr>
          <w:rFonts w:ascii="Times New Roman" w:eastAsia="Times New Roman" w:hAnsi="Times New Roman" w:cs="Times New Roman"/>
          <w:bCs/>
        </w:rPr>
      </w:pPr>
      <w:r w:rsidRPr="001A037C">
        <w:rPr>
          <w:rFonts w:ascii="Times New Roman" w:hAnsi="Times New Roman" w:cs="Times New Roman"/>
          <w:bCs/>
        </w:rPr>
        <w:t xml:space="preserve">Long-term leaf gas-exchange strategies: implications </w:t>
      </w:r>
      <w:r w:rsidR="00432AEC">
        <w:rPr>
          <w:rFonts w:ascii="Times New Roman" w:hAnsi="Times New Roman" w:cs="Times New Roman"/>
          <w:bCs/>
        </w:rPr>
        <w:t>for</w:t>
      </w:r>
      <w:r w:rsidR="00432AEC" w:rsidRPr="001A037C">
        <w:rPr>
          <w:rFonts w:ascii="Times New Roman" w:hAnsi="Times New Roman" w:cs="Times New Roman"/>
          <w:bCs/>
        </w:rPr>
        <w:t xml:space="preserve"> </w:t>
      </w:r>
      <w:r w:rsidRPr="001A037C">
        <w:rPr>
          <w:rFonts w:ascii="Times New Roman" w:hAnsi="Times New Roman" w:cs="Times New Roman"/>
          <w:bCs/>
        </w:rPr>
        <w:t xml:space="preserve">trends in </w:t>
      </w:r>
      <w:r w:rsidR="008B5458">
        <w:rPr>
          <w:rFonts w:ascii="Times New Roman" w:hAnsi="Times New Roman" w:cs="Times New Roman"/>
          <w:bCs/>
        </w:rPr>
        <w:t>water use efficiency</w:t>
      </w:r>
      <w:r w:rsidRPr="001A037C">
        <w:rPr>
          <w:rFonts w:ascii="Times New Roman" w:hAnsi="Times New Roman" w:cs="Times New Roman"/>
          <w:bCs/>
        </w:rPr>
        <w:t xml:space="preserve"> </w:t>
      </w:r>
    </w:p>
    <w:p w14:paraId="4935BBB1" w14:textId="5609A1B9" w:rsidR="00707734" w:rsidRPr="00707734" w:rsidRDefault="00DB6DE3" w:rsidP="009D7F82">
      <w:pPr>
        <w:pStyle w:val="Body"/>
        <w:numPr>
          <w:ilvl w:val="1"/>
          <w:numId w:val="27"/>
        </w:numPr>
        <w:spacing w:after="240" w:line="360" w:lineRule="auto"/>
        <w:ind w:left="1434" w:hanging="357"/>
        <w:jc w:val="both"/>
        <w:rPr>
          <w:rFonts w:cs="Times New Roman"/>
          <w:color w:val="000000" w:themeColor="text1"/>
          <w:lang w:val="en-GB"/>
        </w:rPr>
      </w:pPr>
      <w:r w:rsidRPr="003B3F39">
        <w:rPr>
          <w:rFonts w:cs="Times New Roman"/>
          <w:color w:val="000000" w:themeColor="text1"/>
          <w:lang w:val="en-GB"/>
        </w:rPr>
        <w:t>Methodological issues</w:t>
      </w:r>
      <w:r w:rsidR="00C93B6A">
        <w:rPr>
          <w:rFonts w:cs="Times New Roman"/>
          <w:color w:val="000000" w:themeColor="text1"/>
          <w:lang w:val="en-GB"/>
        </w:rPr>
        <w:t xml:space="preserve"> underlying </w:t>
      </w:r>
      <w:r w:rsidR="008B5458">
        <w:rPr>
          <w:rFonts w:cs="Times New Roman"/>
          <w:color w:val="000000" w:themeColor="text1"/>
          <w:lang w:val="en-GB"/>
        </w:rPr>
        <w:t>water use efficiency</w:t>
      </w:r>
      <w:r w:rsidR="00C93B6A">
        <w:rPr>
          <w:rFonts w:cs="Times New Roman"/>
          <w:color w:val="000000" w:themeColor="text1"/>
          <w:lang w:val="en-GB"/>
        </w:rPr>
        <w:t xml:space="preserve"> trend estimates</w:t>
      </w:r>
    </w:p>
    <w:p w14:paraId="236EA63F" w14:textId="01E44568" w:rsidR="00D1282F" w:rsidRPr="00EB2651" w:rsidRDefault="00840171" w:rsidP="009D7F82">
      <w:pPr>
        <w:pStyle w:val="ListParagraph"/>
        <w:keepNext/>
        <w:numPr>
          <w:ilvl w:val="0"/>
          <w:numId w:val="27"/>
        </w:numPr>
        <w:spacing w:line="360" w:lineRule="auto"/>
        <w:jc w:val="both"/>
        <w:rPr>
          <w:rFonts w:ascii="Times New Roman" w:eastAsia="Times New Roman" w:hAnsi="Times New Roman" w:cs="Times New Roman"/>
          <w:bCs/>
        </w:rPr>
      </w:pPr>
      <w:r>
        <w:rPr>
          <w:rFonts w:ascii="Times New Roman" w:hAnsi="Times New Roman" w:cs="Times New Roman"/>
          <w:bCs/>
          <w:iCs/>
          <w:color w:val="000000" w:themeColor="text1"/>
        </w:rPr>
        <w:t>T</w:t>
      </w:r>
      <w:r w:rsidR="003B3F39" w:rsidRPr="00EB2651">
        <w:rPr>
          <w:rFonts w:ascii="Times New Roman" w:hAnsi="Times New Roman" w:cs="Times New Roman"/>
          <w:bCs/>
          <w:iCs/>
          <w:color w:val="000000" w:themeColor="text1"/>
        </w:rPr>
        <w:t xml:space="preserve">rends predicted by </w:t>
      </w:r>
      <w:r w:rsidR="00EC6F61">
        <w:rPr>
          <w:rFonts w:ascii="Times New Roman" w:hAnsi="Times New Roman" w:cs="Times New Roman"/>
          <w:color w:val="000000" w:themeColor="text1"/>
        </w:rPr>
        <w:t>vegetation models</w:t>
      </w:r>
      <w:r w:rsidR="003B3F39" w:rsidRPr="00EB2651">
        <w:rPr>
          <w:rFonts w:ascii="Times New Roman" w:hAnsi="Times New Roman" w:cs="Times New Roman"/>
          <w:bCs/>
          <w:iCs/>
          <w:color w:val="000000" w:themeColor="text1"/>
        </w:rPr>
        <w:t xml:space="preserve"> and agreements with observations</w:t>
      </w:r>
    </w:p>
    <w:p w14:paraId="39222C8C" w14:textId="77777777" w:rsidR="00E53CB2" w:rsidRPr="00BD2160" w:rsidRDefault="00E53CB2" w:rsidP="009D7F82">
      <w:pPr>
        <w:keepNext/>
        <w:spacing w:line="360" w:lineRule="auto"/>
        <w:ind w:left="1440"/>
        <w:jc w:val="both"/>
        <w:rPr>
          <w:b/>
          <w:bCs/>
        </w:rPr>
      </w:pPr>
    </w:p>
    <w:p w14:paraId="6F13BE6A" w14:textId="4640D680" w:rsidR="00E53CB2" w:rsidRPr="00BD2160" w:rsidRDefault="00E53CB2" w:rsidP="009D7F82">
      <w:pPr>
        <w:keepNext/>
        <w:spacing w:line="360" w:lineRule="auto"/>
        <w:jc w:val="both"/>
        <w:rPr>
          <w:b/>
          <w:bCs/>
        </w:rPr>
      </w:pPr>
      <w:r w:rsidRPr="00BD2160">
        <w:rPr>
          <w:b/>
          <w:bCs/>
        </w:rPr>
        <w:t>Conclusion</w:t>
      </w:r>
      <w:r w:rsidR="00A84A3C">
        <w:rPr>
          <w:b/>
          <w:bCs/>
        </w:rPr>
        <w:t xml:space="preserve"> and perspectives</w:t>
      </w:r>
    </w:p>
    <w:p w14:paraId="403BED31" w14:textId="2B04104F" w:rsidR="00E53CB2" w:rsidRPr="00BD2160" w:rsidRDefault="00E53CB2">
      <w:pPr>
        <w:pStyle w:val="Body"/>
        <w:spacing w:line="360" w:lineRule="auto"/>
        <w:jc w:val="both"/>
        <w:outlineLvl w:val="0"/>
        <w:rPr>
          <w:rFonts w:cs="Times New Roman"/>
          <w:b/>
          <w:bCs/>
          <w:lang w:val="sv-SE"/>
        </w:rPr>
        <w:sectPr w:rsidR="00E53CB2" w:rsidRPr="00BD2160" w:rsidSect="00230C7E">
          <w:pgSz w:w="12240" w:h="15840"/>
          <w:pgMar w:top="1417" w:right="1417" w:bottom="1417" w:left="1417" w:header="720" w:footer="720" w:gutter="0"/>
          <w:lnNumType w:countBy="1" w:restart="continuous"/>
          <w:cols w:space="720"/>
          <w:docGrid w:linePitch="326"/>
        </w:sectPr>
      </w:pPr>
    </w:p>
    <w:p w14:paraId="407128A2" w14:textId="62E682FC" w:rsidR="005D3816" w:rsidRPr="00BD2160" w:rsidRDefault="00E212AA">
      <w:pPr>
        <w:pStyle w:val="Body"/>
        <w:spacing w:line="360" w:lineRule="auto"/>
        <w:jc w:val="both"/>
        <w:outlineLvl w:val="0"/>
        <w:rPr>
          <w:rFonts w:cs="Times New Roman"/>
          <w:b/>
          <w:bCs/>
        </w:rPr>
      </w:pPr>
      <w:r w:rsidRPr="00BD2160">
        <w:rPr>
          <w:rFonts w:cs="Times New Roman"/>
          <w:b/>
          <w:bCs/>
          <w:lang w:val="sv-SE"/>
        </w:rPr>
        <w:lastRenderedPageBreak/>
        <w:t>Summary</w:t>
      </w:r>
    </w:p>
    <w:p w14:paraId="741AF31C" w14:textId="456D5A54" w:rsidR="008F05ED" w:rsidRPr="00D777DB" w:rsidRDefault="00EC41AD">
      <w:pPr>
        <w:pStyle w:val="Body"/>
        <w:spacing w:line="360" w:lineRule="auto"/>
        <w:jc w:val="both"/>
        <w:rPr>
          <w:rFonts w:cs="Times New Roman"/>
          <w:color w:val="FF0000"/>
        </w:rPr>
      </w:pPr>
      <w:r>
        <w:rPr>
          <w:rFonts w:cs="Times New Roman"/>
        </w:rPr>
        <w:t>Plant w</w:t>
      </w:r>
      <w:r w:rsidR="007168E8" w:rsidRPr="007168E8">
        <w:rPr>
          <w:rFonts w:cs="Times New Roman"/>
        </w:rPr>
        <w:t>ater-use efficiency (WUE, the carbon gained through photosynthesis per unit of water lost through transpiration) is a tracer of the plant physiological controls on the exchange of water and carbon dioxide between terrestrial ecosystems and the atmosphere. At the leaf</w:t>
      </w:r>
      <w:r w:rsidR="0007389A">
        <w:rPr>
          <w:rFonts w:cs="Times New Roman"/>
        </w:rPr>
        <w:t xml:space="preserve"> </w:t>
      </w:r>
      <w:r w:rsidR="007168E8" w:rsidRPr="007168E8">
        <w:rPr>
          <w:rFonts w:cs="Times New Roman"/>
        </w:rPr>
        <w:t>level, rising CO</w:t>
      </w:r>
      <w:r w:rsidR="007168E8" w:rsidRPr="0077183A">
        <w:rPr>
          <w:rFonts w:cs="Times New Roman"/>
          <w:vertAlign w:val="subscript"/>
        </w:rPr>
        <w:t>2</w:t>
      </w:r>
      <w:r w:rsidR="007168E8" w:rsidRPr="007168E8">
        <w:rPr>
          <w:rFonts w:cs="Times New Roman"/>
        </w:rPr>
        <w:t xml:space="preserve"> concentrations tend to increase carbon uptake (in the absence of other limitations)</w:t>
      </w:r>
      <w:r w:rsidR="00DD3A0F">
        <w:rPr>
          <w:rFonts w:cs="Times New Roman"/>
        </w:rPr>
        <w:t xml:space="preserve"> </w:t>
      </w:r>
      <w:r w:rsidR="00DD3A0F" w:rsidRPr="007168E8">
        <w:rPr>
          <w:rFonts w:cs="Times New Roman"/>
        </w:rPr>
        <w:t>and to reduce stomatal conductance</w:t>
      </w:r>
      <w:r w:rsidR="007168E8" w:rsidRPr="007168E8">
        <w:rPr>
          <w:rFonts w:cs="Times New Roman"/>
        </w:rPr>
        <w:t>, both effects leading to an increase in leaf WUE. At the ecosystem</w:t>
      </w:r>
      <w:r w:rsidR="0007389A">
        <w:rPr>
          <w:rFonts w:cs="Times New Roman"/>
        </w:rPr>
        <w:t xml:space="preserve"> </w:t>
      </w:r>
      <w:r w:rsidR="007168E8" w:rsidRPr="007168E8">
        <w:rPr>
          <w:rFonts w:cs="Times New Roman"/>
        </w:rPr>
        <w:t xml:space="preserve">level, indirect effects </w:t>
      </w:r>
      <w:r w:rsidR="009C49BA">
        <w:rPr>
          <w:rFonts w:cs="Times New Roman"/>
        </w:rPr>
        <w:t xml:space="preserve">(e.g. increased leaf area index, soil water savings) </w:t>
      </w:r>
      <w:r w:rsidR="007168E8" w:rsidRPr="007168E8">
        <w:rPr>
          <w:rFonts w:cs="Times New Roman"/>
        </w:rPr>
        <w:t xml:space="preserve">may amplify or dampen the direct effect of </w:t>
      </w:r>
      <w:r w:rsidR="00290EC9" w:rsidRPr="007168E8">
        <w:rPr>
          <w:rFonts w:cs="Times New Roman"/>
        </w:rPr>
        <w:t>CO</w:t>
      </w:r>
      <w:r w:rsidR="00290EC9" w:rsidRPr="0077183A">
        <w:rPr>
          <w:rFonts w:cs="Times New Roman"/>
          <w:vertAlign w:val="subscript"/>
        </w:rPr>
        <w:t>2</w:t>
      </w:r>
      <w:r w:rsidR="00DD3A0F">
        <w:rPr>
          <w:rFonts w:cs="Times New Roman"/>
        </w:rPr>
        <w:t>.</w:t>
      </w:r>
      <w:r w:rsidR="007168E8" w:rsidRPr="007168E8">
        <w:rPr>
          <w:rFonts w:cs="Times New Roman"/>
        </w:rPr>
        <w:t xml:space="preserve"> </w:t>
      </w:r>
      <w:r w:rsidR="00DD3A0F">
        <w:rPr>
          <w:rFonts w:cs="Times New Roman"/>
        </w:rPr>
        <w:t>T</w:t>
      </w:r>
      <w:r w:rsidR="007168E8" w:rsidRPr="007168E8">
        <w:rPr>
          <w:rFonts w:cs="Times New Roman"/>
        </w:rPr>
        <w:t>h</w:t>
      </w:r>
      <w:r w:rsidR="00457A5A">
        <w:rPr>
          <w:rFonts w:cs="Times New Roman"/>
        </w:rPr>
        <w:t>us</w:t>
      </w:r>
      <w:r w:rsidR="00DD3A0F">
        <w:rPr>
          <w:rFonts w:cs="Times New Roman"/>
        </w:rPr>
        <w:t>,</w:t>
      </w:r>
      <w:r w:rsidR="00457A5A">
        <w:rPr>
          <w:rFonts w:cs="Times New Roman"/>
        </w:rPr>
        <w:t xml:space="preserve"> th</w:t>
      </w:r>
      <w:r w:rsidR="007168E8" w:rsidRPr="007168E8">
        <w:rPr>
          <w:rFonts w:cs="Times New Roman"/>
        </w:rPr>
        <w:t xml:space="preserve">e extent to which changes in leaf WUE translate </w:t>
      </w:r>
      <w:r w:rsidR="009C49BA">
        <w:rPr>
          <w:rFonts w:cs="Times New Roman"/>
        </w:rPr>
        <w:t xml:space="preserve">to changes </w:t>
      </w:r>
      <w:r w:rsidR="007168E8" w:rsidRPr="007168E8">
        <w:rPr>
          <w:rFonts w:cs="Times New Roman"/>
        </w:rPr>
        <w:t xml:space="preserve">at the ecosystem </w:t>
      </w:r>
      <w:r w:rsidR="009C49BA">
        <w:rPr>
          <w:rFonts w:cs="Times New Roman"/>
        </w:rPr>
        <w:t>scale</w:t>
      </w:r>
      <w:r w:rsidR="007168E8" w:rsidRPr="007168E8">
        <w:rPr>
          <w:rFonts w:cs="Times New Roman"/>
        </w:rPr>
        <w:t xml:space="preserve"> </w:t>
      </w:r>
      <w:r w:rsidR="009C49BA">
        <w:rPr>
          <w:rFonts w:cs="Times New Roman"/>
        </w:rPr>
        <w:t>remain</w:t>
      </w:r>
      <w:r w:rsidR="0007389A">
        <w:rPr>
          <w:rFonts w:cs="Times New Roman"/>
        </w:rPr>
        <w:t>s</w:t>
      </w:r>
      <w:r w:rsidR="007168E8" w:rsidRPr="007168E8">
        <w:rPr>
          <w:rFonts w:cs="Times New Roman"/>
        </w:rPr>
        <w:t xml:space="preserve"> un</w:t>
      </w:r>
      <w:r w:rsidR="00AE7831">
        <w:rPr>
          <w:rFonts w:cs="Times New Roman"/>
        </w:rPr>
        <w:t>clear</w:t>
      </w:r>
      <w:r w:rsidR="007168E8" w:rsidRPr="007168E8">
        <w:rPr>
          <w:rFonts w:cs="Times New Roman"/>
        </w:rPr>
        <w:t xml:space="preserve">. </w:t>
      </w:r>
      <w:r w:rsidR="00837370">
        <w:rPr>
          <w:rFonts w:cs="Times New Roman"/>
        </w:rPr>
        <w:t>T</w:t>
      </w:r>
      <w:r w:rsidR="002D61C1">
        <w:rPr>
          <w:rFonts w:cs="Times New Roman"/>
        </w:rPr>
        <w:t xml:space="preserve">he </w:t>
      </w:r>
      <w:r w:rsidR="00E05FED">
        <w:rPr>
          <w:rFonts w:cs="Times New Roman"/>
        </w:rPr>
        <w:t>difference</w:t>
      </w:r>
      <w:r w:rsidR="00DD3A0F">
        <w:rPr>
          <w:rFonts w:cs="Times New Roman"/>
        </w:rPr>
        <w:t>s</w:t>
      </w:r>
      <w:r w:rsidR="00E05FED">
        <w:rPr>
          <w:rFonts w:cs="Times New Roman"/>
        </w:rPr>
        <w:t xml:space="preserve"> in the magnitude of</w:t>
      </w:r>
      <w:r w:rsidR="00AE7831">
        <w:rPr>
          <w:rFonts w:cs="Times New Roman"/>
        </w:rPr>
        <w:t xml:space="preserve"> </w:t>
      </w:r>
      <w:r w:rsidR="007168E8" w:rsidRPr="007168E8">
        <w:rPr>
          <w:rFonts w:cs="Times New Roman"/>
        </w:rPr>
        <w:t xml:space="preserve">increase in </w:t>
      </w:r>
      <w:r w:rsidR="00F031EC">
        <w:rPr>
          <w:rFonts w:cs="Times New Roman"/>
        </w:rPr>
        <w:t xml:space="preserve">leaf versus ecosystem </w:t>
      </w:r>
      <w:r w:rsidR="007168E8" w:rsidRPr="007168E8">
        <w:rPr>
          <w:rFonts w:cs="Times New Roman"/>
        </w:rPr>
        <w:t>WUE</w:t>
      </w:r>
      <w:r w:rsidR="00AE7831">
        <w:rPr>
          <w:rFonts w:cs="Times New Roman"/>
        </w:rPr>
        <w:t xml:space="preserve"> </w:t>
      </w:r>
      <w:r w:rsidR="00E05FED">
        <w:rPr>
          <w:rFonts w:cs="Times New Roman"/>
        </w:rPr>
        <w:t xml:space="preserve">as </w:t>
      </w:r>
      <w:r w:rsidR="00AE7831">
        <w:rPr>
          <w:rFonts w:cs="Times New Roman"/>
        </w:rPr>
        <w:t xml:space="preserve">reported </w:t>
      </w:r>
      <w:r w:rsidR="0004471D">
        <w:rPr>
          <w:rFonts w:cs="Times New Roman"/>
        </w:rPr>
        <w:t>by</w:t>
      </w:r>
      <w:r w:rsidR="00AE7831">
        <w:rPr>
          <w:rFonts w:cs="Times New Roman"/>
        </w:rPr>
        <w:t xml:space="preserve"> several studies </w:t>
      </w:r>
      <w:r w:rsidR="00DD3A0F">
        <w:rPr>
          <w:rFonts w:cs="Times New Roman"/>
        </w:rPr>
        <w:t>are</w:t>
      </w:r>
      <w:r w:rsidR="009813DF">
        <w:rPr>
          <w:rFonts w:cs="Times New Roman"/>
        </w:rPr>
        <w:t xml:space="preserve"> </w:t>
      </w:r>
      <w:r w:rsidR="005C4AEE">
        <w:rPr>
          <w:rFonts w:cs="Times New Roman"/>
        </w:rPr>
        <w:t xml:space="preserve">much larger than </w:t>
      </w:r>
      <w:r w:rsidR="00E05FED">
        <w:rPr>
          <w:rFonts w:cs="Times New Roman"/>
        </w:rPr>
        <w:t xml:space="preserve">would be expected </w:t>
      </w:r>
      <w:r w:rsidR="00AE7831">
        <w:rPr>
          <w:rFonts w:cs="Times New Roman"/>
        </w:rPr>
        <w:t xml:space="preserve">with current understanding of </w:t>
      </w:r>
      <w:r w:rsidR="005C4AEE">
        <w:rPr>
          <w:rFonts w:cs="Times New Roman"/>
        </w:rPr>
        <w:t xml:space="preserve">tree physiology and </w:t>
      </w:r>
      <w:r w:rsidR="00AE7831">
        <w:rPr>
          <w:rFonts w:cs="Times New Roman"/>
        </w:rPr>
        <w:t>scaling</w:t>
      </w:r>
      <w:r w:rsidR="004B02C9">
        <w:rPr>
          <w:rFonts w:cs="Times New Roman"/>
        </w:rPr>
        <w:t>, indicating unresolved issues</w:t>
      </w:r>
      <w:r w:rsidR="00AE7831">
        <w:rPr>
          <w:rFonts w:cs="Times New Roman"/>
        </w:rPr>
        <w:t>.</w:t>
      </w:r>
      <w:r w:rsidR="007168E8" w:rsidRPr="007168E8">
        <w:rPr>
          <w:rFonts w:cs="Times New Roman"/>
        </w:rPr>
        <w:t xml:space="preserve"> Moreover, current </w:t>
      </w:r>
      <w:r w:rsidR="00EF5FEC">
        <w:rPr>
          <w:rFonts w:cs="Times New Roman"/>
        </w:rPr>
        <w:t>vegetation</w:t>
      </w:r>
      <w:r w:rsidR="007168E8" w:rsidRPr="007168E8">
        <w:rPr>
          <w:rFonts w:cs="Times New Roman"/>
        </w:rPr>
        <w:t xml:space="preserve"> models produce inconsistent and often unrealistic magnitudes and patterns of variability in </w:t>
      </w:r>
      <w:r w:rsidR="009813DF">
        <w:rPr>
          <w:rFonts w:cs="Times New Roman"/>
        </w:rPr>
        <w:t xml:space="preserve">leaf and ecosystem </w:t>
      </w:r>
      <w:r w:rsidR="007168E8" w:rsidRPr="007168E8">
        <w:rPr>
          <w:rFonts w:cs="Times New Roman"/>
        </w:rPr>
        <w:t xml:space="preserve">WUE, calling for a better </w:t>
      </w:r>
      <w:r w:rsidR="009813DF">
        <w:rPr>
          <w:rFonts w:cs="Times New Roman"/>
        </w:rPr>
        <w:t xml:space="preserve">assessment of </w:t>
      </w:r>
      <w:r w:rsidR="007168E8" w:rsidRPr="007168E8">
        <w:rPr>
          <w:rFonts w:cs="Times New Roman"/>
        </w:rPr>
        <w:t xml:space="preserve">the </w:t>
      </w:r>
      <w:r w:rsidR="0004471D">
        <w:rPr>
          <w:rFonts w:cs="Times New Roman"/>
        </w:rPr>
        <w:t>underl</w:t>
      </w:r>
      <w:r w:rsidR="009813DF">
        <w:rPr>
          <w:rFonts w:cs="Times New Roman"/>
        </w:rPr>
        <w:t xml:space="preserve">ying </w:t>
      </w:r>
      <w:r w:rsidR="007168E8" w:rsidRPr="007168E8">
        <w:rPr>
          <w:rFonts w:cs="Times New Roman"/>
        </w:rPr>
        <w:t xml:space="preserve">approaches. Here we review the causes of variations in observed and modelled historical trends in WUE over the continuum of scales </w:t>
      </w:r>
      <w:r w:rsidR="0007389A">
        <w:rPr>
          <w:rFonts w:cs="Times New Roman"/>
        </w:rPr>
        <w:t>from</w:t>
      </w:r>
      <w:r w:rsidR="007168E8" w:rsidRPr="007168E8">
        <w:rPr>
          <w:rFonts w:cs="Times New Roman"/>
        </w:rPr>
        <w:t xml:space="preserve"> leaf to ecosystem, including methodological issues, with the aim of elucidating the reasons for discrepancies observed within and across spatial scales. </w:t>
      </w:r>
      <w:r w:rsidR="0004471D" w:rsidRPr="0004471D">
        <w:rPr>
          <w:rFonts w:cs="Times New Roman"/>
        </w:rPr>
        <w:t xml:space="preserve">We emphasize that even though physiological responses to changing environmental drivers should be interpreted differently depending on the observational scale, there are large uncertainties in each dataset which </w:t>
      </w:r>
      <w:r w:rsidR="00117D31">
        <w:rPr>
          <w:rFonts w:cs="Times New Roman"/>
        </w:rPr>
        <w:t>are often underestimated</w:t>
      </w:r>
      <w:r w:rsidR="0004471D" w:rsidRPr="0004471D">
        <w:rPr>
          <w:rFonts w:cs="Times New Roman"/>
        </w:rPr>
        <w:t>.</w:t>
      </w:r>
      <w:r w:rsidR="007A60B9">
        <w:rPr>
          <w:rFonts w:cs="Times New Roman"/>
        </w:rPr>
        <w:t xml:space="preserve"> </w:t>
      </w:r>
      <w:r w:rsidR="00703722" w:rsidRPr="00703722">
        <w:rPr>
          <w:rFonts w:cs="Times New Roman"/>
        </w:rPr>
        <w:t xml:space="preserve">Assumptions made by the vegetation models about the main processes influencing WUE strongly impact the modelled historical trends. We provide recommendations for improving long-term observation-based estimates of WUE </w:t>
      </w:r>
      <w:r w:rsidR="0031408C">
        <w:rPr>
          <w:rFonts w:cs="Times New Roman"/>
        </w:rPr>
        <w:t>that will</w:t>
      </w:r>
      <w:r w:rsidR="00703722" w:rsidRPr="00703722">
        <w:rPr>
          <w:rFonts w:cs="Times New Roman"/>
        </w:rPr>
        <w:t xml:space="preserve"> better inform </w:t>
      </w:r>
      <w:r w:rsidR="0031408C">
        <w:rPr>
          <w:rFonts w:cs="Times New Roman"/>
        </w:rPr>
        <w:t xml:space="preserve">and improve the representation of WUE in </w:t>
      </w:r>
      <w:r w:rsidR="00703722" w:rsidRPr="00703722">
        <w:rPr>
          <w:rFonts w:cs="Times New Roman"/>
        </w:rPr>
        <w:t>vegetation models.</w:t>
      </w:r>
    </w:p>
    <w:p w14:paraId="595EF938" w14:textId="77777777" w:rsidR="007168E8" w:rsidRPr="00BD2160" w:rsidRDefault="007168E8">
      <w:pPr>
        <w:pStyle w:val="Body"/>
        <w:spacing w:line="360" w:lineRule="auto"/>
        <w:jc w:val="both"/>
        <w:rPr>
          <w:rFonts w:cs="Times New Roman"/>
          <w:lang w:val="en-GB"/>
        </w:rPr>
      </w:pPr>
    </w:p>
    <w:p w14:paraId="48ED7507" w14:textId="3257D8DE" w:rsidR="005D3816" w:rsidRPr="00BD2160" w:rsidRDefault="00E212AA">
      <w:pPr>
        <w:pStyle w:val="Body"/>
        <w:spacing w:line="360" w:lineRule="auto"/>
        <w:jc w:val="both"/>
        <w:rPr>
          <w:rFonts w:cs="Times New Roman"/>
        </w:rPr>
      </w:pPr>
      <w:r w:rsidRPr="00BD2160">
        <w:rPr>
          <w:rFonts w:cs="Times New Roman"/>
          <w:b/>
          <w:bCs/>
        </w:rPr>
        <w:t>Key words:</w:t>
      </w:r>
      <w:r w:rsidRPr="00BD2160">
        <w:rPr>
          <w:rFonts w:cs="Times New Roman"/>
        </w:rPr>
        <w:t xml:space="preserve"> </w:t>
      </w:r>
      <w:r w:rsidR="00B01E39">
        <w:rPr>
          <w:rFonts w:cs="Times New Roman"/>
        </w:rPr>
        <w:t xml:space="preserve">trends in </w:t>
      </w:r>
      <w:r w:rsidRPr="00BD2160">
        <w:rPr>
          <w:rFonts w:cs="Times New Roman"/>
        </w:rPr>
        <w:t>water</w:t>
      </w:r>
      <w:r w:rsidR="00D67643">
        <w:rPr>
          <w:rFonts w:cs="Times New Roman"/>
        </w:rPr>
        <w:t xml:space="preserve"> </w:t>
      </w:r>
      <w:r w:rsidRPr="00BD2160">
        <w:rPr>
          <w:rFonts w:cs="Times New Roman"/>
        </w:rPr>
        <w:t xml:space="preserve">use efficiency, </w:t>
      </w:r>
      <w:r w:rsidR="002401B9" w:rsidRPr="00BD2160">
        <w:rPr>
          <w:rFonts w:cs="Times New Roman"/>
        </w:rPr>
        <w:t xml:space="preserve">stomatal conductance, </w:t>
      </w:r>
      <w:r w:rsidR="00D67643">
        <w:rPr>
          <w:rFonts w:cs="Times New Roman"/>
        </w:rPr>
        <w:t>spatial</w:t>
      </w:r>
      <w:r w:rsidR="00332B52">
        <w:rPr>
          <w:rFonts w:cs="Times New Roman"/>
        </w:rPr>
        <w:t xml:space="preserve"> </w:t>
      </w:r>
      <w:r w:rsidRPr="00BD2160">
        <w:rPr>
          <w:rFonts w:cs="Times New Roman"/>
        </w:rPr>
        <w:t>scale</w:t>
      </w:r>
      <w:r w:rsidR="00D67643">
        <w:rPr>
          <w:rFonts w:cs="Times New Roman"/>
        </w:rPr>
        <w:t>s</w:t>
      </w:r>
      <w:r w:rsidR="00F63966" w:rsidRPr="00BD2160">
        <w:rPr>
          <w:rFonts w:cs="Times New Roman"/>
        </w:rPr>
        <w:t xml:space="preserve">, </w:t>
      </w:r>
      <w:r w:rsidR="002401B9" w:rsidRPr="00BD2160">
        <w:rPr>
          <w:rFonts w:cs="Times New Roman"/>
        </w:rPr>
        <w:t xml:space="preserve">carbon </w:t>
      </w:r>
      <w:r w:rsidR="007C5110">
        <w:rPr>
          <w:rFonts w:cs="Times New Roman"/>
        </w:rPr>
        <w:t xml:space="preserve">isotopic </w:t>
      </w:r>
      <w:r w:rsidR="002401B9" w:rsidRPr="00BD2160">
        <w:rPr>
          <w:rFonts w:cs="Times New Roman"/>
        </w:rPr>
        <w:t xml:space="preserve">discrimination, </w:t>
      </w:r>
      <w:r w:rsidR="00AE34BD">
        <w:rPr>
          <w:rFonts w:cs="Times New Roman"/>
        </w:rPr>
        <w:t xml:space="preserve">eddy-covariance flux, </w:t>
      </w:r>
      <w:r w:rsidR="00230385">
        <w:rPr>
          <w:rFonts w:cs="Times New Roman"/>
        </w:rPr>
        <w:t>vegetation</w:t>
      </w:r>
      <w:r w:rsidR="009D4117">
        <w:rPr>
          <w:rFonts w:cs="Times New Roman"/>
        </w:rPr>
        <w:t xml:space="preserve"> modelling</w:t>
      </w:r>
    </w:p>
    <w:p w14:paraId="01F88A69" w14:textId="77777777" w:rsidR="007F7478" w:rsidRDefault="007F7478">
      <w:pPr>
        <w:spacing w:line="360" w:lineRule="auto"/>
        <w:rPr>
          <w:b/>
          <w:bCs/>
          <w:color w:val="000000" w:themeColor="text1"/>
        </w:rPr>
      </w:pPr>
    </w:p>
    <w:p w14:paraId="39BF7A67" w14:textId="77777777" w:rsidR="00B40500" w:rsidRDefault="00B40500">
      <w:pPr>
        <w:spacing w:line="360" w:lineRule="auto"/>
        <w:rPr>
          <w:b/>
          <w:bCs/>
          <w:color w:val="000000" w:themeColor="text1"/>
        </w:rPr>
      </w:pPr>
    </w:p>
    <w:p w14:paraId="1ED0AA33" w14:textId="32C48F70" w:rsidR="00B40500" w:rsidRPr="00BD2160" w:rsidRDefault="00B40500">
      <w:pPr>
        <w:spacing w:line="360" w:lineRule="auto"/>
        <w:rPr>
          <w:b/>
          <w:bCs/>
          <w:color w:val="000000" w:themeColor="text1"/>
        </w:rPr>
        <w:sectPr w:rsidR="00B40500" w:rsidRPr="00BD2160" w:rsidSect="00230C7E">
          <w:pgSz w:w="12240" w:h="15840"/>
          <w:pgMar w:top="1417" w:right="1417" w:bottom="1417" w:left="1417" w:header="720" w:footer="720" w:gutter="0"/>
          <w:lnNumType w:countBy="1" w:restart="continuous"/>
          <w:cols w:space="720"/>
          <w:docGrid w:linePitch="326"/>
        </w:sectPr>
      </w:pPr>
    </w:p>
    <w:p w14:paraId="40DEB6E7" w14:textId="3C575EF9" w:rsidR="00720EFC" w:rsidRPr="00BD2160" w:rsidRDefault="00720EFC">
      <w:pPr>
        <w:pStyle w:val="Body"/>
        <w:spacing w:line="360" w:lineRule="auto"/>
        <w:jc w:val="both"/>
        <w:rPr>
          <w:rFonts w:eastAsia="Times New Roman" w:cs="Times New Roman"/>
          <w:b/>
          <w:bCs/>
        </w:rPr>
      </w:pPr>
      <w:r w:rsidRPr="00BD2160">
        <w:rPr>
          <w:rFonts w:cs="Times New Roman"/>
          <w:b/>
          <w:bCs/>
        </w:rPr>
        <w:t>Introduction</w:t>
      </w:r>
    </w:p>
    <w:p w14:paraId="76636179" w14:textId="7BC29F15" w:rsidR="00BA146A" w:rsidRDefault="00167DBF">
      <w:pPr>
        <w:pStyle w:val="Body"/>
        <w:spacing w:before="240" w:line="360" w:lineRule="auto"/>
        <w:jc w:val="both"/>
        <w:rPr>
          <w:rFonts w:cs="Times New Roman"/>
          <w:color w:val="000000" w:themeColor="text1"/>
          <w:lang w:val="en-GB"/>
        </w:rPr>
      </w:pPr>
      <w:r>
        <w:rPr>
          <w:rFonts w:cs="Times New Roman"/>
          <w:color w:val="000000" w:themeColor="text1"/>
          <w:lang w:val="en-GB"/>
        </w:rPr>
        <w:t>Plant w</w:t>
      </w:r>
      <w:r w:rsidRPr="00BD2160">
        <w:rPr>
          <w:rFonts w:cs="Times New Roman"/>
          <w:color w:val="000000" w:themeColor="text1"/>
          <w:lang w:val="en-GB"/>
        </w:rPr>
        <w:t xml:space="preserve">ater </w:t>
      </w:r>
      <w:r w:rsidR="003E3D53" w:rsidRPr="00BD2160">
        <w:rPr>
          <w:rFonts w:cs="Times New Roman"/>
          <w:color w:val="000000" w:themeColor="text1"/>
          <w:lang w:val="en-GB"/>
        </w:rPr>
        <w:t>use efficiency (WUE)</w:t>
      </w:r>
      <w:r w:rsidR="003E3D53">
        <w:rPr>
          <w:rFonts w:cs="Times New Roman"/>
          <w:color w:val="000000" w:themeColor="text1"/>
          <w:lang w:val="en-GB"/>
        </w:rPr>
        <w:t xml:space="preserve"> </w:t>
      </w:r>
      <w:r w:rsidR="0007389A">
        <w:rPr>
          <w:rFonts w:cs="Times New Roman"/>
          <w:color w:val="000000" w:themeColor="text1"/>
          <w:lang w:val="en-GB"/>
        </w:rPr>
        <w:t>–</w:t>
      </w:r>
      <w:r w:rsidR="0007389A" w:rsidRPr="00BD2160">
        <w:rPr>
          <w:rFonts w:cs="Times New Roman"/>
          <w:color w:val="000000" w:themeColor="text1"/>
          <w:lang w:val="en-GB"/>
        </w:rPr>
        <w:t xml:space="preserve"> </w:t>
      </w:r>
      <w:r w:rsidR="009422B5" w:rsidRPr="00BD2160">
        <w:rPr>
          <w:rFonts w:cs="Times New Roman"/>
          <w:color w:val="000000" w:themeColor="text1"/>
          <w:lang w:val="en-GB"/>
        </w:rPr>
        <w:t>the ratio of carbon uptake through photosynthesis per unit water loss through transpiration</w:t>
      </w:r>
      <w:r w:rsidR="00B55BCA">
        <w:rPr>
          <w:rFonts w:cs="Times New Roman"/>
          <w:color w:val="000000" w:themeColor="text1"/>
          <w:lang w:val="en-GB"/>
        </w:rPr>
        <w:t xml:space="preserve"> </w:t>
      </w:r>
      <w:r w:rsidR="0007389A">
        <w:rPr>
          <w:rFonts w:cs="Times New Roman"/>
          <w:color w:val="000000" w:themeColor="text1"/>
          <w:lang w:val="en-GB"/>
        </w:rPr>
        <w:t>–</w:t>
      </w:r>
      <w:r w:rsidR="0007389A" w:rsidRPr="00BD2160">
        <w:rPr>
          <w:rFonts w:cs="Times New Roman"/>
          <w:color w:val="000000" w:themeColor="text1"/>
          <w:lang w:val="en-GB"/>
        </w:rPr>
        <w:t xml:space="preserve"> </w:t>
      </w:r>
      <w:r w:rsidR="00306D4B" w:rsidRPr="00BD2160">
        <w:rPr>
          <w:rFonts w:cs="Times New Roman"/>
          <w:color w:val="000000" w:themeColor="text1"/>
          <w:lang w:val="en-GB"/>
        </w:rPr>
        <w:t xml:space="preserve">is </w:t>
      </w:r>
      <w:r w:rsidR="001134C4" w:rsidRPr="00BD2160">
        <w:rPr>
          <w:rFonts w:cs="Times New Roman"/>
          <w:color w:val="000000" w:themeColor="text1"/>
          <w:lang w:val="en-GB"/>
        </w:rPr>
        <w:t>a</w:t>
      </w:r>
      <w:r w:rsidR="00CF3151">
        <w:rPr>
          <w:rFonts w:cs="Times New Roman"/>
          <w:color w:val="000000" w:themeColor="text1"/>
          <w:lang w:val="en-GB"/>
        </w:rPr>
        <w:t>n</w:t>
      </w:r>
      <w:r w:rsidR="001134C4" w:rsidRPr="00BD2160">
        <w:rPr>
          <w:rFonts w:cs="Times New Roman"/>
          <w:color w:val="000000" w:themeColor="text1"/>
          <w:lang w:val="en-GB"/>
        </w:rPr>
        <w:t xml:space="preserve"> </w:t>
      </w:r>
      <w:r w:rsidR="00306D4B" w:rsidRPr="00BD2160">
        <w:rPr>
          <w:rFonts w:cs="Times New Roman"/>
          <w:color w:val="000000" w:themeColor="text1"/>
          <w:lang w:val="en-GB"/>
        </w:rPr>
        <w:t xml:space="preserve">indicator </w:t>
      </w:r>
      <w:r w:rsidR="0082225E" w:rsidRPr="00BD2160">
        <w:rPr>
          <w:rFonts w:cs="Times New Roman"/>
          <w:color w:val="000000" w:themeColor="text1"/>
          <w:lang w:val="en-GB"/>
        </w:rPr>
        <w:t>of</w:t>
      </w:r>
      <w:r w:rsidR="007E3136" w:rsidRPr="00BD2160">
        <w:rPr>
          <w:rFonts w:cs="Times New Roman"/>
          <w:color w:val="000000" w:themeColor="text1"/>
          <w:lang w:val="en-GB"/>
        </w:rPr>
        <w:t xml:space="preserve"> </w:t>
      </w:r>
      <w:r w:rsidR="00DD3A0F">
        <w:rPr>
          <w:rFonts w:cs="Times New Roman"/>
          <w:color w:val="000000" w:themeColor="text1"/>
          <w:lang w:val="en-GB"/>
        </w:rPr>
        <w:t xml:space="preserve">the </w:t>
      </w:r>
      <w:r w:rsidR="004A7AA1">
        <w:rPr>
          <w:rFonts w:cs="Times New Roman"/>
          <w:color w:val="000000" w:themeColor="text1"/>
          <w:lang w:val="en-GB"/>
        </w:rPr>
        <w:t>relative</w:t>
      </w:r>
      <w:r w:rsidR="004A7AA1" w:rsidRPr="00BD2160">
        <w:rPr>
          <w:rFonts w:cs="Times New Roman"/>
          <w:color w:val="000000" w:themeColor="text1"/>
          <w:lang w:val="en-GB"/>
        </w:rPr>
        <w:t xml:space="preserve"> </w:t>
      </w:r>
      <w:r w:rsidR="007E3136" w:rsidRPr="00BD2160">
        <w:rPr>
          <w:rFonts w:cs="Times New Roman"/>
          <w:color w:val="000000" w:themeColor="text1"/>
          <w:lang w:val="en-GB"/>
        </w:rPr>
        <w:t xml:space="preserve">rate of </w:t>
      </w:r>
      <w:r w:rsidR="00306D4B" w:rsidRPr="00BD2160">
        <w:rPr>
          <w:rFonts w:cs="Times New Roman"/>
          <w:color w:val="000000" w:themeColor="text1"/>
          <w:lang w:val="en-GB"/>
        </w:rPr>
        <w:t>exchange of CO</w:t>
      </w:r>
      <w:r w:rsidR="00306D4B" w:rsidRPr="00BD2160">
        <w:rPr>
          <w:rFonts w:cs="Times New Roman"/>
          <w:color w:val="000000" w:themeColor="text1"/>
          <w:vertAlign w:val="subscript"/>
          <w:lang w:val="en-GB"/>
        </w:rPr>
        <w:t>2</w:t>
      </w:r>
      <w:r w:rsidR="00306D4B" w:rsidRPr="00BD2160">
        <w:rPr>
          <w:rFonts w:cs="Times New Roman"/>
          <w:color w:val="000000" w:themeColor="text1"/>
          <w:lang w:val="en-GB"/>
        </w:rPr>
        <w:t xml:space="preserve"> and </w:t>
      </w:r>
      <w:r w:rsidR="001134C4" w:rsidRPr="00BD2160">
        <w:rPr>
          <w:rFonts w:cs="Times New Roman"/>
          <w:color w:val="000000" w:themeColor="text1"/>
          <w:lang w:val="en-GB"/>
        </w:rPr>
        <w:t xml:space="preserve">water </w:t>
      </w:r>
      <w:r w:rsidR="00306D4B" w:rsidRPr="00BD2160">
        <w:rPr>
          <w:rFonts w:cs="Times New Roman"/>
          <w:color w:val="000000" w:themeColor="text1"/>
          <w:lang w:val="en-GB"/>
        </w:rPr>
        <w:t>between the vegetation and the atmosphere</w:t>
      </w:r>
      <w:r w:rsidR="003C3518" w:rsidRPr="00BD2160">
        <w:rPr>
          <w:rFonts w:cs="Times New Roman"/>
          <w:color w:val="000000" w:themeColor="text1"/>
          <w:lang w:val="en-GB"/>
        </w:rPr>
        <w:t xml:space="preserve"> </w:t>
      </w:r>
      <w:r w:rsidR="003C3518" w:rsidRPr="00BD2160">
        <w:rPr>
          <w:rFonts w:cs="Times New Roman"/>
          <w:color w:val="000000" w:themeColor="text1"/>
          <w:lang w:val="en-GB"/>
        </w:rPr>
        <w:fldChar w:fldCharType="begin" w:fldLock="1"/>
      </w:r>
      <w:r w:rsidR="0003325B">
        <w:rPr>
          <w:rFonts w:cs="Times New Roman"/>
          <w:color w:val="000000" w:themeColor="text1"/>
          <w:lang w:val="en-GB"/>
        </w:rPr>
        <w:instrText>ADDIN CSL_CITATION {"citationItems":[{"id":"ITEM-1","itemData":{"DOI":"10.1111/j.1365-3040.1985.tb01682.x","ISSN":"0140-7791","abstract":"The observed responses of stomata to carbon dioxide are reviewed, and the interaction of other known factors on the sensitivity to CO2 are summarized. The role of stomatal response to CO2 is discussed, and it is argued that while the effect of the CO2 response in normal daily stomatal behaviour is presently poorly understood the stomatal response to CO2 will have major impact in improving water use efficiency in future CO2 atmospheres. However, the attenuation of this increase is emphasized so that increases at the crop level will probably be much smaller than those observed at the single leaf assimilation level.","author":[{"dropping-particle":"","family":"Morison","given":"James","non-dropping-particle":"","parse-names":false,"suffix":""}],"container-title":"Plant, Cell and Environment","id":"ITEM-1","issue":"6","issued":{"date-parts":[["1985","8"]]},"page":"467-474","title":"Sensitivity of stomata and water use efficiency to high CO2","type":"article-journal","volume":"8"},"uris":["http://www.mendeley.com/documents/?uuid=9d9a5e6d-e487-4508-be03-dda4f0261bf6","http://www.mendeley.com/documents/?uuid=9e51c2cd-9814-4475-bbee-f8aab3ac1d46"]},{"id":"ITEM-2","itemData":{"DOI":"10.1046/j.1469-8137.1998.00221.x","ISBN":"1469-8137","ISSN":"0028646X","PMID":"2926","abstract":"Forests exchange large amounts of CO2 with the atmosphere and can influence and be influenced by atmospheric CO2. There has been a recent proliferation of literature on the effects of atmospheric CO2 on forest trees. More than 300 studies of trees on five different continents have been published in the last five years. These include an increasing number of field studies with a long-term focus and involving CO2×stress or environment interactions. The recent data on long-term effects of elevated atmospheric CO2 on trees indicate a potential for a persistent enhancement of tree growth for several years, although the only relevant long-term datasets currently available are for juvenile trees. The current literature indicates a significantly larger average long-term biomass increment under elevated CO2 for conifers (130%) than for deciduous trees (49%) in studies not involving stress components. However, stimulation of photosynthesis by elevated CO2 in long-term studies was similar for conifers (62%) and deciduous trees (53%). Recent studies indicate that elevated CO2 causes a more persistent stimulation of biomass increment and photosynthesis than previously expected. Results of seedling studies, however, might not be applicable to other stages of tree development because of complications of age-dependent and size-dependent shifts in physiology and carbon allocation, which are accelerated by elevated CO2. In addition, there are many possible avenues to down-regulation, making the predicted canopy CO2 exchange and growth of mature trees and forests in a CO2-rich atmosphere uncertain. Although, physiological down-regulation of photosynthetic rates has been documented in field situations, it is rarely large enough to offset entirely photosynthetic gains in elevated CO2. A persistent growth stimulation of individual mature trees has been demonstrated although this effect is more uncertain in trees in natural stands. Resource interactions can both constrain tree responses to elevated CO2 and be altered by them. Although drought can reduce gas-exchange rates and offset the benefits of elevated CO2, even in well watered trees, stomatal conductance is remarkably less responsive to elevated CO2 than in herbaceous species. Stomata of a number of tree species have been demonstrated to be unresponsive to elevated CO2. We conclude that positive effects of CO2 on leaf area can be at least as important in determining canopy transpiration as negative, direct effects of CO2…","author":[{"dropping-particle":"","family":"Saxe","given":"Henrik","non-dropping-particle":"","parse-names":false,"suffix":""},{"dropping-particle":"","family":"Ellsworth","given":"David S.","non-dropping-particle":"","parse-names":false,"suffix":""},{"dropping-particle":"","family":"Heath","given":"James","non-dropping-particle":"","parse-names":false,"suffix":""}],"container-title":"New Phytologist","id":"ITEM-2","issue":"3","issued":{"date-parts":[["1998"]]},"page":"395-436","title":"Tree and forest functioning in an enriched CO2 atmosphere","type":"article","volume":"139"},"uris":["http://www.mendeley.com/documents/?uuid=e2e6e2fe-79e9-42de-993a-c1afb7cc2b7f","http://www.mendeley.com/documents/?uuid=754aedd9-e61a-484b-85da-7587f8e5c2ee"]},{"id":"ITEM-3","itemData":{"author":[{"dropping-particle":"","family":"Eamus","given":"D","non-dropping-particle":"","parse-names":false,"suffix":""}],"container-title":"Plant, Cell and Environment","id":"ITEM-3","issued":{"date-parts":[["1991"]]},"page":"843-852","title":"The interaction of rising CO2 and temperatures with water use efficiency.","type":"article-journal","volume":"14"},"uris":["http://www.mendeley.com/documents/?uuid=1a0c6a79-7a4e-4f87-8b4c-1f2cd76b6983","http://www.mendeley.com/documents/?uuid=be055bea-afa0-4c18-9ac6-abce37d8608a"]}],"mendeley":{"formattedCitation":"(Eamus, 1991; Morison, 1985; Saxe, Ellsworth, &amp; Heath, 1998)","plainTextFormattedCitation":"(Eamus, 1991; Morison, 1985; Saxe, Ellsworth, &amp; Heath, 1998)","previouslyFormattedCitation":"(Eamus, 1991; Morison, 1985; Saxe, Ellsworth, &amp; Heath, 1998)"},"properties":{"noteIndex":0},"schema":"https://github.com/citation-style-language/schema/raw/master/csl-citation.json"}</w:instrText>
      </w:r>
      <w:r w:rsidR="003C3518" w:rsidRPr="00BD2160">
        <w:rPr>
          <w:rFonts w:cs="Times New Roman"/>
          <w:color w:val="000000" w:themeColor="text1"/>
          <w:lang w:val="en-GB"/>
        </w:rPr>
        <w:fldChar w:fldCharType="separate"/>
      </w:r>
      <w:r w:rsidR="003B2D3F" w:rsidRPr="003B2D3F">
        <w:rPr>
          <w:rFonts w:cs="Times New Roman"/>
          <w:noProof/>
          <w:color w:val="000000" w:themeColor="text1"/>
          <w:lang w:val="en-GB"/>
        </w:rPr>
        <w:t>(Eamus, 1991; Morison, 1985; Saxe, Ellsworth, &amp; Heath, 1998)</w:t>
      </w:r>
      <w:r w:rsidR="003C3518" w:rsidRPr="00BD2160">
        <w:rPr>
          <w:rFonts w:cs="Times New Roman"/>
          <w:color w:val="000000" w:themeColor="text1"/>
          <w:lang w:val="en-GB"/>
        </w:rPr>
        <w:fldChar w:fldCharType="end"/>
      </w:r>
      <w:r w:rsidR="00306D4B" w:rsidRPr="00BD2160">
        <w:rPr>
          <w:rFonts w:cs="Times New Roman"/>
          <w:color w:val="000000" w:themeColor="text1"/>
          <w:lang w:val="en-GB"/>
        </w:rPr>
        <w:t xml:space="preserve">. </w:t>
      </w:r>
      <w:r w:rsidR="00001FE5">
        <w:rPr>
          <w:rFonts w:cs="Times New Roman"/>
          <w:color w:val="000000" w:themeColor="text1"/>
          <w:lang w:val="en-GB"/>
        </w:rPr>
        <w:t>In the absence of other limitations</w:t>
      </w:r>
      <w:r w:rsidR="00E14E2E">
        <w:rPr>
          <w:rFonts w:cs="Times New Roman"/>
          <w:color w:val="000000" w:themeColor="text1"/>
          <w:lang w:val="en-GB"/>
        </w:rPr>
        <w:t xml:space="preserve"> and </w:t>
      </w:r>
      <w:r w:rsidR="00F26C42">
        <w:rPr>
          <w:rFonts w:cs="Times New Roman"/>
          <w:color w:val="000000" w:themeColor="text1"/>
          <w:lang w:val="en-GB"/>
        </w:rPr>
        <w:t>when plant</w:t>
      </w:r>
      <w:r w:rsidR="00E14E2E">
        <w:rPr>
          <w:rFonts w:cs="Times New Roman"/>
          <w:color w:val="000000" w:themeColor="text1"/>
          <w:lang w:val="en-GB"/>
        </w:rPr>
        <w:t xml:space="preserve"> acclimation is limited</w:t>
      </w:r>
      <w:r w:rsidR="00001FE5">
        <w:rPr>
          <w:rFonts w:cs="Times New Roman"/>
          <w:color w:val="000000" w:themeColor="text1"/>
          <w:lang w:val="en-GB"/>
        </w:rPr>
        <w:t>, r</w:t>
      </w:r>
      <w:r w:rsidR="00601B9F">
        <w:rPr>
          <w:rFonts w:cs="Times New Roman"/>
          <w:color w:val="000000" w:themeColor="text1"/>
        </w:rPr>
        <w:t>ising</w:t>
      </w:r>
      <w:r w:rsidR="009A354F">
        <w:rPr>
          <w:rFonts w:cs="Times New Roman"/>
          <w:color w:val="000000" w:themeColor="text1"/>
          <w:lang w:val="en-GB"/>
        </w:rPr>
        <w:t xml:space="preserve"> </w:t>
      </w:r>
      <w:r w:rsidR="00802738">
        <w:rPr>
          <w:rFonts w:cs="Times New Roman"/>
          <w:color w:val="000000" w:themeColor="text1"/>
          <w:lang w:val="en-GB"/>
        </w:rPr>
        <w:t>atmospheric CO</w:t>
      </w:r>
      <w:r w:rsidR="00802738" w:rsidRPr="00802738">
        <w:rPr>
          <w:rFonts w:cs="Times New Roman"/>
          <w:color w:val="000000" w:themeColor="text1"/>
          <w:vertAlign w:val="subscript"/>
          <w:lang w:val="en-GB"/>
        </w:rPr>
        <w:t>2</w:t>
      </w:r>
      <w:r w:rsidR="00802738">
        <w:rPr>
          <w:rFonts w:cs="Times New Roman"/>
          <w:color w:val="000000" w:themeColor="text1"/>
          <w:lang w:val="en-GB"/>
        </w:rPr>
        <w:t xml:space="preserve"> concentrations (</w:t>
      </w:r>
      <w:r w:rsidR="009A354F" w:rsidRPr="007A77B2">
        <w:rPr>
          <w:rFonts w:cs="Times New Roman"/>
          <w:i/>
          <w:color w:val="000000" w:themeColor="text1"/>
          <w:lang w:val="en-GB"/>
        </w:rPr>
        <w:t>c</w:t>
      </w:r>
      <w:r w:rsidR="009A354F" w:rsidRPr="007A77B2">
        <w:rPr>
          <w:rFonts w:cs="Times New Roman"/>
          <w:color w:val="000000" w:themeColor="text1"/>
          <w:vertAlign w:val="subscript"/>
          <w:lang w:val="en-GB"/>
        </w:rPr>
        <w:t>a</w:t>
      </w:r>
      <w:r w:rsidR="00802738">
        <w:rPr>
          <w:rFonts w:cs="Times New Roman"/>
          <w:color w:val="000000" w:themeColor="text1"/>
          <w:lang w:val="en-GB"/>
        </w:rPr>
        <w:t>)</w:t>
      </w:r>
      <w:r w:rsidR="009A354F">
        <w:rPr>
          <w:rFonts w:cs="Times New Roman"/>
          <w:color w:val="000000" w:themeColor="text1"/>
          <w:lang w:val="en-GB"/>
        </w:rPr>
        <w:t xml:space="preserve"> </w:t>
      </w:r>
      <w:r w:rsidR="00BB2901">
        <w:rPr>
          <w:rFonts w:cs="Times New Roman"/>
          <w:color w:val="000000" w:themeColor="text1"/>
          <w:lang w:val="en-GB"/>
        </w:rPr>
        <w:t xml:space="preserve">tend to </w:t>
      </w:r>
      <w:r w:rsidR="001758A5">
        <w:rPr>
          <w:rFonts w:cs="Times New Roman"/>
          <w:color w:val="000000" w:themeColor="text1"/>
          <w:lang w:val="en-GB"/>
        </w:rPr>
        <w:t>increas</w:t>
      </w:r>
      <w:r w:rsidR="009A354F">
        <w:rPr>
          <w:rFonts w:cs="Times New Roman"/>
          <w:color w:val="000000" w:themeColor="text1"/>
          <w:lang w:val="en-GB"/>
        </w:rPr>
        <w:t>e</w:t>
      </w:r>
      <w:r w:rsidR="001758A5">
        <w:rPr>
          <w:rFonts w:cs="Times New Roman"/>
          <w:color w:val="000000" w:themeColor="text1"/>
          <w:lang w:val="en-GB"/>
        </w:rPr>
        <w:t xml:space="preserve"> </w:t>
      </w:r>
      <w:r w:rsidR="00A26E41">
        <w:rPr>
          <w:rFonts w:cs="Times New Roman"/>
          <w:color w:val="000000" w:themeColor="text1"/>
          <w:lang w:val="en-GB"/>
        </w:rPr>
        <w:t>carbon assimilation of C</w:t>
      </w:r>
      <w:r w:rsidR="00A26E41" w:rsidRPr="00FE0BEA">
        <w:rPr>
          <w:rFonts w:cs="Times New Roman"/>
          <w:color w:val="000000" w:themeColor="text1"/>
          <w:vertAlign w:val="subscript"/>
          <w:lang w:val="en-GB"/>
        </w:rPr>
        <w:t>3</w:t>
      </w:r>
      <w:r w:rsidR="00A26E41">
        <w:rPr>
          <w:rFonts w:cs="Times New Roman"/>
          <w:color w:val="000000" w:themeColor="text1"/>
          <w:lang w:val="en-GB"/>
        </w:rPr>
        <w:t xml:space="preserve"> plants </w:t>
      </w:r>
      <w:r w:rsidR="00317458">
        <w:rPr>
          <w:rFonts w:cs="Times New Roman"/>
          <w:color w:val="000000" w:themeColor="text1"/>
          <w:lang w:val="en-GB"/>
        </w:rPr>
        <w:fldChar w:fldCharType="begin" w:fldLock="1"/>
      </w:r>
      <w:r w:rsidR="00A644D9">
        <w:rPr>
          <w:rFonts w:cs="Times New Roman"/>
          <w:color w:val="000000" w:themeColor="text1"/>
          <w:lang w:val="en-GB"/>
        </w:rPr>
        <w:instrText>ADDIN CSL_CITATION {"citationItems":[{"id":"ITEM-1","itemData":{"DOI":"10.1111/nph.12104","ISBN":"0028-646X","ISSN":"0028646X","PMID":"23346950","abstract":"1077\\n\\n\\nI.\\n\\n1078\\n\\n\\nII.\\n\\n1079\\n\\n\\nIII.\\n\\n1080\\n\\n\\nIV.\\n\\n1081\\n\\n\\nV.\\n\\n1084\\n\\n\\nVI.\\n\\n1087\\n\\n\\nVII.\\n\\n1088\\n\\n\\n\\n\\n1089\\n\\n\\n\\nReferences\\n1089\\n\\n\\n\\n\\n\\n\\n\\n\\nSummary\\n\\nThe rate of CO2 assimilation by plants is directly influenced by the concentration of CO2 in the atmosphere, ca. As an environmental variable, ca also has a unique global and historic significance. Although relatively stable and uniform in the short term, global ca has varied substantially on the timescale of thousands to millions of years, and currently is increasing at seemingly an unprecedented rate. This may exert profound impacts on both climate and plant function. Here we utilise extensive datasets and models to develop an integrated, multi-scale assessment of the impact of changing ca on plant carbon dioxide uptake and water use. We find that, overall, the sensitivity of plants to rising or falling ca is qualitatively similar across all scales considered. It is characterised by an adaptive feedback response that tends to maintain 1 − ci/ca, the relative gradient for CO2 diffusion into the leaf, relatively constant. This is achieved through predictable adjustments to stomatal anatomy and chloroplast biochemistry. Importantly, the long-term response to changing ca can be described by simple equations rooted in the formulation of more commonly studied short-term responses.","author":[{"dropping-particle":"","family":"Franks","given":"Peter J.","non-dropping-particle":"","parse-names":false,"suffix":""},{"dropping-particle":"","family":"Adams","given":"Mark A.","non-dropping-particle":"","parse-names":false,"suffix":""},{"dropping-particle":"","family":"Amthor","given":"Jeffrey S.","non-dropping-particle":"","parse-names":false,"suffix":""},{"dropping-particle":"","family":"Barbour","given":"Margaret M.","non-dropping-particle":"","parse-names":false,"suffix":""},{"dropping-particle":"","family":"Berry","given":"Joseph A.","non-dropping-particle":"","parse-names":false,"suffix":""},{"dropping-particle":"","family":"Ellsworth","given":"David S.","non-dropping-particle":"","parse-names":false,"suffix":""},{"dropping-particle":"","family":"Farquhar","given":"Graham D.","non-dropping-particle":"","parse-names":false,"suffix":""},{"dropping-particle":"","family":"Ghannoum","given":"Oula","non-dropping-particle":"","parse-names":false,"suffix":""},{"dropping-particle":"","family":"Lloyd","given":"Jon","non-dropping-particle":"","parse-names":false,"suffix":""},{"dropping-particle":"","family":"McDowell","given":"Nate","non-dropping-particle":"","parse-names":false,"suffix":""},{"dropping-particle":"","family":"Norby","given":"Richard J.","non-dropping-particle":"","parse-names":false,"suffix":""},{"dropping-particle":"","family":"Tissue","given":"David T.","non-dropping-particle":"","parse-names":false,"suffix":""},{"dropping-particle":"","family":"Caemmerer","given":"Susanne","non-dropping-particle":"von","parse-names":false,"suffix":""}],"container-title":"New Phytologist","id":"ITEM-1","issue":"4","issued":{"date-parts":[["2013"]]},"page":"1077-1094","title":"Sensitivity of plants to changing atmospheric CO2 concentration: From the geological past to the next century","type":"article","volume":"197"},"uris":["http://www.mendeley.com/documents/?uuid=417bf821-45a6-45b6-8df9-9088904ec4f5"]},{"id":"ITEM-2","itemData":{"DOI":"10.1111/j.1469-8137.2004.01224.x","ISBN":"1469-8137","ISSN":"0028646X","PMID":"15720649","abstract":"Free-air CO2 enrichment (FACE) experiments allow study of the effects of elevated [ CO2] on plants and ecosystems grown under natural conditions without enclosure. Data from 120 primary, peer-reviewed articles describing physiology and production in the 12 large-scale FACE experiments (475-600 ppm) were collected and summarized using meta-analytic techniques. The results confirm some results from previous chamber experiments: light-saturated carbon uptake, diurnal C assimilation, growth and above-ground production increased, while specific leaf area and stomatal conductance decreased in elevated [ CO2]. There were differences in FACE. Trees were more responsive than herbaceous species to elevated [ CO2]. Grain crop yields increased far less than anticipated from prior enclosure studies. The broad direction of change in photosynthesis and production in elevated [ CO2] may be similar in FACE and enclosure studies, but there are major quantitative differences: trees were more responsive than other functional types; C4 species showed little response; and the reduction in plant nitrogen was small and largely accounted for by decreased Rubisco. The results from this review may provide the most plausible estimates of how plants in their native environments and field-grown crops will respond to rising atmospheric [ CO2]; but even with FACE there are limitations, which are also discussed.","author":[{"dropping-particle":"","family":"Ainsworth","given":"Elizabeth A.","non-dropping-particle":"","parse-names":false,"suffix":""},{"dropping-particle":"","family":"Long","given":"Stephen P.","non-dropping-particle":"","parse-names":false,"suffix":""}],"container-title":"New Phytologist","id":"ITEM-2","issued":{"date-parts":[["2005"]]},"page":"351-372","title":"What have we learned from 15 years of free air CO2 enrichment (FACE)? A meta-analytic review of the response of photosynthesis, canopy properties and plant production to rising CO2","type":"article-journal","volume":"165"},"uris":["http://www.mendeley.com/documents/?uuid=172283d6-ecd8-4d47-82fe-d8e56195f45c"]}],"mendeley":{"formattedCitation":"(Ainsworth &amp; Long, 2005; Franks et al., 2013)","plainTextFormattedCitation":"(Ainsworth &amp; Long, 2005; Franks et al., 2013)","previouslyFormattedCitation":"(Ainsworth &amp; Long, 2005; Franks et al., 2013)"},"properties":{"noteIndex":0},"schema":"https://github.com/citation-style-language/schema/raw/master/csl-citation.json"}</w:instrText>
      </w:r>
      <w:r w:rsidR="00317458">
        <w:rPr>
          <w:rFonts w:cs="Times New Roman"/>
          <w:color w:val="000000" w:themeColor="text1"/>
          <w:lang w:val="en-GB"/>
        </w:rPr>
        <w:fldChar w:fldCharType="separate"/>
      </w:r>
      <w:r w:rsidR="005D2738" w:rsidRPr="005D2738">
        <w:rPr>
          <w:rFonts w:cs="Times New Roman"/>
          <w:noProof/>
          <w:color w:val="000000" w:themeColor="text1"/>
          <w:lang w:val="en-GB"/>
        </w:rPr>
        <w:t>(Ainsworth &amp; Long, 2005; Franks et al., 2013)</w:t>
      </w:r>
      <w:r w:rsidR="00317458">
        <w:rPr>
          <w:rFonts w:cs="Times New Roman"/>
          <w:color w:val="000000" w:themeColor="text1"/>
          <w:lang w:val="en-GB"/>
        </w:rPr>
        <w:fldChar w:fldCharType="end"/>
      </w:r>
      <w:r w:rsidR="00421FA6">
        <w:rPr>
          <w:rFonts w:cs="Times New Roman"/>
          <w:color w:val="000000" w:themeColor="text1"/>
          <w:lang w:val="en-GB"/>
        </w:rPr>
        <w:t xml:space="preserve"> </w:t>
      </w:r>
      <w:r w:rsidR="001758A5">
        <w:rPr>
          <w:rFonts w:cs="Times New Roman"/>
          <w:color w:val="000000" w:themeColor="text1"/>
          <w:lang w:val="en-GB"/>
        </w:rPr>
        <w:t xml:space="preserve">and </w:t>
      </w:r>
      <w:r w:rsidR="005344FF">
        <w:rPr>
          <w:rFonts w:cs="Times New Roman"/>
          <w:color w:val="000000" w:themeColor="text1"/>
          <w:lang w:val="en-GB"/>
        </w:rPr>
        <w:t xml:space="preserve">to </w:t>
      </w:r>
      <w:r w:rsidR="001758A5">
        <w:rPr>
          <w:rFonts w:cs="Times New Roman"/>
          <w:color w:val="000000" w:themeColor="text1"/>
          <w:lang w:val="en-GB"/>
        </w:rPr>
        <w:t>reduc</w:t>
      </w:r>
      <w:r w:rsidR="009A354F">
        <w:rPr>
          <w:rFonts w:cs="Times New Roman"/>
          <w:color w:val="000000" w:themeColor="text1"/>
          <w:lang w:val="en-GB"/>
        </w:rPr>
        <w:t>e</w:t>
      </w:r>
      <w:r w:rsidR="001758A5">
        <w:rPr>
          <w:rFonts w:cs="Times New Roman"/>
          <w:color w:val="000000" w:themeColor="text1"/>
          <w:lang w:val="en-GB"/>
        </w:rPr>
        <w:t xml:space="preserve"> stomatal conductance</w:t>
      </w:r>
      <w:r w:rsidR="006B67D3">
        <w:rPr>
          <w:rFonts w:cs="Times New Roman"/>
          <w:color w:val="000000" w:themeColor="text1"/>
          <w:lang w:val="en-GB"/>
        </w:rPr>
        <w:t xml:space="preserve"> (</w:t>
      </w:r>
      <w:r w:rsidR="006B67D3" w:rsidRPr="00FE0BEA">
        <w:rPr>
          <w:rFonts w:cs="Times New Roman"/>
          <w:i/>
          <w:color w:val="000000" w:themeColor="text1"/>
          <w:lang w:val="en-GB"/>
        </w:rPr>
        <w:t>g</w:t>
      </w:r>
      <w:r w:rsidR="006B67D3" w:rsidRPr="00FE0BEA">
        <w:rPr>
          <w:rFonts w:cs="Times New Roman"/>
          <w:color w:val="000000" w:themeColor="text1"/>
          <w:vertAlign w:val="subscript"/>
          <w:lang w:val="en-GB"/>
        </w:rPr>
        <w:t>s</w:t>
      </w:r>
      <w:r w:rsidR="006B67D3">
        <w:rPr>
          <w:rFonts w:cs="Times New Roman"/>
          <w:color w:val="000000" w:themeColor="text1"/>
          <w:lang w:val="en-GB"/>
        </w:rPr>
        <w:t>)</w:t>
      </w:r>
      <w:r w:rsidR="00421FA6">
        <w:rPr>
          <w:rFonts w:cs="Times New Roman"/>
          <w:color w:val="000000" w:themeColor="text1"/>
          <w:lang w:val="en-GB"/>
        </w:rPr>
        <w:t xml:space="preserve"> </w:t>
      </w:r>
      <w:r w:rsidR="00252E2E">
        <w:rPr>
          <w:rFonts w:cs="Times New Roman"/>
          <w:color w:val="000000" w:themeColor="text1"/>
          <w:lang w:val="en-GB"/>
        </w:rPr>
        <w:t>and therefore transpiration (</w:t>
      </w:r>
      <w:r w:rsidR="00252E2E" w:rsidRPr="00F44290">
        <w:rPr>
          <w:rFonts w:cs="Times New Roman"/>
          <w:i/>
          <w:color w:val="000000" w:themeColor="text1"/>
          <w:lang w:val="en-GB"/>
        </w:rPr>
        <w:t>T</w:t>
      </w:r>
      <w:r w:rsidR="00F44290" w:rsidRPr="00F44290">
        <w:rPr>
          <w:rFonts w:cs="Times New Roman"/>
          <w:i/>
          <w:color w:val="000000" w:themeColor="text1"/>
          <w:vertAlign w:val="subscript"/>
          <w:lang w:val="en-GB"/>
        </w:rPr>
        <w:t>r</w:t>
      </w:r>
      <w:r w:rsidR="00252E2E">
        <w:rPr>
          <w:rFonts w:cs="Times New Roman"/>
          <w:color w:val="000000" w:themeColor="text1"/>
          <w:lang w:val="en-GB"/>
        </w:rPr>
        <w:t xml:space="preserve">) </w:t>
      </w:r>
      <w:r w:rsidR="00BC2573">
        <w:rPr>
          <w:rFonts w:cs="Times New Roman"/>
          <w:color w:val="000000" w:themeColor="text1"/>
          <w:lang w:val="en-GB"/>
        </w:rPr>
        <w:fldChar w:fldCharType="begin" w:fldLock="1"/>
      </w:r>
      <w:r w:rsidR="00A15240">
        <w:rPr>
          <w:rFonts w:cs="Times New Roman"/>
          <w:color w:val="000000" w:themeColor="text1"/>
          <w:lang w:val="en-GB"/>
        </w:rPr>
        <w:instrText>ADDIN CSL_CITATION {"citationItems":[{"id":"ITEM-1","itemData":{"DOI":"10.1098/rstb.1976.0035","ISBN":"0080-4622","ISSN":"0962-8436","PMID":"1000105633","abstract":"Attempts to correlate values of stomatal conductance and leaf water potential with particular environmental variables in the field are generally of only limited success because they are simultaneously affected by a number of environmental variables. For example, correlations between leaf water potential and either flux of radiant energy or vapour pressure deficit show a diurnal hysteresis which leads to a scatter diagram if many values are plotted. However, a simple model may be adequate to relate leaf water potential to the flow of water through the plant. The stomatal conductance of illuminated leaves is a function of current levels of temperature, vapour pressure deficit, leaf water potential (really turgor pressure) and ambient CO&lt;latex&gt;$_2$&lt;/latex&gt; concentration. Consequently, when plotted against any one of these variables a scatter diagram results. Physiological knowledge of stomatal functioning is not adequate to provide a mechanistic model linking stomatal conductance to all these variables. None the less, the parameters describing the relationships with the variables can be conveniently estimated from field data by a technique of non-linear least squares, for predictive purposes and to describe variations in response from season to season and plant to plant.","author":[{"dropping-particle":"","family":"Jarvis","given":"P. G.","non-dropping-particle":"","parse-names":false,"suffix":""}],"container-title":"Philosophical Transactions of the Royal Society B: Biological Sciences","id":"ITEM-1","issue":"927","issued":{"date-parts":[["1976"]]},"page":"593-610","title":"The Interpretation of the Variations in Leaf Water Potential and Stomatal Conductance Found in Canopies in the Field","type":"article-journal","volume":"273"},"uris":["http://www.mendeley.com/documents/?uuid=e700e81d-73c7-4efe-923b-32856014c26f"]},{"id":"ITEM-2","itemData":{"DOI":"10.1111/j.1469-8137.1967.tb06011.x","ISSN":"14698137","abstract":"The ‘synthetic auxins’2-naphthoxyacetic acid (NOXA), i-napththylacetic acid (NAA) and 2,4-dichlorophenoxyacetic acid (2,4-D) caused stomatal closure when apphed to detached leaves via their petioles. In the case of NOXA and NAA this closure was readily reversed if the intercellular spaces were flushed with CO2-free air, but the closure due to 2,4-D was not reversed by such treatment. It is concluded that NOXA and NAA cause stomatal closure by disturbing the CO2 balance in the leaf (by stimulating respiration or inhibiting photosynthesis) whereas 2,4-D exerts a more direct effect on the guard cells. Phenylmercuric acetate (PMA) caused stomatal closure on strips of detached epidermis, and this could be prevented by CO2-free air during the first 2 hours of treatment. Subsequently closure did occur in CO2-free air but by this time the toxicity of PMA had apparently led to death of the cells. The relevance of these observations to the idea that chloroplast volume changes participate in the stomatal mechanism is discussed.","author":[{"dropping-particle":"","family":"Mansfield","given":"T. A.","non-dropping-particle":"","parse-names":false,"suffix":""}],"container-title":"New Phytologist","id":"ITEM-2","issue":"3","issued":{"date-parts":[["1967"]]},"page":"325-330","title":"Stomatal behaviour following treatment with auxin-like substances and phenylmercuric acetate","type":"article-journal","volume":"66"},"uris":["http://www.mendeley.com/documents/?uuid=48b3d81d-fa09-467b-93ee-4b290def3931"]}],"mendeley":{"formattedCitation":"(Jarvis, 1976; Mansfield, 1967)","plainTextFormattedCitation":"(Jarvis, 1976; Mansfield, 1967)","previouslyFormattedCitation":"(Jarvis, 1976; Mansfield, 1967)"},"properties":{"noteIndex":0},"schema":"https://github.com/citation-style-language/schema/raw/master/csl-citation.json"}</w:instrText>
      </w:r>
      <w:r w:rsidR="00BC2573">
        <w:rPr>
          <w:rFonts w:cs="Times New Roman"/>
          <w:color w:val="000000" w:themeColor="text1"/>
          <w:lang w:val="en-GB"/>
        </w:rPr>
        <w:fldChar w:fldCharType="separate"/>
      </w:r>
      <w:r w:rsidR="00AB44F9" w:rsidRPr="00AB44F9">
        <w:rPr>
          <w:rFonts w:cs="Times New Roman"/>
          <w:noProof/>
          <w:color w:val="000000" w:themeColor="text1"/>
          <w:lang w:val="en-GB"/>
        </w:rPr>
        <w:t>(Jarvis, 1976; Mansfield, 1967)</w:t>
      </w:r>
      <w:r w:rsidR="00BC2573">
        <w:rPr>
          <w:rFonts w:cs="Times New Roman"/>
          <w:color w:val="000000" w:themeColor="text1"/>
          <w:lang w:val="en-GB"/>
        </w:rPr>
        <w:fldChar w:fldCharType="end"/>
      </w:r>
      <w:r w:rsidR="001758A5">
        <w:rPr>
          <w:rFonts w:cs="Times New Roman"/>
          <w:color w:val="000000" w:themeColor="text1"/>
          <w:lang w:val="en-GB"/>
        </w:rPr>
        <w:t xml:space="preserve">, leading to an increase in </w:t>
      </w:r>
      <w:r w:rsidR="00D228D3">
        <w:rPr>
          <w:rFonts w:cs="Times New Roman"/>
          <w:color w:val="000000" w:themeColor="text1"/>
          <w:lang w:val="en-GB"/>
        </w:rPr>
        <w:t xml:space="preserve">leaf </w:t>
      </w:r>
      <w:r w:rsidR="001758A5">
        <w:rPr>
          <w:rFonts w:cs="Times New Roman"/>
          <w:color w:val="000000" w:themeColor="text1"/>
          <w:lang w:val="en-GB"/>
        </w:rPr>
        <w:t>WUE</w:t>
      </w:r>
      <w:r w:rsidR="0031305D">
        <w:rPr>
          <w:rFonts w:cs="Times New Roman"/>
          <w:color w:val="000000" w:themeColor="text1"/>
          <w:lang w:val="en-GB"/>
        </w:rPr>
        <w:t xml:space="preserve"> </w:t>
      </w:r>
      <w:r w:rsidR="008C5E97">
        <w:rPr>
          <w:rFonts w:cs="Times New Roman"/>
          <w:color w:val="000000" w:themeColor="text1"/>
          <w:lang w:val="en-GB"/>
        </w:rPr>
        <w:t>on relatively short timescales</w:t>
      </w:r>
      <w:r w:rsidR="00812C7F">
        <w:rPr>
          <w:rFonts w:cs="Times New Roman"/>
          <w:color w:val="000000" w:themeColor="text1"/>
          <w:lang w:val="en-GB"/>
        </w:rPr>
        <w:t xml:space="preserve"> </w:t>
      </w:r>
      <w:r w:rsidR="00812C7F">
        <w:rPr>
          <w:rFonts w:cs="Times New Roman"/>
          <w:color w:val="000000" w:themeColor="text1"/>
          <w:lang w:val="en-GB"/>
        </w:rPr>
        <w:fldChar w:fldCharType="begin" w:fldLock="1"/>
      </w:r>
      <w:r w:rsidR="00A644D9">
        <w:rPr>
          <w:rFonts w:cs="Times New Roman"/>
          <w:color w:val="000000" w:themeColor="text1"/>
          <w:lang w:val="en-GB"/>
        </w:rPr>
        <w:instrText>ADDIN CSL_CITATION {"citationItems":[{"id":"ITEM-1","itemData":{"DOI":"10.1111/j.1365-3040.2007.01641.x","ISBN":"1365-3040","ISSN":"01407791","PMID":"17263773","abstract":"This review summarizes current understanding of the mechanisms that underlie the response of photosynthesis and stomatal conductance to elevated carbon dioxide concentration ([CO2]), and examines how downstream processes and environmental constraints modulate these two fundamental responses. The results from free-air CO2 enrichment (FACE) experiments were summarized via meta-analysis to quantify the mean responses of stomatal and photosynthetic parameters to elevated [CO2]. Elevation of [CO2] in FACE experiments reduced stomatal conductance by 22%, yet, this reduction was not associated with a similar change in stomatal density. Elevated [CO2] stimulated light-saturated photosynthesis (Asat) in C3 plants grown in FACE by an average of 31%. However, the magnitude of the increase in Asat varied with functional group and environment. Functional groups with ribulose-1,5-bisphosphate carboxylase/oxygenase (Rubisco)-limited photosynthesis at elevated [CO2] had greater potential for increases in Asat than those where photosynthesis became ribulose-1,5-bisphosphate (RubP)-limited at elevated [CO2]. Both nitrogen supply and sink capacity modulated the response of photosynthesis to elevated [CO2] through their impact on the acclimation of carboxylation capacity. Increased understanding of the molecular and biochemical mechanisms by which plants respond to elevated [CO2], and the feedback of environmental factors upon them, will improve our ability to predict ecosystem responses to rising [CO2] and increase our potential to adapt crops and managed ecosystems to future atmospheric [CO2].","author":[{"dropping-particle":"","family":"Ainsworth","given":"Elizabeth A.","non-dropping-particle":"","parse-names":false,"suffix":""},{"dropping-particle":"","family":"Rogers","given":"Alistair","non-dropping-particle":"","parse-names":false,"suffix":""}],"container-title":"Plant, Cell &amp; Environment","id":"ITEM-1","issue":"3","issued":{"date-parts":[["2007","3"]]},"page":"258-270","title":"The response of photosynthesis and stomatal conductance to rising [CO2 ]: mechanisms and environmental interactions","type":"article-journal","volume":"30"},"uris":["http://www.mendeley.com/documents/?uuid=3b51c2d7-3c96-437c-90bf-beb5e9bc1a9b"]}],"mendeley":{"formattedCitation":"(Ainsworth &amp; Rogers, 2007)","manualFormatting":"(Ainsworth &amp; Rogers, 2007)","plainTextFormattedCitation":"(Ainsworth &amp; Rogers, 2007)","previouslyFormattedCitation":"(Ainsworth &amp; Rogers, 2007)"},"properties":{"noteIndex":0},"schema":"https://github.com/citation-style-language/schema/raw/master/csl-citation.json"}</w:instrText>
      </w:r>
      <w:r w:rsidR="00812C7F">
        <w:rPr>
          <w:rFonts w:cs="Times New Roman"/>
          <w:color w:val="000000" w:themeColor="text1"/>
          <w:lang w:val="en-GB"/>
        </w:rPr>
        <w:fldChar w:fldCharType="separate"/>
      </w:r>
      <w:r w:rsidR="001D4B21" w:rsidRPr="001D4B21">
        <w:rPr>
          <w:rFonts w:cs="Times New Roman"/>
          <w:noProof/>
          <w:color w:val="000000" w:themeColor="text1"/>
          <w:lang w:val="en-GB"/>
        </w:rPr>
        <w:t>(Ainsworth &amp; Rogers, 2007)</w:t>
      </w:r>
      <w:r w:rsidR="00812C7F">
        <w:rPr>
          <w:rFonts w:cs="Times New Roman"/>
          <w:color w:val="000000" w:themeColor="text1"/>
          <w:lang w:val="en-GB"/>
        </w:rPr>
        <w:fldChar w:fldCharType="end"/>
      </w:r>
      <w:r w:rsidR="002D5CEA" w:rsidRPr="00BD2160">
        <w:rPr>
          <w:rFonts w:cs="Times New Roman"/>
          <w:color w:val="000000" w:themeColor="text1"/>
          <w:lang w:val="en-GB"/>
        </w:rPr>
        <w:t>.</w:t>
      </w:r>
      <w:r w:rsidR="00F11404">
        <w:rPr>
          <w:rFonts w:cs="Times New Roman"/>
          <w:color w:val="000000" w:themeColor="text1"/>
          <w:lang w:val="en-GB"/>
        </w:rPr>
        <w:t xml:space="preserve"> </w:t>
      </w:r>
      <w:r w:rsidR="00951022">
        <w:rPr>
          <w:rFonts w:cs="Times New Roman"/>
          <w:color w:val="000000" w:themeColor="text1"/>
          <w:lang w:val="en-GB"/>
        </w:rPr>
        <w:t>Changes</w:t>
      </w:r>
      <w:r w:rsidR="0069500F">
        <w:rPr>
          <w:rFonts w:cs="Times New Roman"/>
          <w:color w:val="000000" w:themeColor="text1"/>
          <w:lang w:val="en-GB"/>
        </w:rPr>
        <w:t xml:space="preserve"> in soil moisture </w:t>
      </w:r>
      <w:r w:rsidR="004B22F4">
        <w:rPr>
          <w:rFonts w:cs="Times New Roman"/>
          <w:color w:val="000000" w:themeColor="text1"/>
          <w:lang w:val="en-GB"/>
        </w:rPr>
        <w:t>and/</w:t>
      </w:r>
      <w:r w:rsidR="0069500F">
        <w:rPr>
          <w:rFonts w:cs="Times New Roman"/>
          <w:color w:val="000000" w:themeColor="text1"/>
          <w:lang w:val="en-GB"/>
        </w:rPr>
        <w:t xml:space="preserve">or atmospheric water demand (i.e. leaf vapour pressure deficit; </w:t>
      </w:r>
      <w:r w:rsidR="0069500F" w:rsidRPr="00E274AE">
        <w:rPr>
          <w:rFonts w:cs="Times New Roman"/>
          <w:i/>
          <w:color w:val="000000" w:themeColor="text1"/>
          <w:lang w:val="en-GB"/>
        </w:rPr>
        <w:t>D</w:t>
      </w:r>
      <w:r w:rsidR="0069500F">
        <w:rPr>
          <w:rFonts w:cs="Times New Roman"/>
          <w:color w:val="000000" w:themeColor="text1"/>
          <w:lang w:val="en-GB"/>
        </w:rPr>
        <w:t xml:space="preserve">) </w:t>
      </w:r>
      <w:r w:rsidR="007354CA">
        <w:rPr>
          <w:rFonts w:cs="Times New Roman"/>
          <w:color w:val="000000" w:themeColor="text1"/>
          <w:lang w:val="en-GB"/>
        </w:rPr>
        <w:t xml:space="preserve">also </w:t>
      </w:r>
      <w:r w:rsidR="00CE1FDA">
        <w:rPr>
          <w:rFonts w:cs="Times New Roman"/>
          <w:color w:val="000000" w:themeColor="text1"/>
          <w:lang w:val="en-GB"/>
        </w:rPr>
        <w:t>contribut</w:t>
      </w:r>
      <w:r w:rsidR="008C5348">
        <w:rPr>
          <w:rFonts w:cs="Times New Roman"/>
          <w:color w:val="000000" w:themeColor="text1"/>
          <w:lang w:val="en-GB"/>
        </w:rPr>
        <w:t>e</w:t>
      </w:r>
      <w:r w:rsidR="00CE1FDA">
        <w:rPr>
          <w:rFonts w:cs="Times New Roman"/>
          <w:color w:val="000000" w:themeColor="text1"/>
          <w:lang w:val="en-GB"/>
        </w:rPr>
        <w:t xml:space="preserve"> to</w:t>
      </w:r>
      <w:r w:rsidR="007354CA">
        <w:rPr>
          <w:rFonts w:cs="Times New Roman"/>
          <w:color w:val="000000" w:themeColor="text1"/>
          <w:lang w:val="en-GB"/>
        </w:rPr>
        <w:t xml:space="preserve"> </w:t>
      </w:r>
      <w:r w:rsidR="00CE1FDA">
        <w:rPr>
          <w:rFonts w:cs="Times New Roman"/>
          <w:color w:val="000000" w:themeColor="text1"/>
          <w:lang w:val="en-GB"/>
        </w:rPr>
        <w:t>modulat</w:t>
      </w:r>
      <w:r w:rsidR="00DD3A0F">
        <w:rPr>
          <w:rFonts w:cs="Times New Roman"/>
          <w:color w:val="000000" w:themeColor="text1"/>
          <w:lang w:val="en-GB"/>
        </w:rPr>
        <w:t>ing</w:t>
      </w:r>
      <w:r w:rsidR="007354CA">
        <w:rPr>
          <w:rFonts w:cs="Times New Roman"/>
          <w:color w:val="000000" w:themeColor="text1"/>
          <w:lang w:val="en-GB"/>
        </w:rPr>
        <w:t xml:space="preserve"> WUE via </w:t>
      </w:r>
      <w:r w:rsidR="0069500F">
        <w:rPr>
          <w:rFonts w:cs="Times New Roman"/>
          <w:color w:val="000000" w:themeColor="text1"/>
          <w:lang w:val="en-GB"/>
        </w:rPr>
        <w:t>their</w:t>
      </w:r>
      <w:r w:rsidR="007354CA">
        <w:rPr>
          <w:rFonts w:cs="Times New Roman"/>
          <w:color w:val="000000" w:themeColor="text1"/>
          <w:lang w:val="en-GB"/>
        </w:rPr>
        <w:t xml:space="preserve"> effects on </w:t>
      </w:r>
      <w:r w:rsidR="007354CA" w:rsidRPr="00D04390">
        <w:rPr>
          <w:rFonts w:cs="Times New Roman"/>
          <w:i/>
          <w:color w:val="000000" w:themeColor="text1"/>
          <w:lang w:val="en-GB"/>
        </w:rPr>
        <w:t>g</w:t>
      </w:r>
      <w:r w:rsidR="007354CA" w:rsidRPr="00D04390">
        <w:rPr>
          <w:rFonts w:cs="Times New Roman"/>
          <w:color w:val="000000" w:themeColor="text1"/>
          <w:vertAlign w:val="subscript"/>
          <w:lang w:val="en-GB"/>
        </w:rPr>
        <w:t>s</w:t>
      </w:r>
      <w:r w:rsidR="007354CA">
        <w:rPr>
          <w:rFonts w:cs="Times New Roman"/>
          <w:color w:val="000000" w:themeColor="text1"/>
          <w:lang w:val="en-GB"/>
        </w:rPr>
        <w:t xml:space="preserve"> </w:t>
      </w:r>
      <w:r w:rsidR="007354CA">
        <w:rPr>
          <w:rFonts w:cs="Times New Roman"/>
          <w:color w:val="000000" w:themeColor="text1"/>
          <w:lang w:val="en-GB"/>
        </w:rPr>
        <w:fldChar w:fldCharType="begin" w:fldLock="1"/>
      </w:r>
      <w:r w:rsidR="004434E2">
        <w:rPr>
          <w:rFonts w:cs="Times New Roman"/>
          <w:color w:val="000000" w:themeColor="text1"/>
          <w:lang w:val="en-GB"/>
        </w:rPr>
        <w:instrText>ADDIN CSL_CITATION {"citationItems":[{"id":"ITEM-1","itemData":{"DOI":"10.1111/j.1365-2486.2011.02566.x","ISBN":"1354-1013","ISSN":"13541013","abstract":"The rise in atmospheric CO2 concentrations (Ca) has been related to tree growth enhancement and increasing intrinsic water-use efficiency (iWUE). However, the extent that rising Ca has led to increased long-term iWUE and whether climate could explain deviations from expected Ca-induced growth enhancement are still poorly understood. The aim of this research was to use Ca and local climatic variability to explain changes during the 20th century in growth and tree ring and needle d13C in declining and nondeclining Abies alba stands from the Spanish Pyrenees, near the southern distribution limit of this species. The temporal trends of iWUE were calculated under three theoretical scenarios for the regulation of plant-gas exchange at increasing Ca. We tested different linear mixed-effects models by multimodel selection criteria to predict basal area increment (BAI), a proxy of tree radial growth, using these scenarios and local temperature together with precipitation data as predictors. The theoretical scenario assuming the strongest response to Ca explained 6681% of the iWUE variance and 2856% of the observed BAI variance, whereas local climatic variables together explained less than 1121% of the BAI variance. Our results are consistent with a drought-induced limitation of the tree growth response to rising CO2 and a decreasing rate of iWUE improvement from the 1980s onward in declining A. alba stands subjected to lower water availability.","author":[{"dropping-particle":"","family":"Linares","given":"Juan Carlos","non-dropping-particle":"","parse-names":false,"suffix":""},{"dropping-particle":"","family":"Camarero","given":"J. Julio","non-dropping-particle":"","parse-names":false,"suffix":""}],"container-title":"Global Change Biology","id":"ITEM-1","issue":"3","issued":{"date-parts":[["2012"]]},"page":"1000-1015","title":"From pattern to process: Linking intrinsic water-use efficiency to drought-induced forest decline","type":"article-journal","volume":"18"},"uris":["http://www.mendeley.com/documents/?uuid=e7ffe245-83a6-42ab-98b8-ac5d4617d081"]},{"id":"ITEM-2","itemData":{"DOI":"10.1029/2008GB003233","ISBN":"0886-6236","ISSN":"08866236","abstract":"Half-hourly measurements of the net exchanges of carbon dioxide and water vapor between terrestrial ecosystems and the atmosphere provide estimates of gross primary production (GPP) and evapotranspiration (ET) at the ecosystem level and on daily to annual timescales. The ratio of these quantities represents ecosystem water use efficiency. Its multiplication with mean daylight vapor pressure deficit (VPD) leads to a quantity which we call \"inherent water use efficiency\" (IWUE*). The dependence of IWUE* on environmental conditions indicates possible adaptive adjustment of ecosystem physiology in response to a changing environment. IWUE* is analyzed for 43 sites across a range of plant functional types and climatic conditions. IWUE* increases during short-term moderate drought conditions. Mean annual IWUE* varied by a factor of 3 among all sites. This is partly explained by soil moisture at field capacity, particularly in deciduous broad-leaved forests. Canopy light interception sets the upper limits to canopy photosynthesis, and explains half the variance in annual IWUE* among herbaceous ecosystems and evergreen needle-leaved forests. Knowledge of IWUE* offers valuable improvement to the representation of carbon and water coupling in ecosystem process models.","author":[{"dropping-particle":"","family":"Beer","given":"C.","non-dropping-particle":"","parse-names":false,"suffix":""},{"dropping-particle":"","family":"Ciais","given":"P.","non-dropping-particle":"","parse-names":false,"suffix":""},{"dropping-particle":"","family":"Reichstein","given":"M.","non-dropping-particle":"","parse-names":false,"suffix":""},{"dropping-particle":"","family":"Baldocchi","given":"D.","non-dropping-particle":"","parse-names":false,"suffix":""},{"dropping-particle":"","family":"Law","given":"B. E.","non-dropping-particle":"","parse-names":false,"suffix":""},{"dropping-particle":"","family":"Papale","given":"D.","non-dropping-particle":"","parse-names":false,"suffix":""},{"dropping-particle":"","family":"Soussana","given":"J.-F.","non-dropping-particle":"","parse-names":false,"suffix":""},{"dropping-particle":"","family":"Ammann","given":"C.","non-dropping-particle":"","parse-names":false,"suffix":""},{"dropping-particle":"","family":"Buchmann","given":"N.","non-dropping-particle":"","parse-names":false,"suffix":""},{"dropping-particle":"","family":"Frank","given":"D.","non-dropping-particle":"","parse-names":false,"suffix":""},{"dropping-particle":"","family":"Gianelle","given":"D.","non-dropping-particle":"","parse-names":false,"suffix":""},{"dropping-particle":"","family":"Janssens","given":"I. a.","non-dropping-particle":"","parse-names":false,"suffix":""},{"dropping-particle":"","family":"Knohl","given":"A.","non-dropping-particle":"","parse-names":false,"suffix":""},{"dropping-particle":"","family":"Köstner","given":"B.","non-dropping-particle":"","parse-names":false,"suffix":""},{"dropping-particle":"","family":"Moors","given":"E.","non-dropping-particle":"","parse-names":false,"suffix":""},{"dropping-particle":"","family":"Roupsard","given":"O.","non-dropping-particle":"","parse-names":false,"suffix":""},{"dropping-particle":"","family":"Verbeeck","given":"H.","non-dropping-particle":"","parse-names":false,"suffix":""},{"dropping-particle":"","family":"Vesala","given":"T.","non-dropping-particle":"","parse-names":false,"suffix":""},{"dropping-particle":"","family":"Williams","given":"C. A.","non-dropping-particle":"","parse-names":false,"suffix":""},{"dropping-particle":"","family":"Wohlfahrt","given":"G.","non-dropping-particle":"","parse-names":false,"suffix":""}],"container-title":"Global Biogeochemical Cycles","id":"ITEM-2","issue":"2","issued":{"date-parts":[["2009","6","11"]]},"page":"GB2018","title":"Temporal and among-site variability of inherent water use efficiency at the ecosystem level","type":"article-journal","volume":"23"},"uris":["http://www.mendeley.com/documents/?uuid=a69ed8c8-d7c5-4874-ad18-cf8337e73b7b"]}],"mendeley":{"formattedCitation":"(Beer et al., 2009; Linares &amp; Camarero, 2012)","plainTextFormattedCitation":"(Beer et al., 2009; Linares &amp; Camarero, 2012)","previouslyFormattedCitation":"(Beer et al., 2009; Linares &amp; Camarero, 2012)"},"properties":{"noteIndex":0},"schema":"https://github.com/citation-style-language/schema/raw/master/csl-citation.json"}</w:instrText>
      </w:r>
      <w:r w:rsidR="007354CA">
        <w:rPr>
          <w:rFonts w:cs="Times New Roman"/>
          <w:color w:val="000000" w:themeColor="text1"/>
          <w:lang w:val="en-GB"/>
        </w:rPr>
        <w:fldChar w:fldCharType="separate"/>
      </w:r>
      <w:r w:rsidR="00186339" w:rsidRPr="00186339">
        <w:rPr>
          <w:rFonts w:cs="Times New Roman"/>
          <w:noProof/>
          <w:color w:val="000000" w:themeColor="text1"/>
          <w:lang w:val="en-GB"/>
        </w:rPr>
        <w:t>(Beer et al., 2009; Linares &amp; Camarero, 2012)</w:t>
      </w:r>
      <w:r w:rsidR="007354CA">
        <w:rPr>
          <w:rFonts w:cs="Times New Roman"/>
          <w:color w:val="000000" w:themeColor="text1"/>
          <w:lang w:val="en-GB"/>
        </w:rPr>
        <w:fldChar w:fldCharType="end"/>
      </w:r>
      <w:r w:rsidR="003E2DBE">
        <w:rPr>
          <w:rFonts w:cs="Times New Roman"/>
          <w:color w:val="000000" w:themeColor="text1"/>
          <w:lang w:val="en-GB"/>
        </w:rPr>
        <w:t>.</w:t>
      </w:r>
      <w:r w:rsidR="0076661C">
        <w:rPr>
          <w:rFonts w:cs="Times New Roman"/>
          <w:color w:val="000000" w:themeColor="text1"/>
          <w:lang w:val="en-GB"/>
        </w:rPr>
        <w:t xml:space="preserve"> </w:t>
      </w:r>
      <w:r w:rsidR="005C589E">
        <w:rPr>
          <w:rFonts w:cs="Times New Roman"/>
          <w:color w:val="000000" w:themeColor="text1"/>
          <w:lang w:val="en-GB"/>
        </w:rPr>
        <w:t>T</w:t>
      </w:r>
      <w:r w:rsidR="00BC2573">
        <w:rPr>
          <w:rFonts w:cs="Times New Roman"/>
          <w:color w:val="000000" w:themeColor="text1"/>
          <w:lang w:val="en-GB"/>
        </w:rPr>
        <w:t>he ecosystem response</w:t>
      </w:r>
      <w:r w:rsidR="009732B2">
        <w:rPr>
          <w:rFonts w:cs="Times New Roman"/>
          <w:color w:val="000000" w:themeColor="text1"/>
          <w:lang w:val="en-GB"/>
        </w:rPr>
        <w:t>s</w:t>
      </w:r>
      <w:r w:rsidR="00BC2573">
        <w:rPr>
          <w:rFonts w:cs="Times New Roman"/>
          <w:color w:val="000000" w:themeColor="text1"/>
          <w:lang w:val="en-GB"/>
        </w:rPr>
        <w:t xml:space="preserve"> </w:t>
      </w:r>
      <w:r w:rsidR="000C25BC">
        <w:rPr>
          <w:rFonts w:cs="Times New Roman"/>
          <w:color w:val="000000" w:themeColor="text1"/>
          <w:lang w:val="en-GB"/>
        </w:rPr>
        <w:t xml:space="preserve">to elevated </w:t>
      </w:r>
      <w:r w:rsidR="000C25BC" w:rsidRPr="00712857">
        <w:rPr>
          <w:rFonts w:cs="Times New Roman"/>
          <w:i/>
          <w:color w:val="000000" w:themeColor="text1"/>
          <w:lang w:val="en-GB"/>
        </w:rPr>
        <w:t>c</w:t>
      </w:r>
      <w:r w:rsidR="000C25BC" w:rsidRPr="00712857">
        <w:rPr>
          <w:rFonts w:cs="Times New Roman"/>
          <w:color w:val="000000" w:themeColor="text1"/>
          <w:vertAlign w:val="subscript"/>
          <w:lang w:val="en-GB"/>
        </w:rPr>
        <w:t>a</w:t>
      </w:r>
      <w:r w:rsidR="000C25BC">
        <w:rPr>
          <w:rFonts w:cs="Times New Roman"/>
          <w:color w:val="000000" w:themeColor="text1"/>
          <w:lang w:val="en-GB"/>
        </w:rPr>
        <w:t xml:space="preserve"> and changes </w:t>
      </w:r>
      <w:r w:rsidR="00577008">
        <w:rPr>
          <w:rFonts w:cs="Times New Roman"/>
          <w:color w:val="000000" w:themeColor="text1"/>
          <w:lang w:val="en-GB"/>
        </w:rPr>
        <w:t xml:space="preserve">in </w:t>
      </w:r>
      <w:r w:rsidR="000C25BC">
        <w:rPr>
          <w:rFonts w:cs="Times New Roman"/>
          <w:color w:val="000000" w:themeColor="text1"/>
          <w:lang w:val="en-GB"/>
        </w:rPr>
        <w:t xml:space="preserve">water availability </w:t>
      </w:r>
      <w:r w:rsidR="00554967">
        <w:rPr>
          <w:rFonts w:cs="Times New Roman"/>
          <w:color w:val="000000" w:themeColor="text1"/>
          <w:lang w:val="en-GB"/>
        </w:rPr>
        <w:t>remain more uncertain</w:t>
      </w:r>
      <w:r w:rsidR="006355CF">
        <w:rPr>
          <w:rFonts w:cs="Times New Roman"/>
          <w:color w:val="000000" w:themeColor="text1"/>
          <w:lang w:val="en-GB"/>
        </w:rPr>
        <w:t>.</w:t>
      </w:r>
      <w:r w:rsidR="00B05117">
        <w:rPr>
          <w:rFonts w:cs="Times New Roman"/>
          <w:color w:val="000000" w:themeColor="text1"/>
          <w:lang w:val="en-GB"/>
        </w:rPr>
        <w:t xml:space="preserve"> </w:t>
      </w:r>
      <w:r w:rsidR="005C589E">
        <w:rPr>
          <w:rFonts w:cs="Times New Roman"/>
          <w:color w:val="000000" w:themeColor="text1"/>
          <w:lang w:val="en-GB"/>
        </w:rPr>
        <w:t xml:space="preserve">Although physical and physiological processes underlying carbon and water fluxes occur over a continuum of scales, indirect </w:t>
      </w:r>
      <w:r w:rsidR="00B30372">
        <w:rPr>
          <w:rFonts w:cs="Times New Roman"/>
          <w:color w:val="000000" w:themeColor="text1"/>
          <w:lang w:val="en-GB"/>
        </w:rPr>
        <w:t xml:space="preserve">effects and feedbacks </w:t>
      </w:r>
      <w:r w:rsidR="00EB2811">
        <w:rPr>
          <w:rFonts w:cs="Times New Roman"/>
          <w:color w:val="000000" w:themeColor="text1"/>
          <w:lang w:val="en-GB"/>
        </w:rPr>
        <w:t>at</w:t>
      </w:r>
      <w:r w:rsidR="002A50F9">
        <w:rPr>
          <w:rFonts w:cs="Times New Roman"/>
          <w:color w:val="000000" w:themeColor="text1"/>
          <w:lang w:val="en-GB"/>
        </w:rPr>
        <w:t xml:space="preserve"> the whole ecosystem </w:t>
      </w:r>
      <w:r w:rsidR="00EB2811">
        <w:rPr>
          <w:rFonts w:cs="Times New Roman"/>
          <w:color w:val="000000" w:themeColor="text1"/>
          <w:lang w:val="en-GB"/>
        </w:rPr>
        <w:t xml:space="preserve">scale </w:t>
      </w:r>
      <w:r w:rsidR="00A50D56">
        <w:rPr>
          <w:rFonts w:cs="Times New Roman"/>
          <w:color w:val="000000" w:themeColor="text1"/>
          <w:lang w:val="en-GB"/>
        </w:rPr>
        <w:t>may</w:t>
      </w:r>
      <w:r w:rsidR="00B30372">
        <w:rPr>
          <w:rFonts w:cs="Times New Roman"/>
          <w:color w:val="000000" w:themeColor="text1"/>
          <w:lang w:val="en-GB"/>
        </w:rPr>
        <w:t xml:space="preserve"> amplif</w:t>
      </w:r>
      <w:r w:rsidR="00A50D56">
        <w:rPr>
          <w:rFonts w:cs="Times New Roman"/>
          <w:color w:val="000000" w:themeColor="text1"/>
          <w:lang w:val="en-GB"/>
        </w:rPr>
        <w:t>y</w:t>
      </w:r>
      <w:r w:rsidR="00B30372">
        <w:rPr>
          <w:rFonts w:cs="Times New Roman"/>
          <w:color w:val="000000" w:themeColor="text1"/>
          <w:lang w:val="en-GB"/>
        </w:rPr>
        <w:t xml:space="preserve"> or dampen </w:t>
      </w:r>
      <w:r w:rsidR="00B145B9">
        <w:rPr>
          <w:rFonts w:cs="Times New Roman"/>
          <w:color w:val="000000" w:themeColor="text1"/>
          <w:lang w:val="en-GB"/>
        </w:rPr>
        <w:t xml:space="preserve">the </w:t>
      </w:r>
      <w:r w:rsidR="00B30372">
        <w:rPr>
          <w:rFonts w:cs="Times New Roman"/>
          <w:color w:val="000000" w:themeColor="text1"/>
          <w:lang w:val="en-GB"/>
        </w:rPr>
        <w:t>direct lea</w:t>
      </w:r>
      <w:r w:rsidR="00753C75">
        <w:rPr>
          <w:rFonts w:cs="Times New Roman"/>
          <w:color w:val="000000" w:themeColor="text1"/>
          <w:lang w:val="en-GB"/>
        </w:rPr>
        <w:t>f</w:t>
      </w:r>
      <w:r w:rsidR="00B30372">
        <w:rPr>
          <w:rFonts w:cs="Times New Roman"/>
          <w:color w:val="000000" w:themeColor="text1"/>
          <w:lang w:val="en-GB"/>
        </w:rPr>
        <w:t xml:space="preserve">-level response to </w:t>
      </w:r>
      <w:r w:rsidR="00B30372" w:rsidRPr="00712857">
        <w:rPr>
          <w:rFonts w:cs="Times New Roman"/>
          <w:i/>
          <w:color w:val="000000" w:themeColor="text1"/>
          <w:lang w:val="en-GB"/>
        </w:rPr>
        <w:t>c</w:t>
      </w:r>
      <w:r w:rsidR="00B30372" w:rsidRPr="00712857">
        <w:rPr>
          <w:rFonts w:cs="Times New Roman"/>
          <w:color w:val="000000" w:themeColor="text1"/>
          <w:vertAlign w:val="subscript"/>
          <w:lang w:val="en-GB"/>
        </w:rPr>
        <w:t>a</w:t>
      </w:r>
      <w:r w:rsidR="00B30372">
        <w:rPr>
          <w:rFonts w:cs="Times New Roman"/>
          <w:color w:val="000000" w:themeColor="text1"/>
          <w:lang w:val="en-GB"/>
        </w:rPr>
        <w:t xml:space="preserve"> </w:t>
      </w:r>
      <w:r w:rsidR="00B30372">
        <w:rPr>
          <w:rFonts w:cs="Times New Roman"/>
          <w:color w:val="000000" w:themeColor="text1"/>
          <w:lang w:val="en-GB"/>
        </w:rPr>
        <w:fldChar w:fldCharType="begin" w:fldLock="1"/>
      </w:r>
      <w:r w:rsidR="008514FF">
        <w:rPr>
          <w:rFonts w:cs="Times New Roman"/>
          <w:color w:val="000000" w:themeColor="text1"/>
          <w:lang w:val="en-GB"/>
        </w:rPr>
        <w:instrText>ADDIN CSL_CITATION {"citationItems":[{"id":"ITEM-1","itemData":{"DOI":"10.1073/pnas.1605036113","author":[{"dropping-particle":"","family":"Fatichi","given":"Simone","non-dropping-particle":"","parse-names":false,"suffix":""},{"dropping-particle":"","family":"Leuzinger","given":"Sebastian","non-dropping-particle":"","parse-names":false,"suffix":""},{"dropping-particle":"","family":"Paschalis","given":"Athanasios","non-dropping-particle":"","parse-names":false,"suffix":""},{"dropping-particle":"","family":"Langley","given":"J Adam","non-dropping-particle":"","parse-names":false,"suffix":""},{"dropping-particle":"","family":"Donnellan","given":"Alicia","non-dropping-particle":"","parse-names":false,"suffix":""}],"container-title":"Proceedings of the National Academy of Sciences","id":"ITEM-1","issue":"45","issued":{"date-parts":[["2016"]]},"page":"12757-12762","title":"Partitioning direct and indirect effects reveals the response of water-limited ecosystems to elevated CO2","type":"article-journal","volume":"113"},"uris":["http://www.mendeley.com/documents/?uuid=40166166-0cff-4ee6-b056-76649918f780"]}],"mendeley":{"formattedCitation":"(Fatichi, Leuzinger, Paschalis, Langley, &amp; Donnellan, 2016)","manualFormatting":"(Fatichi et al., 2016)","plainTextFormattedCitation":"(Fatichi, Leuzinger, Paschalis, Langley, &amp; Donnellan, 2016)","previouslyFormattedCitation":"(Fatichi, Leuzinger, Paschalis, Langley, &amp; Donnellan, 2016)"},"properties":{"noteIndex":0},"schema":"https://github.com/citation-style-language/schema/raw/master/csl-citation.json"}</w:instrText>
      </w:r>
      <w:r w:rsidR="00B30372">
        <w:rPr>
          <w:rFonts w:cs="Times New Roman"/>
          <w:color w:val="000000" w:themeColor="text1"/>
          <w:lang w:val="en-GB"/>
        </w:rPr>
        <w:fldChar w:fldCharType="separate"/>
      </w:r>
      <w:r w:rsidR="00B30372" w:rsidRPr="00554967">
        <w:rPr>
          <w:rFonts w:cs="Times New Roman"/>
          <w:noProof/>
          <w:color w:val="000000" w:themeColor="text1"/>
          <w:lang w:val="en-GB"/>
        </w:rPr>
        <w:t>(Fatichi</w:t>
      </w:r>
      <w:r w:rsidR="00DC3BA0">
        <w:rPr>
          <w:rFonts w:cs="Times New Roman"/>
          <w:noProof/>
          <w:color w:val="000000" w:themeColor="text1"/>
          <w:lang w:val="en-GB"/>
        </w:rPr>
        <w:t xml:space="preserve"> et al.</w:t>
      </w:r>
      <w:r w:rsidR="008514FF">
        <w:rPr>
          <w:rFonts w:cs="Times New Roman"/>
          <w:noProof/>
          <w:color w:val="000000" w:themeColor="text1"/>
          <w:lang w:val="en-GB"/>
        </w:rPr>
        <w:t>,</w:t>
      </w:r>
      <w:r w:rsidR="00B30372" w:rsidRPr="00554967">
        <w:rPr>
          <w:rFonts w:cs="Times New Roman"/>
          <w:noProof/>
          <w:color w:val="000000" w:themeColor="text1"/>
          <w:lang w:val="en-GB"/>
        </w:rPr>
        <w:t xml:space="preserve"> 2016)</w:t>
      </w:r>
      <w:r w:rsidR="00B30372">
        <w:rPr>
          <w:rFonts w:cs="Times New Roman"/>
          <w:color w:val="000000" w:themeColor="text1"/>
          <w:lang w:val="en-GB"/>
        </w:rPr>
        <w:fldChar w:fldCharType="end"/>
      </w:r>
      <w:r w:rsidR="00EB2811">
        <w:rPr>
          <w:rFonts w:cs="Times New Roman"/>
          <w:color w:val="000000" w:themeColor="text1"/>
          <w:lang w:val="en-GB"/>
        </w:rPr>
        <w:t>. These indirect effects</w:t>
      </w:r>
      <w:r w:rsidR="00500465">
        <w:rPr>
          <w:rFonts w:cs="Times New Roman"/>
          <w:color w:val="000000" w:themeColor="text1"/>
          <w:lang w:val="en-GB"/>
        </w:rPr>
        <w:t xml:space="preserve"> </w:t>
      </w:r>
      <w:r w:rsidR="00F1117D">
        <w:rPr>
          <w:rFonts w:cs="Times New Roman"/>
          <w:color w:val="000000" w:themeColor="text1"/>
          <w:lang w:val="en-GB"/>
        </w:rPr>
        <w:t>includ</w:t>
      </w:r>
      <w:r w:rsidR="00EB2811">
        <w:rPr>
          <w:rFonts w:cs="Times New Roman"/>
          <w:color w:val="000000" w:themeColor="text1"/>
          <w:lang w:val="en-GB"/>
        </w:rPr>
        <w:t>e</w:t>
      </w:r>
      <w:r w:rsidR="00F1117D">
        <w:rPr>
          <w:rFonts w:cs="Times New Roman"/>
          <w:color w:val="000000" w:themeColor="text1"/>
          <w:lang w:val="en-GB"/>
        </w:rPr>
        <w:t xml:space="preserve"> changes in leaf area index and canopy structure </w:t>
      </w:r>
      <w:r w:rsidR="00F1117D">
        <w:rPr>
          <w:rFonts w:cs="Times New Roman"/>
          <w:color w:val="000000" w:themeColor="text1"/>
          <w:lang w:val="en-GB"/>
        </w:rPr>
        <w:fldChar w:fldCharType="begin" w:fldLock="1"/>
      </w:r>
      <w:r w:rsidR="008514FF">
        <w:rPr>
          <w:rFonts w:cs="Times New Roman"/>
          <w:color w:val="000000" w:themeColor="text1"/>
          <w:lang w:val="en-GB"/>
        </w:rPr>
        <w:instrText>ADDIN CSL_CITATION {"citationItems":[{"id":"ITEM-1","itemData":{"DOI":"10.1029/2008GL035258","ISBN":"0094-8276","ISSN":"00948276","abstract":"A global vegetation and hydrology model (LPJmL) was applied to quantify the contributions of changing precipitation, temperature, atmospheric CO2 content, land use and irrigation to worldwide trends in 20th century river discharge (Q). Consistently with observations, Q decreased in parts of Africa, central/southern Asia and south-eastern Europe, and increased especially in parts of North America and western Asia. Based on the CRU TS2.1 climatology, total global Q rose over 1901–2002 (trend, 30.8 km3 a−2, equaling 7.7%), due primarily to increasing precipitation (individual effect, +24.7 km3 a−2). Global warming (−3.1), rising CO2 (+4.4), land cover changes (+5.9) and irrigation (−1.1) also had discernible effects. However, sign and magnitude of trends exhibited pronounced decadal variability and differed among precipitation forcing datasets. Since recent trends in these and other drivers of Q are mainly anthropogenic, we conclude that humans exert an increasing influence on the global water cycle.","author":[{"dropping-particle":"","family":"Gerten","given":"Dieter","non-dropping-particle":"","parse-names":false,"suffix":""},{"dropping-particle":"","family":"Rost","given":"Stefanie","non-dropping-particle":"","parse-names":false,"suffix":""},{"dropping-particle":"","family":"Bloh","given":"Werner","non-dropping-particle":"von","parse-names":false,"suffix":""},{"dropping-particle":"","family":"Lucht","given":"Wolfgang","non-dropping-particle":"","parse-names":false,"suffix":""}],"container-title":"Geophysical Research Letters","id":"ITEM-1","issue":"20","issued":{"date-parts":[["2008"]]},"title":"Causes of change in 20th century global river discharge","type":"article-journal","volume":"35"},"uris":["http://www.mendeley.com/documents/?uuid=ee489e06-5de8-4887-88c0-a14403a04775"]}],"mendeley":{"formattedCitation":"(Gerten, Rost, von Bloh, &amp; Lucht, 2008)","manualFormatting":"(Gerten et al., 2008)","plainTextFormattedCitation":"(Gerten, Rost, von Bloh, &amp; Lucht, 2008)","previouslyFormattedCitation":"(Gerten, Rost, von Bloh, &amp; Lucht, 2008)"},"properties":{"noteIndex":0},"schema":"https://github.com/citation-style-language/schema/raw/master/csl-citation.json"}</w:instrText>
      </w:r>
      <w:r w:rsidR="00F1117D">
        <w:rPr>
          <w:rFonts w:cs="Times New Roman"/>
          <w:color w:val="000000" w:themeColor="text1"/>
          <w:lang w:val="en-GB"/>
        </w:rPr>
        <w:fldChar w:fldCharType="separate"/>
      </w:r>
      <w:r w:rsidR="00F1117D" w:rsidRPr="00F1117D">
        <w:rPr>
          <w:rFonts w:cs="Times New Roman"/>
          <w:noProof/>
          <w:color w:val="000000" w:themeColor="text1"/>
          <w:lang w:val="en-GB"/>
        </w:rPr>
        <w:t>(Gerten</w:t>
      </w:r>
      <w:r w:rsidR="008514FF">
        <w:rPr>
          <w:rFonts w:cs="Times New Roman"/>
          <w:noProof/>
          <w:color w:val="000000" w:themeColor="text1"/>
          <w:lang w:val="en-GB"/>
        </w:rPr>
        <w:t xml:space="preserve"> et al., </w:t>
      </w:r>
      <w:r w:rsidR="00F1117D" w:rsidRPr="00F1117D">
        <w:rPr>
          <w:rFonts w:cs="Times New Roman"/>
          <w:noProof/>
          <w:color w:val="000000" w:themeColor="text1"/>
          <w:lang w:val="en-GB"/>
        </w:rPr>
        <w:t>2008)</w:t>
      </w:r>
      <w:r w:rsidR="00F1117D">
        <w:rPr>
          <w:rFonts w:cs="Times New Roman"/>
          <w:color w:val="000000" w:themeColor="text1"/>
          <w:lang w:val="en-GB"/>
        </w:rPr>
        <w:fldChar w:fldCharType="end"/>
      </w:r>
      <w:r w:rsidR="00670F30">
        <w:rPr>
          <w:rFonts w:cs="Times New Roman"/>
          <w:color w:val="000000" w:themeColor="text1"/>
          <w:lang w:val="en-GB"/>
        </w:rPr>
        <w:t xml:space="preserve"> </w:t>
      </w:r>
      <w:r w:rsidR="00F1117D">
        <w:rPr>
          <w:rFonts w:cs="Times New Roman"/>
          <w:color w:val="000000" w:themeColor="text1"/>
          <w:lang w:val="en-GB"/>
        </w:rPr>
        <w:t xml:space="preserve">and atmospheric boundary layer feedbacks </w:t>
      </w:r>
      <w:r w:rsidR="00F1117D">
        <w:rPr>
          <w:rFonts w:cs="Times New Roman"/>
          <w:color w:val="000000" w:themeColor="text1"/>
          <w:lang w:val="en-GB"/>
        </w:rPr>
        <w:fldChar w:fldCharType="begin" w:fldLock="1"/>
      </w:r>
      <w:r w:rsidR="00A15240">
        <w:rPr>
          <w:rFonts w:cs="Times New Roman"/>
          <w:color w:val="000000" w:themeColor="text1"/>
          <w:lang w:val="en-GB"/>
        </w:rPr>
        <w:instrText>ADDIN CSL_CITATION {"citationItems":[{"id":"ITEM-1","itemData":{"DOI":"Doi 10.1111/J.1365-3040.1995.Tb00630.X","ISBN":"0140-7791","ISSN":"1365-3040","PMID":"1862","abstract":"Increased atmospheric CO2 Often but not always leads to large decreases in leaf conductance, Decreased leaf conductance has important implications for a number of components of CO2 responses, from the plant to the global scale, All of the factors that are sensitive to a change in soil moisture, either amount or timing, may be affected by increased CO2. The list of potentially sensitive processes includes soil evaporation, run-off, decomposition, and physiological adjustments of plants, as well as factors such as canopy development and the composition of the plant and microbial communities, Experimental evidence concerning ecosystem-scale consequences of the effects of CO2 on water use is only beginning to accumulate, but the initial indication is that, in water-limited areas, the effects of CO2-induced changes in leaf conductance are comparable in importance to those of CO2-induced changes in photosynthesis, Above the leaf scale, a number of processes interact to modulate the response of canopy or regional evapotranspiration to increased CO2. While some components of these processes tend to amplify the sensitivity of evapotranspiration to altered leaf conductance, the most likely overall pattern is one in which the responses of canopy and regional evapotranspiration are substantially smaller than the responses of canopy conductance, The effects of increased CO2 on canopy evapotranspiration are likely to be smallest in aerodynamically smooth canopies with high leaf conductances, Under these circumstances, which are largely restricted to agriculture, decreases in evapotranspiration may be only one-fourth as large as decreases in canopy conductance, Decreased canopy conductances over large regions may lead to altered climate, including increased temperature and decreased precipitation, The simulation experiments to date predict small effects globally, but these could be important regionally, especially in combination with radiative (greenhouse) effects of increased CO2.","author":[{"dropping-particle":"","family":"Field","given":"C B","non-dropping-particle":"","parse-names":false,"suffix":""},{"dropping-particle":"","family":"Jackson","given":"R B","non-dropping-particle":"","parse-names":false,"suffix":""},{"dropping-particle":"","family":"Mooney","given":"H A","non-dropping-particle":"","parse-names":false,"suffix":""}],"container-title":"Plant Cell and Environment","id":"ITEM-1","issue":"10","issued":{"date-parts":[["1995"]]},"page":"1214-1225","title":"Stomatal Responses to Increased CO2 - Implications from the Plant to the Global-Scale","type":"article-journal","volume":"18"},"uris":["http://www.mendeley.com/documents/?uuid=e3c82e21-b94e-42f6-afca-b9f6b9ac55ea"]},{"id":"ITEM-2","itemData":{"DOI":"10.1111/gcb.12164","ISBN":"1354-1013 (Print)\\r1354-1013 (Linking)","ISSN":"13541013","PMID":"23504858","abstract":"Predicted responses of transpiration to elevated atmospheric CO2 concentration (eCO2 ) are highly variable amongst process-based models. To better understand and constrain this variability amongst models, we conducted an intercomparison of 11 ecosystem models applied to data from two forest free-air CO2 enrichment (FACE) experiments at Duke University and Oak Ridge National Laboratory. We analysed model structures to identify the key underlying assumptions causing differences in model predictions of transpiration and canopy water use efficiency. We then compared the models against data to identify model assumptions that are incorrect or are large sources of uncertainty. We found that model-to-model and model-to-observations differences resulted from four key sets of assumptions, namely (i) the nature of the stomatal response to elevated CO2 (coupling between photosynthesis and stomata was supported by the data); (ii) the roles of the leaf and atmospheric boundary layer (models which assumed multiple conductance terms in series predicted more decoupled fluxes than observed at the broadleaf site); (iii) the treatment of canopy interception (large intermodel variability, 2-15%); and (iv) the impact of soil moisture stress (process uncertainty in how models limit carbon and water fluxes during moisture stress). Overall, model predictions of the CO2 effect on WUE were reasonable (intermodel mu = approximately 28% +/- 10%) compared to the observations (mu = approximately 30% +/- 13%) at the well-coupled coniferous site (Duke), but poor (intermodel mu = approximately 24% +/- 6%; observations mu = approximately 38% +/- 7%) at the broadleaf site (Oak Ridge). The study yields a framework for analysing and interpreting model predictions of transpiration responses to eCO2 , and highlights key improvements to these types of models.","author":[{"dropping-particle":"","family":"Kauwe","given":"M. G.","non-dropping-particle":"De","parse-names":false,"suffix":""},{"dropping-particle":"","family":"Medlyn","given":"B. E.","non-dropping-particle":"","parse-names":false,"suffix":""},{"dropping-particle":"","family":"Zaehle","given":"Sönke","non-dropping-particle":"","parse-names":false,"suffix":""},{"dropping-particle":"","family":"Walker","given":"Anthony P.","non-dropping-particle":"","parse-names":false,"suffix":""},{"dropping-particle":"","family":"Dietze","given":"Michael C.","non-dropping-particle":"","parse-names":false,"suffix":""},{"dropping-particle":"","family":"Hickler","given":"Thomas","non-dropping-particle":"","parse-names":false,"suffix":""},{"dropping-particle":"","family":"Jain","given":"Atul K.","non-dropping-particle":"","parse-names":false,"suffix":""},{"dropping-particle":"","family":"Luo","given":"Yiqi","non-dropping-particle":"","parse-names":false,"suffix":""},{"dropping-particle":"","family":"Parton","given":"William J.","non-dropping-particle":"","parse-names":false,"suffix":""},{"dropping-particle":"","family":"Prentice","given":"I. Colin","non-dropping-particle":"","parse-names":false,"suffix":""},{"dropping-particle":"","family":"Smith","given":"Benjamin","non-dropping-particle":"","parse-names":false,"suffix":""},{"dropping-particle":"","family":"Thornton","given":"Peter E.","non-dropping-particle":"","parse-names":false,"suffix":""},{"dropping-particle":"","family":"Wang","given":"Shusen","non-dropping-particle":"","parse-names":false,"suffix":""},{"dropping-particle":"","family":"Wang","given":"Ying Ping","non-dropping-particle":"","parse-names":false,"suffix":""},{"dropping-particle":"","family":"Wårlind","given":"David","non-dropping-particle":"","parse-names":false,"suffix":""},{"dropping-particle":"","family":"Weng","given":"Ensheng","non-dropping-particle":"","parse-names":false,"suffix":""},{"dropping-particle":"","family":"Crous","given":"Kristine Y.","non-dropping-particle":"","parse-names":false,"suffix":""},{"dropping-particle":"","family":"Ellsworth","given":"David S.","non-dropping-particle":"","parse-names":false,"suffix":""},{"dropping-particle":"","family":"Hanson","given":"Paul J.","non-dropping-particle":"","parse-names":false,"suffix":""},{"dropping-particle":"","family":"Seok Kim","given":"Hyun","non-dropping-particle":"","parse-names":false,"suffix":""},{"dropping-particle":"","family":"Warren","given":"Jeffrey M.","non-dropping-particle":"","parse-names":false,"suffix":""},{"dropping-particle":"","family":"Oren","given":"Ram","non-dropping-particle":"","parse-names":false,"suffix":""},{"dropping-particle":"","family":"Norby","given":"Richard J.","non-dropping-particle":"","parse-names":false,"suffix":""}],"container-title":"Global Change Biology","id":"ITEM-2","issue":"6","issued":{"date-parts":[["2013"]]},"page":"1759-1779","title":"Forest water use and water use efficiency at elevated CO2: A model-data intercomparison at two contrasting temperate forest FACE sites","type":"article-journal","volume":"19"},"uris":["http://www.mendeley.com/documents/?uuid=1706da95-4cc2-48e6-a705-d0bf6a9d72b2"]}],"mendeley":{"formattedCitation":"(De Kauwe et al., 2013; Field, Jackson, &amp; Mooney, 1995)","plainTextFormattedCitation":"(De Kauwe et al., 2013; Field, Jackson, &amp; Mooney, 1995)","previouslyFormattedCitation":"(De Kauwe et al., 2013; Field, Jackson, &amp; Mooney, 1995)"},"properties":{"noteIndex":0},"schema":"https://github.com/citation-style-language/schema/raw/master/csl-citation.json"}</w:instrText>
      </w:r>
      <w:r w:rsidR="00F1117D">
        <w:rPr>
          <w:rFonts w:cs="Times New Roman"/>
          <w:color w:val="000000" w:themeColor="text1"/>
          <w:lang w:val="en-GB"/>
        </w:rPr>
        <w:fldChar w:fldCharType="separate"/>
      </w:r>
      <w:r w:rsidR="00AB44F9" w:rsidRPr="00AB44F9">
        <w:rPr>
          <w:rFonts w:cs="Times New Roman"/>
          <w:noProof/>
          <w:color w:val="000000" w:themeColor="text1"/>
          <w:lang w:val="en-GB"/>
        </w:rPr>
        <w:t>(De Kauwe et al., 2013; Field, Jackson, &amp; Mooney, 1995)</w:t>
      </w:r>
      <w:r w:rsidR="00F1117D">
        <w:rPr>
          <w:rFonts w:cs="Times New Roman"/>
          <w:color w:val="000000" w:themeColor="text1"/>
          <w:lang w:val="en-GB"/>
        </w:rPr>
        <w:fldChar w:fldCharType="end"/>
      </w:r>
      <w:r w:rsidR="00B145B9">
        <w:rPr>
          <w:rFonts w:cs="Times New Roman"/>
          <w:color w:val="000000" w:themeColor="text1"/>
          <w:lang w:val="en-GB"/>
        </w:rPr>
        <w:t>. Thus</w:t>
      </w:r>
      <w:r w:rsidR="00AF715A">
        <w:rPr>
          <w:rFonts w:cs="Times New Roman"/>
          <w:color w:val="000000" w:themeColor="text1"/>
          <w:lang w:val="en-GB"/>
        </w:rPr>
        <w:t>, s</w:t>
      </w:r>
      <w:r w:rsidR="00101E6E" w:rsidRPr="00BD2160">
        <w:rPr>
          <w:rFonts w:cs="Times New Roman"/>
          <w:color w:val="000000" w:themeColor="text1"/>
          <w:lang w:val="en-GB"/>
        </w:rPr>
        <w:t xml:space="preserve">caling </w:t>
      </w:r>
      <w:r w:rsidR="00B274D3">
        <w:rPr>
          <w:rFonts w:cs="Times New Roman"/>
          <w:color w:val="000000" w:themeColor="text1"/>
          <w:lang w:val="en-GB"/>
        </w:rPr>
        <w:t xml:space="preserve">up </w:t>
      </w:r>
      <w:r w:rsidR="00EB2811">
        <w:rPr>
          <w:rFonts w:cs="Times New Roman"/>
          <w:color w:val="000000" w:themeColor="text1"/>
          <w:lang w:val="en-GB"/>
        </w:rPr>
        <w:t xml:space="preserve">the </w:t>
      </w:r>
      <w:r w:rsidR="002C2DF3">
        <w:rPr>
          <w:rFonts w:cs="Times New Roman"/>
          <w:color w:val="000000" w:themeColor="text1"/>
          <w:lang w:val="en-GB"/>
        </w:rPr>
        <w:t xml:space="preserve">terrestrial carbon and water response </w:t>
      </w:r>
      <w:r w:rsidR="007C0712">
        <w:rPr>
          <w:rFonts w:cs="Times New Roman"/>
          <w:color w:val="000000" w:themeColor="text1"/>
          <w:lang w:val="en-GB"/>
        </w:rPr>
        <w:t xml:space="preserve">to environmental stimuli </w:t>
      </w:r>
      <w:r w:rsidR="00101E6E" w:rsidRPr="00BD2160">
        <w:rPr>
          <w:rFonts w:cs="Times New Roman"/>
          <w:color w:val="000000" w:themeColor="text1"/>
          <w:lang w:val="en-GB"/>
        </w:rPr>
        <w:t xml:space="preserve">from leaf to </w:t>
      </w:r>
      <w:r w:rsidR="00101E6E">
        <w:rPr>
          <w:rFonts w:cs="Times New Roman"/>
          <w:color w:val="000000" w:themeColor="text1"/>
          <w:lang w:val="en-GB"/>
        </w:rPr>
        <w:t xml:space="preserve">canopy and </w:t>
      </w:r>
      <w:r w:rsidR="00101E6E" w:rsidRPr="00BD2160">
        <w:rPr>
          <w:rFonts w:cs="Times New Roman"/>
          <w:color w:val="000000" w:themeColor="text1"/>
          <w:lang w:val="en-GB"/>
        </w:rPr>
        <w:t xml:space="preserve">ecosystem is </w:t>
      </w:r>
      <w:r w:rsidR="00101E6E">
        <w:rPr>
          <w:rFonts w:cs="Times New Roman"/>
          <w:color w:val="000000" w:themeColor="text1"/>
          <w:lang w:val="en-GB"/>
        </w:rPr>
        <w:t>a</w:t>
      </w:r>
      <w:r w:rsidR="00101E6E" w:rsidRPr="00BD2160">
        <w:rPr>
          <w:rFonts w:cs="Times New Roman"/>
          <w:color w:val="000000" w:themeColor="text1"/>
          <w:lang w:val="en-GB"/>
        </w:rPr>
        <w:t xml:space="preserve"> key uncertainty </w:t>
      </w:r>
      <w:r w:rsidR="00101E6E" w:rsidRPr="00BD2160">
        <w:rPr>
          <w:rFonts w:cs="Times New Roman"/>
          <w:color w:val="000000" w:themeColor="text1"/>
          <w:lang w:val="en-GB"/>
        </w:rPr>
        <w:fldChar w:fldCharType="begin" w:fldLock="1"/>
      </w:r>
      <w:r w:rsidR="00490EE9">
        <w:rPr>
          <w:rFonts w:cs="Times New Roman"/>
          <w:color w:val="000000" w:themeColor="text1"/>
          <w:lang w:val="en-GB"/>
        </w:rPr>
        <w:instrText>ADDIN CSL_CITATION {"citationItems":[{"id":"ITEM-1","itemData":{"DOI":"10.5194/bg-14-4435-2017","author":[{"dropping-particle":"","family":"Kauwe","given":"M. G.","non-dropping-particle":"De","parse-names":false,"suffix":""},{"dropping-particle":"","family":"Medlyn","given":"B E","non-dropping-particle":"","parse-names":false,"suffix":""},{"dropping-particle":"","family":"Knauer","given":"J","non-dropping-particle":"","parse-names":false,"suffix":""},{"dropping-particle":"","family":"Williams","given":"C A","non-dropping-particle":"","parse-names":false,"suffix":""}],"container-title":"Biogeosciences","id":"ITEM-1","issue":"19","issued":{"date-parts":[["2017"]]},"page":"4435-4453","title":"Ideas and perspectives: how coupled is the vegetation to the boundary layer?","type":"article-journal","volume":"14"},"uris":["http://www.mendeley.com/documents/?uuid=355ac13e-128c-42c3-bff6-dd2dd68adcd3"]},{"id":"ITEM-2","itemData":{"DOI":"10.1111/pce.12527","author":[{"dropping-particle":"","family":"Way","given":"Danielle A","non-dropping-particle":"","parse-names":false,"suffix":""},{"dropping-particle":"","family":"Oren","given":"Ram","non-dropping-particle":"","parse-names":false,"suffix":""},{"dropping-particle":"","family":"Kroner","given":"Yulia","non-dropping-particle":"","parse-names":false,"suffix":""}],"container-title":"Plant Cell and Environment","id":"ITEM-2","issued":{"date-parts":[["2015"]]},"page":"991-1007","title":"The space-time continuum : the effects of elevated CO2 and temperature on trees and the importance of scaling","type":"article-journal","volume":"38"},"uris":["http://www.mendeley.com/documents/?uuid=f27d2567-09d7-4108-9d69-b7d4d25902bf"]}],"mendeley":{"formattedCitation":"(De Kauwe, Medlyn, Knauer, &amp; Williams, 2017; Way, Oren, &amp; Kroner, 2015)","manualFormatting":"(De Kauwe et al. 2017; Way, Oren, &amp; Kroner, 2015)","plainTextFormattedCitation":"(De Kauwe, Medlyn, Knauer, &amp; Williams, 2017; Way, Oren, &amp; Kroner, 2015)","previouslyFormattedCitation":"(De Kauwe, Medlyn, Knauer, &amp; Williams, 2017; Way, Oren, &amp; Kroner, 2015)"},"properties":{"noteIndex":0},"schema":"https://github.com/citation-style-language/schema/raw/master/csl-citation.json"}</w:instrText>
      </w:r>
      <w:r w:rsidR="00101E6E" w:rsidRPr="00BD2160">
        <w:rPr>
          <w:rFonts w:cs="Times New Roman"/>
          <w:color w:val="000000" w:themeColor="text1"/>
          <w:lang w:val="en-GB"/>
        </w:rPr>
        <w:fldChar w:fldCharType="separate"/>
      </w:r>
      <w:r w:rsidR="00E41B56" w:rsidRPr="00E41B56">
        <w:rPr>
          <w:rFonts w:cs="Times New Roman"/>
          <w:noProof/>
          <w:color w:val="000000" w:themeColor="text1"/>
          <w:lang w:val="en-GB"/>
        </w:rPr>
        <w:t>(De Kauwe</w:t>
      </w:r>
      <w:r w:rsidR="00490EE9">
        <w:rPr>
          <w:rFonts w:cs="Times New Roman"/>
          <w:noProof/>
          <w:color w:val="000000" w:themeColor="text1"/>
          <w:lang w:val="en-GB"/>
        </w:rPr>
        <w:t xml:space="preserve"> et al.</w:t>
      </w:r>
      <w:r w:rsidR="00E41B56" w:rsidRPr="00E41B56">
        <w:rPr>
          <w:rFonts w:cs="Times New Roman"/>
          <w:noProof/>
          <w:color w:val="000000" w:themeColor="text1"/>
          <w:lang w:val="en-GB"/>
        </w:rPr>
        <w:t xml:space="preserve"> 2017; Way, Oren, &amp; Kroner, 2015)</w:t>
      </w:r>
      <w:r w:rsidR="00101E6E" w:rsidRPr="00BD2160">
        <w:rPr>
          <w:rFonts w:cs="Times New Roman"/>
          <w:color w:val="000000" w:themeColor="text1"/>
          <w:lang w:val="en-GB"/>
        </w:rPr>
        <w:fldChar w:fldCharType="end"/>
      </w:r>
      <w:r w:rsidR="005A1370">
        <w:rPr>
          <w:rFonts w:cs="Times New Roman"/>
          <w:color w:val="000000" w:themeColor="text1"/>
          <w:lang w:val="en-GB"/>
        </w:rPr>
        <w:t xml:space="preserve">, and physiological responses to changing environmental drivers should be interpreted differently depending on the observational scale </w:t>
      </w:r>
      <w:r w:rsidR="005A1370">
        <w:rPr>
          <w:rFonts w:cs="Times New Roman"/>
          <w:color w:val="000000" w:themeColor="text1"/>
          <w:lang w:val="en-GB"/>
        </w:rPr>
        <w:fldChar w:fldCharType="begin" w:fldLock="1"/>
      </w:r>
      <w:r w:rsidR="00F11BB2">
        <w:rPr>
          <w:rFonts w:cs="Times New Roman"/>
          <w:color w:val="000000" w:themeColor="text1"/>
          <w:lang w:val="en-GB"/>
        </w:rPr>
        <w:instrText>ADDIN CSL_CITATION {"citationItems":[{"id":"ITEM-1","itemData":{"DOI":"10.1111/nph.15384","ISSN":"0028646X","author":[{"dropping-particle":"","family":"Yi","given":"Koong","non-dropping-particle":"","parse-names":false,"suffix":""},{"dropping-particle":"","family":"Maxwell","given":"Justin T.","non-dropping-particle":"","parse-names":false,"suffix":""},{"dropping-particle":"","family":"Wenzel","given":"Matthew K.","non-dropping-particle":"","parse-names":false,"suffix":""},{"dropping-particle":"","family":"Roman","given":"D. Tyler","non-dropping-particle":"","parse-names":false,"suffix":""},{"dropping-particle":"","family":"Sauer","given":"Peter E.","non-dropping-particle":"","parse-names":false,"suffix":""},{"dropping-particle":"","family":"Phillips","given":"Richard P.","non-dropping-particle":"","parse-names":false,"suffix":""},{"dropping-particle":"","family":"Novick","given":"Kimberly A.","non-dropping-particle":"","parse-names":false,"suffix":""}],"container-title":"New Phytologist","id":"ITEM-1","issued":{"date-parts":[["2018"]]},"title":"Linking variation in intrinsic water-use efficiency to isohydricity: a comparison at multiple spatiotemporal scales","type":"article-journal"},"uris":["http://www.mendeley.com/documents/?uuid=30b78e09-bb18-40a8-bf21-52b06bb8047d"]}],"mendeley":{"formattedCitation":"(Yi et al., 2018)","plainTextFormattedCitation":"(Yi et al., 2018)","previouslyFormattedCitation":"(Yi et al., 2018)"},"properties":{"noteIndex":0},"schema":"https://github.com/citation-style-language/schema/raw/master/csl-citation.json"}</w:instrText>
      </w:r>
      <w:r w:rsidR="005A1370">
        <w:rPr>
          <w:rFonts w:cs="Times New Roman"/>
          <w:color w:val="000000" w:themeColor="text1"/>
          <w:lang w:val="en-GB"/>
        </w:rPr>
        <w:fldChar w:fldCharType="separate"/>
      </w:r>
      <w:r w:rsidR="007E091E" w:rsidRPr="007E091E">
        <w:rPr>
          <w:rFonts w:cs="Times New Roman"/>
          <w:noProof/>
          <w:color w:val="000000" w:themeColor="text1"/>
          <w:lang w:val="en-GB"/>
        </w:rPr>
        <w:t>(Yi et al., 2018)</w:t>
      </w:r>
      <w:r w:rsidR="005A1370">
        <w:rPr>
          <w:rFonts w:cs="Times New Roman"/>
          <w:color w:val="000000" w:themeColor="text1"/>
          <w:lang w:val="en-GB"/>
        </w:rPr>
        <w:fldChar w:fldCharType="end"/>
      </w:r>
      <w:r w:rsidR="001178B2">
        <w:rPr>
          <w:rFonts w:cs="Times New Roman"/>
          <w:color w:val="000000" w:themeColor="text1"/>
          <w:lang w:val="en-GB"/>
        </w:rPr>
        <w:t xml:space="preserve">. </w:t>
      </w:r>
    </w:p>
    <w:p w14:paraId="3087B3D3" w14:textId="3C2C5B13" w:rsidR="00A91618" w:rsidRDefault="00A73245">
      <w:pPr>
        <w:pStyle w:val="Body"/>
        <w:spacing w:before="240" w:line="360" w:lineRule="auto"/>
        <w:jc w:val="both"/>
        <w:rPr>
          <w:rFonts w:cs="Times New Roman"/>
          <w:color w:val="000000" w:themeColor="text1"/>
          <w:lang w:val="en-GB"/>
        </w:rPr>
      </w:pPr>
      <w:r>
        <w:rPr>
          <w:rFonts w:cs="Times New Roman"/>
          <w:color w:val="000000" w:themeColor="text1"/>
          <w:lang w:val="en-GB"/>
        </w:rPr>
        <w:t>T</w:t>
      </w:r>
      <w:r w:rsidR="009152D5" w:rsidRPr="00BD2160">
        <w:rPr>
          <w:rFonts w:cs="Times New Roman"/>
          <w:color w:val="000000" w:themeColor="text1"/>
          <w:lang w:val="en-GB"/>
        </w:rPr>
        <w:t xml:space="preserve">here are different ways of quantifying </w:t>
      </w:r>
      <w:r w:rsidR="00887B62">
        <w:rPr>
          <w:rFonts w:cs="Times New Roman"/>
          <w:color w:val="000000" w:themeColor="text1"/>
          <w:lang w:val="en-GB"/>
        </w:rPr>
        <w:t>temporal</w:t>
      </w:r>
      <w:r>
        <w:rPr>
          <w:rFonts w:cs="Times New Roman"/>
          <w:color w:val="000000" w:themeColor="text1"/>
          <w:lang w:val="en-GB"/>
        </w:rPr>
        <w:t xml:space="preserve"> </w:t>
      </w:r>
      <w:r w:rsidR="009152D5" w:rsidRPr="00BD2160">
        <w:rPr>
          <w:rFonts w:cs="Times New Roman"/>
          <w:color w:val="000000" w:themeColor="text1"/>
          <w:lang w:val="en-GB"/>
        </w:rPr>
        <w:t>changes in WUE</w:t>
      </w:r>
      <w:r w:rsidR="00506FE5">
        <w:rPr>
          <w:rFonts w:cs="Times New Roman"/>
          <w:color w:val="000000" w:themeColor="text1"/>
          <w:lang w:val="en-GB"/>
        </w:rPr>
        <w:t xml:space="preserve"> based on </w:t>
      </w:r>
      <w:r>
        <w:rPr>
          <w:rFonts w:cs="Times New Roman"/>
          <w:color w:val="000000" w:themeColor="text1"/>
          <w:lang w:val="en-GB"/>
        </w:rPr>
        <w:t>observation</w:t>
      </w:r>
      <w:r w:rsidR="00506FE5">
        <w:rPr>
          <w:rFonts w:cs="Times New Roman"/>
          <w:color w:val="000000" w:themeColor="text1"/>
          <w:lang w:val="en-GB"/>
        </w:rPr>
        <w:t>s</w:t>
      </w:r>
      <w:r w:rsidR="00317ECF">
        <w:rPr>
          <w:rFonts w:cs="Times New Roman"/>
          <w:color w:val="000000" w:themeColor="text1"/>
          <w:lang w:val="en-GB"/>
        </w:rPr>
        <w:t>,</w:t>
      </w:r>
      <w:r w:rsidR="009152D5" w:rsidRPr="00BD2160">
        <w:rPr>
          <w:rFonts w:cs="Times New Roman"/>
          <w:color w:val="000000" w:themeColor="text1"/>
          <w:lang w:val="en-GB"/>
        </w:rPr>
        <w:t xml:space="preserve"> depend</w:t>
      </w:r>
      <w:r>
        <w:rPr>
          <w:rFonts w:cs="Times New Roman"/>
          <w:color w:val="000000" w:themeColor="text1"/>
          <w:lang w:val="en-GB"/>
        </w:rPr>
        <w:t>ing</w:t>
      </w:r>
      <w:r w:rsidR="009152D5" w:rsidRPr="00BD2160">
        <w:rPr>
          <w:rFonts w:cs="Times New Roman"/>
          <w:color w:val="000000" w:themeColor="text1"/>
          <w:lang w:val="en-GB"/>
        </w:rPr>
        <w:t xml:space="preserve"> on the scale of </w:t>
      </w:r>
      <w:r w:rsidR="00273F62" w:rsidRPr="00BD2160">
        <w:rPr>
          <w:rFonts w:cs="Times New Roman"/>
          <w:color w:val="000000" w:themeColor="text1"/>
          <w:lang w:val="en-GB"/>
        </w:rPr>
        <w:t>in</w:t>
      </w:r>
      <w:r w:rsidR="00273F62">
        <w:rPr>
          <w:rFonts w:cs="Times New Roman"/>
          <w:color w:val="000000" w:themeColor="text1"/>
          <w:lang w:val="en-GB"/>
        </w:rPr>
        <w:t xml:space="preserve">vestigation </w:t>
      </w:r>
      <w:r w:rsidR="006F6998">
        <w:rPr>
          <w:rFonts w:cs="Times New Roman"/>
          <w:color w:val="000000" w:themeColor="text1"/>
          <w:lang w:val="en-GB"/>
        </w:rPr>
        <w:t>(leaf</w:t>
      </w:r>
      <w:r w:rsidR="00A1252F">
        <w:rPr>
          <w:rFonts w:cs="Times New Roman"/>
          <w:color w:val="000000" w:themeColor="text1"/>
          <w:lang w:val="en-GB"/>
        </w:rPr>
        <w:t>-</w:t>
      </w:r>
      <w:r>
        <w:rPr>
          <w:rFonts w:cs="Times New Roman"/>
          <w:color w:val="000000" w:themeColor="text1"/>
          <w:lang w:val="en-GB"/>
        </w:rPr>
        <w:t>level</w:t>
      </w:r>
      <w:r w:rsidR="00381E5D">
        <w:rPr>
          <w:rFonts w:cs="Times New Roman"/>
          <w:color w:val="000000" w:themeColor="text1"/>
          <w:lang w:val="en-GB"/>
        </w:rPr>
        <w:t xml:space="preserve"> vs</w:t>
      </w:r>
      <w:r w:rsidR="006F6998">
        <w:rPr>
          <w:rFonts w:cs="Times New Roman"/>
          <w:color w:val="000000" w:themeColor="text1"/>
          <w:lang w:val="en-GB"/>
        </w:rPr>
        <w:t xml:space="preserve"> ecosystem</w:t>
      </w:r>
      <w:r>
        <w:rPr>
          <w:rFonts w:cs="Times New Roman"/>
          <w:color w:val="000000" w:themeColor="text1"/>
          <w:lang w:val="en-GB"/>
        </w:rPr>
        <w:t>-scale</w:t>
      </w:r>
      <w:r w:rsidR="006F6998">
        <w:rPr>
          <w:rFonts w:cs="Times New Roman"/>
          <w:color w:val="000000" w:themeColor="text1"/>
          <w:lang w:val="en-GB"/>
        </w:rPr>
        <w:t>)</w:t>
      </w:r>
      <w:r w:rsidR="009152D5" w:rsidRPr="00BD2160">
        <w:rPr>
          <w:rFonts w:cs="Times New Roman"/>
          <w:color w:val="000000" w:themeColor="text1"/>
          <w:lang w:val="en-GB"/>
        </w:rPr>
        <w:t xml:space="preserve">, </w:t>
      </w:r>
      <w:r w:rsidR="00F415B3">
        <w:rPr>
          <w:rFonts w:cs="Times New Roman"/>
          <w:color w:val="000000" w:themeColor="text1"/>
          <w:lang w:val="en-GB"/>
        </w:rPr>
        <w:t>the temporal resolution (half-hourly to yearly)</w:t>
      </w:r>
      <w:r w:rsidR="00AF5216">
        <w:rPr>
          <w:rFonts w:cs="Times New Roman"/>
          <w:color w:val="000000" w:themeColor="text1"/>
          <w:lang w:val="en-GB"/>
        </w:rPr>
        <w:t>, the</w:t>
      </w:r>
      <w:r w:rsidR="00602AFC">
        <w:rPr>
          <w:rFonts w:cs="Times New Roman"/>
          <w:color w:val="000000" w:themeColor="text1"/>
          <w:lang w:val="en-GB"/>
        </w:rPr>
        <w:t xml:space="preserve"> </w:t>
      </w:r>
      <w:r w:rsidR="00AB0FFC">
        <w:rPr>
          <w:rFonts w:cs="Times New Roman"/>
          <w:color w:val="000000" w:themeColor="text1"/>
          <w:lang w:val="en-GB"/>
        </w:rPr>
        <w:t>time</w:t>
      </w:r>
      <w:r w:rsidR="00602AFC">
        <w:rPr>
          <w:rFonts w:cs="Times New Roman"/>
          <w:color w:val="000000" w:themeColor="text1"/>
          <w:lang w:val="en-GB"/>
        </w:rPr>
        <w:t xml:space="preserve"> </w:t>
      </w:r>
      <w:r w:rsidR="00AB0FFC">
        <w:rPr>
          <w:rFonts w:cs="Times New Roman"/>
          <w:color w:val="000000" w:themeColor="text1"/>
          <w:lang w:val="en-GB"/>
        </w:rPr>
        <w:t>length</w:t>
      </w:r>
      <w:r w:rsidR="00CC4F82">
        <w:rPr>
          <w:rFonts w:cs="Times New Roman"/>
          <w:color w:val="000000" w:themeColor="text1"/>
          <w:lang w:val="en-GB"/>
        </w:rPr>
        <w:t xml:space="preserve"> (interannual to </w:t>
      </w:r>
      <w:r w:rsidR="00381E5D">
        <w:rPr>
          <w:rFonts w:cs="Times New Roman"/>
          <w:color w:val="000000" w:themeColor="text1"/>
          <w:lang w:val="en-GB"/>
        </w:rPr>
        <w:t>multi-</w:t>
      </w:r>
      <w:r w:rsidR="00CC4F82">
        <w:rPr>
          <w:rFonts w:cs="Times New Roman"/>
          <w:color w:val="000000" w:themeColor="text1"/>
          <w:lang w:val="en-GB"/>
        </w:rPr>
        <w:t>centennial scale</w:t>
      </w:r>
      <w:r w:rsidR="00381E5D">
        <w:rPr>
          <w:rFonts w:cs="Times New Roman"/>
          <w:color w:val="000000" w:themeColor="text1"/>
          <w:lang w:val="en-GB"/>
        </w:rPr>
        <w:t>s</w:t>
      </w:r>
      <w:r w:rsidR="00CC4F82">
        <w:rPr>
          <w:rFonts w:cs="Times New Roman"/>
          <w:color w:val="000000" w:themeColor="text1"/>
          <w:lang w:val="en-GB"/>
        </w:rPr>
        <w:t xml:space="preserve">), </w:t>
      </w:r>
      <w:r w:rsidR="009152D5" w:rsidRPr="00BD2160">
        <w:rPr>
          <w:rFonts w:cs="Times New Roman"/>
          <w:color w:val="000000" w:themeColor="text1"/>
          <w:lang w:val="en-GB"/>
        </w:rPr>
        <w:t>the type of data</w:t>
      </w:r>
      <w:r w:rsidR="006F6998">
        <w:rPr>
          <w:rFonts w:cs="Times New Roman"/>
          <w:color w:val="000000" w:themeColor="text1"/>
          <w:lang w:val="en-GB"/>
        </w:rPr>
        <w:t xml:space="preserve"> (</w:t>
      </w:r>
      <w:r w:rsidR="00315593">
        <w:rPr>
          <w:rFonts w:cs="Times New Roman"/>
          <w:color w:val="000000" w:themeColor="text1"/>
          <w:lang w:val="en-GB"/>
        </w:rPr>
        <w:t xml:space="preserve">stable </w:t>
      </w:r>
      <w:r w:rsidR="006F6998">
        <w:rPr>
          <w:rFonts w:cs="Times New Roman"/>
          <w:color w:val="000000" w:themeColor="text1"/>
          <w:lang w:val="en-GB"/>
        </w:rPr>
        <w:t>carbon isot</w:t>
      </w:r>
      <w:r w:rsidR="008810C5">
        <w:rPr>
          <w:rFonts w:cs="Times New Roman"/>
          <w:color w:val="000000" w:themeColor="text1"/>
          <w:lang w:val="en-GB"/>
        </w:rPr>
        <w:t>o</w:t>
      </w:r>
      <w:r w:rsidR="006F6998">
        <w:rPr>
          <w:rFonts w:cs="Times New Roman"/>
          <w:color w:val="000000" w:themeColor="text1"/>
          <w:lang w:val="en-GB"/>
        </w:rPr>
        <w:t xml:space="preserve">pes </w:t>
      </w:r>
      <w:r w:rsidR="008810C5">
        <w:rPr>
          <w:rFonts w:cs="Times New Roman"/>
          <w:color w:val="000000" w:themeColor="text1"/>
          <w:lang w:val="en-GB"/>
        </w:rPr>
        <w:t xml:space="preserve">in plant materials </w:t>
      </w:r>
      <w:r w:rsidR="00E70394">
        <w:rPr>
          <w:rFonts w:cs="Times New Roman"/>
          <w:color w:val="000000" w:themeColor="text1"/>
          <w:lang w:val="en-GB"/>
        </w:rPr>
        <w:t xml:space="preserve">or </w:t>
      </w:r>
      <w:r w:rsidR="008810C5">
        <w:rPr>
          <w:rFonts w:cs="Times New Roman"/>
          <w:color w:val="000000" w:themeColor="text1"/>
          <w:lang w:val="en-GB"/>
        </w:rPr>
        <w:t>eddy covariance flux measurements)</w:t>
      </w:r>
      <w:r w:rsidR="00317ECF">
        <w:rPr>
          <w:rFonts w:cs="Times New Roman"/>
          <w:color w:val="000000" w:themeColor="text1"/>
          <w:lang w:val="en-GB"/>
        </w:rPr>
        <w:t>,</w:t>
      </w:r>
      <w:r w:rsidR="009152D5" w:rsidRPr="00BD2160">
        <w:rPr>
          <w:rFonts w:cs="Times New Roman"/>
          <w:color w:val="000000" w:themeColor="text1"/>
          <w:lang w:val="en-GB"/>
        </w:rPr>
        <w:t xml:space="preserve"> and the </w:t>
      </w:r>
      <w:r w:rsidR="00317ECF">
        <w:rPr>
          <w:rFonts w:cs="Times New Roman"/>
          <w:color w:val="000000" w:themeColor="text1"/>
          <w:lang w:val="en-GB"/>
        </w:rPr>
        <w:t xml:space="preserve">specific </w:t>
      </w:r>
      <w:r w:rsidR="009152D5" w:rsidRPr="00BD2160">
        <w:rPr>
          <w:rFonts w:cs="Times New Roman"/>
          <w:color w:val="000000" w:themeColor="text1"/>
        </w:rPr>
        <w:t xml:space="preserve">definition </w:t>
      </w:r>
      <w:r w:rsidR="00317ECF">
        <w:rPr>
          <w:rFonts w:cs="Times New Roman"/>
          <w:color w:val="000000" w:themeColor="text1"/>
        </w:rPr>
        <w:t>adopted for</w:t>
      </w:r>
      <w:r w:rsidR="00317ECF" w:rsidRPr="00BD2160">
        <w:rPr>
          <w:rFonts w:cs="Times New Roman"/>
          <w:color w:val="000000" w:themeColor="text1"/>
        </w:rPr>
        <w:t xml:space="preserve"> </w:t>
      </w:r>
      <w:r w:rsidR="009152D5" w:rsidRPr="00BD2160">
        <w:rPr>
          <w:rFonts w:cs="Times New Roman"/>
          <w:color w:val="000000" w:themeColor="text1"/>
        </w:rPr>
        <w:t>WUE</w:t>
      </w:r>
      <w:r w:rsidR="009152D5" w:rsidRPr="00BD2160">
        <w:rPr>
          <w:rFonts w:cs="Times New Roman"/>
          <w:color w:val="000000" w:themeColor="text1"/>
          <w:lang w:val="en-GB"/>
        </w:rPr>
        <w:t xml:space="preserve">. </w:t>
      </w:r>
      <w:r w:rsidR="00EE5821" w:rsidRPr="00BD2160">
        <w:rPr>
          <w:rFonts w:cs="Times New Roman"/>
          <w:color w:val="000000" w:themeColor="text1"/>
          <w:lang w:val="en-GB"/>
        </w:rPr>
        <w:t>As a result, data</w:t>
      </w:r>
      <w:r w:rsidR="00F67864" w:rsidRPr="00BD2160">
        <w:rPr>
          <w:rFonts w:cs="Times New Roman"/>
          <w:color w:val="000000" w:themeColor="text1"/>
          <w:lang w:val="en-GB"/>
        </w:rPr>
        <w:t>-</w:t>
      </w:r>
      <w:r w:rsidR="00EE5821" w:rsidRPr="00BD2160">
        <w:rPr>
          <w:rFonts w:cs="Times New Roman"/>
          <w:color w:val="000000" w:themeColor="text1"/>
          <w:lang w:val="en-GB"/>
        </w:rPr>
        <w:t xml:space="preserve">based estimates of WUE </w:t>
      </w:r>
      <w:r w:rsidR="00922FBC" w:rsidRPr="00BD2160">
        <w:rPr>
          <w:rFonts w:cs="Times New Roman"/>
          <w:color w:val="000000" w:themeColor="text1"/>
          <w:lang w:val="en-GB"/>
        </w:rPr>
        <w:t xml:space="preserve">are not easily comparable and </w:t>
      </w:r>
      <w:r w:rsidR="00B70BB2" w:rsidRPr="00BD2160">
        <w:rPr>
          <w:rFonts w:cs="Times New Roman"/>
          <w:color w:val="000000" w:themeColor="text1"/>
          <w:lang w:val="en-GB"/>
        </w:rPr>
        <w:t xml:space="preserve">often </w:t>
      </w:r>
      <w:r>
        <w:rPr>
          <w:rFonts w:cs="Times New Roman"/>
          <w:color w:val="000000" w:themeColor="text1"/>
          <w:lang w:val="en-GB"/>
        </w:rPr>
        <w:t xml:space="preserve">appear to </w:t>
      </w:r>
      <w:r w:rsidR="00B70BB2" w:rsidRPr="00BD2160">
        <w:rPr>
          <w:rFonts w:cs="Times New Roman"/>
          <w:color w:val="000000" w:themeColor="text1"/>
          <w:lang w:val="en-GB"/>
        </w:rPr>
        <w:t>disagree</w:t>
      </w:r>
      <w:r w:rsidR="0072069F">
        <w:rPr>
          <w:rFonts w:cs="Times New Roman"/>
          <w:color w:val="000000" w:themeColor="text1"/>
          <w:lang w:val="en-GB"/>
        </w:rPr>
        <w:t xml:space="preserve"> with one another</w:t>
      </w:r>
      <w:r w:rsidR="006B47DE">
        <w:rPr>
          <w:rFonts w:cs="Times New Roman"/>
          <w:color w:val="000000" w:themeColor="text1"/>
          <w:lang w:val="en-GB"/>
        </w:rPr>
        <w:t xml:space="preserve"> </w:t>
      </w:r>
      <w:r w:rsidR="006B47DE">
        <w:rPr>
          <w:rFonts w:cs="Times New Roman"/>
          <w:color w:val="000000" w:themeColor="text1"/>
          <w:lang w:val="en-GB"/>
        </w:rPr>
        <w:fldChar w:fldCharType="begin" w:fldLock="1"/>
      </w:r>
      <w:r w:rsidR="00407A0C">
        <w:rPr>
          <w:rFonts w:cs="Times New Roman"/>
          <w:color w:val="000000" w:themeColor="text1"/>
          <w:lang w:val="en-GB"/>
        </w:rPr>
        <w:instrText>ADDIN CSL_CITATION {"citationItems":[{"id":"ITEM-1","itemData":{"DOI":"10.1038/nature12291","ISBN":"0028-0836","ISSN":"1476-4687","PMID":"23842499","abstract":"Terrestrial plants remove CO2 from the atmosphere through photosynthesis, a process that is accompanied by the loss of water vapour from leaves. The ratio of water loss to carbon gain, or water-use efficiency, is a key characteristic of ecosystem function that is central to the global cycles of water, energy and carbon. Here we analyse direct, long-term measurements of whole-ecosystem carbon and water exchange. We find a substantial increase in water-use efficiency in temperate and boreal forests of the Northern Hemisphere over the past two decades. We systematically assess various competing hypotheses to explain this trend, and find that the observed increase is most consistent with a strong CO2 fertilization effect. The results suggest a partial closure of stomata-small pores on the leaf surface that regulate gas exchange-to maintain a near-constant concentration of CO2 inside the leaf even under continually increasing atmospheric CO2 levels. The observed increase in forest water-use efficiency is larger than that predicted by existing theory and 13 terrestrial biosphere models. The increase is associated with trends of increasing ecosystem-level photosynthesis and net carbon uptake, and decreasing evapotranspiration. Our findings suggest a shift in the carbon- and water-based economics of terrestrial vegetation, which may require a reassessment of the role of stomatal control in regulating interactions between forests and climate change, and a re-evaluation of coupled vegetation-climate models.","author":[{"dropping-particle":"","family":"Keenan","given":"Trevor F.","non-dropping-particle":"","parse-names":false,"suffix":""},{"dropping-particle":"","family":"Hollinger","given":"David Y.","non-dropping-particle":"","parse-names":false,"suffix":""},{"dropping-particle":"","family":"Bohrer","given":"Gil","non-dropping-particle":"","parse-names":false,"suffix":""},{"dropping-particle":"","family":"Dragoni","given":"Danilo","non-dropping-particle":"","parse-names":false,"suffix":""},{"dropping-particle":"","family":"Munger","given":"J. William","non-dropping-particle":"","parse-names":false,"suffix":""},{"dropping-particle":"","family":"Schmid","given":"Hans Peter","non-dropping-particle":"","parse-names":false,"suffix":""},{"dropping-particle":"","family":"Richardson","given":"Andrew D.","non-dropping-particle":"","parse-names":false,"suffix":""}],"container-title":"Nature","id":"ITEM-1","issue":"7458","issued":{"date-parts":[["2013","7","18"]]},"page":"324-327","title":"Increase in forest water-use efficiency as atmospheric carbon dioxide concentrations rise.","type":"article-journal","volume":"499"},"uris":["http://www.mendeley.com/documents/?uuid=139f0204-41ea-415d-84e5-ca73af117030"]},{"id":"ITEM-2","itemData":{"DOI":"10.5194/bg-14-2641-2017","ISBN":"1720130019","ISSN":"17264189","abstract":"Measurements of the stable carbon isotope ratio (δ13C) on annual tree rings offer new opportunities to evaluate mechanisms of variations in photosynthesis and stomatal conductance under changing CO2 and climate conditions, especially in conjunction with process-based biogeochemical model simulations. The iso</w:instrText>
      </w:r>
      <w:r w:rsidR="00407A0C">
        <w:rPr>
          <w:rFonts w:cs="Times New Roman" w:hint="eastAsia"/>
          <w:color w:val="000000" w:themeColor="text1"/>
          <w:lang w:val="en-GB"/>
        </w:rPr>
        <w:instrText>topic discrimination is indicative of the ratio between the CO2 partial pressure in the intercellular cavities and the atmosphere (ci</w:instrText>
      </w:r>
      <w:r w:rsidR="00407A0C">
        <w:rPr>
          <w:rFonts w:cs="Times New Roman" w:hint="eastAsia"/>
          <w:color w:val="000000" w:themeColor="text1"/>
          <w:lang w:val="en-GB"/>
        </w:rPr>
        <w:instrText>∕</w:instrText>
      </w:r>
      <w:r w:rsidR="00407A0C">
        <w:rPr>
          <w:rFonts w:cs="Times New Roman" w:hint="eastAsia"/>
          <w:color w:val="000000" w:themeColor="text1"/>
          <w:lang w:val="en-GB"/>
        </w:rPr>
        <w:instrText xml:space="preserve">ca) and of the ratio of assimilation to stomatal conductance, termed intrinsic water-use efficiency (iWUE). We performed </w:instrText>
      </w:r>
      <w:r w:rsidR="00407A0C">
        <w:rPr>
          <w:rFonts w:cs="Times New Roman"/>
          <w:color w:val="000000" w:themeColor="text1"/>
          <w:lang w:val="en-GB"/>
        </w:rPr>
        <w:instrText>isotope-enabled simulations over the industrial period with the land biosphere module (CLM4.5) of the Community Earth System Model and the Land Surface Processes and Exchanges (LPX-Bern) dynamic global vegetation model. Results for C3 tree species show good agreement with a global compilation of δ13C measurements on leaves, though modeled 13C discrimination by C3 trees is smaller in arid regions than measured. A compilation of 76 tree-ring records, mainly from Europe, boreal Asia, and western North Americ</w:instrText>
      </w:r>
      <w:r w:rsidR="00407A0C">
        <w:rPr>
          <w:rFonts w:cs="Times New Roman" w:hint="eastAsia"/>
          <w:color w:val="000000" w:themeColor="text1"/>
          <w:lang w:val="en-GB"/>
        </w:rPr>
        <w:instrText>a, suggests on average small 20th century changes in isotopic discrimination and in ci</w:instrText>
      </w:r>
      <w:r w:rsidR="00407A0C">
        <w:rPr>
          <w:rFonts w:cs="Times New Roman" w:hint="eastAsia"/>
          <w:color w:val="000000" w:themeColor="text1"/>
          <w:lang w:val="en-GB"/>
        </w:rPr>
        <w:instrText>∕</w:instrText>
      </w:r>
      <w:r w:rsidR="00407A0C">
        <w:rPr>
          <w:rFonts w:cs="Times New Roman" w:hint="eastAsia"/>
          <w:color w:val="000000" w:themeColor="text1"/>
          <w:lang w:val="en-GB"/>
        </w:rPr>
        <w:instrText xml:space="preserve">ca and an increase in iWUE of about 27 % since 1900. LPX-Bern results match these century-scale reconstructions, supporting the idea that the physiology of stomata has </w:instrText>
      </w:r>
      <w:r w:rsidR="00407A0C">
        <w:rPr>
          <w:rFonts w:cs="Times New Roman"/>
          <w:color w:val="000000" w:themeColor="text1"/>
          <w:lang w:val="en-GB"/>
        </w:rPr>
        <w:instrText>evolved to optimize trade-offs between carbon gain by assimilation and water loss by transpiration. In contrast, CLM4.5 simulates an increase in discrimination and in turn a change in iWUE that is almost twice as large as that revealed by the tree-ring da</w:instrText>
      </w:r>
      <w:r w:rsidR="00407A0C">
        <w:rPr>
          <w:rFonts w:cs="Times New Roman" w:hint="eastAsia"/>
          <w:color w:val="000000" w:themeColor="text1"/>
          <w:lang w:val="en-GB"/>
        </w:rPr>
        <w:instrText>ta. Factorial simulations show that these changes are mainly in response to rising atmospheric CO2. The results suggest that the downregulation of ci</w:instrText>
      </w:r>
      <w:r w:rsidR="00407A0C">
        <w:rPr>
          <w:rFonts w:cs="Times New Roman" w:hint="eastAsia"/>
          <w:color w:val="000000" w:themeColor="text1"/>
          <w:lang w:val="en-GB"/>
        </w:rPr>
        <w:instrText>∕</w:instrText>
      </w:r>
      <w:r w:rsidR="00407A0C">
        <w:rPr>
          <w:rFonts w:cs="Times New Roman" w:hint="eastAsia"/>
          <w:color w:val="000000" w:themeColor="text1"/>
          <w:lang w:val="en-GB"/>
        </w:rPr>
        <w:instrText>ca and of photosynthesis by nitrogen limitation is possibly too strong in the standard setup of CLM4.5 or</w:instrText>
      </w:r>
      <w:r w:rsidR="00407A0C">
        <w:rPr>
          <w:rFonts w:cs="Times New Roman"/>
          <w:color w:val="000000" w:themeColor="text1"/>
          <w:lang w:val="en-GB"/>
        </w:rPr>
        <w:instrText xml:space="preserve"> that there may be problems associated with the implementation of conductance, assimilation, and related adjustment processes on long-term environmental changes.","author":[{"dropping-particle":"","family":"Keller","given":"Kathrin M.","non-dropping-particle":"","parse-names":false,"suffix":""},{"dropping-particle":"","family":"Lienert","given":"Sebastian","non-dropping-particle":"","parse-names":false,"suffix":""},{"dropping-particle":"","family":"Bozbiyik","given":"Anil","non-dropping-particle":"","parse-names":false,"suffix":""},{"dropping-particle":"","family":"Stocker","given":"Thomas F.","non-dropping-particle":"","parse-names":false,"suffix":""},{"dropping-particle":"V.","family":"Churakova Sidorova","given":"Olga","non-dropping-particle":"","parse-names":false,"suffix":""},{"dropping-particle":"","family":"Frank","given":"David C.","non-dropping-particle":"","parse-names":false,"suffix":""},{"dropping-particle":"","family":"Klesse","given":"Stefan","non-dropping-particle":"","parse-names":false,"suffix":""},{"dropping-particle":"","family":"Koven","given":"Charles D.","non-dropping-particle":"","parse-names":false,"suffix":""},{"dropping-particle":"","family":"Leuenberger","given":"Markus","non-dropping-particle":"","parse-names":false,"suffix":""},{"dropping-particle":"","family":"Riley","given":"William J.","non-dropping-particle":"","parse-names":false,"suffix":""},{"dropping-particle":"","family":"Saurer","given":"Matthias","non-dropping-particle":"","parse-names":false,"suffix":""},{"dropping-particle":"","family":"Siegwolf","given":"Rolf","non-dropping-particle":"","parse-names":false,"suffix":""},{"dropping-particle":"","family":"Weigt","given":"Rosemarie B.","non-dropping-particle":"","parse-names":false,"suffix":""},{"dropping-particle":"","family":"Joos","given":"Fortunat","non-dropping-particle":"","parse-names":false,"suffix":""}],"container-title":"Biogeosciences","id":"ITEM-2","issue":"10","issued":{"date-parts":[["2017"]]},"page":"2641-2673","title":"20th century changes in carbon isotopes and water-use efficiency: Tree-ring-based evaluation of the CLM4.5 and LPX-Bern models","type":"article-journal","volume":"14"},"uris":["http://www.mendeley.com/documents/?uuid=78529c25-cf9c-4688-ab34-630d9dbe798d"]},{"id":"ITEM-3","itemData":{"DOI":"10.1038/nclimate2614","ISBN":"1758-6798","ISSN":"1758-678X","abstract":"The Earth’s carbon and hydrologic cycles are intimately coupled by gas exchange through plant stomata. However, uncertainties in the magnitude and consequences of the physiological responses of plants to elevated CO2 in natural environments hinders modelling of terrestrial water cycling and carbon storage. Here we use annually resolved long-term δ13C tree-ring measurements across a European forest network to reconstruct the physiologically driven response of intercellular CO2 (Ci) caused by atmospheric CO2 (Ca) trends. When removing meteorological signals from the δ13C measurements, we find that trees across Europe regulated gas exchange so that for one ppmv atmospheric CO2 increase, Ci increased by ~0.76 ppmv, most consistent with moderate control towards a constant Ci/Ca ratio. This response corresponds to twentieth-century intrinsic water-use efficiency (iWUE) increases of 14 ± 10 and 22 ± 6% at broadleaf and coniferous sites, respectively. An ensemble of process-based global vegetation models shows similar CO2 effects on iWUE trends. Yet, when operating these models with climate drivers reintroduced, despite decreased stomatal opening, 5% increases in European forest transpiration are calculated over the twentieth century. This counterintuitive result arises from lengthened growing seasons, enhanced evaporative demand in a warming climate, and increased leaf area, which together oppose effects of CO2-induced stomatal closure. Our study questions changes to the hydrological cycle, such as reductions in transpiration and air humidity, hypothesized to result from plant responses to anthropogenic emissions.","author":[{"dropping-particle":"","family":"Frank","given":"D. C.","non-dropping-particle":"","parse-names":false,"suffix":""},{"dropping-particle":"","family":"Poulter","given":"B.","non-dropping-particle":"","parse-names":false,"suffix":""},{"dropping-particle":"","family":"Saurer","given":"M.","non-dropping-particle":"","parse-names":false,"suffix":""},{"dropping-particle":"","family":"Esper","given":"J.","non-dropping-particle":"","parse-names":false,"suffix":""},{"dropping-particle":"","family":"Huntingford","given":"C.","non-dropping-particle":"","parse-names":false,"suffix":""},{"dropping-particle":"","family":"Helle","given":"G.","non-dropping-particle":"","parse-names":false,"suffix":""},{"dropping-particle":"","family":"Treydte","given":"K.","non-dropping-particle":"","parse-names":false,"suffix":""},{"dropping-particle":"","family":"Zimmermann","given":"N. E.","non-dropping-particle":"","parse-names":false,"suffix":""},{"dropping-particle":"","family":"Schleser","given":"G. H.","non-dropping-particle":"","parse-names":false,"suffix":""},{"dropping-particle":"","family":"Ahlström","given":"A.","non-dropping-particle":"","parse-names":false,"suffix":""},{"dropping-particle":"","family":"Ciais","given":"P.","non-dropping-particle":"","parse-names":false,"suffix":""},{"dropping-particle":"","family":"Friedlingstein","given":"P.","non-dropping-particle":"","parse-names":false,"suffix":""},{"dropping-particle":"","family":"Levis","given":"S.","non-dropping-particle":"","parse-names":false,"suffix":""},{"dropping-particle":"","family":"Lomas","given":"M.","non-dropping-particle":"","parse-names":false,"suffix":""},{"dropping-particle":"","family":"Sitch","given":"S.","non-dropping-particle":"","parse-names":false,"suffix":""},{"dropping-particle":"","family":"Viovy","given":"N.","non-dropping-particle":"","parse-names":false,"suffix":""},{"dropping-particle":"","family":"Andreu-Hayles","given":"L.","non-dropping-particle":"","parse-names":false,"suffix":""},{"dropping-particle":"","family":"Bednarz","given":"Z.","non-dropping-particle":"","parse-names":false,"suffix":""},{"dropping-particle":"","family":"Berninger","given":"F.","non-dropping-particle":"","parse-names":false,"suffix":""},{"dropping-particle":"","family":"Boettger","given":"T.","non-dropping-particle":"","parse-names":false,"suffix":""},{"dropping-particle":"","family":"D'Alessandro","given":"C. M.","non-dropping-particle":"","parse-names":false,"suffix":""},{"dropping-particle":"","family":"Daux","given":"V.","non-dropping-particle":"","parse-names":false,"suffix":""},{"dropping-particle":"","family":"Filot","given":"M.","non-dropping-particle":"","parse-names":false,"suffix":""},{"dropping-particle":"","family":"Grabner","given":"M.","non-dropping-particle":"","parse-names":false,"suffix":""},{"dropping-particle":"","family":"Gutierrez","given":"E.","non-dropping-particle":"","parse-names":false,"suffix":""},{"dropping-particle":"","family":"Haupt","given":"M.","non-dropping-particle":"","parse-names":false,"suffix":""},{"dropping-particle":"","family":"Hilasvuori","given":"E.","non-dropping-particle":"","parse-names":false,"suffix":""},{"dropping-particle":"","family":"Jungner","given":"H.","non-dropping-particle":"","parse-names":false,"suffix":""},{"dropping-particle":"","family":"Kalela-Brundin","given":"M.","non-dropping-particle":"","parse-names":false,"suffix":""},{"dropping-particle":"","family":"Krapiec","given":"M.","non-dropping-particle":"","parse-names":false,"suffix":""},{"dropping-particle":"","family":"Leuenberger","given":"M.","non-dropping-particle":"","parse-names":false,"suffix":""},{"dropping-particle":"","family":"Loader","given":"N. J.","non-dropping-particle":"","parse-names":false,"suffix":""},{"dropping-particle":"","family":"Marah","given":"H.","non-dropping-particle":"","parse-names":false,"suffix":""},{"dropping-particle":"","family":"Masson-Delmotte","given":"V.","non-dropping-particle":"","parse-names":false,"suffix":""},{"dropping-particle":"","family":"Pazdur","given":"A.","non-dropping-particle":"","parse-names":false,"suffix":""},{"dropping-particle":"","family":"Pawelczyk","given":"S.","non-dropping-particle":"","parse-names":false,"suffix":""},{"dropping-particle":"","family":"Pierre","given":"M.","non-dropping-particle":"","parse-names":false,"suffix":""},{"dropping-particle":"","family":"Planells","given":"O.","non-dropping-particle":"","parse-names":false,"suffix":""},{"dropping-particle":"","family":"Pukiene","given":"R.","non-dropping-particle":"","parse-names":false,"suffix":""},{"dropping-particle":"","family":"Reynolds-Henne","given":"C. E.","non-dropping-particle":"","parse-names":false,"suffix":""},{"dropping-particle":"","family":"Rinne","given":"K. T.","non-dropping-particle":"","parse-names":false,"suffix":""},{"dropping-particle":"","family":"Saracino","given":"A.","non-dropping-particle":"","parse-names":false,"suffix":""},{"dropping-particle":"","family":"Sonninen","given":"E.","non-dropping-particle":"","parse-names":false,"suffix":""},{"dropping-particle":"","family":"Stievenard","given":"M.","non-dropping-particle":"","parse-names":false,"suffix":""},{"dropping-particle":"","family":"Switsur","given":"V. R.","non-dropping-particle":"","parse-names":false,"suffix":""},{"dropping-particle":"","family":"Szczepanek","given":"M.","non-dropping-particle":"","parse-names":false,"suffix":""},{"dropping-particle":"","family":"Szychowska-Krapiec","given":"E.","non-dropping-particle":"","parse-names":false,"suffix":""},{"dropping-particle":"","family":"Todaro","given":"L.","non-dropping-particle":"","parse-names":false,"suffix":""},{"dropping-particle":"","family":"Waterhouse","given":"J. S.","non-dropping-particle":"","parse-names":false,"suffix":""},{"dropping-particle":"","family":"Weigl","given":"M.","non-dropping-particle":"","parse-names":false,"suffix":""}],"container-title":"Nature Climate Change","id":"ITEM-3","issue":"6","issued":{"date-parts":[["2015"]]},"page":"579-583","title":"Water-use efficiency and transpiration across European forests during the Anthropocene","type":"article-journal","volume":"5"},"uris":["http://www.mendeley.com/documents/?uuid=ac469d75-cf10-4cf2-85ca-b5f93e6eab8e"]}],"mendeley":{"formattedCitation":"(Frank et al., 2015; Keenan et al., 2013; Keller et al., 2017)","manualFormatting":"(e.g. Frank et al., 2015; Keenan et al., 2013; Keller et al., 2017)","plainTextFormattedCitation":"(Frank et al., 2015; Keenan et al., 2013; Keller et al., 2017)","previouslyFormattedCitation":"(Frank et al., 2015; Keenan et al., 2013; Keller et al., 2017)"},"properties":{"noteIndex":0},"schema":"https://github.com/citation-style-language/schema/raw/master/csl-citation.json"}</w:instrText>
      </w:r>
      <w:r w:rsidR="006B47DE">
        <w:rPr>
          <w:rFonts w:cs="Times New Roman"/>
          <w:color w:val="000000" w:themeColor="text1"/>
          <w:lang w:val="en-GB"/>
        </w:rPr>
        <w:fldChar w:fldCharType="separate"/>
      </w:r>
      <w:r w:rsidR="00A15240" w:rsidRPr="00A15240">
        <w:rPr>
          <w:rFonts w:cs="Times New Roman"/>
          <w:noProof/>
          <w:color w:val="000000" w:themeColor="text1"/>
          <w:lang w:val="en-GB"/>
        </w:rPr>
        <w:t>(</w:t>
      </w:r>
      <w:r w:rsidR="00A15240">
        <w:rPr>
          <w:rFonts w:cs="Times New Roman"/>
          <w:noProof/>
          <w:color w:val="000000" w:themeColor="text1"/>
          <w:lang w:val="en-GB"/>
        </w:rPr>
        <w:t xml:space="preserve">e.g. </w:t>
      </w:r>
      <w:r w:rsidR="00A15240" w:rsidRPr="00A15240">
        <w:rPr>
          <w:rFonts w:cs="Times New Roman"/>
          <w:noProof/>
          <w:color w:val="000000" w:themeColor="text1"/>
          <w:lang w:val="en-GB"/>
        </w:rPr>
        <w:t>Frank et al., 2015; Keenan et al., 2013; Keller et al., 2017)</w:t>
      </w:r>
      <w:r w:rsidR="006B47DE">
        <w:rPr>
          <w:rFonts w:cs="Times New Roman"/>
          <w:color w:val="000000" w:themeColor="text1"/>
          <w:lang w:val="en-GB"/>
        </w:rPr>
        <w:fldChar w:fldCharType="end"/>
      </w:r>
      <w:r w:rsidR="00B70BB2" w:rsidRPr="00BD2160">
        <w:rPr>
          <w:rFonts w:cs="Times New Roman"/>
          <w:color w:val="000000" w:themeColor="text1"/>
          <w:lang w:val="en-GB"/>
        </w:rPr>
        <w:t xml:space="preserve">, </w:t>
      </w:r>
      <w:r w:rsidR="00317ECF">
        <w:rPr>
          <w:rFonts w:cs="Times New Roman"/>
          <w:color w:val="000000" w:themeColor="text1"/>
          <w:lang w:val="en-GB"/>
        </w:rPr>
        <w:t>obscuring</w:t>
      </w:r>
      <w:r w:rsidR="00317ECF" w:rsidRPr="00BD2160">
        <w:rPr>
          <w:rFonts w:cs="Times New Roman"/>
          <w:color w:val="000000" w:themeColor="text1"/>
          <w:lang w:val="en-GB"/>
        </w:rPr>
        <w:t xml:space="preserve"> </w:t>
      </w:r>
      <w:r w:rsidR="00EE5821" w:rsidRPr="00BD2160">
        <w:rPr>
          <w:rFonts w:cs="Times New Roman"/>
          <w:color w:val="000000" w:themeColor="text1"/>
          <w:lang w:val="en-GB"/>
        </w:rPr>
        <w:t>the interpretation of the results.</w:t>
      </w:r>
      <w:r w:rsidR="0065112C">
        <w:rPr>
          <w:rFonts w:cs="Times New Roman"/>
          <w:color w:val="000000" w:themeColor="text1"/>
          <w:lang w:val="en-GB"/>
        </w:rPr>
        <w:t xml:space="preserve"> </w:t>
      </w:r>
      <w:r w:rsidR="00823581">
        <w:rPr>
          <w:rFonts w:cs="Times New Roman"/>
          <w:color w:val="000000" w:themeColor="text1"/>
          <w:lang w:val="en-GB"/>
        </w:rPr>
        <w:t xml:space="preserve">Even though inherent differences between plant functional types (PFTs) </w:t>
      </w:r>
      <w:r w:rsidR="00DD3A0F">
        <w:rPr>
          <w:rFonts w:cs="Times New Roman"/>
          <w:color w:val="000000" w:themeColor="text1"/>
          <w:lang w:val="en-GB"/>
        </w:rPr>
        <w:t xml:space="preserve">have been reported </w:t>
      </w:r>
      <w:r w:rsidR="00823581">
        <w:rPr>
          <w:rFonts w:cs="Times New Roman"/>
          <w:color w:val="000000" w:themeColor="text1"/>
          <w:lang w:val="en-GB"/>
        </w:rPr>
        <w:fldChar w:fldCharType="begin" w:fldLock="1"/>
      </w:r>
      <w:r w:rsidR="0039471F">
        <w:rPr>
          <w:rFonts w:cs="Times New Roman"/>
          <w:color w:val="000000" w:themeColor="text1"/>
          <w:lang w:val="en-GB"/>
        </w:rPr>
        <w:instrText>ADDIN CSL_CITATION {"citationItems":[{"id":"ITEM-1","itemData":{"DOI":"10.1111/j.1469-8137.2009.02844.x","ISBN":"0028-646X","ISSN":"0028646X","PMID":"19402882","abstract":"The stomata of angiosperms respond to changes in ambient atmospheric concentrations of CO(2) (C(a)) in ways that appear to optimize water-use efficiency. It is unknown where in the history of land plants this important stomatal control mechanism evolved. Here, we test the hypothesis that major clades of plants have distinct stomatal sensitivities to C(a) reflecting a relatively recent evolution of water-use optimization in derived angiosperms. Responses of stomatal conductance (g(s)) to step changes between elevated, ambient and low C(a) (600, 380 and 100 micromol mol(-1), respectively) were compared in a phylogenetically and ecologically diverse range of higher angiosperms, conifers, ferns and lycopods. All species responded to low C(a) by increasing g(s) but only angiosperm stomata demonstrated a significant closing response when C(a) was elevated to 600 micromol mol(-1). As a result, angiosperms showed significantly greater increases in water-use efficiency under elevated C(a) than the other lineages. The data suggest that the angiosperms have mechanisms for detecting and responding to increases in C(a) that are absent from earlier diverging lineages, and these mechanisms impart a greater capacity to optimize water-use efficiency.","author":[{"dropping-particle":"","family":"Brodribb","given":"Timothy J.","non-dropping-particle":"","parse-names":false,"suffix":""},{"dropping-particle":"","family":"McAdam","given":"Scott A M","non-dropping-particle":"","parse-names":false,"suffix":""},{"dropping-particle":"","family":"Jordan","given":"Gregory J.","non-dropping-particle":"","parse-names":false,"suffix":""},{"dropping-particle":"","family":"Feild","given":"Taylor S.","non-dropping-particle":"","parse-names":false,"suffix":""}],"container-title":"New Phytologist","id":"ITEM-1","issue":"3","issued":{"date-parts":[["2009"]]},"page":"839-847","title":"Evolution of stomatal responsiveness to CO2 and optimization of water-use efficiency among land plants","type":"article-journal","volume":"183"},"uris":["http://www.mendeley.com/documents/?uuid=0da7a6ab-7165-4ced-bbc1-38e57f723f64"]},{"id":"ITEM-2","itemData":{"DOI":"10.1038/nclimate2550","ISBN":"1758-6798","ISSN":"17586798","abstract":"Nature Climate Change 5, 4 (2015). doi:10.1038/nclimate2550","author":[{"dropping-particle":"","family":"Lin","given":"Yan Shih","non-dropping-particle":"","parse-names":false,"suffix":""},{"dropping-particle":"","family":"Medlyn","given":"Belinda E.","non-dropping-particle":"","parse-names":false,"suffix":""},{"dropping-particle":"","family":"Duursma","given":"Remko A.","non-dropping-particle":"","parse-names":false,"suffix":""},{"dropping-particle":"","family":"Prentice","given":"I. Colin","non-dropping-particle":"","parse-names":false,"suffix":""},{"dropping-particle":"","family":"Wang","given":"Han","non-dropping-particle":"","parse-names":false,"suffix":""},{"dropping-particle":"","family":"Baig","given":"Sofia","non-dropping-particle":"","parse-names":false,"suffix":""},{"dropping-particle":"","family":"Eamus","given":"Derek","non-dropping-particle":"","parse-names":false,"suffix":""},{"dropping-particle":"","family":"Dios","given":"Victor Resco","non-dropping-particle":"De","parse-names":false,"suffix":""},{"dropping-particle":"","family":"Mitchell","given":"Patrick","non-dropping-particle":"","parse-names":false,"suffix":""},{"dropping-particle":"","family":"Ellsworth","given":"David S.","non-dropping-particle":"","parse-names":false,"suffix":""},{"dropping-particle":"","family":"Beeck","given":"Maarten Op","non-dropping-particle":"De","parse-names":false,"suffix":""},{"dropping-particle":"","family":"Wallin","given":"Göran","non-dropping-particle":"","parse-names":false,"suffix":""},{"dropping-particle":"","family":"Uddling","given":"Johan","non-dropping-particle":"","parse-names":false,"suffix":""},{"dropping-particle":"","family":"Tarvainen","given":"Lasse","non-dropping-particle":"","parse-names":false,"suffix":""},{"dropping-particle":"","family":"Linderson","given":"Maj Lena","non-dropping-particle":"","parse-names":false,"suffix":""},{"dropping-particle":"","family":"Cernusak","given":"Lucas A.","non-dropping-particle":"","parse-names":false,"suffix":""},{"dropping-particle":"","family":"Nippert","given":"Jesse B.","non-dropping-particle":"","parse-names":false,"suffix":""},{"dropping-particle":"","family":"Ocheltree","given":"Troy W.","non-dropping-particle":"","parse-names":false,"suffix":""},{"dropping-particle":"","family":"Tissue","given":"David T.","non-dropping-particle":"","parse-names":false,"suffix":""},{"dropping-particle":"","family":"Martin-StPaul","given":"Nicolas K.","non-dropping-particle":"","parse-names":false,"suffix":""},{"dropping-particle":"","family":"Rogers","given":"Alistair","non-dropping-particle":"","parse-names":false,"suffix":""},{"dropping-particle":"","family":"Warren","given":"Jeff M.","non-dropping-particle":"","parse-names":false,"suffix":""},{"dropping-particle":"","family":"Angelis","given":"Paolo","non-dropping-particle":"De","parse-names":false,"suffix":""},{"dropping-particle":"","family":"Hikosaka","given":"Kouki","non-dropping-particle":"","parse-names":false,"suffix":""},{"dropping-particle":"","family":"Han","given":"Qingmin","non-dropping-particle":"","parse-names":false,"suffix":""},{"dropping-particle":"","family":"Onoda","given":"Yusuke","non-dropping-particle":"","parse-names":false,"suffix":""},{"dropping-particle":"","family":"Gimeno","given":"Teresa E.","non-dropping-particle":"","parse-names":false,"suffix":""},{"dropping-particle":"","family":"Barton","given":"Craig V.M.","non-dropping-particle":"","parse-names":false,"suffix":""},{"dropping-particle":"","family":"Bennie","given":"Jonathan","non-dropping-particle":"","parse-names":false,"suffix":""},{"dropping-particle":"","family":"Bonal","given":"Damien","non-dropping-particle":"","parse-names":false,"suffix":""},{"dropping-particle":"","family":"Bosc","given":"Alexandre","non-dropping-particle":"","parse-names":false,"suffix":""},{"dropping-particle":"","family":"Löw","given":"Markus","non-dropping-particle":"","parse-names":false,"suffix":""},{"dropping-particle":"","family":"Macinins-Ng","given":"Cate","non-dropping-particle":"","parse-names":false,"suffix":""},{"dropping-particle":"","family":"Rey","given":"Ana","non-dropping-particle":"","parse-names":false,"suffix":""},{"dropping-particle":"","family":"Rowland","given":"Lucy","non-dropping-particle":"","parse-names":false,"suffix":""},{"dropping-particle":"","family":"Setterfield","given":"Samantha A.","non-dropping-particle":"","parse-names":false,"suffix":""},{"dropping-particle":"","family":"Tausz-Posch","given":"Sabine","non-dropping-particle":"","parse-names":false,"suffix":""},{"dropping-particle":"","family":"Zaragoza-Castells","given":"Joana","non-dropping-particle":"","parse-names":false,"suffix":""},{"dropping-particle":"","family":"Broadmeadow","given":"Mark S.J.","non-dropping-particle":"","parse-names":false,"suffix":""},{"dropping-particle":"","family":"Drake","given":"John E.","non-dropping-particle":"","parse-names":false,"suffix":""},{"dropping-particle":"","family":"Freeman","given":"Michael","non-dropping-particle":"","parse-names":false,"suffix":""},{"dropping-particle":"","family":"Ghannoum","given":"Oula","non-dropping-particle":"","parse-names":false,"suffix":""},{"dropping-particle":"","family":"Hutley","given":"Lindsay B.","non-dropping-particle":"","parse-names":false,"suffix":""},{"dropping-particle":"","family":"Kelly","given":"Jeff W.","non-dropping-particle":"","parse-names":false,"suffix":""},{"dropping-particle":"","family":"Kikuzawa","given":"Kihachiro","non-dropping-particle":"","parse-names":false,"suffix":""},{"dropping-particle":"","family":"Kolari","given":"Pasi","non-dropping-particle":"","parse-names":false,"suffix":""},{"dropping-particle":"","family":"Koyama","given":"Kohei","non-dropping-particle":"","parse-names":false,"suffix":""},{"dropping-particle":"","family":"Limousin","given":"Jean Marc","non-dropping-particle":"","parse-names":false,"suffix":""},{"dropping-particle":"","family":"Meir","given":"Patrick","non-dropping-particle":"","parse-names":false,"suffix":""},{"dropping-particle":"","family":"Costa","given":"Antonio C.Lola","non-dropping-particle":"Da","parse-names":false,"suffix":""},{"dropping-particle":"","family":"Mikkelsen","given":"Teis N.","non-dropping-particle":"","parse-names":false,"suffix":""},{"dropping-particle":"","family":"Salinas","given":"Norma","non-dropping-particle":"","parse-names":false,"suffix":""},{"dropping-particle":"","family":"Sun","given":"Wei","non-dropping-particle":"","parse-names":false,"suffix":""},{"dropping-particle":"","family":"Wingate","given":"Lisa","non-dropping-particle":"","parse-names":false,"suffix":""}],"container-title":"Nature Climate Change","id":"ITEM-2","issue":"5","issued":{"date-parts":[["2015"]]},"page":"459-464","title":"Optimal stomatal behaviour around the world","type":"article-journal","volume":"5"},"uris":["http://www.mendeley.com/documents/?uuid=9e124a36-3488-4a85-abb0-af0f29976931"]}],"mendeley":{"formattedCitation":"(Timothy J. Brodribb, McAdam, Jordan, &amp; Feild, 2009; Lin et al., 2015)","manualFormatting":"(Brodribb et al., 2009; Lin et al., 2015)","plainTextFormattedCitation":"(Timothy J. Brodribb, McAdam, Jordan, &amp; Feild, 2009; Lin et al., 2015)","previouslyFormattedCitation":"(Timothy J. Brodribb, McAdam, Jordan, &amp; Feild, 2009; Lin et al., 2015)"},"properties":{"noteIndex":0},"schema":"https://github.com/citation-style-language/schema/raw/master/csl-citation.json"}</w:instrText>
      </w:r>
      <w:r w:rsidR="00823581">
        <w:rPr>
          <w:rFonts w:cs="Times New Roman"/>
          <w:color w:val="000000" w:themeColor="text1"/>
          <w:lang w:val="en-GB"/>
        </w:rPr>
        <w:fldChar w:fldCharType="separate"/>
      </w:r>
      <w:r w:rsidR="00242ADE" w:rsidRPr="00242ADE">
        <w:rPr>
          <w:rFonts w:cs="Times New Roman"/>
          <w:noProof/>
          <w:color w:val="000000" w:themeColor="text1"/>
          <w:lang w:val="en-GB"/>
        </w:rPr>
        <w:t>(Brodribb</w:t>
      </w:r>
      <w:r w:rsidR="0039471F">
        <w:rPr>
          <w:rFonts w:cs="Times New Roman"/>
          <w:noProof/>
          <w:color w:val="000000" w:themeColor="text1"/>
          <w:lang w:val="en-GB"/>
        </w:rPr>
        <w:t xml:space="preserve"> et al., </w:t>
      </w:r>
      <w:r w:rsidR="00242ADE" w:rsidRPr="00242ADE">
        <w:rPr>
          <w:rFonts w:cs="Times New Roman"/>
          <w:noProof/>
          <w:color w:val="000000" w:themeColor="text1"/>
          <w:lang w:val="en-GB"/>
        </w:rPr>
        <w:t>2009; Lin et al., 2015)</w:t>
      </w:r>
      <w:r w:rsidR="00823581">
        <w:rPr>
          <w:rFonts w:cs="Times New Roman"/>
          <w:color w:val="000000" w:themeColor="text1"/>
          <w:lang w:val="en-GB"/>
        </w:rPr>
        <w:fldChar w:fldCharType="end"/>
      </w:r>
      <w:r w:rsidR="00823581">
        <w:rPr>
          <w:rFonts w:cs="Times New Roman"/>
          <w:color w:val="000000" w:themeColor="text1"/>
          <w:lang w:val="en-GB"/>
        </w:rPr>
        <w:t>,</w:t>
      </w:r>
      <w:r w:rsidR="004B2B76">
        <w:rPr>
          <w:rFonts w:cs="Times New Roman"/>
          <w:color w:val="000000" w:themeColor="text1"/>
          <w:lang w:val="en-GB"/>
        </w:rPr>
        <w:t xml:space="preserve"> and though varying site conditions may induce different </w:t>
      </w:r>
      <w:r w:rsidR="007A6C28">
        <w:rPr>
          <w:rFonts w:cs="Times New Roman"/>
          <w:color w:val="000000" w:themeColor="text1"/>
          <w:lang w:val="en-GB"/>
        </w:rPr>
        <w:t xml:space="preserve">physiological </w:t>
      </w:r>
      <w:r w:rsidR="004B2B76">
        <w:rPr>
          <w:rFonts w:cs="Times New Roman"/>
          <w:color w:val="000000" w:themeColor="text1"/>
          <w:lang w:val="en-GB"/>
        </w:rPr>
        <w:t>response</w:t>
      </w:r>
      <w:r w:rsidR="007A6C28">
        <w:rPr>
          <w:rFonts w:cs="Times New Roman"/>
          <w:color w:val="000000" w:themeColor="text1"/>
          <w:lang w:val="en-GB"/>
        </w:rPr>
        <w:t>s,</w:t>
      </w:r>
      <w:r w:rsidR="00823581">
        <w:rPr>
          <w:rFonts w:cs="Times New Roman"/>
          <w:color w:val="000000" w:themeColor="text1"/>
          <w:lang w:val="en-GB"/>
        </w:rPr>
        <w:t xml:space="preserve"> </w:t>
      </w:r>
      <w:r w:rsidR="004178D4" w:rsidRPr="004178D4">
        <w:rPr>
          <w:rFonts w:cs="Times New Roman"/>
          <w:color w:val="000000" w:themeColor="text1"/>
          <w:lang w:val="en-GB"/>
        </w:rPr>
        <w:t xml:space="preserve">the large </w:t>
      </w:r>
      <w:r w:rsidR="009C5B4E">
        <w:rPr>
          <w:rFonts w:cs="Times New Roman"/>
          <w:color w:val="000000" w:themeColor="text1"/>
          <w:lang w:val="en-GB"/>
        </w:rPr>
        <w:t>variation</w:t>
      </w:r>
      <w:r w:rsidR="009C5B4E" w:rsidRPr="004178D4">
        <w:rPr>
          <w:rFonts w:cs="Times New Roman"/>
          <w:color w:val="000000" w:themeColor="text1"/>
          <w:lang w:val="en-GB"/>
        </w:rPr>
        <w:t xml:space="preserve"> </w:t>
      </w:r>
      <w:r w:rsidR="004178D4" w:rsidRPr="004178D4">
        <w:rPr>
          <w:rFonts w:cs="Times New Roman"/>
          <w:color w:val="000000" w:themeColor="text1"/>
          <w:lang w:val="en-GB"/>
        </w:rPr>
        <w:t>in WUE trends between tree-ring-based estimates and those from eddy-covariance measurements reported in the literature is unexpected</w:t>
      </w:r>
      <w:r w:rsidR="004178D4">
        <w:rPr>
          <w:rFonts w:cs="Times New Roman"/>
          <w:color w:val="000000" w:themeColor="text1"/>
          <w:lang w:val="en-GB"/>
        </w:rPr>
        <w:t xml:space="preserve"> </w:t>
      </w:r>
      <w:r w:rsidR="00897A9C">
        <w:rPr>
          <w:rFonts w:cs="Times New Roman"/>
          <w:color w:val="000000" w:themeColor="text1"/>
          <w:lang w:val="en-GB"/>
        </w:rPr>
        <w:fldChar w:fldCharType="begin" w:fldLock="1"/>
      </w:r>
      <w:r w:rsidR="00617D05">
        <w:rPr>
          <w:rFonts w:cs="Times New Roman"/>
          <w:color w:val="000000" w:themeColor="text1"/>
          <w:lang w:val="en-GB"/>
        </w:rPr>
        <w:instrText>ADDIN CSL_CITATION {"citationItems":[{"id":"ITEM-1","itemData":{"DOI":"10.1038/nature12411","ISBN":"0028-0836","ISSN":"1476-4687","PMID":"23842496","abstract":"Plants are expected to respond to rising levels of atmospheric carbon dioxide by using water more efficiently. Direct evidence of this has been obtained from forests, but the size of the effect will prompt debate.","author":[{"dropping-particle":"","family":"Medlyn","given":"B. E.","non-dropping-particle":"","parse-names":false,"suffix":""},{"dropping-particle":"","family":"Kauwe","given":"Martin","non-dropping-particle":"De","parse-names":false,"suffix":""}],"container-title":"Nature","id":"ITEM-1","issue":"7458","issued":{"date-parts":[["2013"]]},"page":"287-289","title":"Biogeochemistry: Carbon dioxide and water use in forests","type":"article-journal","volume":"499"},"uris":["http://www.mendeley.com/documents/?uuid=815f129d-1d2f-40b2-8ef8-cc48c0eb0f9b"]}],"mendeley":{"formattedCitation":"(Medlyn &amp; De Kauwe, 2013)","plainTextFormattedCitation":"(Medlyn &amp; De Kauwe, 2013)","previouslyFormattedCitation":"(Medlyn &amp; De Kauwe, 2013)"},"properties":{"noteIndex":0},"schema":"https://github.com/citation-style-language/schema/raw/master/csl-citation.json"}</w:instrText>
      </w:r>
      <w:r w:rsidR="00897A9C">
        <w:rPr>
          <w:rFonts w:cs="Times New Roman"/>
          <w:color w:val="000000" w:themeColor="text1"/>
          <w:lang w:val="en-GB"/>
        </w:rPr>
        <w:fldChar w:fldCharType="separate"/>
      </w:r>
      <w:r w:rsidR="00897A9C" w:rsidRPr="00897A9C">
        <w:rPr>
          <w:rFonts w:cs="Times New Roman"/>
          <w:noProof/>
          <w:color w:val="000000" w:themeColor="text1"/>
          <w:lang w:val="en-GB"/>
        </w:rPr>
        <w:t>(Medlyn &amp; De Kauwe, 2013)</w:t>
      </w:r>
      <w:r w:rsidR="00897A9C">
        <w:rPr>
          <w:rFonts w:cs="Times New Roman"/>
          <w:color w:val="000000" w:themeColor="text1"/>
          <w:lang w:val="en-GB"/>
        </w:rPr>
        <w:fldChar w:fldCharType="end"/>
      </w:r>
      <w:r w:rsidR="00D078DD">
        <w:rPr>
          <w:rFonts w:cs="Times New Roman"/>
          <w:color w:val="000000" w:themeColor="text1"/>
          <w:lang w:val="en-GB"/>
        </w:rPr>
        <w:t xml:space="preserve"> </w:t>
      </w:r>
      <w:r w:rsidR="00605FED">
        <w:rPr>
          <w:rFonts w:cs="Times New Roman"/>
          <w:color w:val="000000" w:themeColor="text1"/>
          <w:lang w:val="en-GB"/>
        </w:rPr>
        <w:t xml:space="preserve">and at odds with </w:t>
      </w:r>
      <w:r w:rsidR="009E519D">
        <w:rPr>
          <w:rFonts w:cs="Times New Roman"/>
          <w:color w:val="000000" w:themeColor="text1"/>
          <w:lang w:val="en-GB"/>
        </w:rPr>
        <w:t xml:space="preserve">current </w:t>
      </w:r>
      <w:r w:rsidR="00605FED">
        <w:rPr>
          <w:rFonts w:cs="Times New Roman"/>
          <w:color w:val="000000" w:themeColor="text1"/>
          <w:lang w:val="en-GB"/>
        </w:rPr>
        <w:t xml:space="preserve">understanding </w:t>
      </w:r>
      <w:r w:rsidR="009E519D">
        <w:rPr>
          <w:rFonts w:cs="Times New Roman"/>
          <w:color w:val="000000" w:themeColor="text1"/>
          <w:lang w:val="en-GB"/>
        </w:rPr>
        <w:t>of scaling.</w:t>
      </w:r>
      <w:r w:rsidR="00605FED">
        <w:rPr>
          <w:rFonts w:cs="Times New Roman"/>
          <w:color w:val="000000" w:themeColor="text1"/>
          <w:lang w:val="en-GB"/>
        </w:rPr>
        <w:t xml:space="preserve"> </w:t>
      </w:r>
      <w:r w:rsidR="0093147D">
        <w:rPr>
          <w:rFonts w:cs="Times New Roman"/>
          <w:color w:val="000000" w:themeColor="text1"/>
          <w:lang w:val="en-GB"/>
        </w:rPr>
        <w:t xml:space="preserve">Our goal </w:t>
      </w:r>
      <w:r w:rsidR="00DD3A0F">
        <w:rPr>
          <w:rFonts w:cs="Times New Roman"/>
          <w:color w:val="000000" w:themeColor="text1"/>
          <w:lang w:val="en-GB"/>
        </w:rPr>
        <w:t>here</w:t>
      </w:r>
      <w:r w:rsidR="0093147D">
        <w:rPr>
          <w:rFonts w:cs="Times New Roman"/>
          <w:color w:val="000000" w:themeColor="text1"/>
          <w:lang w:val="en-GB"/>
        </w:rPr>
        <w:t xml:space="preserve"> is to examine recent estimat</w:t>
      </w:r>
      <w:r w:rsidR="009D7729">
        <w:rPr>
          <w:rFonts w:cs="Times New Roman"/>
          <w:color w:val="000000" w:themeColor="text1"/>
          <w:lang w:val="en-GB"/>
        </w:rPr>
        <w:t>e</w:t>
      </w:r>
      <w:r w:rsidR="0093147D">
        <w:rPr>
          <w:rFonts w:cs="Times New Roman"/>
          <w:color w:val="000000" w:themeColor="text1"/>
          <w:lang w:val="en-GB"/>
        </w:rPr>
        <w:t xml:space="preserve">s of long-term changes in WUE </w:t>
      </w:r>
      <w:r w:rsidR="001524BA">
        <w:rPr>
          <w:rFonts w:cs="Times New Roman"/>
          <w:color w:val="000000" w:themeColor="text1"/>
          <w:lang w:val="en-GB"/>
        </w:rPr>
        <w:t>from the leaf- to the ecosystem-scale</w:t>
      </w:r>
      <w:r w:rsidR="0093147D">
        <w:rPr>
          <w:rFonts w:cs="Times New Roman"/>
          <w:color w:val="000000" w:themeColor="text1"/>
          <w:lang w:val="en-GB"/>
        </w:rPr>
        <w:t xml:space="preserve"> </w:t>
      </w:r>
      <w:r w:rsidR="001524BA">
        <w:rPr>
          <w:rFonts w:cs="Times New Roman"/>
          <w:color w:val="000000" w:themeColor="text1"/>
          <w:lang w:val="en-GB"/>
        </w:rPr>
        <w:t>in order</w:t>
      </w:r>
      <w:r w:rsidR="0093147D">
        <w:rPr>
          <w:rFonts w:cs="Times New Roman"/>
          <w:color w:val="000000" w:themeColor="text1"/>
          <w:lang w:val="en-GB"/>
        </w:rPr>
        <w:t xml:space="preserve"> to </w:t>
      </w:r>
      <w:r w:rsidR="001524BA">
        <w:rPr>
          <w:rFonts w:cs="Times New Roman"/>
          <w:color w:val="000000" w:themeColor="text1"/>
          <w:lang w:val="en-GB"/>
        </w:rPr>
        <w:t xml:space="preserve">better </w:t>
      </w:r>
      <w:r w:rsidR="0093147D">
        <w:rPr>
          <w:rFonts w:cs="Times New Roman"/>
          <w:color w:val="000000" w:themeColor="text1"/>
          <w:lang w:val="en-GB"/>
        </w:rPr>
        <w:t xml:space="preserve">understand the </w:t>
      </w:r>
      <w:r w:rsidR="001524BA">
        <w:rPr>
          <w:rFonts w:cs="Times New Roman"/>
          <w:color w:val="000000" w:themeColor="text1"/>
          <w:lang w:val="en-GB"/>
        </w:rPr>
        <w:t xml:space="preserve">apparent </w:t>
      </w:r>
      <w:r w:rsidR="0093147D">
        <w:rPr>
          <w:rFonts w:cs="Times New Roman"/>
          <w:color w:val="000000" w:themeColor="text1"/>
          <w:lang w:val="en-GB"/>
        </w:rPr>
        <w:t xml:space="preserve">differences </w:t>
      </w:r>
      <w:r w:rsidR="001524BA">
        <w:rPr>
          <w:rFonts w:cs="Times New Roman"/>
          <w:color w:val="000000" w:themeColor="text1"/>
          <w:lang w:val="en-GB"/>
        </w:rPr>
        <w:t xml:space="preserve">observed </w:t>
      </w:r>
      <w:r w:rsidR="00BF6CDE">
        <w:rPr>
          <w:rFonts w:cs="Times New Roman"/>
          <w:color w:val="000000" w:themeColor="text1"/>
          <w:lang w:val="en-GB"/>
        </w:rPr>
        <w:t>between</w:t>
      </w:r>
      <w:r w:rsidR="001524BA">
        <w:rPr>
          <w:rFonts w:cs="Times New Roman"/>
          <w:color w:val="000000" w:themeColor="text1"/>
          <w:lang w:val="en-GB"/>
        </w:rPr>
        <w:t xml:space="preserve"> </w:t>
      </w:r>
      <w:r w:rsidR="000C15D2">
        <w:rPr>
          <w:rFonts w:cs="Times New Roman"/>
          <w:color w:val="000000" w:themeColor="text1"/>
          <w:lang w:val="en-GB"/>
        </w:rPr>
        <w:t>approach</w:t>
      </w:r>
      <w:r w:rsidR="001524BA">
        <w:rPr>
          <w:rFonts w:cs="Times New Roman"/>
          <w:color w:val="000000" w:themeColor="text1"/>
          <w:lang w:val="en-GB"/>
        </w:rPr>
        <w:t>es.</w:t>
      </w:r>
      <w:r w:rsidR="0093147D">
        <w:rPr>
          <w:rFonts w:cs="Times New Roman"/>
          <w:color w:val="000000" w:themeColor="text1"/>
          <w:lang w:val="en-GB"/>
        </w:rPr>
        <w:t xml:space="preserve"> </w:t>
      </w:r>
      <w:r w:rsidR="00801A16">
        <w:rPr>
          <w:rFonts w:cs="Times New Roman"/>
          <w:color w:val="000000" w:themeColor="text1"/>
          <w:lang w:val="en-GB"/>
        </w:rPr>
        <w:t xml:space="preserve">Several </w:t>
      </w:r>
      <w:r w:rsidR="00D8169D">
        <w:rPr>
          <w:rFonts w:cs="Times New Roman"/>
          <w:color w:val="000000" w:themeColor="text1"/>
          <w:lang w:val="en-GB"/>
        </w:rPr>
        <w:t xml:space="preserve">studies have </w:t>
      </w:r>
      <w:r w:rsidR="00EB2811">
        <w:rPr>
          <w:rFonts w:cs="Times New Roman"/>
          <w:color w:val="000000" w:themeColor="text1"/>
          <w:lang w:val="en-GB"/>
        </w:rPr>
        <w:t xml:space="preserve">attempted </w:t>
      </w:r>
      <w:r w:rsidR="00D8169D">
        <w:rPr>
          <w:rFonts w:cs="Times New Roman"/>
          <w:color w:val="000000" w:themeColor="text1"/>
          <w:lang w:val="en-GB"/>
        </w:rPr>
        <w:t>to</w:t>
      </w:r>
      <w:r w:rsidR="003F2B61">
        <w:rPr>
          <w:rFonts w:cs="Times New Roman"/>
          <w:color w:val="000000" w:themeColor="text1"/>
          <w:lang w:val="en-GB"/>
        </w:rPr>
        <w:t xml:space="preserve"> reconcile estimates of WUE across scales </w:t>
      </w:r>
      <w:r w:rsidR="003F2B61">
        <w:rPr>
          <w:rFonts w:cs="Times New Roman"/>
          <w:color w:val="000000" w:themeColor="text1"/>
          <w:lang w:val="en-GB"/>
        </w:rPr>
        <w:fldChar w:fldCharType="begin" w:fldLock="1"/>
      </w:r>
      <w:r w:rsidR="00A108DF">
        <w:rPr>
          <w:rFonts w:cs="Times New Roman"/>
          <w:color w:val="000000" w:themeColor="text1"/>
          <w:lang w:val="en-GB"/>
        </w:rPr>
        <w:instrText>ADDIN CSL_CITATION {"citationItems":[{"id":"ITEM-1","itemData":{"DOI":"10.1111/nph.15384","ISSN":"0028646X","author":[{"dropping-particle":"","family":"Yi","given":"Koong","non-dropping-particle":"","parse-names":false,"suffix":""},{"dropping-particle":"","family":"Maxwell","given":"Justin T.","non-dropping-particle":"","parse-names":false,"suffix":""},{"dropping-particle":"","family":"Wenzel","given":"Matthew K.","non-dropping-particle":"","parse-names":false,"suffix":""},{"dropping-particle":"","family":"Roman","given":"D. Tyler","non-dropping-particle":"","parse-names":false,"suffix":""},{"dropping-particle":"","family":"Sauer","given":"Peter E.","non-dropping-particle":"","parse-names":false,"suffix":""},{"dropping-particle":"","family":"Phillips","given":"Richard P.","non-dropping-particle":"","parse-names":false,"suffix":""},{"dropping-particle":"","family":"Novick","given":"Kimberly A.","non-dropping-particle":"","parse-names":false,"suffix":""}],"container-title":"New Phytologist","id":"ITEM-1","issued":{"date-parts":[["2018"]]},"title":"Linking variation in intrinsic water-use efficiency to isohydricity: a comparison at multiple spatiotemporal scales","type":"article-journal"},"uris":["http://www.mendeley.com/documents/?uuid=30b78e09-bb18-40a8-bf21-52b06bb8047d"]},{"id":"ITEM-2","itemData":{"DOI":"10.1007/s00442-014-3027-2","ISBN":"0029-8549","ISSN":"00298549","PMID":"25085444","abstract":"Water-use efficiency (WUE), thought to be a relevant trait for productivity and adaptation to water-limited environments, was estimated for three different ecosystems on the Mediterranean island of Pianosa: Mediterranean macchia (SMM), transition (STR) and abandoned agricultural (SAA) ecosystems, representing a successional series. Three independent approaches were used to study WUE: eddy covariance measurements, C isotope composition of ecosystem respired CO2, and C isotope discrimination (Δ) of leaf material (dry matter and soluble sugars). Seasonal variations in C-water relations and energy fluxes, compared in SMM and in SAA, were primarily dependent on the specific composition of each plant community. WUE of gross primary productivity was higher in SMM than in SAA at the beginning of the dry season. Both structural and fast-turnover leaf material were, on average, more enriched in (13)C in SMM than SAA, indicating relatively higher stomatal control and WUE for the long-lived macchia species. This pattern corresponded to (13)C-enriched respired CO2 in SMM compared to the other ecosystems. Conversely, most of the annual herbaceous SAA species (terophytes) showed a drought-escaping strategy, with relatively high stomatal conductance and low WUE. An ecosystem-integrated Δ value was weighted for each ecosystem on the abundance of different life forms, classified according to Raunkiar's system. Agreement was found between ecosystem WUE calculated using eddy covariance and those estimated using integrated Δ approaches. Comparing the isotopic methods, Δ of leaf soluble sugars provided the most reliable proxy for short-term changes in photosynthetic discrimination and associated shifts in integrated canopy-level WUE along the successional series.","author":[{"dropping-particle":"","family":"Scartazza","given":"Andrea","non-dropping-particle":"","parse-names":false,"suffix":""},{"dropping-particle":"","family":"Vaccari","given":"Francesco Primo","non-dropping-particle":"","parse-names":false,"suffix":""},{"dropping-particle":"","family":"Bertolini","given":"Teresa","non-dropping-particle":"","parse-names":false,"suffix":""},{"dropping-particle":"","family":"Tommasi","given":"Paul","non-dropping-particle":"Di","parse-names":false,"suffix":""},{"dropping-particle":"","family":"Lauteri","given":"Marco","non-dropping-particle":"","parse-names":false,"suffix":""},{"dropping-particle":"","family":"Miglietta","given":"Franco","non-dropping-particle":"","parse-names":false,"suffix":""},{"dropping-particle":"","family":"Brugnoli","given":"Enrico","non-dropping-particle":"","parse-names":false,"suffix":""}],"container-title":"Oecologia","id":"ITEM-2","issue":"2","issued":{"date-parts":[["2014"]]},"page":"581-594","title":"Comparing integrated stable isotope and eddy covariance estimates of water-use efficiency on a Mediterranean successional sequence","type":"article-journal","volume":"176"},"uris":["http://www.mendeley.com/documents/?uuid=0ed0902e-4401-4e63-849e-5deb4dd8b617"]},{"id":"ITEM-3","itemData":{"DOI":"10.1002/2016JG003415","ISBN":"2169-8953","ISSN":"21698961","abstract":"Understanding relations among forest carbon (C) uptake and water use is critical for predicting forest-climate interactions. Although the basic properties of tree-water relations have long been known, our understanding of broader-scale patterns is limited by several factors including (1) incomplete understanding of drivers of change in coupled C and water fluxes and water use efficiency (WUE), (2) difficulty in reconciling WUE estimates obtained at different scales, and (3) uncertainty in how evapotranspiration (ET) and WUE vary with other important resources such as nitrogen (N). To address these issues, we examined ET, gross primary production (GPP), and WUE at 11 AmeriFlux sites across North America. Our analysis spanned leaf and ecosystem scales and included foliar δ13C, δ18O, and %N measurements; eddy covariance estimates of GPP and ET; and remotely sensed estimates of canopy %N. We used flux data to derive ecosystem WUE (WUEe) and foliar δ13C to infer intrinsic WUE. We found that GPP, ET, and WUEe scaled with canopy %N, even when environmental variables were considered, and discuss the implications of these relationships for forest-atmosphere-climate interactions. We observed opposing patterns of WUE at leaf and ecosystem scales and examined uncertainties to help explain these opposing patterns. Nevertheless, significant relationship between C isotope-derived ci/ca and GPP indicates that δ13C can be an effective predictor of forest GPP. Finally, we show that incorporating species functional traits—wood anatomy, hydraulic strategy, and foliar %N—into a conceptual model improved the interpretation of Δ13C and δ18O vis-à-vis leaf to canopy water-carbon fluxes.","author":[{"dropping-particle":"","family":"Guerrieri","given":"Rossella","non-dropping-particle":"","parse-names":false,"suffix":""},{"dropping-particle":"","family":"Lepine","given":"Lucie","non-dropping-particle":"","parse-names":false,"suffix":""},{"dropping-particle":"","family":"Asbjornsen","given":"Heidi","non-dropping-particle":"","parse-names":false,"suffix":""},{"dropping-particle":"","family":"Xiao","given":"Jingfeng","non-dropping-particle":"","parse-names":false,"suffix":""},{"dropping-particle":"V.","family":"Ollinger","given":"Scott","non-dropping-particle":"","parse-names":false,"suffix":""}],"container-title":"Journal of Geophysical Research: Biogeosciences","id":"ITEM-3","issue":"10","issued":{"date-parts":[["2016"]]},"page":"2610-2629","title":"Evapotranspiration and water use efficiency in relation to climate and canopy nitrogen in U.S. forests","type":"article-journal","volume":"121"},"uris":["http://www.mendeley.com/documents/?uuid=597fc7a9-147f-4b09-a5b1-4efbed481317"]},{"id":"ITEM-4","itemData":{"DOI":"10.1111/nph.14626","ISBN":"1469-8137","ISSN":"14698137","abstract":"The terrestrial carbon and water cycles are intimately linked: the carbon cycle is driven by photosynthesis, while the water balance is dominated by transpiration, and both fluxes are controlled by plant stomatal conductance. The ratio between these fluxes, the plant water- use efficiency (WUE), is a useful indicator of vegetation function. ? WUE can be estimated using several techniques, including leaf gas exchange, stable isotope discrimination, and eddy covariance. Here we compare global compilations of data for each of these three techniques. ? We show that patterns of variation in WUE across plant functional types (PFTs) are not consistent among the three datasets. Key discrepancies include the following: leaf-scale data indicate differences between needleleaf and broadleaf forests, but ecosystem-scale data do not; leaf-scale data indicate differences between C3 and C4 species, whereas at ecosystem scale there is a difference between C3 and C4 crops but not grasslands; and isotope-based estimates of WUE are higher than estimates based on gas exchange for most PFTs. ? Our study quantifies the uncertainty associated with different methods of measuring WUE, indicates potential for bias when using WUE measures to parameterize or validate models, and indicates key research directions needed to reconcile alternative measures of WUE.","author":[{"dropping-particle":"","family":"Medlyn","given":"B. E.","non-dropping-particle":"","parse-names":false,"suffix":""},{"dropping-particle":"","family":"Kauwe","given":"M. G.","non-dropping-particle":"De","parse-names":false,"suffix":""},{"dropping-particle":"","family":"Lin","given":"Yan Shih","non-dropping-particle":"","parse-names":false,"suffix":""},{"dropping-particle":"","family":"Knauer","given":"Jürgen","non-dropping-particle":"","parse-names":false,"suffix":""},{"dropping-particle":"","family":"Duursma","given":"Remko A.","non-dropping-particle":"","parse-names":false,"suffix":""},{"dropping-particle":"","family":"Williams","given":"Christopher A.","non-dropping-particle":"","parse-names":false,"suffix":""},{"dropping-particle":"","family":"Arneth","given":"Almut","non-dropping-particle":"","parse-names":false,"suffix":""},{"dropping-particle":"","family":"Clement","given":"Rob","non-dropping-particle":"","parse-names":false,"suffix":""},{"dropping-particle":"","family":"Isaac","given":"Peter","non-dropping-particle":"","parse-names":false,"suffix":""},{"dropping-particle":"","family":"Limousin","given":"Jean Marc","non-dropping-particle":"","parse-names":false,"suffix":""},{"dropping-particle":"","family":"Linderson","given":"Maj Lena","non-dropping-particle":"","parse-names":false,"suffix":""},{"dropping-particle":"","family":"Meir","given":"Patrick","non-dropping-particle":"","parse-names":false,"suffix":""},{"dropping-particle":"","family":"Martin-Stpaul","given":"Nicolas","non-dropping-particle":"","parse-names":false,"suffix":""},{"dropping-particle":"","family":"Wingate","given":"Lisa","non-dropping-particle":"","parse-names":false,"suffix":""}],"container-title":"New Phytologist","id":"ITEM-4","issued":{"date-parts":[["2017"]]},"title":"How do leaf and ecosystem measures of water-use efficiency compare?","type":"article-newspaper"},"uris":["http://www.mendeley.com/documents/?uuid=3fd1aacd-7a77-4d11-93fe-30651c33632d"]}],"mendeley":{"formattedCitation":"(Guerrieri, Lepine, Asbjornsen, Xiao, &amp; Ollinger, 2016; Medlyn et al., 2017; Scartazza et al., 2014; Yi et al., 2018)","manualFormatting":"(e.g. Guerrieri et al., 2016; Medlyn et al., 2017; Scartazza et al., 2014; Yi et al., 2018)","plainTextFormattedCitation":"(Guerrieri, Lepine, Asbjornsen, Xiao, &amp; Ollinger, 2016; Medlyn et al., 2017; Scartazza et al., 2014; Yi et al., 2018)","previouslyFormattedCitation":"(Guerrieri, Lepine, Asbjornsen, Xiao, &amp; Ollinger, 2016; Medlyn et al., 2017; Scartazza et al., 2014; Yi et al., 2018)"},"properties":{"noteIndex":0},"schema":"https://github.com/citation-style-language/schema/raw/master/csl-citation.json"}</w:instrText>
      </w:r>
      <w:r w:rsidR="003F2B61">
        <w:rPr>
          <w:rFonts w:cs="Times New Roman"/>
          <w:color w:val="000000" w:themeColor="text1"/>
          <w:lang w:val="en-GB"/>
        </w:rPr>
        <w:fldChar w:fldCharType="separate"/>
      </w:r>
      <w:r w:rsidR="00407A0C" w:rsidRPr="00407A0C">
        <w:rPr>
          <w:rFonts w:cs="Times New Roman"/>
          <w:noProof/>
          <w:color w:val="000000" w:themeColor="text1"/>
          <w:lang w:val="en-GB"/>
        </w:rPr>
        <w:t>(</w:t>
      </w:r>
      <w:r w:rsidR="00407A0C">
        <w:rPr>
          <w:rFonts w:cs="Times New Roman"/>
          <w:noProof/>
          <w:color w:val="000000" w:themeColor="text1"/>
          <w:lang w:val="en-GB"/>
        </w:rPr>
        <w:t xml:space="preserve">e.g. </w:t>
      </w:r>
      <w:r w:rsidR="00407A0C" w:rsidRPr="00407A0C">
        <w:rPr>
          <w:rFonts w:cs="Times New Roman"/>
          <w:noProof/>
          <w:color w:val="000000" w:themeColor="text1"/>
          <w:lang w:val="en-GB"/>
        </w:rPr>
        <w:t>Guerrieri</w:t>
      </w:r>
      <w:r w:rsidR="00407A0C">
        <w:rPr>
          <w:rFonts w:cs="Times New Roman"/>
          <w:noProof/>
          <w:color w:val="000000" w:themeColor="text1"/>
          <w:lang w:val="en-GB"/>
        </w:rPr>
        <w:t xml:space="preserve"> et al.,</w:t>
      </w:r>
      <w:r w:rsidR="00407A0C" w:rsidRPr="00407A0C">
        <w:rPr>
          <w:rFonts w:cs="Times New Roman"/>
          <w:noProof/>
          <w:color w:val="000000" w:themeColor="text1"/>
          <w:lang w:val="en-GB"/>
        </w:rPr>
        <w:t xml:space="preserve"> 2016; Medlyn et al., 2017; Scartazza et al., 2014; Yi et al., 2018)</w:t>
      </w:r>
      <w:r w:rsidR="003F2B61">
        <w:rPr>
          <w:rFonts w:cs="Times New Roman"/>
          <w:color w:val="000000" w:themeColor="text1"/>
          <w:lang w:val="en-GB"/>
        </w:rPr>
        <w:fldChar w:fldCharType="end"/>
      </w:r>
      <w:r w:rsidR="003F2B61">
        <w:rPr>
          <w:rFonts w:cs="Times New Roman"/>
          <w:color w:val="000000" w:themeColor="text1"/>
          <w:lang w:val="en-GB"/>
        </w:rPr>
        <w:t>, but, to our knowledge</w:t>
      </w:r>
      <w:r w:rsidR="00C574B1">
        <w:rPr>
          <w:rFonts w:cs="Times New Roman"/>
          <w:color w:val="000000" w:themeColor="text1"/>
          <w:lang w:val="en-GB"/>
        </w:rPr>
        <w:t>,</w:t>
      </w:r>
      <w:r w:rsidR="003F2B61">
        <w:rPr>
          <w:rFonts w:cs="Times New Roman"/>
          <w:color w:val="000000" w:themeColor="text1"/>
          <w:lang w:val="en-GB"/>
        </w:rPr>
        <w:t xml:space="preserve"> </w:t>
      </w:r>
      <w:r w:rsidR="00397939">
        <w:rPr>
          <w:rFonts w:cs="Times New Roman"/>
          <w:color w:val="000000" w:themeColor="text1"/>
          <w:lang w:val="en-GB"/>
        </w:rPr>
        <w:t xml:space="preserve">no study has yet compared </w:t>
      </w:r>
      <w:r w:rsidR="00C17A18">
        <w:rPr>
          <w:rFonts w:cs="Times New Roman"/>
          <w:color w:val="000000" w:themeColor="text1"/>
          <w:lang w:val="en-GB"/>
        </w:rPr>
        <w:t>trend estimates</w:t>
      </w:r>
      <w:r w:rsidR="00495714">
        <w:rPr>
          <w:rFonts w:cs="Times New Roman"/>
          <w:color w:val="000000" w:themeColor="text1"/>
          <w:lang w:val="en-GB"/>
        </w:rPr>
        <w:t xml:space="preserve"> from different scales</w:t>
      </w:r>
      <w:r w:rsidR="003F2B61">
        <w:rPr>
          <w:rFonts w:cs="Times New Roman"/>
          <w:color w:val="000000" w:themeColor="text1"/>
          <w:lang w:val="en-GB"/>
        </w:rPr>
        <w:t>; most research ha</w:t>
      </w:r>
      <w:r w:rsidR="00EB2811">
        <w:rPr>
          <w:rFonts w:cs="Times New Roman"/>
          <w:color w:val="000000" w:themeColor="text1"/>
          <w:lang w:val="en-GB"/>
        </w:rPr>
        <w:t>s</w:t>
      </w:r>
      <w:r w:rsidR="003F2B61">
        <w:rPr>
          <w:rFonts w:cs="Times New Roman"/>
          <w:color w:val="000000" w:themeColor="text1"/>
          <w:lang w:val="en-GB"/>
        </w:rPr>
        <w:t xml:space="preserve"> addressed a single scale of investigation. </w:t>
      </w:r>
      <w:r w:rsidR="00DD3A0F">
        <w:rPr>
          <w:rFonts w:cs="Times New Roman"/>
          <w:color w:val="000000" w:themeColor="text1"/>
          <w:lang w:val="en-GB"/>
        </w:rPr>
        <w:t>T</w:t>
      </w:r>
      <w:r w:rsidR="00627D27">
        <w:rPr>
          <w:rFonts w:cs="Times New Roman"/>
          <w:color w:val="000000" w:themeColor="text1"/>
          <w:lang w:val="en-GB"/>
        </w:rPr>
        <w:t>h</w:t>
      </w:r>
      <w:r w:rsidR="00373819">
        <w:rPr>
          <w:rFonts w:cs="Times New Roman"/>
          <w:color w:val="000000" w:themeColor="text1"/>
          <w:lang w:val="en-GB"/>
        </w:rPr>
        <w:t xml:space="preserve">ere is still </w:t>
      </w:r>
      <w:r w:rsidR="00032193">
        <w:rPr>
          <w:rFonts w:cs="Times New Roman"/>
          <w:color w:val="000000" w:themeColor="text1"/>
          <w:lang w:val="en-GB"/>
        </w:rPr>
        <w:t>a</w:t>
      </w:r>
      <w:r w:rsidR="00F0537E" w:rsidRPr="00A7735A">
        <w:rPr>
          <w:rFonts w:cs="Times New Roman"/>
          <w:color w:val="000000" w:themeColor="text1"/>
          <w:lang w:val="en-GB"/>
        </w:rPr>
        <w:t xml:space="preserve"> challenge </w:t>
      </w:r>
      <w:r w:rsidR="00627D27">
        <w:rPr>
          <w:rFonts w:cs="Times New Roman"/>
          <w:color w:val="000000" w:themeColor="text1"/>
          <w:lang w:val="en-GB"/>
        </w:rPr>
        <w:t xml:space="preserve">in bridging observational datasets from </w:t>
      </w:r>
      <w:r w:rsidR="00627D27" w:rsidRPr="00A7735A">
        <w:rPr>
          <w:rFonts w:cs="Times New Roman"/>
          <w:color w:val="000000" w:themeColor="text1"/>
          <w:lang w:val="en-GB"/>
        </w:rPr>
        <w:t xml:space="preserve">multiple spatial and temporal scales </w:t>
      </w:r>
      <w:r w:rsidR="00D37C0B">
        <w:rPr>
          <w:rFonts w:cs="Times New Roman"/>
          <w:color w:val="000000" w:themeColor="text1"/>
          <w:lang w:val="en-GB"/>
        </w:rPr>
        <w:t>to</w:t>
      </w:r>
      <w:r w:rsidR="00F0537E" w:rsidRPr="00A7735A">
        <w:rPr>
          <w:rFonts w:cs="Times New Roman"/>
          <w:color w:val="000000" w:themeColor="text1"/>
          <w:lang w:val="en-GB"/>
        </w:rPr>
        <w:t xml:space="preserve"> captur</w:t>
      </w:r>
      <w:r w:rsidR="00D37C0B">
        <w:rPr>
          <w:rFonts w:cs="Times New Roman"/>
          <w:color w:val="000000" w:themeColor="text1"/>
          <w:lang w:val="en-GB"/>
        </w:rPr>
        <w:t>e</w:t>
      </w:r>
      <w:r w:rsidR="00F0537E" w:rsidRPr="00A7735A">
        <w:rPr>
          <w:rFonts w:cs="Times New Roman"/>
          <w:color w:val="000000" w:themeColor="text1"/>
          <w:lang w:val="en-GB"/>
        </w:rPr>
        <w:t xml:space="preserve"> </w:t>
      </w:r>
      <w:r w:rsidR="009F78E2">
        <w:rPr>
          <w:rFonts w:cs="Times New Roman"/>
          <w:color w:val="000000" w:themeColor="text1"/>
          <w:lang w:val="en-GB"/>
        </w:rPr>
        <w:t xml:space="preserve">long-term changes in </w:t>
      </w:r>
      <w:r w:rsidR="00B33881">
        <w:rPr>
          <w:rFonts w:cs="Times New Roman"/>
          <w:color w:val="000000" w:themeColor="text1"/>
          <w:lang w:val="en-GB"/>
        </w:rPr>
        <w:t>WUE</w:t>
      </w:r>
      <w:r w:rsidR="005F7C52">
        <w:rPr>
          <w:rFonts w:cs="Times New Roman"/>
          <w:color w:val="000000" w:themeColor="text1"/>
          <w:lang w:val="en-GB"/>
        </w:rPr>
        <w:t xml:space="preserve"> </w:t>
      </w:r>
      <w:r w:rsidR="00184386">
        <w:rPr>
          <w:rFonts w:cs="Times New Roman"/>
          <w:color w:val="000000" w:themeColor="text1"/>
          <w:lang w:val="en-GB"/>
        </w:rPr>
        <w:t>under a changing climate</w:t>
      </w:r>
      <w:r w:rsidR="00025330">
        <w:rPr>
          <w:rFonts w:cs="Times New Roman"/>
          <w:color w:val="000000" w:themeColor="text1"/>
          <w:lang w:val="en-GB"/>
        </w:rPr>
        <w:t>.</w:t>
      </w:r>
    </w:p>
    <w:p w14:paraId="692B91A6" w14:textId="091D60AD" w:rsidR="00FC581D" w:rsidRPr="00FC581D" w:rsidRDefault="00E95498">
      <w:pPr>
        <w:pStyle w:val="Body"/>
        <w:spacing w:before="240" w:line="360" w:lineRule="auto"/>
        <w:jc w:val="both"/>
        <w:rPr>
          <w:rFonts w:cs="Times New Roman"/>
        </w:rPr>
      </w:pPr>
      <w:r>
        <w:rPr>
          <w:rFonts w:cs="Times New Roman"/>
        </w:rPr>
        <w:t xml:space="preserve">This paper reviews the causes of variations in observed and modelled historical trends in WUE </w:t>
      </w:r>
      <w:r w:rsidR="00B33881">
        <w:rPr>
          <w:rFonts w:cs="Times New Roman"/>
        </w:rPr>
        <w:t>across scales</w:t>
      </w:r>
      <w:r w:rsidR="00896585">
        <w:rPr>
          <w:rFonts w:cs="Times New Roman"/>
        </w:rPr>
        <w:t xml:space="preserve">, emphasizing that differences may not only be driven </w:t>
      </w:r>
      <w:r w:rsidR="00197E33">
        <w:rPr>
          <w:rFonts w:cs="Times New Roman"/>
        </w:rPr>
        <w:t>by</w:t>
      </w:r>
      <w:r w:rsidR="00896585">
        <w:rPr>
          <w:rFonts w:cs="Times New Roman"/>
        </w:rPr>
        <w:t xml:space="preserve"> the varying impacts of environmental factors on WUE at the different observational scales, but </w:t>
      </w:r>
      <w:r w:rsidR="00957F8A">
        <w:rPr>
          <w:rFonts w:cs="Times New Roman"/>
        </w:rPr>
        <w:t>may also be</w:t>
      </w:r>
      <w:r w:rsidR="0085637C">
        <w:rPr>
          <w:rFonts w:cs="Times New Roman"/>
        </w:rPr>
        <w:t xml:space="preserve"> </w:t>
      </w:r>
      <w:r w:rsidR="00197E33">
        <w:rPr>
          <w:rFonts w:cs="Times New Roman"/>
        </w:rPr>
        <w:t>a consequence of</w:t>
      </w:r>
      <w:r w:rsidR="00896585">
        <w:rPr>
          <w:rFonts w:cs="Times New Roman"/>
        </w:rPr>
        <w:t xml:space="preserve"> the </w:t>
      </w:r>
      <w:r w:rsidR="0085637C">
        <w:rPr>
          <w:rFonts w:cs="Times New Roman"/>
        </w:rPr>
        <w:t xml:space="preserve">large </w:t>
      </w:r>
      <w:r w:rsidR="00896585">
        <w:rPr>
          <w:rFonts w:cs="Times New Roman"/>
        </w:rPr>
        <w:t>uncertainties related to the dataset</w:t>
      </w:r>
      <w:r w:rsidR="00197E33">
        <w:rPr>
          <w:rFonts w:cs="Times New Roman"/>
        </w:rPr>
        <w:t xml:space="preserve"> or the model considered</w:t>
      </w:r>
      <w:r>
        <w:rPr>
          <w:rFonts w:cs="Times New Roman"/>
        </w:rPr>
        <w:t xml:space="preserve">. </w:t>
      </w:r>
      <w:r w:rsidR="00CB2523" w:rsidRPr="00CB2523">
        <w:rPr>
          <w:rFonts w:cs="Times New Roman"/>
        </w:rPr>
        <w:t xml:space="preserve">We initially compare the various definitions and measurement techniques applied to infer long-term changes in WUE. We then present a synthesis and interpretation of the discrepancies observed within and across scales, including methodological uncertainties. Lastly, we discuss the performance of </w:t>
      </w:r>
      <w:r w:rsidR="00C03309">
        <w:rPr>
          <w:rFonts w:cs="Times New Roman"/>
          <w:color w:val="000000" w:themeColor="text1"/>
        </w:rPr>
        <w:t xml:space="preserve">vegetation models </w:t>
      </w:r>
      <w:r w:rsidR="00CB2523" w:rsidRPr="00CB2523">
        <w:rPr>
          <w:rFonts w:cs="Times New Roman"/>
        </w:rPr>
        <w:t xml:space="preserve">to reproduce </w:t>
      </w:r>
      <w:r w:rsidR="00D75479">
        <w:rPr>
          <w:rFonts w:cs="Times New Roman"/>
        </w:rPr>
        <w:t xml:space="preserve">observed </w:t>
      </w:r>
      <w:r w:rsidR="00CB2523" w:rsidRPr="00CB2523">
        <w:rPr>
          <w:rFonts w:cs="Times New Roman"/>
        </w:rPr>
        <w:t xml:space="preserve">changes in WUE at the different scales of investigation, and suggest ways in which both numerical modelling and the interpretation of the data could be put on a firmer basis. </w:t>
      </w:r>
      <w:r w:rsidR="00A73245">
        <w:rPr>
          <w:rFonts w:cs="Times New Roman"/>
        </w:rPr>
        <w:t xml:space="preserve">Our </w:t>
      </w:r>
      <w:r w:rsidR="00DB1990">
        <w:rPr>
          <w:rFonts w:cs="Times New Roman"/>
        </w:rPr>
        <w:t xml:space="preserve">aim </w:t>
      </w:r>
      <w:r w:rsidR="00A73245">
        <w:rPr>
          <w:rFonts w:cs="Times New Roman"/>
        </w:rPr>
        <w:t xml:space="preserve">is to </w:t>
      </w:r>
      <w:r w:rsidR="00A73245">
        <w:rPr>
          <w:rFonts w:cs="Times New Roman"/>
          <w:color w:val="000000" w:themeColor="text1"/>
        </w:rPr>
        <w:t xml:space="preserve">provide </w:t>
      </w:r>
      <w:r w:rsidR="00BC49DD">
        <w:rPr>
          <w:rFonts w:cs="Times New Roman"/>
          <w:color w:val="000000" w:themeColor="text1"/>
        </w:rPr>
        <w:t xml:space="preserve">recommendations </w:t>
      </w:r>
      <w:r w:rsidR="00BC49DD" w:rsidRPr="005D18D0">
        <w:t xml:space="preserve">for improving </w:t>
      </w:r>
      <w:r w:rsidR="00A73245">
        <w:t xml:space="preserve">observation-based </w:t>
      </w:r>
      <w:r w:rsidR="00BC49DD" w:rsidRPr="005D18D0">
        <w:t>estimate</w:t>
      </w:r>
      <w:r w:rsidR="00BC49DD">
        <w:t>s</w:t>
      </w:r>
      <w:r w:rsidR="007C4D73">
        <w:t xml:space="preserve"> of WUE</w:t>
      </w:r>
      <w:r w:rsidR="00BC49DD" w:rsidRPr="005D18D0">
        <w:t xml:space="preserve">, </w:t>
      </w:r>
      <w:r w:rsidR="00A73245">
        <w:t xml:space="preserve">which </w:t>
      </w:r>
      <w:r w:rsidR="00BC49DD">
        <w:t>will</w:t>
      </w:r>
      <w:r w:rsidR="00BC49DD" w:rsidRPr="005D18D0">
        <w:t xml:space="preserve"> better inform</w:t>
      </w:r>
      <w:r w:rsidR="00A73245">
        <w:t xml:space="preserve"> and therefore improve the representation of WUE in </w:t>
      </w:r>
      <w:r w:rsidR="00A03550">
        <w:t>vegetation model</w:t>
      </w:r>
      <w:r w:rsidR="00BC49DD" w:rsidRPr="005D18D0">
        <w:t>s</w:t>
      </w:r>
      <w:r w:rsidR="00DB1990" w:rsidRPr="00BD2160">
        <w:rPr>
          <w:rFonts w:cs="Times New Roman"/>
        </w:rPr>
        <w:t>.</w:t>
      </w:r>
      <w:r w:rsidR="000F524C">
        <w:rPr>
          <w:rFonts w:cs="Times New Roman"/>
        </w:rPr>
        <w:t xml:space="preserve"> </w:t>
      </w:r>
    </w:p>
    <w:p w14:paraId="54953F80" w14:textId="11BD327A" w:rsidR="00233398" w:rsidRPr="007A77B2" w:rsidRDefault="006154F1" w:rsidP="007A77B2">
      <w:pPr>
        <w:pStyle w:val="Body"/>
        <w:numPr>
          <w:ilvl w:val="0"/>
          <w:numId w:val="29"/>
        </w:numPr>
        <w:spacing w:before="240" w:line="360" w:lineRule="auto"/>
        <w:jc w:val="both"/>
        <w:rPr>
          <w:rFonts w:cs="Times New Roman"/>
          <w:b/>
          <w:color w:val="000000" w:themeColor="text1"/>
          <w:lang w:val="en-GB"/>
        </w:rPr>
      </w:pPr>
      <w:r w:rsidRPr="007A77B2">
        <w:rPr>
          <w:rFonts w:cs="Times New Roman"/>
          <w:b/>
          <w:color w:val="000000" w:themeColor="text1"/>
          <w:lang w:val="en-GB"/>
        </w:rPr>
        <w:t>E</w:t>
      </w:r>
      <w:r w:rsidR="003B6E9D" w:rsidRPr="007A77B2">
        <w:rPr>
          <w:rFonts w:cs="Times New Roman"/>
          <w:b/>
          <w:color w:val="000000" w:themeColor="text1"/>
          <w:lang w:val="en-GB"/>
        </w:rPr>
        <w:t>stimati</w:t>
      </w:r>
      <w:r w:rsidR="001F5DB1" w:rsidRPr="007A77B2">
        <w:rPr>
          <w:rFonts w:cs="Times New Roman"/>
          <w:b/>
          <w:color w:val="000000" w:themeColor="text1"/>
          <w:lang w:val="en-GB"/>
        </w:rPr>
        <w:t>ng</w:t>
      </w:r>
      <w:r w:rsidRPr="007A77B2">
        <w:rPr>
          <w:rFonts w:cs="Times New Roman"/>
          <w:b/>
          <w:color w:val="000000" w:themeColor="text1"/>
          <w:lang w:val="en-GB"/>
        </w:rPr>
        <w:t xml:space="preserve"> </w:t>
      </w:r>
      <w:r w:rsidR="00A059B8" w:rsidRPr="007A77B2">
        <w:rPr>
          <w:rFonts w:cs="Times New Roman"/>
          <w:b/>
          <w:color w:val="000000" w:themeColor="text1"/>
          <w:lang w:val="en-GB"/>
        </w:rPr>
        <w:t>historical</w:t>
      </w:r>
      <w:r w:rsidR="005E772D" w:rsidRPr="007A77B2">
        <w:rPr>
          <w:rFonts w:cs="Times New Roman"/>
          <w:b/>
          <w:color w:val="000000" w:themeColor="text1"/>
          <w:lang w:val="en-GB"/>
        </w:rPr>
        <w:t xml:space="preserve"> trends in </w:t>
      </w:r>
      <w:r w:rsidRPr="007A77B2">
        <w:rPr>
          <w:rFonts w:cs="Times New Roman"/>
          <w:b/>
          <w:color w:val="000000" w:themeColor="text1"/>
          <w:lang w:val="en-GB"/>
        </w:rPr>
        <w:t>water use efficiency</w:t>
      </w:r>
      <w:r w:rsidR="001F5DB1" w:rsidRPr="007A77B2">
        <w:rPr>
          <w:rFonts w:cs="Times New Roman"/>
          <w:b/>
          <w:color w:val="000000" w:themeColor="text1"/>
          <w:lang w:val="en-GB"/>
        </w:rPr>
        <w:t xml:space="preserve"> at the leaf v</w:t>
      </w:r>
      <w:r w:rsidR="00424DB4">
        <w:rPr>
          <w:rFonts w:cs="Times New Roman"/>
          <w:b/>
          <w:color w:val="000000" w:themeColor="text1"/>
          <w:lang w:val="en-GB"/>
        </w:rPr>
        <w:t>ersu</w:t>
      </w:r>
      <w:r w:rsidR="001F5DB1" w:rsidRPr="007A77B2">
        <w:rPr>
          <w:rFonts w:cs="Times New Roman"/>
          <w:b/>
          <w:color w:val="000000" w:themeColor="text1"/>
          <w:lang w:val="en-GB"/>
        </w:rPr>
        <w:t>s ecosystem scale</w:t>
      </w:r>
    </w:p>
    <w:p w14:paraId="61106C2C" w14:textId="47EE1976" w:rsidR="00E13BA8" w:rsidRDefault="00316A84" w:rsidP="00F13206">
      <w:pPr>
        <w:pStyle w:val="Body"/>
        <w:spacing w:before="240" w:line="360" w:lineRule="auto"/>
        <w:jc w:val="both"/>
        <w:rPr>
          <w:rFonts w:cs="Times New Roman"/>
        </w:rPr>
      </w:pPr>
      <w:r>
        <w:rPr>
          <w:rFonts w:cs="Times New Roman"/>
        </w:rPr>
        <w:t>W</w:t>
      </w:r>
      <w:r w:rsidR="003435E5">
        <w:rPr>
          <w:rFonts w:cs="Times New Roman"/>
        </w:rPr>
        <w:t xml:space="preserve">e focus attention on </w:t>
      </w:r>
      <w:r w:rsidR="003435E5" w:rsidRPr="00BD2160">
        <w:rPr>
          <w:rFonts w:cs="Times New Roman"/>
        </w:rPr>
        <w:t xml:space="preserve">stable </w:t>
      </w:r>
      <w:r w:rsidR="003435E5">
        <w:rPr>
          <w:rFonts w:cs="Times New Roman"/>
        </w:rPr>
        <w:t xml:space="preserve">carbon </w:t>
      </w:r>
      <w:r w:rsidR="003435E5" w:rsidRPr="00BD2160">
        <w:rPr>
          <w:rFonts w:cs="Times New Roman"/>
        </w:rPr>
        <w:t>isotopes</w:t>
      </w:r>
      <w:r w:rsidR="003435E5">
        <w:rPr>
          <w:rFonts w:cs="Times New Roman"/>
        </w:rPr>
        <w:t xml:space="preserve"> in tree-rings and</w:t>
      </w:r>
      <w:r w:rsidR="003435E5" w:rsidRPr="00BD2160">
        <w:rPr>
          <w:rFonts w:cs="Times New Roman"/>
        </w:rPr>
        <w:t xml:space="preserve"> eddy covariance </w:t>
      </w:r>
      <w:r w:rsidR="003435E5">
        <w:rPr>
          <w:rFonts w:cs="Times New Roman"/>
        </w:rPr>
        <w:t>flux measurements</w:t>
      </w:r>
      <w:r w:rsidR="003435E5" w:rsidRPr="00BD2160">
        <w:rPr>
          <w:rFonts w:cs="Times New Roman"/>
        </w:rPr>
        <w:t xml:space="preserve">. </w:t>
      </w:r>
      <w:r w:rsidR="003435E5">
        <w:rPr>
          <w:rFonts w:cs="Times New Roman"/>
        </w:rPr>
        <w:t>We do not include</w:t>
      </w:r>
      <w:r w:rsidR="003435E5" w:rsidRPr="00BD2160">
        <w:rPr>
          <w:rFonts w:cs="Times New Roman"/>
        </w:rPr>
        <w:t xml:space="preserve"> leaf gas</w:t>
      </w:r>
      <w:r>
        <w:rPr>
          <w:rFonts w:cs="Times New Roman"/>
        </w:rPr>
        <w:t>-</w:t>
      </w:r>
      <w:r w:rsidR="003435E5" w:rsidRPr="00BD2160">
        <w:rPr>
          <w:rFonts w:cs="Times New Roman"/>
        </w:rPr>
        <w:t>exchange data</w:t>
      </w:r>
      <w:r w:rsidR="003435E5">
        <w:rPr>
          <w:rFonts w:cs="Times New Roman"/>
        </w:rPr>
        <w:t xml:space="preserve"> because</w:t>
      </w:r>
      <w:r w:rsidR="003435E5" w:rsidRPr="00BD2160">
        <w:rPr>
          <w:rFonts w:cs="Times New Roman"/>
        </w:rPr>
        <w:t xml:space="preserve">, </w:t>
      </w:r>
      <w:r w:rsidR="003435E5">
        <w:rPr>
          <w:rFonts w:cs="Times New Roman"/>
        </w:rPr>
        <w:t>while they are</w:t>
      </w:r>
      <w:r w:rsidR="003435E5" w:rsidRPr="00BD2160">
        <w:rPr>
          <w:rFonts w:cs="Times New Roman"/>
        </w:rPr>
        <w:t xml:space="preserve"> commonly used to estimate </w:t>
      </w:r>
      <w:r w:rsidR="003435E5" w:rsidRPr="00BD2160">
        <w:rPr>
          <w:rFonts w:cs="Times New Roman"/>
          <w:color w:val="000000" w:themeColor="text1"/>
        </w:rPr>
        <w:t xml:space="preserve">instantaneous leaf-level water and carbon exchanges </w:t>
      </w:r>
      <w:r w:rsidR="003435E5" w:rsidRPr="00BD2160">
        <w:rPr>
          <w:color w:val="000000" w:themeColor="text1"/>
          <w:u w:color="FF0000"/>
        </w:rPr>
        <w:fldChar w:fldCharType="begin" w:fldLock="1"/>
      </w:r>
      <w:r w:rsidR="004B5BAC">
        <w:rPr>
          <w:rFonts w:cs="Times New Roman"/>
          <w:color w:val="000000" w:themeColor="text1"/>
          <w:u w:color="FF0000"/>
        </w:rPr>
        <w:instrText>ADDIN CSL_CITATION {"citationItems":[{"id":"ITEM-1","itemData":{"DOI":"10.1093/jxb/erg262","author":[{"dropping-particle":"","family":"Long","given":"S P","non-dropping-particle":"","parse-names":false,"suffix":""},{"dropping-particle":"","family":"Bernacchi","given":"C J","non-dropping-particle":"","parse-names":false,"suffix":""}],"container-title":"Journal of Experimental Botany","id":"ITEM-1","issue":"392","issued":{"date-parts":[["2003"]]},"page":"2393-2401","title":"Gas exchange measurements, what can they tell us about the underlying limitations to photosynthesis? Procedures and sources of error","type":"article-journal","volume":"54"},"uris":["http://www.mendeley.com/documents/?uuid=894caba0-a1a8-48e5-9515-d4d0fc33c168"]},{"id":"ITEM-2","itemData":{"DOI":"10.1111/j.1365-3040.2007.01647.x","ISBN":"0140-7791 (Print)","ISSN":"0140-7791","PMID":"17407538","author":[{"dropping-particle":"","family":"Wingate","given":"Lisa","non-dropping-particle":"","parse-names":false,"suffix":""},{"dropping-particle":"","family":"Seibt","given":"Ulli","non-dropping-particle":"","parse-names":false,"suffix":""},{"dropping-particle":"","family":"Moncrieff","given":"John B.","non-dropping-particle":"","parse-names":false,"suffix":""},{"dropping-particle":"","family":"Jarvis","given":"Paul G.","non-dropping-particle":"","parse-names":false,"suffix":""},{"dropping-particle":"","family":"Lloyd","given":"Jon","non-dropping-particle":"","parse-names":false,"suffix":""}],"container-title":"Plant, Cell &amp; Environment","id":"ITEM-2","issue":"5","issued":{"date-parts":[["2007"]]},"page":"600-616","title":"Variations in 13C discrimination during CO2 exchange by Picea sitchensis branches in the field","type":"article-journal","volume":"30"},"uris":["http://www.mendeley.com/documents/?uuid=8e96f7d8-0ddc-4afe-b908-b29b4b554a18","http://www.mendeley.com/documents/?uuid=995997ab-34e1-4246-ba34-f3076a50ebdf"]}],"mendeley":{"formattedCitation":"(Long &amp; Bernacchi, 2003; Wingate, Seibt, Moncrieff, Jarvis, &amp; Lloyd, 2007)","manualFormatting":"(Long &amp; Bernacchi, 2003; Wingate et al., 2007)","plainTextFormattedCitation":"(Long &amp; Bernacchi, 2003; Wingate, Seibt, Moncrieff, Jarvis, &amp; Lloyd, 2007)","previouslyFormattedCitation":"(Long &amp; Bernacchi, 2003; Wingate, Seibt, Moncrieff, Jarvis, &amp; Lloyd, 2007)"},"properties":{"noteIndex":0},"schema":"https://github.com/citation-style-language/schema/raw/master/csl-citation.json"}</w:instrText>
      </w:r>
      <w:r w:rsidR="003435E5" w:rsidRPr="00BD2160">
        <w:rPr>
          <w:color w:val="000000" w:themeColor="text1"/>
          <w:u w:color="FF0000"/>
        </w:rPr>
        <w:fldChar w:fldCharType="separate"/>
      </w:r>
      <w:r w:rsidR="003435E5" w:rsidRPr="002B024A">
        <w:rPr>
          <w:rFonts w:cs="Times New Roman"/>
          <w:noProof/>
          <w:color w:val="000000" w:themeColor="text1"/>
          <w:u w:color="FF0000"/>
        </w:rPr>
        <w:t>(Long &amp; Bernacchi, 2003; Wingate</w:t>
      </w:r>
      <w:r w:rsidR="00B525FB">
        <w:rPr>
          <w:rFonts w:cs="Times New Roman"/>
          <w:noProof/>
          <w:color w:val="000000" w:themeColor="text1"/>
          <w:u w:color="FF0000"/>
        </w:rPr>
        <w:t xml:space="preserve"> et al., </w:t>
      </w:r>
      <w:r w:rsidR="003435E5" w:rsidRPr="002B024A">
        <w:rPr>
          <w:rFonts w:cs="Times New Roman"/>
          <w:noProof/>
          <w:color w:val="000000" w:themeColor="text1"/>
          <w:u w:color="FF0000"/>
        </w:rPr>
        <w:t>2007)</w:t>
      </w:r>
      <w:r w:rsidR="003435E5" w:rsidRPr="00BD2160">
        <w:rPr>
          <w:color w:val="000000" w:themeColor="text1"/>
          <w:u w:color="FF0000"/>
        </w:rPr>
        <w:fldChar w:fldCharType="end"/>
      </w:r>
      <w:r w:rsidR="003435E5" w:rsidRPr="00BD2160">
        <w:rPr>
          <w:rFonts w:cs="Times New Roman"/>
        </w:rPr>
        <w:t xml:space="preserve">, </w:t>
      </w:r>
      <w:r w:rsidR="003435E5">
        <w:rPr>
          <w:rFonts w:cs="Times New Roman"/>
        </w:rPr>
        <w:t xml:space="preserve">they </w:t>
      </w:r>
      <w:r w:rsidR="003435E5" w:rsidRPr="00BD2160">
        <w:rPr>
          <w:rFonts w:cs="Times New Roman"/>
        </w:rPr>
        <w:t xml:space="preserve">are not useful for estimating long-term trends </w:t>
      </w:r>
      <w:r w:rsidR="003435E5" w:rsidRPr="00BD2160">
        <w:rPr>
          <w:rFonts w:cs="Times New Roman"/>
          <w:color w:val="000000" w:themeColor="text1"/>
        </w:rPr>
        <w:t xml:space="preserve">because of the practical impossibility of adequate long-term sampling. </w:t>
      </w:r>
      <w:r w:rsidR="003435E5">
        <w:rPr>
          <w:rFonts w:cs="Times New Roman"/>
        </w:rPr>
        <w:t>We do not include estimates of WUE based on remotely sensed</w:t>
      </w:r>
      <w:r w:rsidR="003435E5" w:rsidRPr="00BD2160">
        <w:rPr>
          <w:rFonts w:cs="Times New Roman"/>
        </w:rPr>
        <w:t xml:space="preserve"> vegetation greenness, </w:t>
      </w:r>
      <w:r w:rsidR="003435E5">
        <w:rPr>
          <w:rFonts w:cs="Times New Roman"/>
        </w:rPr>
        <w:t>carbon</w:t>
      </w:r>
      <w:r w:rsidR="003435E5" w:rsidRPr="00BD2160">
        <w:rPr>
          <w:rFonts w:cs="Times New Roman"/>
        </w:rPr>
        <w:t xml:space="preserve"> and </w:t>
      </w:r>
      <w:r w:rsidR="003435E5">
        <w:rPr>
          <w:rFonts w:cs="Times New Roman"/>
        </w:rPr>
        <w:t>water fluxes</w:t>
      </w:r>
      <w:r w:rsidR="003435E5" w:rsidRPr="00BD2160">
        <w:rPr>
          <w:rFonts w:cs="Times New Roman"/>
        </w:rPr>
        <w:t xml:space="preserve"> </w:t>
      </w:r>
      <w:r w:rsidR="003435E5">
        <w:fldChar w:fldCharType="begin" w:fldLock="1"/>
      </w:r>
      <w:r w:rsidR="004B5BAC">
        <w:rPr>
          <w:rFonts w:cs="Times New Roman"/>
        </w:rPr>
        <w:instrText>ADDIN CSL_CITATION {"citationItems":[{"id":"ITEM-1","itemData":{"DOI":"10.5194/hess-22-1317-2018","ISSN":"16077938","abstract":"&lt;p&gt;Accurate global gridded estimates of evapotranspiration (ET) are key to understanding water and energy budgets, as well as being required for model evaluation. Several gridded ET products have already been developed which differ in their data requirements, the approaches used to derive them and their estimates, yet it is not clear which provides the most reliable estimates. This paper presents a new global ET dataset and associated uncertainty with monthly temporal resolution for 2000&amp;amp;ndash;2009. Six existing gridded ET products are combined using a weighting approach trained by observational datasets from 159 FLUXNET sites. The weighting method is based on a technique that provides an analytically optimal linear combination of ET products compared to site data, and accounts for both the performance differences and error covariance between the participating ET products. We examine the performance of the weighting approach in several in-sample and out-of-sample tests that confirm that point-based estimates of flux towers provide information at the grid scale of these products. We also provide evidence that the weighted product performs better than its six constituent ET product members in three common metrics. Uncertainty in the ET estimate is derived by rescaling the spread of participating ET products so that their spread reflects the ability of the weighted mean estimate to match flux tower data. While issues in observational data and any common biases in participating ET datasets are limitations to the success of this approach, future datasets can easily be incorporated and enhance the derived product.&lt;/p&gt;","author":[{"dropping-particle":"","family":"Hobeichi","given":"Sanaa","non-dropping-particle":"","parse-names":false,"suffix":""},{"dropping-particle":"","family":"Abramowitz","given":"Gab","non-dropping-particle":"","parse-names":false,"suffix":""},{"dropping-particle":"","family":"Evans","given":"Jason","non-dropping-particle":"","parse-names":false,"suffix":""},{"dropping-particle":"","family":"Ukkola","given":"Anna","non-dropping-particle":"","parse-names":false,"suffix":""}],"container-title":"Hydrology and Earth System Sciences","id":"ITEM-1","issue":"2","issued":{"date-parts":[["2018"]]},"page":"1317-1336","title":"Derived Optimal Linear Combination Evapotranspiration (DOLCE): A global gridded synthesis et estimate","type":"article-journal","volume":"22"},"uris":["http://www.mendeley.com/documents/?uuid=a9b32da8-54e9-47ac-894b-50a1ff29c619"]},{"id":"ITEM-2","itemData":{"DOI":"10.1111/gcb.12652","ISBN":"1365-2486","ISSN":"13652486","PMID":"24909755","abstract":"Determining the spatial and temporal distribution of terrestrial gross primary production (GPP) is a critical step in closing the Earth's carbon budget. Dynamical global vegetation models (DGVMs) provide mechanistic insight into GPP variability but diverge in predicting the response to climate in poorly investigated regions. Recent advances in the remote sensing of solar-induced chlorophyll fluorescence (SIF) opens up a new possibility to provide direct global observational constraints for GPP. Here, we apply an optimal estimation approach to infer the global distribution of GPP from an ensemble of eight DGVMs constrained by global measurements of SIF from the Greenhouse Gases Observing SATellite (GOSAT). These estimates are compared to flux tower data in N. America, Europe, and tropical S. America, with careful consideration of scale differences between models, GOSAT, and flux towers. Assimilation of GOSAT SIF with DGVMs causes a redistribution of global productivity from northern latitudes to the tropics of 7-8 Pg C yr(-1) from 2010 to 2012, with reduced GPP in northern forests (~3.6 Pg C yr(-1) ) and enhanced GPP in tropical forests (~3.7 Pg C yr(-1) ). This leads to improvements in the structure of the seasonal cycle, including earlier dry season GPP loss and enhanced peak-to-trough GPP in tropical forests within the Amazon Basin and reduced growing season length in northern croplands and deciduous forests. Uncertainty in predicted GPP (estimated from the spread of DGVMs) is reduced by 40-70% during peak productivity suggesting the assimilation of GOSAT SIF with models is well-suited for benchmarking. We conclude that satellite fluorescence augurs a new opportunity to quantify the GPP response to climate drivers and the potential to constrain predictions of carbon cycle evolution.","author":[{"dropping-particle":"","family":"Parazoo","given":"Nicholas C.","non-dropping-particle":"","parse-names":false,"suffix":""},{"dropping-particle":"","family":"Bowman","given":"Kevin","non-dropping-particle":"","parse-names":false,"suffix":""},{"dropping-particle":"","family":"Fisher","given":"Joshua B.","non-dropping-particle":"","parse-names":false,"suffix":""},{"dropping-particle":"","family":"Frankenberg","given":"Christian","non-dropping-particle":"","parse-names":false,"suffix":""},{"dropping-particle":"","family":"Jones","given":"Dylan B.A.","non-dropping-particle":"","parse-names":false,"suffix":""},{"dropping-particle":"","family":"Cescatti","given":"Alessandro","non-dropping-particle":"","parse-names":false,"suffix":""},{"dropping-particle":"","family":"Pérez-Priego","given":"Óscar","non-dropping-particle":"","parse-names":false,"suffix":""},{"dropping-particle":"","family":"Wohlfahrt","given":"Georg","non-dropping-particle":"","parse-names":false,"suffix":""},{"dropping-particle":"","family":"Montagnani","given":"Leonardo","non-dropping-particle":"","parse-names":false,"suffix":""}],"container-title":"Global Change Biology","id":"ITEM-2","issue":"10","issued":{"date-parts":[["2014"]]},"page":"3103-3121","title":"Terrestrial gross primary production inferred from satellite fluorescence and vegetation models","type":"article-journal","volume":"20"},"uris":["http://www.mendeley.com/documents/?uuid=d48f7235-f53f-4f40-b58a-c096e6c20385"]}],"mendeley":{"formattedCitation":"(Hobeichi, Abramowitz, Evans, &amp; Ukkola, 2018; Parazoo et al., 2014)","manualFormatting":"(Hobeichi et al., 2018; Parazoo et al., 2014)","plainTextFormattedCitation":"(Hobeichi, Abramowitz, Evans, &amp; Ukkola, 2018; Parazoo et al., 2014)","previouslyFormattedCitation":"(Hobeichi, Abramowitz, Evans, &amp; Ukkola, 2018; Parazoo et al., 2014)"},"properties":{"noteIndex":0},"schema":"https://github.com/citation-style-language/schema/raw/master/csl-citation.json"}</w:instrText>
      </w:r>
      <w:r w:rsidR="003435E5">
        <w:fldChar w:fldCharType="separate"/>
      </w:r>
      <w:r w:rsidR="00031048" w:rsidRPr="00031048">
        <w:rPr>
          <w:rFonts w:cs="Times New Roman"/>
          <w:noProof/>
        </w:rPr>
        <w:t>(Hobeichi</w:t>
      </w:r>
      <w:r w:rsidR="004B5BAC">
        <w:rPr>
          <w:rFonts w:cs="Times New Roman"/>
          <w:noProof/>
        </w:rPr>
        <w:t xml:space="preserve"> et al.,</w:t>
      </w:r>
      <w:r w:rsidR="00031048" w:rsidRPr="00031048">
        <w:rPr>
          <w:rFonts w:cs="Times New Roman"/>
          <w:noProof/>
        </w:rPr>
        <w:t xml:space="preserve"> 2018; Parazoo et al., 2014)</w:t>
      </w:r>
      <w:r w:rsidR="003435E5">
        <w:fldChar w:fldCharType="end"/>
      </w:r>
      <w:r w:rsidR="003435E5" w:rsidRPr="00BD2160">
        <w:rPr>
          <w:rFonts w:cs="Times New Roman"/>
        </w:rPr>
        <w:t xml:space="preserve">, </w:t>
      </w:r>
      <w:r w:rsidR="003435E5">
        <w:rPr>
          <w:rFonts w:cs="Times New Roman"/>
        </w:rPr>
        <w:t xml:space="preserve">because </w:t>
      </w:r>
      <w:r>
        <w:rPr>
          <w:rFonts w:cs="Times New Roman"/>
        </w:rPr>
        <w:t xml:space="preserve">none of the </w:t>
      </w:r>
      <w:r w:rsidR="003435E5">
        <w:rPr>
          <w:rFonts w:cs="Times New Roman"/>
        </w:rPr>
        <w:t>dataset</w:t>
      </w:r>
      <w:r>
        <w:rPr>
          <w:rFonts w:cs="Times New Roman"/>
        </w:rPr>
        <w:t>s</w:t>
      </w:r>
      <w:r w:rsidR="003435E5">
        <w:rPr>
          <w:rFonts w:cs="Times New Roman"/>
        </w:rPr>
        <w:t xml:space="preserve"> </w:t>
      </w:r>
      <w:r>
        <w:rPr>
          <w:rFonts w:cs="Times New Roman"/>
        </w:rPr>
        <w:t>used are</w:t>
      </w:r>
      <w:r w:rsidR="003435E5">
        <w:rPr>
          <w:rFonts w:cs="Times New Roman"/>
        </w:rPr>
        <w:t xml:space="preserve"> solely driven by remotely-sensed observations</w:t>
      </w:r>
      <w:r>
        <w:rPr>
          <w:rFonts w:cs="Times New Roman"/>
        </w:rPr>
        <w:t xml:space="preserve"> – they</w:t>
      </w:r>
      <w:r w:rsidR="003435E5">
        <w:rPr>
          <w:rFonts w:cs="Times New Roman"/>
        </w:rPr>
        <w:t xml:space="preserve"> rel</w:t>
      </w:r>
      <w:r>
        <w:rPr>
          <w:rFonts w:cs="Times New Roman"/>
        </w:rPr>
        <w:t>y</w:t>
      </w:r>
      <w:r w:rsidR="003435E5">
        <w:rPr>
          <w:rFonts w:cs="Times New Roman"/>
        </w:rPr>
        <w:t xml:space="preserve"> upon models and </w:t>
      </w:r>
      <w:r>
        <w:rPr>
          <w:rFonts w:cs="Times New Roman"/>
        </w:rPr>
        <w:t xml:space="preserve">invoke substantial </w:t>
      </w:r>
      <w:r w:rsidR="003435E5">
        <w:rPr>
          <w:rFonts w:cs="Times New Roman"/>
        </w:rPr>
        <w:t>assumptions</w:t>
      </w:r>
      <w:r w:rsidR="003435E5">
        <w:rPr>
          <w:rFonts w:cs="Times New Roman"/>
          <w:lang w:val="fr-FR"/>
        </w:rPr>
        <w:t>.</w:t>
      </w:r>
      <w:r w:rsidR="003435E5" w:rsidRPr="00BD2160">
        <w:rPr>
          <w:rFonts w:cs="Times New Roman"/>
          <w:lang w:val="fr-FR"/>
        </w:rPr>
        <w:t xml:space="preserve"> </w:t>
      </w:r>
      <w:r w:rsidR="00E13BA8" w:rsidRPr="00E13BA8">
        <w:rPr>
          <w:rFonts w:cs="Times New Roman"/>
        </w:rPr>
        <w:t xml:space="preserve">Nevertheless, given the increasing interest in using remote-sensing for </w:t>
      </w:r>
      <w:r w:rsidR="00D3171F">
        <w:rPr>
          <w:rFonts w:cs="Times New Roman"/>
        </w:rPr>
        <w:t>investiga</w:t>
      </w:r>
      <w:r w:rsidR="00E13BA8" w:rsidRPr="00E13BA8">
        <w:rPr>
          <w:rFonts w:cs="Times New Roman"/>
        </w:rPr>
        <w:t xml:space="preserve">ting </w:t>
      </w:r>
      <w:r w:rsidR="00CD73A7">
        <w:rPr>
          <w:rFonts w:cs="Times New Roman"/>
        </w:rPr>
        <w:t xml:space="preserve">spatial </w:t>
      </w:r>
      <w:r w:rsidR="00B40642">
        <w:rPr>
          <w:rFonts w:cs="Times New Roman"/>
        </w:rPr>
        <w:t>changes in forest carbon and water balance</w:t>
      </w:r>
      <w:r w:rsidR="00E13BA8" w:rsidRPr="00E13BA8">
        <w:rPr>
          <w:rFonts w:cs="Times New Roman"/>
        </w:rPr>
        <w:t>, we have addressed them in the Supp</w:t>
      </w:r>
      <w:r w:rsidR="00637F19">
        <w:rPr>
          <w:rFonts w:cs="Times New Roman"/>
        </w:rPr>
        <w:t>orting</w:t>
      </w:r>
      <w:r w:rsidR="00E13BA8" w:rsidRPr="00E13BA8">
        <w:rPr>
          <w:rFonts w:cs="Times New Roman"/>
        </w:rPr>
        <w:t xml:space="preserve"> </w:t>
      </w:r>
      <w:r w:rsidR="00637F19">
        <w:rPr>
          <w:rFonts w:cs="Times New Roman"/>
        </w:rPr>
        <w:t>Information</w:t>
      </w:r>
      <w:r w:rsidR="00E13BA8" w:rsidRPr="00E13BA8">
        <w:rPr>
          <w:rFonts w:cs="Times New Roman"/>
        </w:rPr>
        <w:t xml:space="preserve"> (Text S1).</w:t>
      </w:r>
    </w:p>
    <w:p w14:paraId="0B898AF4" w14:textId="53D636E5" w:rsidR="002C560A" w:rsidRDefault="002351E7" w:rsidP="00F13206">
      <w:pPr>
        <w:pStyle w:val="Body"/>
        <w:spacing w:before="240" w:line="360" w:lineRule="auto"/>
        <w:jc w:val="both"/>
        <w:rPr>
          <w:rFonts w:cs="Times New Roman"/>
        </w:rPr>
      </w:pPr>
      <w:r>
        <w:rPr>
          <w:rFonts w:cs="Times New Roman"/>
        </w:rPr>
        <w:t xml:space="preserve">Here we describe </w:t>
      </w:r>
      <w:r w:rsidR="00206587">
        <w:rPr>
          <w:rFonts w:cs="Times New Roman"/>
        </w:rPr>
        <w:t xml:space="preserve">the </w:t>
      </w:r>
      <w:r w:rsidR="00C0078B" w:rsidRPr="00DE0675">
        <w:rPr>
          <w:rFonts w:cs="Times New Roman"/>
        </w:rPr>
        <w:t xml:space="preserve">equations </w:t>
      </w:r>
      <w:r w:rsidR="00C0078B">
        <w:rPr>
          <w:rFonts w:cs="Times New Roman"/>
        </w:rPr>
        <w:t>that have been</w:t>
      </w:r>
      <w:r w:rsidR="00C0078B" w:rsidRPr="00DE0675">
        <w:rPr>
          <w:rFonts w:cs="Times New Roman"/>
        </w:rPr>
        <w:t xml:space="preserve"> </w:t>
      </w:r>
      <w:r w:rsidR="007A4CE5">
        <w:rPr>
          <w:rFonts w:cs="Times New Roman"/>
        </w:rPr>
        <w:t>appli</w:t>
      </w:r>
      <w:r w:rsidR="00C0078B" w:rsidRPr="00DE0675">
        <w:rPr>
          <w:rFonts w:cs="Times New Roman"/>
        </w:rPr>
        <w:t xml:space="preserve">ed to </w:t>
      </w:r>
      <w:r w:rsidR="00C0078B" w:rsidRPr="003B6E9D">
        <w:rPr>
          <w:rFonts w:cs="Times New Roman"/>
        </w:rPr>
        <w:t>derive the general trends in WUE expected with envir</w:t>
      </w:r>
      <w:r w:rsidR="00C0078B" w:rsidRPr="00E06D36">
        <w:rPr>
          <w:rFonts w:cs="Times New Roman"/>
        </w:rPr>
        <w:t>onmental changes at the differe</w:t>
      </w:r>
      <w:r w:rsidR="00C0078B" w:rsidRPr="006154F1">
        <w:rPr>
          <w:rFonts w:cs="Times New Roman"/>
        </w:rPr>
        <w:t>nt scale</w:t>
      </w:r>
      <w:r w:rsidR="00C0078B">
        <w:rPr>
          <w:rFonts w:cs="Times New Roman"/>
        </w:rPr>
        <w:t xml:space="preserve">s of investigation </w:t>
      </w:r>
      <w:r>
        <w:rPr>
          <w:rFonts w:cs="Times New Roman"/>
        </w:rPr>
        <w:t>and the</w:t>
      </w:r>
      <w:r w:rsidR="00E6102F">
        <w:rPr>
          <w:rFonts w:cs="Times New Roman"/>
        </w:rPr>
        <w:t xml:space="preserve"> </w:t>
      </w:r>
      <w:r>
        <w:rPr>
          <w:rFonts w:cs="Times New Roman"/>
        </w:rPr>
        <w:t>measurements used to estimate them (Table 1)</w:t>
      </w:r>
      <w:r w:rsidR="00AD5B57" w:rsidRPr="00E06D36">
        <w:rPr>
          <w:rFonts w:cs="Times New Roman"/>
        </w:rPr>
        <w:t xml:space="preserve">. </w:t>
      </w:r>
      <w:r w:rsidR="00CB72A2">
        <w:rPr>
          <w:rFonts w:cs="Times New Roman"/>
        </w:rPr>
        <w:t>We acknowledge that other form</w:t>
      </w:r>
      <w:r w:rsidR="00316A84">
        <w:rPr>
          <w:rFonts w:cs="Times New Roman"/>
        </w:rPr>
        <w:t>ulation</w:t>
      </w:r>
      <w:r w:rsidR="00CB72A2">
        <w:rPr>
          <w:rFonts w:cs="Times New Roman"/>
        </w:rPr>
        <w:t xml:space="preserve">s of WUE </w:t>
      </w:r>
      <w:r w:rsidR="001B1228">
        <w:rPr>
          <w:rFonts w:cs="Times New Roman"/>
        </w:rPr>
        <w:t>exist</w:t>
      </w:r>
      <w:r w:rsidR="00CB72A2">
        <w:rPr>
          <w:rFonts w:cs="Times New Roman"/>
        </w:rPr>
        <w:t xml:space="preserve"> (e.g. </w:t>
      </w:r>
      <w:r w:rsidR="00CB72A2">
        <w:rPr>
          <w:rFonts w:cs="Times New Roman"/>
        </w:rPr>
        <w:fldChar w:fldCharType="begin" w:fldLock="1"/>
      </w:r>
      <w:r w:rsidR="004B5BAC">
        <w:rPr>
          <w:rFonts w:cs="Times New Roman"/>
        </w:rPr>
        <w:instrText>ADDIN CSL_CITATION {"citationItems":[{"id":"ITEM-1","itemData":{"DOI":"10.1002/2014GL060741","ISBN":"1391187407","ISSN":"19448007","abstract":"Water use efficiency is a critical index for describing carbon-water coupling in terrestrial ecosystems. However, the nonlinear effect of vapor pressure deficit (VPD) on carbon-water coupling has not been fully considered. To improve the relationship between gross primary production (GPP) and evapotranspiration (ET) at the subdaily time scale, we propose a new underlying water use efficiency (uWUE = GPP · VPD0.5/ET) and a hysteresis model to minimize time lags among GPP, ET, and VPD. Half-hourly data were used to validate uWUE for seven vegetation types from 42 AmeriFlux sites. Correlation analysis shows that the GPP · VPD0.5 and ET relationship (r = 0.844) is better than that between GPP · VPD and ET (r = 0.802). The hysteresis model supports the GPP · VPD0.5 and ET relationship. As uWUE is related to CO2 concentration, its use can improve estimates of GPP and ET and help understand the effect of CO2 fertilization on carbon storage and water loss.","author":[{"dropping-particle":"","family":"Zhou","given":"Sha","non-dropping-particle":"","parse-names":false,"suffix":""},{"dropping-particle":"","family":"Yu","given":"Bofu","non-dropping-particle":"","parse-names":false,"suffix":""},{"dropping-particle":"","family":"Huang","given":"Yuefei","non-dropping-particle":"","parse-names":false,"suffix":""},{"dropping-particle":"","family":"Wang","given":"Guangqian","non-dropping-particle":"","parse-names":false,"suffix":""}],"container-title":"Geophysical Research Letters","id":"ITEM-1","issue":"14","issued":{"date-parts":[["2014"]]},"page":"5005-5013","title":"The effect of vapor pressure deficit on water use efficiency at the subdaily time scale","type":"article-journal","volume":"41"},"uris":["http://www.mendeley.com/documents/?uuid=83858540-dcdc-447b-ab81-cc8817bacd83"]},{"id":"ITEM-2","itemData":{"DOI":"10.1111/nph.14626","ISBN":"1469-8137","ISSN":"14698137","abstract":"The terrestrial carbon and water cycles are intimately linked: the carbon cycle is driven by photosynthesis, while the water balance is dominated by transpiration, and both fluxes are controlled by plant stomatal conductance. The ratio between these fluxes, the plant water- use efficiency (WUE), is a useful indicator of vegetation function. ? WUE can be estimated using several techniques, including leaf gas exchange, stable isotope discrimination, and eddy covariance. Here we compare global compilations of data for each of these three techniques. ? We show that patterns of variation in WUE across plant functional types (PFTs) are not consistent among the three datasets. Key discrepancies include the following: leaf-scale data indicate differences between needleleaf and broadleaf forests, but ecosystem-scale data do not; leaf-scale data indicate differences between C3 and C4 species, whereas at ecosystem scale there is a difference between C3 and C4 crops but not grasslands; and isotope-based estimates of WUE are higher than estimates based on gas exchange for most PFTs. ? Our study quantifies the uncertainty associated with different methods of measuring WUE, indicates potential for bias when using WUE measures to parameterize or validate models, and indicates key research directions needed to reconcile alternative measures of WUE.","author":[{"dropping-particle":"","family":"Medlyn","given":"B. E.","non-dropping-particle":"","parse-names":false,"suffix":""},{"dropping-particle":"","family":"Kauwe","given":"M. G.","non-dropping-particle":"De","parse-names":false,"suffix":""},{"dropping-particle":"","family":"Lin","given":"Yan Shih","non-dropping-particle":"","parse-names":false,"suffix":""},{"dropping-particle":"","family":"Knauer","given":"Jürgen","non-dropping-particle":"","parse-names":false,"suffix":""},{"dropping-particle":"","family":"Duursma","given":"Remko A.","non-dropping-particle":"","parse-names":false,"suffix":""},{"dropping-particle":"","family":"Williams","given":"Christopher A.","non-dropping-particle":"","parse-names":false,"suffix":""},{"dropping-particle":"","family":"Arneth","given":"Almut","non-dropping-particle":"","parse-names":false,"suffix":""},{"dropping-particle":"","family":"Clement","given":"Rob","non-dropping-particle":"","parse-names":false,"suffix":""},{"dropping-particle":"","family":"Isaac","given":"Peter","non-dropping-particle":"","parse-names":false,"suffix":""},{"dropping-particle":"","family":"Limousin","given":"Jean Marc","non-dropping-particle":"","parse-names":false,"suffix":""},{"dropping-particle":"","family":"Linderson","given":"Maj Lena","non-dropping-particle":"","parse-names":false,"suffix":""},{"dropping-particle":"","family":"Meir","given":"Patrick","non-dropping-particle":"","parse-names":false,"suffix":""},{"dropping-particle":"","family":"Martin-Stpaul","given":"Nicolas","non-dropping-particle":"","parse-names":false,"suffix":""},{"dropping-particle":"","family":"Wingate","given":"Lisa","non-dropping-particle":"","parse-names":false,"suffix":""}],"container-title":"New Phytologist","id":"ITEM-2","issued":{"date-parts":[["2017"]]},"title":"How do leaf and ecosystem measures of water-use efficiency compare?","type":"article-newspaper"},"uris":["http://www.mendeley.com/documents/?uuid=3fd1aacd-7a77-4d11-93fe-30651c33632d"]},{"id":"ITEM-3","itemData":{"author":[{"dropping-particle":"","family":"Farquhar","given":"G. D.","non-dropping-particle":"","parse-names":false,"suffix":""},{"dropping-particle":"","family":"Richards","given":"R. A","non-dropping-particle":"","parse-names":false,"suffix":""}],"container-title":"Australian Journal of Plant Physiology","id":"ITEM-3","issued":{"date-parts":[["1984"]]},"page":"539-552","title":"Isotopic composition of plant carbon correlates with water-use efficiency of wheat genotypes","type":"article-journal","volume":"11"},"uris":["http://www.mendeley.com/documents/?uuid=0fe15661-7fd5-4e32-8d65-eeee1021be11"]}],"mendeley":{"formattedCitation":"(Farquhar &amp; Richards, 1984; Medlyn et al., 2017; Zhou, Yu, Huang, &amp; Wang, 2014)","manualFormatting":"Farquhar &amp; Richards, 1984; Medlyn et al., 2017; Zhou et al., 2014)","plainTextFormattedCitation":"(Farquhar &amp; Richards, 1984; Medlyn et al., 2017; Zhou, Yu, Huang, &amp; Wang, 2014)","previouslyFormattedCitation":"(Farquhar &amp; Richards, 1984; Medlyn et al., 2017; Zhou, Yu, Huang, &amp; Wang, 2014)"},"properties":{"noteIndex":0},"schema":"https://github.com/citation-style-language/schema/raw/master/csl-citation.json"}</w:instrText>
      </w:r>
      <w:r w:rsidR="00CB72A2">
        <w:rPr>
          <w:rFonts w:cs="Times New Roman"/>
        </w:rPr>
        <w:fldChar w:fldCharType="separate"/>
      </w:r>
      <w:r w:rsidR="006B4EE2" w:rsidRPr="006B4EE2">
        <w:rPr>
          <w:rFonts w:cs="Times New Roman"/>
          <w:noProof/>
        </w:rPr>
        <w:t>Farquhar &amp; Richards, 1984; Medlyn et al., 2017; Zhou</w:t>
      </w:r>
      <w:r w:rsidR="004B5BAC">
        <w:rPr>
          <w:rFonts w:cs="Times New Roman"/>
          <w:noProof/>
        </w:rPr>
        <w:t xml:space="preserve"> et al., </w:t>
      </w:r>
      <w:r w:rsidR="006B4EE2" w:rsidRPr="006B4EE2">
        <w:rPr>
          <w:rFonts w:cs="Times New Roman"/>
          <w:noProof/>
        </w:rPr>
        <w:t>2014)</w:t>
      </w:r>
      <w:r w:rsidR="00CB72A2">
        <w:rPr>
          <w:rFonts w:cs="Times New Roman"/>
        </w:rPr>
        <w:fldChar w:fldCharType="end"/>
      </w:r>
      <w:r w:rsidR="00CB72A2">
        <w:rPr>
          <w:rFonts w:cs="Times New Roman"/>
        </w:rPr>
        <w:t xml:space="preserve">, but here we focus on the </w:t>
      </w:r>
      <w:r w:rsidR="00D054A3">
        <w:rPr>
          <w:rFonts w:cs="Times New Roman"/>
        </w:rPr>
        <w:t xml:space="preserve">most </w:t>
      </w:r>
      <w:r w:rsidR="00CB72A2">
        <w:rPr>
          <w:rFonts w:cs="Times New Roman"/>
        </w:rPr>
        <w:t>commonly used</w:t>
      </w:r>
      <w:r w:rsidR="00077B14">
        <w:rPr>
          <w:rFonts w:cs="Times New Roman"/>
        </w:rPr>
        <w:t xml:space="preserve"> to asse</w:t>
      </w:r>
      <w:r w:rsidR="00C0078B">
        <w:rPr>
          <w:rFonts w:cs="Times New Roman"/>
        </w:rPr>
        <w:t>s</w:t>
      </w:r>
      <w:r w:rsidR="00077B14">
        <w:rPr>
          <w:rFonts w:cs="Times New Roman"/>
        </w:rPr>
        <w:t>s long-term trends</w:t>
      </w:r>
      <w:r w:rsidR="00CB72A2">
        <w:rPr>
          <w:rFonts w:cs="Times New Roman"/>
        </w:rPr>
        <w:t>.</w:t>
      </w:r>
    </w:p>
    <w:p w14:paraId="05E24C92" w14:textId="7E161F3E" w:rsidR="002C560A" w:rsidRPr="00E760CB" w:rsidRDefault="002C560A" w:rsidP="00863534">
      <w:pPr>
        <w:pStyle w:val="Body"/>
        <w:numPr>
          <w:ilvl w:val="1"/>
          <w:numId w:val="29"/>
        </w:numPr>
        <w:spacing w:before="240" w:line="360" w:lineRule="auto"/>
        <w:jc w:val="both"/>
        <w:rPr>
          <w:rFonts w:cs="Times New Roman"/>
          <w:b/>
        </w:rPr>
      </w:pPr>
      <w:r w:rsidRPr="00E760CB">
        <w:rPr>
          <w:rFonts w:cs="Times New Roman"/>
          <w:b/>
        </w:rPr>
        <w:t>Leaf level</w:t>
      </w:r>
      <w:r w:rsidR="000358F3">
        <w:rPr>
          <w:rFonts w:cs="Times New Roman"/>
          <w:b/>
        </w:rPr>
        <w:t xml:space="preserve"> estimates</w:t>
      </w:r>
    </w:p>
    <w:p w14:paraId="27F40CE2" w14:textId="02653549" w:rsidR="00565232" w:rsidRPr="00DE0675" w:rsidRDefault="00AD5B57" w:rsidP="00F13206">
      <w:pPr>
        <w:pStyle w:val="Body"/>
        <w:spacing w:before="240" w:line="360" w:lineRule="auto"/>
        <w:jc w:val="both"/>
        <w:rPr>
          <w:rFonts w:cs="Times New Roman"/>
          <w:color w:val="000000" w:themeColor="text1"/>
          <w:lang w:val="en-GB"/>
        </w:rPr>
      </w:pPr>
      <w:r w:rsidRPr="00E06D36">
        <w:rPr>
          <w:rFonts w:cs="Times New Roman"/>
        </w:rPr>
        <w:t xml:space="preserve">At the leaf level, </w:t>
      </w:r>
      <w:r w:rsidR="00565232" w:rsidRPr="00E06D36">
        <w:rPr>
          <w:rFonts w:eastAsia="Times New Roman" w:cs="Times New Roman"/>
          <w:bCs/>
        </w:rPr>
        <w:t>the ‘intrinsic’ WUE</w:t>
      </w:r>
      <w:r w:rsidR="000C1DB6" w:rsidRPr="00E06D36">
        <w:rPr>
          <w:rFonts w:eastAsia="Times New Roman" w:cs="Times New Roman"/>
          <w:bCs/>
        </w:rPr>
        <w:t xml:space="preserve"> (</w:t>
      </w:r>
      <w:r w:rsidR="006440FA" w:rsidRPr="00BD2160">
        <w:rPr>
          <w:rFonts w:cs="Times New Roman"/>
        </w:rPr>
        <w:t>iWUE</w:t>
      </w:r>
      <w:r w:rsidR="006440FA" w:rsidRPr="001B08EE">
        <w:rPr>
          <w:rFonts w:cs="Times New Roman"/>
          <w:vertAlign w:val="superscript"/>
        </w:rPr>
        <w:t>l</w:t>
      </w:r>
      <w:r w:rsidR="006440FA">
        <w:rPr>
          <w:rFonts w:cs="Times New Roman"/>
          <w:vertAlign w:val="superscript"/>
        </w:rPr>
        <w:t>eaf</w:t>
      </w:r>
      <w:r w:rsidR="004E061C">
        <w:rPr>
          <w:rFonts w:eastAsia="Times New Roman" w:cs="Times New Roman"/>
          <w:bCs/>
        </w:rPr>
        <w:t xml:space="preserve">, </w:t>
      </w:r>
      <w:r w:rsidR="004E061C">
        <w:rPr>
          <w:rFonts w:eastAsia="Times New Roman" w:cs="Times New Roman"/>
          <w:bCs/>
        </w:rPr>
        <w:sym w:font="Symbol" w:char="F06D"/>
      </w:r>
      <w:r w:rsidR="004E061C">
        <w:rPr>
          <w:rFonts w:eastAsia="Times New Roman" w:cs="Times New Roman"/>
          <w:bCs/>
        </w:rPr>
        <w:t>mol mol</w:t>
      </w:r>
      <w:r w:rsidR="00316A84">
        <w:rPr>
          <w:rFonts w:eastAsia="Times New Roman" w:cs="Times New Roman"/>
          <w:bCs/>
          <w:vertAlign w:val="superscript"/>
        </w:rPr>
        <w:t>–</w:t>
      </w:r>
      <w:r w:rsidR="004E061C" w:rsidRPr="007A77B2">
        <w:rPr>
          <w:rFonts w:eastAsia="Times New Roman" w:cs="Times New Roman"/>
          <w:bCs/>
          <w:vertAlign w:val="superscript"/>
        </w:rPr>
        <w:t>1</w:t>
      </w:r>
      <w:r w:rsidR="000C1DB6" w:rsidRPr="00E06D36">
        <w:rPr>
          <w:rFonts w:eastAsia="Times New Roman" w:cs="Times New Roman"/>
          <w:bCs/>
        </w:rPr>
        <w:t>)</w:t>
      </w:r>
      <w:r w:rsidR="00565232" w:rsidRPr="00E06D36">
        <w:rPr>
          <w:rFonts w:eastAsia="Times New Roman" w:cs="Times New Roman"/>
          <w:bCs/>
        </w:rPr>
        <w:t xml:space="preserve"> is defined as </w:t>
      </w:r>
      <w:r w:rsidR="00565232" w:rsidRPr="00E06D36">
        <w:rPr>
          <w:rFonts w:cs="Times New Roman"/>
        </w:rPr>
        <w:t>the ratio of photosynthetic assimilation rate (</w:t>
      </w:r>
      <w:r w:rsidR="00565232" w:rsidRPr="00E06D36">
        <w:rPr>
          <w:rFonts w:cs="Times New Roman"/>
          <w:i/>
        </w:rPr>
        <w:t>A</w:t>
      </w:r>
      <w:r w:rsidR="00444629">
        <w:rPr>
          <w:rFonts w:cs="Times New Roman"/>
        </w:rPr>
        <w:t xml:space="preserve">, </w:t>
      </w:r>
      <w:r w:rsidR="00185CF1">
        <w:rPr>
          <w:rFonts w:cs="Times New Roman"/>
        </w:rPr>
        <w:sym w:font="Symbol" w:char="F06D"/>
      </w:r>
      <w:r w:rsidR="00D36B31">
        <w:rPr>
          <w:rFonts w:cs="Times New Roman"/>
        </w:rPr>
        <w:t xml:space="preserve">mol </w:t>
      </w:r>
      <w:r w:rsidR="00D36B31">
        <w:rPr>
          <w:rFonts w:eastAsia="Times New Roman" w:cs="Times New Roman"/>
          <w:bCs/>
        </w:rPr>
        <w:t>m</w:t>
      </w:r>
      <w:r w:rsidR="00CF2D04" w:rsidRPr="00CF2D04">
        <w:rPr>
          <w:rFonts w:eastAsia="Times New Roman" w:cs="Times New Roman"/>
          <w:bCs/>
          <w:vertAlign w:val="superscript"/>
        </w:rPr>
        <w:t>-2</w:t>
      </w:r>
      <w:r w:rsidR="00D36B31">
        <w:rPr>
          <w:rFonts w:eastAsia="Times New Roman" w:cs="Times New Roman"/>
          <w:bCs/>
        </w:rPr>
        <w:t xml:space="preserve"> s</w:t>
      </w:r>
      <w:r w:rsidR="00D36B31" w:rsidRPr="00D40240">
        <w:rPr>
          <w:rFonts w:eastAsia="Times New Roman" w:cs="Times New Roman"/>
          <w:bCs/>
          <w:vertAlign w:val="superscript"/>
        </w:rPr>
        <w:t>-1</w:t>
      </w:r>
      <w:r w:rsidR="00565232" w:rsidRPr="00E06D36">
        <w:rPr>
          <w:rFonts w:cs="Times New Roman"/>
        </w:rPr>
        <w:t>) to stomatal conductance for H</w:t>
      </w:r>
      <w:r w:rsidR="00565232" w:rsidRPr="00E06D36">
        <w:rPr>
          <w:rFonts w:cs="Times New Roman"/>
          <w:vertAlign w:val="subscript"/>
        </w:rPr>
        <w:t>2</w:t>
      </w:r>
      <w:r w:rsidR="00565232" w:rsidRPr="00E06D36">
        <w:rPr>
          <w:rFonts w:cs="Times New Roman"/>
        </w:rPr>
        <w:t>O diffusion (</w:t>
      </w:r>
      <w:r w:rsidR="00565232" w:rsidRPr="00E06D36">
        <w:rPr>
          <w:rFonts w:cs="Times New Roman"/>
          <w:i/>
        </w:rPr>
        <w:t>g</w:t>
      </w:r>
      <w:r w:rsidR="00565232" w:rsidRPr="006154F1">
        <w:rPr>
          <w:rFonts w:cs="Times New Roman"/>
          <w:vertAlign w:val="subscript"/>
        </w:rPr>
        <w:t>sw</w:t>
      </w:r>
      <w:r w:rsidR="00BE412C">
        <w:rPr>
          <w:rFonts w:cs="Times New Roman"/>
        </w:rPr>
        <w:t xml:space="preserve">, </w:t>
      </w:r>
      <w:r w:rsidR="00D36B31">
        <w:rPr>
          <w:rFonts w:cs="Times New Roman"/>
        </w:rPr>
        <w:t xml:space="preserve">mol </w:t>
      </w:r>
      <w:r w:rsidR="00BE412C">
        <w:rPr>
          <w:rFonts w:eastAsia="Times New Roman" w:cs="Times New Roman"/>
          <w:bCs/>
        </w:rPr>
        <w:t>m</w:t>
      </w:r>
      <w:r w:rsidR="00052E9C" w:rsidRPr="00052E9C">
        <w:rPr>
          <w:rFonts w:eastAsia="Times New Roman" w:cs="Times New Roman"/>
          <w:bCs/>
          <w:vertAlign w:val="superscript"/>
        </w:rPr>
        <w:t>-2</w:t>
      </w:r>
      <w:r w:rsidR="00BE412C">
        <w:rPr>
          <w:rFonts w:eastAsia="Times New Roman" w:cs="Times New Roman"/>
          <w:bCs/>
        </w:rPr>
        <w:t xml:space="preserve"> s</w:t>
      </w:r>
      <w:r w:rsidR="00316A84">
        <w:rPr>
          <w:rFonts w:eastAsia="Times New Roman" w:cs="Times New Roman"/>
          <w:bCs/>
          <w:vertAlign w:val="superscript"/>
        </w:rPr>
        <w:t>–</w:t>
      </w:r>
      <w:r w:rsidR="00BE412C" w:rsidRPr="00D40240">
        <w:rPr>
          <w:rFonts w:eastAsia="Times New Roman" w:cs="Times New Roman"/>
          <w:bCs/>
          <w:vertAlign w:val="superscript"/>
        </w:rPr>
        <w:t>1</w:t>
      </w:r>
      <w:r w:rsidR="00565232" w:rsidRPr="006154F1">
        <w:rPr>
          <w:rFonts w:cs="Times New Roman"/>
        </w:rPr>
        <w:t>)</w:t>
      </w:r>
      <w:r w:rsidR="00565232" w:rsidRPr="006154F1">
        <w:rPr>
          <w:rFonts w:cs="Times New Roman"/>
          <w:vertAlign w:val="subscript"/>
        </w:rPr>
        <w:t xml:space="preserve"> </w:t>
      </w:r>
      <w:r w:rsidR="0048451A" w:rsidRPr="006154F1">
        <w:rPr>
          <w:rFonts w:cs="Times New Roman"/>
        </w:rPr>
        <w:t>as follows</w:t>
      </w:r>
      <w:r w:rsidR="0048451A" w:rsidRPr="006154F1">
        <w:rPr>
          <w:rFonts w:cs="Times New Roman"/>
          <w:vertAlign w:val="subscript"/>
        </w:rPr>
        <w:t xml:space="preserve"> </w:t>
      </w:r>
      <w:r w:rsidR="00565232" w:rsidRPr="007A77B2">
        <w:rPr>
          <w:rFonts w:eastAsia="Times New Roman" w:cs="Times New Roman"/>
          <w:bCs/>
          <w:color w:val="000000" w:themeColor="text1"/>
        </w:rPr>
        <w:fldChar w:fldCharType="begin" w:fldLock="1"/>
      </w:r>
      <w:r w:rsidR="007C71CB" w:rsidRPr="00DE0675">
        <w:rPr>
          <w:rFonts w:eastAsia="Times New Roman" w:cs="Times New Roman"/>
          <w:bCs/>
          <w:color w:val="000000" w:themeColor="text1"/>
        </w:rPr>
        <w:instrText>ADDIN CSL_CITATION {"citationItems":[{"id":"ITEM-1","itemData":{"ISBN":"0-12-233380-2","abstract":"not read completely; probably one of the first papers that talk about the carbon isotope composition as a measure of intercellular CO2 concentration (based on Farquhar 1982) as being an indicator of the set point for gas exchange metabolism. where on the E / A curve are we; the rest of the paper is on the application of this on desert shrubs, less exiting","author":[{"dropping-particle":"","family":"Ehleringer","given":"J R","non-dropping-particle":"","parse-names":false,"suffix":""},{"dropping-particle":"","family":"Hall","given":"A E","non-dropping-particle":"","parse-names":false,"suffix":""},{"dropping-particle":"","family":"Farquhar","given":"G D","non-dropping-particle":"","parse-names":false,"suffix":""}],"container-title":"Stable Isotopes and Plant Carbon-Water Relations","editor":[{"dropping-particle":"","family":"Ehleringer","given":"J R","non-dropping-particle":"","parse-names":false,"suffix":""},{"dropping-particle":"","family":"Hall","given":"A.","non-dropping-particle":"","parse-names":false,"suffix":""},{"dropping-particle":"","family":"Farquhar","given":"G D","non-dropping-particle":"","parse-names":false,"suffix":""}],"id":"ITEM-1","issued":{"date-parts":[["1993"]]},"page":"155-172","publisher":"Academic Press Inc., San Diego, Calif","title":"Water use in relation to productivity","type":"chapter"},"uris":["http://www.mendeley.com/documents/?uuid=6cbeaa32-8024-4e64-9c49-cd70f69bf148"]}],"mendeley":{"formattedCitation":"(J R Ehleringer, Hall, &amp; Farquhar, 1993)","manualFormatting":"(Ehleringer, Hall, &amp; Farquhar, 1993)","plainTextFormattedCitation":"(J R Ehleringer, Hall, &amp; Farquhar, 1993)","previouslyFormattedCitation":"(J R Ehleringer, Hall, &amp; Farquhar, 1993)"},"properties":{"noteIndex":0},"schema":"https://github.com/citation-style-language/schema/raw/master/csl-citation.json"}</w:instrText>
      </w:r>
      <w:r w:rsidR="00565232" w:rsidRPr="007A77B2">
        <w:rPr>
          <w:rFonts w:eastAsia="Times New Roman" w:cs="Times New Roman"/>
          <w:bCs/>
          <w:color w:val="000000" w:themeColor="text1"/>
        </w:rPr>
        <w:fldChar w:fldCharType="separate"/>
      </w:r>
      <w:r w:rsidR="008E72BF" w:rsidRPr="007A77B2">
        <w:rPr>
          <w:rFonts w:eastAsia="Times New Roman" w:cs="Times New Roman"/>
          <w:bCs/>
          <w:noProof/>
          <w:color w:val="000000" w:themeColor="text1"/>
        </w:rPr>
        <w:t>(Ehleringer, Hall, &amp; Farquhar, 1993)</w:t>
      </w:r>
      <w:r w:rsidR="00565232" w:rsidRPr="007A77B2">
        <w:rPr>
          <w:rFonts w:eastAsia="Times New Roman" w:cs="Times New Roman"/>
          <w:bCs/>
          <w:color w:val="000000" w:themeColor="text1"/>
        </w:rPr>
        <w:fldChar w:fldCharType="end"/>
      </w:r>
      <w:r w:rsidR="0048451A" w:rsidRPr="007A77B2">
        <w:rPr>
          <w:rFonts w:eastAsia="Times New Roman" w:cs="Times New Roman"/>
          <w:bCs/>
          <w:color w:val="000000" w:themeColor="text1"/>
        </w:rPr>
        <w:t>:</w:t>
      </w:r>
    </w:p>
    <w:p w14:paraId="589EF37F" w14:textId="33097C15" w:rsidR="00565232" w:rsidRPr="00BD2160" w:rsidRDefault="00E31184" w:rsidP="00D37E2B">
      <w:pPr>
        <w:spacing w:before="240" w:line="360" w:lineRule="auto"/>
        <w:ind w:firstLine="708"/>
        <w:jc w:val="both"/>
      </w:pPr>
      <m:oMath>
        <m:sSup>
          <m:sSupPr>
            <m:ctrlPr>
              <w:rPr>
                <w:rFonts w:ascii="Cambria Math" w:hAnsi="Cambria Math"/>
              </w:rPr>
            </m:ctrlPr>
          </m:sSupPr>
          <m:e>
            <m:r>
              <m:rPr>
                <m:sty m:val="p"/>
              </m:rPr>
              <w:rPr>
                <w:rFonts w:ascii="Cambria Math" w:hAnsi="Cambria Math"/>
              </w:rPr>
              <m:t>iWUE</m:t>
            </m:r>
          </m:e>
          <m:sup>
            <m:r>
              <m:rPr>
                <m:sty m:val="p"/>
              </m:rPr>
              <w:rPr>
                <w:rFonts w:ascii="Cambria Math" w:hAnsi="Cambria Math"/>
              </w:rPr>
              <m:t>leaf</m:t>
            </m:r>
          </m:sup>
        </m:sSup>
        <m:r>
          <w:rPr>
            <w:rFonts w:ascii="Cambria Math" w:hAnsi="Cambria Math"/>
          </w:rPr>
          <m:t xml:space="preserve">= </m:t>
        </m:r>
        <m:f>
          <m:fPr>
            <m:ctrlPr>
              <w:rPr>
                <w:rFonts w:ascii="Cambria Math" w:hAnsi="Cambria Math"/>
                <w:i/>
              </w:rPr>
            </m:ctrlPr>
          </m:fPr>
          <m:num>
            <m:r>
              <w:rPr>
                <w:rFonts w:ascii="Cambria Math" w:hAnsi="Cambria Math"/>
              </w:rPr>
              <m:t>A</m:t>
            </m:r>
          </m:num>
          <m:den>
            <m:sSub>
              <m:sSubPr>
                <m:ctrlPr>
                  <w:rPr>
                    <w:rFonts w:ascii="Cambria Math" w:hAnsi="Cambria Math"/>
                    <w:i/>
                  </w:rPr>
                </m:ctrlPr>
              </m:sSubPr>
              <m:e>
                <m:r>
                  <w:rPr>
                    <w:rFonts w:ascii="Cambria Math" w:hAnsi="Cambria Math"/>
                  </w:rPr>
                  <m:t>g</m:t>
                </m:r>
              </m:e>
              <m:sub>
                <m:r>
                  <w:rPr>
                    <w:rFonts w:ascii="Cambria Math" w:hAnsi="Cambria Math"/>
                  </w:rPr>
                  <m:t>sw</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g</m:t>
                </m:r>
              </m:e>
              <m:sub>
                <m:r>
                  <m:rPr>
                    <m:sty m:val="p"/>
                  </m:rPr>
                  <w:rPr>
                    <w:rFonts w:ascii="Cambria Math" w:hAnsi="Cambria Math"/>
                  </w:rPr>
                  <m:t>sc</m:t>
                </m:r>
              </m:sub>
            </m:sSub>
          </m:num>
          <m:den>
            <m:sSub>
              <m:sSubPr>
                <m:ctrlPr>
                  <w:rPr>
                    <w:rFonts w:ascii="Cambria Math" w:hAnsi="Cambria Math"/>
                    <w:i/>
                  </w:rPr>
                </m:ctrlPr>
              </m:sSubPr>
              <m:e>
                <m:r>
                  <w:rPr>
                    <w:rFonts w:ascii="Cambria Math" w:hAnsi="Cambria Math"/>
                  </w:rPr>
                  <m:t>g</m:t>
                </m:r>
              </m:e>
              <m:sub>
                <m:r>
                  <w:rPr>
                    <w:rFonts w:ascii="Cambria Math" w:hAnsi="Cambria Math"/>
                  </w:rPr>
                  <m:t>sw</m:t>
                </m:r>
              </m:sub>
            </m:sSub>
          </m:den>
        </m:f>
        <m:d>
          <m:dPr>
            <m:ctrlPr>
              <w:rPr>
                <w:rFonts w:ascii="Cambria Math" w:hAnsi="Cambria Math"/>
                <w:i/>
              </w:rPr>
            </m:ctrlPr>
          </m:dPr>
          <m:e>
            <m:sSub>
              <m:sSubPr>
                <m:ctrlPr>
                  <w:rPr>
                    <w:rFonts w:ascii="Cambria Math" w:hAnsi="Cambria Math"/>
                    <w:i/>
                  </w:rPr>
                </m:ctrlPr>
              </m:sSubPr>
              <m:e>
                <m:r>
                  <w:rPr>
                    <w:rFonts w:ascii="Cambria Math" w:hAnsi="Cambria Math"/>
                  </w:rPr>
                  <m:t>c</m:t>
                </m:r>
              </m:e>
              <m:sub>
                <m:r>
                  <m:rPr>
                    <m:sty m:val="p"/>
                  </m:rP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c</m:t>
                </m:r>
              </m:e>
              <m:sub>
                <m:r>
                  <m:rPr>
                    <m:sty m:val="p"/>
                  </m:rPr>
                  <w:rPr>
                    <w:rFonts w:ascii="Cambria Math" w:hAnsi="Cambria Math"/>
                  </w:rPr>
                  <m:t>i</m:t>
                </m:r>
              </m:sub>
            </m:sSub>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g</m:t>
                </m:r>
              </m:e>
              <m:sub>
                <m:r>
                  <m:rPr>
                    <m:sty m:val="p"/>
                  </m:rPr>
                  <w:rPr>
                    <w:rFonts w:ascii="Cambria Math" w:hAnsi="Cambria Math"/>
                  </w:rPr>
                  <m:t>sc</m:t>
                </m:r>
              </m:sub>
            </m:sSub>
          </m:num>
          <m:den>
            <m:r>
              <w:rPr>
                <w:rFonts w:ascii="Cambria Math" w:hAnsi="Cambria Math"/>
              </w:rPr>
              <m:t xml:space="preserve">1.6 </m:t>
            </m:r>
            <m:sSub>
              <m:sSubPr>
                <m:ctrlPr>
                  <w:rPr>
                    <w:rFonts w:ascii="Cambria Math" w:hAnsi="Cambria Math"/>
                    <w:i/>
                  </w:rPr>
                </m:ctrlPr>
              </m:sSubPr>
              <m:e>
                <m:r>
                  <w:rPr>
                    <w:rFonts w:ascii="Cambria Math" w:hAnsi="Cambria Math"/>
                  </w:rPr>
                  <m:t>g</m:t>
                </m:r>
              </m:e>
              <m:sub>
                <m:r>
                  <w:rPr>
                    <w:rFonts w:ascii="Cambria Math" w:hAnsi="Cambria Math"/>
                  </w:rPr>
                  <m:t>sc</m:t>
                </m:r>
              </m:sub>
            </m:sSub>
          </m:den>
        </m:f>
        <m:r>
          <w:rPr>
            <w:rFonts w:ascii="Cambria Math" w:hAnsi="Cambria Math"/>
            <w:color w:val="000000" w:themeColor="text1"/>
          </w:rPr>
          <m:t xml:space="preserve"> </m:t>
        </m:r>
        <m:sSub>
          <m:sSubPr>
            <m:ctrlPr>
              <w:rPr>
                <w:rFonts w:ascii="Cambria Math" w:hAnsi="Cambria Math"/>
                <w:i/>
                <w:color w:val="000000" w:themeColor="text1"/>
              </w:rPr>
            </m:ctrlPr>
          </m:sSubPr>
          <m:e>
            <m:r>
              <w:rPr>
                <w:rFonts w:ascii="Cambria Math" w:hAnsi="Cambria Math"/>
                <w:color w:val="000000" w:themeColor="text1"/>
              </w:rPr>
              <m:t>c</m:t>
            </m:r>
          </m:e>
          <m:sub>
            <m:r>
              <m:rPr>
                <m:sty m:val="p"/>
              </m:rPr>
              <w:rPr>
                <w:rFonts w:ascii="Cambria Math" w:hAnsi="Cambria Math"/>
                <w:color w:val="000000" w:themeColor="text1"/>
              </w:rPr>
              <m:t>a</m:t>
            </m:r>
          </m:sub>
        </m:sSub>
        <m:d>
          <m:dPr>
            <m:ctrlPr>
              <w:rPr>
                <w:rFonts w:ascii="Cambria Math" w:hAnsi="Cambria Math"/>
                <w:i/>
                <w:color w:val="000000" w:themeColor="text1"/>
              </w:rPr>
            </m:ctrlPr>
          </m:dPr>
          <m:e>
            <m:r>
              <w:rPr>
                <w:rFonts w:ascii="Cambria Math" w:hAnsi="Cambria Math"/>
                <w:color w:val="000000" w:themeColor="text1"/>
              </w:rPr>
              <m:t>1-</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c</m:t>
                    </m:r>
                  </m:e>
                  <m:sub>
                    <m:r>
                      <m:rPr>
                        <m:sty m:val="p"/>
                      </m:rPr>
                      <w:rPr>
                        <w:rFonts w:ascii="Cambria Math" w:hAnsi="Cambria Math"/>
                        <w:color w:val="000000" w:themeColor="text1"/>
                      </w:rPr>
                      <m:t>i</m:t>
                    </m:r>
                  </m:sub>
                </m:sSub>
              </m:num>
              <m:den>
                <m:sSub>
                  <m:sSubPr>
                    <m:ctrlPr>
                      <w:rPr>
                        <w:rFonts w:ascii="Cambria Math" w:hAnsi="Cambria Math"/>
                        <w:i/>
                        <w:color w:val="000000" w:themeColor="text1"/>
                      </w:rPr>
                    </m:ctrlPr>
                  </m:sSubPr>
                  <m:e>
                    <m:r>
                      <w:rPr>
                        <w:rFonts w:ascii="Cambria Math" w:hAnsi="Cambria Math"/>
                        <w:color w:val="000000" w:themeColor="text1"/>
                      </w:rPr>
                      <m:t>c</m:t>
                    </m:r>
                  </m:e>
                  <m:sub>
                    <m:r>
                      <m:rPr>
                        <m:sty m:val="p"/>
                      </m:rPr>
                      <w:rPr>
                        <w:rFonts w:ascii="Cambria Math" w:hAnsi="Cambria Math"/>
                        <w:color w:val="000000" w:themeColor="text1"/>
                      </w:rPr>
                      <m:t>a</m:t>
                    </m:r>
                  </m:sub>
                </m:sSub>
              </m:den>
            </m:f>
          </m:e>
        </m:d>
        <m:r>
          <w:rPr>
            <w:rFonts w:ascii="Cambria Math" w:hAnsi="Cambria Math"/>
            <w:color w:val="000000" w:themeColor="text1"/>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m:rPr>
                    <m:sty m:val="p"/>
                  </m:rPr>
                  <w:rPr>
                    <w:rFonts w:ascii="Cambria Math" w:hAnsi="Cambria Math"/>
                  </w:rPr>
                  <m:t>a</m:t>
                </m:r>
              </m:sub>
            </m:sSub>
          </m:num>
          <m:den>
            <m:r>
              <w:rPr>
                <w:rFonts w:ascii="Cambria Math" w:hAnsi="Cambria Math"/>
              </w:rPr>
              <m:t>1.6</m:t>
            </m:r>
          </m:den>
        </m:f>
        <m:d>
          <m:dPr>
            <m:ctrlPr>
              <w:rPr>
                <w:rFonts w:ascii="Cambria Math" w:hAnsi="Cambria Math"/>
                <w:i/>
                <w:color w:val="000000" w:themeColor="text1"/>
              </w:rPr>
            </m:ctrlPr>
          </m:dPr>
          <m:e>
            <m:r>
              <w:rPr>
                <w:rFonts w:ascii="Cambria Math" w:hAnsi="Cambria Math"/>
                <w:color w:val="000000" w:themeColor="text1"/>
              </w:rPr>
              <m:t>1-</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c</m:t>
                    </m:r>
                  </m:e>
                  <m:sub>
                    <m:r>
                      <m:rPr>
                        <m:sty m:val="p"/>
                      </m:rPr>
                      <w:rPr>
                        <w:rFonts w:ascii="Cambria Math" w:hAnsi="Cambria Math"/>
                        <w:color w:val="000000" w:themeColor="text1"/>
                      </w:rPr>
                      <m:t>i</m:t>
                    </m:r>
                  </m:sub>
                </m:sSub>
              </m:num>
              <m:den>
                <m:sSub>
                  <m:sSubPr>
                    <m:ctrlPr>
                      <w:rPr>
                        <w:rFonts w:ascii="Cambria Math" w:hAnsi="Cambria Math"/>
                        <w:i/>
                        <w:color w:val="000000" w:themeColor="text1"/>
                      </w:rPr>
                    </m:ctrlPr>
                  </m:sSubPr>
                  <m:e>
                    <m:r>
                      <w:rPr>
                        <w:rFonts w:ascii="Cambria Math" w:hAnsi="Cambria Math"/>
                        <w:color w:val="000000" w:themeColor="text1"/>
                      </w:rPr>
                      <m:t>c</m:t>
                    </m:r>
                  </m:e>
                  <m:sub>
                    <m:r>
                      <m:rPr>
                        <m:sty m:val="p"/>
                      </m:rPr>
                      <w:rPr>
                        <w:rFonts w:ascii="Cambria Math" w:hAnsi="Cambria Math"/>
                        <w:color w:val="000000" w:themeColor="text1"/>
                      </w:rPr>
                      <m:t>a</m:t>
                    </m:r>
                  </m:sub>
                </m:sSub>
              </m:den>
            </m:f>
          </m:e>
        </m:d>
      </m:oMath>
      <w:r w:rsidR="00E9449E" w:rsidRPr="00BD2160">
        <w:rPr>
          <w:color w:val="000000" w:themeColor="text1"/>
        </w:rPr>
        <w:tab/>
      </w:r>
      <w:r w:rsidR="00E9449E" w:rsidRPr="00BD2160">
        <w:tab/>
      </w:r>
      <w:r w:rsidR="00565232" w:rsidRPr="00BD2160">
        <w:t>(1)</w:t>
      </w:r>
    </w:p>
    <w:p w14:paraId="37858803" w14:textId="3BF40325" w:rsidR="00F62003" w:rsidRPr="00B652A5" w:rsidRDefault="00565232">
      <w:pPr>
        <w:pStyle w:val="Body"/>
        <w:spacing w:before="240" w:line="360" w:lineRule="auto"/>
        <w:jc w:val="both"/>
        <w:rPr>
          <w:rFonts w:cs="Times New Roman"/>
        </w:rPr>
      </w:pPr>
      <w:r w:rsidRPr="00BD2160">
        <w:rPr>
          <w:rFonts w:cs="Times New Roman"/>
        </w:rPr>
        <w:t xml:space="preserve">where </w:t>
      </w:r>
      <w:r w:rsidR="0048451A" w:rsidRPr="00BD2160">
        <w:rPr>
          <w:rFonts w:cs="Times New Roman"/>
          <w:i/>
        </w:rPr>
        <w:t>g</w:t>
      </w:r>
      <w:r w:rsidR="0048451A" w:rsidRPr="00BD2160">
        <w:rPr>
          <w:rFonts w:cs="Times New Roman"/>
          <w:vertAlign w:val="subscript"/>
        </w:rPr>
        <w:t>sc</w:t>
      </w:r>
      <w:r w:rsidR="0048451A">
        <w:rPr>
          <w:rFonts w:cs="Times New Roman"/>
          <w:vertAlign w:val="subscript"/>
        </w:rPr>
        <w:t xml:space="preserve"> </w:t>
      </w:r>
      <w:r w:rsidR="0048451A">
        <w:rPr>
          <w:rFonts w:cs="Times New Roman"/>
        </w:rPr>
        <w:t xml:space="preserve">is the </w:t>
      </w:r>
      <w:r w:rsidR="0048451A" w:rsidRPr="00BD2160">
        <w:rPr>
          <w:rFonts w:cs="Times New Roman"/>
        </w:rPr>
        <w:t>stomatal conductance for CO</w:t>
      </w:r>
      <w:r w:rsidR="0048451A" w:rsidRPr="00BD2160">
        <w:rPr>
          <w:rFonts w:cs="Times New Roman"/>
          <w:vertAlign w:val="subscript"/>
        </w:rPr>
        <w:t>2</w:t>
      </w:r>
      <w:r w:rsidR="0048451A" w:rsidRPr="00BD2160">
        <w:rPr>
          <w:rFonts w:cs="Times New Roman"/>
        </w:rPr>
        <w:t xml:space="preserve"> diffusion</w:t>
      </w:r>
      <w:r w:rsidR="005B3FA9">
        <w:rPr>
          <w:rFonts w:cs="Times New Roman"/>
        </w:rPr>
        <w:t xml:space="preserve"> (mol </w:t>
      </w:r>
      <w:r w:rsidR="00F1103A">
        <w:rPr>
          <w:rFonts w:eastAsia="Times New Roman" w:cs="Times New Roman"/>
          <w:bCs/>
        </w:rPr>
        <w:t>m</w:t>
      </w:r>
      <w:r w:rsidR="00F1103A" w:rsidRPr="00052E9C">
        <w:rPr>
          <w:rFonts w:eastAsia="Times New Roman" w:cs="Times New Roman"/>
          <w:bCs/>
          <w:vertAlign w:val="superscript"/>
        </w:rPr>
        <w:t>-2</w:t>
      </w:r>
      <w:r w:rsidR="005B3FA9">
        <w:rPr>
          <w:rFonts w:eastAsia="Times New Roman" w:cs="Times New Roman"/>
          <w:bCs/>
        </w:rPr>
        <w:t xml:space="preserve"> s</w:t>
      </w:r>
      <w:r w:rsidR="00316A84">
        <w:rPr>
          <w:rFonts w:eastAsia="Times New Roman" w:cs="Times New Roman"/>
          <w:bCs/>
          <w:vertAlign w:val="superscript"/>
        </w:rPr>
        <w:softHyphen/>
        <w:t>–</w:t>
      </w:r>
      <w:r w:rsidR="005B3FA9" w:rsidRPr="00D40240">
        <w:rPr>
          <w:rFonts w:eastAsia="Times New Roman" w:cs="Times New Roman"/>
          <w:bCs/>
          <w:vertAlign w:val="superscript"/>
        </w:rPr>
        <w:t>1</w:t>
      </w:r>
      <w:r w:rsidR="005B3FA9">
        <w:rPr>
          <w:rFonts w:eastAsia="Times New Roman" w:cs="Times New Roman"/>
          <w:bCs/>
        </w:rPr>
        <w:t>)</w:t>
      </w:r>
      <w:r w:rsidR="00316A84">
        <w:rPr>
          <w:rFonts w:cs="Times New Roman"/>
        </w:rPr>
        <w:t xml:space="preserve"> and</w:t>
      </w:r>
      <w:r w:rsidR="00F64D4B">
        <w:rPr>
          <w:rFonts w:cs="Times New Roman"/>
        </w:rPr>
        <w:t>,</w:t>
      </w:r>
      <w:r w:rsidR="0048451A" w:rsidRPr="00BD2160">
        <w:rPr>
          <w:rFonts w:cs="Times New Roman"/>
          <w:i/>
        </w:rPr>
        <w:t xml:space="preserve"> </w:t>
      </w:r>
      <w:r w:rsidRPr="00BD2160">
        <w:rPr>
          <w:rFonts w:cs="Times New Roman"/>
          <w:i/>
        </w:rPr>
        <w:t>c</w:t>
      </w:r>
      <w:r w:rsidRPr="00BD2160">
        <w:rPr>
          <w:rFonts w:cs="Times New Roman"/>
          <w:vertAlign w:val="subscript"/>
        </w:rPr>
        <w:t>i</w:t>
      </w:r>
      <w:r w:rsidRPr="00BD2160">
        <w:rPr>
          <w:rFonts w:cs="Times New Roman"/>
        </w:rPr>
        <w:t xml:space="preserve"> and </w:t>
      </w:r>
      <w:r w:rsidRPr="00BD2160">
        <w:rPr>
          <w:rFonts w:cs="Times New Roman"/>
          <w:i/>
          <w:color w:val="000000" w:themeColor="text1"/>
          <w:lang w:val="en-GB"/>
        </w:rPr>
        <w:t>c</w:t>
      </w:r>
      <w:r w:rsidRPr="00BD2160">
        <w:rPr>
          <w:rFonts w:cs="Times New Roman"/>
          <w:color w:val="000000" w:themeColor="text1"/>
          <w:vertAlign w:val="subscript"/>
          <w:lang w:val="en-GB"/>
        </w:rPr>
        <w:t>a</w:t>
      </w:r>
      <w:r w:rsidRPr="00BD2160">
        <w:rPr>
          <w:rFonts w:cs="Times New Roman"/>
        </w:rPr>
        <w:t xml:space="preserve"> are the leaf</w:t>
      </w:r>
      <w:r w:rsidR="007D4060">
        <w:rPr>
          <w:rFonts w:cs="Times New Roman"/>
        </w:rPr>
        <w:t>-</w:t>
      </w:r>
      <w:r w:rsidRPr="00BD2160">
        <w:rPr>
          <w:rFonts w:cs="Times New Roman"/>
        </w:rPr>
        <w:t>intercellular and ambient CO</w:t>
      </w:r>
      <w:r w:rsidRPr="00BD2160">
        <w:rPr>
          <w:rFonts w:cs="Times New Roman"/>
          <w:vertAlign w:val="subscript"/>
        </w:rPr>
        <w:t xml:space="preserve">2 </w:t>
      </w:r>
      <w:r w:rsidRPr="00BD2160">
        <w:rPr>
          <w:rFonts w:cs="Times New Roman"/>
        </w:rPr>
        <w:t>concentrations, respectively</w:t>
      </w:r>
      <w:r w:rsidR="005B3FA9">
        <w:rPr>
          <w:rFonts w:cs="Times New Roman"/>
        </w:rPr>
        <w:t xml:space="preserve"> (</w:t>
      </w:r>
      <w:r w:rsidR="005B3FA9">
        <w:rPr>
          <w:rFonts w:eastAsia="Times New Roman" w:cs="Times New Roman"/>
          <w:bCs/>
        </w:rPr>
        <w:sym w:font="Symbol" w:char="F06D"/>
      </w:r>
      <w:r w:rsidR="005B3FA9">
        <w:rPr>
          <w:rFonts w:eastAsia="Times New Roman" w:cs="Times New Roman"/>
          <w:bCs/>
        </w:rPr>
        <w:t>mol mol</w:t>
      </w:r>
      <w:r w:rsidR="00316A84">
        <w:rPr>
          <w:rFonts w:eastAsia="Times New Roman" w:cs="Times New Roman"/>
          <w:bCs/>
          <w:vertAlign w:val="superscript"/>
        </w:rPr>
        <w:t>–</w:t>
      </w:r>
      <w:r w:rsidR="005B3FA9" w:rsidRPr="00D40240">
        <w:rPr>
          <w:rFonts w:eastAsia="Times New Roman" w:cs="Times New Roman"/>
          <w:bCs/>
          <w:vertAlign w:val="superscript"/>
        </w:rPr>
        <w:t>1</w:t>
      </w:r>
      <w:r w:rsidR="005B3FA9" w:rsidRPr="007A77B2">
        <w:rPr>
          <w:bCs/>
        </w:rPr>
        <w:t>)</w:t>
      </w:r>
      <w:r w:rsidRPr="00BD2160">
        <w:rPr>
          <w:rFonts w:cs="Times New Roman"/>
        </w:rPr>
        <w:t>.</w:t>
      </w:r>
      <w:r>
        <w:rPr>
          <w:rFonts w:cs="Times New Roman"/>
        </w:rPr>
        <w:t xml:space="preserve"> </w:t>
      </w:r>
      <w:r w:rsidR="007D0DFC" w:rsidRPr="00BD2160">
        <w:t xml:space="preserve">The factor 1.6 arises because </w:t>
      </w:r>
      <w:r w:rsidR="006A3872">
        <w:t>H</w:t>
      </w:r>
      <w:r w:rsidR="006A3872" w:rsidRPr="006A3872">
        <w:rPr>
          <w:vertAlign w:val="subscript"/>
        </w:rPr>
        <w:t>2</w:t>
      </w:r>
      <w:r w:rsidR="006A3872">
        <w:t>O</w:t>
      </w:r>
      <w:r w:rsidR="007D0DFC" w:rsidRPr="00BD2160">
        <w:t xml:space="preserve"> diffuses through air more rapidly than CO</w:t>
      </w:r>
      <w:r w:rsidR="007D0DFC" w:rsidRPr="00BD2160">
        <w:rPr>
          <w:vertAlign w:val="subscript"/>
        </w:rPr>
        <w:t>2</w:t>
      </w:r>
      <w:r w:rsidR="007D0DFC" w:rsidRPr="00BD2160">
        <w:t>.</w:t>
      </w:r>
      <w:r w:rsidR="007D0DFC">
        <w:rPr>
          <w:rFonts w:cs="Times New Roman"/>
        </w:rPr>
        <w:t xml:space="preserve"> </w:t>
      </w:r>
      <w:r w:rsidR="00A15628" w:rsidRPr="00BD2160">
        <w:rPr>
          <w:rFonts w:cs="Times New Roman"/>
        </w:rPr>
        <w:t xml:space="preserve">Note that although </w:t>
      </w:r>
      <w:r w:rsidR="00A15628" w:rsidRPr="00BD2160">
        <w:rPr>
          <w:rFonts w:cs="Times New Roman"/>
          <w:i/>
        </w:rPr>
        <w:t>g</w:t>
      </w:r>
      <w:r w:rsidR="00A15628" w:rsidRPr="00BD2160">
        <w:rPr>
          <w:rFonts w:cs="Times New Roman"/>
          <w:vertAlign w:val="subscript"/>
        </w:rPr>
        <w:t>s</w:t>
      </w:r>
      <w:r w:rsidR="00BA5B96">
        <w:rPr>
          <w:rFonts w:cs="Times New Roman"/>
          <w:vertAlign w:val="subscript"/>
        </w:rPr>
        <w:t>c</w:t>
      </w:r>
      <w:r w:rsidR="00A15628" w:rsidRPr="00BD2160">
        <w:rPr>
          <w:rFonts w:cs="Times New Roman"/>
        </w:rPr>
        <w:t xml:space="preserve"> has been eliminated from </w:t>
      </w:r>
      <w:r w:rsidR="00BA5B96">
        <w:rPr>
          <w:rFonts w:cs="Times New Roman"/>
        </w:rPr>
        <w:t xml:space="preserve">the right hand side of </w:t>
      </w:r>
      <w:r w:rsidR="00A15628" w:rsidRPr="00BD2160">
        <w:rPr>
          <w:rFonts w:cs="Times New Roman"/>
        </w:rPr>
        <w:t>equation (</w:t>
      </w:r>
      <w:r w:rsidR="008C6104">
        <w:rPr>
          <w:rFonts w:cs="Times New Roman"/>
        </w:rPr>
        <w:t>1</w:t>
      </w:r>
      <w:r w:rsidR="00A15628" w:rsidRPr="00BD2160">
        <w:rPr>
          <w:rFonts w:cs="Times New Roman"/>
        </w:rPr>
        <w:t xml:space="preserve">), stomatal regulation of </w:t>
      </w:r>
      <w:r w:rsidR="006440FA" w:rsidRPr="00BD2160">
        <w:rPr>
          <w:rFonts w:cs="Times New Roman"/>
        </w:rPr>
        <w:t>iWUE</w:t>
      </w:r>
      <w:r w:rsidR="006440FA" w:rsidRPr="001B08EE">
        <w:rPr>
          <w:rFonts w:cs="Times New Roman"/>
          <w:vertAlign w:val="superscript"/>
        </w:rPr>
        <w:t>l</w:t>
      </w:r>
      <w:r w:rsidR="006440FA">
        <w:rPr>
          <w:rFonts w:cs="Times New Roman"/>
          <w:vertAlign w:val="superscript"/>
        </w:rPr>
        <w:t>eaf</w:t>
      </w:r>
      <w:r w:rsidR="00A15628" w:rsidRPr="00BD2160">
        <w:rPr>
          <w:rFonts w:cs="Times New Roman"/>
        </w:rPr>
        <w:t xml:space="preserve"> </w:t>
      </w:r>
      <w:r w:rsidR="00A15628">
        <w:rPr>
          <w:rFonts w:cs="Times New Roman"/>
        </w:rPr>
        <w:t xml:space="preserve">is implicit, as it </w:t>
      </w:r>
      <w:r w:rsidR="00A15628" w:rsidRPr="00BD2160">
        <w:rPr>
          <w:rFonts w:cs="Times New Roman"/>
        </w:rPr>
        <w:t>control</w:t>
      </w:r>
      <w:r w:rsidR="00A15628">
        <w:rPr>
          <w:rFonts w:cs="Times New Roman"/>
        </w:rPr>
        <w:t>s</w:t>
      </w:r>
      <w:r w:rsidR="00A15628" w:rsidRPr="00BD2160">
        <w:rPr>
          <w:rFonts w:cs="Times New Roman"/>
        </w:rPr>
        <w:t xml:space="preserve"> the ratio of</w:t>
      </w:r>
      <w:r w:rsidR="00A15628" w:rsidRPr="00BD2160">
        <w:rPr>
          <w:rFonts w:cs="Times New Roman"/>
          <w:i/>
        </w:rPr>
        <w:t xml:space="preserve"> c</w:t>
      </w:r>
      <w:r w:rsidR="00A15628" w:rsidRPr="00BD2160">
        <w:rPr>
          <w:rFonts w:cs="Times New Roman"/>
          <w:vertAlign w:val="subscript"/>
        </w:rPr>
        <w:t>i</w:t>
      </w:r>
      <w:r w:rsidR="00A15628" w:rsidRPr="00BD2160">
        <w:rPr>
          <w:rFonts w:cs="Times New Roman"/>
        </w:rPr>
        <w:t xml:space="preserve"> to </w:t>
      </w:r>
      <w:r w:rsidR="00A15628" w:rsidRPr="00BD2160">
        <w:rPr>
          <w:rFonts w:cs="Times New Roman"/>
          <w:i/>
        </w:rPr>
        <w:t>c</w:t>
      </w:r>
      <w:r w:rsidR="00A15628" w:rsidRPr="00BD2160">
        <w:rPr>
          <w:rFonts w:cs="Times New Roman"/>
          <w:vertAlign w:val="subscript"/>
        </w:rPr>
        <w:t>a</w:t>
      </w:r>
      <w:r w:rsidR="00A15628" w:rsidRPr="00BD2160">
        <w:rPr>
          <w:rFonts w:cs="Times New Roman"/>
        </w:rPr>
        <w:t xml:space="preserve">. </w:t>
      </w:r>
      <w:r w:rsidR="001A2877">
        <w:rPr>
          <w:rFonts w:cs="Times New Roman"/>
        </w:rPr>
        <w:t>E</w:t>
      </w:r>
      <w:r w:rsidR="00AD5B57" w:rsidRPr="00BD2160">
        <w:rPr>
          <w:rFonts w:cs="Times New Roman"/>
        </w:rPr>
        <w:t>quation</w:t>
      </w:r>
      <w:r w:rsidR="001A2877">
        <w:rPr>
          <w:rFonts w:cs="Times New Roman"/>
        </w:rPr>
        <w:t xml:space="preserve"> (</w:t>
      </w:r>
      <w:r w:rsidR="00077418">
        <w:rPr>
          <w:rFonts w:cs="Times New Roman"/>
        </w:rPr>
        <w:t>1</w:t>
      </w:r>
      <w:r w:rsidR="001A2877">
        <w:rPr>
          <w:rFonts w:cs="Times New Roman"/>
        </w:rPr>
        <w:t xml:space="preserve">) </w:t>
      </w:r>
      <w:r w:rsidR="00F975B4">
        <w:rPr>
          <w:rFonts w:cs="Times New Roman"/>
        </w:rPr>
        <w:t>predicts</w:t>
      </w:r>
      <w:r w:rsidR="00AD5B57" w:rsidRPr="00BD2160">
        <w:rPr>
          <w:rFonts w:cs="Times New Roman"/>
        </w:rPr>
        <w:t xml:space="preserve"> that</w:t>
      </w:r>
      <w:r w:rsidR="00046E17">
        <w:rPr>
          <w:rFonts w:cs="Times New Roman"/>
        </w:rPr>
        <w:t xml:space="preserve"> </w:t>
      </w:r>
      <w:r w:rsidR="00046E17" w:rsidRPr="00BD2160">
        <w:rPr>
          <w:rFonts w:cs="Times New Roman"/>
        </w:rPr>
        <w:t>iWUE</w:t>
      </w:r>
      <w:r w:rsidR="00046E17" w:rsidRPr="001B08EE">
        <w:rPr>
          <w:rFonts w:cs="Times New Roman"/>
          <w:vertAlign w:val="superscript"/>
        </w:rPr>
        <w:t>l</w:t>
      </w:r>
      <w:r w:rsidR="00046E17">
        <w:rPr>
          <w:rFonts w:cs="Times New Roman"/>
          <w:vertAlign w:val="superscript"/>
        </w:rPr>
        <w:t>eaf</w:t>
      </w:r>
      <w:r w:rsidR="00AD5B57" w:rsidRPr="00BD2160">
        <w:rPr>
          <w:rFonts w:cs="Times New Roman"/>
        </w:rPr>
        <w:t xml:space="preserve"> should increase with </w:t>
      </w:r>
      <w:r w:rsidR="00AD5B57" w:rsidRPr="00BD2160">
        <w:rPr>
          <w:rFonts w:cs="Times New Roman"/>
          <w:i/>
        </w:rPr>
        <w:t>c</w:t>
      </w:r>
      <w:r w:rsidR="00AD5B57" w:rsidRPr="00BD2160">
        <w:rPr>
          <w:rFonts w:cs="Times New Roman"/>
          <w:vertAlign w:val="subscript"/>
        </w:rPr>
        <w:t>a</w:t>
      </w:r>
      <w:r w:rsidR="00580485">
        <w:rPr>
          <w:rFonts w:cs="Times New Roman"/>
        </w:rPr>
        <w:t xml:space="preserve"> and</w:t>
      </w:r>
      <w:r w:rsidR="00AD5B57" w:rsidRPr="00BD2160">
        <w:rPr>
          <w:rFonts w:cs="Times New Roman"/>
        </w:rPr>
        <w:t xml:space="preserve"> vary if </w:t>
      </w:r>
      <w:r w:rsidR="00AD5B57" w:rsidRPr="00BD2160">
        <w:rPr>
          <w:rFonts w:cs="Times New Roman"/>
          <w:i/>
          <w:color w:val="000000" w:themeColor="text1"/>
        </w:rPr>
        <w:t>c</w:t>
      </w:r>
      <w:r w:rsidR="00AD5B57" w:rsidRPr="00BD2160">
        <w:rPr>
          <w:rFonts w:cs="Times New Roman"/>
          <w:color w:val="000000" w:themeColor="text1"/>
          <w:vertAlign w:val="subscript"/>
        </w:rPr>
        <w:t>i</w:t>
      </w:r>
      <w:r w:rsidR="00AD5B57" w:rsidRPr="00BD2160">
        <w:rPr>
          <w:rFonts w:cs="Times New Roman"/>
          <w:color w:val="000000" w:themeColor="text1"/>
        </w:rPr>
        <w:t>/</w:t>
      </w:r>
      <w:r w:rsidR="00AD5B57" w:rsidRPr="00BD2160">
        <w:rPr>
          <w:rFonts w:cs="Times New Roman"/>
          <w:i/>
          <w:color w:val="000000" w:themeColor="text1"/>
        </w:rPr>
        <w:t>c</w:t>
      </w:r>
      <w:r w:rsidR="00AD5B57" w:rsidRPr="00BD2160">
        <w:rPr>
          <w:rFonts w:cs="Times New Roman"/>
          <w:color w:val="000000" w:themeColor="text1"/>
          <w:vertAlign w:val="subscript"/>
        </w:rPr>
        <w:t xml:space="preserve">a </w:t>
      </w:r>
      <w:r w:rsidR="00AD5B57" w:rsidRPr="00BD2160">
        <w:rPr>
          <w:rFonts w:cs="Times New Roman"/>
          <w:color w:val="000000" w:themeColor="text1"/>
        </w:rPr>
        <w:t xml:space="preserve">varies. </w:t>
      </w:r>
      <w:r w:rsidR="00316A84">
        <w:rPr>
          <w:rFonts w:cs="Times New Roman"/>
        </w:rPr>
        <w:t>T</w:t>
      </w:r>
      <w:r w:rsidR="00F62003">
        <w:rPr>
          <w:rFonts w:cs="Times New Roman"/>
        </w:rPr>
        <w:t>he only unknown</w:t>
      </w:r>
      <w:r w:rsidR="00316A84">
        <w:rPr>
          <w:rFonts w:cs="Times New Roman"/>
        </w:rPr>
        <w:t xml:space="preserve"> in this equation</w:t>
      </w:r>
      <w:r w:rsidR="00F62003">
        <w:rPr>
          <w:rFonts w:cs="Times New Roman"/>
        </w:rPr>
        <w:t xml:space="preserve"> </w:t>
      </w:r>
      <w:r w:rsidR="00316A84">
        <w:rPr>
          <w:rFonts w:cs="Times New Roman"/>
        </w:rPr>
        <w:t>is</w:t>
      </w:r>
      <w:r w:rsidR="008E45FA">
        <w:rPr>
          <w:rFonts w:cs="Times New Roman"/>
        </w:rPr>
        <w:t xml:space="preserve"> </w:t>
      </w:r>
      <w:r w:rsidR="00D16145" w:rsidRPr="00BD2160">
        <w:rPr>
          <w:rFonts w:cs="Times New Roman"/>
          <w:i/>
          <w:color w:val="000000" w:themeColor="text1"/>
        </w:rPr>
        <w:t>c</w:t>
      </w:r>
      <w:r w:rsidR="00D16145" w:rsidRPr="00BD2160">
        <w:rPr>
          <w:rFonts w:cs="Times New Roman"/>
          <w:color w:val="000000" w:themeColor="text1"/>
          <w:vertAlign w:val="subscript"/>
        </w:rPr>
        <w:t>i</w:t>
      </w:r>
      <w:r w:rsidR="00D16145" w:rsidRPr="00BD2160">
        <w:rPr>
          <w:rFonts w:cs="Times New Roman"/>
          <w:color w:val="000000" w:themeColor="text1"/>
        </w:rPr>
        <w:t>/</w:t>
      </w:r>
      <w:r w:rsidR="00D16145" w:rsidRPr="00BD2160">
        <w:rPr>
          <w:rFonts w:cs="Times New Roman"/>
          <w:i/>
          <w:color w:val="000000" w:themeColor="text1"/>
        </w:rPr>
        <w:t>c</w:t>
      </w:r>
      <w:r w:rsidR="00D16145" w:rsidRPr="00BD2160">
        <w:rPr>
          <w:rFonts w:cs="Times New Roman"/>
          <w:color w:val="000000" w:themeColor="text1"/>
          <w:vertAlign w:val="subscript"/>
        </w:rPr>
        <w:t>a</w:t>
      </w:r>
      <w:r w:rsidR="000078FB">
        <w:rPr>
          <w:rFonts w:cs="Times New Roman"/>
        </w:rPr>
        <w:t>, which</w:t>
      </w:r>
      <w:r w:rsidR="00061697">
        <w:rPr>
          <w:rFonts w:cs="Times New Roman"/>
        </w:rPr>
        <w:t xml:space="preserve"> can be estimated using </w:t>
      </w:r>
      <w:r w:rsidR="00825C39">
        <w:rPr>
          <w:rFonts w:cs="Times New Roman"/>
        </w:rPr>
        <w:t xml:space="preserve">stable carbon isotopic composition of plant materials. </w:t>
      </w:r>
      <w:r w:rsidR="00D06E5D">
        <w:rPr>
          <w:rFonts w:cs="Times New Roman"/>
        </w:rPr>
        <w:t>D</w:t>
      </w:r>
      <w:r w:rsidR="00987AD1">
        <w:rPr>
          <w:rFonts w:cs="Times New Roman"/>
        </w:rPr>
        <w:t>uring CO</w:t>
      </w:r>
      <w:r w:rsidR="00987AD1" w:rsidRPr="00D06E5D">
        <w:rPr>
          <w:rFonts w:cs="Times New Roman"/>
          <w:vertAlign w:val="subscript"/>
        </w:rPr>
        <w:t>2</w:t>
      </w:r>
      <w:r w:rsidR="00987AD1">
        <w:rPr>
          <w:rFonts w:cs="Times New Roman"/>
        </w:rPr>
        <w:t xml:space="preserve"> diffusion through the stomata</w:t>
      </w:r>
      <w:r w:rsidR="00D06E5D">
        <w:rPr>
          <w:rFonts w:cs="Times New Roman"/>
        </w:rPr>
        <w:t xml:space="preserve"> and </w:t>
      </w:r>
      <w:r w:rsidR="000F4649">
        <w:rPr>
          <w:rFonts w:cs="Times New Roman"/>
        </w:rPr>
        <w:t>photosynthesis</w:t>
      </w:r>
      <w:r w:rsidR="00D06E5D">
        <w:rPr>
          <w:rFonts w:cs="Times New Roman"/>
        </w:rPr>
        <w:t xml:space="preserve">, plants assimilate more </w:t>
      </w:r>
      <w:r w:rsidR="009C59A5">
        <w:rPr>
          <w:rFonts w:cs="Times New Roman"/>
        </w:rPr>
        <w:t>rapid</w:t>
      </w:r>
      <w:r w:rsidR="00D06E5D">
        <w:rPr>
          <w:rFonts w:cs="Times New Roman"/>
        </w:rPr>
        <w:t xml:space="preserve">ly </w:t>
      </w:r>
      <w:r w:rsidR="00D06E5D" w:rsidRPr="00BD2160">
        <w:rPr>
          <w:rFonts w:cs="Times New Roman"/>
        </w:rPr>
        <w:t xml:space="preserve">the </w:t>
      </w:r>
      <w:r w:rsidR="00D06E5D">
        <w:rPr>
          <w:rFonts w:cs="Times New Roman"/>
        </w:rPr>
        <w:t>light</w:t>
      </w:r>
      <w:r w:rsidR="00D06E5D" w:rsidRPr="00BD2160">
        <w:rPr>
          <w:rFonts w:cs="Times New Roman"/>
        </w:rPr>
        <w:t xml:space="preserve">er </w:t>
      </w:r>
      <w:r w:rsidR="00D06E5D" w:rsidRPr="00BD2160">
        <w:rPr>
          <w:rFonts w:cs="Times New Roman"/>
          <w:vertAlign w:val="superscript"/>
        </w:rPr>
        <w:t>1</w:t>
      </w:r>
      <w:r w:rsidR="00D06E5D">
        <w:rPr>
          <w:rFonts w:cs="Times New Roman"/>
          <w:vertAlign w:val="superscript"/>
        </w:rPr>
        <w:t>2</w:t>
      </w:r>
      <w:r w:rsidR="00D06E5D" w:rsidRPr="00BD2160">
        <w:rPr>
          <w:rFonts w:cs="Times New Roman"/>
        </w:rPr>
        <w:t>CO</w:t>
      </w:r>
      <w:r w:rsidR="00D06E5D" w:rsidRPr="00BD2160">
        <w:rPr>
          <w:rFonts w:cs="Times New Roman"/>
          <w:vertAlign w:val="subscript"/>
        </w:rPr>
        <w:t>2</w:t>
      </w:r>
      <w:r w:rsidR="00D06E5D" w:rsidRPr="00BD2160">
        <w:rPr>
          <w:rFonts w:cs="Times New Roman"/>
        </w:rPr>
        <w:t xml:space="preserve"> </w:t>
      </w:r>
      <w:r w:rsidR="00D06E5D">
        <w:rPr>
          <w:rFonts w:cs="Times New Roman"/>
        </w:rPr>
        <w:t>molecules compared to the heavier</w:t>
      </w:r>
      <w:r w:rsidR="00987AD1">
        <w:rPr>
          <w:rFonts w:cs="Times New Roman"/>
        </w:rPr>
        <w:t xml:space="preserve"> </w:t>
      </w:r>
      <w:r w:rsidR="00D06E5D" w:rsidRPr="00BD2160">
        <w:rPr>
          <w:rFonts w:cs="Times New Roman"/>
          <w:vertAlign w:val="superscript"/>
        </w:rPr>
        <w:t>1</w:t>
      </w:r>
      <w:r w:rsidR="00D06E5D">
        <w:rPr>
          <w:rFonts w:cs="Times New Roman"/>
          <w:vertAlign w:val="superscript"/>
        </w:rPr>
        <w:t>3</w:t>
      </w:r>
      <w:r w:rsidR="00D06E5D" w:rsidRPr="00BD2160">
        <w:rPr>
          <w:rFonts w:cs="Times New Roman"/>
        </w:rPr>
        <w:t>CO</w:t>
      </w:r>
      <w:r w:rsidR="00D06E5D" w:rsidRPr="00BD2160">
        <w:rPr>
          <w:rFonts w:cs="Times New Roman"/>
          <w:vertAlign w:val="subscript"/>
        </w:rPr>
        <w:t>2</w:t>
      </w:r>
      <w:r w:rsidR="00D06E5D" w:rsidRPr="00BD2160">
        <w:rPr>
          <w:rFonts w:cs="Times New Roman"/>
        </w:rPr>
        <w:t xml:space="preserve"> </w:t>
      </w:r>
      <w:r w:rsidR="000F4649">
        <w:rPr>
          <w:rFonts w:cs="Times New Roman"/>
        </w:rPr>
        <w:t xml:space="preserve">ones </w:t>
      </w:r>
      <w:r w:rsidR="00F62003" w:rsidRPr="00BD2160">
        <w:rPr>
          <w:rFonts w:cs="Times New Roman"/>
        </w:rPr>
        <w:fldChar w:fldCharType="begin" w:fldLock="1"/>
      </w:r>
      <w:r w:rsidR="00F62003" w:rsidRPr="00BD2160">
        <w:rPr>
          <w:rFonts w:cs="Times New Roman"/>
        </w:rPr>
        <w:instrText>ADDIN CSL_CITATION {"citationItems":[{"id":"ITEM-1","itemData":{"author":[{"dropping-particle":"","family":"Park","given":"R.","non-dropping-particle":"","parse-names":false,"suffix":""},{"dropping-particle":"","family":"Epstein","given":"S.","non-dropping-particle":"","parse-names":false,"suffix":""}],"container-title":"Geochimica et Cosmochimica Acta","id":"ITEM-1","issued":{"date-parts":[["1960"]]},"page":"110-226","title":"Carbon isotope fractionation during photosynthesis.","type":"article-journal","volume":"21"},"uris":["http://www.mendeley.com/documents/?uuid=5a20e3f3-a3b0-4f52-a269-5bbd6d4590dd"]}],"mendeley":{"formattedCitation":"(Park &amp; Epstein, 1960)","plainTextFormattedCitation":"(Park &amp; Epstein, 1960)","previouslyFormattedCitation":"(Park &amp; Epstein, 1960)"},"properties":{"noteIndex":0},"schema":"https://github.com/citation-style-language/schema/raw/master/csl-citation.json"}</w:instrText>
      </w:r>
      <w:r w:rsidR="00F62003" w:rsidRPr="00BD2160">
        <w:rPr>
          <w:rFonts w:cs="Times New Roman"/>
        </w:rPr>
        <w:fldChar w:fldCharType="separate"/>
      </w:r>
      <w:r w:rsidR="00F62003" w:rsidRPr="00BD2160">
        <w:rPr>
          <w:rFonts w:cs="Times New Roman"/>
          <w:noProof/>
        </w:rPr>
        <w:t>(Park &amp; Epstein, 1960)</w:t>
      </w:r>
      <w:r w:rsidR="00F62003" w:rsidRPr="00BD2160">
        <w:rPr>
          <w:rFonts w:cs="Times New Roman"/>
        </w:rPr>
        <w:fldChar w:fldCharType="end"/>
      </w:r>
      <w:r w:rsidR="00F62003" w:rsidRPr="00BD2160">
        <w:rPr>
          <w:rFonts w:cs="Times New Roman"/>
        </w:rPr>
        <w:t xml:space="preserve">, resulting in a </w:t>
      </w:r>
      <w:r w:rsidR="00F62003">
        <w:rPr>
          <w:rFonts w:cs="Times New Roman"/>
        </w:rPr>
        <w:t xml:space="preserve">quantifiable </w:t>
      </w:r>
      <w:r w:rsidR="00F62003" w:rsidRPr="00BD2160">
        <w:rPr>
          <w:rFonts w:cs="Times New Roman"/>
        </w:rPr>
        <w:t xml:space="preserve">discrimination against </w:t>
      </w:r>
      <w:r w:rsidR="00F62003" w:rsidRPr="00BD2160">
        <w:rPr>
          <w:rFonts w:cs="Times New Roman"/>
          <w:vertAlign w:val="superscript"/>
        </w:rPr>
        <w:t>13</w:t>
      </w:r>
      <w:r w:rsidR="00F62003" w:rsidRPr="00BD2160">
        <w:rPr>
          <w:rFonts w:cs="Times New Roman"/>
        </w:rPr>
        <w:t>C (∆</w:t>
      </w:r>
      <w:r w:rsidR="00F62003" w:rsidRPr="00BD2160">
        <w:rPr>
          <w:rFonts w:cs="Times New Roman"/>
          <w:vertAlign w:val="superscript"/>
        </w:rPr>
        <w:t>13</w:t>
      </w:r>
      <w:r w:rsidR="00F62003" w:rsidRPr="00BD2160">
        <w:rPr>
          <w:rFonts w:cs="Times New Roman"/>
        </w:rPr>
        <w:t xml:space="preserve">C). </w:t>
      </w:r>
      <w:r w:rsidR="00F62003" w:rsidRPr="00BD2160">
        <w:rPr>
          <w:rFonts w:cs="Times New Roman"/>
          <w:color w:val="000000" w:themeColor="text1"/>
        </w:rPr>
        <w:t xml:space="preserve">The calculation of </w:t>
      </w:r>
      <w:r w:rsidR="00F62003" w:rsidRPr="00BD2160">
        <w:rPr>
          <w:rFonts w:cs="Times New Roman"/>
        </w:rPr>
        <w:t>∆</w:t>
      </w:r>
      <w:r w:rsidR="00F62003" w:rsidRPr="00BD2160">
        <w:rPr>
          <w:rFonts w:cs="Times New Roman"/>
          <w:vertAlign w:val="superscript"/>
        </w:rPr>
        <w:t>13</w:t>
      </w:r>
      <w:r w:rsidR="00F62003" w:rsidRPr="00BD2160">
        <w:rPr>
          <w:rFonts w:cs="Times New Roman"/>
        </w:rPr>
        <w:t xml:space="preserve">C </w:t>
      </w:r>
      <w:r w:rsidR="00F62003">
        <w:rPr>
          <w:rFonts w:cs="Times New Roman"/>
        </w:rPr>
        <w:t>(</w:t>
      </w:r>
      <w:r w:rsidR="00F62003" w:rsidRPr="00BD2160">
        <w:rPr>
          <w:rFonts w:cs="Times New Roman"/>
        </w:rPr>
        <w:t>‰</w:t>
      </w:r>
      <w:r w:rsidR="00F62003">
        <w:rPr>
          <w:rFonts w:cs="Times New Roman"/>
        </w:rPr>
        <w:t xml:space="preserve">) </w:t>
      </w:r>
      <w:r w:rsidR="00F62003" w:rsidRPr="00BD2160">
        <w:rPr>
          <w:rFonts w:cs="Times New Roman"/>
        </w:rPr>
        <w:t xml:space="preserve">requires only knowledge of </w:t>
      </w:r>
      <w:r w:rsidR="00F62003" w:rsidRPr="00BD2160">
        <w:rPr>
          <w:rFonts w:cs="Times New Roman"/>
          <w:lang w:val="el-GR"/>
        </w:rPr>
        <w:t>δ</w:t>
      </w:r>
      <w:r w:rsidR="00F62003" w:rsidRPr="00BD2160">
        <w:rPr>
          <w:rFonts w:cs="Times New Roman"/>
          <w:vertAlign w:val="superscript"/>
        </w:rPr>
        <w:t>13</w:t>
      </w:r>
      <w:r w:rsidR="00F62003" w:rsidRPr="00BD2160">
        <w:rPr>
          <w:rFonts w:cs="Times New Roman"/>
        </w:rPr>
        <w:t>C of the plant material</w:t>
      </w:r>
      <w:r w:rsidR="00F62003">
        <w:rPr>
          <w:rFonts w:cs="Times New Roman"/>
        </w:rPr>
        <w:t xml:space="preserve"> (</w:t>
      </w:r>
      <w:r w:rsidR="00F62003" w:rsidRPr="000E374D">
        <w:rPr>
          <w:rFonts w:cs="Times New Roman"/>
          <w:lang w:val="el-GR"/>
        </w:rPr>
        <w:t>δ</w:t>
      </w:r>
      <w:r w:rsidR="00F62003" w:rsidRPr="000E374D">
        <w:rPr>
          <w:rFonts w:cs="Times New Roman"/>
          <w:vertAlign w:val="superscript"/>
          <w:lang w:val="el-GR"/>
        </w:rPr>
        <w:t>13</w:t>
      </w:r>
      <w:r w:rsidR="00F62003" w:rsidRPr="000E374D">
        <w:rPr>
          <w:rFonts w:cs="Times New Roman"/>
        </w:rPr>
        <w:t>C</w:t>
      </w:r>
      <w:r w:rsidR="00F62003" w:rsidRPr="000E374D">
        <w:rPr>
          <w:rFonts w:cs="Times New Roman"/>
          <w:vertAlign w:val="subscript"/>
        </w:rPr>
        <w:t>P</w:t>
      </w:r>
      <w:r w:rsidR="00F62003">
        <w:rPr>
          <w:rFonts w:cs="Times New Roman"/>
        </w:rPr>
        <w:t xml:space="preserve">, </w:t>
      </w:r>
      <w:r w:rsidR="00F62003" w:rsidRPr="000E374D">
        <w:rPr>
          <w:rFonts w:cs="Times New Roman"/>
        </w:rPr>
        <w:t>i</w:t>
      </w:r>
      <w:r w:rsidR="00F62003" w:rsidRPr="00F85E4F">
        <w:rPr>
          <w:rFonts w:cs="Times New Roman"/>
        </w:rPr>
        <w:t>.e.</w:t>
      </w:r>
      <w:r w:rsidR="00F62003" w:rsidRPr="00BD2160">
        <w:rPr>
          <w:rFonts w:cs="Times New Roman"/>
          <w:lang w:val="el-GR"/>
        </w:rPr>
        <w:t xml:space="preserve"> the </w:t>
      </w:r>
      <w:r w:rsidR="00F62003" w:rsidRPr="00BD2160">
        <w:rPr>
          <w:rFonts w:cs="Times New Roman"/>
          <w:color w:val="000000" w:themeColor="text1"/>
        </w:rPr>
        <w:t xml:space="preserve">ratio of </w:t>
      </w:r>
      <w:r w:rsidR="00F62003" w:rsidRPr="00BD2160">
        <w:rPr>
          <w:rFonts w:cs="Times New Roman"/>
          <w:color w:val="000000" w:themeColor="text1"/>
          <w:vertAlign w:val="superscript"/>
        </w:rPr>
        <w:t>13</w:t>
      </w:r>
      <w:r w:rsidR="00F62003" w:rsidRPr="00BD2160">
        <w:rPr>
          <w:rFonts w:cs="Times New Roman"/>
          <w:color w:val="000000" w:themeColor="text1"/>
        </w:rPr>
        <w:t xml:space="preserve">C </w:t>
      </w:r>
      <w:r w:rsidR="00F62003">
        <w:rPr>
          <w:rFonts w:cs="Times New Roman"/>
          <w:color w:val="000000" w:themeColor="text1"/>
        </w:rPr>
        <w:t>to</w:t>
      </w:r>
      <w:r w:rsidR="00F62003" w:rsidRPr="00BD2160">
        <w:rPr>
          <w:rFonts w:cs="Times New Roman"/>
          <w:color w:val="000000" w:themeColor="text1"/>
        </w:rPr>
        <w:t xml:space="preserve"> </w:t>
      </w:r>
      <w:r w:rsidR="00F62003" w:rsidRPr="00BD2160">
        <w:rPr>
          <w:rFonts w:cs="Times New Roman"/>
          <w:color w:val="000000" w:themeColor="text1"/>
          <w:vertAlign w:val="superscript"/>
        </w:rPr>
        <w:t>12</w:t>
      </w:r>
      <w:r w:rsidR="00F62003" w:rsidRPr="00BD2160">
        <w:rPr>
          <w:rFonts w:cs="Times New Roman"/>
          <w:color w:val="000000" w:themeColor="text1"/>
        </w:rPr>
        <w:t xml:space="preserve">C </w:t>
      </w:r>
      <w:r w:rsidR="00F62003" w:rsidRPr="00BD2160">
        <w:rPr>
          <w:rFonts w:cs="Times New Roman"/>
        </w:rPr>
        <w:t xml:space="preserve">of the </w:t>
      </w:r>
      <w:r w:rsidR="00147445">
        <w:rPr>
          <w:rFonts w:cs="Times New Roman"/>
        </w:rPr>
        <w:t>wood component</w:t>
      </w:r>
      <w:r w:rsidR="00F62003" w:rsidRPr="00BD2160">
        <w:rPr>
          <w:rFonts w:cs="Times New Roman"/>
        </w:rPr>
        <w:t xml:space="preserve"> </w:t>
      </w:r>
      <w:r w:rsidR="00F62003" w:rsidRPr="00BD2160">
        <w:rPr>
          <w:rFonts w:cs="Times New Roman"/>
          <w:color w:val="000000" w:themeColor="text1"/>
        </w:rPr>
        <w:t>compared to an internationally accepted standard material)</w:t>
      </w:r>
      <w:r w:rsidR="00F62003">
        <w:rPr>
          <w:rFonts w:cs="Times New Roman"/>
          <w:color w:val="000000" w:themeColor="text1"/>
        </w:rPr>
        <w:t xml:space="preserve">, </w:t>
      </w:r>
      <w:r w:rsidR="00F62003" w:rsidRPr="00BD2160">
        <w:rPr>
          <w:rFonts w:cs="Times New Roman"/>
        </w:rPr>
        <w:t>and that of the ambient air</w:t>
      </w:r>
      <w:r w:rsidR="00F62003">
        <w:rPr>
          <w:rFonts w:cs="Times New Roman"/>
        </w:rPr>
        <w:t xml:space="preserve"> (</w:t>
      </w:r>
      <w:r w:rsidR="00F62003" w:rsidRPr="00BD2160">
        <w:rPr>
          <w:rFonts w:cs="Times New Roman"/>
          <w:lang w:val="el-GR"/>
        </w:rPr>
        <w:t>δ</w:t>
      </w:r>
      <w:r w:rsidR="00F62003" w:rsidRPr="00BD2160">
        <w:rPr>
          <w:rFonts w:cs="Times New Roman"/>
          <w:vertAlign w:val="superscript"/>
          <w:lang w:val="el-GR"/>
        </w:rPr>
        <w:t>13</w:t>
      </w:r>
      <w:r w:rsidR="00F62003" w:rsidRPr="00BD2160">
        <w:rPr>
          <w:rFonts w:cs="Times New Roman"/>
        </w:rPr>
        <w:t>C</w:t>
      </w:r>
      <w:r w:rsidR="00F62003" w:rsidRPr="00BD2160">
        <w:rPr>
          <w:rFonts w:cs="Times New Roman"/>
          <w:vertAlign w:val="subscript"/>
        </w:rPr>
        <w:t>atm</w:t>
      </w:r>
      <w:r w:rsidR="00F62003" w:rsidRPr="007E4B63">
        <w:rPr>
          <w:rFonts w:cs="Times New Roman"/>
        </w:rPr>
        <w:t>)</w:t>
      </w:r>
      <w:r w:rsidR="00F62003">
        <w:rPr>
          <w:rFonts w:cs="Times New Roman"/>
        </w:rPr>
        <w:t>:</w:t>
      </w:r>
      <w:r w:rsidR="00F62003" w:rsidRPr="00BD2160">
        <w:rPr>
          <w:rFonts w:cs="Times New Roman"/>
        </w:rPr>
        <w:t xml:space="preserve"> </w:t>
      </w:r>
    </w:p>
    <w:p w14:paraId="18BF9D7B" w14:textId="0CDBF321" w:rsidR="00F62003" w:rsidRPr="00BD2160" w:rsidRDefault="00E31184">
      <w:pPr>
        <w:pStyle w:val="Body"/>
        <w:spacing w:before="240" w:line="360" w:lineRule="auto"/>
        <w:ind w:left="720"/>
        <w:jc w:val="both"/>
        <w:rPr>
          <w:rFonts w:cs="Times New Roman"/>
        </w:rPr>
      </w:pPr>
      <m:oMath>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13</m:t>
            </m:r>
          </m:sup>
        </m:sSup>
        <m:r>
          <m:rPr>
            <m:sty m:val="p"/>
          </m:rPr>
          <w:rPr>
            <w:rFonts w:ascii="Cambria Math" w:hAnsi="Cambria Math" w:cs="Times New Roman"/>
          </w:rPr>
          <m:t>C=</m:t>
        </m:r>
        <m:f>
          <m:fPr>
            <m:ctrlPr>
              <w:rPr>
                <w:rFonts w:ascii="Cambria Math" w:hAnsi="Cambria Math" w:cs="Times New Roman"/>
              </w:rPr>
            </m:ctrlPr>
          </m:fPr>
          <m:num>
            <m:sSup>
              <m:sSupPr>
                <m:ctrlPr>
                  <w:rPr>
                    <w:rFonts w:ascii="Cambria Math" w:hAnsi="Cambria Math" w:cs="Times New Roman"/>
                    <w:i/>
                  </w:rPr>
                </m:ctrlPr>
              </m:sSupPr>
              <m:e>
                <m:r>
                  <m:rPr>
                    <m:sty m:val="p"/>
                  </m:rPr>
                  <w:rPr>
                    <w:rFonts w:ascii="Cambria Math" w:hAnsi="Cambria Math" w:cs="Times New Roman"/>
                  </w:rPr>
                  <m:t>δ</m:t>
                </m:r>
              </m:e>
              <m:sup>
                <m:r>
                  <w:rPr>
                    <w:rFonts w:ascii="Cambria Math" w:hAnsi="Cambria Math" w:cs="Times New Roman"/>
                  </w:rPr>
                  <m:t>13</m:t>
                </m:r>
              </m:sup>
            </m:sSup>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atm</m:t>
                </m:r>
              </m:sub>
            </m:sSub>
            <m:r>
              <w:rPr>
                <w:rFonts w:ascii="Cambria Math" w:hAnsi="Cambria Math" w:cs="Times New Roman"/>
              </w:rPr>
              <m:t>-</m:t>
            </m:r>
            <m:sSup>
              <m:sSupPr>
                <m:ctrlPr>
                  <w:rPr>
                    <w:rFonts w:ascii="Cambria Math" w:hAnsi="Cambria Math" w:cs="Times New Roman"/>
                    <w:i/>
                  </w:rPr>
                </m:ctrlPr>
              </m:sSupPr>
              <m:e>
                <m:r>
                  <m:rPr>
                    <m:sty m:val="p"/>
                  </m:rPr>
                  <w:rPr>
                    <w:rFonts w:ascii="Cambria Math" w:hAnsi="Cambria Math" w:cs="Times New Roman"/>
                  </w:rPr>
                  <m:t>δ</m:t>
                </m:r>
              </m:e>
              <m:sup>
                <m:r>
                  <w:rPr>
                    <w:rFonts w:ascii="Cambria Math" w:hAnsi="Cambria Math" w:cs="Times New Roman"/>
                  </w:rPr>
                  <m:t>13</m:t>
                </m:r>
              </m:sup>
            </m:sSup>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P</m:t>
                </m:r>
              </m:sub>
            </m:sSub>
          </m:num>
          <m:den>
            <m:r>
              <w:rPr>
                <w:rFonts w:ascii="Cambria Math" w:hAnsi="Cambria Math" w:cs="Times New Roman"/>
              </w:rPr>
              <m:t>1+</m:t>
            </m:r>
            <m:f>
              <m:fPr>
                <m:type m:val="lin"/>
                <m:ctrlPr>
                  <w:rPr>
                    <w:rFonts w:ascii="Cambria Math" w:hAnsi="Cambria Math" w:cs="Times New Roman"/>
                    <w:i/>
                  </w:rPr>
                </m:ctrlPr>
              </m:fPr>
              <m:num>
                <m:sSup>
                  <m:sSupPr>
                    <m:ctrlPr>
                      <w:rPr>
                        <w:rFonts w:ascii="Cambria Math" w:hAnsi="Cambria Math" w:cs="Times New Roman"/>
                        <w:i/>
                      </w:rPr>
                    </m:ctrlPr>
                  </m:sSupPr>
                  <m:e>
                    <m:r>
                      <m:rPr>
                        <m:sty m:val="p"/>
                      </m:rPr>
                      <w:rPr>
                        <w:rFonts w:ascii="Cambria Math" w:hAnsi="Cambria Math" w:cs="Times New Roman"/>
                      </w:rPr>
                      <m:t>δ</m:t>
                    </m:r>
                  </m:e>
                  <m:sup>
                    <m:r>
                      <w:rPr>
                        <w:rFonts w:ascii="Cambria Math" w:hAnsi="Cambria Math" w:cs="Times New Roman"/>
                      </w:rPr>
                      <m:t>13</m:t>
                    </m:r>
                  </m:sup>
                </m:sSup>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P</m:t>
                    </m:r>
                  </m:sub>
                </m:sSub>
              </m:num>
              <m:den>
                <m:r>
                  <w:rPr>
                    <w:rFonts w:ascii="Cambria Math" w:hAnsi="Cambria Math" w:cs="Times New Roman"/>
                  </w:rPr>
                  <m:t>1000</m:t>
                </m:r>
              </m:den>
            </m:f>
          </m:den>
        </m:f>
      </m:oMath>
      <w:r w:rsidR="00F62003" w:rsidRPr="00BD2160">
        <w:rPr>
          <w:rFonts w:cs="Times New Roman"/>
        </w:rPr>
        <w:t xml:space="preserve"> </w:t>
      </w:r>
      <w:r w:rsidR="00F62003" w:rsidRPr="00BD2160">
        <w:rPr>
          <w:rFonts w:cs="Times New Roman"/>
        </w:rPr>
        <w:tab/>
      </w:r>
      <w:r w:rsidR="00F62003" w:rsidRPr="00BD2160">
        <w:rPr>
          <w:rFonts w:cs="Times New Roman"/>
        </w:rPr>
        <w:tab/>
      </w:r>
      <w:r w:rsidR="00F62003" w:rsidRPr="00BD2160">
        <w:rPr>
          <w:rFonts w:cs="Times New Roman"/>
        </w:rPr>
        <w:tab/>
      </w:r>
      <w:r w:rsidR="00F62003" w:rsidRPr="00BD2160">
        <w:rPr>
          <w:rFonts w:cs="Times New Roman"/>
        </w:rPr>
        <w:tab/>
      </w:r>
      <w:r w:rsidR="00F62003" w:rsidRPr="00BD2160">
        <w:rPr>
          <w:rFonts w:cs="Times New Roman"/>
        </w:rPr>
        <w:tab/>
      </w:r>
      <w:r w:rsidR="00F62003" w:rsidRPr="00BD2160">
        <w:rPr>
          <w:rFonts w:cs="Times New Roman"/>
        </w:rPr>
        <w:tab/>
      </w:r>
      <w:r w:rsidR="00F62003" w:rsidRPr="00BD2160">
        <w:rPr>
          <w:rFonts w:cs="Times New Roman"/>
        </w:rPr>
        <w:tab/>
      </w:r>
      <w:r w:rsidR="00F62003" w:rsidRPr="00BD2160">
        <w:rPr>
          <w:rFonts w:cs="Times New Roman"/>
        </w:rPr>
        <w:tab/>
        <w:t>(</w:t>
      </w:r>
      <w:r w:rsidR="002E23D9">
        <w:rPr>
          <w:rFonts w:cs="Times New Roman"/>
        </w:rPr>
        <w:t>2</w:t>
      </w:r>
      <w:r w:rsidR="00F62003" w:rsidRPr="00BD2160">
        <w:rPr>
          <w:rFonts w:cs="Times New Roman"/>
        </w:rPr>
        <w:t>)</w:t>
      </w:r>
    </w:p>
    <w:p w14:paraId="1985D1EB" w14:textId="02EB19F0" w:rsidR="008A3A81" w:rsidRDefault="00EA038A">
      <w:pPr>
        <w:pStyle w:val="Body"/>
        <w:spacing w:before="240" w:line="360" w:lineRule="auto"/>
        <w:jc w:val="both"/>
        <w:rPr>
          <w:rFonts w:cs="Times New Roman"/>
          <w:color w:val="000000" w:themeColor="text1"/>
        </w:rPr>
      </w:pPr>
      <w:r w:rsidRPr="00BD2160">
        <w:rPr>
          <w:rFonts w:cs="Times New Roman"/>
          <w:color w:val="000000" w:themeColor="text1"/>
        </w:rPr>
        <w:t>In C</w:t>
      </w:r>
      <w:r w:rsidRPr="00BD2160">
        <w:rPr>
          <w:rFonts w:cs="Times New Roman"/>
          <w:color w:val="000000" w:themeColor="text1"/>
          <w:vertAlign w:val="subscript"/>
        </w:rPr>
        <w:t>3</w:t>
      </w:r>
      <w:r w:rsidRPr="00BD2160">
        <w:rPr>
          <w:rFonts w:cs="Times New Roman"/>
          <w:color w:val="000000" w:themeColor="text1"/>
        </w:rPr>
        <w:t xml:space="preserve"> plants, ∆</w:t>
      </w:r>
      <w:r w:rsidRPr="00BD2160">
        <w:rPr>
          <w:rFonts w:cs="Times New Roman"/>
          <w:color w:val="000000" w:themeColor="text1"/>
          <w:vertAlign w:val="superscript"/>
        </w:rPr>
        <w:t>13</w:t>
      </w:r>
      <w:r w:rsidRPr="00BD2160">
        <w:rPr>
          <w:rFonts w:cs="Times New Roman"/>
          <w:color w:val="000000" w:themeColor="text1"/>
        </w:rPr>
        <w:t>C depends principally on the gradient of concentration of CO</w:t>
      </w:r>
      <w:r w:rsidRPr="00BD2160">
        <w:rPr>
          <w:rFonts w:cs="Times New Roman"/>
          <w:color w:val="000000" w:themeColor="text1"/>
          <w:vertAlign w:val="subscript"/>
        </w:rPr>
        <w:t>2</w:t>
      </w:r>
      <w:r w:rsidRPr="00BD2160">
        <w:rPr>
          <w:rFonts w:cs="Times New Roman"/>
          <w:color w:val="000000" w:themeColor="text1"/>
        </w:rPr>
        <w:t xml:space="preserve"> from the external atmosphere to the intercellular spaces, and therefore on </w:t>
      </w:r>
      <w:r w:rsidRPr="00BD2160">
        <w:rPr>
          <w:rFonts w:cs="Times New Roman"/>
          <w:i/>
          <w:color w:val="000000" w:themeColor="text1"/>
        </w:rPr>
        <w:t>c</w:t>
      </w:r>
      <w:r w:rsidRPr="00BD2160">
        <w:rPr>
          <w:rFonts w:cs="Times New Roman"/>
          <w:color w:val="000000" w:themeColor="text1"/>
          <w:vertAlign w:val="subscript"/>
        </w:rPr>
        <w:t>i</w:t>
      </w:r>
      <w:r w:rsidRPr="00BD2160">
        <w:rPr>
          <w:rFonts w:cs="Times New Roman"/>
          <w:color w:val="000000" w:themeColor="text1"/>
        </w:rPr>
        <w:t>/</w:t>
      </w:r>
      <w:r w:rsidRPr="00BD2160">
        <w:rPr>
          <w:rFonts w:cs="Times New Roman"/>
          <w:i/>
          <w:color w:val="000000" w:themeColor="text1"/>
        </w:rPr>
        <w:t>c</w:t>
      </w:r>
      <w:r w:rsidRPr="00BD2160">
        <w:rPr>
          <w:rFonts w:cs="Times New Roman"/>
          <w:color w:val="000000" w:themeColor="text1"/>
          <w:vertAlign w:val="subscript"/>
        </w:rPr>
        <w:t>a</w:t>
      </w:r>
      <w:r w:rsidRPr="00BD2160">
        <w:rPr>
          <w:rFonts w:cs="Times New Roman"/>
          <w:color w:val="000000" w:themeColor="text1"/>
        </w:rPr>
        <w:t xml:space="preserve">. Thus, estimating </w:t>
      </w:r>
      <w:r w:rsidRPr="00BD2160">
        <w:rPr>
          <w:rFonts w:cs="Times New Roman"/>
          <w:i/>
          <w:color w:val="000000" w:themeColor="text1"/>
        </w:rPr>
        <w:t>c</w:t>
      </w:r>
      <w:r w:rsidRPr="00BD2160">
        <w:rPr>
          <w:rFonts w:cs="Times New Roman"/>
          <w:color w:val="000000" w:themeColor="text1"/>
          <w:vertAlign w:val="subscript"/>
        </w:rPr>
        <w:t>i</w:t>
      </w:r>
      <w:r w:rsidRPr="00BD2160">
        <w:rPr>
          <w:rFonts w:cs="Times New Roman"/>
          <w:color w:val="000000" w:themeColor="text1"/>
        </w:rPr>
        <w:t>/</w:t>
      </w:r>
      <w:r w:rsidRPr="00BD2160">
        <w:rPr>
          <w:rFonts w:cs="Times New Roman"/>
          <w:i/>
          <w:color w:val="000000" w:themeColor="text1"/>
        </w:rPr>
        <w:t>c</w:t>
      </w:r>
      <w:r w:rsidRPr="00BD2160">
        <w:rPr>
          <w:rFonts w:cs="Times New Roman"/>
          <w:color w:val="000000" w:themeColor="text1"/>
          <w:vertAlign w:val="subscript"/>
        </w:rPr>
        <w:t>a</w:t>
      </w:r>
      <w:r w:rsidRPr="00BD2160">
        <w:rPr>
          <w:rFonts w:cs="Times New Roman"/>
          <w:color w:val="000000" w:themeColor="text1"/>
        </w:rPr>
        <w:t xml:space="preserve"> from </w:t>
      </w:r>
      <w:r w:rsidRPr="00BD2160">
        <w:rPr>
          <w:rFonts w:cs="Times New Roman"/>
          <w:lang w:val="el-GR"/>
        </w:rPr>
        <w:t>δ</w:t>
      </w:r>
      <w:r w:rsidRPr="00BD2160">
        <w:rPr>
          <w:rFonts w:cs="Times New Roman"/>
          <w:vertAlign w:val="superscript"/>
        </w:rPr>
        <w:t>13</w:t>
      </w:r>
      <w:r w:rsidRPr="00BD2160">
        <w:rPr>
          <w:rFonts w:cs="Times New Roman"/>
        </w:rPr>
        <w:t>C</w:t>
      </w:r>
      <w:r w:rsidRPr="00BD2160">
        <w:rPr>
          <w:rFonts w:cs="Times New Roman"/>
          <w:color w:val="000000" w:themeColor="text1"/>
        </w:rPr>
        <w:t xml:space="preserve"> </w:t>
      </w:r>
      <w:r>
        <w:rPr>
          <w:rFonts w:cs="Times New Roman"/>
          <w:color w:val="000000" w:themeColor="text1"/>
        </w:rPr>
        <w:t>measured in</w:t>
      </w:r>
      <w:r w:rsidRPr="00BD2160">
        <w:rPr>
          <w:rFonts w:cs="Times New Roman"/>
          <w:color w:val="000000" w:themeColor="text1"/>
        </w:rPr>
        <w:t xml:space="preserve"> </w:t>
      </w:r>
      <w:r>
        <w:rPr>
          <w:rFonts w:cs="Times New Roman"/>
          <w:color w:val="000000" w:themeColor="text1"/>
        </w:rPr>
        <w:t xml:space="preserve">tree rings can </w:t>
      </w:r>
      <w:r w:rsidRPr="00BD2160">
        <w:rPr>
          <w:rFonts w:cs="Times New Roman"/>
          <w:color w:val="000000" w:themeColor="text1"/>
        </w:rPr>
        <w:t xml:space="preserve">provide evidence for changes in </w:t>
      </w:r>
      <w:r w:rsidR="00E37040" w:rsidRPr="00E06D36">
        <w:rPr>
          <w:rFonts w:eastAsia="Times New Roman" w:cs="Times New Roman"/>
          <w:bCs/>
        </w:rPr>
        <w:t>iWUE</w:t>
      </w:r>
      <w:r w:rsidR="00E37040" w:rsidRPr="00D97827">
        <w:rPr>
          <w:rFonts w:eastAsia="Times New Roman" w:cs="Times New Roman"/>
          <w:bCs/>
          <w:vertAlign w:val="superscript"/>
        </w:rPr>
        <w:t>l</w:t>
      </w:r>
      <w:r w:rsidR="00E37040">
        <w:rPr>
          <w:rFonts w:eastAsia="Times New Roman" w:cs="Times New Roman"/>
          <w:bCs/>
          <w:vertAlign w:val="superscript"/>
        </w:rPr>
        <w:t>eaf</w:t>
      </w:r>
      <w:r>
        <w:rPr>
          <w:rFonts w:cs="Times New Roman"/>
          <w:color w:val="000000" w:themeColor="text1"/>
        </w:rPr>
        <w:t xml:space="preserve"> (Table 1)</w:t>
      </w:r>
      <w:r w:rsidRPr="00BD2160">
        <w:rPr>
          <w:rFonts w:cs="Times New Roman"/>
          <w:color w:val="000000" w:themeColor="text1"/>
        </w:rPr>
        <w:t xml:space="preserve">. </w:t>
      </w:r>
    </w:p>
    <w:p w14:paraId="0A09289E" w14:textId="7BE3E506" w:rsidR="00F62003" w:rsidRPr="00CC3104" w:rsidRDefault="00160152">
      <w:pPr>
        <w:pStyle w:val="Body"/>
        <w:spacing w:before="240" w:line="360" w:lineRule="auto"/>
        <w:jc w:val="both"/>
        <w:rPr>
          <w:rFonts w:cs="Times New Roman"/>
          <w:color w:val="000000" w:themeColor="text1"/>
        </w:rPr>
      </w:pPr>
      <w:r>
        <w:rPr>
          <w:rFonts w:cs="Times New Roman"/>
          <w:color w:val="000000" w:themeColor="text1"/>
        </w:rPr>
        <w:t>By far</w:t>
      </w:r>
      <w:r w:rsidR="0076773A">
        <w:rPr>
          <w:rFonts w:cs="Times New Roman"/>
          <w:color w:val="000000" w:themeColor="text1"/>
        </w:rPr>
        <w:t xml:space="preserve"> </w:t>
      </w:r>
      <w:r w:rsidR="00F62003" w:rsidRPr="00BD2160">
        <w:rPr>
          <w:rFonts w:cs="Times New Roman"/>
        </w:rPr>
        <w:t xml:space="preserve">the most commonly used formula to estimate the </w:t>
      </w:r>
      <w:r w:rsidR="00F62003" w:rsidRPr="00BD2160">
        <w:rPr>
          <w:rFonts w:cs="Times New Roman"/>
          <w:i/>
        </w:rPr>
        <w:t>c</w:t>
      </w:r>
      <w:r w:rsidR="00F62003" w:rsidRPr="00BD2160">
        <w:rPr>
          <w:rFonts w:cs="Times New Roman"/>
          <w:vertAlign w:val="subscript"/>
        </w:rPr>
        <w:t>i</w:t>
      </w:r>
      <w:r w:rsidR="00F62003" w:rsidRPr="00BD2160">
        <w:rPr>
          <w:rFonts w:cs="Times New Roman"/>
        </w:rPr>
        <w:t>/</w:t>
      </w:r>
      <w:r w:rsidR="00F62003" w:rsidRPr="00BD2160">
        <w:rPr>
          <w:rFonts w:cs="Times New Roman"/>
          <w:i/>
        </w:rPr>
        <w:t>c</w:t>
      </w:r>
      <w:r w:rsidR="00F62003" w:rsidRPr="00BD2160">
        <w:rPr>
          <w:rFonts w:cs="Times New Roman"/>
          <w:vertAlign w:val="subscript"/>
        </w:rPr>
        <w:t>a</w:t>
      </w:r>
      <w:r w:rsidR="00F62003" w:rsidRPr="00BD2160">
        <w:rPr>
          <w:rFonts w:cs="Times New Roman"/>
        </w:rPr>
        <w:t xml:space="preserve"> ratio from ∆</w:t>
      </w:r>
      <w:r w:rsidR="00F62003" w:rsidRPr="00BD2160">
        <w:rPr>
          <w:rFonts w:cs="Times New Roman"/>
          <w:vertAlign w:val="superscript"/>
        </w:rPr>
        <w:t>13</w:t>
      </w:r>
      <w:r w:rsidR="00F62003" w:rsidRPr="00BD2160">
        <w:rPr>
          <w:rFonts w:cs="Times New Roman"/>
        </w:rPr>
        <w:t xml:space="preserve">C is </w:t>
      </w:r>
      <w:r w:rsidR="00F62003">
        <w:rPr>
          <w:rFonts w:cs="Times New Roman"/>
        </w:rPr>
        <w:t>the following simple expression</w:t>
      </w:r>
      <w:r w:rsidR="00D43411">
        <w:rPr>
          <w:rFonts w:cs="Times New Roman"/>
        </w:rPr>
        <w:t xml:space="preserve"> </w:t>
      </w:r>
      <w:r w:rsidR="00A644D9">
        <w:rPr>
          <w:rFonts w:cs="Times New Roman"/>
        </w:rPr>
        <w:fldChar w:fldCharType="begin" w:fldLock="1"/>
      </w:r>
      <w:r w:rsidR="004F6F9A">
        <w:rPr>
          <w:rFonts w:cs="Times New Roman"/>
        </w:rPr>
        <w:instrText>ADDIN CSL_CITATION {"citationItems":[{"id":"ITEM-1","itemData":{"author":[{"dropping-particle":"","family":"Farquhar","given":"G. D.","non-dropping-particle":"","parse-names":false,"suffix":""},{"dropping-particle":"","family":"O'Leary","given":"M H","non-dropping-particle":"","parse-names":false,"suffix":""},{"dropping-particle":"","family":"Berry","given":"Joseph A","non-dropping-particle":"","parse-names":false,"suffix":""}],"container-title":"Australian Journal of Plant Physiology","id":"ITEM-1","issued":{"date-parts":[["1982"]]},"page":"121-137","title":"On the relationship between carbon isotope discrimination and the intercellular carbon dioxide concentration in leaves","type":"article-journal","volume":"9"},"uris":["http://www.mendeley.com/documents/?uuid=ae924288-1b5d-40f6-90f4-e76bf77a3adf"]}],"mendeley":{"formattedCitation":"(Farquhar, O’Leary, &amp; Berry, 1982)","plainTextFormattedCitation":"(Farquhar, O’Leary, &amp; Berry, 1982)","previouslyFormattedCitation":"(Farquhar, O’Leary, &amp; Berry, 1982)"},"properties":{"noteIndex":0},"schema":"https://github.com/citation-style-language/schema/raw/master/csl-citation.json"}</w:instrText>
      </w:r>
      <w:r w:rsidR="00A644D9">
        <w:rPr>
          <w:rFonts w:cs="Times New Roman"/>
        </w:rPr>
        <w:fldChar w:fldCharType="separate"/>
      </w:r>
      <w:r w:rsidR="00A644D9" w:rsidRPr="00A644D9">
        <w:rPr>
          <w:rFonts w:cs="Times New Roman"/>
          <w:noProof/>
        </w:rPr>
        <w:t>(Farquhar, O’Leary, &amp; Berry, 1982)</w:t>
      </w:r>
      <w:r w:rsidR="00A644D9">
        <w:rPr>
          <w:rFonts w:cs="Times New Roman"/>
        </w:rPr>
        <w:fldChar w:fldCharType="end"/>
      </w:r>
      <w:r w:rsidR="00F62003" w:rsidRPr="00BD2160">
        <w:rPr>
          <w:rFonts w:cs="Times New Roman"/>
        </w:rPr>
        <w:t>:</w:t>
      </w:r>
    </w:p>
    <w:p w14:paraId="1C67D9F7" w14:textId="6045F024" w:rsidR="00F62003" w:rsidRPr="00BD2160" w:rsidRDefault="00E31184" w:rsidP="001A037C">
      <w:pPr>
        <w:pStyle w:val="Body"/>
        <w:spacing w:before="240" w:line="360" w:lineRule="auto"/>
        <w:ind w:firstLine="708"/>
        <w:jc w:val="both"/>
        <w:rPr>
          <w:rFonts w:cs="Times New Roman"/>
        </w:rPr>
      </w:pPr>
      <m:oMath>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13</m:t>
            </m:r>
          </m:sup>
        </m:sSup>
        <m:r>
          <m:rPr>
            <m:sty m:val="p"/>
          </m:rPr>
          <w:rPr>
            <w:rFonts w:ascii="Cambria Math" w:hAnsi="Cambria Math" w:cs="Times New Roman"/>
          </w:rPr>
          <m:t>C</m:t>
        </m:r>
        <m:r>
          <w:rPr>
            <w:rFonts w:ascii="Cambria Math" w:hAnsi="Cambria Math" w:cs="Times New Roman"/>
          </w:rPr>
          <m:t>=a+</m:t>
        </m:r>
        <m:d>
          <m:dPr>
            <m:ctrlPr>
              <w:rPr>
                <w:rFonts w:ascii="Cambria Math" w:hAnsi="Cambria Math" w:cs="Times New Roman"/>
              </w:rPr>
            </m:ctrlPr>
          </m:dPr>
          <m:e>
            <m:acc>
              <m:accPr>
                <m:chr m:val="̅"/>
                <m:ctrlPr>
                  <w:rPr>
                    <w:rFonts w:ascii="Cambria Math" w:hAnsi="Cambria Math" w:cs="Times New Roman"/>
                    <w:i/>
                  </w:rPr>
                </m:ctrlPr>
              </m:accPr>
              <m:e>
                <m:r>
                  <w:rPr>
                    <w:rFonts w:ascii="Cambria Math" w:hAnsi="Cambria Math" w:cs="Times New Roman"/>
                  </w:rPr>
                  <m:t>b</m:t>
                </m:r>
              </m:e>
            </m:acc>
            <m:r>
              <w:rPr>
                <w:rFonts w:ascii="Cambria Math" w:hAnsi="Cambria Math" w:cs="Times New Roman"/>
              </w:rPr>
              <m:t>-a</m:t>
            </m:r>
          </m:e>
        </m:d>
        <m:r>
          <w:rPr>
            <w:rFonts w:ascii="Cambria Math" w:hAnsi="Cambria Math" w:cs="Times New Roman"/>
          </w:rPr>
          <m:t>∙</m:t>
        </m:r>
        <m:d>
          <m:dPr>
            <m:ctrlPr>
              <w:rPr>
                <w:rFonts w:ascii="Cambria Math" w:hAnsi="Cambria Math" w:cs="Times New Roman"/>
              </w:rPr>
            </m:ctrlPr>
          </m:dPr>
          <m:e>
            <m:f>
              <m:fPr>
                <m:ctrlPr>
                  <w:rPr>
                    <w:rFonts w:ascii="Cambria Math" w:hAnsi="Cambria Math" w:cs="Times New Roman"/>
                    <w:i/>
                  </w:rPr>
                </m:ctrlPr>
              </m:fPr>
              <m:num>
                <m:sSub>
                  <m:sSubPr>
                    <m:ctrlPr>
                      <w:rPr>
                        <w:rFonts w:ascii="Cambria Math" w:hAnsi="Cambria Math" w:cs="Times New Roman"/>
                        <w:color w:val="auto"/>
                        <w:lang w:eastAsia="en-US"/>
                      </w:rPr>
                    </m:ctrlPr>
                  </m:sSubPr>
                  <m:e>
                    <m:r>
                      <w:rPr>
                        <w:rFonts w:ascii="Cambria Math" w:hAnsi="Cambria Math" w:cs="Times New Roman"/>
                      </w:rPr>
                      <m:t>c</m:t>
                    </m:r>
                  </m:e>
                  <m:sub>
                    <m:r>
                      <m:rPr>
                        <m:sty m:val="p"/>
                      </m:rPr>
                      <w:rPr>
                        <w:rFonts w:ascii="Cambria Math" w:hAnsi="Cambria Math" w:cs="Times New Roman"/>
                      </w:rPr>
                      <m:t>i</m:t>
                    </m:r>
                  </m:sub>
                </m:sSub>
              </m:num>
              <m:den>
                <m:sSub>
                  <m:sSubPr>
                    <m:ctrlPr>
                      <w:rPr>
                        <w:rFonts w:ascii="Cambria Math" w:hAnsi="Cambria Math" w:cs="Times New Roman"/>
                        <w:i/>
                        <w:color w:val="auto"/>
                        <w:lang w:eastAsia="en-US"/>
                      </w:rPr>
                    </m:ctrlPr>
                  </m:sSubPr>
                  <m:e>
                    <m:r>
                      <w:rPr>
                        <w:rFonts w:ascii="Cambria Math" w:hAnsi="Cambria Math" w:cs="Times New Roman"/>
                      </w:rPr>
                      <m:t>c</m:t>
                    </m:r>
                  </m:e>
                  <m:sub>
                    <m:r>
                      <m:rPr>
                        <m:sty m:val="p"/>
                      </m:rPr>
                      <w:rPr>
                        <w:rFonts w:ascii="Cambria Math" w:hAnsi="Cambria Math" w:cs="Times New Roman"/>
                      </w:rPr>
                      <m:t>a</m:t>
                    </m:r>
                  </m:sub>
                </m:sSub>
              </m:den>
            </m:f>
          </m:e>
        </m:d>
      </m:oMath>
      <w:r w:rsidR="00F62003" w:rsidRPr="00BD2160">
        <w:rPr>
          <w:rFonts w:cs="Times New Roman"/>
        </w:rPr>
        <w:t xml:space="preserve"> </w:t>
      </w:r>
      <w:r w:rsidR="00F62003" w:rsidRPr="00BD2160">
        <w:rPr>
          <w:rFonts w:cs="Times New Roman"/>
        </w:rPr>
        <w:tab/>
      </w:r>
      <w:r w:rsidR="00F62003" w:rsidRPr="00BD2160">
        <w:rPr>
          <w:rFonts w:cs="Times New Roman"/>
        </w:rPr>
        <w:tab/>
      </w:r>
      <w:r w:rsidR="00F62003" w:rsidRPr="00BD2160">
        <w:rPr>
          <w:rFonts w:cs="Times New Roman"/>
        </w:rPr>
        <w:tab/>
      </w:r>
      <w:r w:rsidR="00F62003" w:rsidRPr="00BD2160">
        <w:rPr>
          <w:rFonts w:cs="Times New Roman"/>
        </w:rPr>
        <w:tab/>
      </w:r>
      <w:r w:rsidR="00F62003" w:rsidRPr="00BD2160">
        <w:rPr>
          <w:rFonts w:cs="Times New Roman"/>
        </w:rPr>
        <w:tab/>
      </w:r>
      <w:r w:rsidR="00F62003" w:rsidRPr="00BD2160">
        <w:rPr>
          <w:rFonts w:cs="Times New Roman"/>
        </w:rPr>
        <w:tab/>
      </w:r>
      <w:r w:rsidR="00F62003" w:rsidRPr="00BD2160">
        <w:rPr>
          <w:rFonts w:cs="Times New Roman"/>
        </w:rPr>
        <w:tab/>
      </w:r>
      <w:r w:rsidR="00F62003" w:rsidRPr="00BD2160">
        <w:rPr>
          <w:rFonts w:cs="Times New Roman"/>
        </w:rPr>
        <w:tab/>
        <w:t>(</w:t>
      </w:r>
      <w:r w:rsidR="002E23D9">
        <w:rPr>
          <w:rFonts w:cs="Times New Roman"/>
        </w:rPr>
        <w:t>3</w:t>
      </w:r>
      <w:r w:rsidR="00F62003" w:rsidRPr="00BD2160">
        <w:rPr>
          <w:rFonts w:cs="Times New Roman"/>
        </w:rPr>
        <w:t>)</w:t>
      </w:r>
    </w:p>
    <w:p w14:paraId="5721A4C8" w14:textId="6F74591C" w:rsidR="00F62003" w:rsidRPr="00B652A5" w:rsidRDefault="00F62003" w:rsidP="00F13206">
      <w:pPr>
        <w:pStyle w:val="Body"/>
        <w:spacing w:before="240" w:line="360" w:lineRule="auto"/>
        <w:jc w:val="both"/>
        <w:rPr>
          <w:rFonts w:cs="Times New Roman"/>
        </w:rPr>
      </w:pPr>
      <w:r w:rsidRPr="00BD2160">
        <w:rPr>
          <w:rFonts w:cs="Times New Roman"/>
        </w:rPr>
        <w:t>where</w:t>
      </w:r>
      <w:r w:rsidRPr="00BD2160">
        <w:rPr>
          <w:rFonts w:cs="Times New Roman"/>
          <w:lang w:val="pt-PT"/>
        </w:rPr>
        <w:t xml:space="preserve"> </w:t>
      </w:r>
      <w:r w:rsidRPr="00BD2160">
        <w:rPr>
          <w:rFonts w:cs="Times New Roman"/>
          <w:i/>
          <w:iCs/>
        </w:rPr>
        <w:t>a</w:t>
      </w:r>
      <w:r w:rsidRPr="00BD2160">
        <w:rPr>
          <w:rFonts w:cs="Times New Roman"/>
        </w:rPr>
        <w:t xml:space="preserve"> represents the fractionation due to CO</w:t>
      </w:r>
      <w:r w:rsidRPr="00BD2160">
        <w:rPr>
          <w:rFonts w:cs="Times New Roman"/>
          <w:vertAlign w:val="subscript"/>
        </w:rPr>
        <w:t>2</w:t>
      </w:r>
      <w:r w:rsidRPr="00BD2160">
        <w:rPr>
          <w:rFonts w:cs="Times New Roman"/>
        </w:rPr>
        <w:t xml:space="preserve"> diffusion in air (4.4‰: </w:t>
      </w:r>
      <w:r>
        <w:rPr>
          <w:rFonts w:cs="Times New Roman"/>
        </w:rPr>
        <w:fldChar w:fldCharType="begin" w:fldLock="1"/>
      </w:r>
      <w:r>
        <w:rPr>
          <w:rFonts w:cs="Times New Roman"/>
        </w:rPr>
        <w:instrText>ADDIN CSL_CITATION {"citationItems":[{"id":"ITEM-1","itemData":{"DOI":"10.1016/0016-7037(53)90001-5","ISBN":"0016-7037","ISSN":"00167037","abstract":"Several hundred samples of carbon from various geologic sources have been analyzed in a new survey of the variation of the ratio C13/C12 in nature. Mass spectrometric determinations were made on the instruments developed by H. C. Urey and his co-workers utilizing two complete feed systems with magnetic switching to determine small differences in isotope ratios between samples and a standard gas. With this procedure variations of the ratio C13/C12 can be determined with an accuracy of ±0.01% of the ratio. The results confirm previous work with a few exceptions. The range of variation in the ratio is 4.5%. Terrestrial organic carbon and carbonate rocks constitute two well defined groups, the carbonates being richer in C13 by some 2%. Marine organic carbon lies in a range intermediate between these groups. Atmospheric CO2 is richer in C13 than was formerly believed. Fossil wood, coal and limestones show no correlation of C13/C12 ratio with age. If petroleum is of marine organic origin a considerable change in isotopic composition has probably occurred. Such a change seems to have occurred in carbon from black shales and carbonaceous schists. Samples of graphites, diamonds, igneous rocks and gases from Yellowstone Park have been analyzed. The origin of graphite cannot be determined from C13/C12 ratios. The terrestrial distribution of carbon isotopes between igneous rocks and sediments is discussed with reference to the available meteoritic determinations. Isotopic fractionation between iron carbide and graphite in meteorites may indicate the mechanism by which early fractionation between deep seated and surface terrestrial carbon may have occurred.","author":[{"dropping-particle":"","family":"Craig","given":"Harmon","non-dropping-particle":"","parse-names":false,"suffix":""}],"container-title":"Geochimica et Cosmochimica Acta","id":"ITEM-1","issue":"2-3","issued":{"date-parts":[["1953"]]},"page":"53-92","title":"The geochemistry of the stable carbon isotopes","type":"article-journal","volume":"3"},"uris":["http://www.mendeley.com/documents/?uuid=a623a915-d8e0-42c6-bdc5-de602cb1710e"]}],"mendeley":{"formattedCitation":"(Craig, 1953)","manualFormatting":"Craig, 1953)","plainTextFormattedCitation":"(Craig, 1953)","previouslyFormattedCitation":"(Craig, 1953)"},"properties":{"noteIndex":0},"schema":"https://github.com/citation-style-language/schema/raw/master/csl-citation.json"}</w:instrText>
      </w:r>
      <w:r>
        <w:rPr>
          <w:rFonts w:cs="Times New Roman"/>
        </w:rPr>
        <w:fldChar w:fldCharType="separate"/>
      </w:r>
      <w:r w:rsidRPr="00C433CA">
        <w:rPr>
          <w:rFonts w:cs="Times New Roman"/>
          <w:noProof/>
        </w:rPr>
        <w:t>Craig, 1953)</w:t>
      </w:r>
      <w:r>
        <w:rPr>
          <w:rFonts w:cs="Times New Roman"/>
        </w:rPr>
        <w:fldChar w:fldCharType="end"/>
      </w:r>
      <w:r w:rsidRPr="00BD2160">
        <w:rPr>
          <w:rFonts w:cs="Times New Roman"/>
        </w:rPr>
        <w:t xml:space="preserve"> and </w:t>
      </w:r>
      <m:oMath>
        <m:acc>
          <m:accPr>
            <m:chr m:val="̅"/>
            <m:ctrlPr>
              <w:rPr>
                <w:rFonts w:ascii="Cambria Math" w:hAnsi="Cambria Math" w:cs="Times New Roman"/>
                <w:i/>
              </w:rPr>
            </m:ctrlPr>
          </m:accPr>
          <m:e>
            <m:r>
              <w:rPr>
                <w:rFonts w:ascii="Cambria Math" w:hAnsi="Cambria Math" w:cs="Times New Roman"/>
              </w:rPr>
              <m:t>b</m:t>
            </m:r>
          </m:e>
        </m:acc>
      </m:oMath>
      <w:r w:rsidRPr="00BD2160">
        <w:rPr>
          <w:rFonts w:cs="Times New Roman"/>
        </w:rPr>
        <w:t xml:space="preserve"> is the apparent net fractionation by Rubisco during carboxylation</w:t>
      </w:r>
      <w:r w:rsidRPr="00BD2160">
        <w:rPr>
          <w:rFonts w:cs="Times New Roman"/>
          <w:lang w:val="en-GB"/>
        </w:rPr>
        <w:t xml:space="preserve"> (</w:t>
      </w:r>
      <w:r w:rsidRPr="00BD2160">
        <w:rPr>
          <w:rFonts w:cs="Times New Roman"/>
        </w:rPr>
        <w:t>27‰</w:t>
      </w:r>
      <w:r w:rsidRPr="00BD2160">
        <w:rPr>
          <w:rFonts w:cs="Times New Roman"/>
          <w:lang w:val="pt-PT"/>
        </w:rPr>
        <w:t>:</w:t>
      </w:r>
      <w:r>
        <w:rPr>
          <w:rFonts w:cs="Times New Roman"/>
          <w:lang w:val="pt-PT"/>
        </w:rPr>
        <w:t xml:space="preserve"> </w:t>
      </w:r>
      <w:r>
        <w:rPr>
          <w:rFonts w:cs="Times New Roman"/>
          <w:lang w:val="pt-PT"/>
        </w:rPr>
        <w:fldChar w:fldCharType="begin" w:fldLock="1"/>
      </w:r>
      <w:r w:rsidR="00A236DE">
        <w:rPr>
          <w:rFonts w:cs="Times New Roman"/>
          <w:lang w:val="pt-PT"/>
        </w:rPr>
        <w:instrText>ADDIN CSL_CITATION {"citationItems":[{"id":"ITEM-1","itemData":{"author":[{"dropping-particle":"","family":"Farquhar","given":"G. D.","non-dropping-particle":"","parse-names":false,"suffix":""},{"dropping-particle":"","family":"Ball","given":"M C","non-dropping-particle":"","parse-names":false,"suffix":""},{"dropping-particle":"","family":"Caemmerer","given":"S","non-dropping-particle":"","parse-names":false,"suffix":""},{"dropping-particle":"","family":"Roksandic","given":"Z.","non-dropping-particle":"","parse-names":false,"suffix":""}],"container-title":"Oecologia","id":"ITEM-1","issue":"1","issued":{"date-parts":[["1982"]]},"page":"121-124","title":"Effect of salinity and humidity on δ13C value of halophytes—evidence for diffusional isotope fractionation determined by the ratio of intercellular/atmospheric partial pressure of CO2 under different environmental conditions","type":"article-journal","volume":"52"},"uris":["http://www.mendeley.com/documents/?uuid=f2b83852-3c99-4610-82ba-55ad25aecf09"]}],"mendeley":{"formattedCitation":"(Farquhar, Ball, Caemmerer, &amp; Roksandic, 1982)","manualFormatting":"Farquhar, Ball, et al., 1982)","plainTextFormattedCitation":"(Farquhar, Ball, Caemmerer, &amp; Roksandic, 1982)","previouslyFormattedCitation":"(Farquhar, Ball, Caemmerer, &amp; Roksandic, 1982)"},"properties":{"noteIndex":0},"schema":"https://github.com/citation-style-language/schema/raw/master/csl-citation.json"}</w:instrText>
      </w:r>
      <w:r>
        <w:rPr>
          <w:rFonts w:cs="Times New Roman"/>
          <w:lang w:val="pt-PT"/>
        </w:rPr>
        <w:fldChar w:fldCharType="separate"/>
      </w:r>
      <w:r w:rsidRPr="00BA1336">
        <w:rPr>
          <w:rFonts w:cs="Times New Roman"/>
          <w:noProof/>
          <w:lang w:val="pt-PT"/>
        </w:rPr>
        <w:t xml:space="preserve">Farquhar, Ball, </w:t>
      </w:r>
      <w:r w:rsidR="00A236DE">
        <w:rPr>
          <w:rFonts w:cs="Times New Roman"/>
          <w:noProof/>
          <w:lang w:val="pt-PT"/>
        </w:rPr>
        <w:t>et al.</w:t>
      </w:r>
      <w:r w:rsidRPr="00BA1336">
        <w:rPr>
          <w:rFonts w:cs="Times New Roman"/>
          <w:noProof/>
          <w:lang w:val="pt-PT"/>
        </w:rPr>
        <w:t>, 1982)</w:t>
      </w:r>
      <w:r>
        <w:rPr>
          <w:rFonts w:cs="Times New Roman"/>
          <w:lang w:val="pt-PT"/>
        </w:rPr>
        <w:fldChar w:fldCharType="end"/>
      </w:r>
      <w:r w:rsidRPr="00BD2160">
        <w:rPr>
          <w:rFonts w:cs="Times New Roman"/>
          <w:lang w:val="pt-PT"/>
        </w:rPr>
        <w:t>. Equation (</w:t>
      </w:r>
      <w:r w:rsidR="002716E0">
        <w:rPr>
          <w:rFonts w:cs="Times New Roman"/>
          <w:lang w:val="pt-PT"/>
        </w:rPr>
        <w:t>3</w:t>
      </w:r>
      <w:r w:rsidRPr="00BD2160">
        <w:rPr>
          <w:rFonts w:cs="Times New Roman"/>
          <w:lang w:val="pt-PT"/>
        </w:rPr>
        <w:t xml:space="preserve">) is convenient because it </w:t>
      </w:r>
      <w:r w:rsidRPr="00BD2160">
        <w:rPr>
          <w:rFonts w:cs="Times New Roman"/>
        </w:rPr>
        <w:t>implies that any change in ∆</w:t>
      </w:r>
      <w:r w:rsidRPr="00BD2160">
        <w:rPr>
          <w:rFonts w:cs="Times New Roman"/>
          <w:vertAlign w:val="superscript"/>
        </w:rPr>
        <w:t>13</w:t>
      </w:r>
      <w:r w:rsidRPr="00BD2160">
        <w:rPr>
          <w:rFonts w:cs="Times New Roman"/>
        </w:rPr>
        <w:t xml:space="preserve">C must </w:t>
      </w:r>
      <w:r>
        <w:rPr>
          <w:rFonts w:cs="Times New Roman"/>
        </w:rPr>
        <w:t>be attributed to a change in</w:t>
      </w:r>
      <w:r w:rsidRPr="00BD2160">
        <w:rPr>
          <w:rFonts w:cs="Times New Roman"/>
        </w:rPr>
        <w:t xml:space="preserve"> </w:t>
      </w:r>
      <w:r w:rsidRPr="00BD2160">
        <w:rPr>
          <w:rFonts w:cs="Times New Roman"/>
          <w:i/>
        </w:rPr>
        <w:t>c</w:t>
      </w:r>
      <w:r w:rsidRPr="00BD2160">
        <w:rPr>
          <w:rFonts w:cs="Times New Roman"/>
          <w:vertAlign w:val="subscript"/>
        </w:rPr>
        <w:t>i</w:t>
      </w:r>
      <w:r w:rsidRPr="00BD2160">
        <w:rPr>
          <w:rFonts w:cs="Times New Roman"/>
        </w:rPr>
        <w:t>/</w:t>
      </w:r>
      <w:r w:rsidRPr="00BD2160">
        <w:rPr>
          <w:rFonts w:cs="Times New Roman"/>
          <w:i/>
        </w:rPr>
        <w:t>c</w:t>
      </w:r>
      <w:r w:rsidRPr="00BD2160">
        <w:rPr>
          <w:rFonts w:cs="Times New Roman"/>
          <w:vertAlign w:val="subscript"/>
        </w:rPr>
        <w:t>a</w:t>
      </w:r>
      <w:r w:rsidR="00316A84">
        <w:rPr>
          <w:rFonts w:cs="Times New Roman"/>
        </w:rPr>
        <w:t>. It</w:t>
      </w:r>
      <w:r w:rsidR="00C94B87">
        <w:rPr>
          <w:rFonts w:cs="Times New Roman"/>
        </w:rPr>
        <w:t xml:space="preserve"> </w:t>
      </w:r>
      <w:r w:rsidR="00C94B87" w:rsidRPr="00BD2160">
        <w:rPr>
          <w:rFonts w:cs="Times New Roman"/>
        </w:rPr>
        <w:t xml:space="preserve">is a good predictor of variations in </w:t>
      </w:r>
      <w:r w:rsidR="00C94B87" w:rsidRPr="00BD2160">
        <w:rPr>
          <w:rFonts w:cs="Times New Roman"/>
          <w:i/>
        </w:rPr>
        <w:t>c</w:t>
      </w:r>
      <w:r w:rsidR="00C94B87" w:rsidRPr="00BD2160">
        <w:rPr>
          <w:rFonts w:cs="Times New Roman"/>
          <w:vertAlign w:val="subscript"/>
        </w:rPr>
        <w:t>i</w:t>
      </w:r>
      <w:r w:rsidR="00C94B87" w:rsidRPr="00BD2160">
        <w:rPr>
          <w:rFonts w:cs="Times New Roman"/>
        </w:rPr>
        <w:t>/</w:t>
      </w:r>
      <w:r w:rsidR="00C94B87" w:rsidRPr="00BD2160">
        <w:rPr>
          <w:rFonts w:cs="Times New Roman"/>
          <w:i/>
        </w:rPr>
        <w:t>c</w:t>
      </w:r>
      <w:r w:rsidR="00C94B87" w:rsidRPr="00BD2160">
        <w:rPr>
          <w:rFonts w:cs="Times New Roman"/>
          <w:vertAlign w:val="subscript"/>
        </w:rPr>
        <w:t>a</w:t>
      </w:r>
      <w:r w:rsidR="00C94B87" w:rsidRPr="00BD2160">
        <w:rPr>
          <w:rFonts w:cs="Times New Roman"/>
        </w:rPr>
        <w:t xml:space="preserve"> values independently estimated from gas exchange measurements (Cernusak et al., 2013)</w:t>
      </w:r>
      <w:r w:rsidR="00C94B87">
        <w:rPr>
          <w:rFonts w:cs="Times New Roman"/>
        </w:rPr>
        <w:t>.</w:t>
      </w:r>
      <w:r w:rsidRPr="00BD2160">
        <w:rPr>
          <w:rFonts w:cs="Times New Roman"/>
        </w:rPr>
        <w:t xml:space="preserve"> </w:t>
      </w:r>
      <w:r>
        <w:rPr>
          <w:rFonts w:cs="Times New Roman"/>
        </w:rPr>
        <w:t xml:space="preserve">However, this </w:t>
      </w:r>
      <w:r w:rsidR="00316A84">
        <w:rPr>
          <w:rFonts w:cs="Times New Roman"/>
        </w:rPr>
        <w:t xml:space="preserve">equation </w:t>
      </w:r>
      <w:r>
        <w:rPr>
          <w:rFonts w:cs="Times New Roman"/>
        </w:rPr>
        <w:t xml:space="preserve">is only </w:t>
      </w:r>
      <w:r w:rsidR="00316A84">
        <w:rPr>
          <w:rFonts w:cs="Times New Roman"/>
        </w:rPr>
        <w:t xml:space="preserve">strictly </w:t>
      </w:r>
      <w:r>
        <w:rPr>
          <w:rFonts w:cs="Times New Roman"/>
        </w:rPr>
        <w:t xml:space="preserve">applicable for the first products of photosynthesis </w:t>
      </w:r>
      <w:r w:rsidR="00316A84">
        <w:rPr>
          <w:rFonts w:cs="Times New Roman"/>
        </w:rPr>
        <w:t xml:space="preserve">– </w:t>
      </w:r>
      <w:r w:rsidR="004F4801">
        <w:rPr>
          <w:rFonts w:cs="Times New Roman"/>
        </w:rPr>
        <w:t>it</w:t>
      </w:r>
      <w:r w:rsidR="001C20B2">
        <w:rPr>
          <w:rFonts w:cs="Times New Roman"/>
        </w:rPr>
        <w:t xml:space="preserve"> does not consider downstream post-photosynthetic fractionations </w:t>
      </w:r>
      <w:r w:rsidR="001C20B2" w:rsidRPr="00BD2160">
        <w:rPr>
          <w:rFonts w:cs="Times New Roman"/>
          <w:lang w:val="en-GB"/>
        </w:rPr>
        <w:t xml:space="preserve">when photosynthates are used to </w:t>
      </w:r>
      <w:r w:rsidR="001C20B2">
        <w:rPr>
          <w:rFonts w:cs="Times New Roman"/>
          <w:lang w:val="en-GB"/>
        </w:rPr>
        <w:t>construct</w:t>
      </w:r>
      <w:r w:rsidR="001C20B2" w:rsidRPr="00BD2160">
        <w:rPr>
          <w:rFonts w:cs="Times New Roman"/>
          <w:lang w:val="en-GB"/>
        </w:rPr>
        <w:t xml:space="preserve"> the various components of wood </w:t>
      </w:r>
      <w:r w:rsidR="001C20B2" w:rsidRPr="00BD2160">
        <w:rPr>
          <w:rFonts w:cs="Times New Roman"/>
          <w:lang w:val="en-GB"/>
        </w:rPr>
        <w:fldChar w:fldCharType="begin" w:fldLock="1"/>
      </w:r>
      <w:r w:rsidR="00E84F0F">
        <w:rPr>
          <w:rFonts w:cs="Times New Roman"/>
          <w:lang w:val="en-GB"/>
        </w:rPr>
        <w:instrText>ADDIN CSL_CITATION {"citationItems":[{"id":"ITEM-1","itemData":{"DOI":"10.1111/j.1365-3040.2009.02010.x","ISBN":"0140-7791","ISSN":"1365-3040","PMID":"19558409","abstract":"Water-use efficiency and stable isotope composition were studied in three tropical tree species. Seedlings of Tectona grandis, Swietenia macrophylla and Platymiscium pinnatum were grown at either high or low water supply, and with or without added fertilizer. These three species previously exhibited low, intermediate and high whole-plant water-use efficiency (TE) when grown at high water supply in unfertilized soil. Responses of TE to water and nutrient availability varied among species. The TE was calculated as experiment-long dry matter production divided by cumulative water use. Species-specific offsets were observed in relationships between TE and whole-plant (13)C discrimination (Delta(13)C(p)). These offsets could be attributed to a breakdown in the relationship between Delta(13)C(p) and the ratio of intercellular to ambient CO(2) partial pressures (c(i)/c(a)) in P. pinnatum, and to variation among species in the leaf-to-air vapour pressure difference (v). Thus, a plot of v.TE against c(i)/c(a) showed a general relationship among species. Relationships between delta(18)O of stem dry matter and stomatal conductance ranged from strongly negative for S. macrophylla to no relationship for T. grandis. Results suggest inter-specific variation among tropical tree species in relationships between stable isotope ratios (delta(13)C and delta(18)O) and the gas exchange processes thought to affect them.","author":[{"dropping-particle":"","family":"Cernusak","given":"Lucas a","non-dropping-particle":"","parse-names":false,"suffix":""},{"dropping-particle":"","family":"Winter","given":"Klaus","non-dropping-particle":"","parse-names":false,"suffix":""},{"dropping-particle":"","family":"Turner","given":"Benjamin L","non-dropping-particle":"","parse-names":false,"suffix":""}],"container-title":"Plant, cell &amp; environment","id":"ITEM-1","issue":"10","issued":{"date-parts":[["2009"]]},"page":"1441-1455","title":"Physiological and isotopic δ13C and δ18O responses of three tropical tree species to water and nutrient availability.","type":"article-journal","volume":"32"},"uris":["http://www.mendeley.com/documents/?uuid=00d913a2-a8cd-4476-823e-f2bf50e9f609"]},{"id":"ITEM-2","itemData":{"DOI":"10.1111/j.1365-3040.2009.01957.x","ISBN":"01407791 (ISSN)","ISSN":"01407791","PMID":"19220785","abstract":"The analysis of delta(13)C and delta(18)O in tree-ring archives offers retrospective insights into environmental conditions and ecophysiological processes. While photosynthetic carbon isotope discrimination and evaporative oxygen isotope enrichment are well understood, we lack information on how the isotope signal is altered by downstream metabolic processes. In Pinus sylvestris, we traced the isotopic signals from their origin in the leaf water (delta(18)O) or the newly assimilated carbon (delta(13)C), via phloem sugars to the tree-ring, over a time-scale that ranges from hours to a growing season. Seasonally, variable (13)C enrichment of sugars related to phloem loading and transport did lead to uncoupling between delta(13)C in the tree-ring, and the c(i)/c(a) ratio at the leaf level. In contrast, the oxygen isotope signal was transferred from the leaf water to the tree-ring with an expected enrichment of 27 per thousand, with time-lags of approximately 2 weeks and with a 40% exchange between organic oxygen and xylem water oxygen during cellulose synthesis. This integrated overview of the fate of carbon and oxygen isotope signals within the model tree species P. sylvestris provides a novel physiological basis for the interpretation of delta(13)C and delta(18)O in tree-ring ecology.","author":[{"dropping-particle":"","family":"Gessler","given":"Arthur","non-dropping-particle":"","parse-names":false,"suffix":""},{"dropping-particle":"","family":"Brandes","given":"Elke","non-dropping-particle":"","parse-names":false,"suffix":""},{"dropping-particle":"","family":"Buchmann","given":"Nina","non-dropping-particle":"","parse-names":false,"suffix":""},{"dropping-particle":"","family":"Helle","given":"Gerhard","non-dropping-particle":"","parse-names":false,"suffix":""},{"dropping-particle":"","family":"Rennenberg","given":"Heinz","non-dropping-particle":"","parse-names":false,"suffix":""},{"dropping-particle":"","family":"Barnard","given":"Romain L.","non-dropping-particle":"","parse-names":false,"suffix":""}],"container-title":"Plant, Cell and Environment","id":"ITEM-2","issue":"7","issued":{"date-parts":[["2009"]]},"page":"780-795","title":"Tracing carbon and oxygen isotope signals from newly assimilated sugars in the leaves to the tree-ring archive","type":"article-journal","volume":"32"},"uris":["http://www.mendeley.com/documents/?uuid=f0850c4b-9e3c-4ea9-b840-b897da9f6a31"]},{"id":"ITEM-3","itemData":{"DOI":"10.1093/treephys/tpu040","ISBN":"1758-4469 (Electronic) 0829-318X (Linking)","ISSN":"0829-318X","PMID":"24907466","abstract":"The mechanistic understanding of isotope fractionation processes is increasing but we still lack detailed knowledge of the processes that determine the isotopic composition of the tree-ring archive over the long term. Especially with regard to the path from leaf photosynthate production to wood formation, post-assimilation fractionations/processes might cause at least a partial decoupling between the leaf isotope signals that record processes such as stomatal conductance, transpiration and photosynthesis, and the wood or cellulose signals that are stored in the paleophysiological record. In this review, we start from the rather well understood processes at the leaf level such as photosynthetic carbon isotope fractionation, leaf water evaporative isotope enrichment and the issue of the isotopic composition of inorganic sources (CO2 and H2O), though we focus on the less explored 'downstream' processes related to metabolism and transport. We further summarize the roles of cellulose and lignin as important chemical constituents of wood, and the processes that determine the transfer of photosynthate (sucrose) and associated isotopic signals to wood production. We cover the broad topics of post-carboxylation carbon isotope fractionation and of the exchange of organic oxygen with water within the tree. In two case studies, we assess the transfer of carbon and oxygen isotopic signals from leaves to tree rings. Finally we address the issue of different temporal scales and link isotope fractionation at the shorter time scale for processes in the leaf to the isotopic ratio as recorded across longer time scales of the tree-ring archive.","author":[{"dropping-particle":"","family":"Gessler","given":"Arthur","non-dropping-particle":"","parse-names":false,"suffix":""},{"dropping-particle":"","family":"Ferrio","given":"Juan Pedro","non-dropping-particle":"","parse-names":false,"suffix":""},{"dropping-particle":"","family":"Hommel","given":"Robert","non-dropping-particle":"","parse-names":false,"suffix":""},{"dropping-particle":"","family":"Treydte","given":"Kerstin","non-dropping-particle":"","parse-names":false,"suffix":""},{"dropping-particle":"","family":"Werner","given":"Roland A","non-dropping-particle":"","parse-names":false,"suffix":""},{"dropping-particle":"","family":"Monson","given":"Russell K","non-dropping-particle":"","parse-names":false,"suffix":""}],"container-title":"Tree Physiology","id":"ITEM-3","issue":"8","issued":{"date-parts":[["2014","8","1"]]},"page":"796-818","title":"Stable isotopes in tree rings: towards a mechanistic understanding of isotope fractionation and mixing processes from the leaves to the wood","type":"article-journal","volume":"34"},"uris":["http://www.mendeley.com/documents/?uuid=d210caf4-11a1-4a41-97ee-7444b5e2f9e3"]}],"mendeley":{"formattedCitation":"(Cernusak, Winter, &amp; Turner, 2009; Gessler et al., 2009, 2014)","manualFormatting":"(Cernusak, Winter, &amp; Turner, 2009; Gessler et al., 2009)","plainTextFormattedCitation":"(Cernusak, Winter, &amp; Turner, 2009; Gessler et al., 2009, 2014)","previouslyFormattedCitation":"(Cernusak, Winter, &amp; Turner, 2009; Gessler et al., 2009, 2014)"},"properties":{"noteIndex":0},"schema":"https://github.com/citation-style-language/schema/raw/master/csl-citation.json"}</w:instrText>
      </w:r>
      <w:r w:rsidR="001C20B2" w:rsidRPr="00BD2160">
        <w:rPr>
          <w:rFonts w:cs="Times New Roman"/>
          <w:lang w:val="en-GB"/>
        </w:rPr>
        <w:fldChar w:fldCharType="separate"/>
      </w:r>
      <w:r w:rsidR="001C20B2" w:rsidRPr="0027518A">
        <w:rPr>
          <w:rFonts w:cs="Times New Roman"/>
          <w:noProof/>
          <w:lang w:val="en-GB"/>
        </w:rPr>
        <w:t>(Cernusak, Winter, &amp; Turner, 2009; Gessler et al., 2009)</w:t>
      </w:r>
      <w:r w:rsidR="001C20B2" w:rsidRPr="00BD2160">
        <w:rPr>
          <w:rFonts w:cs="Times New Roman"/>
          <w:lang w:val="en-GB"/>
        </w:rPr>
        <w:fldChar w:fldCharType="end"/>
      </w:r>
      <w:r w:rsidR="001C20B2">
        <w:rPr>
          <w:rFonts w:cs="Times New Roman"/>
        </w:rPr>
        <w:t>.</w:t>
      </w:r>
      <w:r>
        <w:rPr>
          <w:rFonts w:cs="Times New Roman"/>
        </w:rPr>
        <w:t xml:space="preserve"> Measurements of compound</w:t>
      </w:r>
      <w:r w:rsidR="00316709">
        <w:rPr>
          <w:rFonts w:cs="Times New Roman"/>
        </w:rPr>
        <w:t>-</w:t>
      </w:r>
      <w:r>
        <w:rPr>
          <w:rFonts w:cs="Times New Roman"/>
        </w:rPr>
        <w:t xml:space="preserve">specific fractionation </w:t>
      </w:r>
      <w:r w:rsidRPr="00BD2160">
        <w:rPr>
          <w:rFonts w:cs="Times New Roman"/>
        </w:rPr>
        <w:t xml:space="preserve">between leaf/needle organic matter and </w:t>
      </w:r>
      <w:r>
        <w:rPr>
          <w:rFonts w:cs="Times New Roman"/>
        </w:rPr>
        <w:t>wood component</w:t>
      </w:r>
      <w:r w:rsidR="00EB0EFF">
        <w:rPr>
          <w:rFonts w:cs="Times New Roman"/>
        </w:rPr>
        <w:t>s</w:t>
      </w:r>
      <w:r>
        <w:rPr>
          <w:rFonts w:cs="Times New Roman"/>
        </w:rPr>
        <w:t xml:space="preserve"> </w:t>
      </w:r>
      <w:r w:rsidRPr="00BD2160">
        <w:rPr>
          <w:rFonts w:cs="Times New Roman"/>
        </w:rPr>
        <w:fldChar w:fldCharType="begin" w:fldLock="1"/>
      </w:r>
      <w:r w:rsidR="00E84F0F">
        <w:rPr>
          <w:rFonts w:cs="Times New Roman"/>
        </w:rPr>
        <w:instrText>ADDIN CSL_CITATION {"citationItems":[{"id":"ITEM-1","itemData":{"DOI":"10.1093/treephys/tpv096","ISSN":"17584469","PMID":"26433019","abstract":"Significant gaps still exist in our knowledge about post-photosynthetic leaf level and downstream metabolic processes and isotopic fractionations. This includes their impact on the isotopic climate signal stored in the carbon isotope composition (δ13C) of leaf assimilates and tree rings. For the first time, we compared the seasonal δ13C variability of leaf sucrose with intra-annual, high-resolution δ13C signature of tree rings from larch (Larix gmelinii Rupr.). The trees were growing at two sites in the continuous permafrost zone of Siberia with different growth conditions. Our results indicate very similar low-frequency intra-seasonal trends of the sucrose and tree ring δ13C records with little or no indication for the use of ‘old’ photosynthates formed during the previous year(s). The comparison of leaf sucrose δ13C values with that in other leaf sugars and in tree rings elucidates the cause for the reported 13C-enrichment of sink organs compared with leaves. We observed that while the average δ13C of all needle sugars was 1.2‰ more negative than δ13C value of wood, the δ13C value of the transport sugar sucrose was on an average 1.0‰ more positive than that of wood. Our study shows a high potential of the combined use of compound-specific isotope analysis of sugars (leaf and phloem) with intra-annual tree ring δ13C measurements for deepening our understanding about the mechanisms controlling the isotope variability in tree rings under different environmental conditions.","author":[{"dropping-particle":"","family":"Rinne","given":"K. T.","non-dropping-particle":"","parse-names":false,"suffix":""},{"dropping-particle":"","family":"Saurer","given":"M.","non-dropping-particle":"","parse-names":false,"suffix":""},{"dropping-particle":"V.","family":"Kirdyanov","given":"A.","non-dropping-particle":"","parse-names":false,"suffix":""},{"dropping-particle":"","family":"Loader","given":"N. J.","non-dropping-particle":"","parse-names":false,"suffix":""},{"dropping-particle":"V.","family":"Bryukhanova","given":"M.","non-dropping-particle":"","parse-names":false,"suffix":""},{"dropping-particle":"","family":"Werner","given":"R. A.","non-dropping-particle":"","parse-names":false,"suffix":""},{"dropping-particle":"","family":"Siegwolf","given":"R. T.W.","non-dropping-particle":"","parse-names":false,"suffix":""}],"container-title":"Tree Physiology","id":"ITEM-1","issue":"11","issued":{"date-parts":[["2015"]]},"page":"1192-1205","title":"The relationship between needle sugar carbon isotope ratios and tree rings of larch in Siberia","type":"article-journal","volume":"35"},"uris":["http://www.mendeley.com/documents/?uuid=2b37fcce-4862-4066-8968-9c95edd71533"]},{"id":"ITEM-2","itemData":{"DOI":"10.1093/treephys/tpu040","ISBN":"1758-4469 (Electronic) 0829-318X (Linking)","ISSN":"0829-318X","PMID":"24907466","abstract":"The mechanistic understanding of isotope fractionation processes is increasing but we still lack detailed knowledge of the processes that determine the isotopic composition of the tree-ring archive over the long term. Especially with regard to the path from leaf photosynthate production to wood formation, post-assimilation fractionations/processes might cause at least a partial decoupling between the leaf isotope signals that record processes such as stomatal conductance, transpiration and photosynthesis, and the wood or cellulose signals that are stored in the paleophysiological record. In this review, we start from the rather well understood processes at the leaf level such as photosynthetic carbon isotope fractionation, leaf water evaporative isotope enrichment and the issue of the isotopic composition of inorganic sources (CO2 and H2O), though we focus on the less explored 'downstream' processes related to metabolism and transport. We further summarize the roles of cellulose and lignin as important chemical constituents of wood, and the processes that determine the transfer of photosynthate (sucrose) and associated isotopic signals to wood production. We cover the broad topics of post-carboxylation carbon isotope fractionation and of the exchange of organic oxygen with water within the tree. In two case studies, we assess the transfer of carbon and oxygen isotopic signals from leaves to tree rings. Finally we address the issue of different temporal scales and link isotope fractionation at the shorter time scale for processes in the leaf to the isotopic ratio as recorded across longer time scales of the tree-ring archive.","author":[{"dropping-particle":"","family":"Gessler","given":"Arthur","non-dropping-particle":"","parse-names":false,"suffix":""},{"dropping-particle":"","family":"Ferrio","given":"Juan Pedro","non-dropping-particle":"","parse-names":false,"suffix":""},{"dropping-particle":"","family":"Hommel","given":"Robert","non-dropping-particle":"","parse-names":false,"suffix":""},{"dropping-particle":"","family":"Treydte","given":"Kerstin","non-dropping-particle":"","parse-names":false,"suffix":""},{"dropping-particle":"","family":"Werner","given":"Roland A","non-dropping-particle":"","parse-names":false,"suffix":""},{"dropping-particle":"","family":"Monson","given":"Russell K","non-dropping-particle":"","parse-names":false,"suffix":""}],"container-title":"Tree Physiology","id":"ITEM-2","issue":"8","issued":{"date-parts":[["2014","8","1"]]},"page":"796-818","title":"Stable isotopes in tree rings: towards a mechanistic understanding of isotope fractionation and mixing processes from the leaves to the wood","type":"article-journal","volume":"34"},"uris":["http://www.mendeley.com/documents/?uuid=d210caf4-11a1-4a41-97ee-7444b5e2f9e3"]}],"mendeley":{"formattedCitation":"(Gessler et al., 2014; Rinne et al., 2015)","plainTextFormattedCitation":"(Gessler et al., 2014; Rinne et al., 2015)","previouslyFormattedCitation":"(Gessler et al., 2014; Rinne et al., 2015)"},"properties":{"noteIndex":0},"schema":"https://github.com/citation-style-language/schema/raw/master/csl-citation.json"}</w:instrText>
      </w:r>
      <w:r w:rsidRPr="00BD2160">
        <w:rPr>
          <w:rFonts w:cs="Times New Roman"/>
        </w:rPr>
        <w:fldChar w:fldCharType="separate"/>
      </w:r>
      <w:r w:rsidRPr="004867C1">
        <w:rPr>
          <w:rFonts w:cs="Times New Roman"/>
          <w:noProof/>
          <w:lang w:val="fr-FR"/>
        </w:rPr>
        <w:t>(Gessler et al., 2014; Rinne et al., 2015)</w:t>
      </w:r>
      <w:r w:rsidRPr="00BD2160">
        <w:rPr>
          <w:rFonts w:cs="Times New Roman"/>
        </w:rPr>
        <w:fldChar w:fldCharType="end"/>
      </w:r>
      <w:r>
        <w:rPr>
          <w:rFonts w:cs="Times New Roman"/>
        </w:rPr>
        <w:t xml:space="preserve"> can be used to estimate these post-photosynthetic fractionation processes and quantify uncertainties associated </w:t>
      </w:r>
      <w:r w:rsidR="00316709">
        <w:rPr>
          <w:rFonts w:cs="Times New Roman"/>
        </w:rPr>
        <w:t xml:space="preserve">with </w:t>
      </w:r>
      <w:r>
        <w:rPr>
          <w:rFonts w:cs="Times New Roman"/>
        </w:rPr>
        <w:t xml:space="preserve">the estimation of </w:t>
      </w:r>
      <w:r w:rsidR="006440FA" w:rsidRPr="00BD2160">
        <w:rPr>
          <w:rFonts w:cs="Times New Roman"/>
        </w:rPr>
        <w:t>iWUE</w:t>
      </w:r>
      <w:r w:rsidR="006440FA" w:rsidRPr="001B08EE">
        <w:rPr>
          <w:rFonts w:cs="Times New Roman"/>
          <w:vertAlign w:val="superscript"/>
        </w:rPr>
        <w:t>l</w:t>
      </w:r>
      <w:r w:rsidR="006440FA">
        <w:rPr>
          <w:rFonts w:cs="Times New Roman"/>
          <w:vertAlign w:val="superscript"/>
        </w:rPr>
        <w:t>eaf</w:t>
      </w:r>
      <w:r>
        <w:rPr>
          <w:rFonts w:cs="Times New Roman"/>
        </w:rPr>
        <w:t xml:space="preserve"> using </w:t>
      </w:r>
      <w:r w:rsidR="00BD0FDE">
        <w:rPr>
          <w:rFonts w:cs="Times New Roman"/>
        </w:rPr>
        <w:t>tree-rings</w:t>
      </w:r>
      <w:r>
        <w:rPr>
          <w:rFonts w:cs="Times New Roman"/>
        </w:rPr>
        <w:t xml:space="preserve">. </w:t>
      </w:r>
      <w:r w:rsidRPr="007A77B2">
        <w:rPr>
          <w:rFonts w:cs="Times New Roman"/>
          <w:color w:val="000000" w:themeColor="text1"/>
        </w:rPr>
        <w:t>Equations (1) and (</w:t>
      </w:r>
      <w:r w:rsidR="00717829">
        <w:rPr>
          <w:rFonts w:cs="Times New Roman"/>
          <w:color w:val="000000" w:themeColor="text1"/>
        </w:rPr>
        <w:t>3</w:t>
      </w:r>
      <w:r w:rsidRPr="007A77B2">
        <w:rPr>
          <w:rFonts w:cs="Times New Roman"/>
          <w:color w:val="000000" w:themeColor="text1"/>
        </w:rPr>
        <w:t xml:space="preserve">) may thus be combined to give </w:t>
      </w:r>
      <w:r w:rsidR="006440FA" w:rsidRPr="00BD2160">
        <w:rPr>
          <w:rFonts w:cs="Times New Roman"/>
        </w:rPr>
        <w:t>iWUE</w:t>
      </w:r>
      <w:r w:rsidR="006440FA" w:rsidRPr="001B08EE">
        <w:rPr>
          <w:rFonts w:cs="Times New Roman"/>
          <w:vertAlign w:val="superscript"/>
        </w:rPr>
        <w:t>l</w:t>
      </w:r>
      <w:r w:rsidR="006440FA">
        <w:rPr>
          <w:rFonts w:cs="Times New Roman"/>
          <w:vertAlign w:val="superscript"/>
        </w:rPr>
        <w:t>eaf</w:t>
      </w:r>
      <w:r w:rsidRPr="007A77B2">
        <w:rPr>
          <w:rFonts w:cs="Times New Roman"/>
          <w:color w:val="000000" w:themeColor="text1"/>
        </w:rPr>
        <w:t xml:space="preserve"> in terms of </w:t>
      </w:r>
      <w:r w:rsidR="00C81DC7" w:rsidRPr="00BD2160">
        <w:rPr>
          <w:rFonts w:cs="Times New Roman"/>
          <w:color w:val="000000" w:themeColor="text1"/>
        </w:rPr>
        <w:t>∆</w:t>
      </w:r>
      <w:r w:rsidR="00C81DC7" w:rsidRPr="00BD2160">
        <w:rPr>
          <w:rFonts w:cs="Times New Roman"/>
          <w:color w:val="000000" w:themeColor="text1"/>
          <w:vertAlign w:val="superscript"/>
        </w:rPr>
        <w:t>13</w:t>
      </w:r>
      <w:r w:rsidR="00C81DC7" w:rsidRPr="00BD2160">
        <w:rPr>
          <w:rFonts w:cs="Times New Roman"/>
          <w:color w:val="000000" w:themeColor="text1"/>
        </w:rPr>
        <w:t xml:space="preserve">C </w:t>
      </w:r>
      <w:r w:rsidRPr="007A77B2">
        <w:rPr>
          <w:rFonts w:cs="Times New Roman"/>
          <w:color w:val="000000" w:themeColor="text1"/>
        </w:rPr>
        <w:t>adjusted for p</w:t>
      </w:r>
      <w:r>
        <w:rPr>
          <w:rFonts w:cs="Times New Roman"/>
        </w:rPr>
        <w:t xml:space="preserve">ost-photosynthetic fractionation processes </w:t>
      </w:r>
      <w:r w:rsidRPr="00760E9D">
        <w:rPr>
          <w:rFonts w:cs="Times New Roman"/>
          <w:color w:val="000000" w:themeColor="text1"/>
        </w:rPr>
        <w:t xml:space="preserve">as in </w:t>
      </w:r>
      <w:r w:rsidRPr="00760E9D">
        <w:rPr>
          <w:rFonts w:cs="Times New Roman"/>
          <w:color w:val="000000" w:themeColor="text1"/>
        </w:rPr>
        <w:fldChar w:fldCharType="begin" w:fldLock="1"/>
      </w:r>
      <w:r w:rsidR="006E06D4">
        <w:rPr>
          <w:rFonts w:cs="Times New Roman"/>
          <w:color w:val="000000" w:themeColor="text1"/>
        </w:rPr>
        <w:instrText>ADDIN CSL_CITATION {"citationItems":[{"id":"ITEM-1","itemData":{"DOI":"10.1038/nclimate2614","ISBN":"1758-6798","ISSN":"1758-678X","abstract":"The Earth’s carbon and hydrologic cycles are intimately coupled by gas exchange through plant stomata. However, uncertainties in the magnitude and consequences of the physiological responses of plants to elevated CO2 in natural environments hinders modelling of terrestrial water cycling and carbon storage. Here we use annually resolved long-term δ13C tree-ring measurements across a European forest network to reconstruct the physiologically driven response of intercellular CO2 (Ci) caused by atmospheric CO2 (Ca) trends. When removing meteorological signals from the δ13C measurements, we find that trees across Europe regulated gas exchange so that for one ppmv atmospheric CO2 increase, Ci increased by ~0.76 ppmv, most consistent with moderate control towards a constant Ci/Ca ratio. This response corresponds to twentieth-century intrinsic water-use efficiency (iWUE) increases of 14 ± 10 and 22 ± 6% at broadleaf and coniferous sites, respectively. An ensemble of process-based global vegetation models shows similar CO2 effects on iWUE trends. Yet, when operating these models with climate drivers reintroduced, despite decreased stomatal opening, 5% increases in European forest transpiration are calculated over the twentieth century. This counterintuitive result arises from lengthened growing seasons, enhanced evaporative demand in a warming climate, and increased leaf area, which together oppose effects of CO2-induced stomatal closure. Our study questions changes to the hydrological cycle, such as reductions in transpiration and air humidity, hypothesized to result from plant responses to anthropogenic emissions.","author":[{"dropping-particle":"","family":"Frank","given":"D. C.","non-dropping-particle":"","parse-names":false,"suffix":""},{"dropping-particle":"","family":"Poulter","given":"B.","non-dropping-particle":"","parse-names":false,"suffix":""},{"dropping-particle":"","family":"Saurer","given":"M.","non-dropping-particle":"","parse-names":false,"suffix":""},{"dropping-particle":"","family":"Esper","given":"J.","non-dropping-particle":"","parse-names":false,"suffix":""},{"dropping-particle":"","family":"Huntingford","given":"C.","non-dropping-particle":"","parse-names":false,"suffix":""},{"dropping-particle":"","family":"Helle","given":"G.","non-dropping-particle":"","parse-names":false,"suffix":""},{"dropping-particle":"","family":"Treydte","given":"K.","non-dropping-particle":"","parse-names":false,"suffix":""},{"dropping-particle":"","family":"Zimmermann","given":"N. E.","non-dropping-particle":"","parse-names":false,"suffix":""},{"dropping-particle":"","family":"Schleser","given":"G. H.","non-dropping-particle":"","parse-names":false,"suffix":""},{"dropping-particle":"","family":"Ahlström","given":"A.","non-dropping-particle":"","parse-names":false,"suffix":""},{"dropping-particle":"","family":"Ciais","given":"P.","non-dropping-particle":"","parse-names":false,"suffix":""},{"dropping-particle":"","family":"Friedlingstein","given":"P.","non-dropping-particle":"","parse-names":false,"suffix":""},{"dropping-particle":"","family":"Levis","given":"S.","non-dropping-particle":"","parse-names":false,"suffix":""},{"dropping-particle":"","family":"Lomas","given":"M.","non-dropping-particle":"","parse-names":false,"suffix":""},{"dropping-particle":"","family":"Sitch","given":"S.","non-dropping-particle":"","parse-names":false,"suffix":""},{"dropping-particle":"","family":"Viovy","given":"N.","non-dropping-particle":"","parse-names":false,"suffix":""},{"dropping-particle":"","family":"Andreu-Hayles","given":"L.","non-dropping-particle":"","parse-names":false,"suffix":""},{"dropping-particle":"","family":"Bednarz","given":"Z.","non-dropping-particle":"","parse-names":false,"suffix":""},{"dropping-particle":"","family":"Berninger","given":"F.","non-dropping-particle":"","parse-names":false,"suffix":""},{"dropping-particle":"","family":"Boettger","given":"T.","non-dropping-particle":"","parse-names":false,"suffix":""},{"dropping-particle":"","family":"D'Alessandro","given":"C. M.","non-dropping-particle":"","parse-names":false,"suffix":""},{"dropping-particle":"","family":"Daux","given":"V.","non-dropping-particle":"","parse-names":false,"suffix":""},{"dropping-particle":"","family":"Filot","given":"M.","non-dropping-particle":"","parse-names":false,"suffix":""},{"dropping-particle":"","family":"Grabner","given":"M.","non-dropping-particle":"","parse-names":false,"suffix":""},{"dropping-particle":"","family":"Gutierrez","given":"E.","non-dropping-particle":"","parse-names":false,"suffix":""},{"dropping-particle":"","family":"Haupt","given":"M.","non-dropping-particle":"","parse-names":false,"suffix":""},{"dropping-particle":"","family":"Hilasvuori","given":"E.","non-dropping-particle":"","parse-names":false,"suffix":""},{"dropping-particle":"","family":"Jungner","given":"H.","non-dropping-particle":"","parse-names":false,"suffix":""},{"dropping-particle":"","family":"Kalela-Brundin","given":"M.","non-dropping-particle":"","parse-names":false,"suffix":""},{"dropping-particle":"","family":"Krapiec","given":"M.","non-dropping-particle":"","parse-names":false,"suffix":""},{"dropping-particle":"","family":"Leuenberger","given":"M.","non-dropping-particle":"","parse-names":false,"suffix":""},{"dropping-particle":"","family":"Loader","given":"N. J.","non-dropping-particle":"","parse-names":false,"suffix":""},{"dropping-particle":"","family":"Marah","given":"H.","non-dropping-particle":"","parse-names":false,"suffix":""},{"dropping-particle":"","family":"Masson-Delmotte","given":"V.","non-dropping-particle":"","parse-names":false,"suffix":""},{"dropping-particle":"","family":"Pazdur","given":"A.","non-dropping-particle":"","parse-names":false,"suffix":""},{"dropping-particle":"","family":"Pawelczyk","given":"S.","non-dropping-particle":"","parse-names":false,"suffix":""},{"dropping-particle":"","family":"Pierre","given":"M.","non-dropping-particle":"","parse-names":false,"suffix":""},{"dropping-particle":"","family":"Planells","given":"O.","non-dropping-particle":"","parse-names":false,"suffix":""},{"dropping-particle":"","family":"Pukiene","given":"R.","non-dropping-particle":"","parse-names":false,"suffix":""},{"dropping-particle":"","family":"Reynolds-Henne","given":"C. E.","non-dropping-particle":"","parse-names":false,"suffix":""},{"dropping-particle":"","family":"Rinne","given":"K. T.","non-dropping-particle":"","parse-names":false,"suffix":""},{"dropping-particle":"","family":"Saracino","given":"A.","non-dropping-particle":"","parse-names":false,"suffix":""},{"dropping-particle":"","family":"Sonninen","given":"E.","non-dropping-particle":"","parse-names":false,"suffix":""},{"dropping-particle":"","family":"Stievenard","given":"M.","non-dropping-particle":"","parse-names":false,"suffix":""},{"dropping-particle":"","family":"Switsur","given":"V. R.","non-dropping-particle":"","parse-names":false,"suffix":""},{"dropping-particle":"","family":"Szczepanek","given":"M.","non-dropping-particle":"","parse-names":false,"suffix":""},{"dropping-particle":"","family":"Szychowska-Krapiec","given":"E.","non-dropping-particle":"","parse-names":false,"suffix":""},{"dropping-particle":"","family":"Todaro","given":"L.","non-dropping-particle":"","parse-names":false,"suffix":""},{"dropping-particle":"","family":"Waterhouse","given":"J. S.","non-dropping-particle":"","parse-names":false,"suffix":""},{"dropping-particle":"","family":"Weigl","given":"M.","non-dropping-particle":"","parse-names":false,"suffix":""}],"container-title":"Nature Climate Change","id":"ITEM-1","issue":"6","issued":{"date-parts":[["2015"]]},"page":"579-583","title":"Water-use efficiency and transpiration across European forests during the Anthropocene","type":"article-journal","volume":"5"},"uris":["http://www.mendeley.com/documents/?uuid=ac469d75-cf10-4cf2-85ca-b5f93e6eab8e"]}],"mendeley":{"formattedCitation":"(Frank et al., 2015)","manualFormatting":"Frank et al. (2015)","plainTextFormattedCitation":"(Frank et al., 2015)","previouslyFormattedCitation":"(Frank et al., 2015)"},"properties":{"noteIndex":0},"schema":"https://github.com/citation-style-language/schema/raw/master/csl-citation.json"}</w:instrText>
      </w:r>
      <w:r w:rsidRPr="00760E9D">
        <w:rPr>
          <w:rFonts w:cs="Times New Roman"/>
          <w:color w:val="000000" w:themeColor="text1"/>
        </w:rPr>
        <w:fldChar w:fldCharType="separate"/>
      </w:r>
      <w:r w:rsidRPr="00760E9D">
        <w:rPr>
          <w:rFonts w:cs="Times New Roman"/>
          <w:noProof/>
          <w:color w:val="000000" w:themeColor="text1"/>
        </w:rPr>
        <w:t xml:space="preserve">Frank et al. </w:t>
      </w:r>
      <w:r w:rsidR="00760E9D" w:rsidRPr="00760E9D">
        <w:rPr>
          <w:rFonts w:cs="Times New Roman"/>
          <w:noProof/>
          <w:color w:val="000000" w:themeColor="text1"/>
        </w:rPr>
        <w:t>(</w:t>
      </w:r>
      <w:r w:rsidRPr="00760E9D">
        <w:rPr>
          <w:rFonts w:cs="Times New Roman"/>
          <w:noProof/>
          <w:color w:val="000000" w:themeColor="text1"/>
        </w:rPr>
        <w:t>2015)</w:t>
      </w:r>
      <w:r w:rsidRPr="00760E9D">
        <w:rPr>
          <w:rFonts w:cs="Times New Roman"/>
          <w:color w:val="000000" w:themeColor="text1"/>
        </w:rPr>
        <w:fldChar w:fldCharType="end"/>
      </w:r>
      <w:r w:rsidRPr="00760E9D">
        <w:rPr>
          <w:rFonts w:cs="Times New Roman"/>
          <w:color w:val="000000" w:themeColor="text1"/>
        </w:rPr>
        <w:t>:</w:t>
      </w:r>
    </w:p>
    <w:p w14:paraId="40BB7482" w14:textId="1C59F8F6" w:rsidR="00F62003" w:rsidRPr="00BD2160" w:rsidRDefault="00E31184" w:rsidP="00F13206">
      <w:pPr>
        <w:spacing w:before="240" w:line="360" w:lineRule="auto"/>
        <w:ind w:firstLine="708"/>
        <w:jc w:val="both"/>
      </w:pPr>
      <m:oMath>
        <m:sSup>
          <m:sSupPr>
            <m:ctrlPr>
              <w:rPr>
                <w:rFonts w:ascii="Cambria Math" w:hAnsi="Cambria Math"/>
              </w:rPr>
            </m:ctrlPr>
          </m:sSupPr>
          <m:e>
            <m:r>
              <m:rPr>
                <m:sty m:val="p"/>
              </m:rPr>
              <w:rPr>
                <w:rFonts w:ascii="Cambria Math" w:hAnsi="Cambria Math"/>
              </w:rPr>
              <m:t>iWUE</m:t>
            </m:r>
          </m:e>
          <m:sup>
            <m:r>
              <m:rPr>
                <m:sty m:val="p"/>
              </m:rPr>
              <w:rPr>
                <w:rFonts w:ascii="Cambria Math" w:hAnsi="Cambria Math"/>
              </w:rPr>
              <m:t>leaf</m:t>
            </m:r>
          </m:sup>
        </m:sSup>
        <m:r>
          <w:rPr>
            <w:rFonts w:ascii="Cambria Math" w:hAnsi="Cambria Math"/>
            <w:color w:val="000000" w:themeColor="text1"/>
          </w:rPr>
          <m:t>=</m:t>
        </m:r>
        <m:f>
          <m:fPr>
            <m:ctrlPr>
              <w:rPr>
                <w:rFonts w:ascii="Cambria Math" w:hAnsi="Cambria Math"/>
                <w:i/>
              </w:rPr>
            </m:ctrlPr>
          </m:fPr>
          <m:num>
            <m:sSub>
              <m:sSubPr>
                <m:ctrlPr>
                  <w:rPr>
                    <w:rFonts w:ascii="Cambria Math" w:hAnsi="Cambria Math"/>
                    <w:i/>
                  </w:rPr>
                </m:ctrlPr>
              </m:sSubPr>
              <m:e>
                <m:r>
                  <w:rPr>
                    <w:rFonts w:ascii="Cambria Math" w:hAnsi="Cambria Math"/>
                  </w:rPr>
                  <m:t>c</m:t>
                </m:r>
              </m:e>
              <m:sub>
                <m:r>
                  <m:rPr>
                    <m:sty m:val="p"/>
                  </m:rPr>
                  <w:rPr>
                    <w:rFonts w:ascii="Cambria Math" w:hAnsi="Cambria Math"/>
                  </w:rPr>
                  <m:t>a</m:t>
                </m:r>
              </m:sub>
            </m:sSub>
          </m:num>
          <m:den>
            <m:r>
              <w:rPr>
                <w:rFonts w:ascii="Cambria Math" w:hAnsi="Cambria Math"/>
              </w:rPr>
              <m:t>1.6</m:t>
            </m:r>
          </m:den>
        </m:f>
        <m:d>
          <m:dPr>
            <m:ctrlPr>
              <w:rPr>
                <w:rFonts w:ascii="Cambria Math" w:hAnsi="Cambria Math"/>
                <w:i/>
                <w:color w:val="000000" w:themeColor="text1"/>
              </w:rPr>
            </m:ctrlPr>
          </m:dPr>
          <m:e>
            <m:r>
              <w:rPr>
                <w:rFonts w:ascii="Cambria Math" w:hAnsi="Cambria Math"/>
                <w:color w:val="000000" w:themeColor="text1"/>
              </w:rPr>
              <m:t>1-</m:t>
            </m:r>
            <m:f>
              <m:fPr>
                <m:ctrlPr>
                  <w:rPr>
                    <w:rFonts w:ascii="Cambria Math" w:hAnsi="Cambria Math"/>
                    <w:i/>
                    <w:color w:val="000000" w:themeColor="text1"/>
                  </w:rPr>
                </m:ctrlPr>
              </m:fPr>
              <m:num>
                <m:d>
                  <m:dPr>
                    <m:ctrlPr>
                      <w:rPr>
                        <w:rFonts w:ascii="Cambria Math" w:hAnsi="Cambria Math"/>
                        <w:i/>
                      </w:rPr>
                    </m:ctrlPr>
                  </m:dPr>
                  <m:e>
                    <m:f>
                      <m:fPr>
                        <m:ctrlPr>
                          <w:rPr>
                            <w:rFonts w:ascii="Cambria Math" w:hAnsi="Cambria Math"/>
                          </w:rPr>
                        </m:ctrlPr>
                      </m:fPr>
                      <m:num>
                        <m:sSup>
                          <m:sSupPr>
                            <m:ctrlPr>
                              <w:rPr>
                                <w:rFonts w:ascii="Cambria Math" w:hAnsi="Cambria Math"/>
                                <w:i/>
                              </w:rPr>
                            </m:ctrlPr>
                          </m:sSupPr>
                          <m:e>
                            <m:r>
                              <m:rPr>
                                <m:sty m:val="p"/>
                              </m:rPr>
                              <w:rPr>
                                <w:rFonts w:ascii="Cambria Math" w:hAnsi="Cambria Math"/>
                              </w:rPr>
                              <m:t>δ</m:t>
                            </m:r>
                          </m:e>
                          <m:sup>
                            <m:r>
                              <w:rPr>
                                <w:rFonts w:ascii="Cambria Math" w:hAnsi="Cambria Math"/>
                              </w:rPr>
                              <m:t>13</m:t>
                            </m:r>
                          </m:sup>
                        </m:sSup>
                        <m:sSub>
                          <m:sSubPr>
                            <m:ctrlPr>
                              <w:rPr>
                                <w:rFonts w:ascii="Cambria Math" w:hAnsi="Cambria Math"/>
                                <w:i/>
                              </w:rPr>
                            </m:ctrlPr>
                          </m:sSubPr>
                          <m:e>
                            <m:r>
                              <w:rPr>
                                <w:rFonts w:ascii="Cambria Math" w:hAnsi="Cambria Math"/>
                              </w:rPr>
                              <m:t>C</m:t>
                            </m:r>
                          </m:e>
                          <m:sub>
                            <m:r>
                              <w:rPr>
                                <w:rFonts w:ascii="Cambria Math" w:hAnsi="Cambria Math"/>
                              </w:rPr>
                              <m:t>atm</m:t>
                            </m:r>
                          </m:sub>
                        </m:sSub>
                        <m:r>
                          <w:rPr>
                            <w:rFonts w:ascii="Cambria Math" w:hAnsi="Cambria Math"/>
                          </w:rPr>
                          <m:t>-</m:t>
                        </m:r>
                        <m:d>
                          <m:dPr>
                            <m:ctrlPr>
                              <w:rPr>
                                <w:rFonts w:ascii="Cambria Math" w:hAnsi="Cambria Math"/>
                                <w:i/>
                              </w:rPr>
                            </m:ctrlPr>
                          </m:dPr>
                          <m:e>
                            <m:sSup>
                              <m:sSupPr>
                                <m:ctrlPr>
                                  <w:rPr>
                                    <w:rFonts w:ascii="Cambria Math" w:hAnsi="Cambria Math"/>
                                    <w:i/>
                                  </w:rPr>
                                </m:ctrlPr>
                              </m:sSupPr>
                              <m:e>
                                <m:r>
                                  <m:rPr>
                                    <m:sty m:val="p"/>
                                  </m:rPr>
                                  <w:rPr>
                                    <w:rFonts w:ascii="Cambria Math" w:hAnsi="Cambria Math"/>
                                  </w:rPr>
                                  <m:t>δ</m:t>
                                </m:r>
                              </m:e>
                              <m:sup>
                                <m:r>
                                  <w:rPr>
                                    <w:rFonts w:ascii="Cambria Math" w:hAnsi="Cambria Math"/>
                                  </w:rPr>
                                  <m:t>13</m:t>
                                </m:r>
                              </m:sup>
                            </m:sSup>
                            <m:sSub>
                              <m:sSubPr>
                                <m:ctrlPr>
                                  <w:rPr>
                                    <w:rFonts w:ascii="Cambria Math" w:hAnsi="Cambria Math"/>
                                    <w:i/>
                                  </w:rPr>
                                </m:ctrlPr>
                              </m:sSubPr>
                              <m:e>
                                <m:r>
                                  <w:rPr>
                                    <w:rFonts w:ascii="Cambria Math" w:hAnsi="Cambria Math"/>
                                  </w:rPr>
                                  <m:t>C</m:t>
                                </m:r>
                              </m:e>
                              <m:sub>
                                <m:r>
                                  <w:rPr>
                                    <w:rFonts w:ascii="Cambria Math" w:hAnsi="Cambria Math"/>
                                  </w:rPr>
                                  <m:t>P</m:t>
                                </m:r>
                              </m:sub>
                            </m:sSub>
                            <m:r>
                              <w:rPr>
                                <w:rFonts w:ascii="Cambria Math" w:hAnsi="Cambria Math"/>
                              </w:rPr>
                              <m:t>-d</m:t>
                            </m:r>
                          </m:e>
                        </m:d>
                      </m:num>
                      <m:den>
                        <m:r>
                          <w:rPr>
                            <w:rFonts w:ascii="Cambria Math" w:hAnsi="Cambria Math"/>
                          </w:rPr>
                          <m:t>1+</m:t>
                        </m:r>
                        <m:f>
                          <m:fPr>
                            <m:type m:val="lin"/>
                            <m:ctrlPr>
                              <w:rPr>
                                <w:rFonts w:ascii="Cambria Math" w:hAnsi="Cambria Math"/>
                                <w:i/>
                              </w:rPr>
                            </m:ctrlPr>
                          </m:fPr>
                          <m:num>
                            <m:d>
                              <m:dPr>
                                <m:ctrlPr>
                                  <w:rPr>
                                    <w:rFonts w:ascii="Cambria Math" w:hAnsi="Cambria Math"/>
                                    <w:i/>
                                  </w:rPr>
                                </m:ctrlPr>
                              </m:dPr>
                              <m:e>
                                <m:sSup>
                                  <m:sSupPr>
                                    <m:ctrlPr>
                                      <w:rPr>
                                        <w:rFonts w:ascii="Cambria Math" w:hAnsi="Cambria Math"/>
                                        <w:i/>
                                      </w:rPr>
                                    </m:ctrlPr>
                                  </m:sSupPr>
                                  <m:e>
                                    <m:r>
                                      <m:rPr>
                                        <m:sty m:val="p"/>
                                      </m:rPr>
                                      <w:rPr>
                                        <w:rFonts w:ascii="Cambria Math" w:hAnsi="Cambria Math"/>
                                      </w:rPr>
                                      <m:t>δ</m:t>
                                    </m:r>
                                  </m:e>
                                  <m:sup>
                                    <m:r>
                                      <w:rPr>
                                        <w:rFonts w:ascii="Cambria Math" w:hAnsi="Cambria Math"/>
                                      </w:rPr>
                                      <m:t>13</m:t>
                                    </m:r>
                                  </m:sup>
                                </m:sSup>
                                <m:sSub>
                                  <m:sSubPr>
                                    <m:ctrlPr>
                                      <w:rPr>
                                        <w:rFonts w:ascii="Cambria Math" w:hAnsi="Cambria Math"/>
                                        <w:i/>
                                      </w:rPr>
                                    </m:ctrlPr>
                                  </m:sSubPr>
                                  <m:e>
                                    <m:r>
                                      <w:rPr>
                                        <w:rFonts w:ascii="Cambria Math" w:hAnsi="Cambria Math"/>
                                      </w:rPr>
                                      <m:t>C</m:t>
                                    </m:r>
                                  </m:e>
                                  <m:sub>
                                    <m:r>
                                      <w:rPr>
                                        <w:rFonts w:ascii="Cambria Math" w:hAnsi="Cambria Math"/>
                                      </w:rPr>
                                      <m:t>P</m:t>
                                    </m:r>
                                  </m:sub>
                                </m:sSub>
                                <m:r>
                                  <w:rPr>
                                    <w:rFonts w:ascii="Cambria Math" w:hAnsi="Cambria Math"/>
                                  </w:rPr>
                                  <m:t>-d</m:t>
                                </m:r>
                              </m:e>
                            </m:d>
                          </m:num>
                          <m:den>
                            <m:r>
                              <w:rPr>
                                <w:rFonts w:ascii="Cambria Math" w:hAnsi="Cambria Math"/>
                              </w:rPr>
                              <m:t>1000</m:t>
                            </m:r>
                          </m:den>
                        </m:f>
                      </m:den>
                    </m:f>
                  </m:e>
                </m:d>
                <m:r>
                  <m:rPr>
                    <m:sty m:val="p"/>
                  </m:rPr>
                  <w:rPr>
                    <w:rFonts w:ascii="Cambria Math" w:hAnsi="Cambria Math"/>
                  </w:rPr>
                  <m:t>-</m:t>
                </m:r>
                <m:r>
                  <w:rPr>
                    <w:rFonts w:ascii="Cambria Math" w:hAnsi="Cambria Math"/>
                  </w:rPr>
                  <m:t>a</m:t>
                </m:r>
              </m:num>
              <m:den>
                <m:d>
                  <m:dPr>
                    <m:ctrlPr>
                      <w:rPr>
                        <w:rFonts w:ascii="Cambria Math" w:hAnsi="Cambria Math"/>
                      </w:rPr>
                    </m:ctrlPr>
                  </m:dPr>
                  <m:e>
                    <m:acc>
                      <m:accPr>
                        <m:chr m:val="̅"/>
                        <m:ctrlPr>
                          <w:rPr>
                            <w:rFonts w:ascii="Cambria Math" w:hAnsi="Cambria Math"/>
                            <w:i/>
                          </w:rPr>
                        </m:ctrlPr>
                      </m:accPr>
                      <m:e>
                        <m:r>
                          <w:rPr>
                            <w:rFonts w:ascii="Cambria Math" w:hAnsi="Cambria Math"/>
                          </w:rPr>
                          <m:t>b</m:t>
                        </m:r>
                      </m:e>
                    </m:acc>
                    <m:r>
                      <w:rPr>
                        <w:rFonts w:ascii="Cambria Math" w:hAnsi="Cambria Math"/>
                      </w:rPr>
                      <m:t>-a</m:t>
                    </m:r>
                  </m:e>
                </m:d>
              </m:den>
            </m:f>
          </m:e>
        </m:d>
        <m:r>
          <w:rPr>
            <w:rFonts w:ascii="Cambria Math" w:hAnsi="Cambria Math"/>
            <w:color w:val="000000" w:themeColor="text1"/>
          </w:rPr>
          <m:t>+ε</m:t>
        </m:r>
      </m:oMath>
      <w:r w:rsidR="00F62003" w:rsidRPr="00BD2160">
        <w:rPr>
          <w:color w:val="000000" w:themeColor="text1"/>
        </w:rPr>
        <w:tab/>
      </w:r>
      <w:r w:rsidR="00F62003" w:rsidRPr="00BD2160">
        <w:tab/>
      </w:r>
      <w:r w:rsidR="00F62003">
        <w:tab/>
      </w:r>
      <w:r w:rsidR="00F62003" w:rsidRPr="00BD2160">
        <w:t xml:space="preserve"> </w:t>
      </w:r>
      <w:r w:rsidR="00F62003">
        <w:tab/>
      </w:r>
      <w:r w:rsidR="00F62003">
        <w:tab/>
      </w:r>
      <w:r w:rsidR="00F62003" w:rsidRPr="00BD2160">
        <w:t>(</w:t>
      </w:r>
      <w:r w:rsidR="008F7788">
        <w:t>4</w:t>
      </w:r>
      <w:r w:rsidR="00F62003" w:rsidRPr="00BD2160">
        <w:t>)</w:t>
      </w:r>
    </w:p>
    <w:p w14:paraId="72716F9F" w14:textId="2E06D473" w:rsidR="00F62003" w:rsidRDefault="00F62003" w:rsidP="00D10B4D">
      <w:pPr>
        <w:pStyle w:val="Body"/>
        <w:spacing w:before="240" w:line="360" w:lineRule="auto"/>
        <w:jc w:val="both"/>
        <w:rPr>
          <w:rFonts w:cs="Times New Roman"/>
        </w:rPr>
      </w:pPr>
      <w:r>
        <w:rPr>
          <w:rFonts w:cs="Times New Roman"/>
        </w:rPr>
        <w:t xml:space="preserve">where </w:t>
      </w:r>
      <w:r w:rsidRPr="00B652A5">
        <w:rPr>
          <w:rFonts w:cs="Times New Roman"/>
          <w:i/>
        </w:rPr>
        <w:t>d</w:t>
      </w:r>
      <w:r>
        <w:rPr>
          <w:rFonts w:cs="Times New Roman"/>
        </w:rPr>
        <w:t xml:space="preserve"> quantifies the sum of discriminations beyond those associated with the production of the primary photosynthetic assimilates (2.1 </w:t>
      </w:r>
      <w:r>
        <w:rPr>
          <w:rFonts w:cs="Times New Roman"/>
        </w:rPr>
        <w:sym w:font="Symbol" w:char="F0B1"/>
      </w:r>
      <w:r>
        <w:rPr>
          <w:rFonts w:cs="Times New Roman"/>
        </w:rPr>
        <w:t xml:space="preserve"> 1.2</w:t>
      </w:r>
      <w:r w:rsidRPr="00BD2160">
        <w:rPr>
          <w:rFonts w:cs="Times New Roman"/>
        </w:rPr>
        <w:t>‰</w:t>
      </w:r>
      <w:r>
        <w:rPr>
          <w:rFonts w:cs="Times New Roman"/>
        </w:rPr>
        <w:t xml:space="preserve"> between leaf organic matter and </w:t>
      </w:r>
      <w:r>
        <w:rPr>
          <w:rFonts w:cs="Times New Roman"/>
        </w:rPr>
        <w:sym w:font="Symbol" w:char="F061"/>
      </w:r>
      <w:r>
        <w:rPr>
          <w:rFonts w:cs="Times New Roman"/>
        </w:rPr>
        <w:t xml:space="preserve">-cellulose) and </w:t>
      </w:r>
      <m:oMath>
        <m:r>
          <w:rPr>
            <w:rFonts w:ascii="Cambria Math" w:hAnsi="Cambria Math"/>
            <w:color w:val="000000" w:themeColor="text1"/>
          </w:rPr>
          <m:t>ε</m:t>
        </m:r>
      </m:oMath>
      <w:r>
        <w:rPr>
          <w:rFonts w:cs="Times New Roman"/>
        </w:rPr>
        <w:t xml:space="preserve"> represents variability among trees within a site (0 </w:t>
      </w:r>
      <w:r>
        <w:rPr>
          <w:rFonts w:cs="Times New Roman"/>
        </w:rPr>
        <w:sym w:font="Symbol" w:char="F0B1"/>
      </w:r>
      <w:r>
        <w:rPr>
          <w:rFonts w:cs="Times New Roman"/>
        </w:rPr>
        <w:t xml:space="preserve"> 0.8</w:t>
      </w:r>
      <w:r w:rsidRPr="00BD2160">
        <w:rPr>
          <w:rFonts w:cs="Times New Roman"/>
        </w:rPr>
        <w:t>‰</w:t>
      </w:r>
      <w:r w:rsidR="00A4584D">
        <w:rPr>
          <w:rFonts w:cs="Times New Roman"/>
        </w:rPr>
        <w:t xml:space="preserve">; </w:t>
      </w:r>
      <w:r w:rsidR="00A4584D">
        <w:rPr>
          <w:rFonts w:cs="Times New Roman"/>
        </w:rPr>
        <w:fldChar w:fldCharType="begin" w:fldLock="1"/>
      </w:r>
      <w:r w:rsidR="002641DB">
        <w:rPr>
          <w:rFonts w:cs="Times New Roman"/>
        </w:rPr>
        <w:instrText>ADDIN CSL_CITATION {"citationItems":[{"id":"ITEM-1","itemData":{"DOI":"10.1038/nclimate2614","ISBN":"1758-6798","ISSN":"1758-678X","abstract":"The Earth’s carbon and hydrologic cycles are intimately coupled by gas exchange through plant stomata. However, uncertainties in the magnitude and consequences of the physiological responses of plants to elevated CO2 in natural environments hinders modelling of terrestrial water cycling and carbon storage. Here we use annually resolved long-term δ13C tree-ring measurements across a European forest network to reconstruct the physiologically driven response of intercellular CO2 (Ci) caused by atmospheric CO2 (Ca) trends. When removing meteorological signals from the δ13C measurements, we find that trees across Europe regulated gas exchange so that for one ppmv atmospheric CO2 increase, Ci increased by ~0.76 ppmv, most consistent with moderate control towards a constant Ci/Ca ratio. This response corresponds to twentieth-century intrinsic water-use efficiency (iWUE) increases of 14 ± 10 and 22 ± 6% at broadleaf and coniferous sites, respectively. An ensemble of process-based global vegetation models shows similar CO2 effects on iWUE trends. Yet, when operating these models with climate drivers reintroduced, despite decreased stomatal opening, 5% increases in European forest transpiration are calculated over the twentieth century. This counterintuitive result arises from lengthened growing seasons, enhanced evaporative demand in a warming climate, and increased leaf area, which together oppose effects of CO2-induced stomatal closure. Our study questions changes to the hydrological cycle, such as reductions in transpiration and air humidity, hypothesized to result from plant responses to anthropogenic emissions.","author":[{"dropping-particle":"","family":"Frank","given":"D. C.","non-dropping-particle":"","parse-names":false,"suffix":""},{"dropping-particle":"","family":"Poulter","given":"B.","non-dropping-particle":"","parse-names":false,"suffix":""},{"dropping-particle":"","family":"Saurer","given":"M.","non-dropping-particle":"","parse-names":false,"suffix":""},{"dropping-particle":"","family":"Esper","given":"J.","non-dropping-particle":"","parse-names":false,"suffix":""},{"dropping-particle":"","family":"Huntingford","given":"C.","non-dropping-particle":"","parse-names":false,"suffix":""},{"dropping-particle":"","family":"Helle","given":"G.","non-dropping-particle":"","parse-names":false,"suffix":""},{"dropping-particle":"","family":"Treydte","given":"K.","non-dropping-particle":"","parse-names":false,"suffix":""},{"dropping-particle":"","family":"Zimmermann","given":"N. E.","non-dropping-particle":"","parse-names":false,"suffix":""},{"dropping-particle":"","family":"Schleser","given":"G. H.","non-dropping-particle":"","parse-names":false,"suffix":""},{"dropping-particle":"","family":"Ahlström","given":"A.","non-dropping-particle":"","parse-names":false,"suffix":""},{"dropping-particle":"","family":"Ciais","given":"P.","non-dropping-particle":"","parse-names":false,"suffix":""},{"dropping-particle":"","family":"Friedlingstein","given":"P.","non-dropping-particle":"","parse-names":false,"suffix":""},{"dropping-particle":"","family":"Levis","given":"S.","non-dropping-particle":"","parse-names":false,"suffix":""},{"dropping-particle":"","family":"Lomas","given":"M.","non-dropping-particle":"","parse-names":false,"suffix":""},{"dropping-particle":"","family":"Sitch","given":"S.","non-dropping-particle":"","parse-names":false,"suffix":""},{"dropping-particle":"","family":"Viovy","given":"N.","non-dropping-particle":"","parse-names":false,"suffix":""},{"dropping-particle":"","family":"Andreu-Hayles","given":"L.","non-dropping-particle":"","parse-names":false,"suffix":""},{"dropping-particle":"","family":"Bednarz","given":"Z.","non-dropping-particle":"","parse-names":false,"suffix":""},{"dropping-particle":"","family":"Berninger","given":"F.","non-dropping-particle":"","parse-names":false,"suffix":""},{"dropping-particle":"","family":"Boettger","given":"T.","non-dropping-particle":"","parse-names":false,"suffix":""},{"dropping-particle":"","family":"D'Alessandro","given":"C. M.","non-dropping-particle":"","parse-names":false,"suffix":""},{"dropping-particle":"","family":"Daux","given":"V.","non-dropping-particle":"","parse-names":false,"suffix":""},{"dropping-particle":"","family":"Filot","given":"M.","non-dropping-particle":"","parse-names":false,"suffix":""},{"dropping-particle":"","family":"Grabner","given":"M.","non-dropping-particle":"","parse-names":false,"suffix":""},{"dropping-particle":"","family":"Gutierrez","given":"E.","non-dropping-particle":"","parse-names":false,"suffix":""},{"dropping-particle":"","family":"Haupt","given":"M.","non-dropping-particle":"","parse-names":false,"suffix":""},{"dropping-particle":"","family":"Hilasvuori","given":"E.","non-dropping-particle":"","parse-names":false,"suffix":""},{"dropping-particle":"","family":"Jungner","given":"H.","non-dropping-particle":"","parse-names":false,"suffix":""},{"dropping-particle":"","family":"Kalela-Brundin","given":"M.","non-dropping-particle":"","parse-names":false,"suffix":""},{"dropping-particle":"","family":"Krapiec","given":"M.","non-dropping-particle":"","parse-names":false,"suffix":""},{"dropping-particle":"","family":"Leuenberger","given":"M.","non-dropping-particle":"","parse-names":false,"suffix":""},{"dropping-particle":"","family":"Loader","given":"N. J.","non-dropping-particle":"","parse-names":false,"suffix":""},{"dropping-particle":"","family":"Marah","given":"H.","non-dropping-particle":"","parse-names":false,"suffix":""},{"dropping-particle":"","family":"Masson-Delmotte","given":"V.","non-dropping-particle":"","parse-names":false,"suffix":""},{"dropping-particle":"","family":"Pazdur","given":"A.","non-dropping-particle":"","parse-names":false,"suffix":""},{"dropping-particle":"","family":"Pawelczyk","given":"S.","non-dropping-particle":"","parse-names":false,"suffix":""},{"dropping-particle":"","family":"Pierre","given":"M.","non-dropping-particle":"","parse-names":false,"suffix":""},{"dropping-particle":"","family":"Planells","given":"O.","non-dropping-particle":"","parse-names":false,"suffix":""},{"dropping-particle":"","family":"Pukiene","given":"R.","non-dropping-particle":"","parse-names":false,"suffix":""},{"dropping-particle":"","family":"Reynolds-Henne","given":"C. E.","non-dropping-particle":"","parse-names":false,"suffix":""},{"dropping-particle":"","family":"Rinne","given":"K. T.","non-dropping-particle":"","parse-names":false,"suffix":""},{"dropping-particle":"","family":"Saracino","given":"A.","non-dropping-particle":"","parse-names":false,"suffix":""},{"dropping-particle":"","family":"Sonninen","given":"E.","non-dropping-particle":"","parse-names":false,"suffix":""},{"dropping-particle":"","family":"Stievenard","given":"M.","non-dropping-particle":"","parse-names":false,"suffix":""},{"dropping-particle":"","family":"Switsur","given":"V. R.","non-dropping-particle":"","parse-names":false,"suffix":""},{"dropping-particle":"","family":"Szczepanek","given":"M.","non-dropping-particle":"","parse-names":false,"suffix":""},{"dropping-particle":"","family":"Szychowska-Krapiec","given":"E.","non-dropping-particle":"","parse-names":false,"suffix":""},{"dropping-particle":"","family":"Todaro","given":"L.","non-dropping-particle":"","parse-names":false,"suffix":""},{"dropping-particle":"","family":"Waterhouse","given":"J. S.","non-dropping-particle":"","parse-names":false,"suffix":""},{"dropping-particle":"","family":"Weigl","given":"M.","non-dropping-particle":"","parse-names":false,"suffix":""}],"container-title":"Nature Climate Change","id":"ITEM-1","issue":"6","issued":{"date-parts":[["2015"]]},"page":"579-583","title":"Water-use efficiency and transpiration across European forests during the Anthropocene","type":"article-journal","volume":"5"},"uris":["http://www.mendeley.com/documents/?uuid=ac469d75-cf10-4cf2-85ca-b5f93e6eab8e"]}],"mendeley":{"formattedCitation":"(Frank et al., 2015)","manualFormatting":"Frank et al., 2015)","plainTextFormattedCitation":"(Frank et al., 2015)","previouslyFormattedCitation":"(Frank et al., 2015)"},"properties":{"noteIndex":0},"schema":"https://github.com/citation-style-language/schema/raw/master/csl-citation.json"}</w:instrText>
      </w:r>
      <w:r w:rsidR="00A4584D">
        <w:rPr>
          <w:rFonts w:cs="Times New Roman"/>
        </w:rPr>
        <w:fldChar w:fldCharType="separate"/>
      </w:r>
      <w:r w:rsidR="00A4584D" w:rsidRPr="00B04AFB">
        <w:rPr>
          <w:rFonts w:cs="Times New Roman"/>
          <w:noProof/>
        </w:rPr>
        <w:t>Frank et al., 2015)</w:t>
      </w:r>
      <w:r w:rsidR="00A4584D">
        <w:rPr>
          <w:rFonts w:cs="Times New Roman"/>
        </w:rPr>
        <w:fldChar w:fldCharType="end"/>
      </w:r>
      <w:r>
        <w:rPr>
          <w:rFonts w:cs="Times New Roman"/>
        </w:rPr>
        <w:t xml:space="preserve">. </w:t>
      </w:r>
    </w:p>
    <w:p w14:paraId="7C7E7040" w14:textId="3E9C4804" w:rsidR="00637B1D" w:rsidRDefault="00146BF5" w:rsidP="00D10B4D">
      <w:pPr>
        <w:pStyle w:val="Body"/>
        <w:spacing w:before="240" w:line="360" w:lineRule="auto"/>
        <w:jc w:val="both"/>
        <w:rPr>
          <w:rFonts w:cs="Times New Roman"/>
        </w:rPr>
      </w:pPr>
      <w:r>
        <w:rPr>
          <w:rFonts w:cs="Times New Roman"/>
        </w:rPr>
        <w:t xml:space="preserve">Equation (4) </w:t>
      </w:r>
      <w:r w:rsidR="008C4BD5">
        <w:rPr>
          <w:rFonts w:cs="Times New Roman"/>
        </w:rPr>
        <w:t xml:space="preserve">provides a measure for the relative water loss per </w:t>
      </w:r>
      <w:r w:rsidR="00DA1427">
        <w:rPr>
          <w:rFonts w:cs="Times New Roman"/>
        </w:rPr>
        <w:t xml:space="preserve">unit </w:t>
      </w:r>
      <w:r w:rsidR="008C4BD5">
        <w:rPr>
          <w:rFonts w:cs="Times New Roman"/>
        </w:rPr>
        <w:t>carbon acquired at the leaf level</w:t>
      </w:r>
      <w:r w:rsidR="00DA1427">
        <w:rPr>
          <w:rFonts w:cs="Times New Roman"/>
        </w:rPr>
        <w:t>.</w:t>
      </w:r>
      <w:r w:rsidR="008C4BD5">
        <w:rPr>
          <w:rFonts w:cs="Times New Roman"/>
        </w:rPr>
        <w:t xml:space="preserve"> </w:t>
      </w:r>
      <w:r w:rsidR="00DA1427">
        <w:rPr>
          <w:rFonts w:cs="Times New Roman"/>
        </w:rPr>
        <w:t>H</w:t>
      </w:r>
      <w:r w:rsidR="008C4BD5">
        <w:rPr>
          <w:rFonts w:cs="Times New Roman"/>
        </w:rPr>
        <w:t>owever, iWUE</w:t>
      </w:r>
      <w:r w:rsidR="008C4BD5" w:rsidRPr="008C4BD5">
        <w:rPr>
          <w:rFonts w:cs="Times New Roman"/>
          <w:vertAlign w:val="superscript"/>
        </w:rPr>
        <w:t>leaf</w:t>
      </w:r>
      <w:r w:rsidR="008C4BD5">
        <w:rPr>
          <w:rFonts w:cs="Times New Roman"/>
        </w:rPr>
        <w:t xml:space="preserve"> </w:t>
      </w:r>
      <w:r w:rsidR="00DA1427">
        <w:rPr>
          <w:rFonts w:cs="Times New Roman"/>
        </w:rPr>
        <w:t xml:space="preserve">may be </w:t>
      </w:r>
      <w:r w:rsidR="008C4BD5">
        <w:rPr>
          <w:rFonts w:cs="Times New Roman"/>
        </w:rPr>
        <w:t xml:space="preserve">better considered as potential </w:t>
      </w:r>
      <w:r w:rsidR="00C03456">
        <w:rPr>
          <w:rFonts w:cs="Times New Roman"/>
        </w:rPr>
        <w:t xml:space="preserve">rather than actual WUE </w:t>
      </w:r>
      <w:r w:rsidR="008C4BD5">
        <w:rPr>
          <w:rFonts w:cs="Times New Roman"/>
        </w:rPr>
        <w:t xml:space="preserve">as this formulation does not directly </w:t>
      </w:r>
      <w:r w:rsidR="00635485">
        <w:rPr>
          <w:rFonts w:cs="Times New Roman"/>
        </w:rPr>
        <w:t>account for changes in</w:t>
      </w:r>
      <w:r w:rsidR="008C4BD5">
        <w:rPr>
          <w:rFonts w:cs="Times New Roman"/>
        </w:rPr>
        <w:t xml:space="preserve"> evaporative demand and respiratory losses</w:t>
      </w:r>
      <w:r w:rsidR="0070709F">
        <w:rPr>
          <w:rFonts w:cs="Times New Roman"/>
        </w:rPr>
        <w:t xml:space="preserve"> </w:t>
      </w:r>
      <w:r w:rsidR="0070709F">
        <w:rPr>
          <w:rFonts w:cs="Times New Roman"/>
        </w:rPr>
        <w:fldChar w:fldCharType="begin" w:fldLock="1"/>
      </w:r>
      <w:r w:rsidR="00084C6E">
        <w:rPr>
          <w:rFonts w:cs="Times New Roman"/>
        </w:rPr>
        <w:instrText>ADDIN CSL_CITATION {"citationItems":[{"id":"ITEM-1","itemData":{"DOI":"10.1007/s00442-007-0932-7","ISBN":"0029-8549","ISSN":"00298549","PMID":"18224341","abstract":"We revisit the relationship between plant water use efficiency and carbon isotope signatures (delta(13)C) of plant material. Based on the definitions of intrinsic, instantaneous and integrated water use efficiency, we discuss the implications for interpreting delta(13)C data from leaf to landscape levels, and across diurnal to decadal timescales. Previous studies have often applied a simplified, linear relationship between delta(13)C, ratios of intercellular to ambient CO(2) mole fraction (C (i)/C (a)), and water use efficiency. In contrast, photosynthetic (13)C discrimination (Delta) is sensitive to the ratio of the chloroplast to ambient CO(2) mole fraction, C (c)/C (a) (rather than C (i)/C (a)) and, consequently, to mesophyll conductance. Because mesophyll conductance may differ between species and over time, it is not possible to determine C (c)/C (a) from the same gas exchange measurements as C (i)/C (a). On the other hand, water use efficiency at the leaf level depends on evaporative demand, which does not directly affect Delta. Water use efficiency and Delta can thus vary independently, making it difficult to obtain trends in water use efficiency from delta(13)C data. As an alternative approach, we offer a model available at http://carbonisotopes.googlepages.com to explore how water use efficiency and (13)C discrimination are related across leaf and canopy scales. The model provides a tool to investigate whether trends in Delta indicate changes in leaf functional traits and/or environmental conditions during leaf growth, and how they are associated with trends in plant water use efficiency. The model can be used, for example, to examine whether trends in delta(13)C signatures obtained from tree rings imply changes in tree water use efficiency in response to atmospheric CO(2) increase. This is crucial for predicting how plants may respond to future climate change.","author":[{"dropping-particle":"","family":"Seibt","given":"Ulli","non-dropping-particle":"","parse-names":false,"suffix":""},{"dropping-particle":"","family":"Rajabi","given":"Abazar","non-dropping-particle":"","parse-names":false,"suffix":""},{"dropping-particle":"","family":"Griffiths","given":"Howard","non-dropping-particle":"","parse-names":false,"suffix":""},{"dropping-particle":"","family":"Berry","given":"Joseph A.","non-dropping-particle":"","parse-names":false,"suffix":""}],"container-title":"Oecologia","id":"ITEM-1","issue":"3","issued":{"date-parts":[["2008"]]},"page":"441-454","title":"Carbon isotopes and water use efficiency: Sense and sensitivity","type":"article","volume":"155"},"uris":["http://www.mendeley.com/documents/?uuid=0575eda5-4eb3-46ee-8402-94e63f548be2"]},{"id":"ITEM-2","itemData":{"DOI":"10.1146/annurev.pp.40.060189.002443","ISBN":"0120020327","ISSN":"1040-2519","PMID":"1843","abstract":"The physical and enzymatic bases of carbon isotope discrimination during photosynthesis are discussed and its use in studying photosynthetic pathways (C, C and CAM pathways) examining the effects of light, water stress, salinity and air pollution on photosynthesis and determining water use efficiency in C species is reviewed","author":[{"dropping-particle":"","family":"Farquhar","given":"G. D.","non-dropping-particle":"","parse-names":false,"suffix":""},{"dropping-particle":"","family":"Ehleringer","given":"J R","non-dropping-particle":"","parse-names":false,"suffix":""},{"dropping-particle":"","family":"Hubick","given":"K T","non-dropping-particle":"","parse-names":false,"suffix":""}],"container-title":"Annual Review of Plant Physiology and Plant Molecular Biology","id":"ITEM-2","issued":{"date-parts":[["1989"]]},"page":"503-537","title":"Carbon isotope discrimination and photosynthesis","type":"article-journal","volume":"40"},"uris":["http://www.mendeley.com/documents/?uuid=af67e953-637b-4a56-93d5-f64cc0b98a1c"]}],"mendeley":{"formattedCitation":"(Farquhar, Ehleringer, &amp; Hubick, 1989; Seibt, Rajabi, Griffiths, &amp; Berry, 2008)","manualFormatting":"(Farquhar, Ehleringer, &amp; Hubick, 1989; Seibt et al., 2008)","plainTextFormattedCitation":"(Farquhar, Ehleringer, &amp; Hubick, 1989; Seibt, Rajabi, Griffiths, &amp; Berry, 2008)","previouslyFormattedCitation":"(Farquhar, Ehleringer, &amp; Hubick, 1989; Seibt, Rajabi, Griffiths, &amp; Berry, 2008)"},"properties":{"noteIndex":0},"schema":"https://github.com/citation-style-language/schema/raw/master/csl-citation.json"}</w:instrText>
      </w:r>
      <w:r w:rsidR="0070709F">
        <w:rPr>
          <w:rFonts w:cs="Times New Roman"/>
        </w:rPr>
        <w:fldChar w:fldCharType="separate"/>
      </w:r>
      <w:r w:rsidR="00B73118" w:rsidRPr="00B73118">
        <w:rPr>
          <w:rFonts w:cs="Times New Roman"/>
          <w:noProof/>
        </w:rPr>
        <w:t>(Farquhar, Ehleringer, &amp; Hubick, 1989; Seibt</w:t>
      </w:r>
      <w:r w:rsidR="00084C6E">
        <w:rPr>
          <w:rFonts w:cs="Times New Roman"/>
          <w:noProof/>
        </w:rPr>
        <w:t xml:space="preserve"> et al., </w:t>
      </w:r>
      <w:r w:rsidR="00B73118" w:rsidRPr="00B73118">
        <w:rPr>
          <w:rFonts w:cs="Times New Roman"/>
          <w:noProof/>
        </w:rPr>
        <w:t>2008)</w:t>
      </w:r>
      <w:r w:rsidR="0070709F">
        <w:rPr>
          <w:rFonts w:cs="Times New Roman"/>
        </w:rPr>
        <w:fldChar w:fldCharType="end"/>
      </w:r>
      <w:r w:rsidR="0070709F">
        <w:rPr>
          <w:rFonts w:cs="Times New Roman"/>
        </w:rPr>
        <w:t>.</w:t>
      </w:r>
      <w:r w:rsidR="00635485">
        <w:rPr>
          <w:rFonts w:cs="Times New Roman"/>
        </w:rPr>
        <w:t xml:space="preserve"> </w:t>
      </w:r>
      <w:r w:rsidR="00504E6E">
        <w:rPr>
          <w:rFonts w:cs="Times New Roman"/>
          <w:color w:val="000000" w:themeColor="text1"/>
        </w:rPr>
        <w:t>Nevertheless, e</w:t>
      </w:r>
      <w:r w:rsidR="00635485">
        <w:rPr>
          <w:rFonts w:cs="Times New Roman"/>
          <w:color w:val="000000" w:themeColor="text1"/>
        </w:rPr>
        <w:t xml:space="preserve">ven though </w:t>
      </w:r>
      <w:r w:rsidR="00635485" w:rsidRPr="00BD2160">
        <w:rPr>
          <w:rFonts w:cs="Times New Roman"/>
        </w:rPr>
        <w:t>iWUE</w:t>
      </w:r>
      <w:r w:rsidR="00635485" w:rsidRPr="001B08EE">
        <w:rPr>
          <w:rFonts w:cs="Times New Roman"/>
          <w:vertAlign w:val="superscript"/>
        </w:rPr>
        <w:t>l</w:t>
      </w:r>
      <w:r w:rsidR="00635485">
        <w:rPr>
          <w:rFonts w:cs="Times New Roman"/>
          <w:vertAlign w:val="superscript"/>
        </w:rPr>
        <w:t>eaf</w:t>
      </w:r>
      <w:r w:rsidR="00635485">
        <w:rPr>
          <w:rFonts w:cs="Times New Roman"/>
        </w:rPr>
        <w:t xml:space="preserve"> excludes the direct influence of </w:t>
      </w:r>
      <w:r w:rsidR="00635485" w:rsidRPr="00B652A5">
        <w:rPr>
          <w:rFonts w:cs="Times New Roman"/>
          <w:i/>
        </w:rPr>
        <w:t>D</w:t>
      </w:r>
      <w:r w:rsidR="00721F03">
        <w:rPr>
          <w:rFonts w:cs="Times New Roman"/>
        </w:rPr>
        <w:t xml:space="preserve">, </w:t>
      </w:r>
      <w:r w:rsidR="00635485">
        <w:rPr>
          <w:rFonts w:cs="Times New Roman"/>
        </w:rPr>
        <w:t xml:space="preserve">it is still dependent on </w:t>
      </w:r>
      <w:r w:rsidR="00635485" w:rsidRPr="00B652A5">
        <w:rPr>
          <w:rFonts w:cs="Times New Roman"/>
          <w:i/>
        </w:rPr>
        <w:t>D</w:t>
      </w:r>
      <w:r w:rsidR="00635485">
        <w:rPr>
          <w:rFonts w:cs="Times New Roman"/>
          <w:i/>
        </w:rPr>
        <w:t>,</w:t>
      </w:r>
      <w:r w:rsidR="00635485">
        <w:rPr>
          <w:rFonts w:cs="Times New Roman"/>
        </w:rPr>
        <w:t xml:space="preserve"> through changes in </w:t>
      </w:r>
      <w:r w:rsidR="00635485" w:rsidRPr="00A65714">
        <w:rPr>
          <w:rFonts w:cs="Times New Roman"/>
          <w:i/>
        </w:rPr>
        <w:t>g</w:t>
      </w:r>
      <w:r w:rsidR="00635485" w:rsidRPr="00A65714">
        <w:rPr>
          <w:rFonts w:cs="Times New Roman"/>
          <w:vertAlign w:val="subscript"/>
        </w:rPr>
        <w:t>s</w:t>
      </w:r>
      <w:r w:rsidR="00635485">
        <w:rPr>
          <w:rFonts w:cs="Times New Roman"/>
        </w:rPr>
        <w:t xml:space="preserve"> </w:t>
      </w:r>
      <w:r w:rsidR="00DA1427">
        <w:rPr>
          <w:rFonts w:cs="Times New Roman"/>
        </w:rPr>
        <w:fldChar w:fldCharType="begin" w:fldLock="1"/>
      </w:r>
      <w:r w:rsidR="00DA1427">
        <w:rPr>
          <w:rFonts w:cs="Times New Roman"/>
        </w:rPr>
        <w:instrText>ADDIN CSL_CITATION {"citationItems":[{"id":"ITEM-1","itemData":{"author":[{"dropping-particle":"","family":"Cowan","given":"I R","non-dropping-particle":"","parse-names":false,"suffix":""},{"dropping-particle":"","family":"Farquhar","given":"G D","non-dropping-particle":"","parse-names":false,"suffix":""}],"container-title":"Symp Soc Exp Biol.","id":"ITEM-1","issued":{"date-parts":[["1977"]]},"page":"471-505","title":"Stomatal function in relation to leaf metabolism and environment","type":"article-journal","volume":"31"},"uris":["http://www.mendeley.com/documents/?uuid=94369edd-193a-4d65-bbed-661dbef055a9"]}],"mendeley":{"formattedCitation":"(Cowan &amp; Farquhar, 1977)","plainTextFormattedCitation":"(Cowan &amp; Farquhar, 1977)","previouslyFormattedCitation":"(Cowan &amp; Farquhar, 1977)"},"properties":{"noteIndex":0},"schema":"https://github.com/citation-style-language/schema/raw/master/csl-citation.json"}</w:instrText>
      </w:r>
      <w:r w:rsidR="00DA1427">
        <w:rPr>
          <w:rFonts w:cs="Times New Roman"/>
        </w:rPr>
        <w:fldChar w:fldCharType="separate"/>
      </w:r>
      <w:r w:rsidR="00DA1427" w:rsidRPr="00E113B6">
        <w:rPr>
          <w:rFonts w:cs="Times New Roman"/>
          <w:noProof/>
        </w:rPr>
        <w:t>(Cowan &amp; Farquhar, 1977)</w:t>
      </w:r>
      <w:r w:rsidR="00DA1427">
        <w:rPr>
          <w:rFonts w:cs="Times New Roman"/>
        </w:rPr>
        <w:fldChar w:fldCharType="end"/>
      </w:r>
      <w:r w:rsidR="00DA1427">
        <w:rPr>
          <w:rFonts w:cs="Times New Roman"/>
        </w:rPr>
        <w:t xml:space="preserve">. So </w:t>
      </w:r>
      <w:r w:rsidR="00635485">
        <w:rPr>
          <w:rFonts w:cs="Times New Roman"/>
        </w:rPr>
        <w:t xml:space="preserve">comparisons of </w:t>
      </w:r>
      <w:r w:rsidR="00635485" w:rsidRPr="00BD2160">
        <w:rPr>
          <w:rFonts w:cs="Times New Roman"/>
        </w:rPr>
        <w:t>iWUE</w:t>
      </w:r>
      <w:r w:rsidR="00635485" w:rsidRPr="001B08EE">
        <w:rPr>
          <w:rFonts w:cs="Times New Roman"/>
          <w:vertAlign w:val="superscript"/>
        </w:rPr>
        <w:t>l</w:t>
      </w:r>
      <w:r w:rsidR="00635485">
        <w:rPr>
          <w:rFonts w:cs="Times New Roman"/>
          <w:vertAlign w:val="superscript"/>
        </w:rPr>
        <w:t>eaf</w:t>
      </w:r>
      <w:r w:rsidR="00635485">
        <w:rPr>
          <w:rFonts w:cs="Times New Roman"/>
        </w:rPr>
        <w:t xml:space="preserve"> should </w:t>
      </w:r>
      <w:r w:rsidR="00DA1427">
        <w:rPr>
          <w:rFonts w:cs="Times New Roman"/>
        </w:rPr>
        <w:t>ideally be</w:t>
      </w:r>
      <w:r w:rsidR="00635485">
        <w:rPr>
          <w:rFonts w:cs="Times New Roman"/>
        </w:rPr>
        <w:t xml:space="preserve"> </w:t>
      </w:r>
      <w:r w:rsidR="00DA1427">
        <w:rPr>
          <w:rFonts w:cs="Times New Roman"/>
        </w:rPr>
        <w:t>restricted to situations with</w:t>
      </w:r>
      <w:r w:rsidR="00635485">
        <w:rPr>
          <w:rFonts w:cs="Times New Roman"/>
        </w:rPr>
        <w:t xml:space="preserve"> similar </w:t>
      </w:r>
      <w:r w:rsidR="00635485" w:rsidRPr="00B652A5">
        <w:rPr>
          <w:rFonts w:cs="Times New Roman"/>
          <w:i/>
        </w:rPr>
        <w:t>D</w:t>
      </w:r>
      <w:r w:rsidR="00635485">
        <w:rPr>
          <w:rFonts w:cs="Times New Roman"/>
        </w:rPr>
        <w:t xml:space="preserve"> </w:t>
      </w:r>
      <w:r w:rsidR="00635485">
        <w:rPr>
          <w:rFonts w:cs="Times New Roman"/>
        </w:rPr>
        <w:fldChar w:fldCharType="begin" w:fldLock="1"/>
      </w:r>
      <w:r w:rsidR="00635485">
        <w:rPr>
          <w:rFonts w:cs="Times New Roman"/>
        </w:rPr>
        <w:instrText>ADDIN CSL_CITATION {"citationItems":[{"id":"ITEM-1","itemData":{"DOI":"10.1111/nph.12104","ISBN":"0028-646X","ISSN":"0028646X","PMID":"23346950","abstract":"1077\\n\\n\\nI.\\n\\n1078\\n\\n\\nII.\\n\\n1079\\n\\n\\nIII.\\n\\n1080\\n\\n\\nIV.\\n\\n1081\\n\\n\\nV.\\n\\n1084\\n\\n\\nVI.\\n\\n1087\\n\\n\\nVII.\\n\\n1088\\n\\n\\n\\n\\n1089\\n\\n\\n\\nReferences\\n1089\\n\\n\\n\\n\\n\\n\\n\\n\\nSummary\\n\\nThe rate of CO2 assimilation by plants is directly influenced by the concentration of CO2 in the atmosphere, ca. As an environmental variable, ca also has a unique global and historic significance. Although relatively stable and uniform in the short term, global ca has varied substantially on the timescale of thousands to millions of years, and currently is increasing at seemingly an unprecedented rate. This may exert profound impacts on both climate and plant function. Here we utilise extensive datasets and models to develop an integrated, multi-scale assessment of the impact of changing ca on plant carbon dioxide uptake and water use. We find that, overall, the sensitivity of plants to rising or falling ca is qualitatively similar across all scales considered. It is characterised by an adaptive feedback response that tends to maintain 1 − ci/ca, the relative gradient for CO2 diffusion into the leaf, relatively constant. This is achieved through predictable adjustments to stomatal anatomy and chloroplast biochemistry. Importantly, the long-term response to changing ca can be described by simple equations rooted in the formulation of more commonly studied short-term responses.","author":[{"dropping-particle":"","family":"Franks","given":"Peter J.","non-dropping-particle":"","parse-names":false,"suffix":""},{"dropping-particle":"","family":"Adams","given":"Mark A.","non-dropping-particle":"","parse-names":false,"suffix":""},{"dropping-particle":"","family":"Amthor","given":"Jeffrey S.","non-dropping-particle":"","parse-names":false,"suffix":""},{"dropping-particle":"","family":"Barbour","given":"Margaret M.","non-dropping-particle":"","parse-names":false,"suffix":""},{"dropping-particle":"","family":"Berry","given":"Joseph A.","non-dropping-particle":"","parse-names":false,"suffix":""},{"dropping-particle":"","family":"Ellsworth","given":"David S.","non-dropping-particle":"","parse-names":false,"suffix":""},{"dropping-particle":"","family":"Farquhar","given":"Graham D.","non-dropping-particle":"","parse-names":false,"suffix":""},{"dropping-particle":"","family":"Ghannoum","given":"Oula","non-dropping-particle":"","parse-names":false,"suffix":""},{"dropping-particle":"","family":"Lloyd","given":"Jon","non-dropping-particle":"","parse-names":false,"suffix":""},{"dropping-particle":"","family":"McDowell","given":"Nate","non-dropping-particle":"","parse-names":false,"suffix":""},{"dropping-particle":"","family":"Norby","given":"Richard J.","non-dropping-particle":"","parse-names":false,"suffix":""},{"dropping-particle":"","family":"Tissue","given":"David T.","non-dropping-particle":"","parse-names":false,"suffix":""},{"dropping-particle":"","family":"Caemmerer","given":"Susanne","non-dropping-particle":"von","parse-names":false,"suffix":""}],"container-title":"New Phytologist","id":"ITEM-1","issue":"4","issued":{"date-parts":[["2013"]]},"page":"1077-1094","title":"Sensitivity of plants to changing atmospheric CO2 concentration: From the geological past to the next century","type":"article","volume":"197"},"uris":["http://www.mendeley.com/documents/?uuid=417bf821-45a6-45b6-8df9-9088904ec4f5"]}],"mendeley":{"formattedCitation":"(Franks et al., 2013)","plainTextFormattedCitation":"(Franks et al., 2013)","previouslyFormattedCitation":"(Franks et al., 2013)"},"properties":{"noteIndex":0},"schema":"https://github.com/citation-style-language/schema/raw/master/csl-citation.json"}</w:instrText>
      </w:r>
      <w:r w:rsidR="00635485">
        <w:rPr>
          <w:rFonts w:cs="Times New Roman"/>
        </w:rPr>
        <w:fldChar w:fldCharType="separate"/>
      </w:r>
      <w:r w:rsidR="00635485" w:rsidRPr="00C33C3F">
        <w:rPr>
          <w:rFonts w:cs="Times New Roman"/>
          <w:noProof/>
        </w:rPr>
        <w:t>(Franks et al., 2013)</w:t>
      </w:r>
      <w:r w:rsidR="00635485">
        <w:rPr>
          <w:rFonts w:cs="Times New Roman"/>
        </w:rPr>
        <w:fldChar w:fldCharType="end"/>
      </w:r>
      <w:r w:rsidR="00635485">
        <w:rPr>
          <w:rFonts w:cs="Times New Roman"/>
        </w:rPr>
        <w:t>.</w:t>
      </w:r>
    </w:p>
    <w:p w14:paraId="7AE78E46" w14:textId="1590377C" w:rsidR="00F62003" w:rsidRPr="00A34CE7" w:rsidRDefault="00F62003" w:rsidP="00863534">
      <w:pPr>
        <w:pStyle w:val="Body"/>
        <w:numPr>
          <w:ilvl w:val="1"/>
          <w:numId w:val="29"/>
        </w:numPr>
        <w:spacing w:before="240" w:line="360" w:lineRule="auto"/>
        <w:jc w:val="both"/>
        <w:rPr>
          <w:rFonts w:cs="Times New Roman"/>
          <w:b/>
        </w:rPr>
      </w:pPr>
      <w:r w:rsidRPr="00A34CE7">
        <w:rPr>
          <w:rFonts w:cs="Times New Roman"/>
          <w:b/>
        </w:rPr>
        <w:t>Ecosystem scale</w:t>
      </w:r>
      <w:r w:rsidR="00D61313">
        <w:rPr>
          <w:rFonts w:cs="Times New Roman"/>
          <w:b/>
        </w:rPr>
        <w:t xml:space="preserve"> estimates</w:t>
      </w:r>
    </w:p>
    <w:p w14:paraId="5380F7BA" w14:textId="34CBC506" w:rsidR="00484A2E" w:rsidRPr="0094757B" w:rsidRDefault="00002FAF" w:rsidP="00F13206">
      <w:pPr>
        <w:pStyle w:val="Body"/>
        <w:spacing w:before="240" w:line="360" w:lineRule="auto"/>
        <w:jc w:val="both"/>
        <w:rPr>
          <w:rFonts w:cs="Times New Roman"/>
        </w:rPr>
      </w:pPr>
      <w:r>
        <w:rPr>
          <w:rFonts w:cs="Times New Roman"/>
          <w:color w:val="000000" w:themeColor="text1"/>
        </w:rPr>
        <w:t>A</w:t>
      </w:r>
      <w:r w:rsidR="00D47B9F">
        <w:rPr>
          <w:rFonts w:cs="Times New Roman"/>
          <w:color w:val="000000" w:themeColor="text1"/>
        </w:rPr>
        <w:t>t</w:t>
      </w:r>
      <w:r w:rsidR="00E408DD">
        <w:rPr>
          <w:rFonts w:cs="Times New Roman"/>
          <w:color w:val="000000" w:themeColor="text1"/>
        </w:rPr>
        <w:t xml:space="preserve"> the e</w:t>
      </w:r>
      <w:r w:rsidR="00AD5B57" w:rsidRPr="00BD2160">
        <w:rPr>
          <w:rFonts w:cs="Times New Roman"/>
          <w:color w:val="000000" w:themeColor="text1"/>
        </w:rPr>
        <w:t>cosystem</w:t>
      </w:r>
      <w:r w:rsidR="00DA1427">
        <w:rPr>
          <w:rFonts w:cs="Times New Roman"/>
          <w:color w:val="000000" w:themeColor="text1"/>
        </w:rPr>
        <w:t xml:space="preserve"> </w:t>
      </w:r>
      <w:r w:rsidR="00D47B9F">
        <w:rPr>
          <w:rFonts w:cs="Times New Roman"/>
          <w:color w:val="000000" w:themeColor="text1"/>
        </w:rPr>
        <w:t>scale</w:t>
      </w:r>
      <w:r>
        <w:rPr>
          <w:rFonts w:cs="Times New Roman"/>
          <w:color w:val="000000" w:themeColor="text1"/>
        </w:rPr>
        <w:t xml:space="preserve">, </w:t>
      </w:r>
      <w:r w:rsidR="00BE5F29">
        <w:rPr>
          <w:rFonts w:cs="Times New Roman"/>
          <w:color w:val="000000" w:themeColor="text1"/>
        </w:rPr>
        <w:t xml:space="preserve">the simplest definition of ecosystem </w:t>
      </w:r>
      <w:r>
        <w:rPr>
          <w:rFonts w:cs="Times New Roman"/>
          <w:color w:val="000000" w:themeColor="text1"/>
        </w:rPr>
        <w:t>WUE</w:t>
      </w:r>
      <w:r w:rsidR="00DA1427">
        <w:rPr>
          <w:rFonts w:cs="Times New Roman"/>
          <w:color w:val="000000" w:themeColor="text1"/>
        </w:rPr>
        <w:t xml:space="preserve"> is</w:t>
      </w:r>
      <w:r w:rsidR="00AD5B57" w:rsidRPr="00BD2160">
        <w:rPr>
          <w:rFonts w:cs="Times New Roman"/>
          <w:color w:val="000000" w:themeColor="text1"/>
        </w:rPr>
        <w:t xml:space="preserve"> </w:t>
      </w:r>
      <w:r w:rsidR="0018259C" w:rsidRPr="00E06D36">
        <w:rPr>
          <w:rFonts w:eastAsia="Times New Roman" w:cs="Times New Roman"/>
          <w:bCs/>
        </w:rPr>
        <w:t>WUE</w:t>
      </w:r>
      <w:r w:rsidR="0018259C">
        <w:rPr>
          <w:rFonts w:eastAsia="Times New Roman" w:cs="Times New Roman"/>
          <w:bCs/>
          <w:vertAlign w:val="superscript"/>
        </w:rPr>
        <w:t>e</w:t>
      </w:r>
      <w:r w:rsidR="00FC3268">
        <w:rPr>
          <w:rFonts w:eastAsia="Times New Roman" w:cs="Times New Roman"/>
          <w:bCs/>
          <w:vertAlign w:val="superscript"/>
        </w:rPr>
        <w:t>co</w:t>
      </w:r>
      <w:r w:rsidRPr="00BD2160">
        <w:rPr>
          <w:rFonts w:cs="Times New Roman"/>
          <w:color w:val="000000" w:themeColor="text1"/>
        </w:rPr>
        <w:t xml:space="preserve"> </w:t>
      </w:r>
      <w:r>
        <w:rPr>
          <w:rFonts w:cs="Times New Roman"/>
          <w:color w:val="000000" w:themeColor="text1"/>
        </w:rPr>
        <w:t>(</w:t>
      </w:r>
      <w:r>
        <w:rPr>
          <w:rFonts w:cs="Times New Roman"/>
        </w:rPr>
        <w:t>gC kg</w:t>
      </w:r>
      <w:r w:rsidR="00DA1427">
        <w:rPr>
          <w:rFonts w:cs="Times New Roman"/>
        </w:rPr>
        <w:t xml:space="preserve"> </w:t>
      </w:r>
      <w:r>
        <w:rPr>
          <w:rFonts w:cs="Times New Roman"/>
        </w:rPr>
        <w:t>H</w:t>
      </w:r>
      <w:r w:rsidRPr="00A87046">
        <w:rPr>
          <w:rFonts w:cs="Times New Roman"/>
          <w:vertAlign w:val="subscript"/>
        </w:rPr>
        <w:t>2</w:t>
      </w:r>
      <w:r>
        <w:rPr>
          <w:rFonts w:cs="Times New Roman"/>
        </w:rPr>
        <w:t>O</w:t>
      </w:r>
      <w:r w:rsidR="00DA1427">
        <w:rPr>
          <w:rFonts w:cs="Times New Roman"/>
          <w:vertAlign w:val="superscript"/>
        </w:rPr>
        <w:t>–</w:t>
      </w:r>
      <w:r w:rsidRPr="00A87046">
        <w:rPr>
          <w:rFonts w:cs="Times New Roman"/>
          <w:vertAlign w:val="superscript"/>
        </w:rPr>
        <w:t>1</w:t>
      </w:r>
      <w:r>
        <w:rPr>
          <w:rFonts w:cs="Times New Roman"/>
          <w:color w:val="000000" w:themeColor="text1"/>
        </w:rPr>
        <w:t>)</w:t>
      </w:r>
      <w:r w:rsidR="00012CB9">
        <w:rPr>
          <w:rFonts w:cs="Times New Roman"/>
          <w:color w:val="000000" w:themeColor="text1"/>
        </w:rPr>
        <w:t>,</w:t>
      </w:r>
      <w:r>
        <w:rPr>
          <w:rFonts w:cs="Times New Roman"/>
          <w:color w:val="000000" w:themeColor="text1"/>
        </w:rPr>
        <w:t xml:space="preserve"> </w:t>
      </w:r>
      <w:r w:rsidR="00DA1427">
        <w:rPr>
          <w:rFonts w:cs="Times New Roman"/>
          <w:color w:val="000000" w:themeColor="text1"/>
        </w:rPr>
        <w:t xml:space="preserve">defined as </w:t>
      </w:r>
      <w:r w:rsidR="00AD5B57" w:rsidRPr="00BD2160">
        <w:rPr>
          <w:rFonts w:cs="Times New Roman"/>
        </w:rPr>
        <w:fldChar w:fldCharType="begin" w:fldLock="1"/>
      </w:r>
      <w:r w:rsidR="006C2451">
        <w:rPr>
          <w:rFonts w:cs="Times New Roman"/>
        </w:rPr>
        <w:instrText>ADDIN CSL_CITATION {"citationItems":[{"id":"ITEM-1","itemData":{"DOI":"10.1016/S0168-1923(02)00104-1","ISBN":"0168-1923","ISSN":"01681923","PMID":"179188300007","abstract":"The objective of this research was to compare seasonal and annual estimates of CO2 and water vapor exchange across sites in forests, grasslands, crops, and tundra that are part of an international network called FLUXNET, and to investigating the responses of vegetation to environmental variables. FLUXNETs goals are to understand the mechanisms controlling the exchanges of CO2, water vapor and energy across a spectrum of time and space scales, and to provide information for modeling of carbon and water cycling across regions and the globe. At a subset of sites, net carbon uptake (net ecosystem exchange, the net of photosynthesis and respiration) was greater under diffuse than under direct radiation conditions, perhaps because of a more efficient distribution of non-saturating light conditions for photosynthesis, lower vapor pressure deficit limitation to photosynthesis, and lower respiration associated with reduced temperature. The slope of the relation between monthly gross ecosystem production and evapotranspiration was similar between biomes, except for tundra vegetation, showing a strong linkage between carbon gain and water loss integrated over the year (slopes=3.4gCO2/kgH2O for grasslands, 3.2 for deciduous broadleaf forests, 3.1 for crops, 2.4 for evergreen conifers, and 1.5 for tundra vegetation). The ratio of annual ecosystem respiration to gross photosynthesis averaged 0.83, with lower values for grasslands, presumably because of less investment in respiring plant tissue compared with forests. Ecosystem respiration was weakly correlated with mean annual temperature across biomes, in spite of within site sensitivity over shorter temporal scales. Mean annual temperature and site water balance explained much of the variation in gross photosynthesis. Water availability limits leaf area index over the long-term, and inter-annual climate variability can limit carbon uptake below the potential of the leaf area present.","author":[{"dropping-particle":"","family":"Law","given":"B.E","non-dropping-particle":"","parse-names":false,"suffix":""},{"dropping-particle":"","family":"Falge","given":"E","non-dropping-particle":"","parse-names":false,"suffix":""},{"dropping-particle":"","family":"Gu","given":"L","non-dropping-particle":"","parse-names":false,"suffix":""},{"dropping-particle":"","family":"Baldocchi","given":"D.D","non-dropping-particle":"","parse-names":false,"suffix":""},{"dropping-particle":"","family":"Bakwin","given":"P","non-dropping-particle":"","parse-names":false,"suffix":""},{"dropping-particle":"","family":"Berbigier","given":"P","non-dropping-particle":"","parse-names":false,"suffix":""},{"dropping-particle":"","family":"Davis","given":"K","non-dropping-particle":"","parse-names":false,"suffix":""},{"dropping-particle":"","family":"Dolman","given":"A.J","non-dropping-particle":"","parse-names":false,"suffix":""},{"dropping-particle":"","family":"Falk","given":"M","non-dropping-particle":"","parse-names":false,"suffix":""},{"dropping-particle":"","family":"Fuentes","given":"J.D","non-dropping-particle":"","parse-names":false,"suffix":""},{"dropping-particle":"","family":"Goldstein","given":"A","non-dropping-particle":"","parse-names":false,"suffix":""},{"dropping-particle":"","family":"Granier","given":"A","non-dropping-particle":"","parse-names":false,"suffix":""},{"dropping-particle":"","family":"Grelle","given":"A","non-dropping-particle":"","parse-names":false,"suffix":""},{"dropping-particle":"","family":"Hollinger","given":"D","non-dropping-particle":"","parse-names":false,"suffix":""},{"dropping-particle":"","family":"Janssens","given":"I.A","non-dropping-particle":"","parse-names":false,"suffix":""},{"dropping-particle":"","family":"Jarvis","given":"P","non-dropping-particle":"","parse-names":false,"suffix":""},{"dropping-particle":"","family":"Jensen","given":"N.O","non-dropping-particle":"","parse-names":false,"suffix":""},{"dropping-particle":"","family":"Katul","given":"G","non-dropping-particle":"","parse-names":false,"suffix":""},{"dropping-particle":"","family":"Mahli","given":"Y","non-dropping-particle":"","parse-names":false,"suffix":""},{"dropping-particle":"","family":"Matteucci","given":"G","non-dropping-particle":"","parse-names":false,"suffix":""},{"dropping-particle":"","family":"Meyers","given":"T","non-dropping-particle":"","parse-names":false,"suffix":""},{"dropping-particle":"","family":"Monson","given":"R","non-dropping-particle":"","parse-names":false,"suffix":""},{"dropping-particle":"","family":"Munger","given":"W","non-dropping-particle":"","parse-names":false,"suffix":""},{"dropping-particle":"","family":"Oechel","given":"W","non-dropping-particle":"","parse-names":false,"suffix":""},{"dropping-particle":"","family":"Olson","given":"R","non-dropping-particle":"","parse-names":false,"suffix":""},{"dropping-particle":"","family":"Pilegaard","given":"K","non-dropping-particle":"","parse-names":false,"suffix":""},{"dropping-particle":"","family":"Paw U","given":"K.T","non-dropping-particle":"","parse-names":false,"suffix":""},{"dropping-particle":"","family":"Thorgeirsson","given":"H","non-dropping-particle":"","parse-names":false,"suffix":""},{"dropping-particle":"","family":"Valentini","given":"R","non-dropping-particle":"","parse-names":false,"suffix":""},{"dropping-particle":"","family":"Verma","given":"S","non-dropping-particle":"","parse-names":false,"suffix":""},{"dropping-particle":"","family":"Vesala","given":"T","non-dropping-particle":"","parse-names":false,"suffix":""},{"dropping-particle":"","family":"Wilson","given":"K","non-dropping-particle":"","parse-names":false,"suffix":""},{"dropping-particle":"","family":"Wofsy","given":"S","non-dropping-particle":"","parse-names":false,"suffix":""}],"container-title":"Agricultural and Forest Meteorology","id":"ITEM-1","issue":"1-4","issued":{"date-parts":[["2002"]]},"page":"97-120","title":"Environmental controls over carbon dioxide and water vapor exchange of terrestrial vegetation","type":"article-journal","volume":"113"},"uris":["http://www.mendeley.com/documents/?uuid=bd276ccc-a67d-4cc6-8ad2-65bb3af541e2"]}],"mendeley":{"formattedCitation":"(Law et al., 2002)","plainTextFormattedCitation":"(Law et al., 2002)","previouslyFormattedCitation":"(Law et al., 2002)"},"properties":{"noteIndex":0},"schema":"https://github.com/citation-style-language/schema/raw/master/csl-citation.json"}</w:instrText>
      </w:r>
      <w:r w:rsidR="00AD5B57" w:rsidRPr="00BD2160">
        <w:rPr>
          <w:rFonts w:cs="Times New Roman"/>
        </w:rPr>
        <w:fldChar w:fldCharType="separate"/>
      </w:r>
      <w:r w:rsidR="003656E6" w:rsidRPr="003656E6">
        <w:rPr>
          <w:rFonts w:cs="Times New Roman"/>
          <w:noProof/>
        </w:rPr>
        <w:t>(Law et al., 2002)</w:t>
      </w:r>
      <w:r w:rsidR="00AD5B57" w:rsidRPr="00BD2160">
        <w:rPr>
          <w:rFonts w:cs="Times New Roman"/>
        </w:rPr>
        <w:fldChar w:fldCharType="end"/>
      </w:r>
      <w:r w:rsidR="00484A2E">
        <w:rPr>
          <w:rFonts w:cs="Times New Roman"/>
        </w:rPr>
        <w:t>:</w:t>
      </w:r>
      <w:r w:rsidR="00D64829" w:rsidRPr="00BD2160">
        <w:rPr>
          <w:rFonts w:cs="Times New Roman"/>
        </w:rPr>
        <w:t xml:space="preserve"> </w:t>
      </w:r>
    </w:p>
    <w:p w14:paraId="2A15B447" w14:textId="30717728" w:rsidR="00484A2E" w:rsidRPr="00484A2E" w:rsidRDefault="00E31184" w:rsidP="00D10B4D">
      <w:pPr>
        <w:pStyle w:val="Body"/>
        <w:spacing w:before="240" w:line="360" w:lineRule="auto"/>
        <w:ind w:firstLine="708"/>
        <w:jc w:val="both"/>
        <w:rPr>
          <w:rFonts w:eastAsia="Times New Roman" w:cs="Times New Roman"/>
          <w:bCs/>
        </w:rPr>
      </w:pPr>
      <m:oMath>
        <m:sSup>
          <m:sSupPr>
            <m:ctrlPr>
              <w:rPr>
                <w:rFonts w:ascii="Cambria Math" w:hAnsi="Cambria Math" w:cs="Times New Roman"/>
                <w:i/>
              </w:rPr>
            </m:ctrlPr>
          </m:sSupPr>
          <m:e>
            <m:r>
              <w:rPr>
                <w:rFonts w:ascii="Cambria Math" w:hAnsi="Cambria Math" w:cs="Times New Roman"/>
              </w:rPr>
              <m:t>WUE</m:t>
            </m:r>
          </m:e>
          <m:sup>
            <m:r>
              <w:rPr>
                <w:rFonts w:ascii="Cambria Math" w:hAnsi="Cambria Math" w:cs="Times New Roman"/>
              </w:rPr>
              <m:t>eco</m:t>
            </m:r>
          </m:sup>
        </m:sSup>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GPP</m:t>
            </m:r>
          </m:num>
          <m:den>
            <m:r>
              <w:rPr>
                <w:rFonts w:ascii="Cambria Math" w:hAnsi="Cambria Math" w:cs="Times New Roman"/>
              </w:rPr>
              <m:t>ET</m:t>
            </m:r>
          </m:den>
        </m:f>
      </m:oMath>
      <w:r w:rsidR="00484A2E" w:rsidRPr="00BD2160">
        <w:rPr>
          <w:rFonts w:cs="Times New Roman"/>
          <w:color w:val="000000" w:themeColor="text1"/>
        </w:rPr>
        <w:tab/>
      </w:r>
      <w:r w:rsidR="00484A2E" w:rsidRPr="00BD2160">
        <w:rPr>
          <w:rFonts w:cs="Times New Roman"/>
        </w:rPr>
        <w:tab/>
      </w:r>
      <w:r w:rsidR="00484A2E" w:rsidRPr="00BD2160">
        <w:rPr>
          <w:rFonts w:cs="Times New Roman"/>
        </w:rPr>
        <w:tab/>
      </w:r>
      <w:r w:rsidR="00484A2E" w:rsidRPr="00BD2160">
        <w:rPr>
          <w:rFonts w:cs="Times New Roman"/>
        </w:rPr>
        <w:tab/>
      </w:r>
      <w:r w:rsidR="00484A2E" w:rsidRPr="00BD2160">
        <w:rPr>
          <w:rFonts w:cs="Times New Roman"/>
        </w:rPr>
        <w:tab/>
      </w:r>
      <w:r w:rsidR="00484A2E" w:rsidRPr="00BD2160">
        <w:rPr>
          <w:rFonts w:cs="Times New Roman"/>
        </w:rPr>
        <w:tab/>
      </w:r>
      <w:r w:rsidR="00484A2E" w:rsidRPr="00BD2160">
        <w:rPr>
          <w:rFonts w:cs="Times New Roman"/>
        </w:rPr>
        <w:tab/>
      </w:r>
      <w:r w:rsidR="00484A2E">
        <w:rPr>
          <w:rFonts w:cs="Times New Roman"/>
        </w:rPr>
        <w:tab/>
      </w:r>
      <w:r w:rsidR="00422AE1">
        <w:rPr>
          <w:rFonts w:cs="Times New Roman"/>
        </w:rPr>
        <w:tab/>
      </w:r>
      <w:r w:rsidR="00484A2E" w:rsidRPr="00BD2160">
        <w:rPr>
          <w:rFonts w:cs="Times New Roman"/>
        </w:rPr>
        <w:t>(</w:t>
      </w:r>
      <w:r w:rsidR="008F7788">
        <w:rPr>
          <w:rFonts w:cs="Times New Roman"/>
        </w:rPr>
        <w:t>5</w:t>
      </w:r>
      <w:r w:rsidR="00484A2E" w:rsidRPr="00BD2160">
        <w:rPr>
          <w:rFonts w:cs="Times New Roman"/>
        </w:rPr>
        <w:t>)</w:t>
      </w:r>
    </w:p>
    <w:p w14:paraId="7B341CF6" w14:textId="207404D7" w:rsidR="00952542" w:rsidRPr="00C61FDC" w:rsidRDefault="00D64829" w:rsidP="00D10B4D">
      <w:pPr>
        <w:pStyle w:val="Body"/>
        <w:spacing w:before="240" w:line="360" w:lineRule="auto"/>
        <w:jc w:val="both"/>
        <w:rPr>
          <w:rFonts w:cs="Times New Roman"/>
          <w:color w:val="000000" w:themeColor="text1"/>
        </w:rPr>
      </w:pPr>
      <w:r w:rsidRPr="00BD2160">
        <w:rPr>
          <w:rFonts w:cs="Times New Roman"/>
        </w:rPr>
        <w:t>where</w:t>
      </w:r>
      <w:r w:rsidR="00AD5B57" w:rsidRPr="00BD2160">
        <w:rPr>
          <w:rFonts w:cs="Times New Roman"/>
        </w:rPr>
        <w:t xml:space="preserve"> </w:t>
      </w:r>
      <w:r w:rsidR="00D126AA">
        <w:rPr>
          <w:rFonts w:cs="Times New Roman"/>
        </w:rPr>
        <w:t>GPP is gross primary production</w:t>
      </w:r>
      <w:r w:rsidR="00BD095D">
        <w:rPr>
          <w:rFonts w:cs="Times New Roman"/>
        </w:rPr>
        <w:t xml:space="preserve"> (gC m</w:t>
      </w:r>
      <w:r w:rsidR="00DA1427">
        <w:rPr>
          <w:rFonts w:cs="Times New Roman"/>
          <w:vertAlign w:val="superscript"/>
        </w:rPr>
        <w:t>–</w:t>
      </w:r>
      <w:r w:rsidR="00BD095D" w:rsidRPr="007A77B2">
        <w:rPr>
          <w:rFonts w:cs="Times New Roman"/>
          <w:vertAlign w:val="superscript"/>
        </w:rPr>
        <w:t>2</w:t>
      </w:r>
      <w:r w:rsidR="00BD095D">
        <w:rPr>
          <w:rFonts w:cs="Times New Roman"/>
        </w:rPr>
        <w:t xml:space="preserve"> </w:t>
      </w:r>
      <w:r w:rsidR="00B759CD">
        <w:rPr>
          <w:rFonts w:cs="Times New Roman"/>
        </w:rPr>
        <w:t>s</w:t>
      </w:r>
      <w:r w:rsidR="00DA1427">
        <w:rPr>
          <w:rFonts w:cs="Times New Roman"/>
          <w:vertAlign w:val="superscript"/>
        </w:rPr>
        <w:t>–</w:t>
      </w:r>
      <w:r w:rsidR="00BD095D" w:rsidRPr="007A77B2">
        <w:rPr>
          <w:rFonts w:cs="Times New Roman"/>
          <w:vertAlign w:val="superscript"/>
        </w:rPr>
        <w:t>1</w:t>
      </w:r>
      <w:r w:rsidR="00BD095D">
        <w:rPr>
          <w:rFonts w:cs="Times New Roman"/>
        </w:rPr>
        <w:t>)</w:t>
      </w:r>
      <w:r w:rsidR="00D126AA">
        <w:rPr>
          <w:rFonts w:cs="Times New Roman"/>
        </w:rPr>
        <w:t xml:space="preserve"> and </w:t>
      </w:r>
      <w:r w:rsidR="00AD5B57" w:rsidRPr="00BD2160">
        <w:rPr>
          <w:rFonts w:cs="Times New Roman"/>
        </w:rPr>
        <w:t xml:space="preserve">ET </w:t>
      </w:r>
      <w:r w:rsidR="00D126AA">
        <w:rPr>
          <w:rFonts w:cs="Times New Roman"/>
        </w:rPr>
        <w:t xml:space="preserve">is evapotranspiration </w:t>
      </w:r>
      <w:r w:rsidR="007117F1">
        <w:rPr>
          <w:rFonts w:cs="Times New Roman"/>
        </w:rPr>
        <w:br/>
      </w:r>
      <w:r w:rsidR="00AF35C8">
        <w:rPr>
          <w:rFonts w:cs="Times New Roman"/>
        </w:rPr>
        <w:t>(</w:t>
      </w:r>
      <w:r w:rsidR="00183479">
        <w:rPr>
          <w:rFonts w:cs="Times New Roman"/>
        </w:rPr>
        <w:t>kg</w:t>
      </w:r>
      <w:r w:rsidR="00DA1427">
        <w:rPr>
          <w:rFonts w:cs="Times New Roman"/>
        </w:rPr>
        <w:t xml:space="preserve"> </w:t>
      </w:r>
      <w:r w:rsidR="00183479">
        <w:rPr>
          <w:rFonts w:cs="Times New Roman"/>
        </w:rPr>
        <w:t>H</w:t>
      </w:r>
      <w:r w:rsidR="00183479" w:rsidRPr="00A87046">
        <w:rPr>
          <w:rFonts w:cs="Times New Roman"/>
          <w:vertAlign w:val="subscript"/>
        </w:rPr>
        <w:t>2</w:t>
      </w:r>
      <w:r w:rsidR="00183479">
        <w:rPr>
          <w:rFonts w:cs="Times New Roman"/>
        </w:rPr>
        <w:t>O</w:t>
      </w:r>
      <w:r w:rsidR="00103F9D">
        <w:rPr>
          <w:rFonts w:cs="Times New Roman"/>
          <w:vertAlign w:val="superscript"/>
        </w:rPr>
        <w:t xml:space="preserve"> </w:t>
      </w:r>
      <w:r w:rsidR="00AF35C8">
        <w:rPr>
          <w:rFonts w:cs="Times New Roman"/>
        </w:rPr>
        <w:t>m</w:t>
      </w:r>
      <w:r w:rsidR="00DA1427">
        <w:rPr>
          <w:rFonts w:cs="Times New Roman"/>
          <w:vertAlign w:val="superscript"/>
        </w:rPr>
        <w:t>–</w:t>
      </w:r>
      <w:r w:rsidR="00103F9D">
        <w:rPr>
          <w:rFonts w:cs="Times New Roman"/>
          <w:vertAlign w:val="superscript"/>
        </w:rPr>
        <w:t>2</w:t>
      </w:r>
      <w:r w:rsidR="00AF35C8">
        <w:rPr>
          <w:rFonts w:cs="Times New Roman"/>
        </w:rPr>
        <w:t xml:space="preserve"> </w:t>
      </w:r>
      <w:r w:rsidR="00B759CD">
        <w:rPr>
          <w:rFonts w:cs="Times New Roman"/>
        </w:rPr>
        <w:t>s</w:t>
      </w:r>
      <w:r w:rsidR="00DA1427">
        <w:rPr>
          <w:rFonts w:cs="Times New Roman"/>
          <w:vertAlign w:val="superscript"/>
        </w:rPr>
        <w:t>–</w:t>
      </w:r>
      <w:r w:rsidR="00AF35C8" w:rsidRPr="007A77B2">
        <w:rPr>
          <w:rFonts w:cs="Times New Roman"/>
          <w:vertAlign w:val="superscript"/>
        </w:rPr>
        <w:t>1</w:t>
      </w:r>
      <w:r w:rsidR="00AF35C8">
        <w:rPr>
          <w:rFonts w:cs="Times New Roman"/>
        </w:rPr>
        <w:t>)</w:t>
      </w:r>
      <w:r w:rsidR="00DA1427">
        <w:rPr>
          <w:rFonts w:cs="Times New Roman"/>
        </w:rPr>
        <w:t>, which</w:t>
      </w:r>
      <w:r w:rsidR="00AF35C8">
        <w:rPr>
          <w:rFonts w:cs="Times New Roman"/>
        </w:rPr>
        <w:t xml:space="preserve"> </w:t>
      </w:r>
      <w:r w:rsidR="00AD5B57" w:rsidRPr="00BD2160">
        <w:rPr>
          <w:rFonts w:cs="Times New Roman"/>
        </w:rPr>
        <w:t>includ</w:t>
      </w:r>
      <w:r w:rsidR="00DA1427">
        <w:rPr>
          <w:rFonts w:cs="Times New Roman"/>
        </w:rPr>
        <w:t>es</w:t>
      </w:r>
      <w:r w:rsidR="00AD5B57" w:rsidRPr="00BD2160">
        <w:rPr>
          <w:rFonts w:cs="Times New Roman"/>
        </w:rPr>
        <w:t xml:space="preserve"> contributions from rainfall interception</w:t>
      </w:r>
      <w:r w:rsidR="00153FC1">
        <w:rPr>
          <w:rFonts w:cs="Times New Roman"/>
        </w:rPr>
        <w:t xml:space="preserve"> (</w:t>
      </w:r>
      <w:r w:rsidR="00153FC1" w:rsidRPr="00E67DC7">
        <w:rPr>
          <w:rFonts w:cs="Times New Roman"/>
          <w:i/>
        </w:rPr>
        <w:t>I</w:t>
      </w:r>
      <w:r w:rsidR="00153FC1" w:rsidRPr="00E67DC7">
        <w:rPr>
          <w:rFonts w:cs="Times New Roman"/>
          <w:i/>
          <w:vertAlign w:val="subscript"/>
        </w:rPr>
        <w:t>n</w:t>
      </w:r>
      <w:r w:rsidR="00153FC1">
        <w:rPr>
          <w:rFonts w:cs="Times New Roman"/>
        </w:rPr>
        <w:t>)</w:t>
      </w:r>
      <w:r w:rsidR="00AD5B57" w:rsidRPr="00BD2160">
        <w:rPr>
          <w:rFonts w:cs="Times New Roman"/>
        </w:rPr>
        <w:t xml:space="preserve"> (</w:t>
      </w:r>
      <w:r w:rsidR="00DA1427">
        <w:rPr>
          <w:rFonts w:cs="Times New Roman"/>
        </w:rPr>
        <w:t>water that is evaporated from the</w:t>
      </w:r>
      <w:r w:rsidR="00DA1427" w:rsidRPr="00BD2160">
        <w:rPr>
          <w:rFonts w:cs="Times New Roman"/>
        </w:rPr>
        <w:t xml:space="preserve"> </w:t>
      </w:r>
      <w:r w:rsidR="00AD5B57" w:rsidRPr="00BD2160">
        <w:rPr>
          <w:rFonts w:cs="Times New Roman"/>
        </w:rPr>
        <w:t xml:space="preserve">canopy </w:t>
      </w:r>
      <w:r w:rsidR="00DA1427">
        <w:rPr>
          <w:rFonts w:cs="Times New Roman"/>
        </w:rPr>
        <w:t>surface</w:t>
      </w:r>
      <w:r w:rsidR="00AD5B57" w:rsidRPr="00BD2160">
        <w:rPr>
          <w:rFonts w:cs="Times New Roman"/>
        </w:rPr>
        <w:t>)</w:t>
      </w:r>
      <w:r w:rsidR="00B775EC">
        <w:rPr>
          <w:rFonts w:cs="Times New Roman"/>
        </w:rPr>
        <w:t>,</w:t>
      </w:r>
      <w:r w:rsidR="00AD5B57" w:rsidRPr="00BD2160">
        <w:rPr>
          <w:rFonts w:cs="Times New Roman"/>
        </w:rPr>
        <w:t xml:space="preserve"> bare-ground evaporation</w:t>
      </w:r>
      <w:r w:rsidR="003F3B05">
        <w:rPr>
          <w:rFonts w:cs="Times New Roman"/>
        </w:rPr>
        <w:t xml:space="preserve"> </w:t>
      </w:r>
      <w:r w:rsidR="00E67DC7">
        <w:rPr>
          <w:rFonts w:cs="Times New Roman"/>
        </w:rPr>
        <w:t>(</w:t>
      </w:r>
      <w:r w:rsidR="00E67DC7" w:rsidRPr="00E67DC7">
        <w:rPr>
          <w:rFonts w:cs="Times New Roman"/>
          <w:i/>
        </w:rPr>
        <w:t>E</w:t>
      </w:r>
      <w:r w:rsidR="00E67DC7" w:rsidRPr="00E67DC7">
        <w:rPr>
          <w:rFonts w:cs="Times New Roman"/>
          <w:i/>
          <w:vertAlign w:val="subscript"/>
        </w:rPr>
        <w:t>v</w:t>
      </w:r>
      <w:r w:rsidR="00E67DC7">
        <w:rPr>
          <w:rFonts w:cs="Times New Roman"/>
        </w:rPr>
        <w:t>)</w:t>
      </w:r>
      <w:r w:rsidR="00DA1427">
        <w:rPr>
          <w:rFonts w:cs="Times New Roman"/>
        </w:rPr>
        <w:t>,</w:t>
      </w:r>
      <w:r w:rsidR="00E67DC7">
        <w:rPr>
          <w:rFonts w:cs="Times New Roman"/>
        </w:rPr>
        <w:t xml:space="preserve"> </w:t>
      </w:r>
      <w:r w:rsidR="003F3B05">
        <w:rPr>
          <w:rFonts w:cs="Times New Roman"/>
        </w:rPr>
        <w:t>and</w:t>
      </w:r>
      <w:r w:rsidR="00AD5B57" w:rsidRPr="00BD2160">
        <w:rPr>
          <w:rFonts w:cs="Times New Roman"/>
        </w:rPr>
        <w:t xml:space="preserve"> </w:t>
      </w:r>
      <w:r w:rsidR="009553B7">
        <w:rPr>
          <w:rFonts w:cs="Times New Roman"/>
          <w:i/>
        </w:rPr>
        <w:t>T</w:t>
      </w:r>
      <w:r w:rsidR="009553B7" w:rsidRPr="00D40240">
        <w:rPr>
          <w:rFonts w:cs="Times New Roman"/>
          <w:i/>
          <w:vertAlign w:val="subscript"/>
        </w:rPr>
        <w:t>r</w:t>
      </w:r>
      <w:r w:rsidR="00AD5B57" w:rsidRPr="00BD2160">
        <w:rPr>
          <w:rFonts w:cs="Times New Roman"/>
        </w:rPr>
        <w:t>.</w:t>
      </w:r>
      <w:r w:rsidR="00AD5B57" w:rsidRPr="00BD2160">
        <w:rPr>
          <w:rFonts w:cs="Times New Roman"/>
          <w:color w:val="000000" w:themeColor="text1"/>
        </w:rPr>
        <w:t xml:space="preserve"> </w:t>
      </w:r>
      <w:r w:rsidR="00D52A75">
        <w:rPr>
          <w:rFonts w:cs="Times New Roman"/>
          <w:color w:val="000000" w:themeColor="text1"/>
        </w:rPr>
        <w:t xml:space="preserve">This </w:t>
      </w:r>
      <w:r w:rsidR="00DA1427">
        <w:rPr>
          <w:rFonts w:cs="Times New Roman"/>
          <w:color w:val="000000" w:themeColor="text1"/>
        </w:rPr>
        <w:t xml:space="preserve">measure </w:t>
      </w:r>
      <w:r w:rsidR="00D52A75">
        <w:rPr>
          <w:rFonts w:cs="Times New Roman"/>
          <w:color w:val="000000" w:themeColor="text1"/>
        </w:rPr>
        <w:t xml:space="preserve">is difficult to interpret, however, given that it includes evaporative components unrelated to physiological </w:t>
      </w:r>
      <w:r w:rsidR="001A4831">
        <w:rPr>
          <w:rFonts w:cs="Times New Roman"/>
          <w:color w:val="000000" w:themeColor="text1"/>
        </w:rPr>
        <w:t>processes</w:t>
      </w:r>
      <w:r w:rsidR="00D52A75">
        <w:rPr>
          <w:rFonts w:cs="Times New Roman"/>
          <w:color w:val="000000" w:themeColor="text1"/>
        </w:rPr>
        <w:t xml:space="preserve">. </w:t>
      </w:r>
      <w:r w:rsidR="001458E6" w:rsidRPr="00BD2160">
        <w:rPr>
          <w:rFonts w:eastAsia="Times New Roman" w:cs="Times New Roman"/>
          <w:bCs/>
        </w:rPr>
        <w:t>T</w:t>
      </w:r>
      <w:r w:rsidR="00725D2A" w:rsidRPr="00BD2160">
        <w:rPr>
          <w:rFonts w:eastAsia="Times New Roman" w:cs="Times New Roman"/>
          <w:bCs/>
        </w:rPr>
        <w:t xml:space="preserve">he ecosystem-level equivalent of </w:t>
      </w:r>
      <w:r w:rsidR="0049629A">
        <w:rPr>
          <w:rFonts w:eastAsia="Times New Roman" w:cs="Times New Roman"/>
          <w:bCs/>
        </w:rPr>
        <w:t xml:space="preserve">leaf-level </w:t>
      </w:r>
      <w:r w:rsidR="006440FA" w:rsidRPr="00BD2160">
        <w:rPr>
          <w:rFonts w:cs="Times New Roman"/>
        </w:rPr>
        <w:t>iWUE</w:t>
      </w:r>
      <w:r w:rsidR="00725D2A" w:rsidRPr="00BD2160">
        <w:rPr>
          <w:rFonts w:eastAsia="Times New Roman" w:cs="Times New Roman"/>
          <w:bCs/>
        </w:rPr>
        <w:t xml:space="preserve"> is </w:t>
      </w:r>
      <w:r w:rsidR="00743B21" w:rsidRPr="00E06D36">
        <w:rPr>
          <w:rFonts w:eastAsia="Times New Roman" w:cs="Times New Roman"/>
          <w:bCs/>
        </w:rPr>
        <w:t>iWUE</w:t>
      </w:r>
      <w:r w:rsidR="00743B21">
        <w:rPr>
          <w:rFonts w:eastAsia="Times New Roman" w:cs="Times New Roman"/>
          <w:bCs/>
          <w:vertAlign w:val="superscript"/>
        </w:rPr>
        <w:t>e</w:t>
      </w:r>
      <w:r w:rsidR="00325FAB">
        <w:rPr>
          <w:rFonts w:eastAsia="Times New Roman" w:cs="Times New Roman"/>
          <w:bCs/>
          <w:vertAlign w:val="superscript"/>
        </w:rPr>
        <w:t>co</w:t>
      </w:r>
      <w:r w:rsidR="00725D2A" w:rsidRPr="00BD2160">
        <w:rPr>
          <w:rFonts w:eastAsia="Times New Roman" w:cs="Times New Roman"/>
          <w:bCs/>
        </w:rPr>
        <w:t xml:space="preserve">, </w:t>
      </w:r>
      <w:r w:rsidR="00952542">
        <w:rPr>
          <w:rFonts w:eastAsia="Times New Roman" w:cs="Times New Roman"/>
          <w:bCs/>
        </w:rPr>
        <w:t>defined as:</w:t>
      </w:r>
    </w:p>
    <w:p w14:paraId="165D69D3" w14:textId="1C839FCB" w:rsidR="00952542" w:rsidRDefault="00E31184" w:rsidP="00D37E2B">
      <w:pPr>
        <w:pStyle w:val="Body"/>
        <w:spacing w:before="240" w:line="360" w:lineRule="auto"/>
        <w:ind w:firstLine="708"/>
        <w:jc w:val="both"/>
        <w:rPr>
          <w:rFonts w:eastAsia="Times New Roman" w:cs="Times New Roman"/>
          <w:bCs/>
        </w:rPr>
      </w:pPr>
      <m:oMath>
        <m:sSup>
          <m:sSupPr>
            <m:ctrlPr>
              <w:rPr>
                <w:rFonts w:ascii="Cambria Math" w:hAnsi="Cambria Math" w:cs="Times New Roman"/>
                <w:i/>
              </w:rPr>
            </m:ctrlPr>
          </m:sSupPr>
          <m:e>
            <m:r>
              <w:rPr>
                <w:rFonts w:ascii="Cambria Math" w:hAnsi="Cambria Math" w:cs="Times New Roman"/>
              </w:rPr>
              <m:t>iWUE</m:t>
            </m:r>
          </m:e>
          <m:sup>
            <m:r>
              <w:rPr>
                <w:rFonts w:ascii="Cambria Math" w:hAnsi="Cambria Math" w:cs="Times New Roman"/>
              </w:rPr>
              <m:t>eco</m:t>
            </m:r>
          </m:sup>
        </m:sSup>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GPP</m:t>
            </m:r>
          </m:num>
          <m:den>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s</m:t>
                </m:r>
              </m:sub>
            </m:sSub>
          </m:den>
        </m:f>
      </m:oMath>
      <w:r w:rsidR="00952542" w:rsidRPr="00BD2160">
        <w:rPr>
          <w:rFonts w:cs="Times New Roman"/>
          <w:color w:val="000000" w:themeColor="text1"/>
        </w:rPr>
        <w:tab/>
      </w:r>
      <w:r w:rsidR="00952542" w:rsidRPr="00BD2160">
        <w:rPr>
          <w:rFonts w:cs="Times New Roman"/>
        </w:rPr>
        <w:tab/>
      </w:r>
      <w:r w:rsidR="00952542" w:rsidRPr="00BD2160">
        <w:rPr>
          <w:rFonts w:cs="Times New Roman"/>
        </w:rPr>
        <w:tab/>
      </w:r>
      <w:r w:rsidR="00952542" w:rsidRPr="00BD2160">
        <w:rPr>
          <w:rFonts w:cs="Times New Roman"/>
        </w:rPr>
        <w:tab/>
      </w:r>
      <w:r w:rsidR="00952542" w:rsidRPr="00BD2160">
        <w:rPr>
          <w:rFonts w:cs="Times New Roman"/>
        </w:rPr>
        <w:tab/>
      </w:r>
      <w:r w:rsidR="00952542" w:rsidRPr="00BD2160">
        <w:rPr>
          <w:rFonts w:cs="Times New Roman"/>
        </w:rPr>
        <w:tab/>
      </w:r>
      <w:r w:rsidR="00952542" w:rsidRPr="00BD2160">
        <w:rPr>
          <w:rFonts w:cs="Times New Roman"/>
        </w:rPr>
        <w:tab/>
      </w:r>
      <w:r w:rsidR="00952542">
        <w:rPr>
          <w:rFonts w:cs="Times New Roman"/>
        </w:rPr>
        <w:tab/>
      </w:r>
      <w:r w:rsidR="00952542">
        <w:rPr>
          <w:rFonts w:cs="Times New Roman"/>
        </w:rPr>
        <w:tab/>
      </w:r>
      <w:r w:rsidR="00952542" w:rsidRPr="00BD2160">
        <w:rPr>
          <w:rFonts w:cs="Times New Roman"/>
        </w:rPr>
        <w:t>(</w:t>
      </w:r>
      <w:r w:rsidR="008F7788">
        <w:rPr>
          <w:rFonts w:cs="Times New Roman"/>
        </w:rPr>
        <w:t>6</w:t>
      </w:r>
      <w:r w:rsidR="00952542" w:rsidRPr="00BD2160">
        <w:rPr>
          <w:rFonts w:cs="Times New Roman"/>
        </w:rPr>
        <w:t>)</w:t>
      </w:r>
    </w:p>
    <w:p w14:paraId="21DF1AAE" w14:textId="3124BE66" w:rsidR="00F479AB" w:rsidRDefault="00952542" w:rsidP="00EE6FAB">
      <w:pPr>
        <w:pStyle w:val="Body"/>
        <w:spacing w:before="240" w:line="360" w:lineRule="auto"/>
        <w:jc w:val="both"/>
        <w:rPr>
          <w:rFonts w:eastAsia="Times New Roman" w:cs="Times New Roman"/>
          <w:bCs/>
        </w:rPr>
      </w:pPr>
      <w:r>
        <w:rPr>
          <w:rFonts w:eastAsia="Times New Roman" w:cs="Times New Roman"/>
          <w:bCs/>
        </w:rPr>
        <w:t>where</w:t>
      </w:r>
      <w:r w:rsidR="00725D2A" w:rsidRPr="00BD2160">
        <w:rPr>
          <w:rFonts w:eastAsia="Times New Roman" w:cs="Times New Roman"/>
          <w:bCs/>
        </w:rPr>
        <w:t xml:space="preserve"> </w:t>
      </w:r>
      <w:r w:rsidRPr="00BD2160">
        <w:rPr>
          <w:rFonts w:eastAsia="Times New Roman" w:cs="Times New Roman"/>
          <w:bCs/>
          <w:i/>
        </w:rPr>
        <w:t>G</w:t>
      </w:r>
      <w:r w:rsidRPr="00BD2160">
        <w:rPr>
          <w:rFonts w:eastAsia="Times New Roman" w:cs="Times New Roman"/>
          <w:bCs/>
          <w:vertAlign w:val="subscript"/>
        </w:rPr>
        <w:t>s</w:t>
      </w:r>
      <w:r w:rsidRPr="00BD2160">
        <w:rPr>
          <w:rFonts w:eastAsia="Times New Roman" w:cs="Times New Roman"/>
          <w:bCs/>
        </w:rPr>
        <w:t xml:space="preserve"> </w:t>
      </w:r>
      <w:r>
        <w:rPr>
          <w:rFonts w:eastAsia="Times New Roman" w:cs="Times New Roman"/>
          <w:bCs/>
        </w:rPr>
        <w:t xml:space="preserve">is </w:t>
      </w:r>
      <w:r w:rsidR="00725D2A" w:rsidRPr="00BD2160">
        <w:rPr>
          <w:rFonts w:eastAsia="Times New Roman" w:cs="Times New Roman"/>
          <w:bCs/>
        </w:rPr>
        <w:t>the bulk surface conductance of the ecosyste</w:t>
      </w:r>
      <w:r w:rsidR="00C64D0D">
        <w:rPr>
          <w:rFonts w:eastAsia="Times New Roman" w:cs="Times New Roman"/>
          <w:bCs/>
        </w:rPr>
        <w:t xml:space="preserve">m </w:t>
      </w:r>
      <w:r w:rsidR="00046726">
        <w:rPr>
          <w:rFonts w:eastAsia="Times New Roman" w:cs="Times New Roman"/>
          <w:bCs/>
        </w:rPr>
        <w:t>(m s</w:t>
      </w:r>
      <w:r w:rsidR="001A4831">
        <w:rPr>
          <w:rFonts w:eastAsia="Times New Roman" w:cs="Times New Roman"/>
          <w:bCs/>
          <w:vertAlign w:val="superscript"/>
        </w:rPr>
        <w:softHyphen/>
        <w:t>–</w:t>
      </w:r>
      <w:r w:rsidR="00046726" w:rsidRPr="00D40240">
        <w:rPr>
          <w:rFonts w:eastAsia="Times New Roman" w:cs="Times New Roman"/>
          <w:bCs/>
          <w:vertAlign w:val="superscript"/>
        </w:rPr>
        <w:t>1</w:t>
      </w:r>
      <w:r w:rsidR="00103F9D">
        <w:rPr>
          <w:rFonts w:eastAsia="Times New Roman" w:cs="Times New Roman"/>
          <w:bCs/>
        </w:rPr>
        <w:t xml:space="preserve"> or mol </w:t>
      </w:r>
      <w:r w:rsidR="00103F9D">
        <w:rPr>
          <w:rFonts w:cs="Times New Roman"/>
        </w:rPr>
        <w:t>m</w:t>
      </w:r>
      <w:r w:rsidR="001A4831">
        <w:rPr>
          <w:rFonts w:cs="Times New Roman"/>
          <w:vertAlign w:val="superscript"/>
        </w:rPr>
        <w:t>–</w:t>
      </w:r>
      <w:r w:rsidR="000948ED">
        <w:rPr>
          <w:rFonts w:cs="Times New Roman"/>
          <w:vertAlign w:val="superscript"/>
        </w:rPr>
        <w:t>2</w:t>
      </w:r>
      <w:r w:rsidR="00103F9D">
        <w:rPr>
          <w:rFonts w:cs="Times New Roman"/>
        </w:rPr>
        <w:t xml:space="preserve"> s</w:t>
      </w:r>
      <w:r w:rsidR="001A4831">
        <w:rPr>
          <w:rFonts w:cs="Times New Roman"/>
          <w:vertAlign w:val="superscript"/>
        </w:rPr>
        <w:t>–</w:t>
      </w:r>
      <w:r w:rsidR="00103F9D" w:rsidRPr="007A77B2">
        <w:rPr>
          <w:rFonts w:cs="Times New Roman"/>
          <w:vertAlign w:val="superscript"/>
        </w:rPr>
        <w:t>1</w:t>
      </w:r>
      <w:r w:rsidR="00046726">
        <w:rPr>
          <w:rFonts w:eastAsia="Times New Roman" w:cs="Times New Roman"/>
          <w:bCs/>
        </w:rPr>
        <w:t xml:space="preserve">) </w:t>
      </w:r>
      <w:r w:rsidR="00C64D0D">
        <w:rPr>
          <w:rFonts w:eastAsia="Times New Roman" w:cs="Times New Roman"/>
          <w:bCs/>
        </w:rPr>
        <w:t xml:space="preserve">calculated by inverting the Penman-Monteith equation </w:t>
      </w:r>
      <w:r w:rsidR="00C64D0D">
        <w:rPr>
          <w:rFonts w:eastAsia="Times New Roman" w:cs="Times New Roman"/>
          <w:bCs/>
        </w:rPr>
        <w:fldChar w:fldCharType="begin" w:fldLock="1"/>
      </w:r>
      <w:r w:rsidR="00672F2C">
        <w:rPr>
          <w:rFonts w:eastAsia="Times New Roman" w:cs="Times New Roman"/>
          <w:bCs/>
        </w:rPr>
        <w:instrText>ADDIN CSL_CITATION {"citationItems":[{"id":"ITEM-1","itemData":{"author":[{"dropping-particle":"","family":"Monteith","given":"J. L.","non-dropping-particle":"","parse-names":false,"suffix":""}],"container-title":"Symposia of the Society for Experimental Biology","editor":[{"dropping-particle":"","family":"Fogg","given":"G. E.","non-dropping-particle":"","parse-names":false,"suffix":""}],"id":"ITEM-1","issued":{"date-parts":[["1965"]]},"page":"205–234","publisher":"New York: Academic Press","title":"Evaporation and Environment","type":"article-journal","volume":"19"},"uris":["http://www.mendeley.com/documents/?uuid=2a596dc1-c6c7-4b61-a1b8-92d8ba82e26b"]}],"mendeley":{"formattedCitation":"(Monteith, 1965)","plainTextFormattedCitation":"(Monteith, 1965)","previouslyFormattedCitation":"(Monteith, 1965)"},"properties":{"noteIndex":0},"schema":"https://github.com/citation-style-language/schema/raw/master/csl-citation.json"}</w:instrText>
      </w:r>
      <w:r w:rsidR="00C64D0D">
        <w:rPr>
          <w:rFonts w:eastAsia="Times New Roman" w:cs="Times New Roman"/>
          <w:bCs/>
        </w:rPr>
        <w:fldChar w:fldCharType="separate"/>
      </w:r>
      <w:r w:rsidR="00C64D0D" w:rsidRPr="00C64D0D">
        <w:rPr>
          <w:rFonts w:eastAsia="Times New Roman" w:cs="Times New Roman"/>
          <w:bCs/>
          <w:noProof/>
        </w:rPr>
        <w:t>(Monteith, 1965)</w:t>
      </w:r>
      <w:r w:rsidR="00C64D0D">
        <w:rPr>
          <w:rFonts w:eastAsia="Times New Roman" w:cs="Times New Roman"/>
          <w:bCs/>
        </w:rPr>
        <w:fldChar w:fldCharType="end"/>
      </w:r>
      <w:r w:rsidR="00F479AB">
        <w:rPr>
          <w:rFonts w:eastAsia="Times New Roman" w:cs="Times New Roman"/>
          <w:bCs/>
        </w:rPr>
        <w:t>:</w:t>
      </w:r>
    </w:p>
    <w:p w14:paraId="48B21017" w14:textId="79BE5BEE" w:rsidR="00F479AB" w:rsidRDefault="00E31184" w:rsidP="007A77B2">
      <w:pPr>
        <w:pStyle w:val="Body"/>
        <w:spacing w:before="240" w:line="360" w:lineRule="auto"/>
        <w:ind w:firstLine="708"/>
        <w:jc w:val="both"/>
        <w:rPr>
          <w:rFonts w:eastAsia="Times New Roman" w:cs="Times New Roman"/>
          <w:bCs/>
        </w:rPr>
      </w:pPr>
      <m:oMath>
        <m:sSub>
          <m:sSubPr>
            <m:ctrlPr>
              <w:rPr>
                <w:rFonts w:ascii="Cambria Math" w:eastAsia="Times New Roman" w:hAnsi="Cambria Math" w:cs="Times New Roman"/>
                <w:bCs/>
                <w:i/>
              </w:rPr>
            </m:ctrlPr>
          </m:sSubPr>
          <m:e>
            <m:r>
              <w:rPr>
                <w:rFonts w:ascii="Cambria Math" w:eastAsia="Times New Roman" w:hAnsi="Cambria Math" w:cs="Times New Roman"/>
              </w:rPr>
              <m:t>G</m:t>
            </m:r>
          </m:e>
          <m:sub>
            <m:r>
              <w:rPr>
                <w:rFonts w:ascii="Cambria Math" w:eastAsia="Times New Roman" w:hAnsi="Cambria Math" w:cs="Times New Roman"/>
              </w:rPr>
              <m:t>s</m:t>
            </m:r>
          </m:sub>
        </m:sSub>
        <m:r>
          <w:rPr>
            <w:rFonts w:ascii="Cambria Math" w:eastAsia="Times New Roman" w:hAnsi="Cambria Math" w:cs="Times New Roman"/>
          </w:rPr>
          <m:t>=</m:t>
        </m:r>
        <m:f>
          <m:fPr>
            <m:ctrlPr>
              <w:rPr>
                <w:rFonts w:ascii="Cambria Math" w:eastAsia="Times New Roman" w:hAnsi="Cambria Math" w:cs="Times New Roman"/>
                <w:bCs/>
                <w:i/>
              </w:rPr>
            </m:ctrlPr>
          </m:fPr>
          <m:num>
            <m:sSub>
              <m:sSubPr>
                <m:ctrlPr>
                  <w:rPr>
                    <w:rFonts w:ascii="Cambria Math" w:eastAsia="Times New Roman" w:hAnsi="Cambria Math" w:cs="Times New Roman"/>
                    <w:bCs/>
                    <w:i/>
                  </w:rPr>
                </m:ctrlPr>
              </m:sSubPr>
              <m:e>
                <m:r>
                  <w:rPr>
                    <w:rFonts w:ascii="Cambria Math" w:eastAsia="Times New Roman" w:hAnsi="Cambria Math" w:cs="Times New Roman"/>
                  </w:rPr>
                  <m:t>G</m:t>
                </m:r>
              </m:e>
              <m:sub>
                <m:r>
                  <w:rPr>
                    <w:rFonts w:ascii="Cambria Math" w:eastAsia="Times New Roman" w:hAnsi="Cambria Math" w:cs="Times New Roman"/>
                  </w:rPr>
                  <m:t>a</m:t>
                </m:r>
              </m:sub>
            </m:sSub>
            <m:r>
              <w:rPr>
                <w:rFonts w:ascii="Cambria Math" w:eastAsia="Times New Roman" w:hAnsi="Cambria Math" w:cs="Times New Roman"/>
              </w:rPr>
              <m:t>∙γ∙LE</m:t>
            </m:r>
          </m:num>
          <m:den>
            <m:r>
              <w:rPr>
                <w:rFonts w:ascii="Cambria Math" w:eastAsia="Times New Roman" w:hAnsi="Cambria Math" w:cs="Times New Roman"/>
              </w:rPr>
              <m:t>s∙</m:t>
            </m:r>
            <m:d>
              <m:dPr>
                <m:ctrlPr>
                  <w:rPr>
                    <w:rFonts w:ascii="Cambria Math" w:eastAsia="Times New Roman" w:hAnsi="Cambria Math" w:cs="Times New Roman"/>
                    <w:bCs/>
                    <w:i/>
                  </w:rPr>
                </m:ctrlPr>
              </m:dPr>
              <m:e>
                <m:sSub>
                  <m:sSubPr>
                    <m:ctrlPr>
                      <w:rPr>
                        <w:rFonts w:ascii="Cambria Math" w:eastAsia="Times New Roman" w:hAnsi="Cambria Math" w:cs="Times New Roman"/>
                        <w:bCs/>
                        <w:i/>
                      </w:rPr>
                    </m:ctrlPr>
                  </m:sSubPr>
                  <m:e>
                    <m:r>
                      <w:rPr>
                        <w:rFonts w:ascii="Cambria Math" w:eastAsia="Times New Roman" w:hAnsi="Cambria Math" w:cs="Times New Roman"/>
                      </w:rPr>
                      <m:t>R</m:t>
                    </m:r>
                  </m:e>
                  <m:sub>
                    <m:r>
                      <w:rPr>
                        <w:rFonts w:ascii="Cambria Math" w:eastAsia="Times New Roman" w:hAnsi="Cambria Math" w:cs="Times New Roman"/>
                      </w:rPr>
                      <m:t>n</m:t>
                    </m:r>
                  </m:sub>
                </m:sSub>
                <m:r>
                  <w:rPr>
                    <w:rFonts w:ascii="Cambria Math" w:eastAsia="Times New Roman" w:hAnsi="Cambria Math" w:cs="Times New Roman"/>
                  </w:rPr>
                  <m:t>-G</m:t>
                </m:r>
              </m:e>
            </m:d>
            <m:r>
              <w:rPr>
                <w:rFonts w:ascii="Cambria Math" w:eastAsia="Times New Roman" w:hAnsi="Cambria Math" w:cs="Times New Roman"/>
              </w:rPr>
              <m:t>-LE∙</m:t>
            </m:r>
            <m:d>
              <m:dPr>
                <m:ctrlPr>
                  <w:rPr>
                    <w:rFonts w:ascii="Cambria Math" w:eastAsia="Times New Roman" w:hAnsi="Cambria Math" w:cs="Times New Roman"/>
                    <w:bCs/>
                    <w:i/>
                  </w:rPr>
                </m:ctrlPr>
              </m:dPr>
              <m:e>
                <m:r>
                  <w:rPr>
                    <w:rFonts w:ascii="Cambria Math" w:eastAsia="Times New Roman" w:hAnsi="Cambria Math" w:cs="Times New Roman"/>
                  </w:rPr>
                  <m:t>s+γ</m:t>
                </m:r>
              </m:e>
            </m:d>
            <m:r>
              <w:rPr>
                <w:rFonts w:ascii="Cambria Math" w:eastAsia="Times New Roman" w:hAnsi="Cambria Math" w:cs="Times New Roman"/>
              </w:rPr>
              <m:t>+</m:t>
            </m:r>
            <m:sSub>
              <m:sSubPr>
                <m:ctrlPr>
                  <w:rPr>
                    <w:rFonts w:ascii="Cambria Math" w:eastAsia="Times New Roman" w:hAnsi="Cambria Math" w:cs="Times New Roman"/>
                    <w:bCs/>
                    <w:i/>
                  </w:rPr>
                </m:ctrlPr>
              </m:sSubPr>
              <m:e>
                <m:r>
                  <w:rPr>
                    <w:rFonts w:ascii="Cambria Math" w:eastAsia="Times New Roman" w:hAnsi="Cambria Math" w:cs="Times New Roman"/>
                  </w:rPr>
                  <m:t>G</m:t>
                </m:r>
              </m:e>
              <m:sub>
                <m:r>
                  <w:rPr>
                    <w:rFonts w:ascii="Cambria Math" w:eastAsia="Times New Roman" w:hAnsi="Cambria Math" w:cs="Times New Roman"/>
                  </w:rPr>
                  <m:t>a</m:t>
                </m:r>
              </m:sub>
            </m:sSub>
            <m:r>
              <w:rPr>
                <w:rFonts w:ascii="Cambria Math" w:eastAsia="Times New Roman" w:hAnsi="Cambria Math" w:cs="Times New Roman"/>
              </w:rPr>
              <m:t>∙ρ∙</m:t>
            </m:r>
            <m:sSub>
              <m:sSubPr>
                <m:ctrlPr>
                  <w:rPr>
                    <w:rFonts w:ascii="Cambria Math" w:eastAsia="Times New Roman" w:hAnsi="Cambria Math" w:cs="Times New Roman"/>
                    <w:bCs/>
                    <w:i/>
                  </w:rPr>
                </m:ctrlPr>
              </m:sSubPr>
              <m:e>
                <m:r>
                  <w:rPr>
                    <w:rFonts w:ascii="Cambria Math" w:eastAsia="Times New Roman" w:hAnsi="Cambria Math" w:cs="Times New Roman"/>
                  </w:rPr>
                  <m:t>c</m:t>
                </m:r>
              </m:e>
              <m:sub>
                <m:r>
                  <w:rPr>
                    <w:rFonts w:ascii="Cambria Math" w:eastAsia="Times New Roman" w:hAnsi="Cambria Math" w:cs="Times New Roman"/>
                  </w:rPr>
                  <m:t>p</m:t>
                </m:r>
              </m:sub>
            </m:sSub>
            <m:r>
              <w:rPr>
                <w:rFonts w:ascii="Cambria Math" w:eastAsia="Times New Roman" w:hAnsi="Cambria Math" w:cs="Times New Roman"/>
              </w:rPr>
              <m:t>∙D</m:t>
            </m:r>
          </m:den>
        </m:f>
      </m:oMath>
      <w:r w:rsidR="00510F41">
        <w:rPr>
          <w:rFonts w:eastAsia="Times New Roman" w:cs="Times New Roman"/>
          <w:bCs/>
        </w:rPr>
        <w:t xml:space="preserve"> </w:t>
      </w:r>
      <w:r w:rsidR="00F479AB">
        <w:rPr>
          <w:rFonts w:eastAsia="Times New Roman" w:cs="Times New Roman"/>
          <w:bCs/>
        </w:rPr>
        <w:tab/>
      </w:r>
      <w:r w:rsidR="00F479AB">
        <w:rPr>
          <w:rFonts w:eastAsia="Times New Roman" w:cs="Times New Roman"/>
          <w:bCs/>
        </w:rPr>
        <w:tab/>
      </w:r>
      <w:r w:rsidR="00F479AB">
        <w:rPr>
          <w:rFonts w:eastAsia="Times New Roman" w:cs="Times New Roman"/>
          <w:bCs/>
        </w:rPr>
        <w:tab/>
      </w:r>
      <w:r w:rsidR="00F479AB">
        <w:rPr>
          <w:rFonts w:eastAsia="Times New Roman" w:cs="Times New Roman"/>
          <w:bCs/>
        </w:rPr>
        <w:tab/>
      </w:r>
      <w:r w:rsidR="00F479AB">
        <w:rPr>
          <w:rFonts w:eastAsia="Times New Roman" w:cs="Times New Roman"/>
          <w:bCs/>
        </w:rPr>
        <w:tab/>
      </w:r>
      <w:r w:rsidR="00F479AB">
        <w:rPr>
          <w:rFonts w:eastAsia="Times New Roman" w:cs="Times New Roman"/>
          <w:bCs/>
        </w:rPr>
        <w:tab/>
      </w:r>
      <w:r w:rsidR="00F479AB">
        <w:rPr>
          <w:rFonts w:eastAsia="Times New Roman" w:cs="Times New Roman"/>
          <w:bCs/>
        </w:rPr>
        <w:tab/>
        <w:t>(</w:t>
      </w:r>
      <w:r w:rsidR="004F2D41">
        <w:rPr>
          <w:rFonts w:eastAsia="Times New Roman" w:cs="Times New Roman"/>
          <w:bCs/>
        </w:rPr>
        <w:t>7</w:t>
      </w:r>
      <w:r w:rsidR="00F479AB">
        <w:rPr>
          <w:rFonts w:eastAsia="Times New Roman" w:cs="Times New Roman"/>
          <w:bCs/>
        </w:rPr>
        <w:t>)</w:t>
      </w:r>
    </w:p>
    <w:p w14:paraId="3D75C08B" w14:textId="0CAA4714" w:rsidR="00F479AB" w:rsidRPr="007A77B2" w:rsidRDefault="00D15C60" w:rsidP="00F13206">
      <w:pPr>
        <w:pStyle w:val="Body"/>
        <w:spacing w:before="240" w:line="360" w:lineRule="auto"/>
        <w:jc w:val="both"/>
        <w:rPr>
          <w:bCs/>
          <w:lang w:val="en-GB"/>
        </w:rPr>
      </w:pPr>
      <w:r>
        <w:rPr>
          <w:rFonts w:cs="Times New Roman"/>
        </w:rPr>
        <w:t>w</w:t>
      </w:r>
      <w:r w:rsidR="00F479AB">
        <w:rPr>
          <w:rFonts w:cs="Times New Roman"/>
        </w:rPr>
        <w:t>here</w:t>
      </w:r>
      <w:r w:rsidR="008C6A01">
        <w:rPr>
          <w:rFonts w:cs="Times New Roman"/>
        </w:rPr>
        <w:t xml:space="preserve"> </w:t>
      </w:r>
      <w:r w:rsidR="008C6A01" w:rsidRPr="00BD2160">
        <w:rPr>
          <w:rFonts w:eastAsia="Times New Roman" w:cs="Times New Roman"/>
          <w:bCs/>
          <w:i/>
        </w:rPr>
        <w:t>G</w:t>
      </w:r>
      <w:r w:rsidR="008C6A01">
        <w:rPr>
          <w:rFonts w:eastAsia="Times New Roman" w:cs="Times New Roman"/>
          <w:bCs/>
          <w:vertAlign w:val="subscript"/>
        </w:rPr>
        <w:t>a</w:t>
      </w:r>
      <w:r w:rsidR="008C6A01" w:rsidRPr="00BD2160">
        <w:rPr>
          <w:rFonts w:eastAsia="Times New Roman" w:cs="Times New Roman"/>
          <w:bCs/>
        </w:rPr>
        <w:t xml:space="preserve"> </w:t>
      </w:r>
      <w:r w:rsidR="008C6A01">
        <w:rPr>
          <w:rFonts w:eastAsia="Times New Roman" w:cs="Times New Roman"/>
          <w:bCs/>
        </w:rPr>
        <w:t>is aerodynamic conductance (m s</w:t>
      </w:r>
      <w:r w:rsidR="001A4831">
        <w:rPr>
          <w:rFonts w:eastAsia="Times New Roman" w:cs="Times New Roman"/>
          <w:bCs/>
          <w:vertAlign w:val="superscript"/>
        </w:rPr>
        <w:t>–</w:t>
      </w:r>
      <w:r w:rsidR="008C6A01" w:rsidRPr="007A77B2">
        <w:rPr>
          <w:rFonts w:eastAsia="Times New Roman" w:cs="Times New Roman"/>
          <w:bCs/>
          <w:vertAlign w:val="superscript"/>
        </w:rPr>
        <w:t>1</w:t>
      </w:r>
      <w:r w:rsidR="008C6A01">
        <w:rPr>
          <w:rFonts w:eastAsia="Times New Roman" w:cs="Times New Roman"/>
          <w:bCs/>
        </w:rPr>
        <w:t xml:space="preserve">), </w:t>
      </w:r>
      <w:r w:rsidR="008C6A01" w:rsidRPr="007A77B2">
        <w:rPr>
          <w:rFonts w:eastAsia="Times New Roman" w:cs="Times New Roman"/>
          <w:bCs/>
          <w:i/>
        </w:rPr>
        <w:t>R</w:t>
      </w:r>
      <w:r w:rsidR="008C6A01" w:rsidRPr="007A77B2">
        <w:rPr>
          <w:rFonts w:eastAsia="Times New Roman" w:cs="Times New Roman"/>
          <w:bCs/>
          <w:i/>
          <w:vertAlign w:val="subscript"/>
        </w:rPr>
        <w:t>n</w:t>
      </w:r>
      <w:r w:rsidR="008C6A01">
        <w:rPr>
          <w:rFonts w:eastAsia="Times New Roman" w:cs="Times New Roman"/>
          <w:bCs/>
        </w:rPr>
        <w:t xml:space="preserve"> is net radiation (W m</w:t>
      </w:r>
      <w:r w:rsidR="001A4831">
        <w:rPr>
          <w:rFonts w:eastAsia="Times New Roman" w:cs="Times New Roman"/>
          <w:bCs/>
          <w:vertAlign w:val="superscript"/>
        </w:rPr>
        <w:t>–</w:t>
      </w:r>
      <w:r w:rsidR="008C6A01" w:rsidRPr="007A77B2">
        <w:rPr>
          <w:rFonts w:eastAsia="Times New Roman" w:cs="Times New Roman"/>
          <w:bCs/>
          <w:vertAlign w:val="superscript"/>
        </w:rPr>
        <w:t>2</w:t>
      </w:r>
      <w:r w:rsidR="008C6A01">
        <w:rPr>
          <w:rFonts w:eastAsia="Times New Roman" w:cs="Times New Roman"/>
          <w:bCs/>
        </w:rPr>
        <w:t xml:space="preserve">), </w:t>
      </w:r>
      <w:r w:rsidR="008C6A01" w:rsidRPr="007A77B2">
        <w:rPr>
          <w:rFonts w:eastAsia="Times New Roman" w:cs="Times New Roman"/>
          <w:bCs/>
          <w:i/>
        </w:rPr>
        <w:t>G</w:t>
      </w:r>
      <w:r w:rsidR="008C6A01">
        <w:rPr>
          <w:rFonts w:eastAsia="Times New Roman" w:cs="Times New Roman"/>
          <w:bCs/>
        </w:rPr>
        <w:t xml:space="preserve"> is the ground heat flux (W m</w:t>
      </w:r>
      <w:r w:rsidR="008C6A01" w:rsidRPr="007A77B2">
        <w:rPr>
          <w:rFonts w:eastAsia="Times New Roman" w:cs="Times New Roman"/>
          <w:bCs/>
          <w:vertAlign w:val="superscript"/>
        </w:rPr>
        <w:t>-2</w:t>
      </w:r>
      <w:r w:rsidR="008C6A01">
        <w:rPr>
          <w:rFonts w:eastAsia="Times New Roman" w:cs="Times New Roman"/>
          <w:bCs/>
        </w:rPr>
        <w:t>), LE is the latent heat flux (W m</w:t>
      </w:r>
      <w:r w:rsidR="008C6A01" w:rsidRPr="007A77B2">
        <w:rPr>
          <w:rFonts w:eastAsia="Times New Roman" w:cs="Times New Roman"/>
          <w:bCs/>
          <w:vertAlign w:val="superscript"/>
        </w:rPr>
        <w:t>-2</w:t>
      </w:r>
      <w:r w:rsidR="008C6A01">
        <w:rPr>
          <w:rFonts w:eastAsia="Times New Roman" w:cs="Times New Roman"/>
          <w:bCs/>
        </w:rPr>
        <w:t xml:space="preserve">), </w:t>
      </w:r>
      <w:r w:rsidR="008C6A01" w:rsidRPr="007A77B2">
        <w:rPr>
          <w:bCs/>
          <w:i/>
          <w:lang w:val="en-GB"/>
        </w:rPr>
        <w:t>s</w:t>
      </w:r>
      <w:r w:rsidR="008C6A01" w:rsidRPr="008C6A01">
        <w:rPr>
          <w:bCs/>
          <w:lang w:val="en-GB"/>
        </w:rPr>
        <w:t xml:space="preserve"> is the slope of the saturated vapo</w:t>
      </w:r>
      <w:r w:rsidR="001A4831">
        <w:rPr>
          <w:bCs/>
          <w:lang w:val="en-GB"/>
        </w:rPr>
        <w:t>u</w:t>
      </w:r>
      <w:r w:rsidR="008C6A01" w:rsidRPr="008C6A01">
        <w:rPr>
          <w:bCs/>
          <w:lang w:val="en-GB"/>
        </w:rPr>
        <w:t>r pressure with air temperature (Pa</w:t>
      </w:r>
      <w:r w:rsidR="008C6A01">
        <w:rPr>
          <w:bCs/>
          <w:lang w:val="en-GB"/>
        </w:rPr>
        <w:t xml:space="preserve"> </w:t>
      </w:r>
      <w:r w:rsidR="008C6A01" w:rsidRPr="008C6A01">
        <w:rPr>
          <w:bCs/>
          <w:lang w:val="en-GB"/>
        </w:rPr>
        <w:t>K</w:t>
      </w:r>
      <w:r w:rsidR="001A4831">
        <w:rPr>
          <w:bCs/>
          <w:vertAlign w:val="superscript"/>
          <w:lang w:val="en-GB"/>
        </w:rPr>
        <w:t>–</w:t>
      </w:r>
      <w:r w:rsidR="008C6A01" w:rsidRPr="007A77B2">
        <w:rPr>
          <w:bCs/>
          <w:vertAlign w:val="superscript"/>
          <w:lang w:val="en-GB"/>
        </w:rPr>
        <w:t>1</w:t>
      </w:r>
      <w:r w:rsidR="008C6A01" w:rsidRPr="008C6A01">
        <w:rPr>
          <w:bCs/>
          <w:lang w:val="en-GB"/>
        </w:rPr>
        <w:t xml:space="preserve">), </w:t>
      </w:r>
      <w:r w:rsidR="008C6A01" w:rsidRPr="007A77B2">
        <w:rPr>
          <w:bCs/>
          <w:i/>
          <w:lang w:val="en-GB"/>
        </w:rPr>
        <w:t>ρ</w:t>
      </w:r>
      <w:r w:rsidR="008C6A01" w:rsidRPr="008C6A01">
        <w:rPr>
          <w:bCs/>
          <w:lang w:val="en-GB"/>
        </w:rPr>
        <w:t xml:space="preserve"> is the density</w:t>
      </w:r>
      <w:r w:rsidR="001A4831">
        <w:rPr>
          <w:bCs/>
          <w:lang w:val="en-GB"/>
        </w:rPr>
        <w:t xml:space="preserve"> of air</w:t>
      </w:r>
      <w:r w:rsidR="008C6A01" w:rsidRPr="008C6A01">
        <w:rPr>
          <w:bCs/>
          <w:lang w:val="en-GB"/>
        </w:rPr>
        <w:t xml:space="preserve"> (kg</w:t>
      </w:r>
      <w:r w:rsidR="008C6A01">
        <w:rPr>
          <w:bCs/>
          <w:lang w:val="en-GB"/>
        </w:rPr>
        <w:t xml:space="preserve"> </w:t>
      </w:r>
      <w:r w:rsidR="008C6A01" w:rsidRPr="008C6A01">
        <w:rPr>
          <w:bCs/>
          <w:lang w:val="en-GB"/>
        </w:rPr>
        <w:t>m</w:t>
      </w:r>
      <w:r w:rsidR="001A4831">
        <w:rPr>
          <w:bCs/>
          <w:vertAlign w:val="superscript"/>
          <w:lang w:val="en-GB"/>
        </w:rPr>
        <w:t>–</w:t>
      </w:r>
      <w:r w:rsidR="008C6A01" w:rsidRPr="007A77B2">
        <w:rPr>
          <w:bCs/>
          <w:vertAlign w:val="superscript"/>
          <w:lang w:val="en-GB"/>
        </w:rPr>
        <w:t>3</w:t>
      </w:r>
      <w:r w:rsidR="008C6A01" w:rsidRPr="008C6A01">
        <w:rPr>
          <w:bCs/>
          <w:lang w:val="en-GB"/>
        </w:rPr>
        <w:t xml:space="preserve">), </w:t>
      </w:r>
      <w:r w:rsidR="00B455DF">
        <w:rPr>
          <w:bCs/>
          <w:i/>
          <w:lang w:val="en-GB"/>
        </w:rPr>
        <w:t>c</w:t>
      </w:r>
      <w:r w:rsidR="008C6A01" w:rsidRPr="007A77B2">
        <w:rPr>
          <w:bCs/>
          <w:i/>
          <w:vertAlign w:val="subscript"/>
          <w:lang w:val="en-GB"/>
        </w:rPr>
        <w:t>p</w:t>
      </w:r>
      <w:r w:rsidR="008C6A01" w:rsidRPr="007A77B2">
        <w:rPr>
          <w:bCs/>
          <w:i/>
          <w:lang w:val="en-GB"/>
        </w:rPr>
        <w:t xml:space="preserve"> </w:t>
      </w:r>
      <w:r w:rsidR="008C6A01" w:rsidRPr="008C6A01">
        <w:rPr>
          <w:bCs/>
          <w:lang w:val="en-GB"/>
        </w:rPr>
        <w:t xml:space="preserve">is the specific heat of air </w:t>
      </w:r>
      <w:r w:rsidR="0001640C">
        <w:rPr>
          <w:bCs/>
          <w:lang w:val="en-GB"/>
        </w:rPr>
        <w:br/>
      </w:r>
      <w:r w:rsidR="008C6A01" w:rsidRPr="008C6A01">
        <w:rPr>
          <w:bCs/>
          <w:lang w:val="en-GB"/>
        </w:rPr>
        <w:t>(J</w:t>
      </w:r>
      <w:r w:rsidR="008C6A01">
        <w:rPr>
          <w:bCs/>
          <w:lang w:val="en-GB"/>
        </w:rPr>
        <w:t xml:space="preserve"> </w:t>
      </w:r>
      <w:r w:rsidR="008C6A01" w:rsidRPr="008C6A01">
        <w:rPr>
          <w:bCs/>
          <w:lang w:val="en-GB"/>
        </w:rPr>
        <w:t>kg</w:t>
      </w:r>
      <w:r w:rsidR="001A4831">
        <w:rPr>
          <w:bCs/>
          <w:vertAlign w:val="superscript"/>
          <w:lang w:val="en-GB"/>
        </w:rPr>
        <w:t>–</w:t>
      </w:r>
      <w:r w:rsidR="008C6A01" w:rsidRPr="007A77B2">
        <w:rPr>
          <w:bCs/>
          <w:vertAlign w:val="superscript"/>
          <w:lang w:val="en-GB"/>
        </w:rPr>
        <w:t>1</w:t>
      </w:r>
      <w:r w:rsidR="008C6A01">
        <w:rPr>
          <w:bCs/>
          <w:lang w:val="en-GB"/>
        </w:rPr>
        <w:t xml:space="preserve"> </w:t>
      </w:r>
      <w:r w:rsidR="008C6A01" w:rsidRPr="008C6A01">
        <w:rPr>
          <w:bCs/>
          <w:lang w:val="en-GB"/>
        </w:rPr>
        <w:t>K</w:t>
      </w:r>
      <w:r w:rsidR="001A4831">
        <w:rPr>
          <w:bCs/>
          <w:vertAlign w:val="superscript"/>
          <w:lang w:val="en-GB"/>
        </w:rPr>
        <w:t>–</w:t>
      </w:r>
      <w:r w:rsidR="008C6A01" w:rsidRPr="007A77B2">
        <w:rPr>
          <w:bCs/>
          <w:vertAlign w:val="superscript"/>
          <w:lang w:val="en-GB"/>
        </w:rPr>
        <w:t>1</w:t>
      </w:r>
      <w:r w:rsidR="008C6A01" w:rsidRPr="008C6A01">
        <w:rPr>
          <w:bCs/>
          <w:lang w:val="en-GB"/>
        </w:rPr>
        <w:t xml:space="preserve">), </w:t>
      </w:r>
      <w:r w:rsidR="00B957CA">
        <w:rPr>
          <w:bCs/>
          <w:lang w:val="en-GB"/>
        </w:rPr>
        <w:t>and</w:t>
      </w:r>
      <w:r w:rsidR="008C6A01" w:rsidRPr="008C6A01">
        <w:rPr>
          <w:bCs/>
          <w:lang w:val="en-GB"/>
        </w:rPr>
        <w:t xml:space="preserve"> </w:t>
      </w:r>
      <w:r w:rsidR="008C6A01" w:rsidRPr="007A77B2">
        <w:rPr>
          <w:bCs/>
          <w:i/>
          <w:lang w:val="en-GB"/>
        </w:rPr>
        <w:t>γ</w:t>
      </w:r>
      <w:r w:rsidR="008C6A01" w:rsidRPr="008C6A01">
        <w:rPr>
          <w:bCs/>
          <w:lang w:val="en-GB"/>
        </w:rPr>
        <w:t xml:space="preserve"> is the psychrometric constant </w:t>
      </w:r>
      <w:r w:rsidR="008C6A01">
        <w:rPr>
          <w:bCs/>
          <w:lang w:val="en-GB"/>
        </w:rPr>
        <w:t>(Pa K</w:t>
      </w:r>
      <w:r w:rsidR="001A4831">
        <w:rPr>
          <w:bCs/>
          <w:vertAlign w:val="superscript"/>
          <w:lang w:val="en-GB"/>
        </w:rPr>
        <w:t>–</w:t>
      </w:r>
      <w:r w:rsidR="008C6A01" w:rsidRPr="007A77B2">
        <w:rPr>
          <w:bCs/>
          <w:vertAlign w:val="superscript"/>
          <w:lang w:val="en-GB"/>
        </w:rPr>
        <w:t>1</w:t>
      </w:r>
      <w:r w:rsidR="008C6A01">
        <w:rPr>
          <w:bCs/>
          <w:lang w:val="en-GB"/>
        </w:rPr>
        <w:t>).</w:t>
      </w:r>
    </w:p>
    <w:p w14:paraId="598B4F1B" w14:textId="5F15518B" w:rsidR="00952542" w:rsidRPr="007A77B2" w:rsidRDefault="008E22F7" w:rsidP="00F13206">
      <w:pPr>
        <w:pStyle w:val="Body"/>
        <w:spacing w:before="240" w:line="360" w:lineRule="auto"/>
        <w:jc w:val="both"/>
        <w:rPr>
          <w:rFonts w:cs="Times New Roman"/>
        </w:rPr>
      </w:pPr>
      <w:r>
        <w:rPr>
          <w:rFonts w:eastAsia="Times New Roman" w:cs="Times New Roman"/>
          <w:bCs/>
        </w:rPr>
        <w:t>A</w:t>
      </w:r>
      <w:r w:rsidR="00725D2A" w:rsidRPr="00BD2160">
        <w:rPr>
          <w:rFonts w:eastAsia="Times New Roman" w:cs="Times New Roman"/>
          <w:bCs/>
        </w:rPr>
        <w:t xml:space="preserve">s </w:t>
      </w:r>
      <w:r w:rsidR="00725D2A" w:rsidRPr="00BD2160">
        <w:rPr>
          <w:rFonts w:eastAsia="Times New Roman" w:cs="Times New Roman"/>
          <w:bCs/>
          <w:i/>
        </w:rPr>
        <w:t>G</w:t>
      </w:r>
      <w:r w:rsidR="00725D2A" w:rsidRPr="00BD2160">
        <w:rPr>
          <w:rFonts w:eastAsia="Times New Roman" w:cs="Times New Roman"/>
          <w:bCs/>
          <w:vertAlign w:val="subscript"/>
        </w:rPr>
        <w:t>s</w:t>
      </w:r>
      <w:r w:rsidR="00725D2A" w:rsidRPr="00BD2160">
        <w:rPr>
          <w:rFonts w:eastAsia="Times New Roman" w:cs="Times New Roman"/>
          <w:bCs/>
        </w:rPr>
        <w:t xml:space="preserve"> can only be estimated indirectly, the </w:t>
      </w:r>
      <w:r w:rsidR="001A4831">
        <w:rPr>
          <w:rFonts w:eastAsia="Times New Roman" w:cs="Times New Roman"/>
          <w:bCs/>
        </w:rPr>
        <w:t xml:space="preserve">alternative </w:t>
      </w:r>
      <w:r w:rsidR="00725D2A" w:rsidRPr="00BD2160">
        <w:rPr>
          <w:rFonts w:eastAsia="Times New Roman" w:cs="Times New Roman"/>
          <w:bCs/>
        </w:rPr>
        <w:t xml:space="preserve">‘inherent’ </w:t>
      </w:r>
      <w:r w:rsidR="008516E0">
        <w:rPr>
          <w:rFonts w:eastAsia="Times New Roman" w:cs="Times New Roman"/>
          <w:bCs/>
        </w:rPr>
        <w:t xml:space="preserve">ecosystem </w:t>
      </w:r>
      <w:r w:rsidR="00F5208B">
        <w:rPr>
          <w:rFonts w:eastAsia="Times New Roman" w:cs="Times New Roman"/>
          <w:bCs/>
        </w:rPr>
        <w:t xml:space="preserve">WUE, </w:t>
      </w:r>
      <w:r w:rsidR="001A4831">
        <w:rPr>
          <w:rFonts w:eastAsia="Times New Roman" w:cs="Times New Roman"/>
          <w:bCs/>
        </w:rPr>
        <w:t>or</w:t>
      </w:r>
      <w:r w:rsidR="00725D2A" w:rsidRPr="00BD2160">
        <w:rPr>
          <w:rFonts w:eastAsia="Times New Roman" w:cs="Times New Roman"/>
          <w:bCs/>
        </w:rPr>
        <w:t xml:space="preserve"> I</w:t>
      </w:r>
      <w:r w:rsidR="001E6E92" w:rsidRPr="00E06D36">
        <w:rPr>
          <w:rFonts w:eastAsia="Times New Roman" w:cs="Times New Roman"/>
          <w:bCs/>
        </w:rPr>
        <w:t>WUE</w:t>
      </w:r>
      <w:r w:rsidR="001E6E92">
        <w:rPr>
          <w:rFonts w:eastAsia="Times New Roman" w:cs="Times New Roman"/>
          <w:bCs/>
          <w:vertAlign w:val="superscript"/>
        </w:rPr>
        <w:t>eco</w:t>
      </w:r>
      <w:r w:rsidR="00725D2A" w:rsidRPr="00BD2160">
        <w:rPr>
          <w:rFonts w:eastAsia="Times New Roman" w:cs="Times New Roman"/>
          <w:bCs/>
        </w:rPr>
        <w:t xml:space="preserve">, has been </w:t>
      </w:r>
      <w:r w:rsidR="006D6E52">
        <w:rPr>
          <w:rFonts w:eastAsia="Times New Roman" w:cs="Times New Roman"/>
          <w:bCs/>
        </w:rPr>
        <w:t>propos</w:t>
      </w:r>
      <w:r w:rsidR="00725D2A" w:rsidRPr="00BD2160">
        <w:rPr>
          <w:rFonts w:eastAsia="Times New Roman" w:cs="Times New Roman"/>
          <w:bCs/>
        </w:rPr>
        <w:t>ed</w:t>
      </w:r>
      <w:r w:rsidR="00952542">
        <w:rPr>
          <w:rFonts w:eastAsia="Times New Roman" w:cs="Times New Roman"/>
          <w:bCs/>
        </w:rPr>
        <w:t xml:space="preserve"> following </w:t>
      </w:r>
      <w:r w:rsidR="002658E3">
        <w:rPr>
          <w:rFonts w:eastAsia="Times New Roman" w:cs="Times New Roman"/>
          <w:bCs/>
        </w:rPr>
        <w:fldChar w:fldCharType="begin" w:fldLock="1"/>
      </w:r>
      <w:r w:rsidR="004434E2">
        <w:rPr>
          <w:rFonts w:eastAsia="Times New Roman" w:cs="Times New Roman"/>
          <w:bCs/>
        </w:rPr>
        <w:instrText>ADDIN CSL_CITATION {"citationItems":[{"id":"ITEM-1","itemData":{"DOI":"10.1029/2008GB003233","ISBN":"0886-6236","ISSN":"08866236","abstract":"Half-hourly measurements of the net exchanges of carbon dioxide and water vapor between terrestrial ecosystems and the atmosphere provide estimates of gross primary production (GPP) and evapotranspiration (ET) at the ecosystem level and on daily to annual timescales. The ratio of these quantities represents ecosystem water use efficiency. Its multiplication with mean daylight vapor pressure deficit (VPD) leads to a quantity which we call \"inherent water use efficiency\" (IWUE*). The dependence of IWUE* on environmental conditions indicates possible adaptive adjustment of ecosystem physiology in response to a changing environment. IWUE* is analyzed for 43 sites across a range of plant functional types and climatic conditions. IWUE* increases during short-term moderate drought conditions. Mean annual IWUE* varied by a factor of 3 among all sites. This is partly explained by soil moisture at field capacity, particularly in deciduous broad-leaved forests. Canopy light interception sets the upper limits to canopy photosynthesis, and explains half the variance in annual IWUE* among herbaceous ecosystems and evergreen needle-leaved forests. Knowledge of IWUE* offers valuable improvement to the representation of carbon and water coupling in ecosystem process models.","author":[{"dropping-particle":"","family":"Beer","given":"C.","non-dropping-particle":"","parse-names":false,"suffix":""},{"dropping-particle":"","family":"Ciais","given":"P.","non-dropping-particle":"","parse-names":false,"suffix":""},{"dropping-particle":"","family":"Reichstein","given":"M.","non-dropping-particle":"","parse-names":false,"suffix":""},{"dropping-particle":"","family":"Baldocchi","given":"D.","non-dropping-particle":"","parse-names":false,"suffix":""},{"dropping-particle":"","family":"Law","given":"B. E.","non-dropping-particle":"","parse-names":false,"suffix":""},{"dropping-particle":"","family":"Papale","given":"D.","non-dropping-particle":"","parse-names":false,"suffix":""},{"dropping-particle":"","family":"Soussana","given":"J.-F.","non-dropping-particle":"","parse-names":false,"suffix":""},{"dropping-particle":"","family":"Ammann","given":"C.","non-dropping-particle":"","parse-names":false,"suffix":""},{"dropping-particle":"","family":"Buchmann","given":"N.","non-dropping-particle":"","parse-names":false,"suffix":""},{"dropping-particle":"","family":"Frank","given":"D.","non-dropping-particle":"","parse-names":false,"suffix":""},{"dropping-particle":"","family":"Gianelle","given":"D.","non-dropping-particle":"","parse-names":false,"suffix":""},{"dropping-particle":"","family":"Janssens","given":"I. a.","non-dropping-particle":"","parse-names":false,"suffix":""},{"dropping-particle":"","family":"Knohl","given":"A.","non-dropping-particle":"","parse-names":false,"suffix":""},{"dropping-particle":"","family":"Köstner","given":"B.","non-dropping-particle":"","parse-names":false,"suffix":""},{"dropping-particle":"","family":"Moors","given":"E.","non-dropping-particle":"","parse-names":false,"suffix":""},{"dropping-particle":"","family":"Roupsard","given":"O.","non-dropping-particle":"","parse-names":false,"suffix":""},{"dropping-particle":"","family":"Verbeeck","given":"H.","non-dropping-particle":"","parse-names":false,"suffix":""},{"dropping-particle":"","family":"Vesala","given":"T.","non-dropping-particle":"","parse-names":false,"suffix":""},{"dropping-particle":"","family":"Williams","given":"C. A.","non-dropping-particle":"","parse-names":false,"suffix":""},{"dropping-particle":"","family":"Wohlfahrt","given":"G.","non-dropping-particle":"","parse-names":false,"suffix":""}],"container-title":"Global Biogeochemical Cycles","id":"ITEM-1","issue":"2","issued":{"date-parts":[["2009","6","11"]]},"page":"GB2018","title":"Temporal and among-site variability of inherent water use efficiency at the ecosystem level","type":"article-journal","volume":"23"},"uris":["http://www.mendeley.com/documents/?uuid=a69ed8c8-d7c5-4874-ad18-cf8337e73b7b"]}],"mendeley":{"formattedCitation":"(Beer et al., 2009)","manualFormatting":"Beer et al. (2009)","plainTextFormattedCitation":"(Beer et al., 2009)","previouslyFormattedCitation":"(Beer et al., 2009)"},"properties":{"noteIndex":0},"schema":"https://github.com/citation-style-language/schema/raw/master/csl-citation.json"}</w:instrText>
      </w:r>
      <w:r w:rsidR="002658E3">
        <w:rPr>
          <w:rFonts w:eastAsia="Times New Roman" w:cs="Times New Roman"/>
          <w:bCs/>
        </w:rPr>
        <w:fldChar w:fldCharType="separate"/>
      </w:r>
      <w:r w:rsidR="002658E3" w:rsidRPr="002658E3">
        <w:rPr>
          <w:rFonts w:eastAsia="Times New Roman" w:cs="Times New Roman"/>
          <w:bCs/>
          <w:noProof/>
        </w:rPr>
        <w:t xml:space="preserve">Beer et al. </w:t>
      </w:r>
      <w:r w:rsidR="001A4831">
        <w:rPr>
          <w:rFonts w:eastAsia="Times New Roman" w:cs="Times New Roman"/>
          <w:bCs/>
          <w:noProof/>
        </w:rPr>
        <w:t>(</w:t>
      </w:r>
      <w:r w:rsidR="002658E3" w:rsidRPr="002658E3">
        <w:rPr>
          <w:rFonts w:eastAsia="Times New Roman" w:cs="Times New Roman"/>
          <w:bCs/>
          <w:noProof/>
        </w:rPr>
        <w:t>2009)</w:t>
      </w:r>
      <w:r w:rsidR="002658E3">
        <w:rPr>
          <w:rFonts w:eastAsia="Times New Roman" w:cs="Times New Roman"/>
          <w:bCs/>
        </w:rPr>
        <w:fldChar w:fldCharType="end"/>
      </w:r>
      <w:r w:rsidR="0021182A">
        <w:rPr>
          <w:rFonts w:eastAsia="Times New Roman" w:cs="Times New Roman"/>
          <w:bCs/>
        </w:rPr>
        <w:t xml:space="preserve">, </w:t>
      </w:r>
      <w:r w:rsidR="00495450">
        <w:rPr>
          <w:rFonts w:eastAsia="Times New Roman" w:cs="Times New Roman"/>
          <w:bCs/>
        </w:rPr>
        <w:t xml:space="preserve">assuming equal temperatures of leaf and atmosphere and </w:t>
      </w:r>
      <w:r w:rsidR="00EC6914">
        <w:rPr>
          <w:rFonts w:eastAsia="Times New Roman" w:cs="Times New Roman"/>
          <w:bCs/>
        </w:rPr>
        <w:t>full</w:t>
      </w:r>
      <w:r w:rsidR="00495450">
        <w:rPr>
          <w:rFonts w:eastAsia="Times New Roman" w:cs="Times New Roman"/>
          <w:bCs/>
        </w:rPr>
        <w:t xml:space="preserve"> atmosphere-canopy </w:t>
      </w:r>
      <w:r w:rsidR="00E84C7B">
        <w:rPr>
          <w:rFonts w:eastAsia="Times New Roman" w:cs="Times New Roman"/>
          <w:bCs/>
        </w:rPr>
        <w:t>coupl</w:t>
      </w:r>
      <w:r w:rsidR="001A4831">
        <w:rPr>
          <w:rFonts w:eastAsia="Times New Roman" w:cs="Times New Roman"/>
          <w:bCs/>
        </w:rPr>
        <w:t>ing</w:t>
      </w:r>
      <w:r w:rsidR="00495450">
        <w:rPr>
          <w:rFonts w:eastAsia="Times New Roman" w:cs="Times New Roman"/>
          <w:bCs/>
        </w:rPr>
        <w:t xml:space="preserve"> (</w:t>
      </w:r>
      <w:r w:rsidR="00E84C7B">
        <w:rPr>
          <w:rFonts w:eastAsia="Times New Roman" w:cs="Times New Roman"/>
          <w:bCs/>
        </w:rPr>
        <w:t xml:space="preserve">i.e. infinite </w:t>
      </w:r>
      <w:r w:rsidR="00E84C7B" w:rsidRPr="008502AE">
        <w:rPr>
          <w:rFonts w:eastAsia="Times New Roman" w:cs="Times New Roman"/>
          <w:bCs/>
          <w:i/>
        </w:rPr>
        <w:t>G</w:t>
      </w:r>
      <w:r w:rsidR="00E84C7B">
        <w:rPr>
          <w:rFonts w:eastAsia="Times New Roman" w:cs="Times New Roman"/>
          <w:bCs/>
          <w:vertAlign w:val="subscript"/>
        </w:rPr>
        <w:t>a</w:t>
      </w:r>
      <w:r w:rsidR="00E84C7B">
        <w:rPr>
          <w:rFonts w:eastAsia="Times New Roman" w:cs="Times New Roman"/>
          <w:bCs/>
          <w:i/>
        </w:rPr>
        <w:t xml:space="preserve">; </w:t>
      </w:r>
      <w:r w:rsidR="005E1C79">
        <w:rPr>
          <w:rFonts w:eastAsia="Times New Roman" w:cs="Times New Roman"/>
          <w:bCs/>
        </w:rPr>
        <w:fldChar w:fldCharType="begin" w:fldLock="1"/>
      </w:r>
      <w:r w:rsidR="00760E9D">
        <w:rPr>
          <w:rFonts w:eastAsia="Times New Roman" w:cs="Times New Roman"/>
          <w:bCs/>
        </w:rPr>
        <w:instrText>ADDIN CSL_CITATION {"citationItems":[{"id":"ITEM-1","itemData":{"DOI":"https://doi.org/10.1029/ WR009i006p01579","author":[{"dropping-particle":"","family":"McNaughton","given":"K","non-dropping-particle":"","parse-names":false,"suffix":""},{"dropping-particle":"","family":"Black","given":"TA.","non-dropping-particle":"","parse-names":false,"suffix":""}],"container-title":"Water Resources Research","id":"ITEM-1","issue":"6","issued":{"date-parts":[["1973"]]},"page":"1579–1590","title":"A study of evapotranspiration from a Douglas fir forest using the energy balance approach","type":"article-journal","volume":"9"},"uris":["http://www.mendeley.com/documents/?uuid=cb80c784-3cc9-4258-a792-f587013443e3"]}],"mendeley":{"formattedCitation":"(McNaughton &amp; Black, 1973)","manualFormatting":"McNaughton &amp; Black, 1973)","plainTextFormattedCitation":"(McNaughton &amp; Black, 1973)","previouslyFormattedCitation":"(McNaughton &amp; Black, 1973)"},"properties":{"noteIndex":0},"schema":"https://github.com/citation-style-language/schema/raw/master/csl-citation.json"}</w:instrText>
      </w:r>
      <w:r w:rsidR="005E1C79">
        <w:rPr>
          <w:rFonts w:eastAsia="Times New Roman" w:cs="Times New Roman"/>
          <w:bCs/>
        </w:rPr>
        <w:fldChar w:fldCharType="separate"/>
      </w:r>
      <w:r w:rsidR="005E1C79" w:rsidRPr="005E1C79">
        <w:rPr>
          <w:rFonts w:eastAsia="Times New Roman" w:cs="Times New Roman"/>
          <w:bCs/>
          <w:noProof/>
        </w:rPr>
        <w:t>McNaughton &amp; Black, 1973)</w:t>
      </w:r>
      <w:r w:rsidR="005E1C79">
        <w:rPr>
          <w:rFonts w:eastAsia="Times New Roman" w:cs="Times New Roman"/>
          <w:bCs/>
        </w:rPr>
        <w:fldChar w:fldCharType="end"/>
      </w:r>
      <w:r w:rsidR="00952542">
        <w:rPr>
          <w:rFonts w:eastAsia="Times New Roman" w:cs="Times New Roman"/>
          <w:bCs/>
        </w:rPr>
        <w:t>:</w:t>
      </w:r>
    </w:p>
    <w:p w14:paraId="4130DEE7" w14:textId="63DF67FB" w:rsidR="00952542" w:rsidRDefault="00E31184" w:rsidP="00D10B4D">
      <w:pPr>
        <w:pStyle w:val="Body"/>
        <w:spacing w:before="240" w:line="360" w:lineRule="auto"/>
        <w:ind w:firstLine="708"/>
        <w:jc w:val="both"/>
        <w:rPr>
          <w:rFonts w:eastAsia="Times New Roman" w:cs="Times New Roman"/>
          <w:bCs/>
        </w:rPr>
      </w:pPr>
      <m:oMath>
        <m:sSup>
          <m:sSupPr>
            <m:ctrlPr>
              <w:rPr>
                <w:rFonts w:ascii="Cambria Math" w:hAnsi="Cambria Math" w:cs="Times New Roman"/>
              </w:rPr>
            </m:ctrlPr>
          </m:sSupPr>
          <m:e>
            <m:r>
              <m:rPr>
                <m:sty m:val="p"/>
              </m:rPr>
              <w:rPr>
                <w:rFonts w:ascii="Cambria Math" w:hAnsi="Cambria Math" w:cs="Times New Roman"/>
              </w:rPr>
              <m:t>IWUE</m:t>
            </m:r>
          </m:e>
          <m:sup>
            <m:r>
              <m:rPr>
                <m:sty m:val="p"/>
              </m:rPr>
              <w:rPr>
                <w:rFonts w:ascii="Cambria Math" w:hAnsi="Cambria Math" w:cs="Times New Roman"/>
              </w:rPr>
              <m:t>eco</m:t>
            </m:r>
          </m:sup>
        </m:sSup>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GPP</m:t>
            </m:r>
          </m:num>
          <m:den>
            <m:r>
              <w:rPr>
                <w:rFonts w:ascii="Cambria Math" w:hAnsi="Cambria Math" w:cs="Times New Roman"/>
              </w:rPr>
              <m:t>ET</m:t>
            </m:r>
          </m:den>
        </m:f>
        <m:r>
          <w:rPr>
            <w:rFonts w:ascii="Cambria Math" w:hAnsi="Cambria Math" w:cs="Times New Roman"/>
          </w:rPr>
          <m:t>∙</m:t>
        </m:r>
        <m:f>
          <m:fPr>
            <m:ctrlPr>
              <w:rPr>
                <w:rFonts w:ascii="Cambria Math" w:hAnsi="Cambria Math" w:cs="Times New Roman"/>
                <w:i/>
              </w:rPr>
            </m:ctrlPr>
          </m:fPr>
          <m:num>
            <m:r>
              <w:rPr>
                <w:rFonts w:ascii="Cambria Math" w:hAnsi="Cambria Math" w:cs="Times New Roman"/>
              </w:rPr>
              <m:t>VPD</m:t>
            </m:r>
          </m:num>
          <m:den>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atm</m:t>
                </m:r>
              </m:sub>
            </m:sSub>
          </m:den>
        </m:f>
      </m:oMath>
      <w:r w:rsidR="00952542" w:rsidRPr="00BD2160">
        <w:rPr>
          <w:rFonts w:cs="Times New Roman"/>
          <w:color w:val="000000" w:themeColor="text1"/>
        </w:rPr>
        <w:tab/>
      </w:r>
      <w:r w:rsidR="00952542" w:rsidRPr="00BD2160">
        <w:rPr>
          <w:rFonts w:cs="Times New Roman"/>
        </w:rPr>
        <w:tab/>
      </w:r>
      <w:r w:rsidR="00952542" w:rsidRPr="00BD2160">
        <w:rPr>
          <w:rFonts w:cs="Times New Roman"/>
        </w:rPr>
        <w:tab/>
      </w:r>
      <w:r w:rsidR="00952542" w:rsidRPr="00BD2160">
        <w:rPr>
          <w:rFonts w:cs="Times New Roman"/>
        </w:rPr>
        <w:tab/>
      </w:r>
      <w:r w:rsidR="00952542" w:rsidRPr="00BD2160">
        <w:rPr>
          <w:rFonts w:cs="Times New Roman"/>
        </w:rPr>
        <w:tab/>
      </w:r>
      <w:r w:rsidR="00952542" w:rsidRPr="00BD2160">
        <w:rPr>
          <w:rFonts w:cs="Times New Roman"/>
        </w:rPr>
        <w:tab/>
      </w:r>
      <w:r w:rsidR="00952542" w:rsidRPr="00BD2160">
        <w:rPr>
          <w:rFonts w:cs="Times New Roman"/>
        </w:rPr>
        <w:tab/>
      </w:r>
      <w:r w:rsidR="00952542">
        <w:rPr>
          <w:rFonts w:cs="Times New Roman"/>
        </w:rPr>
        <w:tab/>
      </w:r>
      <w:r w:rsidR="00952542" w:rsidRPr="00BD2160">
        <w:rPr>
          <w:rFonts w:cs="Times New Roman"/>
        </w:rPr>
        <w:t>(</w:t>
      </w:r>
      <w:r w:rsidR="004F2D41">
        <w:rPr>
          <w:rFonts w:cs="Times New Roman"/>
        </w:rPr>
        <w:t>8</w:t>
      </w:r>
      <w:r w:rsidR="00952542" w:rsidRPr="00BD2160">
        <w:rPr>
          <w:rFonts w:cs="Times New Roman"/>
        </w:rPr>
        <w:t>)</w:t>
      </w:r>
    </w:p>
    <w:p w14:paraId="692B2575" w14:textId="2A1B3820" w:rsidR="00E70079" w:rsidRDefault="003B1CEE" w:rsidP="00D37E2B">
      <w:pPr>
        <w:pStyle w:val="Body"/>
        <w:spacing w:before="240" w:line="360" w:lineRule="auto"/>
        <w:jc w:val="both"/>
        <w:rPr>
          <w:rFonts w:cs="Times New Roman"/>
        </w:rPr>
      </w:pPr>
      <w:r>
        <w:rPr>
          <w:rFonts w:eastAsia="Times New Roman" w:cs="Times New Roman"/>
          <w:bCs/>
        </w:rPr>
        <w:t xml:space="preserve">where </w:t>
      </w:r>
      <w:r w:rsidRPr="004B594D">
        <w:rPr>
          <w:rFonts w:eastAsia="Times New Roman" w:cs="Times New Roman"/>
          <w:bCs/>
          <w:i/>
        </w:rPr>
        <w:t>P</w:t>
      </w:r>
      <w:r w:rsidRPr="004B594D">
        <w:rPr>
          <w:rFonts w:eastAsia="Times New Roman" w:cs="Times New Roman"/>
          <w:bCs/>
          <w:i/>
          <w:vertAlign w:val="subscript"/>
        </w:rPr>
        <w:t>atm</w:t>
      </w:r>
      <w:r>
        <w:rPr>
          <w:rFonts w:eastAsia="Times New Roman" w:cs="Times New Roman"/>
          <w:bCs/>
        </w:rPr>
        <w:t xml:space="preserve"> is atmospheric pressure (Pa). </w:t>
      </w:r>
      <w:r w:rsidR="00725D2A" w:rsidRPr="00BD2160">
        <w:rPr>
          <w:rFonts w:eastAsia="Times New Roman" w:cs="Times New Roman"/>
          <w:bCs/>
        </w:rPr>
        <w:t xml:space="preserve">Note that the meteorological (above-canopy) </w:t>
      </w:r>
      <w:r w:rsidR="00817CE5">
        <w:rPr>
          <w:rFonts w:eastAsia="Times New Roman" w:cs="Times New Roman"/>
          <w:bCs/>
        </w:rPr>
        <w:t>vapour pressure deficit (</w:t>
      </w:r>
      <w:r w:rsidR="00725D2A" w:rsidRPr="00BD2160">
        <w:rPr>
          <w:rFonts w:eastAsia="Times New Roman" w:cs="Times New Roman"/>
          <w:bCs/>
        </w:rPr>
        <w:t>VPD</w:t>
      </w:r>
      <w:r w:rsidR="00817CE5">
        <w:rPr>
          <w:rFonts w:eastAsia="Times New Roman" w:cs="Times New Roman"/>
          <w:bCs/>
        </w:rPr>
        <w:t>)</w:t>
      </w:r>
      <w:r w:rsidR="00725D2A" w:rsidRPr="00BD2160">
        <w:rPr>
          <w:rFonts w:eastAsia="Times New Roman" w:cs="Times New Roman"/>
          <w:bCs/>
        </w:rPr>
        <w:t xml:space="preserve"> </w:t>
      </w:r>
      <w:r w:rsidR="001A4831">
        <w:rPr>
          <w:rFonts w:eastAsia="Times New Roman" w:cs="Times New Roman"/>
          <w:bCs/>
        </w:rPr>
        <w:t xml:space="preserve">in equation (8) </w:t>
      </w:r>
      <w:r w:rsidR="00725D2A" w:rsidRPr="00BD2160">
        <w:rPr>
          <w:rFonts w:eastAsia="Times New Roman" w:cs="Times New Roman"/>
          <w:bCs/>
        </w:rPr>
        <w:t>is not the same quantity as</w:t>
      </w:r>
      <w:r w:rsidR="001A4831">
        <w:rPr>
          <w:rFonts w:eastAsia="Times New Roman" w:cs="Times New Roman"/>
          <w:bCs/>
        </w:rPr>
        <w:t xml:space="preserve"> the</w:t>
      </w:r>
      <w:r w:rsidR="00725D2A" w:rsidRPr="00BD2160">
        <w:rPr>
          <w:rFonts w:eastAsia="Times New Roman" w:cs="Times New Roman"/>
          <w:bCs/>
        </w:rPr>
        <w:t xml:space="preserve"> </w:t>
      </w:r>
      <w:r w:rsidR="00725D2A" w:rsidRPr="000C08CF">
        <w:rPr>
          <w:rFonts w:eastAsia="Times New Roman" w:cs="Times New Roman"/>
          <w:bCs/>
          <w:i/>
        </w:rPr>
        <w:t>D</w:t>
      </w:r>
      <w:r w:rsidR="00725D2A" w:rsidRPr="00BD2160">
        <w:rPr>
          <w:rFonts w:eastAsia="Times New Roman" w:cs="Times New Roman"/>
          <w:bCs/>
        </w:rPr>
        <w:t xml:space="preserve"> that appears in equation</w:t>
      </w:r>
      <w:r w:rsidR="007A1551">
        <w:rPr>
          <w:rFonts w:eastAsia="Times New Roman" w:cs="Times New Roman"/>
          <w:bCs/>
        </w:rPr>
        <w:t xml:space="preserve"> </w:t>
      </w:r>
      <w:r w:rsidR="00DA0C53">
        <w:rPr>
          <w:rFonts w:eastAsia="Times New Roman" w:cs="Times New Roman"/>
          <w:bCs/>
        </w:rPr>
        <w:t>(</w:t>
      </w:r>
      <w:r w:rsidR="009709CC">
        <w:rPr>
          <w:rFonts w:eastAsia="Times New Roman" w:cs="Times New Roman"/>
          <w:bCs/>
        </w:rPr>
        <w:t>7</w:t>
      </w:r>
      <w:r w:rsidR="00DA0C53">
        <w:rPr>
          <w:rFonts w:eastAsia="Times New Roman" w:cs="Times New Roman"/>
          <w:bCs/>
        </w:rPr>
        <w:t>)</w:t>
      </w:r>
      <w:r w:rsidR="00725D2A" w:rsidRPr="00BD2160">
        <w:rPr>
          <w:rFonts w:eastAsia="Times New Roman" w:cs="Times New Roman"/>
          <w:bCs/>
        </w:rPr>
        <w:t>.</w:t>
      </w:r>
      <w:r w:rsidR="00725D2A" w:rsidRPr="00BD2160">
        <w:rPr>
          <w:rFonts w:cs="Times New Roman"/>
          <w:color w:val="000000" w:themeColor="text1"/>
        </w:rPr>
        <w:t xml:space="preserve"> </w:t>
      </w:r>
      <w:r w:rsidR="00732EEE">
        <w:rPr>
          <w:rFonts w:cs="Times New Roman"/>
        </w:rPr>
        <w:t>Nonetheless</w:t>
      </w:r>
      <w:r w:rsidR="009028F9" w:rsidRPr="00BD2160">
        <w:rPr>
          <w:rFonts w:cs="Times New Roman"/>
        </w:rPr>
        <w:t>, a</w:t>
      </w:r>
      <w:r w:rsidR="00AD5B57" w:rsidRPr="00BD2160">
        <w:rPr>
          <w:rFonts w:cs="Times New Roman"/>
        </w:rPr>
        <w:t xml:space="preserve">s GPP is the integrated value of </w:t>
      </w:r>
      <w:r w:rsidR="00AD5B57" w:rsidRPr="00BD2160">
        <w:rPr>
          <w:rFonts w:cs="Times New Roman"/>
          <w:i/>
        </w:rPr>
        <w:t>A</w:t>
      </w:r>
      <w:r w:rsidR="00AD5B57" w:rsidRPr="00BD2160">
        <w:rPr>
          <w:rFonts w:cs="Times New Roman"/>
        </w:rPr>
        <w:t xml:space="preserve"> over the whole canopy, and </w:t>
      </w:r>
      <w:r w:rsidR="00D76482">
        <w:rPr>
          <w:rFonts w:cs="Times New Roman"/>
        </w:rPr>
        <w:t xml:space="preserve">as </w:t>
      </w:r>
      <w:r w:rsidR="00AD5B57" w:rsidRPr="00BD2160">
        <w:rPr>
          <w:rFonts w:cs="Times New Roman"/>
        </w:rPr>
        <w:t xml:space="preserve">ET is </w:t>
      </w:r>
      <w:r w:rsidR="004B6E60">
        <w:rPr>
          <w:rFonts w:cs="Times New Roman"/>
        </w:rPr>
        <w:t xml:space="preserve">assumed to be </w:t>
      </w:r>
      <w:r w:rsidR="00AD5B57" w:rsidRPr="00BD2160">
        <w:rPr>
          <w:rFonts w:cs="Times New Roman"/>
        </w:rPr>
        <w:t xml:space="preserve">dominated by </w:t>
      </w:r>
      <w:r w:rsidR="004A7AA1">
        <w:rPr>
          <w:rFonts w:cs="Times New Roman"/>
          <w:i/>
        </w:rPr>
        <w:t>T</w:t>
      </w:r>
      <w:r w:rsidR="008B5A38" w:rsidRPr="007A77B2">
        <w:rPr>
          <w:i/>
          <w:vertAlign w:val="subscript"/>
        </w:rPr>
        <w:t>r</w:t>
      </w:r>
      <w:r w:rsidR="004A7AA1" w:rsidRPr="00BD2160">
        <w:rPr>
          <w:rFonts w:cs="Times New Roman"/>
        </w:rPr>
        <w:t xml:space="preserve"> </w:t>
      </w:r>
      <w:r w:rsidR="00AD5B57" w:rsidRPr="00BD2160">
        <w:rPr>
          <w:rFonts w:cs="Times New Roman"/>
        </w:rPr>
        <w:t>in all but the sparsest canopies</w:t>
      </w:r>
      <w:r w:rsidR="00012023">
        <w:rPr>
          <w:rFonts w:cs="Times New Roman"/>
        </w:rPr>
        <w:t xml:space="preserve"> </w:t>
      </w:r>
      <w:r w:rsidR="004E1AF4">
        <w:rPr>
          <w:rFonts w:cs="Times New Roman"/>
        </w:rPr>
        <w:t>(</w:t>
      </w:r>
      <w:r w:rsidR="002E1A2D" w:rsidRPr="00D40240">
        <w:rPr>
          <w:rFonts w:cs="Times New Roman"/>
          <w:i/>
        </w:rPr>
        <w:t>T</w:t>
      </w:r>
      <w:r w:rsidR="002E1A2D" w:rsidRPr="00D40240">
        <w:rPr>
          <w:rFonts w:cs="Times New Roman"/>
          <w:i/>
          <w:vertAlign w:val="subscript"/>
        </w:rPr>
        <w:t>r</w:t>
      </w:r>
      <w:r w:rsidR="002E1A2D">
        <w:rPr>
          <w:rFonts w:cs="Times New Roman"/>
        </w:rPr>
        <w:t xml:space="preserve"> &gt;&gt; </w:t>
      </w:r>
      <w:r w:rsidR="002E1A2D" w:rsidRPr="00D40240">
        <w:rPr>
          <w:rFonts w:cs="Times New Roman"/>
          <w:i/>
        </w:rPr>
        <w:t>I</w:t>
      </w:r>
      <w:r w:rsidR="002E1A2D" w:rsidRPr="00D40240">
        <w:rPr>
          <w:rFonts w:cs="Times New Roman"/>
          <w:i/>
          <w:vertAlign w:val="subscript"/>
        </w:rPr>
        <w:t>n</w:t>
      </w:r>
      <w:r w:rsidR="002E1A2D">
        <w:rPr>
          <w:rFonts w:cs="Times New Roman"/>
        </w:rPr>
        <w:t xml:space="preserve"> + </w:t>
      </w:r>
      <w:r w:rsidR="002E1A2D" w:rsidRPr="00D40240">
        <w:rPr>
          <w:rFonts w:cs="Times New Roman"/>
          <w:i/>
        </w:rPr>
        <w:t>E</w:t>
      </w:r>
      <w:r w:rsidR="002E1A2D" w:rsidRPr="00D40240">
        <w:rPr>
          <w:rFonts w:cs="Times New Roman"/>
          <w:i/>
          <w:vertAlign w:val="subscript"/>
        </w:rPr>
        <w:t>v</w:t>
      </w:r>
      <w:r w:rsidR="002E1A2D">
        <w:rPr>
          <w:rFonts w:cs="Times New Roman"/>
        </w:rPr>
        <w:t xml:space="preserve"> </w:t>
      </w:r>
      <w:r w:rsidR="004306BD">
        <w:rPr>
          <w:rFonts w:cs="Times New Roman"/>
        </w:rPr>
        <w:t xml:space="preserve">when </w:t>
      </w:r>
      <w:r w:rsidR="000E417A">
        <w:rPr>
          <w:rFonts w:cs="Times New Roman"/>
        </w:rPr>
        <w:t xml:space="preserve">1 to 2 </w:t>
      </w:r>
      <w:r w:rsidR="00012023">
        <w:rPr>
          <w:rFonts w:cs="Times New Roman"/>
        </w:rPr>
        <w:t xml:space="preserve">days after rains </w:t>
      </w:r>
      <w:r w:rsidR="00F46607">
        <w:rPr>
          <w:rFonts w:cs="Times New Roman"/>
        </w:rPr>
        <w:t xml:space="preserve">are ignored </w:t>
      </w:r>
      <w:r w:rsidR="00012023">
        <w:rPr>
          <w:rFonts w:cs="Times New Roman"/>
        </w:rPr>
        <w:t>to minimize the other con</w:t>
      </w:r>
      <w:r w:rsidR="0023748E">
        <w:rPr>
          <w:rFonts w:cs="Times New Roman"/>
        </w:rPr>
        <w:t>tributions to the total ET flux</w:t>
      </w:r>
      <w:r w:rsidR="004E1AF4">
        <w:rPr>
          <w:rFonts w:cs="Times New Roman"/>
        </w:rPr>
        <w:t>)</w:t>
      </w:r>
      <w:r w:rsidR="003F5784">
        <w:rPr>
          <w:rFonts w:cs="Times New Roman"/>
        </w:rPr>
        <w:t>,</w:t>
      </w:r>
      <w:r w:rsidR="003F5784" w:rsidRPr="00BD2160">
        <w:rPr>
          <w:rFonts w:cs="Times New Roman"/>
        </w:rPr>
        <w:t xml:space="preserve"> </w:t>
      </w:r>
      <w:r w:rsidR="00D85207" w:rsidRPr="00E06D36">
        <w:rPr>
          <w:rFonts w:eastAsia="Times New Roman" w:cs="Times New Roman"/>
          <w:bCs/>
        </w:rPr>
        <w:t>WUE</w:t>
      </w:r>
      <w:r w:rsidR="00D85207">
        <w:rPr>
          <w:rFonts w:eastAsia="Times New Roman" w:cs="Times New Roman"/>
          <w:bCs/>
          <w:vertAlign w:val="superscript"/>
        </w:rPr>
        <w:t>eco</w:t>
      </w:r>
      <w:r w:rsidR="008E6210">
        <w:rPr>
          <w:rFonts w:cs="Times New Roman"/>
        </w:rPr>
        <w:t>,</w:t>
      </w:r>
      <w:r w:rsidR="00725D2A" w:rsidRPr="00BD2160">
        <w:rPr>
          <w:rFonts w:cs="Times New Roman"/>
        </w:rPr>
        <w:t xml:space="preserve"> I</w:t>
      </w:r>
      <w:r w:rsidR="00D85207" w:rsidRPr="00E06D36">
        <w:rPr>
          <w:rFonts w:eastAsia="Times New Roman" w:cs="Times New Roman"/>
          <w:bCs/>
        </w:rPr>
        <w:t>WUE</w:t>
      </w:r>
      <w:r w:rsidR="00D85207">
        <w:rPr>
          <w:rFonts w:eastAsia="Times New Roman" w:cs="Times New Roman"/>
          <w:bCs/>
          <w:vertAlign w:val="superscript"/>
        </w:rPr>
        <w:t>eco</w:t>
      </w:r>
      <w:r w:rsidR="00725D2A" w:rsidRPr="00BD2160">
        <w:rPr>
          <w:rFonts w:cs="Times New Roman"/>
        </w:rPr>
        <w:t xml:space="preserve"> </w:t>
      </w:r>
      <w:r w:rsidR="008E6210">
        <w:rPr>
          <w:rFonts w:cs="Times New Roman"/>
        </w:rPr>
        <w:t>and iWUE</w:t>
      </w:r>
      <w:r w:rsidR="000E417A" w:rsidRPr="000E417A">
        <w:rPr>
          <w:rFonts w:cs="Times New Roman"/>
          <w:vertAlign w:val="superscript"/>
        </w:rPr>
        <w:t>e</w:t>
      </w:r>
      <w:r w:rsidR="00D85207">
        <w:rPr>
          <w:rFonts w:cs="Times New Roman"/>
          <w:vertAlign w:val="superscript"/>
        </w:rPr>
        <w:t>co</w:t>
      </w:r>
      <w:r w:rsidR="008E6210">
        <w:rPr>
          <w:rFonts w:cs="Times New Roman"/>
        </w:rPr>
        <w:t xml:space="preserve"> </w:t>
      </w:r>
      <w:r w:rsidR="005F6679">
        <w:rPr>
          <w:rFonts w:cs="Times New Roman"/>
        </w:rPr>
        <w:t xml:space="preserve">are </w:t>
      </w:r>
      <w:r w:rsidR="001A4831">
        <w:rPr>
          <w:rFonts w:cs="Times New Roman"/>
        </w:rPr>
        <w:t xml:space="preserve">all </w:t>
      </w:r>
      <w:r w:rsidR="005F6679">
        <w:rPr>
          <w:rFonts w:cs="Times New Roman"/>
        </w:rPr>
        <w:t xml:space="preserve">expected </w:t>
      </w:r>
      <w:r w:rsidR="001A4831">
        <w:rPr>
          <w:rFonts w:cs="Times New Roman"/>
          <w:i/>
        </w:rPr>
        <w:t xml:space="preserve">a priori </w:t>
      </w:r>
      <w:r w:rsidR="005F6679">
        <w:rPr>
          <w:rFonts w:cs="Times New Roman"/>
        </w:rPr>
        <w:t>to</w:t>
      </w:r>
      <w:r w:rsidR="005F6679" w:rsidRPr="00BD2160">
        <w:rPr>
          <w:rFonts w:cs="Times New Roman"/>
        </w:rPr>
        <w:t xml:space="preserve"> </w:t>
      </w:r>
      <w:r w:rsidR="00AD5B57" w:rsidRPr="00BD2160">
        <w:rPr>
          <w:rFonts w:cs="Times New Roman"/>
        </w:rPr>
        <w:t xml:space="preserve">change in response to environmental variations in a similar fashion to </w:t>
      </w:r>
      <w:r w:rsidR="006440FA" w:rsidRPr="00BD2160">
        <w:rPr>
          <w:rFonts w:cs="Times New Roman"/>
        </w:rPr>
        <w:t>iWUE</w:t>
      </w:r>
      <w:r w:rsidR="006440FA" w:rsidRPr="001B08EE">
        <w:rPr>
          <w:rFonts w:cs="Times New Roman"/>
          <w:vertAlign w:val="superscript"/>
        </w:rPr>
        <w:t>l</w:t>
      </w:r>
      <w:r w:rsidR="006440FA">
        <w:rPr>
          <w:rFonts w:cs="Times New Roman"/>
          <w:vertAlign w:val="superscript"/>
        </w:rPr>
        <w:t>eaf</w:t>
      </w:r>
      <w:r w:rsidR="00D2185D">
        <w:rPr>
          <w:rFonts w:cs="Times New Roman"/>
        </w:rPr>
        <w:t>, w</w:t>
      </w:r>
      <w:r w:rsidR="004D3321">
        <w:rPr>
          <w:rFonts w:cs="Times New Roman"/>
        </w:rPr>
        <w:t>hen not</w:t>
      </w:r>
      <w:r w:rsidR="00D2185D">
        <w:rPr>
          <w:rFonts w:cs="Times New Roman"/>
        </w:rPr>
        <w:t xml:space="preserve"> considering interactions or feedbacks</w:t>
      </w:r>
      <w:r w:rsidR="00725D2A" w:rsidRPr="00BD2160">
        <w:rPr>
          <w:rFonts w:cs="Times New Roman"/>
        </w:rPr>
        <w:t>.</w:t>
      </w:r>
      <w:r w:rsidR="006D3843">
        <w:rPr>
          <w:rFonts w:cs="Times New Roman"/>
        </w:rPr>
        <w:t xml:space="preserve"> </w:t>
      </w:r>
    </w:p>
    <w:p w14:paraId="29E81C0B" w14:textId="6A9561E4" w:rsidR="007F19F3" w:rsidRPr="000B5EDA" w:rsidRDefault="00BF7FBD" w:rsidP="00EE6FAB">
      <w:pPr>
        <w:pStyle w:val="Body"/>
        <w:spacing w:before="240" w:line="360" w:lineRule="auto"/>
        <w:jc w:val="both"/>
        <w:rPr>
          <w:rFonts w:cs="Times New Roman"/>
          <w:u w:val="single"/>
          <w:lang w:val="de-DE"/>
        </w:rPr>
      </w:pPr>
      <w:r>
        <w:rPr>
          <w:rFonts w:cs="Times New Roman"/>
        </w:rPr>
        <w:t xml:space="preserve">Most variables needed to infer </w:t>
      </w:r>
      <w:r w:rsidR="0079556C">
        <w:rPr>
          <w:rFonts w:cs="Times New Roman"/>
        </w:rPr>
        <w:t>e</w:t>
      </w:r>
      <w:r w:rsidR="00C631E8">
        <w:rPr>
          <w:rFonts w:cs="Times New Roman"/>
        </w:rPr>
        <w:t xml:space="preserve">cosystem </w:t>
      </w:r>
      <w:r>
        <w:rPr>
          <w:rFonts w:cs="Times New Roman"/>
        </w:rPr>
        <w:t>WUE</w:t>
      </w:r>
      <w:r w:rsidR="007F19F3">
        <w:rPr>
          <w:rFonts w:cs="Times New Roman"/>
        </w:rPr>
        <w:t xml:space="preserve"> </w:t>
      </w:r>
      <w:r w:rsidR="00D223D5">
        <w:rPr>
          <w:rFonts w:cs="Times New Roman"/>
        </w:rPr>
        <w:t xml:space="preserve">from equations </w:t>
      </w:r>
      <w:r w:rsidR="001A4831">
        <w:rPr>
          <w:rFonts w:cs="Times New Roman"/>
        </w:rPr>
        <w:t xml:space="preserve">(5) to (8) </w:t>
      </w:r>
      <w:r w:rsidR="007F19F3">
        <w:rPr>
          <w:rFonts w:cs="Times New Roman"/>
        </w:rPr>
        <w:t xml:space="preserve">can be </w:t>
      </w:r>
      <w:r w:rsidR="00D425CC">
        <w:rPr>
          <w:rFonts w:cs="Times New Roman"/>
        </w:rPr>
        <w:t xml:space="preserve">estimated </w:t>
      </w:r>
      <w:r w:rsidR="007F19F3">
        <w:rPr>
          <w:rFonts w:cs="Times New Roman"/>
        </w:rPr>
        <w:t xml:space="preserve">from </w:t>
      </w:r>
      <w:r w:rsidR="00901D8F">
        <w:rPr>
          <w:rFonts w:cs="Times New Roman"/>
        </w:rPr>
        <w:t xml:space="preserve">eddy-covariance </w:t>
      </w:r>
      <w:r w:rsidR="009606AF">
        <w:rPr>
          <w:rFonts w:cs="Times New Roman"/>
        </w:rPr>
        <w:t>flux</w:t>
      </w:r>
      <w:r w:rsidR="007F19F3">
        <w:rPr>
          <w:rFonts w:cs="Times New Roman"/>
        </w:rPr>
        <w:t xml:space="preserve"> measurements above vegetation canopies. </w:t>
      </w:r>
      <w:r w:rsidR="007F19F3" w:rsidRPr="00BD2160">
        <w:rPr>
          <w:rFonts w:cs="Times New Roman"/>
          <w:lang w:val="en-GB"/>
        </w:rPr>
        <w:t xml:space="preserve">Flux towers measure the net ecosystem exchange </w:t>
      </w:r>
      <w:r w:rsidR="001E11F2">
        <w:rPr>
          <w:rFonts w:cs="Times New Roman"/>
          <w:lang w:val="en-GB"/>
        </w:rPr>
        <w:t xml:space="preserve">of </w:t>
      </w:r>
      <w:r w:rsidR="001E11F2" w:rsidRPr="00BD2160">
        <w:rPr>
          <w:rFonts w:cs="Times New Roman"/>
          <w:lang w:val="en-GB"/>
        </w:rPr>
        <w:t>CO</w:t>
      </w:r>
      <w:r w:rsidR="001E11F2" w:rsidRPr="00BD2160">
        <w:rPr>
          <w:rFonts w:cs="Times New Roman"/>
          <w:vertAlign w:val="subscript"/>
          <w:lang w:val="en-GB"/>
        </w:rPr>
        <w:t>2</w:t>
      </w:r>
      <w:r w:rsidR="001E11F2" w:rsidRPr="00BD2160">
        <w:rPr>
          <w:rFonts w:cs="Times New Roman"/>
          <w:lang w:val="en-GB"/>
        </w:rPr>
        <w:t xml:space="preserve"> </w:t>
      </w:r>
      <w:r w:rsidR="007F19F3" w:rsidRPr="00BD2160">
        <w:rPr>
          <w:rFonts w:cs="Times New Roman"/>
          <w:lang w:val="en-GB"/>
        </w:rPr>
        <w:t>(NEE</w:t>
      </w:r>
      <w:r w:rsidR="007F19F3">
        <w:rPr>
          <w:rFonts w:cs="Times New Roman"/>
          <w:lang w:val="en-GB"/>
        </w:rPr>
        <w:t xml:space="preserve">, </w:t>
      </w:r>
      <w:r w:rsidR="007F19F3" w:rsidRPr="00BD2160">
        <w:rPr>
          <w:rFonts w:cs="Times New Roman"/>
          <w:lang w:val="en-GB"/>
        </w:rPr>
        <w:t>m</w:t>
      </w:r>
      <w:r w:rsidR="007F19F3">
        <w:rPr>
          <w:rFonts w:cs="Times New Roman"/>
          <w:lang w:val="en-GB"/>
        </w:rPr>
        <w:t>ol m</w:t>
      </w:r>
      <w:r w:rsidR="008D1DBC">
        <w:rPr>
          <w:rFonts w:cs="Times New Roman"/>
          <w:vertAlign w:val="superscript"/>
          <w:lang w:val="en-GB"/>
        </w:rPr>
        <w:t>–</w:t>
      </w:r>
      <w:r w:rsidR="007F19F3" w:rsidRPr="007A563E">
        <w:rPr>
          <w:rFonts w:cs="Times New Roman"/>
          <w:vertAlign w:val="superscript"/>
          <w:lang w:val="en-GB"/>
        </w:rPr>
        <w:t>2</w:t>
      </w:r>
      <w:r w:rsidR="007F19F3" w:rsidRPr="00BD2160">
        <w:rPr>
          <w:rFonts w:cs="Times New Roman"/>
          <w:lang w:val="en-GB"/>
        </w:rPr>
        <w:t xml:space="preserve"> </w:t>
      </w:r>
      <w:r w:rsidR="007F19F3">
        <w:rPr>
          <w:rFonts w:cs="Times New Roman"/>
          <w:lang w:val="en-GB"/>
        </w:rPr>
        <w:t>s</w:t>
      </w:r>
      <w:r w:rsidR="008D1DBC">
        <w:rPr>
          <w:rFonts w:cs="Times New Roman"/>
          <w:vertAlign w:val="superscript"/>
          <w:lang w:val="en-GB"/>
        </w:rPr>
        <w:t>–</w:t>
      </w:r>
      <w:r w:rsidR="007F19F3" w:rsidRPr="00BD2160">
        <w:rPr>
          <w:rFonts w:cs="Times New Roman"/>
          <w:vertAlign w:val="superscript"/>
          <w:lang w:val="en-GB"/>
        </w:rPr>
        <w:t>1</w:t>
      </w:r>
      <w:r w:rsidR="007F19F3" w:rsidRPr="00BD2160">
        <w:rPr>
          <w:rFonts w:cs="Times New Roman"/>
          <w:lang w:val="en-GB"/>
        </w:rPr>
        <w:t>)</w:t>
      </w:r>
      <w:r w:rsidR="00A40056">
        <w:rPr>
          <w:rFonts w:cs="Times New Roman"/>
          <w:lang w:val="en-GB"/>
        </w:rPr>
        <w:t>, meteorological variables (</w:t>
      </w:r>
      <w:r w:rsidR="008D1DBC">
        <w:rPr>
          <w:rFonts w:cs="Times New Roman"/>
          <w:lang w:val="en-GB"/>
        </w:rPr>
        <w:t>including</w:t>
      </w:r>
      <w:r w:rsidR="007F069D">
        <w:rPr>
          <w:rFonts w:cs="Times New Roman"/>
          <w:lang w:val="en-GB"/>
        </w:rPr>
        <w:t xml:space="preserve"> </w:t>
      </w:r>
      <w:r w:rsidR="00A40056">
        <w:rPr>
          <w:rFonts w:cs="Times New Roman"/>
          <w:lang w:val="en-GB"/>
        </w:rPr>
        <w:t>VPD</w:t>
      </w:r>
      <w:r w:rsidR="008D1DBC">
        <w:rPr>
          <w:rFonts w:cs="Times New Roman"/>
          <w:lang w:val="en-GB"/>
        </w:rPr>
        <w:t xml:space="preserve"> and</w:t>
      </w:r>
      <w:r w:rsidR="00A40056">
        <w:rPr>
          <w:rFonts w:cs="Times New Roman"/>
          <w:lang w:val="en-GB"/>
        </w:rPr>
        <w:t xml:space="preserve"> air temperature</w:t>
      </w:r>
      <w:r w:rsidR="008D1DBC">
        <w:rPr>
          <w:rFonts w:cs="Times New Roman"/>
          <w:lang w:val="en-GB"/>
        </w:rPr>
        <w:t>,</w:t>
      </w:r>
      <w:r w:rsidR="00A40056">
        <w:rPr>
          <w:rFonts w:cs="Times New Roman"/>
          <w:lang w:val="en-GB"/>
        </w:rPr>
        <w:t xml:space="preserve"> </w:t>
      </w:r>
      <w:r w:rsidR="00A40056" w:rsidRPr="00A551C1">
        <w:rPr>
          <w:rFonts w:cs="Times New Roman"/>
          <w:i/>
          <w:lang w:val="en-GB"/>
        </w:rPr>
        <w:t>T</w:t>
      </w:r>
      <w:r w:rsidR="00A40056" w:rsidRPr="007A77B2">
        <w:rPr>
          <w:rFonts w:cs="Times New Roman"/>
          <w:vertAlign w:val="subscript"/>
          <w:lang w:val="en-GB"/>
        </w:rPr>
        <w:t>air</w:t>
      </w:r>
      <w:r w:rsidR="00A40056">
        <w:rPr>
          <w:rFonts w:cs="Times New Roman"/>
          <w:lang w:val="en-GB"/>
        </w:rPr>
        <w:t xml:space="preserve">) </w:t>
      </w:r>
      <w:r w:rsidR="007F19F3" w:rsidRPr="00BD2160">
        <w:rPr>
          <w:rFonts w:cs="Times New Roman"/>
          <w:lang w:val="en-GB"/>
        </w:rPr>
        <w:t>and the sensible (</w:t>
      </w:r>
      <w:r w:rsidR="007F19F3" w:rsidRPr="0022228B">
        <w:rPr>
          <w:rFonts w:cs="Times New Roman"/>
          <w:i/>
          <w:lang w:val="en-GB"/>
        </w:rPr>
        <w:t>H</w:t>
      </w:r>
      <w:r w:rsidR="007F19F3" w:rsidRPr="00BD2160">
        <w:rPr>
          <w:rFonts w:cs="Times New Roman"/>
          <w:lang w:val="en-GB"/>
        </w:rPr>
        <w:t xml:space="preserve">) and </w:t>
      </w:r>
      <w:r w:rsidR="008D1DBC">
        <w:rPr>
          <w:rFonts w:cs="Times New Roman"/>
          <w:lang w:val="en-GB"/>
        </w:rPr>
        <w:t xml:space="preserve">latent heat (LE) </w:t>
      </w:r>
      <w:r w:rsidR="00C36F4B" w:rsidRPr="00BD2160">
        <w:rPr>
          <w:rFonts w:cs="Times New Roman"/>
          <w:lang w:val="en-GB"/>
        </w:rPr>
        <w:t xml:space="preserve">fluxes </w:t>
      </w:r>
      <w:r w:rsidR="007F19F3" w:rsidRPr="00BD2160">
        <w:rPr>
          <w:rFonts w:cs="Times New Roman"/>
          <w:lang w:val="en-GB"/>
        </w:rPr>
        <w:t>between ecosystems and the atmosphere</w:t>
      </w:r>
      <w:r w:rsidR="005A4C20">
        <w:rPr>
          <w:rFonts w:cs="Times New Roman"/>
          <w:lang w:val="en-GB"/>
        </w:rPr>
        <w:t xml:space="preserve"> (W m</w:t>
      </w:r>
      <w:r w:rsidR="008D1DBC">
        <w:rPr>
          <w:rFonts w:cs="Times New Roman"/>
          <w:vertAlign w:val="superscript"/>
          <w:lang w:val="en-GB"/>
        </w:rPr>
        <w:t>–</w:t>
      </w:r>
      <w:r w:rsidR="005A4C20" w:rsidRPr="007A77B2">
        <w:rPr>
          <w:rFonts w:cs="Times New Roman"/>
          <w:vertAlign w:val="superscript"/>
          <w:lang w:val="en-GB"/>
        </w:rPr>
        <w:t>2</w:t>
      </w:r>
      <w:r w:rsidR="005A4C20">
        <w:rPr>
          <w:rFonts w:cs="Times New Roman"/>
          <w:lang w:val="en-GB"/>
        </w:rPr>
        <w:t>)</w:t>
      </w:r>
      <w:r w:rsidR="007F19F3" w:rsidRPr="00BD2160">
        <w:rPr>
          <w:rFonts w:cs="Times New Roman"/>
          <w:lang w:val="en-GB"/>
        </w:rPr>
        <w:t xml:space="preserve">. NEE </w:t>
      </w:r>
      <w:r w:rsidR="008D1DBC">
        <w:rPr>
          <w:rFonts w:cs="Times New Roman"/>
          <w:lang w:val="en-GB"/>
        </w:rPr>
        <w:t>is</w:t>
      </w:r>
      <w:r w:rsidR="008D1DBC" w:rsidRPr="00BD2160">
        <w:rPr>
          <w:rFonts w:cs="Times New Roman"/>
          <w:lang w:val="en-GB"/>
        </w:rPr>
        <w:t xml:space="preserve"> </w:t>
      </w:r>
      <w:r w:rsidR="007F19F3" w:rsidRPr="00BD2160">
        <w:rPr>
          <w:rFonts w:cs="Times New Roman"/>
          <w:lang w:val="en-GB"/>
        </w:rPr>
        <w:t>the difference between the total ecosystem respiration (</w:t>
      </w:r>
      <w:r w:rsidR="007F19F3" w:rsidRPr="00BD2160">
        <w:rPr>
          <w:rFonts w:cs="Times New Roman"/>
          <w:i/>
          <w:lang w:val="en-GB"/>
        </w:rPr>
        <w:t>R</w:t>
      </w:r>
      <w:r w:rsidR="007F19F3" w:rsidRPr="00BD2160">
        <w:rPr>
          <w:rFonts w:cs="Times New Roman"/>
          <w:vertAlign w:val="subscript"/>
          <w:lang w:val="en-GB"/>
        </w:rPr>
        <w:t>eco</w:t>
      </w:r>
      <w:r w:rsidR="007F19F3" w:rsidRPr="00BD2160">
        <w:rPr>
          <w:rFonts w:cs="Times New Roman"/>
          <w:lang w:val="en-GB"/>
        </w:rPr>
        <w:t xml:space="preserve">), which includes heterotrophic and autotrophic respiration </w:t>
      </w:r>
      <w:r w:rsidR="007F19F3">
        <w:rPr>
          <w:rFonts w:cs="Times New Roman"/>
          <w:lang w:val="en-GB"/>
        </w:rPr>
        <w:t>(</w:t>
      </w:r>
      <w:r w:rsidR="007F19F3" w:rsidRPr="00BD2160">
        <w:rPr>
          <w:rFonts w:cs="Times New Roman"/>
          <w:i/>
        </w:rPr>
        <w:t>R</w:t>
      </w:r>
      <w:r w:rsidR="007F19F3">
        <w:rPr>
          <w:rFonts w:cs="Times New Roman"/>
          <w:vertAlign w:val="subscript"/>
        </w:rPr>
        <w:t>H</w:t>
      </w:r>
      <w:r w:rsidR="007F19F3">
        <w:rPr>
          <w:rFonts w:cs="Times New Roman"/>
          <w:lang w:val="en-GB"/>
        </w:rPr>
        <w:t xml:space="preserve"> and </w:t>
      </w:r>
      <w:r w:rsidR="007F19F3" w:rsidRPr="00BD2160">
        <w:rPr>
          <w:rFonts w:cs="Times New Roman"/>
          <w:i/>
        </w:rPr>
        <w:t>R</w:t>
      </w:r>
      <w:r w:rsidR="007F19F3" w:rsidRPr="00BD2160">
        <w:rPr>
          <w:rFonts w:cs="Times New Roman"/>
          <w:vertAlign w:val="subscript"/>
        </w:rPr>
        <w:t>A</w:t>
      </w:r>
      <w:r w:rsidR="007F19F3" w:rsidRPr="00BD2160">
        <w:rPr>
          <w:rFonts w:cs="Times New Roman"/>
        </w:rPr>
        <w:t>)</w:t>
      </w:r>
      <w:r w:rsidR="007F19F3" w:rsidRPr="00BD2160">
        <w:rPr>
          <w:rFonts w:cs="Times New Roman"/>
          <w:lang w:val="en-GB"/>
        </w:rPr>
        <w:t xml:space="preserve">, and GPP. </w:t>
      </w:r>
      <w:r w:rsidR="0068722F" w:rsidRPr="00BD2160">
        <w:rPr>
          <w:rFonts w:cs="Times New Roman"/>
          <w:lang w:val="en-GB"/>
        </w:rPr>
        <w:t xml:space="preserve">Various flux-partitioning algorithms are </w:t>
      </w:r>
      <w:r w:rsidR="0068722F">
        <w:rPr>
          <w:rFonts w:cs="Times New Roman"/>
          <w:lang w:val="en-GB"/>
        </w:rPr>
        <w:t xml:space="preserve">commonly </w:t>
      </w:r>
      <w:r w:rsidR="0068722F" w:rsidRPr="00BD2160">
        <w:rPr>
          <w:rFonts w:cs="Times New Roman"/>
          <w:lang w:val="en-GB"/>
        </w:rPr>
        <w:t>applied</w:t>
      </w:r>
      <w:r w:rsidR="0068722F" w:rsidRPr="00BD2160">
        <w:rPr>
          <w:rFonts w:cs="Times New Roman"/>
          <w:lang w:val="de-DE"/>
        </w:rPr>
        <w:t xml:space="preserve"> </w:t>
      </w:r>
      <w:r w:rsidR="0068722F" w:rsidRPr="00BD2160">
        <w:rPr>
          <w:rFonts w:cs="Times New Roman"/>
          <w:lang w:val="en-GB"/>
        </w:rPr>
        <w:t xml:space="preserve">to infer GPP and </w:t>
      </w:r>
      <w:r w:rsidR="0068722F" w:rsidRPr="00BD2160">
        <w:rPr>
          <w:rFonts w:cs="Times New Roman"/>
          <w:i/>
          <w:lang w:val="en-GB"/>
        </w:rPr>
        <w:t>R</w:t>
      </w:r>
      <w:r w:rsidR="0068722F" w:rsidRPr="00BD2160">
        <w:rPr>
          <w:rFonts w:cs="Times New Roman"/>
          <w:i/>
          <w:vertAlign w:val="subscript"/>
          <w:lang w:val="en-GB"/>
        </w:rPr>
        <w:t>eco</w:t>
      </w:r>
      <w:r w:rsidR="0068722F" w:rsidRPr="00BD2160">
        <w:rPr>
          <w:rFonts w:cs="Times New Roman"/>
          <w:i/>
          <w:lang w:val="en-GB"/>
        </w:rPr>
        <w:t xml:space="preserve"> </w:t>
      </w:r>
      <w:r w:rsidR="0068722F" w:rsidRPr="00BD2160">
        <w:rPr>
          <w:rFonts w:cs="Times New Roman"/>
          <w:lang w:val="en-GB"/>
        </w:rPr>
        <w:t>from measured NEE</w:t>
      </w:r>
      <w:r w:rsidR="005B7450">
        <w:rPr>
          <w:rFonts w:cs="Times New Roman"/>
          <w:lang w:val="en-GB"/>
        </w:rPr>
        <w:t xml:space="preserve"> </w:t>
      </w:r>
      <w:r w:rsidR="0068722F" w:rsidRPr="00BD2160">
        <w:fldChar w:fldCharType="begin" w:fldLock="1"/>
      </w:r>
      <w:r w:rsidR="001263BC">
        <w:rPr>
          <w:rFonts w:cs="Times New Roman"/>
        </w:rPr>
        <w:instrText>ADDIN CSL_CITATION {"citationItems":[{"id":"ITEM-1","itemData":{"DOI":"10.1007/978-94-007-2351-1","ISBN":"978-94-007-2350-4","author":[{"dropping-particle":"","family":"Reichstein","given":"M.","non-dropping-particle":"","parse-names":false,"suffix":""},{"dropping-particle":"","family":"Stoy","given":"Paul C","non-dropping-particle":"","parse-names":false,"suffix":""},{"dropping-particle":"","family":"Desai","given":"Ankur R","non-dropping-particle":"","parse-names":false,"suffix":""},{"dropping-particle":"","family":"Lasslop","given":"Gitta","non-dropping-particle":"","parse-names":false,"suffix":""},{"dropping-particle":"","family":"Richardson","given":"Andrew D","non-dropping-particle":"","parse-names":false,"suffix":""}],"container-title":"Eddy Covariance: A Practical Guide to Measurement and Data Analysis","id":"ITEM-1","issued":{"date-parts":[["2012"]]},"page":"263-289","title":"Partitioning of net fluxes","type":"chapter"},"uris":["http://www.mendeley.com/documents/?uuid=df101b70-232f-460e-882f-b81881882923","http://www.mendeley.com/documents/?uuid=510c239b-f296-4df0-a963-5e50bc64298a"]},{"id":"ITEM-2","itemData":{"DOI":"10.1111/j.1365-2486.2009.02041.x","ISBN":"1365-2486","ISSN":"13541013","abstract":"The measured net ecosystem exchange (NEE) of CO2 between the ecosystem and the atmosphere reflects the balance between gross CO2 assimilation [gross primary production (GPP)] and ecosystem respiration (Reco). For understanding the mechanistic responses of ecosystem processes to environmental change it is important to separate these two flux components. Two approaches are conventionally used: (1) respiration measurements made at night are extrapolated to the daytime or (2) light2013response curves are fit to daytime NEE measurements and respiration is estimated from the intercept of the ordinate, which avoids the use of potentially problematic nighttime data. We demonstrate that this approach is subject to biases if the effect of vapor pressure deficit (VPD) modifying the light response is not included. We introduce an algorithm for NEE partitioning that uses a hyperbolic light response curve fit to daytime NEE, modified to account for the temperature sensitivity of respiration and the VPD limitation of photosynthesis. Including the VPD dependency strongly improved the model's ability to reproduce the asymmetric diurnal cycle during periods with high VPD, and enhances the reliability of Reco estimates given that the reduction of GPP by VPD may be otherwise incorrectly attributed to higher Reco. Results from this improved algorithm are compared against estimates based on the conventional nighttime approach. The comparison demonstrates that the uncertainty arising from systematic errors dominates the overall uncertainty of annual sums (median absolute deviation of GPP: 47 g C m22122 yr22121), while errors arising from the random error (median absolute deviation: 223C2 g C m22122 yr22121) are negligible. Despite site-specific differences between the methods, overall patterns remain robust, adding confidence to statistical studies based on the FLUXNET database. In particular, we show that the strong correlation between GPP and Reco is not spurious but holds true when quasi-independent, i.e. daytime and nighttime based estimates are compared.","author":[{"dropping-particle":"","family":"Lasslop","given":"Gitta","non-dropping-particle":"","parse-names":false,"suffix":""},{"dropping-particle":"","family":"Reichstein","given":"Markus","non-dropping-particle":"","parse-names":false,"suffix":""},{"dropping-particle":"","family":"Papale","given":"Dario","non-dropping-particle":"","parse-names":false,"suffix":""},{"dropping-particle":"","family":"Richardson","given":"Andrewd","non-dropping-particle":"","parse-names":false,"suffix":""},{"dropping-particle":"","family":"Arneth","given":"Almut","non-dropping-particle":"","parse-names":false,"suffix":""},{"dropping-particle":"","family":"Barr","given":"Alan","non-dropping-particle":"","parse-names":false,"suffix":""},{"dropping-particle":"","family":"Stoy","given":"Paul","non-dropping-particle":"","parse-names":false,"suffix":""},{"dropping-particle":"","family":"Wohlfahrt","given":"Georg","non-dropping-particle":"","parse-names":false,"suffix":""}],"container-title":"Global Change Biology","id":"ITEM-2","issue":"1","issued":{"date-parts":[["2010"]]},"page":"187-208","title":"Separation of net ecosystem exchange into assimilation and respiration using a light response curve approach: Critical issues and global evaluation","type":"article-journal","volume":"16"},"uris":["http://www.mendeley.com/documents/?uuid=1cc228cd-6ef4-4864-abd9-2a9ccacd2648","http://www.mendeley.com/documents/?uuid=a824f703-9b9d-4a8a-89ec-303c2a3c1979"]}],"mendeley":{"formattedCitation":"(Lasslop et al., 2010; Reichstein, Stoy, Desai, Lasslop, &amp; Richardson, 2012)","manualFormatting":"(Lasslop et al., 2010; Reichstein et al., 2012","plainTextFormattedCitation":"(Lasslop et al., 2010; Reichstein, Stoy, Desai, Lasslop, &amp; Richardson, 2012)","previouslyFormattedCitation":"(Lasslop et al., 2010; Reichstein, Stoy, Desai, Lasslop, &amp; Richardson, 2012)"},"properties":{"noteIndex":0},"schema":"https://github.com/citation-style-language/schema/raw/master/csl-citation.json"}</w:instrText>
      </w:r>
      <w:r w:rsidR="0068722F" w:rsidRPr="00BD2160">
        <w:fldChar w:fldCharType="separate"/>
      </w:r>
      <w:r w:rsidR="00B23D0B" w:rsidRPr="00B23D0B">
        <w:rPr>
          <w:rFonts w:cs="Times New Roman"/>
          <w:noProof/>
        </w:rPr>
        <w:t>(Lasslop et al., 2010; Reichstein</w:t>
      </w:r>
      <w:r w:rsidR="00B23D0B">
        <w:rPr>
          <w:rFonts w:cs="Times New Roman"/>
          <w:noProof/>
        </w:rPr>
        <w:t xml:space="preserve"> et al.</w:t>
      </w:r>
      <w:r w:rsidR="00B23D0B" w:rsidRPr="00B23D0B">
        <w:rPr>
          <w:rFonts w:cs="Times New Roman"/>
          <w:noProof/>
        </w:rPr>
        <w:t>, 2012</w:t>
      </w:r>
      <w:r w:rsidR="0068722F" w:rsidRPr="00BD2160">
        <w:fldChar w:fldCharType="end"/>
      </w:r>
      <w:r w:rsidR="00FD18C1">
        <w:t xml:space="preserve">; </w:t>
      </w:r>
      <w:r w:rsidR="0047323C">
        <w:t>see Text S2 for further details)</w:t>
      </w:r>
      <w:r w:rsidR="0068722F">
        <w:rPr>
          <w:rFonts w:cs="Times New Roman"/>
        </w:rPr>
        <w:t xml:space="preserve">. </w:t>
      </w:r>
      <w:r w:rsidR="007F19F3" w:rsidRPr="00BD2160">
        <w:rPr>
          <w:rFonts w:cs="Times New Roman"/>
          <w:lang w:val="en-GB"/>
        </w:rPr>
        <w:t>ET</w:t>
      </w:r>
      <w:r w:rsidR="007F19F3">
        <w:rPr>
          <w:rFonts w:cs="Times New Roman"/>
          <w:lang w:val="en-GB"/>
        </w:rPr>
        <w:t xml:space="preserve"> </w:t>
      </w:r>
      <w:r w:rsidR="007F19F3" w:rsidRPr="00BD2160">
        <w:rPr>
          <w:rFonts w:cs="Times New Roman"/>
          <w:lang w:val="en-GB"/>
        </w:rPr>
        <w:t xml:space="preserve">is derived from LE </w:t>
      </w:r>
      <w:r w:rsidR="007F19F3">
        <w:rPr>
          <w:rFonts w:cs="Times New Roman"/>
          <w:lang w:val="en-GB"/>
        </w:rPr>
        <w:t>by</w:t>
      </w:r>
      <w:r w:rsidR="007F19F3" w:rsidRPr="00BD2160">
        <w:rPr>
          <w:rFonts w:cs="Times New Roman"/>
          <w:lang w:val="en-GB"/>
        </w:rPr>
        <w:t>:</w:t>
      </w:r>
    </w:p>
    <w:p w14:paraId="48888F4A" w14:textId="612E9AB1" w:rsidR="007F19F3" w:rsidRPr="00BD2160" w:rsidRDefault="007F19F3">
      <w:pPr>
        <w:pStyle w:val="Body"/>
        <w:spacing w:before="240" w:line="360" w:lineRule="auto"/>
        <w:ind w:firstLine="708"/>
        <w:jc w:val="both"/>
        <w:rPr>
          <w:rFonts w:cs="Times New Roman"/>
          <w:lang w:val="en-GB"/>
        </w:rPr>
      </w:pPr>
      <m:oMath>
        <m:r>
          <w:rPr>
            <w:rFonts w:ascii="Cambria Math" w:hAnsi="Cambria Math" w:cs="Times New Roman"/>
            <w:lang w:val="en-GB"/>
          </w:rPr>
          <m:t>ET=</m:t>
        </m:r>
        <m:f>
          <m:fPr>
            <m:ctrlPr>
              <w:rPr>
                <w:rFonts w:ascii="Cambria Math" w:hAnsi="Cambria Math" w:cs="Times New Roman"/>
                <w:i/>
                <w:lang w:val="en-GB"/>
              </w:rPr>
            </m:ctrlPr>
          </m:fPr>
          <m:num>
            <m:r>
              <w:rPr>
                <w:rFonts w:ascii="Cambria Math" w:hAnsi="Cambria Math" w:cs="Times New Roman"/>
                <w:lang w:val="en-GB"/>
              </w:rPr>
              <m:t>LE</m:t>
            </m:r>
          </m:num>
          <m:den>
            <m:sSub>
              <m:sSubPr>
                <m:ctrlPr>
                  <w:rPr>
                    <w:rFonts w:ascii="Cambria Math" w:hAnsi="Cambria Math" w:cs="Times New Roman"/>
                    <w:i/>
                    <w:lang w:val="en-GB"/>
                  </w:rPr>
                </m:ctrlPr>
              </m:sSubPr>
              <m:e>
                <m:r>
                  <w:rPr>
                    <w:rFonts w:ascii="Cambria Math" w:hAnsi="Cambria Math" w:cs="Times New Roman"/>
                    <w:lang w:val="en-GB"/>
                  </w:rPr>
                  <m:t>λ</m:t>
                </m:r>
              </m:e>
              <m:sub>
                <m:r>
                  <w:rPr>
                    <w:rFonts w:ascii="Cambria Math" w:hAnsi="Cambria Math" w:cs="Times New Roman"/>
                    <w:lang w:val="en-GB"/>
                  </w:rPr>
                  <m:t>v</m:t>
                </m:r>
              </m:sub>
            </m:sSub>
          </m:den>
        </m:f>
      </m:oMath>
      <w:r w:rsidRPr="00BD2160">
        <w:rPr>
          <w:rFonts w:cs="Times New Roman"/>
          <w:lang w:val="en-GB"/>
        </w:rPr>
        <w:t xml:space="preserve"> </w:t>
      </w:r>
      <w:r w:rsidRPr="00BD2160">
        <w:rPr>
          <w:rFonts w:cs="Times New Roman"/>
          <w:lang w:val="en-GB"/>
        </w:rPr>
        <w:tab/>
      </w:r>
      <w:r w:rsidRPr="00BD2160">
        <w:rPr>
          <w:rFonts w:cs="Times New Roman"/>
          <w:lang w:val="en-GB"/>
        </w:rPr>
        <w:tab/>
      </w:r>
      <w:r w:rsidRPr="00BD2160">
        <w:rPr>
          <w:rFonts w:cs="Times New Roman"/>
          <w:lang w:val="en-GB"/>
        </w:rPr>
        <w:tab/>
      </w:r>
      <w:r w:rsidRPr="00BD2160">
        <w:rPr>
          <w:rFonts w:cs="Times New Roman"/>
          <w:lang w:val="en-GB"/>
        </w:rPr>
        <w:tab/>
      </w:r>
      <w:r w:rsidRPr="00BD2160">
        <w:rPr>
          <w:rFonts w:cs="Times New Roman"/>
          <w:lang w:val="en-GB"/>
        </w:rPr>
        <w:tab/>
      </w:r>
      <w:r w:rsidRPr="00BD2160">
        <w:rPr>
          <w:rFonts w:cs="Times New Roman"/>
          <w:lang w:val="en-GB"/>
        </w:rPr>
        <w:tab/>
      </w:r>
      <w:r w:rsidRPr="00BD2160">
        <w:rPr>
          <w:rFonts w:cs="Times New Roman"/>
          <w:lang w:val="en-GB"/>
        </w:rPr>
        <w:tab/>
      </w:r>
      <w:r w:rsidRPr="00BD2160">
        <w:rPr>
          <w:rFonts w:cs="Times New Roman"/>
          <w:lang w:val="en-GB"/>
        </w:rPr>
        <w:tab/>
      </w:r>
      <w:r w:rsidRPr="00BD2160">
        <w:rPr>
          <w:rFonts w:cs="Times New Roman"/>
          <w:lang w:val="en-GB"/>
        </w:rPr>
        <w:tab/>
      </w:r>
      <w:r w:rsidRPr="00BD2160">
        <w:rPr>
          <w:rFonts w:cs="Times New Roman"/>
          <w:lang w:val="en-GB"/>
        </w:rPr>
        <w:tab/>
        <w:t>(</w:t>
      </w:r>
      <w:r w:rsidR="002E0B28">
        <w:rPr>
          <w:rFonts w:cs="Times New Roman"/>
          <w:lang w:val="en-GB"/>
        </w:rPr>
        <w:t>9</w:t>
      </w:r>
      <w:r w:rsidRPr="00BD2160">
        <w:rPr>
          <w:rFonts w:cs="Times New Roman"/>
          <w:lang w:val="en-GB"/>
        </w:rPr>
        <w:t>)</w:t>
      </w:r>
    </w:p>
    <w:p w14:paraId="39EDD3B0" w14:textId="12D35798" w:rsidR="007F19F3" w:rsidRPr="00A34CE7" w:rsidRDefault="007F19F3" w:rsidP="00A34CE7">
      <w:pPr>
        <w:pStyle w:val="Body"/>
        <w:spacing w:line="360" w:lineRule="auto"/>
        <w:jc w:val="both"/>
        <w:rPr>
          <w:rFonts w:cs="Times New Roman"/>
          <w:color w:val="00B0F0"/>
        </w:rPr>
      </w:pPr>
      <w:r w:rsidRPr="00BD2160">
        <w:rPr>
          <w:rFonts w:cs="Times New Roman"/>
          <w:lang w:val="en-GB"/>
        </w:rPr>
        <w:t xml:space="preserve">where </w:t>
      </w:r>
      <w:r w:rsidRPr="00BD2160">
        <w:rPr>
          <w:rFonts w:cs="Times New Roman"/>
          <w:lang w:val="en-GB"/>
        </w:rPr>
        <w:sym w:font="Symbol" w:char="F06C"/>
      </w:r>
      <w:r w:rsidRPr="001338D4">
        <w:rPr>
          <w:rFonts w:cs="Times New Roman"/>
          <w:vertAlign w:val="subscript"/>
          <w:lang w:val="en-GB"/>
        </w:rPr>
        <w:t>v</w:t>
      </w:r>
      <w:r w:rsidRPr="00BD2160">
        <w:rPr>
          <w:rFonts w:cs="Times New Roman"/>
          <w:lang w:val="en-GB"/>
        </w:rPr>
        <w:t xml:space="preserve"> is the </w:t>
      </w:r>
      <w:r>
        <w:rPr>
          <w:rFonts w:cs="Times New Roman"/>
          <w:lang w:val="en-GB"/>
        </w:rPr>
        <w:t>latent heat of vapor</w:t>
      </w:r>
      <w:r w:rsidR="00C273CC">
        <w:rPr>
          <w:rFonts w:cs="Times New Roman"/>
          <w:lang w:val="en-GB"/>
        </w:rPr>
        <w:t>iz</w:t>
      </w:r>
      <w:r>
        <w:rPr>
          <w:rFonts w:cs="Times New Roman"/>
          <w:lang w:val="en-GB"/>
        </w:rPr>
        <w:t>ation</w:t>
      </w:r>
      <w:r w:rsidRPr="00BD2160">
        <w:rPr>
          <w:rFonts w:cs="Times New Roman"/>
          <w:lang w:val="en-GB"/>
        </w:rPr>
        <w:t>, i.e. the amount of energy required to evaporate 1 kg liquid water</w:t>
      </w:r>
      <w:r>
        <w:rPr>
          <w:rFonts w:cs="Times New Roman"/>
          <w:lang w:val="en-GB"/>
        </w:rPr>
        <w:t xml:space="preserve"> (kJ </w:t>
      </w:r>
      <w:r w:rsidRPr="00BD2160">
        <w:rPr>
          <w:rFonts w:cs="Times New Roman"/>
          <w:lang w:val="en-GB"/>
        </w:rPr>
        <w:t>kg</w:t>
      </w:r>
      <w:r w:rsidR="008D1DBC">
        <w:rPr>
          <w:rFonts w:cs="Times New Roman"/>
          <w:vertAlign w:val="superscript"/>
          <w:lang w:val="en-GB"/>
        </w:rPr>
        <w:t>–</w:t>
      </w:r>
      <w:r w:rsidRPr="00073815">
        <w:rPr>
          <w:rFonts w:cs="Times New Roman"/>
          <w:vertAlign w:val="superscript"/>
          <w:lang w:val="en-GB"/>
        </w:rPr>
        <w:t>1</w:t>
      </w:r>
      <w:r>
        <w:rPr>
          <w:rFonts w:cs="Times New Roman"/>
          <w:lang w:val="en-GB"/>
        </w:rPr>
        <w:t xml:space="preserve">), </w:t>
      </w:r>
      <w:r w:rsidR="008D1DBC">
        <w:rPr>
          <w:rFonts w:cs="Times New Roman"/>
          <w:lang w:val="en-GB"/>
        </w:rPr>
        <w:t xml:space="preserve">which </w:t>
      </w:r>
      <w:r>
        <w:rPr>
          <w:rFonts w:cs="Times New Roman"/>
          <w:lang w:val="en-GB"/>
        </w:rPr>
        <w:t>de</w:t>
      </w:r>
      <w:r w:rsidR="00AF7929">
        <w:rPr>
          <w:rFonts w:cs="Times New Roman"/>
          <w:lang w:val="en-GB"/>
        </w:rPr>
        <w:t>pend</w:t>
      </w:r>
      <w:r w:rsidR="008D1DBC">
        <w:rPr>
          <w:rFonts w:cs="Times New Roman"/>
          <w:lang w:val="en-GB"/>
        </w:rPr>
        <w:t>s slightly</w:t>
      </w:r>
      <w:r w:rsidR="00AF7929">
        <w:rPr>
          <w:rFonts w:cs="Times New Roman"/>
          <w:lang w:val="en-GB"/>
        </w:rPr>
        <w:t xml:space="preserve"> on </w:t>
      </w:r>
      <w:r w:rsidR="00AF7929" w:rsidRPr="003E6833">
        <w:rPr>
          <w:rFonts w:cs="Times New Roman"/>
          <w:i/>
          <w:lang w:val="en-GB"/>
        </w:rPr>
        <w:t>T</w:t>
      </w:r>
      <w:r w:rsidR="00AF7929" w:rsidRPr="007A77B2">
        <w:rPr>
          <w:rFonts w:cs="Times New Roman"/>
          <w:vertAlign w:val="subscript"/>
          <w:lang w:val="en-GB"/>
        </w:rPr>
        <w:t>air</w:t>
      </w:r>
      <w:r w:rsidR="00AF7929">
        <w:rPr>
          <w:rFonts w:cs="Times New Roman"/>
          <w:lang w:val="en-GB"/>
        </w:rPr>
        <w:t xml:space="preserve"> </w:t>
      </w:r>
      <w:r w:rsidR="004442F0">
        <w:rPr>
          <w:rFonts w:cs="Times New Roman"/>
          <w:lang w:val="en-GB"/>
        </w:rPr>
        <w:fldChar w:fldCharType="begin" w:fldLock="1"/>
      </w:r>
      <w:r w:rsidR="000139B4">
        <w:rPr>
          <w:rFonts w:cs="Times New Roman"/>
          <w:lang w:val="en-GB"/>
        </w:rPr>
        <w:instrText>ADDIN CSL_CITATION {"citationItems":[{"id":"ITEM-1","itemData":{"DOI":"10.1007/978-94-009-3027-8","ISBN":"978-90-277-2769-5","author":[{"dropping-particle":"","family":"Stull","given":"B","non-dropping-particle":"","parse-names":false,"suffix":""}],"editor":[{"dropping-particle":"","family":"Stull","given":"Roland B.","non-dropping-particle":"","parse-names":false,"suffix":""}],"id":"ITEM-1","issued":{"date-parts":[["1988"]]},"number-of-pages":"279","publisher":"Springer Netherlands","publisher-place":"Dordrecht","title":"An Introduction to Boundary Layer Meteorology","type":"book"},"uris":["http://www.mendeley.com/documents/?uuid=6715fe86-1e75-47e3-aa2d-3a72c6b22fdd"]}],"mendeley":{"formattedCitation":"(Stull, 1988)","plainTextFormattedCitation":"(Stull, 1988)","previouslyFormattedCitation":"(B. Stull, 1988)"},"properties":{"noteIndex":0},"schema":"https://github.com/citation-style-language/schema/raw/master/csl-citation.json"}</w:instrText>
      </w:r>
      <w:r w:rsidR="004442F0">
        <w:rPr>
          <w:rFonts w:cs="Times New Roman"/>
          <w:lang w:val="en-GB"/>
        </w:rPr>
        <w:fldChar w:fldCharType="separate"/>
      </w:r>
      <w:r w:rsidR="000139B4" w:rsidRPr="000139B4">
        <w:rPr>
          <w:rFonts w:cs="Times New Roman"/>
          <w:noProof/>
          <w:lang w:val="en-GB"/>
        </w:rPr>
        <w:t>(Stull, 1988)</w:t>
      </w:r>
      <w:r w:rsidR="004442F0">
        <w:rPr>
          <w:rFonts w:cs="Times New Roman"/>
          <w:lang w:val="en-GB"/>
        </w:rPr>
        <w:fldChar w:fldCharType="end"/>
      </w:r>
      <w:r w:rsidR="004442F0">
        <w:rPr>
          <w:rFonts w:cs="Times New Roman"/>
          <w:lang w:val="en-GB"/>
        </w:rPr>
        <w:t>.</w:t>
      </w:r>
      <w:r w:rsidR="00F03D50" w:rsidRPr="00F03D50">
        <w:rPr>
          <w:rFonts w:cs="Times New Roman"/>
          <w:color w:val="00B0F0"/>
        </w:rPr>
        <w:t xml:space="preserve"> </w:t>
      </w:r>
    </w:p>
    <w:p w14:paraId="77FDAAD0" w14:textId="49FDB986" w:rsidR="006413BE" w:rsidRDefault="00053438" w:rsidP="00A34CE7">
      <w:pPr>
        <w:pStyle w:val="Body"/>
        <w:spacing w:before="240" w:line="360" w:lineRule="auto"/>
        <w:jc w:val="both"/>
        <w:rPr>
          <w:rFonts w:cs="Times New Roman"/>
        </w:rPr>
      </w:pPr>
      <w:r>
        <w:rPr>
          <w:rFonts w:cs="Times New Roman"/>
        </w:rPr>
        <w:t>Applying e</w:t>
      </w:r>
      <w:r w:rsidR="00D425CC">
        <w:rPr>
          <w:rFonts w:cs="Times New Roman"/>
        </w:rPr>
        <w:t>quation (</w:t>
      </w:r>
      <w:r w:rsidR="002E0B28">
        <w:rPr>
          <w:rFonts w:cs="Times New Roman"/>
        </w:rPr>
        <w:t>6</w:t>
      </w:r>
      <w:r w:rsidR="00D425CC">
        <w:rPr>
          <w:rFonts w:cs="Times New Roman"/>
        </w:rPr>
        <w:t xml:space="preserve">) </w:t>
      </w:r>
      <w:r w:rsidR="008C707E">
        <w:rPr>
          <w:rFonts w:cs="Times New Roman"/>
        </w:rPr>
        <w:t>to estimate</w:t>
      </w:r>
      <w:r w:rsidR="008C707E" w:rsidRPr="00BD2160">
        <w:rPr>
          <w:rFonts w:cs="Times New Roman"/>
        </w:rPr>
        <w:t xml:space="preserve"> ecosystem WUE trends</w:t>
      </w:r>
      <w:r w:rsidR="008C707E">
        <w:rPr>
          <w:rFonts w:cs="Times New Roman"/>
        </w:rPr>
        <w:t xml:space="preserve"> </w:t>
      </w:r>
      <w:r w:rsidR="00D425CC">
        <w:rPr>
          <w:rFonts w:cs="Times New Roman"/>
        </w:rPr>
        <w:t xml:space="preserve">is </w:t>
      </w:r>
      <w:r>
        <w:rPr>
          <w:rFonts w:cs="Times New Roman"/>
        </w:rPr>
        <w:t>recommended</w:t>
      </w:r>
      <w:r w:rsidR="002E0B28">
        <w:rPr>
          <w:rFonts w:cs="Times New Roman"/>
        </w:rPr>
        <w:t xml:space="preserve"> </w:t>
      </w:r>
      <w:r w:rsidR="00813697">
        <w:rPr>
          <w:rFonts w:cs="Times New Roman"/>
        </w:rPr>
        <w:t>as it</w:t>
      </w:r>
      <w:r w:rsidR="00D425CC">
        <w:rPr>
          <w:rFonts w:cs="Times New Roman"/>
        </w:rPr>
        <w:t xml:space="preserve"> </w:t>
      </w:r>
      <w:r w:rsidR="008C707E">
        <w:rPr>
          <w:rFonts w:cs="Times New Roman"/>
        </w:rPr>
        <w:t xml:space="preserve">is designed to both </w:t>
      </w:r>
      <w:r w:rsidR="00D425CC">
        <w:rPr>
          <w:rFonts w:cs="Times New Roman"/>
        </w:rPr>
        <w:t>minimize</w:t>
      </w:r>
      <w:r w:rsidR="008C707E">
        <w:rPr>
          <w:rFonts w:cs="Times New Roman"/>
        </w:rPr>
        <w:t xml:space="preserve"> the influence of non-stomatal water fluxes (e.g. soil and canopy evaporation) and account for changes in atmospheric demand</w:t>
      </w:r>
      <w:r w:rsidR="00813697">
        <w:rPr>
          <w:rFonts w:cs="Times New Roman"/>
        </w:rPr>
        <w:t>.</w:t>
      </w:r>
      <w:r w:rsidR="00D425CC">
        <w:rPr>
          <w:rFonts w:cs="Times New Roman"/>
        </w:rPr>
        <w:t xml:space="preserve"> New tools are now available to</w:t>
      </w:r>
      <w:r w:rsidR="00EC7A35">
        <w:rPr>
          <w:rFonts w:cs="Times New Roman"/>
        </w:rPr>
        <w:t xml:space="preserve"> facilitate the </w:t>
      </w:r>
      <w:r w:rsidR="00D92DE5">
        <w:rPr>
          <w:rFonts w:cs="Times New Roman"/>
        </w:rPr>
        <w:t xml:space="preserve">derivation of </w:t>
      </w:r>
      <w:r w:rsidR="0020048C" w:rsidRPr="00D5520C">
        <w:rPr>
          <w:rFonts w:cs="Times New Roman"/>
          <w:i/>
        </w:rPr>
        <w:t>G</w:t>
      </w:r>
      <w:r w:rsidR="0020048C">
        <w:rPr>
          <w:rFonts w:cs="Times New Roman"/>
          <w:vertAlign w:val="subscript"/>
        </w:rPr>
        <w:t>a</w:t>
      </w:r>
      <w:r w:rsidR="0020048C">
        <w:rPr>
          <w:rFonts w:cs="Times New Roman"/>
          <w:i/>
        </w:rPr>
        <w:t xml:space="preserve"> </w:t>
      </w:r>
      <w:r w:rsidR="0020048C" w:rsidRPr="007A77B2">
        <w:rPr>
          <w:rFonts w:cs="Times New Roman"/>
        </w:rPr>
        <w:t xml:space="preserve">and </w:t>
      </w:r>
      <w:r w:rsidR="0020048C" w:rsidRPr="007A77B2">
        <w:rPr>
          <w:rFonts w:cs="Times New Roman"/>
          <w:i/>
        </w:rPr>
        <w:t>G</w:t>
      </w:r>
      <w:r w:rsidR="0020048C" w:rsidRPr="007A77B2">
        <w:rPr>
          <w:rFonts w:cs="Times New Roman"/>
          <w:vertAlign w:val="subscript"/>
        </w:rPr>
        <w:t>s</w:t>
      </w:r>
      <w:r w:rsidR="0020048C">
        <w:rPr>
          <w:rFonts w:cs="Times New Roman"/>
        </w:rPr>
        <w:t xml:space="preserve"> </w:t>
      </w:r>
      <w:r w:rsidR="00416A3E">
        <w:rPr>
          <w:rFonts w:cs="Times New Roman"/>
        </w:rPr>
        <w:t xml:space="preserve">from the </w:t>
      </w:r>
      <w:r w:rsidR="0038464B">
        <w:rPr>
          <w:rFonts w:cs="Times New Roman"/>
        </w:rPr>
        <w:t>eddy-covariance</w:t>
      </w:r>
      <w:r w:rsidR="00416A3E">
        <w:rPr>
          <w:rFonts w:cs="Times New Roman"/>
        </w:rPr>
        <w:t xml:space="preserve"> flux observations </w:t>
      </w:r>
      <w:r w:rsidR="008A2F2B">
        <w:fldChar w:fldCharType="begin" w:fldLock="1"/>
      </w:r>
      <w:r w:rsidR="00311C24">
        <w:rPr>
          <w:rFonts w:cs="Times New Roman"/>
        </w:rPr>
        <w:instrText>ADDIN CSL_CITATION {"citationItems":[{"id":"ITEM-1","itemData":{"DOI":"https://doi.org/ 10.1371/journal.pone.0201114","author":[{"dropping-particle":"","family":"Knauer","given":"Jürgen","non-dropping-particle":"","parse-names":false,"suffix":""},{"dropping-particle":"","family":"El-Madany","given":"Tarek S","non-dropping-particle":"","parse-names":false,"suffix":""},{"dropping-particle":"","family":"Zaehle","given":"Sönke","non-dropping-particle":"","parse-names":false,"suffix":""},{"dropping-particle":"","family":"Migliavacca","given":"Mirco","non-dropping-particle":"","parse-names":false,"suffix":""}],"container-title":"PLoS ONE","id":"ITEM-1","issue":"8","issued":{"date-parts":[["2018"]]},"page":"1-26","title":"Bigleaf — An R package for the calculation of physical and physiological ecosystem properties from eddy covariance data","type":"article-journal","volume":"13"},"uris":["http://www.mendeley.com/documents/?uuid=501fd6df-8f11-40d5-8afe-f8c983b50b68"]}],"mendeley":{"formattedCitation":"(Knauer, El-Madany, Zaehle, &amp; Migliavacca, 2018)","manualFormatting":"(Knauer, El-Madany, et al., 2018)","plainTextFormattedCitation":"(Knauer, El-Madany, Zaehle, &amp; Migliavacca, 2018)","previouslyFormattedCitation":"(Knauer, El-Madany, Zaehle, &amp; Migliavacca, 2018)"},"properties":{"noteIndex":0},"schema":"https://github.com/citation-style-language/schema/raw/master/csl-citation.json"}</w:instrText>
      </w:r>
      <w:r w:rsidR="008A2F2B">
        <w:fldChar w:fldCharType="separate"/>
      </w:r>
      <w:r w:rsidR="006E06D4" w:rsidRPr="006E06D4">
        <w:rPr>
          <w:rFonts w:cs="Times New Roman"/>
          <w:noProof/>
        </w:rPr>
        <w:t xml:space="preserve">(Knauer, El-Madany, </w:t>
      </w:r>
      <w:r w:rsidR="00311C24">
        <w:rPr>
          <w:rFonts w:cs="Times New Roman"/>
          <w:noProof/>
        </w:rPr>
        <w:t>et al.</w:t>
      </w:r>
      <w:r w:rsidR="006E06D4" w:rsidRPr="006E06D4">
        <w:rPr>
          <w:rFonts w:cs="Times New Roman"/>
          <w:noProof/>
        </w:rPr>
        <w:t>, 2018)</w:t>
      </w:r>
      <w:r w:rsidR="008A2F2B">
        <w:fldChar w:fldCharType="end"/>
      </w:r>
      <w:r w:rsidR="00731355">
        <w:t xml:space="preserve"> </w:t>
      </w:r>
      <w:r w:rsidR="008D1DBC">
        <w:t xml:space="preserve">– </w:t>
      </w:r>
      <w:r w:rsidR="00A8565E">
        <w:t xml:space="preserve">but all methods to date necessitate a ‘big-leaf’ assumption in the inversion of </w:t>
      </w:r>
      <w:r w:rsidR="00A8565E" w:rsidRPr="00A8565E">
        <w:rPr>
          <w:i/>
        </w:rPr>
        <w:t>G</w:t>
      </w:r>
      <w:r w:rsidR="00A8565E" w:rsidRPr="00A8565E">
        <w:rPr>
          <w:vertAlign w:val="subscript"/>
        </w:rPr>
        <w:t>s</w:t>
      </w:r>
      <w:r w:rsidR="00A8565E">
        <w:t>, which introduces additional assumptions</w:t>
      </w:r>
      <w:r w:rsidR="008A2F2B">
        <w:rPr>
          <w:rFonts w:cs="Times New Roman"/>
        </w:rPr>
        <w:t>.</w:t>
      </w:r>
      <w:r w:rsidR="006C7FE4">
        <w:rPr>
          <w:rFonts w:cs="Times New Roman"/>
        </w:rPr>
        <w:t xml:space="preserve"> </w:t>
      </w:r>
    </w:p>
    <w:p w14:paraId="2294B168" w14:textId="77777777" w:rsidR="000E73B8" w:rsidRPr="00D961E4" w:rsidRDefault="000E73B8" w:rsidP="007A77B2">
      <w:pPr>
        <w:pStyle w:val="Body"/>
        <w:spacing w:line="360" w:lineRule="auto"/>
        <w:jc w:val="both"/>
        <w:rPr>
          <w:rFonts w:cs="Times New Roman"/>
          <w:color w:val="000000" w:themeColor="text1"/>
        </w:rPr>
      </w:pPr>
    </w:p>
    <w:p w14:paraId="7BB5E037" w14:textId="63678D58" w:rsidR="00A41D99" w:rsidRPr="00D961E4" w:rsidRDefault="00F50645" w:rsidP="007A77B2">
      <w:pPr>
        <w:pStyle w:val="Body"/>
        <w:numPr>
          <w:ilvl w:val="0"/>
          <w:numId w:val="29"/>
        </w:numPr>
        <w:spacing w:line="360" w:lineRule="auto"/>
        <w:jc w:val="both"/>
        <w:rPr>
          <w:rFonts w:cs="Times New Roman"/>
          <w:b/>
          <w:color w:val="000000" w:themeColor="text1"/>
        </w:rPr>
      </w:pPr>
      <w:r w:rsidRPr="00D961E4">
        <w:rPr>
          <w:rFonts w:cs="Times New Roman"/>
          <w:b/>
          <w:color w:val="000000" w:themeColor="text1"/>
        </w:rPr>
        <w:t xml:space="preserve">Trends </w:t>
      </w:r>
      <w:r w:rsidR="00C35A86">
        <w:rPr>
          <w:rFonts w:cs="Times New Roman"/>
          <w:b/>
          <w:color w:val="000000" w:themeColor="text1"/>
        </w:rPr>
        <w:t>report</w:t>
      </w:r>
      <w:r w:rsidR="00C35A86" w:rsidRPr="00D961E4">
        <w:rPr>
          <w:rFonts w:cs="Times New Roman"/>
          <w:b/>
          <w:color w:val="000000" w:themeColor="text1"/>
        </w:rPr>
        <w:t xml:space="preserve">ed </w:t>
      </w:r>
      <w:r w:rsidRPr="00D961E4">
        <w:rPr>
          <w:rFonts w:cs="Times New Roman"/>
          <w:b/>
          <w:color w:val="000000" w:themeColor="text1"/>
        </w:rPr>
        <w:t>in the literature</w:t>
      </w:r>
      <w:r w:rsidR="00330DC1" w:rsidRPr="00D961E4">
        <w:rPr>
          <w:rFonts w:cs="Times New Roman"/>
          <w:b/>
          <w:color w:val="000000" w:themeColor="text1"/>
        </w:rPr>
        <w:t xml:space="preserve"> from </w:t>
      </w:r>
      <w:r w:rsidR="00C35A86">
        <w:rPr>
          <w:rFonts w:cs="Times New Roman"/>
          <w:b/>
          <w:color w:val="000000" w:themeColor="text1"/>
        </w:rPr>
        <w:t>observation</w:t>
      </w:r>
      <w:r w:rsidR="00330DC1" w:rsidRPr="00D961E4">
        <w:rPr>
          <w:rFonts w:cs="Times New Roman"/>
          <w:b/>
          <w:color w:val="000000" w:themeColor="text1"/>
        </w:rPr>
        <w:t>s</w:t>
      </w:r>
    </w:p>
    <w:p w14:paraId="3B1A0661" w14:textId="22AFDB5D" w:rsidR="001E39A9" w:rsidRDefault="006A2BC7" w:rsidP="00041250">
      <w:pPr>
        <w:pStyle w:val="Body"/>
        <w:spacing w:after="120" w:line="360" w:lineRule="auto"/>
        <w:jc w:val="both"/>
        <w:rPr>
          <w:rFonts w:cs="Times New Roman"/>
        </w:rPr>
      </w:pPr>
      <w:r w:rsidRPr="00BD2160">
        <w:rPr>
          <w:rFonts w:cs="Times New Roman"/>
          <w:color w:val="000000" w:themeColor="text1"/>
        </w:rPr>
        <w:t>Over the past 150 years</w:t>
      </w:r>
      <w:r w:rsidR="00017582" w:rsidRPr="00BD2160">
        <w:rPr>
          <w:rFonts w:cs="Times New Roman"/>
          <w:color w:val="000000" w:themeColor="text1"/>
        </w:rPr>
        <w:t>,</w:t>
      </w:r>
      <w:r w:rsidR="00D84368" w:rsidRPr="00BD2160">
        <w:rPr>
          <w:rFonts w:cs="Times New Roman"/>
          <w:color w:val="000000" w:themeColor="text1"/>
        </w:rPr>
        <w:t xml:space="preserve"> </w:t>
      </w:r>
      <w:r w:rsidRPr="00BD2160">
        <w:rPr>
          <w:rFonts w:cs="Times New Roman"/>
          <w:i/>
          <w:color w:val="000000" w:themeColor="text1"/>
        </w:rPr>
        <w:t>c</w:t>
      </w:r>
      <w:r w:rsidRPr="00BD2160">
        <w:rPr>
          <w:rFonts w:cs="Times New Roman"/>
          <w:color w:val="000000" w:themeColor="text1"/>
          <w:vertAlign w:val="subscript"/>
        </w:rPr>
        <w:t>a</w:t>
      </w:r>
      <w:r w:rsidRPr="00BD2160">
        <w:rPr>
          <w:rFonts w:cs="Times New Roman"/>
          <w:color w:val="000000" w:themeColor="text1"/>
        </w:rPr>
        <w:t xml:space="preserve"> has </w:t>
      </w:r>
      <w:r w:rsidR="00017582" w:rsidRPr="00BD2160">
        <w:rPr>
          <w:rFonts w:cs="Times New Roman"/>
          <w:color w:val="000000" w:themeColor="text1"/>
        </w:rPr>
        <w:t>increased</w:t>
      </w:r>
      <w:r w:rsidRPr="00BD2160">
        <w:rPr>
          <w:rFonts w:cs="Times New Roman"/>
          <w:color w:val="000000" w:themeColor="text1"/>
        </w:rPr>
        <w:t xml:space="preserve"> by </w:t>
      </w:r>
      <w:r w:rsidR="00A906CB">
        <w:rPr>
          <w:rFonts w:cs="Times New Roman"/>
          <w:color w:val="000000" w:themeColor="text1"/>
        </w:rPr>
        <w:t>41</w:t>
      </w:r>
      <w:r w:rsidRPr="00BD2160">
        <w:rPr>
          <w:rFonts w:cs="Times New Roman"/>
          <w:color w:val="000000" w:themeColor="text1"/>
        </w:rPr>
        <w:t xml:space="preserve">% </w:t>
      </w:r>
      <w:r w:rsidR="0093387D">
        <w:rPr>
          <w:color w:val="000000" w:themeColor="text1"/>
        </w:rPr>
        <w:fldChar w:fldCharType="begin" w:fldLock="1"/>
      </w:r>
      <w:r w:rsidR="00CC60FC">
        <w:rPr>
          <w:rFonts w:cs="Times New Roman"/>
          <w:color w:val="000000" w:themeColor="text1"/>
        </w:rPr>
        <w:instrText>ADDIN CSL_CITATION {"citationItems":[{"id":"ITEM-1","itemData":{"DOI":"10.5194/essd-10-2141-2018","ISSN":"1866-3516","abstract":"Abstract. Accurate assessment of anthropogenic carbon dioxide (CO2) emissions and their redistribution among the atmosphere, ocean, and terrestrial biosphere – the “global carbon budget” – is important to better understand the global carbon cycle, support the development of climate policies, and project future climate change. Here we describe data sets and methodology to quantify the five major components of the global carbon budget and their uncertainties. Fossil CO2 emissions (EFF) are based on energy statistics and cement production data, while emissions from land use and land-use change (ELUC), mainly deforestation, are based on land use and land-use change data and bookkeeping models. Atmospheric CO2 concentration is measured directly and its growth rate (GATM) is computed from the annual changes in concentration. The ocean CO2 sink (SOCEAN) and terrestrial CO2 sink (SLAND) are estimated with global process models constrained by observations. The resulting carbon budget imbalance (BIM), the difference between the estimated total emissions and the estimated changes in the atmosphere, ocean, and terrestrial biosphere, is a measure of imperfect data and understanding of the contemporary carbon cycle. All uncertainties are reported as ±1σ. For the last decade available (2008–2017), EFF was 9.4±0.5GtCyr−1, ELUC 1.5±0.7GtCyr−1, GATM 4.7±0.02GtCyr−1, SOCEAN 2.4±0.5GtCyr−1, and SLAND 3.2±0.8GtCyr−1, with a budget imbalance BIM of 0.5GtCyr−1 indicating overestimated emissions and/or underestimated sinks. For the year 2017 alone, the growth in EFF was about 1.6% and emissions increased to 9.9±0.5GtCyr−1. Also for 2017, ELUC was 1.4±0.7GtCyr−1, GATM was 4.6±0.2GtCyr−1, SOCEAN was 2.5±0.5GtCyr−1, and SLAND was 3.8±0.8GtCyr−1, with a BIM of 0.3GtC. The global atmospheric CO2 concentration reached 405.0±0.1ppm averaged over 2017. For 2018, preliminary data for the first 6–9 months indicate a renewed growth in EFF of +2.7% (range of 1.8% to 3.7%) based on national emission projections for China, the US, the EU, and India and projections of gross domestic product corrected for recent changes in the carbon intensity of the economy for the rest of the world. The analysis presented here shows that the mean and trend in the five components of the global carbon budget are consistently estimated over the period of 1959–2017, but discrepancies of up to 1GtCyr−1 persist for the representation of semi-decadal variability in CO2 fluxes. A detailed comparison among individua…","author":[{"dropping-particle":"","family":"Quéré","given":"Corinne","non-dropping-particle":"Le","parse-names":false,"suffix":""},{"dropping-particle":"","family":"Andrew","given":"Robbie M","non-dropping-particle":"","parse-names":false,"suffix":""},{"dropping-particle":"","family":"Friedlingstein","given":"Pierre","non-dropping-particle":"","parse-names":false,"suffix":""},{"dropping-particle":"","family":"Sitch","given":"Stephen","non-dropping-particle":"","parse-names":false,"suffix":""},{"dropping-particle":"","family":"Hauck","given":"Judith","non-dropping-particle":"","parse-names":false,"suffix":""},{"dropping-particle":"","family":"Pongratz","given":"Julia","non-dropping-particle":"","parse-names":false,"suffix":""},{"dropping-particle":"","family":"Pickers","given":"Penelope A.","non-dropping-particle":"","parse-names":false,"suffix":""},{"dropping-particle":"","family":"Korsbakken","given":"Jan Ivar","non-dropping-particle":"","parse-names":false,"suffix":""},{"dropping-particle":"","family":"Peters","given":"Glen P.","non-dropping-particle":"","parse-names":false,"suffix":""},{"dropping-particle":"","family":"Canadell","given":"Josep G","non-dropping-particle":"","parse-names":false,"suffix":""},{"dropping-particle":"","family":"Arneth","given":"Almut","non-dropping-particle":"","parse-names":false,"suffix":""},{"dropping-particle":"","family":"Arora","given":"Vivek K.","non-dropping-particle":"","parse-names":false,"suffix":""},{"dropping-particle":"","family":"Barbero","given":"Leticia","non-dropping-particle":"","parse-names":false,"suffix":""},{"dropping-particle":"","family":"Bastos","given":"Ana","non-dropping-particle":"","parse-names":false,"suffix":""},{"dropping-particle":"","family":"Bopp","given":"Laurent","non-dropping-particle":"","parse-names":false,"suffix":""},{"dropping-particle":"","family":"Chevallier","given":"Frédéric","non-dropping-particle":"","parse-names":false,"suffix":""},{"dropping-particle":"","family":"Chini","given":"Louise P.","non-dropping-particle":"","parse-names":false,"suffix":""},{"dropping-particle":"","family":"Ciais","given":"Philippe","non-dropping-particle":"","parse-names":false,"suffix":""},{"dropping-particle":"","family":"Doney","given":"Scott C.","non-dropping-particle":"","parse-names":false,"suffix":""},{"dropping-particle":"","family":"Gkritzalis","given":"Thanos","non-dropping-particle":"","parse-names":false,"suffix":""},{"dropping-particle":"","family":"Goll","given":"Daniel S.","non-dropping-particle":"","parse-names":false,"suffix":""},{"dropping-particle":"","family":"Harris","given":"Ian","non-dropping-particle":"","parse-names":false,"suffix":""},{"dropping-particle":"","family":"Haverd","given":"Vanessa","non-dropping-particle":"","parse-names":false,"suffix":""},{"dropping-particle":"","family":"Hoffman","given":"Forrest M.","non-dropping-particle":"","parse-names":false,"suffix":""},{"dropping-particle":"","family":"Hoppema","given":"Mario","non-dropping-particle":"","parse-names":false,"suffix":""},{"dropping-particle":"","family":"Houghton","given":"Richard A.","non-dropping-particle":"","parse-names":false,"suffix":""},{"dropping-particle":"","family":"Hurtt","given":"George","non-dropping-particle":"","parse-names":false,"suffix":""},{"dropping-particle":"","family":"Ilyina","given":"Tatiana","non-dropping-particle":"","parse-names":false,"suffix":""},{"dropping-particle":"","family":"Jain","given":"Atul K.","non-dropping-particle":"","parse-names":false,"suffix":""},{"dropping-particle":"","family":"Johannessen","given":"Truls","non-dropping-particle":"","parse-names":false,"suffix":""},{"dropping-particle":"","family":"Jones","given":"Chris D.","non-dropping-particle":"","parse-names":false,"suffix":""},{"dropping-particle":"","family":"Kato","given":"Etsushi","non-dropping-particle":"","parse-names":false,"suffix":""},{"dropping-particle":"","family":"Keeling","given":"Ralph F.","non-dropping-particle":"","parse-names":false,"suffix":""},{"dropping-particle":"","family":"Goldewijk","given":"Kees Klein","non-dropping-particle":"","parse-names":false,"suffix":""},{"dropping-particle":"","family":"Landschützer","given":"Peter","non-dropping-particle":"","parse-names":false,"suffix":""},{"dropping-particle":"","family":"Lefèvre","given":"Nathalie","non-dropping-particle":"","parse-names":false,"suffix":""},{"dropping-particle":"","family":"Lienert","given":"Sebastian","non-dropping-particle":"","parse-names":false,"suffix":""},{"dropping-particle":"","family":"Liu","given":"Zhu","non-dropping-particle":"","parse-names":false,"suffix":""},{"dropping-particle":"","family":"Lombardozzi","given":"Danica","non-dropping-particle":"","parse-names":false,"suffix":""},{"dropping-particle":"","family":"Metzl","given":"Nicolas","non-dropping-particle":"","parse-names":false,"suffix":""},{"dropping-particle":"","family":"Munro","given":"David R.","non-dropping-particle":"","parse-names":false,"suffix":""},{"dropping-particle":"","family":"Nabel","given":"Julia E. M. S.","non-dropping-particle":"","parse-names":false,"suffix":""},{"dropping-particle":"","family":"Nakaoka","given":"Shin-Ichiro","non-dropping-particle":"","parse-names":false,"suffix":""},{"dropping-particle":"","family":"Neill","given":"Craig","non-dropping-particle":"","parse-names":false,"suffix":""},{"dropping-particle":"","family":"Olsen","given":"Are","non-dropping-particle":"","parse-names":false,"suffix":""},{"dropping-particle":"","family":"Ono","given":"Tsueno","non-dropping-particle":"","parse-names":false,"suffix":""},{"dropping-particle":"","family":"Patra","given":"Prabir","non-dropping-particle":"","parse-names":false,"suffix":""},{"dropping-particle":"","family":"Peregon","given":"Anna","non-dropping-particle":"","parse-names":false,"suffix":""},{"dropping-particle":"","family":"Peters","given":"Wouter","non-dropping-particle":"","parse-names":false,"suffix":""},{"dropping-particle":"","family":"Peylin","given":"Philippe","non-dropping-particle":"","parse-names":false,"suffix":""},{"dropping-particle":"","family":"Pfeil","given":"Benjamin","non-dropping-particle":"","parse-names":false,"suffix":""},{"dropping-particle":"","family":"Pierrot","given":"Denis","non-dropping-particle":"","parse-names":false,"suffix":""},{"dropping-particle":"","family":"Poulter","given":"Benjamin","non-dropping-particle":"","parse-names":false,"suffix":""},{"dropping-particle":"","family":"Rehder","given":"Gregor","non-dropping-particle":"","parse-names":false,"suffix":""},{"dropping-particle":"","family":"Resplandy","given":"Laure","non-dropping-particle":"","parse-names":false,"suffix":""},{"dropping-particle":"","family":"Robertson","given":"Eddy","non-dropping-particle":"","parse-names":false,"suffix":""},{"dropping-particle":"","family":"Rocher","given":"Matthias","non-dropping-particle":"","parse-names":false,"suffix":""},{"dropping-particle":"","family":"Rödenbeck","given":"Christian","non-dropping-particle":"","parse-names":false,"suffix":""},{"dropping-particle":"","family":"Schuster","given":"Ute","non-dropping-particle":"","parse-names":false,"suffix":""},{"dropping-particle":"","family":"Schwinger","given":"Jörg","non-dropping-particle":"","parse-names":false,"suffix":""},{"dropping-particle":"","family":"Séférian","given":"Roland","non-dropping-particle":"","parse-names":false,"suffix":""},{"dropping-particle":"","family":"Skjelvan","given":"Ingunn","non-dropping-particle":"","parse-names":false,"suffix":""},{"dropping-particle":"","family":"Steinhoff","given":"Tobias","non-dropping-particle":"","parse-names":false,"suffix":""},{"dropping-particle":"","family":"Sutton","given":"Adrienne","non-dropping-particle":"","parse-names":false,"suffix":""},{"dropping-particle":"","family":"Tans","given":"Pieter P.","non-dropping-particle":"","parse-names":false,"suffix":""},{"dropping-particle":"","family":"Tian","given":"Hanqin","non-dropping-particle":"","parse-names":false,"suffix":""},{"dropping-particle":"","family":"Tilbrook","given":"Bronte","non-dropping-particle":"","parse-names":false,"suffix":""},{"dropping-particle":"","family":"Tubiello","given":"Francesco N.","non-dropping-particle":"","parse-names":false,"suffix":""},{"dropping-particle":"","family":"Laan-Luijkx","given":"Ingrid T.","non-dropping-particle":"van der","parse-names":false,"suffix":""},{"dropping-particle":"","family":"Werf","given":"Guido R.","non-dropping-particle":"van der","parse-names":false,"suffix":""},{"dropping-particle":"","family":"Viovy","given":"Nicolas","non-dropping-particle":"","parse-names":false,"suffix":""},{"dropping-particle":"","family":"Walker","given":"Anthony P.","non-dropping-particle":"","parse-names":false,"suffix":""},{"dropping-particle":"","family":"Wiltshire","given":"Andrew J.","non-dropping-particle":"","parse-names":false,"suffix":""},{"dropping-particle":"","family":"Wright","given":"Rebecca","non-dropping-particle":"","parse-names":false,"suffix":""},{"dropping-particle":"","family":"Zaehle","given":"Sönke","non-dropping-particle":"","parse-names":false,"suffix":""},{"dropping-particle":"","family":"Zheng","given":"Bo","non-dropping-particle":"","parse-names":false,"suffix":""}],"container-title":"Earth System Science Data","id":"ITEM-1","issue":"4","issued":{"date-parts":[["2018","12","5"]]},"page":"2141-2194","title":"Global Carbon Budget 2018","type":"article-journal","volume":"10"},"uris":["http://www.mendeley.com/documents/?uuid=f9efc82e-223f-4216-baa3-d40c7b7251c3"]}],"mendeley":{"formattedCitation":"(Le Quéré et al., 2018)","plainTextFormattedCitation":"(Le Quéré et al., 2018)","previouslyFormattedCitation":"(Le Quéré et al., 2018)"},"properties":{"noteIndex":0},"schema":"https://github.com/citation-style-language/schema/raw/master/csl-citation.json"}</w:instrText>
      </w:r>
      <w:r w:rsidR="0093387D">
        <w:rPr>
          <w:color w:val="000000" w:themeColor="text1"/>
        </w:rPr>
        <w:fldChar w:fldCharType="separate"/>
      </w:r>
      <w:r w:rsidR="00CC60FC" w:rsidRPr="00CC60FC">
        <w:rPr>
          <w:rFonts w:cs="Times New Roman"/>
          <w:noProof/>
          <w:color w:val="000000" w:themeColor="text1"/>
        </w:rPr>
        <w:t>(Le Quéré et al., 2018)</w:t>
      </w:r>
      <w:r w:rsidR="0093387D">
        <w:rPr>
          <w:color w:val="000000" w:themeColor="text1"/>
        </w:rPr>
        <w:fldChar w:fldCharType="end"/>
      </w:r>
      <w:r w:rsidR="0011477C">
        <w:rPr>
          <w:rFonts w:cs="Times New Roman"/>
          <w:color w:val="000000" w:themeColor="text1"/>
        </w:rPr>
        <w:t xml:space="preserve"> </w:t>
      </w:r>
      <w:r w:rsidR="001F141B">
        <w:rPr>
          <w:rFonts w:cs="Times New Roman"/>
          <w:color w:val="000000" w:themeColor="text1"/>
        </w:rPr>
        <w:t>suggesting</w:t>
      </w:r>
      <w:r w:rsidRPr="00BD2160">
        <w:rPr>
          <w:rFonts w:cs="Times New Roman"/>
          <w:color w:val="000000" w:themeColor="text1"/>
        </w:rPr>
        <w:t xml:space="preserve"> that </w:t>
      </w:r>
      <w:r w:rsidR="00542C44" w:rsidRPr="00BD2160">
        <w:rPr>
          <w:rFonts w:cs="Times New Roman"/>
        </w:rPr>
        <w:t>WUE</w:t>
      </w:r>
      <w:r w:rsidRPr="00BD2160">
        <w:rPr>
          <w:rFonts w:cs="Times New Roman"/>
          <w:color w:val="000000" w:themeColor="text1"/>
        </w:rPr>
        <w:t xml:space="preserve"> </w:t>
      </w:r>
      <w:r w:rsidR="00732EEE">
        <w:rPr>
          <w:rFonts w:cs="Times New Roman"/>
          <w:color w:val="000000" w:themeColor="text1"/>
        </w:rPr>
        <w:t>sh</w:t>
      </w:r>
      <w:r w:rsidR="00732EEE" w:rsidRPr="00BD2160">
        <w:rPr>
          <w:rFonts w:cs="Times New Roman"/>
          <w:color w:val="000000" w:themeColor="text1"/>
        </w:rPr>
        <w:t xml:space="preserve">ould </w:t>
      </w:r>
      <w:r w:rsidRPr="00BD2160">
        <w:rPr>
          <w:rFonts w:cs="Times New Roman"/>
          <w:color w:val="000000" w:themeColor="text1"/>
        </w:rPr>
        <w:t xml:space="preserve">have </w:t>
      </w:r>
      <w:r w:rsidR="000816DE" w:rsidRPr="00BD2160">
        <w:rPr>
          <w:rFonts w:cs="Times New Roman"/>
          <w:color w:val="000000" w:themeColor="text1"/>
        </w:rPr>
        <w:t>increased</w:t>
      </w:r>
      <w:r w:rsidRPr="00BD2160">
        <w:rPr>
          <w:rFonts w:cs="Times New Roman"/>
          <w:color w:val="000000" w:themeColor="text1"/>
        </w:rPr>
        <w:t xml:space="preserve"> </w:t>
      </w:r>
      <w:r w:rsidR="00BC25E4">
        <w:rPr>
          <w:rFonts w:cs="Times New Roman"/>
          <w:color w:val="000000" w:themeColor="text1"/>
        </w:rPr>
        <w:t>proportion</w:t>
      </w:r>
      <w:r w:rsidR="00FF3CA8">
        <w:rPr>
          <w:rFonts w:cs="Times New Roman"/>
          <w:color w:val="000000" w:themeColor="text1"/>
        </w:rPr>
        <w:t>al</w:t>
      </w:r>
      <w:r w:rsidR="00464C82">
        <w:rPr>
          <w:rFonts w:cs="Times New Roman"/>
          <w:color w:val="000000" w:themeColor="text1"/>
        </w:rPr>
        <w:t>l</w:t>
      </w:r>
      <w:r w:rsidR="00FF3CA8">
        <w:rPr>
          <w:rFonts w:cs="Times New Roman"/>
          <w:color w:val="000000" w:themeColor="text1"/>
        </w:rPr>
        <w:t>y</w:t>
      </w:r>
      <w:r w:rsidR="00D255B9">
        <w:rPr>
          <w:rFonts w:cs="Times New Roman"/>
          <w:color w:val="000000" w:themeColor="text1"/>
        </w:rPr>
        <w:t xml:space="preserve"> </w:t>
      </w:r>
      <w:r w:rsidR="00464C82">
        <w:rPr>
          <w:rFonts w:cs="Times New Roman"/>
          <w:color w:val="000000" w:themeColor="text1"/>
        </w:rPr>
        <w:t xml:space="preserve">to </w:t>
      </w:r>
      <w:r w:rsidR="00464C82" w:rsidRPr="00464C82">
        <w:rPr>
          <w:rFonts w:cs="Times New Roman"/>
          <w:i/>
          <w:color w:val="000000" w:themeColor="text1"/>
        </w:rPr>
        <w:t>c</w:t>
      </w:r>
      <w:r w:rsidR="00464C82" w:rsidRPr="00464C82">
        <w:rPr>
          <w:rFonts w:cs="Times New Roman"/>
          <w:color w:val="000000" w:themeColor="text1"/>
          <w:vertAlign w:val="subscript"/>
        </w:rPr>
        <w:t>a</w:t>
      </w:r>
      <w:r w:rsidR="00B55B87">
        <w:rPr>
          <w:rFonts w:cs="Times New Roman"/>
          <w:color w:val="000000" w:themeColor="text1"/>
        </w:rPr>
        <w:t xml:space="preserve"> </w:t>
      </w:r>
      <w:r w:rsidR="008D1DBC">
        <w:rPr>
          <w:rFonts w:cs="Times New Roman"/>
          <w:color w:val="000000" w:themeColor="text1"/>
        </w:rPr>
        <w:t>–</w:t>
      </w:r>
      <w:r w:rsidR="008D1DBC" w:rsidRPr="00BD2160">
        <w:rPr>
          <w:rFonts w:cs="Times New Roman"/>
          <w:color w:val="000000" w:themeColor="text1"/>
        </w:rPr>
        <w:t xml:space="preserve"> </w:t>
      </w:r>
      <w:r w:rsidR="00FF39FB" w:rsidRPr="00BD2160">
        <w:rPr>
          <w:rFonts w:cs="Times New Roman"/>
          <w:color w:val="000000" w:themeColor="text1"/>
        </w:rPr>
        <w:t>although simul</w:t>
      </w:r>
      <w:r w:rsidRPr="00BD2160">
        <w:rPr>
          <w:rFonts w:cs="Times New Roman"/>
          <w:color w:val="000000" w:themeColor="text1"/>
        </w:rPr>
        <w:t xml:space="preserve">taneous changes in climate (especially </w:t>
      </w:r>
      <w:r w:rsidR="008D1DBC">
        <w:rPr>
          <w:rFonts w:cs="Times New Roman"/>
          <w:color w:val="000000" w:themeColor="text1"/>
        </w:rPr>
        <w:t xml:space="preserve">increasing </w:t>
      </w:r>
      <w:r w:rsidR="00597618">
        <w:rPr>
          <w:rFonts w:cs="Times New Roman"/>
          <w:color w:val="000000" w:themeColor="text1"/>
        </w:rPr>
        <w:t>evaporative water demand</w:t>
      </w:r>
      <w:r w:rsidR="00A64703">
        <w:rPr>
          <w:rFonts w:cs="Times New Roman"/>
          <w:color w:val="000000" w:themeColor="text1"/>
        </w:rPr>
        <w:t xml:space="preserve"> with rising temperature</w:t>
      </w:r>
      <w:r w:rsidRPr="00BD2160">
        <w:rPr>
          <w:rFonts w:cs="Times New Roman"/>
          <w:color w:val="000000" w:themeColor="text1"/>
        </w:rPr>
        <w:t xml:space="preserve">) could </w:t>
      </w:r>
      <w:r w:rsidR="009E7AC3" w:rsidRPr="00BD2160">
        <w:rPr>
          <w:rFonts w:cs="Times New Roman"/>
          <w:color w:val="000000" w:themeColor="text1"/>
        </w:rPr>
        <w:t xml:space="preserve">have </w:t>
      </w:r>
      <w:r w:rsidRPr="00BD2160">
        <w:rPr>
          <w:rFonts w:cs="Times New Roman"/>
          <w:color w:val="000000" w:themeColor="text1"/>
        </w:rPr>
        <w:t>modif</w:t>
      </w:r>
      <w:r w:rsidR="009E7AC3" w:rsidRPr="00BD2160">
        <w:rPr>
          <w:rFonts w:cs="Times New Roman"/>
          <w:color w:val="000000" w:themeColor="text1"/>
        </w:rPr>
        <w:t>ied</w:t>
      </w:r>
      <w:r w:rsidRPr="00BD2160">
        <w:rPr>
          <w:rFonts w:cs="Times New Roman"/>
          <w:color w:val="000000" w:themeColor="text1"/>
        </w:rPr>
        <w:t xml:space="preserve"> this trend</w:t>
      </w:r>
      <w:r w:rsidR="00A64703">
        <w:rPr>
          <w:rFonts w:cs="Times New Roman"/>
          <w:color w:val="000000" w:themeColor="text1"/>
        </w:rPr>
        <w:t xml:space="preserve"> </w:t>
      </w:r>
      <w:r w:rsidR="00E052B4">
        <w:rPr>
          <w:color w:val="000000" w:themeColor="text1"/>
        </w:rPr>
        <w:fldChar w:fldCharType="begin" w:fldLock="1"/>
      </w:r>
      <w:r w:rsidR="005928DD">
        <w:rPr>
          <w:rFonts w:cs="Times New Roman"/>
          <w:color w:val="000000" w:themeColor="text1"/>
        </w:rPr>
        <w:instrText>ADDIN CSL_CITATION {"citationItems":[{"id":"ITEM-1","itemData":{"DOI":"10.1002/grl.50563","ISBN":"00948276","ISSN":"00948276","abstract":"Satellite observations reveal a greening of the globe over recent decades. The role in this greening of the “CO2 fertilization” effect—the enhancement of photosynthesis due to rising CO2 levels—is yet to be established. The direct CO2 effect on vegetation should be most clearly expressed in warm, arid environments where water is the dominant limit to vegetation growth. Using gas exchange theory, we predict that the 14% increase in atmospheric CO2 (1982–2010) led to a 5 to 10% increase in green foliage cover in warm, arid environments. Satellite observations, analyzed to remove the effect of variations in precipitation, show that cover across these environments has increased by 11%. Our results confirm that the anticipated CO2 fertilization effect is occurring alongside ongoing anthropogenic perturbations to the carbon cycle and that the fertilization effect is now a significant land surface process.","author":[{"dropping-particle":"","family":"Donohue","given":"Randall J.","non-dropping-particle":"","parse-names":false,"suffix":""},{"dropping-particle":"","family":"Roderick","given":"Michael L.","non-dropping-particle":"","parse-names":false,"suffix":""},{"dropping-particle":"","family":"McVicar","given":"Tim R.","non-dropping-particle":"","parse-names":false,"suffix":""},{"dropping-particle":"","family":"Farquhar","given":"Graham D.","non-dropping-particle":"","parse-names":false,"suffix":""}],"container-title":"Geophysical Research Letters","id":"ITEM-1","issue":"12","issued":{"date-parts":[["2013"]]},"page":"3031-3035","title":"Impact of CO2 fertilization on maximum foliage cover across the globe's warm, arid environments","type":"article-journal","volume":"40"},"uris":["http://www.mendeley.com/documents/?uuid=8a4f2c4a-e8db-4c48-8067-153a0d0adba8"]}],"mendeley":{"formattedCitation":"(Donohue, Roderick, McVicar, &amp; Farquhar, 2013)","manualFormatting":"(Donohue et al., 2013)","plainTextFormattedCitation":"(Donohue, Roderick, McVicar, &amp; Farquhar, 2013)","previouslyFormattedCitation":"(Donohue, Roderick, McVicar, &amp; Farquhar, 2013)"},"properties":{"noteIndex":0},"schema":"https://github.com/citation-style-language/schema/raw/master/csl-citation.json"}</w:instrText>
      </w:r>
      <w:r w:rsidR="00E052B4">
        <w:rPr>
          <w:color w:val="000000" w:themeColor="text1"/>
        </w:rPr>
        <w:fldChar w:fldCharType="separate"/>
      </w:r>
      <w:r w:rsidR="00E052B4" w:rsidRPr="00E052B4">
        <w:rPr>
          <w:rFonts w:cs="Times New Roman"/>
          <w:noProof/>
          <w:color w:val="000000" w:themeColor="text1"/>
        </w:rPr>
        <w:t>(Donohue</w:t>
      </w:r>
      <w:r w:rsidR="005928DD">
        <w:rPr>
          <w:rFonts w:cs="Times New Roman"/>
          <w:noProof/>
          <w:color w:val="000000" w:themeColor="text1"/>
        </w:rPr>
        <w:t xml:space="preserve"> et al., </w:t>
      </w:r>
      <w:r w:rsidR="00E052B4" w:rsidRPr="00E052B4">
        <w:rPr>
          <w:rFonts w:cs="Times New Roman"/>
          <w:noProof/>
          <w:color w:val="000000" w:themeColor="text1"/>
        </w:rPr>
        <w:t>2013)</w:t>
      </w:r>
      <w:r w:rsidR="00E052B4">
        <w:rPr>
          <w:color w:val="000000" w:themeColor="text1"/>
        </w:rPr>
        <w:fldChar w:fldCharType="end"/>
      </w:r>
      <w:r w:rsidR="00E052B4">
        <w:rPr>
          <w:rFonts w:cs="Times New Roman"/>
          <w:color w:val="000000" w:themeColor="text1"/>
        </w:rPr>
        <w:t>.</w:t>
      </w:r>
      <w:r w:rsidR="009C7DF5" w:rsidRPr="00BD2160">
        <w:rPr>
          <w:rFonts w:cs="Times New Roman"/>
          <w:color w:val="000000" w:themeColor="text1"/>
        </w:rPr>
        <w:t xml:space="preserve"> </w:t>
      </w:r>
      <w:r w:rsidR="00732EEE">
        <w:rPr>
          <w:rFonts w:cs="Times New Roman"/>
        </w:rPr>
        <w:t>Consistent with this expectation</w:t>
      </w:r>
      <w:r w:rsidR="001A4183" w:rsidRPr="00BD2160">
        <w:rPr>
          <w:rFonts w:cs="Times New Roman"/>
        </w:rPr>
        <w:t>, m</w:t>
      </w:r>
      <w:r w:rsidR="00306D4B" w:rsidRPr="00BD2160">
        <w:rPr>
          <w:rFonts w:cs="Times New Roman"/>
        </w:rPr>
        <w:t xml:space="preserve">ost </w:t>
      </w:r>
      <w:r w:rsidR="001C710B" w:rsidRPr="00BD2160">
        <w:rPr>
          <w:rFonts w:cs="Times New Roman"/>
        </w:rPr>
        <w:t xml:space="preserve">empirical </w:t>
      </w:r>
      <w:r w:rsidR="00306D4B" w:rsidRPr="00BD2160">
        <w:rPr>
          <w:rFonts w:cs="Times New Roman"/>
        </w:rPr>
        <w:t xml:space="preserve">studies have </w:t>
      </w:r>
      <w:r w:rsidR="001C710B" w:rsidRPr="00BD2160">
        <w:rPr>
          <w:rFonts w:cs="Times New Roman"/>
        </w:rPr>
        <w:t xml:space="preserve">shown </w:t>
      </w:r>
      <w:r w:rsidR="00306D4B" w:rsidRPr="00BD2160">
        <w:rPr>
          <w:rFonts w:cs="Times New Roman"/>
        </w:rPr>
        <w:t>increasing trend</w:t>
      </w:r>
      <w:r w:rsidR="00BA6C3D">
        <w:rPr>
          <w:rFonts w:cs="Times New Roman"/>
        </w:rPr>
        <w:t>s</w:t>
      </w:r>
      <w:r w:rsidR="00306D4B" w:rsidRPr="00BD2160">
        <w:rPr>
          <w:rFonts w:cs="Times New Roman"/>
        </w:rPr>
        <w:t xml:space="preserve"> </w:t>
      </w:r>
      <w:r w:rsidR="001C710B" w:rsidRPr="00BD2160">
        <w:rPr>
          <w:rFonts w:cs="Times New Roman"/>
        </w:rPr>
        <w:t xml:space="preserve">in </w:t>
      </w:r>
      <w:r w:rsidR="00306D4B" w:rsidRPr="00BD2160">
        <w:rPr>
          <w:rFonts w:cs="Times New Roman"/>
        </w:rPr>
        <w:t>both leaf- and ecosystem-</w:t>
      </w:r>
      <w:r w:rsidR="001C710B" w:rsidRPr="00BD2160">
        <w:rPr>
          <w:rFonts w:cs="Times New Roman"/>
        </w:rPr>
        <w:t xml:space="preserve">level </w:t>
      </w:r>
      <w:r w:rsidR="00306D4B" w:rsidRPr="00BD2160">
        <w:rPr>
          <w:rFonts w:cs="Times New Roman"/>
        </w:rPr>
        <w:t xml:space="preserve">WUE </w:t>
      </w:r>
      <w:r w:rsidR="008D1DBC">
        <w:rPr>
          <w:rFonts w:cs="Times New Roman"/>
        </w:rPr>
        <w:t>concurrently</w:t>
      </w:r>
      <w:r w:rsidR="008D1DBC" w:rsidRPr="00BD2160">
        <w:rPr>
          <w:rFonts w:cs="Times New Roman"/>
        </w:rPr>
        <w:t xml:space="preserve"> </w:t>
      </w:r>
      <w:r w:rsidR="00CF538F" w:rsidRPr="00BD2160">
        <w:rPr>
          <w:rFonts w:cs="Times New Roman"/>
        </w:rPr>
        <w:t xml:space="preserve">with the </w:t>
      </w:r>
      <w:r w:rsidR="00CF538F" w:rsidRPr="00BD2160">
        <w:rPr>
          <w:rFonts w:cs="Times New Roman"/>
          <w:i/>
        </w:rPr>
        <w:t>c</w:t>
      </w:r>
      <w:r w:rsidR="00CF538F" w:rsidRPr="00BD2160">
        <w:rPr>
          <w:rFonts w:cs="Times New Roman"/>
          <w:vertAlign w:val="subscript"/>
        </w:rPr>
        <w:t>a</w:t>
      </w:r>
      <w:r w:rsidR="00CF538F" w:rsidRPr="00BD2160">
        <w:rPr>
          <w:rFonts w:cs="Times New Roman"/>
        </w:rPr>
        <w:t xml:space="preserve"> rise </w:t>
      </w:r>
      <w:r w:rsidR="00306D4B" w:rsidRPr="00BD2160">
        <w:rPr>
          <w:rFonts w:cs="Times New Roman"/>
        </w:rPr>
        <w:t xml:space="preserve">over the </w:t>
      </w:r>
      <w:r w:rsidR="00DA7EB4" w:rsidRPr="00BD2160">
        <w:rPr>
          <w:rFonts w:cs="Times New Roman"/>
        </w:rPr>
        <w:t>20</w:t>
      </w:r>
      <w:r w:rsidR="00DA7EB4" w:rsidRPr="00BD2160">
        <w:rPr>
          <w:rFonts w:cs="Times New Roman"/>
          <w:vertAlign w:val="superscript"/>
        </w:rPr>
        <w:t>th</w:t>
      </w:r>
      <w:r w:rsidR="00DA7EB4" w:rsidRPr="00BD2160">
        <w:rPr>
          <w:rFonts w:cs="Times New Roman"/>
        </w:rPr>
        <w:t xml:space="preserve"> and 21</w:t>
      </w:r>
      <w:r w:rsidR="00DA7EB4" w:rsidRPr="00BD2160">
        <w:rPr>
          <w:rFonts w:cs="Times New Roman"/>
          <w:vertAlign w:val="superscript"/>
        </w:rPr>
        <w:t>st</w:t>
      </w:r>
      <w:r w:rsidR="00DA7EB4" w:rsidRPr="00BD2160">
        <w:rPr>
          <w:rFonts w:cs="Times New Roman"/>
        </w:rPr>
        <w:t xml:space="preserve"> centuries</w:t>
      </w:r>
      <w:r w:rsidR="00732EEE">
        <w:rPr>
          <w:rFonts w:cs="Times New Roman"/>
        </w:rPr>
        <w:t>.</w:t>
      </w:r>
      <w:r w:rsidR="00306D4B" w:rsidRPr="00BD2160">
        <w:rPr>
          <w:rFonts w:cs="Times New Roman"/>
        </w:rPr>
        <w:t xml:space="preserve"> </w:t>
      </w:r>
      <w:r w:rsidR="00316709">
        <w:rPr>
          <w:rFonts w:cs="Times New Roman"/>
        </w:rPr>
        <w:t>However,</w:t>
      </w:r>
      <w:r w:rsidR="00316709" w:rsidRPr="00BD2160">
        <w:rPr>
          <w:rFonts w:cs="Times New Roman"/>
        </w:rPr>
        <w:t xml:space="preserve"> </w:t>
      </w:r>
      <w:r w:rsidR="00306D4B" w:rsidRPr="00BD2160">
        <w:rPr>
          <w:rFonts w:cs="Times New Roman"/>
        </w:rPr>
        <w:t>different magnitude</w:t>
      </w:r>
      <w:r w:rsidR="005D023E" w:rsidRPr="00BD2160">
        <w:rPr>
          <w:rFonts w:cs="Times New Roman"/>
        </w:rPr>
        <w:t>s</w:t>
      </w:r>
      <w:r w:rsidR="00306D4B" w:rsidRPr="00BD2160">
        <w:rPr>
          <w:rFonts w:cs="Times New Roman"/>
        </w:rPr>
        <w:t xml:space="preserve"> of </w:t>
      </w:r>
      <w:r w:rsidR="00DE048F">
        <w:rPr>
          <w:rFonts w:cs="Times New Roman"/>
        </w:rPr>
        <w:t xml:space="preserve">WUE </w:t>
      </w:r>
      <w:r w:rsidR="00DE59D4" w:rsidRPr="00BD2160">
        <w:rPr>
          <w:rFonts w:cs="Times New Roman"/>
        </w:rPr>
        <w:t>increase</w:t>
      </w:r>
      <w:r w:rsidR="00732EEE">
        <w:rPr>
          <w:rFonts w:cs="Times New Roman"/>
        </w:rPr>
        <w:t xml:space="preserve"> </w:t>
      </w:r>
      <w:r w:rsidR="003A2FE7">
        <w:rPr>
          <w:rFonts w:cs="Times New Roman"/>
        </w:rPr>
        <w:t xml:space="preserve">have been </w:t>
      </w:r>
      <w:r w:rsidR="00156FB5">
        <w:rPr>
          <w:rFonts w:cs="Times New Roman"/>
        </w:rPr>
        <w:t>document</w:t>
      </w:r>
      <w:r w:rsidR="003A2FE7">
        <w:rPr>
          <w:rFonts w:cs="Times New Roman"/>
        </w:rPr>
        <w:t xml:space="preserve">ed </w:t>
      </w:r>
      <w:r w:rsidR="000C78DD">
        <w:rPr>
          <w:rFonts w:cs="Times New Roman"/>
        </w:rPr>
        <w:t>in the literature</w:t>
      </w:r>
      <w:r w:rsidR="00E253D0" w:rsidRPr="00BD2160">
        <w:rPr>
          <w:rFonts w:cs="Times New Roman"/>
          <w:lang w:val="de-DE"/>
        </w:rPr>
        <w:t xml:space="preserve">. </w:t>
      </w:r>
    </w:p>
    <w:p w14:paraId="5DDB3BCE" w14:textId="5617CCAF" w:rsidR="00037F4F" w:rsidRPr="001E39A9" w:rsidRDefault="00026A7E" w:rsidP="00041250">
      <w:pPr>
        <w:pStyle w:val="Body"/>
        <w:spacing w:after="120" w:line="360" w:lineRule="auto"/>
        <w:jc w:val="both"/>
        <w:rPr>
          <w:rFonts w:cs="Times New Roman"/>
          <w:lang w:val="de-DE"/>
        </w:rPr>
      </w:pPr>
      <w:r>
        <w:rPr>
          <w:rFonts w:cs="Times New Roman"/>
        </w:rPr>
        <w:t>Leaf</w:t>
      </w:r>
      <w:r w:rsidR="00700091">
        <w:rPr>
          <w:rFonts w:cs="Times New Roman"/>
        </w:rPr>
        <w:t>-level s</w:t>
      </w:r>
      <w:r w:rsidR="00700091" w:rsidRPr="00BD2160">
        <w:rPr>
          <w:rFonts w:cs="Times New Roman"/>
        </w:rPr>
        <w:t xml:space="preserve">tudies </w:t>
      </w:r>
      <w:r w:rsidR="00453E57" w:rsidRPr="00BD2160">
        <w:rPr>
          <w:rFonts w:cs="Times New Roman"/>
        </w:rPr>
        <w:t>using</w:t>
      </w:r>
      <w:r w:rsidR="00DF4C08" w:rsidRPr="00BD2160">
        <w:rPr>
          <w:rFonts w:cs="Times New Roman"/>
        </w:rPr>
        <w:t xml:space="preserve"> </w:t>
      </w:r>
      <w:r w:rsidR="007670AC" w:rsidRPr="00BD2160">
        <w:rPr>
          <w:rFonts w:cs="Times New Roman"/>
        </w:rPr>
        <w:t xml:space="preserve">stable </w:t>
      </w:r>
      <w:r w:rsidR="00DF4C08" w:rsidRPr="00BD2160">
        <w:rPr>
          <w:rFonts w:cs="Times New Roman"/>
        </w:rPr>
        <w:t xml:space="preserve">carbon isotopes </w:t>
      </w:r>
      <w:r w:rsidR="00547539">
        <w:rPr>
          <w:rFonts w:cs="Times New Roman"/>
        </w:rPr>
        <w:t>in</w:t>
      </w:r>
      <w:r w:rsidR="00107E4C">
        <w:rPr>
          <w:rFonts w:cs="Times New Roman"/>
        </w:rPr>
        <w:t xml:space="preserve"> tree rings</w:t>
      </w:r>
      <w:r w:rsidR="007670AC" w:rsidRPr="00BD2160">
        <w:rPr>
          <w:rFonts w:cs="Times New Roman"/>
        </w:rPr>
        <w:t>,</w:t>
      </w:r>
      <w:r w:rsidR="00DF4C08" w:rsidRPr="00BD2160">
        <w:rPr>
          <w:rFonts w:cs="Times New Roman"/>
        </w:rPr>
        <w:t xml:space="preserve"> </w:t>
      </w:r>
      <w:r w:rsidR="00CF3151">
        <w:rPr>
          <w:rFonts w:cs="Times New Roman"/>
        </w:rPr>
        <w:t>employing</w:t>
      </w:r>
      <w:r w:rsidR="00AB4495" w:rsidRPr="00BD2160">
        <w:rPr>
          <w:rFonts w:cs="Times New Roman"/>
        </w:rPr>
        <w:t xml:space="preserve"> </w:t>
      </w:r>
      <w:r w:rsidR="00030FF7">
        <w:rPr>
          <w:rFonts w:cs="Times New Roman"/>
        </w:rPr>
        <w:t>equation (</w:t>
      </w:r>
      <w:r w:rsidR="00BB7DF0">
        <w:rPr>
          <w:rFonts w:cs="Times New Roman"/>
        </w:rPr>
        <w:t>4</w:t>
      </w:r>
      <w:r w:rsidR="00030FF7">
        <w:rPr>
          <w:rFonts w:cs="Times New Roman"/>
        </w:rPr>
        <w:t>)</w:t>
      </w:r>
      <w:r w:rsidR="00AB4495" w:rsidRPr="00BD2160">
        <w:rPr>
          <w:rFonts w:cs="Times New Roman"/>
        </w:rPr>
        <w:t>,</w:t>
      </w:r>
      <w:r w:rsidR="007670AC" w:rsidRPr="00BD2160">
        <w:rPr>
          <w:rFonts w:cs="Times New Roman"/>
        </w:rPr>
        <w:t xml:space="preserve"> </w:t>
      </w:r>
      <w:r w:rsidR="00A954E5" w:rsidRPr="00BD2160">
        <w:rPr>
          <w:rFonts w:cs="Times New Roman"/>
        </w:rPr>
        <w:t>ha</w:t>
      </w:r>
      <w:r w:rsidR="00453E57" w:rsidRPr="00BD2160">
        <w:rPr>
          <w:rFonts w:cs="Times New Roman"/>
        </w:rPr>
        <w:t>ve</w:t>
      </w:r>
      <w:r w:rsidR="00A954E5" w:rsidRPr="00BD2160">
        <w:rPr>
          <w:rFonts w:cs="Times New Roman"/>
        </w:rPr>
        <w:t xml:space="preserve"> indicat</w:t>
      </w:r>
      <w:r w:rsidR="0029317D" w:rsidRPr="00BD2160">
        <w:rPr>
          <w:rFonts w:cs="Times New Roman"/>
        </w:rPr>
        <w:t>e</w:t>
      </w:r>
      <w:r w:rsidR="001C710B" w:rsidRPr="00BD2160">
        <w:rPr>
          <w:rFonts w:cs="Times New Roman"/>
        </w:rPr>
        <w:t xml:space="preserve">d </w:t>
      </w:r>
      <w:r w:rsidR="00306D4B" w:rsidRPr="00BD2160">
        <w:rPr>
          <w:rFonts w:cs="Times New Roman"/>
        </w:rPr>
        <w:t xml:space="preserve">an increase of </w:t>
      </w:r>
      <w:r w:rsidR="006440FA" w:rsidRPr="00BD2160">
        <w:rPr>
          <w:rFonts w:cs="Times New Roman"/>
        </w:rPr>
        <w:t>iWUE</w:t>
      </w:r>
      <w:r w:rsidR="006440FA" w:rsidRPr="001B08EE">
        <w:rPr>
          <w:rFonts w:cs="Times New Roman"/>
          <w:vertAlign w:val="superscript"/>
        </w:rPr>
        <w:t>l</w:t>
      </w:r>
      <w:r w:rsidR="006440FA">
        <w:rPr>
          <w:rFonts w:cs="Times New Roman"/>
          <w:vertAlign w:val="superscript"/>
        </w:rPr>
        <w:t>eaf</w:t>
      </w:r>
      <w:r w:rsidR="00895DA7" w:rsidRPr="00BD2160">
        <w:rPr>
          <w:rFonts w:cs="Times New Roman"/>
        </w:rPr>
        <w:t xml:space="preserve"> </w:t>
      </w:r>
      <w:r w:rsidR="00306D4B" w:rsidRPr="00BD2160">
        <w:rPr>
          <w:rFonts w:cs="Times New Roman"/>
        </w:rPr>
        <w:t xml:space="preserve">of </w:t>
      </w:r>
      <w:r w:rsidR="00306D4B" w:rsidRPr="00006407">
        <w:rPr>
          <w:rFonts w:cs="Times New Roman"/>
          <w:color w:val="000000" w:themeColor="text1"/>
        </w:rPr>
        <w:t>0.</w:t>
      </w:r>
      <w:r w:rsidR="00006407" w:rsidRPr="00006407">
        <w:rPr>
          <w:rFonts w:cs="Times New Roman"/>
          <w:color w:val="000000" w:themeColor="text1"/>
        </w:rPr>
        <w:t xml:space="preserve">2 </w:t>
      </w:r>
      <w:r w:rsidR="00006407" w:rsidRPr="00006407">
        <w:rPr>
          <w:color w:val="000000" w:themeColor="text1"/>
        </w:rPr>
        <w:sym w:font="Symbol" w:char="F0B1"/>
      </w:r>
      <w:r w:rsidR="00006407">
        <w:rPr>
          <w:color w:val="000000" w:themeColor="text1"/>
        </w:rPr>
        <w:t xml:space="preserve"> </w:t>
      </w:r>
      <w:r w:rsidR="008746EF" w:rsidRPr="00006407">
        <w:rPr>
          <w:rFonts w:cs="Times New Roman"/>
          <w:color w:val="000000" w:themeColor="text1"/>
        </w:rPr>
        <w:t>0.</w:t>
      </w:r>
      <w:r w:rsidR="00006407" w:rsidRPr="00006407">
        <w:rPr>
          <w:rFonts w:cs="Times New Roman"/>
          <w:color w:val="000000" w:themeColor="text1"/>
        </w:rPr>
        <w:t>1</w:t>
      </w:r>
      <w:r w:rsidR="00306D4B" w:rsidRPr="00006407">
        <w:rPr>
          <w:rFonts w:cs="Times New Roman"/>
          <w:color w:val="000000" w:themeColor="text1"/>
        </w:rPr>
        <w:t>%</w:t>
      </w:r>
      <w:r w:rsidR="00A469B7" w:rsidRPr="00006407">
        <w:rPr>
          <w:rFonts w:cs="Times New Roman"/>
          <w:color w:val="000000" w:themeColor="text1"/>
        </w:rPr>
        <w:t xml:space="preserve"> y</w:t>
      </w:r>
      <w:r w:rsidR="00306D4B" w:rsidRPr="00006407">
        <w:rPr>
          <w:rFonts w:cs="Times New Roman"/>
          <w:color w:val="000000" w:themeColor="text1"/>
        </w:rPr>
        <w:t>r</w:t>
      </w:r>
      <w:r w:rsidR="00564931">
        <w:rPr>
          <w:rFonts w:cs="Times New Roman"/>
          <w:color w:val="000000" w:themeColor="text1"/>
          <w:vertAlign w:val="superscript"/>
        </w:rPr>
        <w:t>–</w:t>
      </w:r>
      <w:r w:rsidR="002755E0" w:rsidRPr="00006407">
        <w:rPr>
          <w:rFonts w:cs="Times New Roman"/>
          <w:color w:val="000000" w:themeColor="text1"/>
          <w:vertAlign w:val="superscript"/>
        </w:rPr>
        <w:t>1</w:t>
      </w:r>
      <w:r w:rsidR="00306D4B" w:rsidRPr="00006407">
        <w:rPr>
          <w:rFonts w:cs="Times New Roman"/>
          <w:color w:val="000000" w:themeColor="text1"/>
        </w:rPr>
        <w:t xml:space="preserve"> </w:t>
      </w:r>
      <w:r w:rsidR="00306D4B" w:rsidRPr="00BD2160">
        <w:rPr>
          <w:rFonts w:cs="Times New Roman"/>
        </w:rPr>
        <w:t xml:space="preserve">over the </w:t>
      </w:r>
      <w:r w:rsidR="00700091">
        <w:rPr>
          <w:rFonts w:cs="Times New Roman"/>
        </w:rPr>
        <w:t>20</w:t>
      </w:r>
      <w:r w:rsidR="00700091" w:rsidRPr="007A77B2">
        <w:rPr>
          <w:rFonts w:cs="Times New Roman"/>
          <w:vertAlign w:val="superscript"/>
        </w:rPr>
        <w:t>th</w:t>
      </w:r>
      <w:r w:rsidR="00700091">
        <w:rPr>
          <w:rFonts w:cs="Times New Roman"/>
        </w:rPr>
        <w:t xml:space="preserve"> </w:t>
      </w:r>
      <w:r w:rsidR="00306D4B" w:rsidRPr="00BD2160">
        <w:rPr>
          <w:rFonts w:cs="Times New Roman"/>
        </w:rPr>
        <w:t>centur</w:t>
      </w:r>
      <w:r w:rsidR="00BE5F79">
        <w:rPr>
          <w:rFonts w:cs="Times New Roman"/>
        </w:rPr>
        <w:t>y</w:t>
      </w:r>
      <w:r w:rsidR="00BE4834">
        <w:rPr>
          <w:rFonts w:cs="Times New Roman"/>
        </w:rPr>
        <w:t xml:space="preserve"> </w:t>
      </w:r>
      <w:r w:rsidR="00BE4834" w:rsidRPr="00BD2160">
        <w:rPr>
          <w:rFonts w:cs="Times New Roman"/>
        </w:rPr>
        <w:fldChar w:fldCharType="begin" w:fldLock="1"/>
      </w:r>
      <w:r w:rsidR="00860955">
        <w:rPr>
          <w:rFonts w:cs="Times New Roman"/>
        </w:rPr>
        <w:instrText>ADDIN CSL_CITATION {"citationItems":[{"id":"ITEM-1","itemData":{"DOI":"10.1038/nclimate2614","ISBN":"1758-6798","ISSN":"1758-678X","abstract":"The Earth’s carbon and hydrologic cycles are intimately coupled by gas exchange through plant stomata. However, uncertainties in the magnitude and consequences of the physiological responses of plants to elevated CO2 in natural environments hinders modelling of terrestrial water cycling and carbon storage. Here we use annually resolved long-term δ13C tree-ring measurements across a European forest network to reconstruct the physiologically driven response of intercellular CO2 (Ci) caused by atmospheric CO2 (Ca) trends. When removing meteorological signals from the δ13C measurements, we find that trees across Europe regulated gas exchange so that for one ppmv atmospheric CO2 increase, Ci increased by ~0.76 ppmv, most consistent with moderate control towards a constant Ci/Ca ratio. This response corresponds to twentieth-century intrinsic water-use efficiency (iWUE) increases of 14 ± 10 and 22 ± 6% at broadleaf and coniferous sites, respectively. An ensemble of process-based global vegetation models shows similar CO2 effects on iWUE trends. Yet, when operating these models with climate drivers reintroduced, despite decreased stomatal opening, 5% increases in European forest transpiration are calculated over the twentieth century. This counterintuitive result arises from lengthened growing seasons, enhanced evaporative demand in a warming climate, and increased leaf area, which together oppose effects of CO2-induced stomatal closure. Our study questions changes to the hydrological cycle, such as reductions in transpiration and air humidity, hypothesized to result from plant responses to anthropogenic emissions.","author":[{"dropping-particle":"","family":"Frank","given":"D. C.","non-dropping-particle":"","parse-names":false,"suffix":""},{"dropping-particle":"","family":"Poulter","given":"B.","non-dropping-particle":"","parse-names":false,"suffix":""},{"dropping-particle":"","family":"Saurer","given":"M.","non-dropping-particle":"","parse-names":false,"suffix":""},{"dropping-particle":"","family":"Esper","given":"J.","non-dropping-particle":"","parse-names":false,"suffix":""},{"dropping-particle":"","family":"Huntingford","given":"C.","non-dropping-particle":"","parse-names":false,"suffix":""},{"dropping-particle":"","family":"Helle","given":"G.","non-dropping-particle":"","parse-names":false,"suffix":""},{"dropping-particle":"","family":"Treydte","given":"K.","non-dropping-particle":"","parse-names":false,"suffix":""},{"dropping-particle":"","family":"Zimmermann","given":"N. E.","non-dropping-particle":"","parse-names":false,"suffix":""},{"dropping-particle":"","family":"Schleser","given":"G. H.","non-dropping-particle":"","parse-names":false,"suffix":""},{"dropping-particle":"","family":"Ahlström","given":"A.","non-dropping-particle":"","parse-names":false,"suffix":""},{"dropping-particle":"","family":"Ciais","given":"P.","non-dropping-particle":"","parse-names":false,"suffix":""},{"dropping-particle":"","family":"Friedlingstein","given":"P.","non-dropping-particle":"","parse-names":false,"suffix":""},{"dropping-particle":"","family":"Levis","given":"S.","non-dropping-particle":"","parse-names":false,"suffix":""},{"dropping-particle":"","family":"Lomas","given":"M.","non-dropping-particle":"","parse-names":false,"suffix":""},{"dropping-particle":"","family":"Sitch","given":"S.","non-dropping-particle":"","parse-names":false,"suffix":""},{"dropping-particle":"","family":"Viovy","given":"N.","non-dropping-particle":"","parse-names":false,"suffix":""},{"dropping-particle":"","family":"Andreu-Hayles","given":"L.","non-dropping-particle":"","parse-names":false,"suffix":""},{"dropping-particle":"","family":"Bednarz","given":"Z.","non-dropping-particle":"","parse-names":false,"suffix":""},{"dropping-particle":"","family":"Berninger","given":"F.","non-dropping-particle":"","parse-names":false,"suffix":""},{"dropping-particle":"","family":"Boettger","given":"T.","non-dropping-particle":"","parse-names":false,"suffix":""},{"dropping-particle":"","family":"D'Alessandro","given":"C. M.","non-dropping-particle":"","parse-names":false,"suffix":""},{"dropping-particle":"","family":"Daux","given":"V.","non-dropping-particle":"","parse-names":false,"suffix":""},{"dropping-particle":"","family":"Filot","given":"M.","non-dropping-particle":"","parse-names":false,"suffix":""},{"dropping-particle":"","family":"Grabner","given":"M.","non-dropping-particle":"","parse-names":false,"suffix":""},{"dropping-particle":"","family":"Gutierrez","given":"E.","non-dropping-particle":"","parse-names":false,"suffix":""},{"dropping-particle":"","family":"Haupt","given":"M.","non-dropping-particle":"","parse-names":false,"suffix":""},{"dropping-particle":"","family":"Hilasvuori","given":"E.","non-dropping-particle":"","parse-names":false,"suffix":""},{"dropping-particle":"","family":"Jungner","given":"H.","non-dropping-particle":"","parse-names":false,"suffix":""},{"dropping-particle":"","family":"Kalela-Brundin","given":"M.","non-dropping-particle":"","parse-names":false,"suffix":""},{"dropping-particle":"","family":"Krapiec","given":"M.","non-dropping-particle":"","parse-names":false,"suffix":""},{"dropping-particle":"","family":"Leuenberger","given":"M.","non-dropping-particle":"","parse-names":false,"suffix":""},{"dropping-particle":"","family":"Loader","given":"N. J.","non-dropping-particle":"","parse-names":false,"suffix":""},{"dropping-particle":"","family":"Marah","given":"H.","non-dropping-particle":"","parse-names":false,"suffix":""},{"dropping-particle":"","family":"Masson-Delmotte","given":"V.","non-dropping-particle":"","parse-names":false,"suffix":""},{"dropping-particle":"","family":"Pazdur","given":"A.","non-dropping-particle":"","parse-names":false,"suffix":""},{"dropping-particle":"","family":"Pawelczyk","given":"S.","non-dropping-particle":"","parse-names":false,"suffix":""},{"dropping-particle":"","family":"Pierre","given":"M.","non-dropping-particle":"","parse-names":false,"suffix":""},{"dropping-particle":"","family":"Planells","given":"O.","non-dropping-particle":"","parse-names":false,"suffix":""},{"dropping-particle":"","family":"Pukiene","given":"R.","non-dropping-particle":"","parse-names":false,"suffix":""},{"dropping-particle":"","family":"Reynolds-Henne","given":"C. E.","non-dropping-particle":"","parse-names":false,"suffix":""},{"dropping-particle":"","family":"Rinne","given":"K. T.","non-dropping-particle":"","parse-names":false,"suffix":""},{"dropping-particle":"","family":"Saracino","given":"A.","non-dropping-particle":"","parse-names":false,"suffix":""},{"dropping-particle":"","family":"Sonninen","given":"E.","non-dropping-particle":"","parse-names":false,"suffix":""},{"dropping-particle":"","family":"Stievenard","given":"M.","non-dropping-particle":"","parse-names":false,"suffix":""},{"dropping-particle":"","family":"Switsur","given":"V. R.","non-dropping-particle":"","parse-names":false,"suffix":""},{"dropping-particle":"","family":"Szczepanek","given":"M.","non-dropping-particle":"","parse-names":false,"suffix":""},{"dropping-particle":"","family":"Szychowska-Krapiec","given":"E.","non-dropping-particle":"","parse-names":false,"suffix":""},{"dropping-particle":"","family":"Todaro","given":"L.","non-dropping-particle":"","parse-names":false,"suffix":""},{"dropping-particle":"","family":"Waterhouse","given":"J. S.","non-dropping-particle":"","parse-names":false,"suffix":""},{"dropping-particle":"","family":"Weigl","given":"M.","non-dropping-particle":"","parse-names":false,"suffix":""}],"container-title":"Nature Climate Change","id":"ITEM-1","issue":"6","issued":{"date-parts":[["2015"]]},"page":"579-583","title":"Water-use efficiency and transpiration across European forests during the Anthropocene","type":"article-journal","volume":"5"},"uris":["http://www.mendeley.com/documents/?uuid=ac469d75-cf10-4cf2-85ca-b5f93e6eab8e"]},{"id":"ITEM-2","itemData":{"DOI":"10.5194/bg-14-2641-2017","ISBN":"1720130019","ISSN":"17264189","abstract":"Measurements of the stable carbon isotope ratio (δ13C) on annual tree rings offer new opportunities to evaluate mechanisms of variations in photosynthesis and stomatal conductance under changing CO2 and climate conditions, especially in conjunction with process-based biogeochemical model sim</w:instrText>
      </w:r>
      <w:r w:rsidR="00860955">
        <w:rPr>
          <w:rFonts w:cs="Times New Roman" w:hint="eastAsia"/>
        </w:rPr>
        <w:instrText>ulations. The isotopic discrimination is indicative of the ratio between the CO2 partial pressure in the intercellular cavities and the atmosphere (ci</w:instrText>
      </w:r>
      <w:r w:rsidR="00860955">
        <w:rPr>
          <w:rFonts w:cs="Times New Roman" w:hint="eastAsia"/>
        </w:rPr>
        <w:instrText>∕</w:instrText>
      </w:r>
      <w:r w:rsidR="00860955">
        <w:rPr>
          <w:rFonts w:cs="Times New Roman" w:hint="eastAsia"/>
        </w:rPr>
        <w:instrText>ca) and of the ratio of assimilation to stomatal conductance, termed intrinsic water-use efficiency (iWU</w:instrText>
      </w:r>
      <w:r w:rsidR="00860955">
        <w:rPr>
          <w:rFonts w:cs="Times New Roman"/>
        </w:rPr>
        <w:instrText>E). We performed isotope-enabled simulations over the industrial period with the land biosphere module (CLM4.5) of the Community Earth System Model and the Land Surface Processes and Exchanges (LPX-Bern) dynamic global vegetation model. Results for C3 tree species show good agreement with a global compilation of δ13C measurements on leaves, though modeled 13C discrimination by C3 trees is smaller in arid regions than measured. A compilation of 76 tree-ring records, mainly from Europe, boreal Asia, and wes</w:instrText>
      </w:r>
      <w:r w:rsidR="00860955">
        <w:rPr>
          <w:rFonts w:cs="Times New Roman" w:hint="eastAsia"/>
        </w:rPr>
        <w:instrText>tern North America, suggests on average small 20th century changes in isotopic discrimination and in ci</w:instrText>
      </w:r>
      <w:r w:rsidR="00860955">
        <w:rPr>
          <w:rFonts w:cs="Times New Roman" w:hint="eastAsia"/>
        </w:rPr>
        <w:instrText>∕</w:instrText>
      </w:r>
      <w:r w:rsidR="00860955">
        <w:rPr>
          <w:rFonts w:cs="Times New Roman" w:hint="eastAsia"/>
        </w:rPr>
        <w:instrText>ca and an increase in iWUE of about 27 % since 1900. LPX-Bern results match these century-scale reconstructions, supporting the idea that the physiolog</w:instrText>
      </w:r>
      <w:r w:rsidR="00860955">
        <w:rPr>
          <w:rFonts w:cs="Times New Roman"/>
        </w:rPr>
        <w:instrText>y of stomata has evolved to optimize trade-offs between carbon gain by assimilation and water loss by transpiration. In contrast, CLM4.5 simulates an increase in discrimination and in turn a change in iWUE that is almost twice as large as that revealed by</w:instrText>
      </w:r>
      <w:r w:rsidR="00860955">
        <w:rPr>
          <w:rFonts w:cs="Times New Roman" w:hint="eastAsia"/>
        </w:rPr>
        <w:instrText xml:space="preserve"> the tree-ring data. Factorial simulations show that these changes are mainly in response to rising atmospheric CO2. The results suggest that the downregulation of ci</w:instrText>
      </w:r>
      <w:r w:rsidR="00860955">
        <w:rPr>
          <w:rFonts w:cs="Times New Roman" w:hint="eastAsia"/>
        </w:rPr>
        <w:instrText>∕</w:instrText>
      </w:r>
      <w:r w:rsidR="00860955">
        <w:rPr>
          <w:rFonts w:cs="Times New Roman" w:hint="eastAsia"/>
        </w:rPr>
        <w:instrText>ca and of photosynthesis by nitrogen limitation is possibly too strong in the standard s</w:instrText>
      </w:r>
      <w:r w:rsidR="00860955">
        <w:rPr>
          <w:rFonts w:cs="Times New Roman"/>
        </w:rPr>
        <w:instrText>etup of CLM4.5 or that there may be problems associated with the implementation of conductance, assimilation, and related adjustment processes on long-term environmental changes.","author":[{"dropping-particle":"","family":"Keller","given":"Kathrin M.","non-dropping-particle":"","parse-names":false,"suffix":""},{"dropping-particle":"","family":"Lienert","given":"Sebastian","non-dropping-particle":"","parse-names":false,"suffix":""},{"dropping-particle":"","family":"Bozbiyik","given":"Anil","non-dropping-particle":"","parse-names":false,"suffix":""},{"dropping-particle":"","family":"Stocker","given":"Thomas F.","non-dropping-particle":"","parse-names":false,"suffix":""},{"dropping-particle":"V.","family":"Churakova Sidorova","given":"Olga","non-dropping-particle":"","parse-names":false,"suffix":""},{"dropping-particle":"","family":"Frank","given":"David C.","non-dropping-particle":"","parse-names":false,"suffix":""},{"dropping-particle":"","family":"Klesse","given":"Stefan","non-dropping-particle":"","parse-names":false,"suffix":""},{"dropping-particle":"","family":"Koven","given":"Charles D.","non-dropping-particle":"","parse-names":false,"suffix":""},{"dropping-particle":"","family":"Leuenberger","given":"Markus","non-dropping-particle":"","parse-names":false,"suffix":""},{"dropping-particle":"","family":"Riley","given":"William J.","non-dropping-particle":"","parse-names":false,"suffix":""},{"dropping-particle":"","family":"Saurer","given":"Matthias","non-dropping-particle":"","parse-names":false,"suffix":""},{"dropping-particle":"","family":"Siegwolf","given":"Rolf","non-dropping-particle":"","parse-names":false,"suffix":""},{"dropping-particle":"","family":"Weigt","given":"Rosemarie B.","non-dropping-particle":"","parse-names":false,"suffix":""},{"dropping-particle":"","family":"Joos","given":"Fortunat","non-dropping-particle":"","parse-names":false,"suffix":""}],"container-title":"Biogeosciences","id":"ITEM-2","issue":"10","issued":{"date-parts":[["2017"]]},"page":"2641-2673","title":"20th century changes in carbon isotopes and water-use efficiency: Tree-ring-based evaluation of the CLM4.5 and LPX-Bern models","type":"article-journal","volume":"14"},"uris":["http://www.mendeley.com/documents/?uuid=78529c25-cf9c-4688-ab34-630d9dbe798d"]},{"id":"ITEM-3","itemData":{"DOI":"10.1111/gcb.12717","ISBN":"1365-2486","ISSN":"1365-2486","PMID":"25156251","abstract":"The increasing carbon dioxide (CO2) concentration in the atmosphere in combination with climatic changes throughout the last century are likely to have had a profound effect on the physiology of trees: altering the carbon and water fluxes passing through the stomatal pores. However, the magnitude and spatial patterns of such changes in natural forests remain highly uncertain. Here, stable carbon isotope ratios from a network of 35 tree-ring sites located across Europe are investigated to determine the intrinsic water-use efficiency (iWUE), the ratio of photosynthesis to stomatal conductance from 1901 to 2000. The results were compared with simulations of a dynamic vegetation model (LPX-Bern 1.0) that integrates numerous ecosystem and land–atmosphere exchange processes in a theoretical framework. The spatial pattern of tree-ring derived iWUE of the investigated coniferous and deciduous species and the model results agreed significantly with a clear south-to-north gradient, as well as a general increase in iWUE over the 20th century. The magnitude of the iWUE increase was not spatially uniform, with the strongest increase observed and modelled for temperate forests in Central Europe, a region where summer soil-water availability decreased over the last century. We were able to demonstrate that the combined effects of increasing CO2 and climate change leading to soil drying have resulted in an accelerated increase in iWUE. These findings will help to reduce uncertainties in the land surface schemes of global climate models, where vegetation–climate feedbacks are currently still poorly constrained by observational data.","author":[{"dropping-particle":"","family":"Saurer","given":"M.","non-dropping-particle":"","parse-names":false,"suffix":""},{"dropping-particle":"","family":"Spahni","given":"R.","non-dropping-particle":"","parse-names":false,"suffix":""},{"dropping-particle":"","family":"Frank","given":"D. C.","non-dropping-particle":"","parse-names":false,"suffix":""},{"dropping-particle":"","family":"Joos","given":"Fortunat","non-dropping-particle":"","parse-names":false,"suffix":""},{"dropping-particle":"","family":"Leuenberger","given":"Markus","non-dropping-particle":"","parse-names":false,"suffix":""},{"dropping-particle":"","family":"Loader","given":"Neil J.","non-dropping-particle":"","parse-names":false,"suffix":""},{"dropping-particle":"","family":"McCarroll","given":"Danny","non-dropping-particle":"","parse-names":false,"suffix":""},{"dropping-particle":"","family":"Gagen","given":"Mary","non-dropping-particle":"","parse-names":false,"suffix":""},{"dropping-particle":"","family":"Poulter","given":"Ben","non-dropping-particle":"","parse-names":false,"suffix":""},{"dropping-particle":"","family":"Siegwolf","given":"Rolf T.W.","non-dropping-particle":"","parse-names":false,"suffix":""},{"dropping-particle":"","family":"Andreu-Hayles","given":"Laia","non-dropping-particle":"","parse-names":false,"suffix":""},{"dropping-particle":"","family":"Boettger","given":"Tatjana","non-dropping-particle":"","parse-names":false,"suffix":""},{"dropping-particle":"","family":"Dorado Liñán","given":"Isabel","non-dropping-particle":"","parse-names":false,"suffix":""},{"dropping-particle":"","family":"Fairchild","given":"Ian J.","non-dropping-particle":"","parse-names":false,"suffix":""},{"dropping-particle":"","family":"Friedrich","given":"Michael","non-dropping-particle":"","parse-names":false,"suffix":""},{"dropping-particle":"","family":"Gutierrez","given":"Emilia","non-dropping-particle":"","parse-names":false,"suffix":""},{"dropping-particle":"","family":"Haupt","given":"Marika","non-dropping-particle":"","parse-names":false,"suffix":""},{"dropping-particle":"","family":"Hilasvuori","given":"Emmi","non-dropping-particle":"","parse-names":false,"suffix":""},{"dropping-particle":"","family":"Heinrich","given":"Ingo","non-dropping-particle":"","parse-names":false,"suffix":""},{"dropping-particle":"","family":"Helle","given":"Gerd","non-dropping-particle":"","parse-names":false,"suffix":""},{"dropping-particle":"","family":"Grudd","given":"Håkan","non-dropping-particle":"","parse-names":false,"suffix":""},{"dropping-particle":"","family":"Jalkanen","given":"Risto","non-dropping-particle":"","parse-names":false,"suffix":""},{"dropping-particle":"","family":"Levanič","given":"Tom","non-dropping-particle":"","parse-names":false,"suffix":""},{"dropping-particle":"","family":"Linderholm","given":"Hans W.","non-dropping-particle":"","parse-names":false,"suffix":""},{"dropping-particle":"","family":"Robertson","given":"Iain","non-dropping-particle":"","parse-names":false,"suffix":""},{"dropping-particle":"","family":"Sonninen","given":"Eloni","non-dropping-particle":"","parse-names":false,"suffix":""},{"dropping-particle":"","family":"Treydte","given":"Kerstin","non-dropping-particle":"","parse-names":false,"suffix":""},{"dropping-particle":"","family":"Waterhouse","given":"John S.","non-dropping-particle":"","parse-names":false,"suffix":""},{"dropping-particle":"","family":"Woodley","given":"Ewan J.","non-dropping-particle":"","parse-names":false,"suffix":""},{"dropping-particle":"","family":"Wynn","given":"Peter M.","non-dropping-particle":"","parse-names":false,"suffix":""},{"dropping-particle":"","family":"Young","given":"Giles H.F.","non-dropping-particle":"","parse-names":false,"suffix":""}],"container-title":"Global Change Biology","id":"ITEM-3","issue":"12","issued":{"date-parts":[["2014"]]},"page":"3700-3712","title":"Spatial variability and temporal trends in water-use efficiency of European forests","type":"article-journal","volume":"20"},"uris":["http://www.mendeley.com/documents/?uuid=7fb86c9a-e8f9-4c93-bc58-f23d0df4e627"]},{"id":"ITEM-4","itemData":{"DOI":"10.1111/j.1466-8238.2010.00608.x","ISBN":"1466-8238","ISSN":"1466822X","abstract":"Aim The goals of this study are: (1) to determine whether increasing atmospheric CO2 concentrations and changing climate increased intrinsic water use efficiency (iWUE, as detected by changes in Δ13C) over the last four decades; and if it did increase iWUE, whether it led to increased tree growth (as measured by tree-ring growth); (2) to assess whether CO2 responses are biome dependent due to different environmental conditions, including availability of nutrients and water; and (3) to discuss how the findings of this study can better inform assumptions of CO2 fertilization and climate change effects in biospheric and climate models. Location A global range of sites covering all major forest biome types. Methods The analysis encompassed 47 study sites including boreal, wet temperate, mediterranean, semi-arid and tropical biomes for which measurements of tree ring Δ13C and growth are available over multiple decades. Results The iWUE inferred from the Δ13C analyses of comparable mature trees increased 20.5% over the last 40 years with no significant differences between biomes. This increase in iWUE did not translate into a significant overall increase in tree growth. Half of the sites showed a positive trend in growth while the other half had a negative or no trend. There were no significant trends within biomes or among biomes. Main conclusions These results show that despite an increase in atmospheric CO2 concentrations of over 50 p.p.m. and a 20.5% increase in iWUE during the last 40 years, tree growth has not increased as expected, suggesting that other factors have overridden the potential growth benefits of a CO2-rich world in many sites. Such factors could include climate change (particularly drought), nutrient limitation and/or physiological long-term acclimation to elevated CO2. Hence, the rate of biomass carbon sequestration in tropical, arid, mediterranean, wet temperate and boreal ecosystems may not increase with increasing atmospheric CO2 concentrations as is often implied by biospheric models and short-term elevated CO2 experiments.","author":[{"dropping-particle":"","family":"Peñuelas","given":"Josep","non-dropping-particle":"","parse-names":false,"suffix":""},{"dropping-particle":"","family":"Canadell","given":"Josep G.","non-dropping-particle":"","parse-names":false,"suffix":""},{"dropping-particle":"","family":"Ogaya","given":"Romà","non-dropping-particle":"","parse-names":false,"suffix":""}],"container-title":"Global Ecology and Biogeography","id":"ITEM-4","issued":{"date-parts":[["2011"]]},"page":"597-608","title":"Increased water-use efficiency during the 20th century did not translate into enhanced tree growth","type":"article-journal","volume":"20"},"uris":["http://www.mendeley.com/documents/?uuid=4e83d86c-2977-4f64-ab3a-95c381f3d958"]},{"id":"ITEM-5","itemData":{"DOI":"10.1111/j.1466-8238.2012.00783.x","ISSN":"1466-8238","abstract":"AimRising atmospheric CO2 and climate warming have induced changes in tree growth and intrinsic water-use efficiency (iWUE) world-wide, but the long-term impact of such changes on terrestrial productivity remains unknown. Based on a synthesis of the literature, here we investigate the net impact of recent atmospheric changes across forest biomes.LocationA range of sites covering major forest biomes.MethodsWe use dendrochronological and isotopic records to provide an integrated analysis of changes in growth and iWUE, evaluating the impacts of atmospheric changes in tree growth. In our analysis, positive relationships between changes in growth and iWUE reflect CO2 stimulation, while neutral effects yield inflections in growth curves (plotted against iWUE), and negative relationships indicate the prevalence of stressors. To estimate net effects (since 1960) and compare responses across biomes, we use a response contrast (RC) index, based on the ratio between cumulative changes in growth and iWUE.ResultsIn 37 recently published case studies changes in iWUE were consistently positive, increasing by between 10 and 60%, but shifts in growth varied widely within and among forest biomes. Positive RC values were observed in high latitudes (&gt; 40°N), while progressively lower (always negative) responses were observed toward lower latitudes. Growth rates declined between 15 and 55% in tropical forests. In subtropical sites growth declined by between 7 and 10%, while mixed responses occurred in other regions.Main conclusionsOver the past 50 years, tree growth decline has prevailed despite increasing atmospheric CO2. The impact of atmospheric changes on forest productivity is latitude dependent (R 2 = 0.9, P &lt; 0.05), but our results suggest that, globally, CO2 stimulation of mature trees will not counteract emissions. In most surveyed case studies warming-induced stress was evoked to explain growth decline, but other factors, such as nutrient limitation, could have overridden the potential benefits of rising CO2 levels.","author":[{"dropping-particle":"","family":"Silva","given":"Lucas C. R.","non-dropping-particle":"","parse-names":false,"suffix":""},{"dropping-particle":"","family":"Anand","given":"Madhur","non-dropping-particle":"","parse-names":false,"suffix":""}],"container-title":"Global Ecology and Biogeography","id":"ITEM-5","issue":"1","issued":{"date-parts":[["2013"]]},"page":"83-92","title":"Probing for the influence of atmospheric CO2 and climate change on forest ecosystems across biomes","type":"article-journal","volume":"22"},"uris":["http://www.mendeley.com/documents/?uuid=42c0096e-90e8-441d-9462-21f9c873fc1a"]}],"mendeley":{"formattedCitation":"(Frank et al., 2015; Keller et al., 2017; Peñuelas, Canadell, &amp; Ogaya, 2011; Saurer et al., 2014; Silva &amp; Anand, 2013)","manualFormatting":"(e.g. Frank et al., 2015; Keller et al., 2017; Peñuelas, Canadell, &amp; Ogaya, 2011; Saurer et al., 2014; Silva &amp; Anand, 2013)","plainTextFormattedCitation":"(Frank et al., 2015; Keller et al., 2017; Peñuelas, Canadell, &amp; Ogaya, 2011; Saurer et al., 2014; Silva &amp; Anand, 2013)","previouslyFormattedCitation":"(Frank et al., 2015; Keller et al., 2017; Peñuelas, Canadell, &amp; Ogaya, 2011; Saurer et al., 2014; Silva &amp; Anand, 2013)"},"properties":{"noteIndex":0},"schema":"https://github.com/citation-style-language/schema/raw/master/csl-citation.json"}</w:instrText>
      </w:r>
      <w:r w:rsidR="00BE4834" w:rsidRPr="00BD2160">
        <w:rPr>
          <w:rFonts w:cs="Times New Roman"/>
        </w:rPr>
        <w:fldChar w:fldCharType="separate"/>
      </w:r>
      <w:r w:rsidR="00BE4834" w:rsidRPr="00BE4834">
        <w:rPr>
          <w:rFonts w:cs="Times New Roman"/>
          <w:noProof/>
        </w:rPr>
        <w:t>(</w:t>
      </w:r>
      <w:r w:rsidR="00DA32AB">
        <w:rPr>
          <w:rFonts w:cs="Times New Roman"/>
          <w:noProof/>
        </w:rPr>
        <w:t xml:space="preserve">e.g. </w:t>
      </w:r>
      <w:r w:rsidR="00BE4834" w:rsidRPr="00BE4834">
        <w:rPr>
          <w:rFonts w:cs="Times New Roman"/>
          <w:noProof/>
        </w:rPr>
        <w:t>Frank et al., 2015; Keller et al., 2017; Peñuelas, Canadell, &amp; Ogaya, 2011; Saurer et al., 2014; Silva &amp; Anand, 2013)</w:t>
      </w:r>
      <w:r w:rsidR="00BE4834" w:rsidRPr="00BD2160">
        <w:rPr>
          <w:rFonts w:cs="Times New Roman"/>
        </w:rPr>
        <w:fldChar w:fldCharType="end"/>
      </w:r>
      <w:r w:rsidR="00DB51E1" w:rsidRPr="00BD2160">
        <w:rPr>
          <w:rFonts w:cs="Times New Roman"/>
        </w:rPr>
        <w:t xml:space="preserve">, </w:t>
      </w:r>
      <w:r w:rsidR="00732EEE">
        <w:rPr>
          <w:rFonts w:cs="Times New Roman"/>
        </w:rPr>
        <w:t>approximately</w:t>
      </w:r>
      <w:r w:rsidR="00732EEE" w:rsidRPr="00BD2160">
        <w:rPr>
          <w:rFonts w:cs="Times New Roman"/>
        </w:rPr>
        <w:t xml:space="preserve"> </w:t>
      </w:r>
      <w:r w:rsidR="00DB51E1" w:rsidRPr="00BD2160">
        <w:rPr>
          <w:rFonts w:cs="Times New Roman"/>
        </w:rPr>
        <w:t xml:space="preserve">proportional to the recent increase in </w:t>
      </w:r>
      <w:r w:rsidR="00DB51E1" w:rsidRPr="00BD2160">
        <w:rPr>
          <w:rFonts w:cs="Times New Roman"/>
          <w:i/>
          <w:color w:val="000000" w:themeColor="text1"/>
        </w:rPr>
        <w:t>c</w:t>
      </w:r>
      <w:r w:rsidR="00DB51E1" w:rsidRPr="00BD2160">
        <w:rPr>
          <w:rFonts w:cs="Times New Roman"/>
          <w:color w:val="000000" w:themeColor="text1"/>
          <w:vertAlign w:val="subscript"/>
        </w:rPr>
        <w:t>a</w:t>
      </w:r>
      <w:r w:rsidR="00BE4834">
        <w:rPr>
          <w:rFonts w:cs="Times New Roman"/>
        </w:rPr>
        <w:t xml:space="preserve"> (Fig</w:t>
      </w:r>
      <w:r w:rsidR="00174393">
        <w:rPr>
          <w:rFonts w:cs="Times New Roman"/>
        </w:rPr>
        <w:t>.</w:t>
      </w:r>
      <w:r w:rsidR="00BE4834">
        <w:rPr>
          <w:rFonts w:cs="Times New Roman"/>
        </w:rPr>
        <w:t xml:space="preserve"> 1</w:t>
      </w:r>
      <w:r w:rsidR="00174393">
        <w:rPr>
          <w:rFonts w:cs="Times New Roman"/>
        </w:rPr>
        <w:t>b</w:t>
      </w:r>
      <w:r w:rsidR="00BE4834">
        <w:rPr>
          <w:rFonts w:cs="Times New Roman"/>
        </w:rPr>
        <w:t>).</w:t>
      </w:r>
      <w:r w:rsidR="000C653E" w:rsidRPr="00BD2160">
        <w:rPr>
          <w:rFonts w:cs="Times New Roman"/>
        </w:rPr>
        <w:t xml:space="preserve"> </w:t>
      </w:r>
      <w:r w:rsidR="00316709">
        <w:rPr>
          <w:rFonts w:cs="Times New Roman"/>
        </w:rPr>
        <w:t>S</w:t>
      </w:r>
      <w:r w:rsidR="00307731" w:rsidRPr="00BD2160">
        <w:rPr>
          <w:rFonts w:cs="Times New Roman"/>
        </w:rPr>
        <w:t>ome</w:t>
      </w:r>
      <w:r w:rsidR="0037656E" w:rsidRPr="00BD2160">
        <w:rPr>
          <w:rFonts w:cs="Times New Roman"/>
        </w:rPr>
        <w:t xml:space="preserve"> </w:t>
      </w:r>
      <w:r w:rsidR="00553586" w:rsidRPr="00BD2160">
        <w:rPr>
          <w:rFonts w:cs="Times New Roman"/>
        </w:rPr>
        <w:t xml:space="preserve">of these </w:t>
      </w:r>
      <w:r w:rsidR="0037656E" w:rsidRPr="00BD2160">
        <w:rPr>
          <w:rFonts w:cs="Times New Roman"/>
        </w:rPr>
        <w:t xml:space="preserve">studies </w:t>
      </w:r>
      <w:r w:rsidR="007670AC" w:rsidRPr="00BD2160">
        <w:rPr>
          <w:rFonts w:cs="Times New Roman"/>
        </w:rPr>
        <w:t xml:space="preserve">have </w:t>
      </w:r>
      <w:r w:rsidR="00F3342B" w:rsidRPr="00BD2160">
        <w:rPr>
          <w:rFonts w:cs="Times New Roman"/>
        </w:rPr>
        <w:t>show</w:t>
      </w:r>
      <w:r w:rsidR="007670AC" w:rsidRPr="00BD2160">
        <w:rPr>
          <w:rFonts w:cs="Times New Roman"/>
        </w:rPr>
        <w:t>n</w:t>
      </w:r>
      <w:r w:rsidR="00F3342B" w:rsidRPr="00BD2160">
        <w:rPr>
          <w:rFonts w:cs="Times New Roman"/>
        </w:rPr>
        <w:t xml:space="preserve"> a weaken</w:t>
      </w:r>
      <w:r w:rsidR="007670AC" w:rsidRPr="00BD2160">
        <w:rPr>
          <w:rFonts w:cs="Times New Roman"/>
        </w:rPr>
        <w:t>ing</w:t>
      </w:r>
      <w:r w:rsidR="00F3342B" w:rsidRPr="00BD2160">
        <w:rPr>
          <w:rFonts w:cs="Times New Roman"/>
        </w:rPr>
        <w:t xml:space="preserve"> </w:t>
      </w:r>
      <w:r w:rsidR="006440FA" w:rsidRPr="00BD2160">
        <w:rPr>
          <w:rFonts w:cs="Times New Roman"/>
        </w:rPr>
        <w:t>iWUE</w:t>
      </w:r>
      <w:r w:rsidR="006440FA" w:rsidRPr="001B08EE">
        <w:rPr>
          <w:rFonts w:cs="Times New Roman"/>
          <w:vertAlign w:val="superscript"/>
        </w:rPr>
        <w:t>l</w:t>
      </w:r>
      <w:r w:rsidR="006440FA">
        <w:rPr>
          <w:rFonts w:cs="Times New Roman"/>
          <w:vertAlign w:val="superscript"/>
        </w:rPr>
        <w:t>eaf</w:t>
      </w:r>
      <w:r w:rsidR="00F3342B" w:rsidRPr="00BD2160">
        <w:rPr>
          <w:rFonts w:cs="Times New Roman"/>
        </w:rPr>
        <w:t xml:space="preserve"> response to </w:t>
      </w:r>
      <w:r w:rsidR="00F3342B" w:rsidRPr="00BD2160">
        <w:rPr>
          <w:rFonts w:cs="Times New Roman"/>
          <w:i/>
        </w:rPr>
        <w:t>c</w:t>
      </w:r>
      <w:r w:rsidR="00F3342B" w:rsidRPr="00BD2160">
        <w:rPr>
          <w:rFonts w:cs="Times New Roman"/>
          <w:vertAlign w:val="subscript"/>
        </w:rPr>
        <w:t>a</w:t>
      </w:r>
      <w:r w:rsidR="00F3342B" w:rsidRPr="00BD2160">
        <w:rPr>
          <w:rFonts w:cs="Times New Roman"/>
        </w:rPr>
        <w:t xml:space="preserve"> towards the end of the 20</w:t>
      </w:r>
      <w:r w:rsidR="00F3342B" w:rsidRPr="00BD2160">
        <w:rPr>
          <w:rFonts w:cs="Times New Roman"/>
          <w:vertAlign w:val="superscript"/>
        </w:rPr>
        <w:t>th</w:t>
      </w:r>
      <w:r w:rsidR="00F3342B" w:rsidRPr="00BD2160">
        <w:rPr>
          <w:rFonts w:cs="Times New Roman"/>
        </w:rPr>
        <w:t xml:space="preserve"> century in regions </w:t>
      </w:r>
      <w:r w:rsidR="003E1B16">
        <w:rPr>
          <w:rFonts w:cs="Times New Roman"/>
        </w:rPr>
        <w:t xml:space="preserve">where </w:t>
      </w:r>
      <w:r w:rsidR="00291ABC">
        <w:rPr>
          <w:rFonts w:cs="Times New Roman"/>
        </w:rPr>
        <w:t xml:space="preserve">both </w:t>
      </w:r>
      <w:r w:rsidR="00F3342B" w:rsidRPr="00BD2160">
        <w:rPr>
          <w:rFonts w:cs="Times New Roman"/>
        </w:rPr>
        <w:t xml:space="preserve">increases in </w:t>
      </w:r>
      <w:r w:rsidR="00D91646" w:rsidRPr="00BD2160">
        <w:rPr>
          <w:rFonts w:cs="Times New Roman"/>
        </w:rPr>
        <w:t xml:space="preserve">temperature </w:t>
      </w:r>
      <w:r w:rsidR="00F64C94">
        <w:rPr>
          <w:rFonts w:cs="Times New Roman"/>
        </w:rPr>
        <w:t xml:space="preserve">and in </w:t>
      </w:r>
      <w:r w:rsidR="00F64C94" w:rsidRPr="00501435">
        <w:rPr>
          <w:rFonts w:cs="Times New Roman"/>
          <w:i/>
        </w:rPr>
        <w:t>D</w:t>
      </w:r>
      <w:r w:rsidR="00F64C94">
        <w:rPr>
          <w:rFonts w:cs="Times New Roman"/>
        </w:rPr>
        <w:t xml:space="preserve"> </w:t>
      </w:r>
      <w:r w:rsidR="00D91646" w:rsidRPr="00BD2160">
        <w:rPr>
          <w:rFonts w:cs="Times New Roman"/>
        </w:rPr>
        <w:t xml:space="preserve">may </w:t>
      </w:r>
      <w:r w:rsidR="00F3342B" w:rsidRPr="00BD2160">
        <w:rPr>
          <w:rFonts w:cs="Times New Roman"/>
        </w:rPr>
        <w:t xml:space="preserve">have offset the increase in </w:t>
      </w:r>
      <w:r w:rsidR="006440FA" w:rsidRPr="00BD2160">
        <w:rPr>
          <w:rFonts w:cs="Times New Roman"/>
        </w:rPr>
        <w:t>iWUE</w:t>
      </w:r>
      <w:r w:rsidR="006440FA" w:rsidRPr="001B08EE">
        <w:rPr>
          <w:rFonts w:cs="Times New Roman"/>
          <w:vertAlign w:val="superscript"/>
        </w:rPr>
        <w:t>l</w:t>
      </w:r>
      <w:r w:rsidR="006440FA">
        <w:rPr>
          <w:rFonts w:cs="Times New Roman"/>
          <w:vertAlign w:val="superscript"/>
        </w:rPr>
        <w:t>eaf</w:t>
      </w:r>
      <w:r w:rsidR="00F3342B" w:rsidRPr="00BD2160">
        <w:rPr>
          <w:rFonts w:cs="Times New Roman"/>
        </w:rPr>
        <w:t xml:space="preserve"> due to increasing </w:t>
      </w:r>
      <w:r w:rsidR="00F3342B" w:rsidRPr="00BD2160">
        <w:rPr>
          <w:rFonts w:cs="Times New Roman"/>
          <w:i/>
        </w:rPr>
        <w:t>c</w:t>
      </w:r>
      <w:r w:rsidR="00F3342B" w:rsidRPr="00BD2160">
        <w:rPr>
          <w:rFonts w:cs="Times New Roman"/>
          <w:vertAlign w:val="subscript"/>
        </w:rPr>
        <w:t>a</w:t>
      </w:r>
      <w:r w:rsidR="00F3342B" w:rsidRPr="00BD2160">
        <w:rPr>
          <w:rFonts w:cs="Times New Roman"/>
        </w:rPr>
        <w:t xml:space="preserve"> </w:t>
      </w:r>
      <w:r w:rsidR="00F3342B" w:rsidRPr="00BD2160">
        <w:rPr>
          <w:rFonts w:cs="Times New Roman"/>
        </w:rPr>
        <w:fldChar w:fldCharType="begin" w:fldLock="1"/>
      </w:r>
      <w:r w:rsidR="00302CDD">
        <w:rPr>
          <w:rFonts w:cs="Times New Roman"/>
        </w:rPr>
        <w:instrText>ADDIN CSL_CITATION {"citationItems":[{"id":"ITEM-1","itemData":{"DOI":"10.1016/j.quascirev.2003.06.011","author":[{"dropping-particle":"","family":"Waterhouse","given":"J S","non-dropping-particle":"","parse-names":false,"suffix":""},{"dropping-particle":"","family":"Switsur","given":"V R","non-dropping-particle":"","parse-names":false,"suffix":""},{"dropping-particle":"","family":"Barker","given":"A C","non-dropping-particle":"","parse-names":false,"suffix":""},{"dropping-particle":"","family":"Carter","given":"A H C","non-dropping-particle":"","parse-names":false,"suffix":""}],"container-title":"Quaternary Science Reviews","id":"ITEM-1","issued":{"date-parts":[["2004"]]},"page":"803-810","title":"Northern European trees show a progressively diminishing response to increasing atmospheric carbon dioxide concentrations","type":"article-journal","volume":"23"},"uris":["http://www.mendeley.com/documents/?uuid=3d61e97c-4bce-4af4-9586-85a4f79b1efb"]},{"id":"ITEM-2","itemData":{"DOI":"10.1111/j.1365-2486.2010.02273.x","ISBN":"1354-1013","ISSN":"13541013","abstract":"Investigating the many internal feedbacks within the climate system is a vital component of the effort to quantify the full effects of future anthropogenic climate change. The stomatal apertures of plants tend to close and decrease in number under elevated CO2 concentrations, increasing water-use efficiency (WUE) and reducing canopy evapotranspiration. Experimental and modelling studies reveal huge variations in these changes such that the warming associated with reduced evapotranspiration (known as physiological forcing) is neither well understood or constrained. Palaeo-observations of changes in stomatal response and plant WUE under rising CO2 might be used to better understand the processes underlying the physiological forcing feedback and to link measured changes in plant WUE to a specific physiological change in stomata. Here we use time series of tree ring (Pinus sylvestris L.) d13C and subfossil leaf (Betula nana L.) measurements of stomatal density and geometry to derive records of changes in intrinsic water-use efficiency (iWUE) and maximum stomatal conductance in the Boreal zone of northern Finland and Sweden. We investigate the rate of change in both proxies, over the recent past. The independent lines of evidence from these two different Boreal species indicate increased iWUE and reduced maximum stomatal conductance of similar magnitude from preindustrial times (ca. AD 1850) to around AD 1970. After this maximum stomatal conductance continues to decrease to AD 2000 in B. nana but iWUE in P. sylvestris reaches a plateau. We suggest that northern boreal P. sylvestris might have reached a threshold in its ability to increase WUE as CO2 rises.","author":[{"dropping-particle":"","family":"Gagen","given":"Mary","non-dropping-particle":"","parse-names":false,"suffix":""},{"dropping-particle":"","family":"Finsinger","given":"Walter","non-dropping-particle":"","parse-names":false,"suffix":""},{"dropping-particle":"","family":"Wagner-Cremer","given":"Friederike","non-dropping-particle":"","parse-names":false,"suffix":""},{"dropping-particle":"","family":"Mccarroll","given":"Danny","non-dropping-particle":"","parse-names":false,"suffix":""},{"dropping-particle":"","family":"Loader","given":"Neil J.","non-dropping-particle":"","parse-names":false,"suffix":""},{"dropping-particle":"","family":"Robertson","given":"Iain","non-dropping-particle":"","parse-names":false,"suffix":""},{"dropping-particle":"","family":"Jalkanen","given":"Risto","non-dropping-particle":"","parse-names":false,"suffix":""},{"dropping-particle":"","family":"Young","given":"Giles","non-dropping-particle":"","parse-names":false,"suffix":""},{"dropping-particle":"","family":"Kirchhefer","given":"Andreas","non-dropping-particle":"","parse-names":false,"suffix":""}],"container-title":"Global Change Biology","id":"ITEM-2","issue":"2","issued":{"date-parts":[["2011"]]},"page":"1064-1072","title":"Evidence of changing intrinsic water-use efficiency under rising atmospheric CO2 concentrations in Boreal Fennoscandia from subfossil leaves and tree ring δ13C ratios","type":"article-journal","volume":"17"},"uris":["http://www.mendeley.com/documents/?uuid=588d5a69-83af-4dac-831f-b54abac2fc68"]}],"mendeley":{"formattedCitation":"(Gagen et al., 2011; Waterhouse, Switsur, Barker, &amp; Carter, 2004)","manualFormatting":"(Gagen et al., 2011; Waterhouse et al., 2004)","plainTextFormattedCitation":"(Gagen et al., 2011; Waterhouse, Switsur, Barker, &amp; Carter, 2004)","previouslyFormattedCitation":"(Gagen et al., 2011; Waterhouse, Switsur, Barker, &amp; Carter, 2004)"},"properties":{"noteIndex":0},"schema":"https://github.com/citation-style-language/schema/raw/master/csl-citation.json"}</w:instrText>
      </w:r>
      <w:r w:rsidR="00F3342B" w:rsidRPr="00BD2160">
        <w:rPr>
          <w:rFonts w:cs="Times New Roman"/>
        </w:rPr>
        <w:fldChar w:fldCharType="separate"/>
      </w:r>
      <w:r w:rsidR="00D6182A" w:rsidRPr="00D6182A">
        <w:rPr>
          <w:rFonts w:cs="Times New Roman"/>
          <w:noProof/>
        </w:rPr>
        <w:t>(Gagen et al., 2011; Waterhouse</w:t>
      </w:r>
      <w:r w:rsidR="00302CDD">
        <w:rPr>
          <w:rFonts w:cs="Times New Roman"/>
          <w:noProof/>
        </w:rPr>
        <w:t xml:space="preserve"> et al., </w:t>
      </w:r>
      <w:r w:rsidR="00D6182A" w:rsidRPr="00D6182A">
        <w:rPr>
          <w:rFonts w:cs="Times New Roman"/>
          <w:noProof/>
        </w:rPr>
        <w:t>2004)</w:t>
      </w:r>
      <w:r w:rsidR="00F3342B" w:rsidRPr="00BD2160">
        <w:rPr>
          <w:rFonts w:cs="Times New Roman"/>
        </w:rPr>
        <w:fldChar w:fldCharType="end"/>
      </w:r>
      <w:r w:rsidR="00F3342B" w:rsidRPr="00BD2160">
        <w:rPr>
          <w:rFonts w:cs="Times New Roman"/>
        </w:rPr>
        <w:t xml:space="preserve">. </w:t>
      </w:r>
      <w:r w:rsidR="00DA1C76" w:rsidRPr="00BD2160">
        <w:rPr>
          <w:rFonts w:cs="Times New Roman"/>
        </w:rPr>
        <w:t>In contra</w:t>
      </w:r>
      <w:r w:rsidR="003C4EFA" w:rsidRPr="00BD2160">
        <w:rPr>
          <w:rFonts w:cs="Times New Roman"/>
        </w:rPr>
        <w:t>st</w:t>
      </w:r>
      <w:r w:rsidR="00DA1C76" w:rsidRPr="00BD2160">
        <w:rPr>
          <w:rFonts w:cs="Times New Roman"/>
        </w:rPr>
        <w:t>, e</w:t>
      </w:r>
      <w:r w:rsidR="006D4B02" w:rsidRPr="00BD2160">
        <w:rPr>
          <w:rFonts w:cs="Times New Roman"/>
        </w:rPr>
        <w:t xml:space="preserve">cosystem </w:t>
      </w:r>
      <w:r w:rsidR="00553586" w:rsidRPr="00BD2160">
        <w:rPr>
          <w:rFonts w:cs="Times New Roman"/>
        </w:rPr>
        <w:t>s</w:t>
      </w:r>
      <w:r w:rsidR="00F3342B" w:rsidRPr="00BD2160">
        <w:rPr>
          <w:rFonts w:cs="Times New Roman"/>
        </w:rPr>
        <w:t>tudies</w:t>
      </w:r>
      <w:r w:rsidR="001E2462" w:rsidRPr="00BD2160">
        <w:rPr>
          <w:rFonts w:cs="Times New Roman"/>
        </w:rPr>
        <w:t xml:space="preserve"> using </w:t>
      </w:r>
      <w:r w:rsidR="008F18CE" w:rsidRPr="00BD2160">
        <w:rPr>
          <w:rFonts w:cs="Times New Roman"/>
        </w:rPr>
        <w:t>e</w:t>
      </w:r>
      <w:r w:rsidR="001E2462" w:rsidRPr="00BD2160">
        <w:rPr>
          <w:rFonts w:cs="Times New Roman"/>
        </w:rPr>
        <w:t>ddy-covariance</w:t>
      </w:r>
      <w:r w:rsidR="00FC6C69" w:rsidRPr="00BD2160">
        <w:rPr>
          <w:rFonts w:cs="Times New Roman"/>
        </w:rPr>
        <w:t xml:space="preserve"> measurements</w:t>
      </w:r>
      <w:r w:rsidR="004D523A">
        <w:rPr>
          <w:rFonts w:cs="Times New Roman"/>
        </w:rPr>
        <w:t xml:space="preserve"> </w:t>
      </w:r>
      <w:r w:rsidR="007670AC" w:rsidRPr="00BD2160">
        <w:rPr>
          <w:rFonts w:cs="Times New Roman"/>
        </w:rPr>
        <w:t xml:space="preserve">have </w:t>
      </w:r>
      <w:r w:rsidR="00306D4B" w:rsidRPr="00BD2160">
        <w:rPr>
          <w:rFonts w:cs="Times New Roman"/>
        </w:rPr>
        <w:t>reported increase</w:t>
      </w:r>
      <w:r w:rsidR="00FC6C69" w:rsidRPr="00BD2160">
        <w:rPr>
          <w:rFonts w:cs="Times New Roman"/>
        </w:rPr>
        <w:t>s</w:t>
      </w:r>
      <w:r w:rsidR="00306D4B" w:rsidRPr="00BD2160">
        <w:rPr>
          <w:rFonts w:cs="Times New Roman"/>
        </w:rPr>
        <w:t xml:space="preserve"> </w:t>
      </w:r>
      <w:r w:rsidR="006D2D58" w:rsidRPr="00BD2160">
        <w:rPr>
          <w:rFonts w:cs="Times New Roman"/>
        </w:rPr>
        <w:t>up to</w:t>
      </w:r>
      <w:r w:rsidR="00306D4B" w:rsidRPr="00BD2160">
        <w:rPr>
          <w:rFonts w:cs="Times New Roman"/>
        </w:rPr>
        <w:t xml:space="preserve"> </w:t>
      </w:r>
      <w:r w:rsidR="00A55456" w:rsidRPr="00BD2160">
        <w:rPr>
          <w:rFonts w:cs="Times New Roman"/>
        </w:rPr>
        <w:t>2</w:t>
      </w:r>
      <w:r w:rsidR="002E0141">
        <w:rPr>
          <w:rFonts w:cs="Times New Roman"/>
        </w:rPr>
        <w:t>.3</w:t>
      </w:r>
      <w:r w:rsidR="00A55456" w:rsidRPr="00BD2160">
        <w:rPr>
          <w:rFonts w:cs="Times New Roman"/>
        </w:rPr>
        <w:t>% yr</w:t>
      </w:r>
      <w:r w:rsidR="00564931">
        <w:rPr>
          <w:rFonts w:cs="Times New Roman"/>
          <w:vertAlign w:val="superscript"/>
        </w:rPr>
        <w:t>–</w:t>
      </w:r>
      <w:r w:rsidR="00A55456" w:rsidRPr="00BD2160">
        <w:rPr>
          <w:rFonts w:cs="Times New Roman"/>
          <w:vertAlign w:val="superscript"/>
        </w:rPr>
        <w:t>1</w:t>
      </w:r>
      <w:r w:rsidR="00A55456" w:rsidRPr="00BD2160">
        <w:rPr>
          <w:rFonts w:cs="Times New Roman"/>
        </w:rPr>
        <w:t xml:space="preserve"> </w:t>
      </w:r>
      <w:r w:rsidR="00C35A86">
        <w:rPr>
          <w:rFonts w:cs="Times New Roman"/>
        </w:rPr>
        <w:t>over the period 199</w:t>
      </w:r>
      <w:r w:rsidR="00E36E2A">
        <w:rPr>
          <w:rFonts w:cs="Times New Roman"/>
        </w:rPr>
        <w:t>5</w:t>
      </w:r>
      <w:r w:rsidR="00C35A86">
        <w:rPr>
          <w:rFonts w:cs="Times New Roman"/>
        </w:rPr>
        <w:t xml:space="preserve">- 2010 </w:t>
      </w:r>
      <w:r w:rsidR="00A55456" w:rsidRPr="00BD2160">
        <w:rPr>
          <w:rFonts w:cs="Times New Roman"/>
        </w:rPr>
        <w:fldChar w:fldCharType="begin" w:fldLock="1"/>
      </w:r>
      <w:r w:rsidR="001420D4">
        <w:rPr>
          <w:rFonts w:cs="Times New Roman"/>
        </w:rPr>
        <w:instrText>ADDIN CSL_CITATION {"citationItems":[{"id":"ITEM-1","itemData":{"DOI":"10.1038/nature12291","ISBN":"0028-0836","ISSN":"1476-4687","PMID":"23842499","abstract":"Terrestrial plants remove CO2 from the atmosphere through photosynthesis, a process that is accompanied by the loss of water vapour from leaves. The ratio of water loss to carbon gain, or water-use efficiency, is a key characteristic of ecosystem function that is central to the global cycles of water, energy and carbon. Here we analyse direct, long-term measurements of whole-ecosystem carbon and water exchange. We find a substantial increase in water-use efficiency in temperate and boreal forests of the Northern Hemisphere over the past two decades. We systematically assess various competing hypotheses to explain this trend, and find that the observed increase is most consistent with a strong CO2 fertilization effect. The results suggest a partial closure of stomata-small pores on the leaf surface that regulate gas exchange-to maintain a near-constant concentration of CO2 inside the leaf even under continually increasing atmospheric CO2 levels. The observed increase in forest water-use efficiency is larger than that predicted by existing theory and 13 terrestrial biosphere models. The increase is associated with trends of increasing ecosystem-level photosynthesis and net carbon uptake, and decreasing evapotranspiration. Our findings suggest a shift in the carbon- and water-based economics of terrestrial vegetation, which may require a reassessment of the role of stomatal control in regulating interactions between forests and climate change, and a re-evaluation of coupled vegetation-climate models.","author":[{"dropping-particle":"","family":"Keenan","given":"Trevor F.","non-dropping-particle":"","parse-names":false,"suffix":""},{"dropping-particle":"","family":"Hollinger","given":"David Y.","non-dropping-particle":"","parse-names":false,"suffix":""},{"dropping-particle":"","family":"Bohrer","given":"Gil","non-dropping-particle":"","parse-names":false,"suffix":""},{"dropping-particle":"","family":"Dragoni","given":"Danilo","non-dropping-particle":"","parse-names":false,"suffix":""},{"dropping-particle":"","family":"Munger","given":"J. William","non-dropping-particle":"","parse-names":false,"suffix":""},{"dropping-particle":"","family":"Schmid","given":"Hans Peter","non-dropping-particle":"","parse-names":false,"suffix":""},{"dropping-particle":"","family":"Richardson","given":"Andrew D.","non-dropping-particle":"","parse-names":false,"suffix":""}],"container-title":"Nature","id":"ITEM-1","issue":"7458","issued":{"date-parts":[["2013","7","18"]]},"page":"324-327","title":"Increase in forest water-use efficiency as atmospheric carbon dioxide concentrations rise.","type":"article-journal","volume":"499"},"uris":["http://www.mendeley.com/documents/?uuid=139f0204-41ea-415d-84e5-ca73af117030"]}],"mendeley":{"formattedCitation":"(Keenan et al., 2013)","plainTextFormattedCitation":"(Keenan et al., 2013)","previouslyFormattedCitation":"(Keenan et al., 2013)"},"properties":{"noteIndex":0},"schema":"https://github.com/citation-style-language/schema/raw/master/csl-citation.json"}</w:instrText>
      </w:r>
      <w:r w:rsidR="00A55456" w:rsidRPr="00BD2160">
        <w:rPr>
          <w:rFonts w:cs="Times New Roman"/>
        </w:rPr>
        <w:fldChar w:fldCharType="separate"/>
      </w:r>
      <w:r w:rsidR="00D24801" w:rsidRPr="00D24801">
        <w:rPr>
          <w:rFonts w:cs="Times New Roman"/>
          <w:noProof/>
        </w:rPr>
        <w:t>(Keenan et al., 2013)</w:t>
      </w:r>
      <w:r w:rsidR="00A55456" w:rsidRPr="00BD2160">
        <w:rPr>
          <w:rFonts w:cs="Times New Roman"/>
        </w:rPr>
        <w:fldChar w:fldCharType="end"/>
      </w:r>
      <w:r w:rsidR="003542EE" w:rsidRPr="00BD2160">
        <w:rPr>
          <w:rFonts w:cs="Times New Roman"/>
        </w:rPr>
        <w:t xml:space="preserve">, </w:t>
      </w:r>
      <w:r w:rsidR="00732EEE">
        <w:rPr>
          <w:rFonts w:cs="Times New Roman"/>
        </w:rPr>
        <w:t>albeit</w:t>
      </w:r>
      <w:r w:rsidR="00732EEE" w:rsidRPr="00BD2160">
        <w:rPr>
          <w:rFonts w:cs="Times New Roman"/>
        </w:rPr>
        <w:t xml:space="preserve"> </w:t>
      </w:r>
      <w:r w:rsidR="003542EE" w:rsidRPr="00BD2160">
        <w:rPr>
          <w:rFonts w:cs="Times New Roman"/>
        </w:rPr>
        <w:t xml:space="preserve">with a slight decrease in magnitude over </w:t>
      </w:r>
      <w:r w:rsidR="00D603AF">
        <w:rPr>
          <w:rFonts w:cs="Times New Roman"/>
        </w:rPr>
        <w:t>recent</w:t>
      </w:r>
      <w:r w:rsidR="003542EE" w:rsidRPr="00BD2160">
        <w:rPr>
          <w:rFonts w:cs="Times New Roman"/>
        </w:rPr>
        <w:t xml:space="preserve"> years</w:t>
      </w:r>
      <w:r w:rsidR="00FC7BA5">
        <w:rPr>
          <w:rFonts w:cs="Times New Roman"/>
        </w:rPr>
        <w:t xml:space="preserve"> (</w:t>
      </w:r>
      <w:r w:rsidR="004E5140">
        <w:rPr>
          <w:rFonts w:cs="Times New Roman"/>
        </w:rPr>
        <w:t xml:space="preserve">i.e. </w:t>
      </w:r>
      <w:r w:rsidR="00FC7BA5">
        <w:rPr>
          <w:rFonts w:cs="Times New Roman"/>
        </w:rPr>
        <w:t xml:space="preserve">1.3 </w:t>
      </w:r>
      <w:r w:rsidR="00FC7BA5" w:rsidRPr="00006407">
        <w:rPr>
          <w:color w:val="000000" w:themeColor="text1"/>
        </w:rPr>
        <w:sym w:font="Symbol" w:char="F0B1"/>
      </w:r>
      <w:r w:rsidR="00FC7BA5">
        <w:rPr>
          <w:color w:val="000000" w:themeColor="text1"/>
        </w:rPr>
        <w:t xml:space="preserve"> 0.1</w:t>
      </w:r>
      <w:r w:rsidR="00FC7BA5" w:rsidRPr="00006407">
        <w:rPr>
          <w:rFonts w:cs="Times New Roman"/>
          <w:color w:val="000000" w:themeColor="text1"/>
        </w:rPr>
        <w:t>% yr</w:t>
      </w:r>
      <w:r w:rsidR="00FC7BA5" w:rsidRPr="00006407">
        <w:rPr>
          <w:rFonts w:cs="Times New Roman"/>
          <w:color w:val="000000" w:themeColor="text1"/>
          <w:vertAlign w:val="superscript"/>
        </w:rPr>
        <w:t>–1</w:t>
      </w:r>
      <w:r w:rsidR="00FC7BA5" w:rsidRPr="00006407">
        <w:rPr>
          <w:rFonts w:cs="Times New Roman"/>
          <w:color w:val="000000" w:themeColor="text1"/>
        </w:rPr>
        <w:t xml:space="preserve"> </w:t>
      </w:r>
      <w:r w:rsidR="00FC7BA5" w:rsidRPr="00BD2160">
        <w:rPr>
          <w:rFonts w:cs="Times New Roman"/>
        </w:rPr>
        <w:t>over</w:t>
      </w:r>
      <w:r w:rsidR="00FC7BA5">
        <w:rPr>
          <w:rFonts w:cs="Times New Roman"/>
        </w:rPr>
        <w:t xml:space="preserve"> 1991-2014;</w:t>
      </w:r>
      <w:r w:rsidR="00D24801">
        <w:rPr>
          <w:rFonts w:cs="Times New Roman"/>
        </w:rPr>
        <w:t xml:space="preserve"> </w:t>
      </w:r>
      <w:r w:rsidR="001420D4">
        <w:rPr>
          <w:rFonts w:cs="Times New Roman"/>
        </w:rPr>
        <w:fldChar w:fldCharType="begin" w:fldLock="1"/>
      </w:r>
      <w:r w:rsidR="00A15240">
        <w:rPr>
          <w:rFonts w:cs="Times New Roman"/>
        </w:rPr>
        <w:instrText>ADDIN CSL_CITATION {"citationItems":[{"id":"ITEM-1","itemData":{"DOI":"10.1002/2017JG003890","ISBN":"2169-8953","ISSN":"21698961","PMID":"26213675","abstract":"©2017. American Geophysical Union. Elevated atmospheric CO 2  concentrations are expected to enhance photosynthesis and reduce stomatal conductance, thus increasing plant water use efficiency. A recent study based on eddy covariance flux observations from Northern Hemisphere forests showed a large increase in inherent water use efficiency (IWUE). Here we used an updated version of the same data set and robust uncertainty quantification to revisit these contemporary IWUE trends. We tested the hypothesis that the observed IWUE increase could be attributed to interannual trends in plant functional traits, potentially triggered by environmental change. We found that IWUE increased by ~1.3% yr -1 , which is less than previously reported but still larger than theoretical expectations. Numerical simulations with the Tethys-Chloris ecosystem model using temporally static plant functional traits cannot explain this increase. Simulations with plant functional trait plasticity, i.e., temporal changes in model parameters such as specific leaf area and maximum Rubisco capacity, match the observed trends in IWUE. Our results show that trends in plant functional traits, equal to 1.0% yr -1 , can explain the observed IWUE trends. Thus, at decadal or longer time scales, trait plasticity could potentially influence forest water, carbon, and energy fluxes with profound implications for both the monitoring of temporal changes in plant functional traits and their representation in Earth system models.","author":[{"dropping-particle":"","family":"Mastrotheodoros","given":"Theodoros","non-dropping-particle":"","parse-names":false,"suffix":""},{"dropping-particle":"","family":"Pappas","given":"Christoforos","non-dropping-particle":"","parse-names":false,"suffix":""},{"dropping-particle":"","family":"Molnar","given":"Peter","non-dropping-particle":"","parse-names":false,"suffix":""},{"dropping-particle":"","family":"Burlando","given":"Paolo","non-dropping-particle":"","parse-names":false,"suffix":""},{"dropping-particle":"","family":"Keenan","given":"Trevor F.","non-dropping-particle":"","parse-names":false,"suffix":""},{"dropping-particle":"","family":"Gentine","given":"Pierre","non-dropping-particle":"","parse-names":false,"suffix":""},{"dropping-particle":"","family":"Gough","given":"Christopher M.","non-dropping-particle":"","parse-names":false,"suffix":""},{"dropping-particle":"","family":"Fatichi","given":"Simone","non-dropping-particle":"","parse-names":false,"suffix":""}],"container-title":"Journal of Geophysical Research: Biogeosciences","id":"ITEM-1","issue":"9","issued":{"date-parts":[["2017"]]},"page":"2393-2408","title":"Linking plant functional trait plasticity and the large increase in forest water use efficiency","type":"article-journal","volume":"122"},"uris":["http://www.mendeley.com/documents/?uuid=025d7927-3672-409f-9e40-3c6d2953e58c"]},{"id":"ITEM-2","itemData":{"DOI":"10.1029/2018GL079093","ISSN":"1944-8007","author":[{"dropping-particle":"","family":"Wang","given":"Mengjie","non-dropping-particle":"","parse-names":false,"suffix":""},{"dropping-particle":"","family":"Chen","given":"Yunhao","non-dropping-particle":"","parse-names":false,"suffix":""},{"dropping-particle":"","family":"Wu","given":"Xiuchen","non-dropping-particle":"","parse-names":false,"suffix":""},{"dropping-particle":"","family":"Bai","given":"Yan","non-dropping-particle":"","parse-nam</w:instrText>
      </w:r>
      <w:r w:rsidR="00A15240">
        <w:rPr>
          <w:rFonts w:cs="Times New Roman" w:hint="eastAsia"/>
        </w:rPr>
        <w:instrText>es":false,"suffix":""}],"container-title":"Geophysical Research Letters","id":"ITEM-2","issued":{"date-parts":[["2018"]]},"title":"Forest</w:instrText>
      </w:r>
      <w:r w:rsidR="00A15240">
        <w:rPr>
          <w:rFonts w:cs="Times New Roman" w:hint="eastAsia"/>
        </w:rPr>
        <w:instrText>‐</w:instrText>
      </w:r>
      <w:r w:rsidR="00A15240">
        <w:rPr>
          <w:rFonts w:cs="Times New Roman" w:hint="eastAsia"/>
        </w:rPr>
        <w:instrText>type</w:instrText>
      </w:r>
      <w:r w:rsidR="00A15240">
        <w:rPr>
          <w:rFonts w:cs="Times New Roman" w:hint="eastAsia"/>
        </w:rPr>
        <w:instrText>‐</w:instrText>
      </w:r>
      <w:r w:rsidR="00A15240">
        <w:rPr>
          <w:rFonts w:cs="Times New Roman" w:hint="eastAsia"/>
        </w:rPr>
        <w:instrText>dependent water use efficiency trends across the Northern Hemisphere","type":"article-journal"},"uris":["http://</w:instrText>
      </w:r>
      <w:r w:rsidR="00A15240">
        <w:rPr>
          <w:rFonts w:cs="Times New Roman"/>
        </w:rPr>
        <w:instrText>www.mendeley.com/documents/?uuid=2c2ce213-132f-4cd5-977b-498ef8c07e2d"]}],"mendeley":{"formattedCitation":"(Mastrotheodoros et al., 2017; Wang, Chen, Wu, &amp; Bai, 2018)","manualFormatting":"Mastrotheodoros et al., 2017; Wang et al., 2018)","plainTextFormattedCitation":"(Mastrotheodoros et al., 2017; Wang, Chen, Wu, &amp; Bai, 2018)","previouslyFormattedCitation":"(Mastrotheodoros et al., 2017; Wang, Chen, Wu, &amp; Bai, 2018)"},"properties":{"noteIndex":0},"schema":"https://github.com/citation-style-language/schema/raw/master/csl-citation.json"}</w:instrText>
      </w:r>
      <w:r w:rsidR="001420D4">
        <w:rPr>
          <w:rFonts w:cs="Times New Roman"/>
        </w:rPr>
        <w:fldChar w:fldCharType="separate"/>
      </w:r>
      <w:r w:rsidR="001420D4" w:rsidRPr="001420D4">
        <w:rPr>
          <w:rFonts w:cs="Times New Roman"/>
          <w:noProof/>
        </w:rPr>
        <w:t>Mastrotheodoros et al., 2017; Wang et al., 2018)</w:t>
      </w:r>
      <w:r w:rsidR="001420D4">
        <w:rPr>
          <w:rFonts w:cs="Times New Roman"/>
        </w:rPr>
        <w:fldChar w:fldCharType="end"/>
      </w:r>
      <w:r w:rsidR="00A55456" w:rsidRPr="00BD2160">
        <w:rPr>
          <w:rFonts w:cs="Times New Roman"/>
        </w:rPr>
        <w:t xml:space="preserve">. </w:t>
      </w:r>
      <w:r w:rsidR="00DA1C76" w:rsidRPr="00BD2160">
        <w:rPr>
          <w:rFonts w:cs="Times New Roman"/>
        </w:rPr>
        <w:t xml:space="preserve">These studies reported a much stronger increase in </w:t>
      </w:r>
      <w:r w:rsidR="009C511F">
        <w:rPr>
          <w:rFonts w:cs="Times New Roman"/>
        </w:rPr>
        <w:t>e</w:t>
      </w:r>
      <w:r w:rsidR="00415298">
        <w:rPr>
          <w:rFonts w:cs="Times New Roman"/>
        </w:rPr>
        <w:t xml:space="preserve">cosystem </w:t>
      </w:r>
      <w:r w:rsidR="00DA1C76" w:rsidRPr="00BD2160">
        <w:rPr>
          <w:rFonts w:cs="Times New Roman"/>
        </w:rPr>
        <w:t xml:space="preserve">WUE relative to </w:t>
      </w:r>
      <w:r w:rsidR="00DA1C76" w:rsidRPr="00BD2160">
        <w:rPr>
          <w:rFonts w:cs="Times New Roman"/>
          <w:i/>
        </w:rPr>
        <w:t>c</w:t>
      </w:r>
      <w:r w:rsidR="00DA1C76" w:rsidRPr="00BD2160">
        <w:rPr>
          <w:rFonts w:cs="Times New Roman"/>
          <w:vertAlign w:val="subscript"/>
        </w:rPr>
        <w:t>a</w:t>
      </w:r>
      <w:r w:rsidR="00F22345" w:rsidRPr="00BD2160">
        <w:rPr>
          <w:rFonts w:cs="Times New Roman"/>
        </w:rPr>
        <w:t xml:space="preserve"> </w:t>
      </w:r>
      <w:r w:rsidR="003C4EFA" w:rsidRPr="00BD2160">
        <w:rPr>
          <w:rFonts w:cs="Times New Roman"/>
        </w:rPr>
        <w:t>rise</w:t>
      </w:r>
      <w:r w:rsidR="00F35AA7">
        <w:rPr>
          <w:rFonts w:cs="Times New Roman"/>
        </w:rPr>
        <w:t xml:space="preserve"> than that shown by </w:t>
      </w:r>
      <w:r w:rsidR="00540D2C">
        <w:rPr>
          <w:rFonts w:cs="Times New Roman"/>
        </w:rPr>
        <w:t>tree-ring</w:t>
      </w:r>
      <w:r w:rsidR="00F35AA7">
        <w:rPr>
          <w:rFonts w:cs="Times New Roman"/>
        </w:rPr>
        <w:t xml:space="preserve"> studies</w:t>
      </w:r>
      <w:r w:rsidR="008A1960">
        <w:rPr>
          <w:rFonts w:cs="Times New Roman"/>
        </w:rPr>
        <w:t xml:space="preserve"> (Fig</w:t>
      </w:r>
      <w:r w:rsidR="00174393">
        <w:rPr>
          <w:rFonts w:cs="Times New Roman"/>
        </w:rPr>
        <w:t>.</w:t>
      </w:r>
      <w:r w:rsidR="008A1960">
        <w:rPr>
          <w:rFonts w:cs="Times New Roman"/>
        </w:rPr>
        <w:t xml:space="preserve"> 1</w:t>
      </w:r>
      <w:r w:rsidR="00174393">
        <w:rPr>
          <w:rFonts w:cs="Times New Roman"/>
        </w:rPr>
        <w:t>b</w:t>
      </w:r>
      <w:r w:rsidR="008A1960" w:rsidRPr="007A77B2">
        <w:rPr>
          <w:rFonts w:cs="Times New Roman"/>
          <w:color w:val="000000" w:themeColor="text1"/>
        </w:rPr>
        <w:t>)</w:t>
      </w:r>
      <w:r w:rsidR="00732EEE" w:rsidRPr="007A77B2">
        <w:rPr>
          <w:rFonts w:cs="Times New Roman"/>
          <w:color w:val="000000" w:themeColor="text1"/>
        </w:rPr>
        <w:t>.</w:t>
      </w:r>
      <w:r w:rsidR="00F22345" w:rsidRPr="007A77B2">
        <w:rPr>
          <w:rFonts w:cs="Times New Roman"/>
          <w:color w:val="000000" w:themeColor="text1"/>
        </w:rPr>
        <w:t xml:space="preserve"> </w:t>
      </w:r>
      <w:r w:rsidR="00540275">
        <w:rPr>
          <w:rFonts w:cs="Times New Roman"/>
          <w:color w:val="000000" w:themeColor="text1"/>
        </w:rPr>
        <w:t>Note that</w:t>
      </w:r>
      <w:r w:rsidR="00DC3ADA">
        <w:rPr>
          <w:rFonts w:cs="Times New Roman"/>
          <w:color w:val="000000" w:themeColor="text1"/>
        </w:rPr>
        <w:t xml:space="preserve">, however, </w:t>
      </w:r>
      <w:r w:rsidR="00DC3ADA">
        <w:rPr>
          <w:rFonts w:cs="Times New Roman"/>
        </w:rPr>
        <w:t xml:space="preserve">changes in ecosystem-level WUE </w:t>
      </w:r>
      <w:r w:rsidR="008819C9">
        <w:rPr>
          <w:rFonts w:cs="Times New Roman"/>
        </w:rPr>
        <w:t xml:space="preserve">based on </w:t>
      </w:r>
      <w:r w:rsidR="005C5CA4">
        <w:rPr>
          <w:rFonts w:cs="Times New Roman"/>
        </w:rPr>
        <w:t>eddy-covariance</w:t>
      </w:r>
      <w:r w:rsidR="008819C9">
        <w:rPr>
          <w:rFonts w:cs="Times New Roman"/>
        </w:rPr>
        <w:t xml:space="preserve"> data </w:t>
      </w:r>
      <w:r w:rsidR="00DC3ADA">
        <w:rPr>
          <w:rFonts w:cs="Times New Roman"/>
        </w:rPr>
        <w:t xml:space="preserve">were estimated using different </w:t>
      </w:r>
      <w:r w:rsidR="0082601A">
        <w:rPr>
          <w:rFonts w:cs="Times New Roman"/>
        </w:rPr>
        <w:t>formula</w:t>
      </w:r>
      <w:r w:rsidR="00DC3ADA">
        <w:rPr>
          <w:rFonts w:cs="Times New Roman"/>
        </w:rPr>
        <w:t>tions</w:t>
      </w:r>
      <w:r w:rsidR="00BC22AB">
        <w:rPr>
          <w:rFonts w:cs="Times New Roman"/>
        </w:rPr>
        <w:t>, i.e. equation (</w:t>
      </w:r>
      <w:r w:rsidR="008B27D4">
        <w:rPr>
          <w:rFonts w:cs="Times New Roman"/>
        </w:rPr>
        <w:t>8</w:t>
      </w:r>
      <w:r w:rsidR="00BC22AB">
        <w:rPr>
          <w:rFonts w:cs="Times New Roman"/>
        </w:rPr>
        <w:t xml:space="preserve">) </w:t>
      </w:r>
      <w:r w:rsidR="0082601A">
        <w:rPr>
          <w:rFonts w:cs="Times New Roman"/>
        </w:rPr>
        <w:fldChar w:fldCharType="begin" w:fldLock="1"/>
      </w:r>
      <w:r w:rsidR="00B02BC3">
        <w:rPr>
          <w:rFonts w:cs="Times New Roman"/>
        </w:rPr>
        <w:instrText>ADDIN CSL_CITATION {"citationItems":[{"id":"ITEM-1","itemData":{"DOI":"10.1038/nature12291","ISBN":"0028-0836","ISSN":"1476-4687","PMID":"23842499","abstract":"Terrestrial plants remove CO2 from the atmosphere through photosynthesis, a process that is accompanied by the loss of water vapour from leaves. The ratio of water loss to carbon gain, or water-use efficiency, is a key characteristic of ecosystem function that is central to the global cycles of water, energy and carbon. Here we analyse direct, long-term measurements of whole-ecosystem carbon and water exchange. We find a substantial increase in water-use efficiency in temperate and boreal forests of the Northern Hemisphere over the past two decades. We systematically assess various competing hypotheses to explain this trend, and find that the observed increase is most consistent with a strong CO2 fertilization effect. The results suggest a partial closure of stomata-small pores on the leaf surface that regulate gas exchange-to maintain a near-constant concentration of CO2 inside the leaf even under continually increasing atmospheric CO2 levels. The observed increase in forest water-use efficiency is larger than that predicted by existing theory and 13 terrestrial biosphere models. The increase is associated with trends of increasing ecosystem-level photosynthesis and net carbon uptake, and decreasing evapotranspiration. Our findings suggest a shift in the carbon- and water-based economics of terrestrial vegetation, which may require a reassessment of the role of stomatal control in regulating interactions between forests and climate change, and a re-evaluation of coupled vegetation-climate models.","author":[{"dropping-particle":"","family":"Keenan","given":"Trevor F.","non-dropping-particle":"","parse-names":false,"suffix":""},{"dropping-particle":"","family":"Hollinger","given":"David Y.","non-dropping-particle":"","parse-names":false,"suffix":""},{"dropping-particle":"","family":"Bohrer","given":"Gil","non-dropping-particle":"","parse-names":false,"suffix":""},{"dropping-particle":"","family":"Dragoni","given":"Danilo","non-dropping-particle":"","parse-names":false,"suffix":""},{"dropping-particle":"","family":"Munger","given":"J. William","non-dropping-particle":"","parse-names":false,"suffix":""},{"dropping-particle":"","family":"Schmid","given":"Hans Peter","non-dropping-particle":"","parse-names":false,"suffix":""},{"dropping-particle":"","family":"Richardson","given":"Andrew D.","non-dropping-particle":"","parse-names":false,"suffix":""}],"container-title":"Nature","id":"ITEM-1","issue":"7458","issued":{"date-parts":[["2013","7","18"]]},"page":"324-327","title":"Increase in forest water-use efficiency as atmospheric carbon dioxide concentrations rise.","type":"article-journal","volume":"499"},"uris":["http://www.mendeley.com/documents/?uuid=139f0204-41ea-415d-84e5-ca73af117030"]},{"id":"ITEM-2","itemData":{"DOI":"10.1002/2017JG003890","ISBN":"2169-8953","ISSN":"21698961","PMID":"26213675","abstract":"©2017. American Geophysical Union. Elevated atmospheric CO 2  concentrations are expected to enhance photosynthesis and reduce stomatal conductance, thus increasing plant water use efficiency. A recent study based on eddy covariance flux observations from Northern Hemisphere forests showed a large increase in inherent water use efficiency (IWUE). Here we used an updated version of the same data set and robust uncertainty quantification to revisit these contemporary IWUE trends. We tested the hypothesis that the observed IWUE increase could be attributed to interannual trends in plant functional traits, potentially triggered by environmental change. We found that IWUE increased by ~1.3% yr -1 , which is less than previously reported but still larger than theoretical expectations. Numerical simulations with the Tethys-Chloris ecosystem model using temporally static plant functional traits cannot explain this increase. Simulations with plant functional trait plasticity, i.e., temporal changes in model parameters such as specific leaf area and maximum Rubisco capacity, match the observed trends in IWUE. Our results show that trends in plant functional traits, equal to 1.0% yr -1 , can explain the observed IWUE trends. Thus, at decadal or longer time scales, trait plasticity could potentially influence forest water, carbon, and energy fluxes with profound implications for both the monitoring of temporal changes in plant functional traits and their representation in Earth system models.","author":[{"dropping-particle":"","family":"Mastrotheodoros","given":"Theodoros","non-dropping-particle":"","parse-names":false,"suffix":""},{"dropping-particle":"","family":"Pappas","given":"Christoforos","non-dropping-particle":"","parse-names":false,"suffix":""},{"dropping-particle":"","family":"Molnar","given":"Peter","non-dropping-particle":"","parse-names":false,"suffix":""},{"dropping-particle":"","family":"Burlando","given":"Paolo","non-dropping-particle":"","parse-names":false,"suffix":""},{"dropping-particle":"","family":"Keenan","given":"Trevor F.","non-dropping-particle":"","parse-names":false,"suffix":""},{"dropping-particle":"","family":"Gentine","given":"Pierre","non-dropping-particle":"","parse-names":false,"suffix":""},{"dropping-particle":"","family":"Gough","given":"Christopher M.","non-dropping-particle":"","parse-names":false,"suffix":""},{"dropping-particle":"","family":"Fatichi","given":"Simone","non-dropping-particle":"","parse-names":false,"suffix":""}],"container-title":"Journal of Geophysical Research: Biogeosciences","id":"ITEM-2","issue":"9","issued":{"date-parts":[["2017"]]},"page":"2393-2408","title":"Linking plant functional trait plasticity and the large increase in forest water use efficiency","type":"article-journal","volume":"122"},"uris":["http://www.mendeley.com/documents/?uuid=025d7927-3672-409f-9e40-3c6d2953e58c"]}],"mendeley":{"formattedCitation":"(Keenan et al., 2013; Mastrotheodoros et al., 2017)","manualFormatting":"(Keenan et al., 2013; Mastrotheodoros et al., 2017)","plainTextFormattedCitation":"(Keenan et al., 2013; Mastrotheodoros et al., 2017)","previouslyFormattedCitation":"(Keenan et al., 2013; Mastrotheodoros et al., 2017)"},"properties":{"noteIndex":0},"schema":"https://github.com/citation-style-language/schema/raw/master/csl-citation.json"}</w:instrText>
      </w:r>
      <w:r w:rsidR="0082601A">
        <w:rPr>
          <w:rFonts w:cs="Times New Roman"/>
        </w:rPr>
        <w:fldChar w:fldCharType="separate"/>
      </w:r>
      <w:r w:rsidR="0082601A" w:rsidRPr="0082601A">
        <w:rPr>
          <w:rFonts w:cs="Times New Roman"/>
          <w:noProof/>
        </w:rPr>
        <w:t>(Keenan et al., 2013; Mastrotheodoros et al., 2017)</w:t>
      </w:r>
      <w:r w:rsidR="0082601A">
        <w:rPr>
          <w:rFonts w:cs="Times New Roman"/>
        </w:rPr>
        <w:fldChar w:fldCharType="end"/>
      </w:r>
      <w:r w:rsidR="0082601A">
        <w:rPr>
          <w:rFonts w:cs="Times New Roman"/>
        </w:rPr>
        <w:t xml:space="preserve"> </w:t>
      </w:r>
      <w:r w:rsidR="00BC22AB">
        <w:rPr>
          <w:rFonts w:cs="Times New Roman"/>
        </w:rPr>
        <w:t xml:space="preserve">versus </w:t>
      </w:r>
      <w:r w:rsidR="00F0004F">
        <w:rPr>
          <w:rFonts w:cs="Times New Roman"/>
        </w:rPr>
        <w:t xml:space="preserve">equation </w:t>
      </w:r>
      <w:r w:rsidR="00BC22AB">
        <w:rPr>
          <w:rFonts w:cs="Times New Roman"/>
        </w:rPr>
        <w:t>(</w:t>
      </w:r>
      <w:r w:rsidR="008B27D4">
        <w:rPr>
          <w:rFonts w:cs="Times New Roman"/>
        </w:rPr>
        <w:t>6</w:t>
      </w:r>
      <w:r w:rsidR="00BC22AB">
        <w:rPr>
          <w:rFonts w:cs="Times New Roman"/>
        </w:rPr>
        <w:t xml:space="preserve">) </w:t>
      </w:r>
      <w:r w:rsidR="0082601A">
        <w:rPr>
          <w:rFonts w:cs="Times New Roman"/>
        </w:rPr>
        <w:fldChar w:fldCharType="begin" w:fldLock="1"/>
      </w:r>
      <w:r w:rsidR="00D34863">
        <w:rPr>
          <w:rFonts w:cs="Times New Roman"/>
        </w:rPr>
        <w:instrText>ADDIN CSL_CITATION {"citationItems":[{"id":"ITEM-1","itemData":{"DOI":"10.1029/2018GL079093","ISSN":"1944-8007","author":[{"dropping-particle":"","family":"Wang","given":"Mengjie","non-dropping-particle":"","parse-names":false,"suffix":""},{"dropping-particle":"","family":"Chen","given":"Yunhao","non-dropping-particle":"","parse-names":false,"suffix":""},{"dropping-particle":"","family":"Wu","given":"Xiuchen","non-dropping-particle":"","parse-names":false,"suffix":""},{"dropping-particle":"","family":"Bai</w:instrText>
      </w:r>
      <w:r w:rsidR="00D34863">
        <w:rPr>
          <w:rFonts w:cs="Times New Roman" w:hint="eastAsia"/>
        </w:rPr>
        <w:instrText>","given":"Yan","non-dropping-particle":"","parse-names":false,"suffix":""}],"container-title":"Geophysical Research Letters","id":"ITEM-1","issued":{"date-parts":[["2018"]]},"title":"Forest</w:instrText>
      </w:r>
      <w:r w:rsidR="00D34863">
        <w:rPr>
          <w:rFonts w:cs="Times New Roman" w:hint="eastAsia"/>
        </w:rPr>
        <w:instrText>‐</w:instrText>
      </w:r>
      <w:r w:rsidR="00D34863">
        <w:rPr>
          <w:rFonts w:cs="Times New Roman" w:hint="eastAsia"/>
        </w:rPr>
        <w:instrText>type</w:instrText>
      </w:r>
      <w:r w:rsidR="00D34863">
        <w:rPr>
          <w:rFonts w:cs="Times New Roman" w:hint="eastAsia"/>
        </w:rPr>
        <w:instrText>‐</w:instrText>
      </w:r>
      <w:r w:rsidR="00D34863">
        <w:rPr>
          <w:rFonts w:cs="Times New Roman" w:hint="eastAsia"/>
        </w:rPr>
        <w:instrText>dependent water use efficiency trends across the Northern H</w:instrText>
      </w:r>
      <w:r w:rsidR="00D34863">
        <w:rPr>
          <w:rFonts w:cs="Times New Roman"/>
        </w:rPr>
        <w:instrText>emisphere","type":"article-journal"},"uris":["http://www.mendeley.com/documents/?uuid=2c2ce213-132f-4cd5-977b-498ef8c07e2d"]}],"mendeley":{"formattedCitation":"(Wang et al., 2018)","manualFormatting":"(Wang et al., 2018)","plainTextFormattedCitation":"(Wang et al., 2018)","previouslyFormattedCitation":"(Wang et al., 2018)"},"properties":{"noteIndex":0},"schema":"https://github.com/citation-style-language/schema/raw/master/csl-citation.json"}</w:instrText>
      </w:r>
      <w:r w:rsidR="0082601A">
        <w:rPr>
          <w:rFonts w:cs="Times New Roman"/>
        </w:rPr>
        <w:fldChar w:fldCharType="separate"/>
      </w:r>
      <w:r w:rsidR="0082601A" w:rsidRPr="0082601A">
        <w:rPr>
          <w:rFonts w:cs="Times New Roman"/>
          <w:noProof/>
        </w:rPr>
        <w:t>(Wang et al., 2018)</w:t>
      </w:r>
      <w:r w:rsidR="0082601A">
        <w:rPr>
          <w:rFonts w:cs="Times New Roman"/>
        </w:rPr>
        <w:fldChar w:fldCharType="end"/>
      </w:r>
      <w:r w:rsidR="00BC22AB">
        <w:rPr>
          <w:rFonts w:cs="Times New Roman"/>
        </w:rPr>
        <w:t xml:space="preserve">, which may have led to </w:t>
      </w:r>
      <w:r w:rsidR="00564931">
        <w:rPr>
          <w:rFonts w:cs="Times New Roman"/>
        </w:rPr>
        <w:t xml:space="preserve">some </w:t>
      </w:r>
      <w:r w:rsidR="00BC22AB">
        <w:rPr>
          <w:rFonts w:cs="Times New Roman"/>
        </w:rPr>
        <w:t>differen</w:t>
      </w:r>
      <w:r w:rsidR="00316709">
        <w:rPr>
          <w:rFonts w:cs="Times New Roman"/>
        </w:rPr>
        <w:t>ces in the</w:t>
      </w:r>
      <w:r w:rsidR="00BC22AB">
        <w:rPr>
          <w:rFonts w:cs="Times New Roman"/>
        </w:rPr>
        <w:t xml:space="preserve"> </w:t>
      </w:r>
      <w:r w:rsidR="00F21C38">
        <w:rPr>
          <w:rFonts w:cs="Times New Roman"/>
        </w:rPr>
        <w:t>estimated magnitude</w:t>
      </w:r>
      <w:r w:rsidR="000F7541">
        <w:rPr>
          <w:rFonts w:cs="Times New Roman"/>
        </w:rPr>
        <w:t xml:space="preserve"> of trends</w:t>
      </w:r>
      <w:r w:rsidR="00BC22AB">
        <w:rPr>
          <w:rFonts w:cs="Times New Roman"/>
        </w:rPr>
        <w:t xml:space="preserve"> (Fig</w:t>
      </w:r>
      <w:r w:rsidR="00174393">
        <w:rPr>
          <w:rFonts w:cs="Times New Roman"/>
        </w:rPr>
        <w:t>.</w:t>
      </w:r>
      <w:r w:rsidR="00BC22AB">
        <w:rPr>
          <w:rFonts w:cs="Times New Roman"/>
        </w:rPr>
        <w:t xml:space="preserve"> 1</w:t>
      </w:r>
      <w:r w:rsidR="00174393">
        <w:rPr>
          <w:rFonts w:cs="Times New Roman"/>
        </w:rPr>
        <w:t>b</w:t>
      </w:r>
      <w:r w:rsidR="00BC22AB">
        <w:rPr>
          <w:rFonts w:cs="Times New Roman"/>
        </w:rPr>
        <w:t>)</w:t>
      </w:r>
      <w:r w:rsidR="00DC3ADA">
        <w:rPr>
          <w:rFonts w:cs="Times New Roman"/>
        </w:rPr>
        <w:t xml:space="preserve">. </w:t>
      </w:r>
    </w:p>
    <w:p w14:paraId="7DE36A3A" w14:textId="01456CE5" w:rsidR="007C7097" w:rsidRPr="00310A4F" w:rsidRDefault="00732EEE" w:rsidP="00310A4F">
      <w:pPr>
        <w:pStyle w:val="Body"/>
        <w:spacing w:line="360" w:lineRule="auto"/>
        <w:jc w:val="both"/>
        <w:rPr>
          <w:rFonts w:cs="Times New Roman"/>
          <w:color w:val="000000" w:themeColor="text1"/>
        </w:rPr>
      </w:pPr>
      <w:r w:rsidRPr="007A77B2">
        <w:rPr>
          <w:rFonts w:cs="Times New Roman"/>
          <w:color w:val="000000" w:themeColor="text1"/>
        </w:rPr>
        <w:t>T</w:t>
      </w:r>
      <w:r w:rsidR="00F22345" w:rsidRPr="007A77B2">
        <w:rPr>
          <w:rFonts w:cs="Times New Roman"/>
          <w:color w:val="000000" w:themeColor="text1"/>
        </w:rPr>
        <w:t xml:space="preserve">he </w:t>
      </w:r>
      <w:r w:rsidR="00B93083" w:rsidRPr="007A77B2">
        <w:rPr>
          <w:rFonts w:cs="Times New Roman"/>
          <w:color w:val="000000" w:themeColor="text1"/>
        </w:rPr>
        <w:t>reasons for th</w:t>
      </w:r>
      <w:r w:rsidR="00F72FC9" w:rsidRPr="007A77B2">
        <w:rPr>
          <w:rFonts w:cs="Times New Roman"/>
          <w:color w:val="000000" w:themeColor="text1"/>
        </w:rPr>
        <w:t xml:space="preserve">e </w:t>
      </w:r>
      <w:r w:rsidR="00564931">
        <w:rPr>
          <w:rFonts w:cs="Times New Roman"/>
          <w:color w:val="000000" w:themeColor="text1"/>
        </w:rPr>
        <w:t xml:space="preserve">large </w:t>
      </w:r>
      <w:r w:rsidR="00F72FC9" w:rsidRPr="007A77B2">
        <w:rPr>
          <w:rFonts w:cs="Times New Roman"/>
          <w:color w:val="000000" w:themeColor="text1"/>
        </w:rPr>
        <w:t xml:space="preserve">differences </w:t>
      </w:r>
      <w:r w:rsidR="00F42A4B" w:rsidRPr="007A77B2">
        <w:rPr>
          <w:rFonts w:cs="Times New Roman"/>
          <w:color w:val="000000" w:themeColor="text1"/>
        </w:rPr>
        <w:t xml:space="preserve">in the </w:t>
      </w:r>
      <w:r w:rsidR="00564931">
        <w:rPr>
          <w:rFonts w:cs="Times New Roman"/>
          <w:color w:val="000000" w:themeColor="text1"/>
        </w:rPr>
        <w:t xml:space="preserve">apparent </w:t>
      </w:r>
      <w:r w:rsidR="00F42A4B" w:rsidRPr="007A77B2">
        <w:rPr>
          <w:rFonts w:cs="Times New Roman"/>
          <w:color w:val="000000" w:themeColor="text1"/>
        </w:rPr>
        <w:t xml:space="preserve">magnitude of WUE change </w:t>
      </w:r>
      <w:r w:rsidR="00F72FC9" w:rsidRPr="007A77B2">
        <w:rPr>
          <w:rFonts w:cs="Times New Roman"/>
          <w:color w:val="000000" w:themeColor="text1"/>
        </w:rPr>
        <w:t>between scales</w:t>
      </w:r>
      <w:r w:rsidR="00CC3BD1">
        <w:rPr>
          <w:rFonts w:cs="Times New Roman"/>
          <w:color w:val="000000" w:themeColor="text1"/>
        </w:rPr>
        <w:t xml:space="preserve"> </w:t>
      </w:r>
      <w:r w:rsidR="0049626F" w:rsidRPr="007A77B2">
        <w:rPr>
          <w:rFonts w:cs="Times New Roman"/>
          <w:color w:val="000000" w:themeColor="text1"/>
        </w:rPr>
        <w:t>are</w:t>
      </w:r>
      <w:r w:rsidR="00B93083" w:rsidRPr="007A77B2">
        <w:rPr>
          <w:rFonts w:cs="Times New Roman"/>
          <w:color w:val="000000" w:themeColor="text1"/>
        </w:rPr>
        <w:t xml:space="preserve"> </w:t>
      </w:r>
      <w:r w:rsidR="00925EA7" w:rsidRPr="007A77B2">
        <w:rPr>
          <w:rFonts w:cs="Times New Roman"/>
          <w:color w:val="000000" w:themeColor="text1"/>
        </w:rPr>
        <w:t>debated</w:t>
      </w:r>
      <w:r w:rsidR="00ED340B">
        <w:rPr>
          <w:rFonts w:cs="Times New Roman"/>
          <w:color w:val="000000" w:themeColor="text1"/>
        </w:rPr>
        <w:t>. A key issue is that the</w:t>
      </w:r>
      <w:r w:rsidR="00ED340B" w:rsidRPr="007A77B2">
        <w:rPr>
          <w:rFonts w:cs="Times New Roman"/>
          <w:color w:val="000000" w:themeColor="text1"/>
        </w:rPr>
        <w:t xml:space="preserve"> </w:t>
      </w:r>
      <w:r w:rsidR="0009138B" w:rsidRPr="007A77B2">
        <w:rPr>
          <w:rFonts w:cs="Times New Roman"/>
          <w:color w:val="000000" w:themeColor="text1"/>
        </w:rPr>
        <w:t xml:space="preserve">strong physiological response </w:t>
      </w:r>
      <w:r w:rsidR="00E47213">
        <w:rPr>
          <w:rFonts w:cs="Times New Roman"/>
          <w:color w:val="000000" w:themeColor="text1"/>
        </w:rPr>
        <w:t>at the ecosystem scale</w:t>
      </w:r>
      <w:r w:rsidR="00564931">
        <w:rPr>
          <w:rFonts w:cs="Times New Roman"/>
          <w:color w:val="000000" w:themeColor="text1"/>
        </w:rPr>
        <w:t>,</w:t>
      </w:r>
      <w:r w:rsidR="00E47213">
        <w:rPr>
          <w:rFonts w:cs="Times New Roman"/>
          <w:color w:val="000000" w:themeColor="text1"/>
        </w:rPr>
        <w:t xml:space="preserve"> </w:t>
      </w:r>
      <w:r w:rsidR="00ED340B">
        <w:rPr>
          <w:rFonts w:cs="Times New Roman"/>
          <w:color w:val="000000" w:themeColor="text1"/>
        </w:rPr>
        <w:t xml:space="preserve">implied by </w:t>
      </w:r>
      <w:r w:rsidR="002F7D61">
        <w:rPr>
          <w:rFonts w:cs="Times New Roman"/>
          <w:color w:val="000000" w:themeColor="text1"/>
        </w:rPr>
        <w:t>eddy-covariance</w:t>
      </w:r>
      <w:r w:rsidR="00ED340B">
        <w:rPr>
          <w:rFonts w:cs="Times New Roman"/>
          <w:color w:val="000000" w:themeColor="text1"/>
        </w:rPr>
        <w:t xml:space="preserve"> analyses</w:t>
      </w:r>
      <w:r w:rsidR="00564931">
        <w:rPr>
          <w:rFonts w:cs="Times New Roman"/>
          <w:color w:val="000000" w:themeColor="text1"/>
        </w:rPr>
        <w:t>,</w:t>
      </w:r>
      <w:r w:rsidR="00ED340B">
        <w:rPr>
          <w:rFonts w:cs="Times New Roman"/>
          <w:color w:val="000000" w:themeColor="text1"/>
        </w:rPr>
        <w:t xml:space="preserve"> </w:t>
      </w:r>
      <w:r w:rsidR="007615E3" w:rsidRPr="00B652A5">
        <w:rPr>
          <w:rFonts w:cs="Times New Roman"/>
          <w:color w:val="000000" w:themeColor="text1"/>
        </w:rPr>
        <w:t>would produce substantial changes in surface hydrology (via reduced ET) at the continental scale</w:t>
      </w:r>
      <w:r w:rsidR="00564931">
        <w:rPr>
          <w:rFonts w:cs="Times New Roman"/>
          <w:color w:val="000000" w:themeColor="text1"/>
        </w:rPr>
        <w:t>;</w:t>
      </w:r>
      <w:r w:rsidR="007615E3" w:rsidRPr="00B652A5">
        <w:rPr>
          <w:rFonts w:cs="Times New Roman"/>
          <w:color w:val="000000" w:themeColor="text1"/>
        </w:rPr>
        <w:t xml:space="preserve"> </w:t>
      </w:r>
      <w:r w:rsidR="00564931">
        <w:rPr>
          <w:rFonts w:cs="Times New Roman"/>
          <w:color w:val="000000" w:themeColor="text1"/>
        </w:rPr>
        <w:t>but such changes appear to be</w:t>
      </w:r>
      <w:r w:rsidR="00564931" w:rsidRPr="00B652A5">
        <w:rPr>
          <w:rFonts w:cs="Times New Roman"/>
          <w:color w:val="000000" w:themeColor="text1"/>
        </w:rPr>
        <w:t xml:space="preserve"> </w:t>
      </w:r>
      <w:r w:rsidR="007615E3" w:rsidRPr="00B652A5">
        <w:rPr>
          <w:rFonts w:cs="Times New Roman"/>
          <w:color w:val="000000" w:themeColor="text1"/>
        </w:rPr>
        <w:t xml:space="preserve">inconsistent with </w:t>
      </w:r>
      <w:r w:rsidR="00693FFC">
        <w:rPr>
          <w:rFonts w:cs="Times New Roman"/>
          <w:color w:val="000000" w:themeColor="text1"/>
        </w:rPr>
        <w:t>observed large-scale trends in continental</w:t>
      </w:r>
      <w:r w:rsidR="00693FFC" w:rsidRPr="00BD2160">
        <w:rPr>
          <w:rFonts w:cs="Times New Roman"/>
          <w:color w:val="000000" w:themeColor="text1"/>
        </w:rPr>
        <w:t xml:space="preserve"> runoff, ET, and </w:t>
      </w:r>
      <w:r w:rsidR="00564931">
        <w:rPr>
          <w:rFonts w:cs="Times New Roman"/>
          <w:color w:val="000000" w:themeColor="text1"/>
        </w:rPr>
        <w:t xml:space="preserve">the </w:t>
      </w:r>
      <w:r w:rsidR="00693FFC" w:rsidRPr="00BD2160">
        <w:rPr>
          <w:rFonts w:cs="Times New Roman"/>
          <w:color w:val="000000" w:themeColor="text1"/>
        </w:rPr>
        <w:t xml:space="preserve">seasonal </w:t>
      </w:r>
      <w:r w:rsidR="00693FFC">
        <w:rPr>
          <w:rFonts w:cs="Times New Roman"/>
          <w:color w:val="000000" w:themeColor="text1"/>
        </w:rPr>
        <w:t xml:space="preserve">amplitude of atmospheric </w:t>
      </w:r>
      <w:r w:rsidR="00693FFC" w:rsidRPr="00BD2160">
        <w:rPr>
          <w:rFonts w:cs="Times New Roman"/>
          <w:color w:val="000000" w:themeColor="text1"/>
        </w:rPr>
        <w:t>CO</w:t>
      </w:r>
      <w:r w:rsidR="00693FFC" w:rsidRPr="00BD2160">
        <w:rPr>
          <w:rFonts w:cs="Times New Roman"/>
          <w:color w:val="000000" w:themeColor="text1"/>
          <w:vertAlign w:val="subscript"/>
        </w:rPr>
        <w:t>2</w:t>
      </w:r>
      <w:r w:rsidR="00693FFC" w:rsidRPr="00BD2160">
        <w:rPr>
          <w:rFonts w:cs="Times New Roman"/>
          <w:color w:val="000000" w:themeColor="text1"/>
        </w:rPr>
        <w:t xml:space="preserve"> </w:t>
      </w:r>
      <w:r w:rsidR="00693FFC">
        <w:rPr>
          <w:rFonts w:cs="Times New Roman"/>
          <w:color w:val="000000" w:themeColor="text1"/>
        </w:rPr>
        <w:fldChar w:fldCharType="begin" w:fldLock="1"/>
      </w:r>
      <w:r w:rsidR="00693FFC">
        <w:rPr>
          <w:rFonts w:cs="Times New Roman"/>
          <w:color w:val="000000" w:themeColor="text1"/>
        </w:rPr>
        <w:instrText>ADDIN CSL_CITATION {"citationItems":[{"id":"ITEM-1","itemData":{"DOI":"10.1111/nph.14288","ISBN":"1469-8137","ISSN":"14698137","PMID":"28164338","abstract":"* Ecosystem water-use efficiency (WUE) is an important metric linking the global land carbon and water cycles. Eddy covariance-based estimates of WUE in temperate/boreal forests have recently been found to show a strong and unexpected increase over the 1992–2010 period, which has been attributed to the effects of rising atmospheric CO2 concentrations on plant physiology.\\n\\n\\n* To test this hypothesis, we forced the observed trend in the process-based land surface model JSBACH by increasing the sensitivity of stomatal conductance (gs) to atmospheric CO2 concentration. We compared the simulated continental discharge, evapotranspiration (ET), and the seasonal CO2 exchange with observations across the extratropical northern hemisphere.\\n\\n\\n* The increased simulated WUE led to substantial changes in surface hydrology at the continental scale, including a significant decrease in ET and a significant increase in continental runoff, both of which are inconsistent with large-scale observations. The simulated seasonal amplitude of atmospheric CO2 decreased over time, in contrast to the observed upward trend across ground-based measurement sites.\\n\\n\\n* Our results provide strong indications that the recent, large-scale WUE trend is considerably smaller than that estimated for these forest ecosystems. They emphasize the decreasing CO2 sensitivity of WUE with increasing scale, which affects the physiological interpretation of changes in ecosystem WUE.","author":[{"dropping-particle":"","family":"Knauer","given":"Jürgen","non-dropping-particle":"","parse-names":false,"suffix":""},{"dropping-particle":"","family":"Zaehle","given":"Sönke","non-dropping-particle":"","parse-names":false,"suffix":""},{"dropping-particle":"","family":"Reichstein","given":"Markus","non-dropping-particle":"","parse-names":false,"suffix":""},{"dropping-particle":"","family":"Medlyn","given":"Belinda E.","non-dropping-particle":"","parse-names":false,"suffix":""},{"dropping-particle":"","family":"Forkel","given":"Matthias","non-dropping-particle":"","parse-names":false,"suffix":""},{"dropping-particle":"","family":"Hagemann","given":"Stefan","non-dropping-particle":"","parse-names":false,"suffix":""},{"dropping-particle":"","family":"Werner","given":"Christiane","non-dropping-particle":"","parse-names":false,"suffix":""}],"container-title":"New Phytologist","id":"ITEM-1","issue":"4","issued":{"date-parts":[["2017"]]},"page":"1654-1666","title":"The response of ecosystem water-use efficiency to rising atmospheric CO2 concentrations: sensitivity and large-scale biogeochemical implications","type":"article-journal","volume":"213"},"uris":["http://www.mendeley.com/documents/?uuid=52f53dca-1734-4616-88f8-4769a110f02a"]}],"mendeley":{"formattedCitation":"(Knauer et al., 2017)","plainTextFormattedCitation":"(Knauer et al., 2017)","previouslyFormattedCitation":"(Knauer et al., 2017)"},"properties":{"noteIndex":0},"schema":"https://github.com/citation-style-language/schema/raw/master/csl-citation.json"}</w:instrText>
      </w:r>
      <w:r w:rsidR="00693FFC">
        <w:rPr>
          <w:rFonts w:cs="Times New Roman"/>
          <w:color w:val="000000" w:themeColor="text1"/>
        </w:rPr>
        <w:fldChar w:fldCharType="separate"/>
      </w:r>
      <w:r w:rsidR="00693FFC" w:rsidRPr="00F10D77">
        <w:rPr>
          <w:rFonts w:cs="Times New Roman"/>
          <w:noProof/>
          <w:color w:val="000000" w:themeColor="text1"/>
        </w:rPr>
        <w:t>(Knauer et al., 2017)</w:t>
      </w:r>
      <w:r w:rsidR="00693FFC">
        <w:rPr>
          <w:rFonts w:cs="Times New Roman"/>
          <w:color w:val="000000" w:themeColor="text1"/>
        </w:rPr>
        <w:fldChar w:fldCharType="end"/>
      </w:r>
      <w:r w:rsidR="00693FFC" w:rsidRPr="00BD2160">
        <w:rPr>
          <w:rFonts w:cs="Times New Roman"/>
          <w:color w:val="000000" w:themeColor="text1"/>
        </w:rPr>
        <w:t>.</w:t>
      </w:r>
      <w:r w:rsidR="00DD21E2">
        <w:rPr>
          <w:rFonts w:cs="Times New Roman"/>
          <w:color w:val="000000" w:themeColor="text1"/>
        </w:rPr>
        <w:t xml:space="preserve"> </w:t>
      </w:r>
      <w:r w:rsidR="00D75AA9" w:rsidRPr="00D75AA9">
        <w:rPr>
          <w:rFonts w:cs="Times New Roman"/>
          <w:color w:val="000000" w:themeColor="text1"/>
        </w:rPr>
        <w:t xml:space="preserve">In the next sections, we discuss the </w:t>
      </w:r>
      <w:r w:rsidR="00487D03">
        <w:rPr>
          <w:rFonts w:cs="Times New Roman"/>
          <w:color w:val="000000" w:themeColor="text1"/>
        </w:rPr>
        <w:t xml:space="preserve">potential </w:t>
      </w:r>
      <w:r w:rsidR="00D75AA9" w:rsidRPr="00D75AA9">
        <w:rPr>
          <w:rFonts w:cs="Times New Roman"/>
          <w:color w:val="000000" w:themeColor="text1"/>
        </w:rPr>
        <w:t>strateg</w:t>
      </w:r>
      <w:r w:rsidR="00487D03">
        <w:rPr>
          <w:rFonts w:cs="Times New Roman"/>
          <w:color w:val="000000" w:themeColor="text1"/>
        </w:rPr>
        <w:t>ies</w:t>
      </w:r>
      <w:r w:rsidR="00D75AA9" w:rsidRPr="00D75AA9">
        <w:rPr>
          <w:rFonts w:cs="Times New Roman"/>
          <w:color w:val="000000" w:themeColor="text1"/>
        </w:rPr>
        <w:t xml:space="preserve"> of leaf-gas exchange </w:t>
      </w:r>
      <w:r w:rsidR="00E07C1B">
        <w:rPr>
          <w:rFonts w:cs="Times New Roman"/>
          <w:color w:val="000000" w:themeColor="text1"/>
        </w:rPr>
        <w:t xml:space="preserve">that </w:t>
      </w:r>
      <w:r w:rsidR="00D75AA9" w:rsidRPr="00D75AA9">
        <w:rPr>
          <w:rFonts w:cs="Times New Roman"/>
          <w:color w:val="000000" w:themeColor="text1"/>
        </w:rPr>
        <w:t xml:space="preserve">plants may have followed </w:t>
      </w:r>
      <w:r w:rsidR="00366693">
        <w:rPr>
          <w:rFonts w:cs="Times New Roman"/>
          <w:color w:val="000000" w:themeColor="text1"/>
        </w:rPr>
        <w:t>with ri</w:t>
      </w:r>
      <w:r w:rsidR="00D75AA9" w:rsidRPr="00D75AA9">
        <w:rPr>
          <w:rFonts w:cs="Times New Roman"/>
          <w:color w:val="000000" w:themeColor="text1"/>
        </w:rPr>
        <w:t xml:space="preserve">sing </w:t>
      </w:r>
      <w:r w:rsidR="00D75AA9" w:rsidRPr="00366693">
        <w:rPr>
          <w:rFonts w:cs="Times New Roman"/>
          <w:i/>
          <w:color w:val="000000" w:themeColor="text1"/>
        </w:rPr>
        <w:t>c</w:t>
      </w:r>
      <w:r w:rsidR="00D75AA9" w:rsidRPr="00366693">
        <w:rPr>
          <w:rFonts w:cs="Times New Roman"/>
          <w:color w:val="000000" w:themeColor="text1"/>
          <w:vertAlign w:val="subscript"/>
        </w:rPr>
        <w:t>a</w:t>
      </w:r>
      <w:r w:rsidR="00C42CDB">
        <w:rPr>
          <w:rFonts w:cs="Times New Roman"/>
          <w:color w:val="000000" w:themeColor="text1"/>
        </w:rPr>
        <w:t xml:space="preserve">, via changes in </w:t>
      </w:r>
      <w:r w:rsidR="00C42CDB" w:rsidRPr="00C42CDB">
        <w:rPr>
          <w:rFonts w:cs="Times New Roman"/>
          <w:i/>
          <w:color w:val="000000" w:themeColor="text1"/>
        </w:rPr>
        <w:t>c</w:t>
      </w:r>
      <w:r w:rsidR="00C42CDB" w:rsidRPr="00C42CDB">
        <w:rPr>
          <w:rFonts w:cs="Times New Roman"/>
          <w:color w:val="000000" w:themeColor="text1"/>
          <w:vertAlign w:val="subscript"/>
        </w:rPr>
        <w:t>i</w:t>
      </w:r>
      <w:r w:rsidR="00454B2F">
        <w:rPr>
          <w:rFonts w:cs="Times New Roman"/>
          <w:color w:val="000000" w:themeColor="text1"/>
        </w:rPr>
        <w:t>, to explain the large differences in trends between leaf and ecosystem e</w:t>
      </w:r>
      <w:r w:rsidR="00CC3BD1">
        <w:rPr>
          <w:rFonts w:cs="Times New Roman"/>
          <w:color w:val="000000" w:themeColor="text1"/>
        </w:rPr>
        <w:t>s</w:t>
      </w:r>
      <w:r w:rsidR="00454B2F">
        <w:rPr>
          <w:rFonts w:cs="Times New Roman"/>
          <w:color w:val="000000" w:themeColor="text1"/>
        </w:rPr>
        <w:t>timat</w:t>
      </w:r>
      <w:r w:rsidR="00CC3BD1">
        <w:rPr>
          <w:rFonts w:cs="Times New Roman"/>
          <w:color w:val="000000" w:themeColor="text1"/>
        </w:rPr>
        <w:t>e</w:t>
      </w:r>
      <w:r w:rsidR="00454B2F">
        <w:rPr>
          <w:rFonts w:cs="Times New Roman"/>
          <w:color w:val="000000" w:themeColor="text1"/>
        </w:rPr>
        <w:t>s.</w:t>
      </w:r>
      <w:r w:rsidR="00D75AA9" w:rsidRPr="00D75AA9">
        <w:rPr>
          <w:rFonts w:cs="Times New Roman"/>
          <w:color w:val="000000" w:themeColor="text1"/>
        </w:rPr>
        <w:t xml:space="preserve"> We also investigate the different methodological approaches applied for assessing trends that may have contributed to these differences.</w:t>
      </w:r>
    </w:p>
    <w:p w14:paraId="12D6800B" w14:textId="76C2A382" w:rsidR="00EB065E" w:rsidRPr="0095342A" w:rsidRDefault="00EB065E">
      <w:pPr>
        <w:keepNext/>
        <w:spacing w:line="360" w:lineRule="auto"/>
        <w:jc w:val="both"/>
        <w:rPr>
          <w:b/>
          <w:bCs/>
        </w:rPr>
      </w:pPr>
    </w:p>
    <w:p w14:paraId="75D09BC2" w14:textId="0376D85F" w:rsidR="00EB065E" w:rsidRPr="00D42A13" w:rsidRDefault="005D183D" w:rsidP="00D42A13">
      <w:pPr>
        <w:pStyle w:val="ListParagraph"/>
        <w:keepNext/>
        <w:numPr>
          <w:ilvl w:val="1"/>
          <w:numId w:val="29"/>
        </w:numPr>
        <w:spacing w:line="360" w:lineRule="auto"/>
        <w:jc w:val="both"/>
        <w:rPr>
          <w:rFonts w:ascii="Times New Roman" w:eastAsia="Times New Roman" w:hAnsi="Times New Roman" w:cs="Times New Roman"/>
          <w:b/>
          <w:bCs/>
        </w:rPr>
      </w:pPr>
      <w:bookmarkStart w:id="1" w:name="OLE_LINK60"/>
      <w:r>
        <w:rPr>
          <w:rFonts w:ascii="Times New Roman" w:hAnsi="Times New Roman" w:cs="Times New Roman"/>
          <w:b/>
          <w:bCs/>
        </w:rPr>
        <w:t>L</w:t>
      </w:r>
      <w:r w:rsidR="0022135E" w:rsidRPr="00D42A13">
        <w:rPr>
          <w:rFonts w:ascii="Times New Roman" w:hAnsi="Times New Roman" w:cs="Times New Roman"/>
          <w:b/>
          <w:bCs/>
        </w:rPr>
        <w:t>ong-term leaf gas-exchange strategies</w:t>
      </w:r>
      <w:r w:rsidR="00EB065E" w:rsidRPr="00D42A13">
        <w:rPr>
          <w:rFonts w:ascii="Times New Roman" w:hAnsi="Times New Roman" w:cs="Times New Roman"/>
          <w:b/>
          <w:bCs/>
        </w:rPr>
        <w:t xml:space="preserve">: implications </w:t>
      </w:r>
      <w:r w:rsidR="00BD1503">
        <w:rPr>
          <w:rFonts w:ascii="Times New Roman" w:hAnsi="Times New Roman" w:cs="Times New Roman"/>
          <w:b/>
          <w:bCs/>
        </w:rPr>
        <w:t>for</w:t>
      </w:r>
      <w:r w:rsidR="00BD1503" w:rsidRPr="00D42A13">
        <w:rPr>
          <w:rFonts w:ascii="Times New Roman" w:hAnsi="Times New Roman" w:cs="Times New Roman"/>
          <w:b/>
          <w:bCs/>
        </w:rPr>
        <w:t xml:space="preserve"> </w:t>
      </w:r>
      <w:r w:rsidR="0022135E" w:rsidRPr="00D42A13">
        <w:rPr>
          <w:rFonts w:ascii="Times New Roman" w:hAnsi="Times New Roman" w:cs="Times New Roman"/>
          <w:b/>
          <w:bCs/>
        </w:rPr>
        <w:t xml:space="preserve">trends in </w:t>
      </w:r>
      <w:r w:rsidR="007C1256">
        <w:rPr>
          <w:rFonts w:ascii="Times New Roman" w:hAnsi="Times New Roman" w:cs="Times New Roman"/>
          <w:b/>
          <w:bCs/>
        </w:rPr>
        <w:t>water use efficiency</w:t>
      </w:r>
      <w:r w:rsidR="0022135E" w:rsidRPr="00D42A13">
        <w:rPr>
          <w:rFonts w:ascii="Times New Roman" w:hAnsi="Times New Roman" w:cs="Times New Roman"/>
          <w:b/>
          <w:bCs/>
        </w:rPr>
        <w:t xml:space="preserve"> </w:t>
      </w:r>
    </w:p>
    <w:p w14:paraId="22F14CEC" w14:textId="5A9EA71B" w:rsidR="00512F87" w:rsidRDefault="002257DA" w:rsidP="00D37E2B">
      <w:pPr>
        <w:pStyle w:val="Body"/>
        <w:spacing w:before="240" w:line="360" w:lineRule="auto"/>
        <w:jc w:val="both"/>
        <w:rPr>
          <w:rFonts w:cs="Times New Roman"/>
        </w:rPr>
      </w:pPr>
      <w:r w:rsidRPr="006873DF">
        <w:rPr>
          <w:rFonts w:cs="Times New Roman"/>
        </w:rPr>
        <w:t>T</w:t>
      </w:r>
      <w:r w:rsidRPr="005D183D">
        <w:rPr>
          <w:rFonts w:cs="Times New Roman"/>
        </w:rPr>
        <w:t>he primary</w:t>
      </w:r>
      <w:r>
        <w:rPr>
          <w:rFonts w:cs="Times New Roman"/>
        </w:rPr>
        <w:t xml:space="preserve"> effects on </w:t>
      </w:r>
      <w:r w:rsidR="00F96013">
        <w:rPr>
          <w:rFonts w:cs="Times New Roman"/>
        </w:rPr>
        <w:t xml:space="preserve">leaves </w:t>
      </w:r>
      <w:r>
        <w:rPr>
          <w:rFonts w:cs="Times New Roman"/>
        </w:rPr>
        <w:t xml:space="preserve">of rising </w:t>
      </w:r>
      <w:r w:rsidRPr="00B652A5">
        <w:rPr>
          <w:rFonts w:cs="Times New Roman"/>
          <w:i/>
        </w:rPr>
        <w:t>c</w:t>
      </w:r>
      <w:r w:rsidRPr="00B652A5">
        <w:rPr>
          <w:rFonts w:cs="Times New Roman"/>
          <w:vertAlign w:val="subscript"/>
        </w:rPr>
        <w:t>a</w:t>
      </w:r>
      <w:r>
        <w:rPr>
          <w:rFonts w:cs="Times New Roman"/>
        </w:rPr>
        <w:t xml:space="preserve"> have been well documented </w:t>
      </w:r>
      <w:r w:rsidR="00564931">
        <w:rPr>
          <w:rFonts w:cs="Times New Roman"/>
        </w:rPr>
        <w:t xml:space="preserve">in </w:t>
      </w:r>
      <w:r>
        <w:rPr>
          <w:rFonts w:cs="Times New Roman"/>
        </w:rPr>
        <w:t xml:space="preserve">experimental </w:t>
      </w:r>
      <w:r w:rsidR="006F1205">
        <w:rPr>
          <w:rFonts w:cs="Times New Roman"/>
        </w:rPr>
        <w:t xml:space="preserve">studies </w:t>
      </w:r>
      <w:r w:rsidR="00327836">
        <w:rPr>
          <w:rFonts w:cs="Times New Roman"/>
        </w:rPr>
        <w:t xml:space="preserve">of </w:t>
      </w:r>
      <w:r>
        <w:rPr>
          <w:rFonts w:cs="Times New Roman"/>
        </w:rPr>
        <w:t xml:space="preserve">individual </w:t>
      </w:r>
      <w:r w:rsidR="00F96013">
        <w:rPr>
          <w:rFonts w:cs="Times New Roman"/>
        </w:rPr>
        <w:t xml:space="preserve">plant </w:t>
      </w:r>
      <w:r>
        <w:rPr>
          <w:rFonts w:cs="Times New Roman"/>
        </w:rPr>
        <w:t>species</w:t>
      </w:r>
      <w:r w:rsidRPr="002257DA">
        <w:rPr>
          <w:rFonts w:cs="Times New Roman"/>
        </w:rPr>
        <w:t xml:space="preserve"> </w:t>
      </w:r>
      <w:r>
        <w:rPr>
          <w:rFonts w:cs="Times New Roman"/>
        </w:rPr>
        <w:t>grown in controlled environment</w:t>
      </w:r>
      <w:r w:rsidR="00F81B19">
        <w:rPr>
          <w:rFonts w:cs="Times New Roman"/>
        </w:rPr>
        <w:t>s</w:t>
      </w:r>
      <w:r w:rsidR="0063319A">
        <w:rPr>
          <w:rFonts w:cs="Times New Roman"/>
        </w:rPr>
        <w:t xml:space="preserve"> </w:t>
      </w:r>
      <w:r w:rsidR="0063319A">
        <w:rPr>
          <w:rFonts w:cs="Times New Roman"/>
        </w:rPr>
        <w:fldChar w:fldCharType="begin" w:fldLock="1"/>
      </w:r>
      <w:r w:rsidR="005D2738">
        <w:rPr>
          <w:rFonts w:cs="Times New Roman"/>
        </w:rPr>
        <w:instrText>ADDIN CSL_CITATION {"citationItems":[{"id":"ITEM-1","itemData":{"DOI":"10.1046/j.1365-3040.1999.00391.x","ISSN":"0140-7791","author":[{"dropping-particle":"","family":"Norby","given":"RJ","non-dropping-particle":"","parse-names":false,"suffix":""},{"dropping-particle":"","family":"Wullschleger","given":"Stan D.","non-dropping-particle":"","parse-names":false,"suffix":""},{"dropping-particle":"","family":"Gunderson","given":"CA","non-dropping-particle":"","parse-names":false,"suffix":""},{"dropping-particle":"","family":"Johnson","given":"D","non-dropping-particle":"","parse-names":false,"suffix":""},{"dropping-particle":"","family":"Ceulemans","given":"Reinhart","non-dropping-particle":"","parse-names":false,"suffix":""}],"container-title":"Plant, Cell and Environment","id":"ITEM-1","issue":"6","issued":{"date-parts":[["1999","6"]]},"page":"683-714","title":"Tree responses to rising CO2 in field experiments: implications for the future forest","type":"article-journal","volume":"22"},"uris":["http://www.mendeley.com/documents/?uuid=4cc0123a-f7ff-40f3-a567-885406db3624"]},{"id":"ITEM-2","itemData":{"DOI":"10.1046/j.1469-8137.1998.00221.x","ISBN":"1469-8137","ISSN":"0028646X","PMID":"2926","abstract":"Forests exchange large amounts of CO2 with the atmosphere and can influence and be influenced by atmospheric CO2. There has been a recent proliferation of literature on the effects of atmospheric CO2 on forest trees. More than 300 studies of trees on five different continents have been published in the last five years. These include an increasing number of field studies with a long-term focus and involving CO2×stress or environment interactions. The recent data on long-term effects of elevated atmospheric CO2 on trees indicate a potential for a persistent enhancement of tree growth for several years, although the only relevant long-term datasets currently available are for juvenile trees. The current literature indicates a significantly larger average long-term biomass increment under elevated CO2 for conifers (130%) than for deciduous trees (49%) in studies not involving stress components. However, stimulation of photosynthesis by elevated CO2 in long-term studies was similar for conifers (62%) and deciduous trees (53%). Recent studies indicate that elevated CO2 causes a more persistent stimulation of biomass increment and photosynthesis than previously expected. Results of seedling studies, however, might not be applicable to other stages of tree development because of complications of age-dependent and size-dependent shifts in physiology and carbon allocation, which are accelerated by elevated CO2. In addition, there are many possible avenues to down-regulation, making the predicted canopy CO2 exchange and growth of mature trees and forests in a CO2-rich atmosphere uncertain. Although, physiological down-regulation of photosynthetic rates has been documented in field situations, it is rarely large enough to offset entirely photosynthetic gains in elevated CO2. A persistent growth stimulation of individual mature trees has been demonstrated although this effect is more uncertain in trees in natural stands. Resource interactions can both constrain tree responses to elevated CO2 and be altered by them. Although drought can reduce gas-exchange rates and offset the benefits of elevated CO2, even in well watered trees, stomatal conductance is remarkably less responsive to elevated CO2 than in herbaceous species. Stomata of a number of tree species have been demonstrated to be unresponsive to elevated CO2. We conclude that positive effects of CO2 on leaf area can be at least as important in determining canopy transpiration as negative, direct effects of CO2…","author":[{"dropping-particle":"","family":"Saxe","given":"Henrik","non-dropping-particle":"","parse-names":false,"suffix":""},{"dropping-particle":"","family":"Ellsworth","given":"David S.","non-dropping-particle":"","parse-names":false,"suffix":""},{"dropping-particle":"","family":"Heath","given":"James","non-dropping-particle":"","parse-names":false,"suffix":""}],"container-title":"New Phytologist","id":"ITEM-2","issue":"3","issued":{"date-parts":[["1998"]]},"page":"395-436","title":"Tree and forest functioning in an enriched CO2 atmosphere","type":"article","volume":"139"},"uris":["http://www.mendeley.com/documents/?uuid=754aedd9-e61a-484b-85da-7587f8e5c2ee"]}],"mendeley":{"formattedCitation":"(Norby, Wullschleger, Gunderson, Johnson, &amp; Ceulemans, 1999; Saxe et al., 1998)","manualFormatting":"(Norby et al., 1999; Saxe et al., 1998)","plainTextFormattedCitation":"(Norby, Wullschleger, Gunderson, Johnson, &amp; Ceulemans, 1999; Saxe et al., 1998)","previouslyFormattedCitation":"(Norby, Wullschleger, Gunderson, Johnson, &amp; Ceulemans, 1999; Saxe et al., 1998)"},"properties":{"noteIndex":0},"schema":"https://github.com/citation-style-language/schema/raw/master/csl-citation.json"}</w:instrText>
      </w:r>
      <w:r w:rsidR="0063319A">
        <w:rPr>
          <w:rFonts w:cs="Times New Roman"/>
        </w:rPr>
        <w:fldChar w:fldCharType="separate"/>
      </w:r>
      <w:r w:rsidR="0063319A" w:rsidRPr="0063319A">
        <w:rPr>
          <w:rFonts w:cs="Times New Roman"/>
          <w:noProof/>
        </w:rPr>
        <w:t>(Norb</w:t>
      </w:r>
      <w:r w:rsidR="0063319A">
        <w:rPr>
          <w:rFonts w:cs="Times New Roman"/>
          <w:noProof/>
        </w:rPr>
        <w:t>y et al.</w:t>
      </w:r>
      <w:r w:rsidR="0063319A" w:rsidRPr="0063319A">
        <w:rPr>
          <w:rFonts w:cs="Times New Roman"/>
          <w:noProof/>
        </w:rPr>
        <w:t>, 1999; Saxe et al., 1998)</w:t>
      </w:r>
      <w:r w:rsidR="0063319A">
        <w:rPr>
          <w:rFonts w:cs="Times New Roman"/>
        </w:rPr>
        <w:fldChar w:fldCharType="end"/>
      </w:r>
      <w:r w:rsidR="00055307">
        <w:rPr>
          <w:rFonts w:cs="Times New Roman"/>
        </w:rPr>
        <w:t xml:space="preserve">. </w:t>
      </w:r>
      <w:r w:rsidR="00D342C8">
        <w:rPr>
          <w:rFonts w:cs="Times New Roman"/>
        </w:rPr>
        <w:t>However, w</w:t>
      </w:r>
      <w:r w:rsidR="007D35A8">
        <w:rPr>
          <w:rFonts w:cs="Times New Roman"/>
        </w:rPr>
        <w:t xml:space="preserve">hile some studies have shown that an increase of </w:t>
      </w:r>
      <w:r w:rsidR="007D35A8" w:rsidRPr="00D42A13">
        <w:rPr>
          <w:rFonts w:cs="Times New Roman"/>
          <w:i/>
        </w:rPr>
        <w:t>c</w:t>
      </w:r>
      <w:r w:rsidR="007D35A8" w:rsidRPr="00D42A13">
        <w:rPr>
          <w:rFonts w:cs="Times New Roman"/>
          <w:vertAlign w:val="subscript"/>
        </w:rPr>
        <w:t>a</w:t>
      </w:r>
      <w:r w:rsidR="007D35A8">
        <w:rPr>
          <w:rFonts w:cs="Times New Roman"/>
        </w:rPr>
        <w:t xml:space="preserve"> would </w:t>
      </w:r>
      <w:r w:rsidR="009C10E5">
        <w:rPr>
          <w:rFonts w:cs="Times New Roman"/>
        </w:rPr>
        <w:t xml:space="preserve">lead to an </w:t>
      </w:r>
      <w:r w:rsidR="007D35A8">
        <w:rPr>
          <w:rFonts w:cs="Times New Roman"/>
        </w:rPr>
        <w:t xml:space="preserve">increase </w:t>
      </w:r>
      <w:r w:rsidR="00F85FF5">
        <w:rPr>
          <w:rFonts w:cs="Times New Roman"/>
        </w:rPr>
        <w:t xml:space="preserve">of </w:t>
      </w:r>
      <w:r w:rsidR="007D35A8">
        <w:rPr>
          <w:rFonts w:cs="Times New Roman"/>
        </w:rPr>
        <w:t>the difference in CO</w:t>
      </w:r>
      <w:r w:rsidR="007D35A8" w:rsidRPr="00D42A13">
        <w:rPr>
          <w:rFonts w:cs="Times New Roman"/>
          <w:vertAlign w:val="subscript"/>
        </w:rPr>
        <w:t>2</w:t>
      </w:r>
      <w:r w:rsidR="007D35A8">
        <w:rPr>
          <w:rFonts w:cs="Times New Roman"/>
        </w:rPr>
        <w:t xml:space="preserve"> concentration</w:t>
      </w:r>
      <w:r w:rsidR="00F85FF5">
        <w:rPr>
          <w:rFonts w:cs="Times New Roman"/>
        </w:rPr>
        <w:t>s</w:t>
      </w:r>
      <w:r w:rsidR="007D35A8">
        <w:rPr>
          <w:rFonts w:cs="Times New Roman"/>
        </w:rPr>
        <w:t xml:space="preserve"> across the stomata</w:t>
      </w:r>
      <w:r w:rsidR="00F26DD2">
        <w:rPr>
          <w:rFonts w:cs="Times New Roman"/>
        </w:rPr>
        <w:t xml:space="preserve"> to maintain a constant </w:t>
      </w:r>
      <w:r w:rsidR="00D342C8" w:rsidRPr="00BD2160">
        <w:rPr>
          <w:rFonts w:cs="Times New Roman"/>
          <w:i/>
        </w:rPr>
        <w:t>c</w:t>
      </w:r>
      <w:r w:rsidR="00D342C8" w:rsidRPr="00BD2160">
        <w:rPr>
          <w:rFonts w:cs="Times New Roman"/>
          <w:vertAlign w:val="subscript"/>
        </w:rPr>
        <w:t>i</w:t>
      </w:r>
      <w:r w:rsidR="00D342C8" w:rsidRPr="00BD2160">
        <w:rPr>
          <w:rFonts w:cs="Times New Roman"/>
        </w:rPr>
        <w:t>/</w:t>
      </w:r>
      <w:r w:rsidR="00D342C8" w:rsidRPr="00BD2160">
        <w:rPr>
          <w:rFonts w:cs="Times New Roman"/>
          <w:i/>
        </w:rPr>
        <w:t>c</w:t>
      </w:r>
      <w:r w:rsidR="00D342C8" w:rsidRPr="00BD2160">
        <w:rPr>
          <w:rFonts w:cs="Times New Roman"/>
          <w:vertAlign w:val="subscript"/>
        </w:rPr>
        <w:t>a</w:t>
      </w:r>
      <w:r w:rsidR="00D342C8">
        <w:rPr>
          <w:rFonts w:cs="Times New Roman"/>
        </w:rPr>
        <w:t xml:space="preserve"> </w:t>
      </w:r>
      <w:r w:rsidR="00D342C8">
        <w:rPr>
          <w:rFonts w:cs="Times New Roman"/>
        </w:rPr>
        <w:fldChar w:fldCharType="begin" w:fldLock="1"/>
      </w:r>
      <w:r w:rsidR="00CC60FC">
        <w:rPr>
          <w:rFonts w:cs="Times New Roman"/>
        </w:rPr>
        <w:instrText>ADDIN CSL_CITATION {"citationItems":[{"id":"ITEM-1","itemData":{"DOI":"10.1038/282424a0","ISBN":"0028-0836","ISSN":"00280836","PMID":"503","abstract":"Previous studies on the Physiology of stomata in higher plants suggest that stomata influence the rate of CO2 fixation in leaf mesophyll tissue. We believe that an equally important stomatal function has not been fully recognised; that stomatal aperture is determined by the capacity of the mesophyll tissue to fix carbon. We altered the capacity of leaves to fix carbon by various means, and found invariably that the diffusive conductance of the epidermis to CO2 transfer, g, (which mainly depends on the number and dimensions of the stomata) changes in nearly the same proportion as the rate of assimilation of CO2. Thus, the intercellular concentration of CO2 (ci), calculated as ci = ca–A/g (where ca is ambient concentration of CO2, A is assimilation rate of CO2), tends to remain constant providing ca is kept constant. We used routine techniques1 to measure A and estimate g in leaves placed singly in chambers. Conductance takes account of CO2 transfer through both stomata and leaf boundary layer, the conductance of the latter being 0.5 mol m−2 s−1.","author":[{"dropping-particle":"","family":"Wong","given":"S. C.","non-dropping-particle":"","parse-names":false,"suffix":""},{"dropping-particle":"","family":"Cowan","given":"I. R.","non-dropping-particle":"","parse-names":false,"suffix":""},{"dropping-particle":"","family":"Farquhar","given":"G. D.","non-dropping-particle":"","parse-names":false,"suffix":""}],"container-title":"Nature","id":"ITEM-1","issue":"5737","issued":{"date-parts":[["1979"]]},"page":"424-426","title":"Stomatal conductance correlates with photosynthetic capacity","type":"article-journal","volume":"282"},"uris":["http://www.mendeley.com/documents/?uuid=19eaf069-a711-4630-bf9f-1d76e484faf4"]},{"id":"ITEM-2","itemData":{"DOI":"10.1038/361061a0","ISSN":"0028-0836","author":[{"dropping-particle":"","family":"Polley","given":"H. Wayne","non-dropping-particle":"","parse-names":false,"suffix":""},{"dropping-particle":"","family":"Johnson","given":"Hyrum B.","non-dropping-particle":"","parse-names":false,"suffix":""},{"dropping-particle":"","family":"Marinot","given":"Bruno D.","non-dropping-particle":"","parse-names":false,"suffix":""},{"dropping-particle":"","family":"Mayeux","given":"Herman S.","non-dropping-particle":"","parse-names":false,"suffix":""}],"container-title":"Nature","id":"ITEM-2","issue":"6407","issued":{"date-parts":[["1993","1"]]},"page":"61-64","title":"Increase in C3 plant water-use efficiency and biomass over Glacial to present C02 concentrations","type":"article-journal","volume":"361"},"uris":["http://www.mendeley.com/documents/?uuid=5e317726-bb99-4f91-8c20-37cfa7867bfe"]},{"id":"ITEM-3","itemData":{"DOI":"10.1071/PP9900465","ISSN":"1445-4408","abstract":"Wheat seedlings were grown on soils with different resistances to root penetration and at various ambient partial pressures of CO2, pa. The partial pressure pa was varied either (a) as soon as seedlings emerged and until the end of the experiment (i.e. until c. 2 weeks after sowing, until the three leaf stage) or (b) only after the effects of high soil resistance were well established, and then for two days. In the first week after emergence, a higher soil resistance induced slower growth of both roots and shoot. This effect was independent of pa. We conclude that at this stage, with much of the plant's carbon being supplied from hydrolysis of seed reserves, growth at high soil resistance was not C-source limited. There was, however, a positive relationship between shoot growth rate and the carbohydrate concentration in that tissue, the degree of which varied with soil resistance. A given carbohydrate concentration was associated with a lower growth rate at high, compared with low, soil resistance. We deduced that this reduced sensitivity of growth to internal availability of substrate carbohydrate may be one manifestation of a sink limitation. Subsequent to the first week following emergence, roots grew faster on soil with higher resistance, while the shoot continued to grow more slowly. As seed reserves were becoming exhausted, growth became sensitive to pa, i.e. somewhat source-limited. This response to partial pressure of CO2 was mainly seen in the roots. The correlation between growth rate and carbohydrate levels was maintained. We conclude that increased soil resistance induces a factor which retards shoot growth, partly by decreasing its sensitivity to carbohydrate levels, making more carbon available for root growth. It is unclear whether or not this factor also directly affects the physiology of the roots. A higher soil resistance resulted in greater respiratory losses as a proportion, Φ, of carbon fixation. Reduced pa also induced greater Φ. Theory is developed relating Φ to carbon assimilation, allocation and maintenance. It leads to the prediction that respiratory losses, as a proportion, Φ, should be increased under most environmental conditions which reduce relative growth rate.","author":[{"dropping-particle":"","family":"Masle","given":"J","non-dropping-particle":"","parse-names":false,"suffix":""},{"dropping-particle":"","family":"Farquhar","given":"GD","non-dropping-particle":"","parse-names":false,"suffix":""},{"dropping-particle":"","family":"Gifford","given":"RM","non-dropping-particle":"","parse-names":false,"suffix":""}],"container-title":"Functional Plant Biology","id":"ITEM-3","issue":"4","issued":{"date-parts":[["1990"]]},"page":"465","title":"Growth and Carbon Economy of Wheat Seedlings as Affected by Soil Resistance to Penetration and Ambient Partial Pressure of CO2","type":"article-journal","volume":"17"},"uris":["http://www.mendeley.com/documents/?uuid=9d5b9a1c-4106-4481-b196-a7ca824bed8d"]}],"mendeley":{"formattedCitation":"(Masle, Farquhar, &amp; Gifford, 1990; Polley, Johnson, Marinot, &amp; Mayeux, 1993; Wong, Cowan, &amp; Farquhar, 1979)","manualFormatting":"(Masle, Farquhar, &amp; Gifford, 1990; Polley et al., 1993; Wong, Cowan, &amp; Farquhar, 1979)","plainTextFormattedCitation":"(Masle, Farquhar, &amp; Gifford, 1990; Polley, Johnson, Marinot, &amp; Mayeux, 1993; Wong, Cowan, &amp; Farquhar, 1979)","previouslyFormattedCitation":"(Masle, Farquhar, &amp; Gifford, 1990; Polley, Johnson, Marinot, &amp; Mayeux, 1993; Wong, Cowan, &amp; Farquhar, 1979)"},"properties":{"noteIndex":0},"schema":"https://github.com/citation-style-language/schema/raw/master/csl-citation.json"}</w:instrText>
      </w:r>
      <w:r w:rsidR="00D342C8">
        <w:rPr>
          <w:rFonts w:cs="Times New Roman"/>
        </w:rPr>
        <w:fldChar w:fldCharType="separate"/>
      </w:r>
      <w:r w:rsidR="00D342C8" w:rsidRPr="00780AEA">
        <w:rPr>
          <w:rFonts w:cs="Times New Roman"/>
          <w:noProof/>
        </w:rPr>
        <w:t>(Masle, Farquhar, &amp; Gifford, 1990; Polley</w:t>
      </w:r>
      <w:r w:rsidR="007F7101">
        <w:rPr>
          <w:rFonts w:cs="Times New Roman"/>
          <w:noProof/>
        </w:rPr>
        <w:t xml:space="preserve"> et al.,</w:t>
      </w:r>
      <w:r w:rsidR="00D342C8" w:rsidRPr="00780AEA">
        <w:rPr>
          <w:rFonts w:cs="Times New Roman"/>
          <w:noProof/>
        </w:rPr>
        <w:t xml:space="preserve"> 1993; Wong, Cowan, &amp; Farquhar, 1979)</w:t>
      </w:r>
      <w:r w:rsidR="00D342C8">
        <w:rPr>
          <w:rFonts w:cs="Times New Roman"/>
        </w:rPr>
        <w:fldChar w:fldCharType="end"/>
      </w:r>
      <w:r w:rsidR="00CF1AA8">
        <w:rPr>
          <w:rFonts w:cs="Times New Roman"/>
        </w:rPr>
        <w:t xml:space="preserve">, </w:t>
      </w:r>
      <w:r w:rsidR="007D35A8">
        <w:rPr>
          <w:rFonts w:cs="Times New Roman"/>
        </w:rPr>
        <w:t xml:space="preserve">others </w:t>
      </w:r>
      <w:r w:rsidR="00CF1AA8">
        <w:rPr>
          <w:rFonts w:cs="Times New Roman"/>
        </w:rPr>
        <w:t>suggest</w:t>
      </w:r>
      <w:r w:rsidR="0096292F">
        <w:rPr>
          <w:rFonts w:cs="Times New Roman"/>
        </w:rPr>
        <w:t>ed</w:t>
      </w:r>
      <w:r w:rsidR="00CF1AA8">
        <w:rPr>
          <w:rFonts w:cs="Times New Roman"/>
        </w:rPr>
        <w:t xml:space="preserve"> that </w:t>
      </w:r>
      <w:r w:rsidR="00CF1AA8" w:rsidRPr="00D42A13">
        <w:rPr>
          <w:rFonts w:cs="Times New Roman"/>
          <w:i/>
        </w:rPr>
        <w:t>c</w:t>
      </w:r>
      <w:r w:rsidR="00CF1AA8" w:rsidRPr="00D42A13">
        <w:rPr>
          <w:rFonts w:cs="Times New Roman"/>
          <w:vertAlign w:val="subscript"/>
        </w:rPr>
        <w:t>i</w:t>
      </w:r>
      <w:r w:rsidR="00CF1AA8">
        <w:rPr>
          <w:rFonts w:cs="Times New Roman"/>
        </w:rPr>
        <w:t xml:space="preserve"> may be held constant across a range of </w:t>
      </w:r>
      <w:r w:rsidR="00CF1AA8" w:rsidRPr="00D42A13">
        <w:rPr>
          <w:rFonts w:cs="Times New Roman"/>
          <w:i/>
        </w:rPr>
        <w:t>c</w:t>
      </w:r>
      <w:r w:rsidR="00CF1AA8" w:rsidRPr="00D42A13">
        <w:rPr>
          <w:rFonts w:cs="Times New Roman"/>
          <w:vertAlign w:val="subscript"/>
        </w:rPr>
        <w:t>a</w:t>
      </w:r>
      <w:r w:rsidR="00CF1AA8">
        <w:rPr>
          <w:rFonts w:cs="Times New Roman"/>
        </w:rPr>
        <w:t xml:space="preserve"> </w:t>
      </w:r>
      <w:r w:rsidR="00CF1AA8">
        <w:rPr>
          <w:rFonts w:cs="Times New Roman"/>
        </w:rPr>
        <w:fldChar w:fldCharType="begin" w:fldLock="1"/>
      </w:r>
      <w:r w:rsidR="00CF1AA8">
        <w:rPr>
          <w:rFonts w:cs="Times New Roman"/>
        </w:rPr>
        <w:instrText>ADDIN CSL_CITATION {"citationItems":[{"id":"ITEM-1","itemData":{"author":[{"dropping-particle":"","family":"Francey","given":"R.J.","non-dropping-particle":"","parse-names":false,"suffix":""},{"dropping-particle":"","family":"Farquhar","given":"G D","non-dropping-particle":"","parse-names":false,"suffix":""}],"container-title":"Nature","id":"ITEM-1","issued":{"date-parts":[["1982"]]},"page":"28-31","title":"An explanation of 13C/12C variations in tree rings","type":"article-journal","volume":"297"},"uris":["http://www.mendeley.com/documents/?uuid=66abf670-bc26-4e8e-950c-433cfc6a41b9"]},{"id":"ITEM-2","itemData":{"DOI":"10.1093/treephys/15.2.105","author":[{"dropping-particle":"","family":"Ehleringer","given":"James R.","non-dropping-particle":"","parse-names":false,"suffix":""},{"dropping-particle":"","family":"Cerling","given":"Thure E.","non-dropping-particle":"","parse-names":false,"suffix":""}],"container-title":"Tree Physiology","id":"ITEM-2","issued":{"date-parts":[["1995"]]},"page":"105-11","title":"Atmospheric CO2 and the ratio of intercellular to ambient CO2 concentration in plants","type":"article-journal","volume":"15"},"uris":["http://www.mendeley.com/documents/?uuid=41d0783e-b37f-4914-bc5f-7db7f15362cf"]}],"mendeley":{"formattedCitation":"(James R. Ehleringer &amp; Cerling, 1995; Francey &amp; Farquhar, 1982)","manualFormatting":"(Ehleringer &amp; Cerling, 1995; Francey &amp; Farquhar, 1982)","plainTextFormattedCitation":"(James R. Ehleringer &amp; Cerling, 1995; Francey &amp; Farquhar, 1982)","previouslyFormattedCitation":"(James R. Ehleringer &amp; Cerling, 1995; Francey &amp; Farquhar, 1982)"},"properties":{"noteIndex":0},"schema":"https://github.com/citation-style-language/schema/raw/master/csl-citation.json"}</w:instrText>
      </w:r>
      <w:r w:rsidR="00CF1AA8">
        <w:rPr>
          <w:rFonts w:cs="Times New Roman"/>
        </w:rPr>
        <w:fldChar w:fldCharType="separate"/>
      </w:r>
      <w:r w:rsidR="00CF1AA8" w:rsidRPr="00E17A1D">
        <w:rPr>
          <w:rFonts w:cs="Times New Roman"/>
          <w:noProof/>
        </w:rPr>
        <w:t>(Ehleringer &amp; Cerling, 1995; Francey &amp; Farquhar, 1982)</w:t>
      </w:r>
      <w:r w:rsidR="00CF1AA8">
        <w:rPr>
          <w:rFonts w:cs="Times New Roman"/>
        </w:rPr>
        <w:fldChar w:fldCharType="end"/>
      </w:r>
      <w:r w:rsidR="004E2726">
        <w:rPr>
          <w:rFonts w:cs="Times New Roman"/>
        </w:rPr>
        <w:t xml:space="preserve">, or </w:t>
      </w:r>
      <w:r w:rsidR="001A6E8F">
        <w:rPr>
          <w:rFonts w:cs="Times New Roman"/>
        </w:rPr>
        <w:t xml:space="preserve">even that </w:t>
      </w:r>
      <w:r w:rsidR="001A6E8F" w:rsidRPr="00B652A5">
        <w:rPr>
          <w:rFonts w:cs="Times New Roman"/>
          <w:i/>
        </w:rPr>
        <w:t>c</w:t>
      </w:r>
      <w:r w:rsidR="001A6E8F" w:rsidRPr="00B652A5">
        <w:rPr>
          <w:rFonts w:cs="Times New Roman"/>
          <w:vertAlign w:val="subscript"/>
        </w:rPr>
        <w:t>i</w:t>
      </w:r>
      <w:r w:rsidR="001A6E8F">
        <w:rPr>
          <w:rFonts w:cs="Times New Roman"/>
        </w:rPr>
        <w:t xml:space="preserve"> </w:t>
      </w:r>
      <w:r w:rsidR="004E2726">
        <w:rPr>
          <w:rFonts w:cs="Times New Roman"/>
        </w:rPr>
        <w:t>may</w:t>
      </w:r>
      <w:r w:rsidR="00BE31B8">
        <w:rPr>
          <w:rFonts w:cs="Times New Roman"/>
        </w:rPr>
        <w:t xml:space="preserve"> </w:t>
      </w:r>
      <w:r w:rsidR="001A6E8F">
        <w:rPr>
          <w:rFonts w:cs="Times New Roman"/>
        </w:rPr>
        <w:t>increase</w:t>
      </w:r>
      <w:r w:rsidR="0049494F">
        <w:rPr>
          <w:rFonts w:cs="Times New Roman"/>
        </w:rPr>
        <w:t xml:space="preserve"> in a similar magnitude as </w:t>
      </w:r>
      <w:r w:rsidR="0049494F" w:rsidRPr="00D42A13">
        <w:rPr>
          <w:rFonts w:cs="Times New Roman"/>
          <w:i/>
        </w:rPr>
        <w:t>c</w:t>
      </w:r>
      <w:r w:rsidR="0049494F" w:rsidRPr="00D42A13">
        <w:rPr>
          <w:rFonts w:cs="Times New Roman"/>
          <w:vertAlign w:val="subscript"/>
        </w:rPr>
        <w:t>a</w:t>
      </w:r>
      <w:r w:rsidR="00DA078F" w:rsidRPr="00D42A13">
        <w:rPr>
          <w:rFonts w:cs="Times New Roman"/>
        </w:rPr>
        <w:t>,</w:t>
      </w:r>
      <w:r w:rsidR="0049494F">
        <w:rPr>
          <w:rFonts w:cs="Times New Roman"/>
        </w:rPr>
        <w:t xml:space="preserve"> holding </w:t>
      </w:r>
      <w:r w:rsidR="0049494F" w:rsidRPr="00BD2160">
        <w:rPr>
          <w:rFonts w:cs="Times New Roman"/>
          <w:i/>
        </w:rPr>
        <w:t>c</w:t>
      </w:r>
      <w:r w:rsidR="0049494F" w:rsidRPr="00BD2160">
        <w:rPr>
          <w:rFonts w:cs="Times New Roman"/>
          <w:vertAlign w:val="subscript"/>
        </w:rPr>
        <w:t>a</w:t>
      </w:r>
      <w:r w:rsidR="0049494F" w:rsidRPr="00BD2160">
        <w:rPr>
          <w:rFonts w:cs="Times New Roman"/>
        </w:rPr>
        <w:t xml:space="preserve"> – </w:t>
      </w:r>
      <w:r w:rsidR="0049494F" w:rsidRPr="00BD2160">
        <w:rPr>
          <w:rFonts w:cs="Times New Roman"/>
          <w:i/>
        </w:rPr>
        <w:t>c</w:t>
      </w:r>
      <w:r w:rsidR="0049494F" w:rsidRPr="00BD2160">
        <w:rPr>
          <w:rFonts w:cs="Times New Roman"/>
          <w:vertAlign w:val="subscript"/>
        </w:rPr>
        <w:t>i</w:t>
      </w:r>
      <w:r w:rsidR="0049494F">
        <w:rPr>
          <w:rFonts w:cs="Times New Roman"/>
        </w:rPr>
        <w:t xml:space="preserve"> constant</w:t>
      </w:r>
      <w:r w:rsidR="00BE31B8">
        <w:rPr>
          <w:rFonts w:cs="Times New Roman"/>
        </w:rPr>
        <w:t xml:space="preserve"> </w:t>
      </w:r>
      <w:r w:rsidR="00BE31B8">
        <w:rPr>
          <w:rFonts w:cs="Times New Roman"/>
        </w:rPr>
        <w:fldChar w:fldCharType="begin" w:fldLock="1"/>
      </w:r>
      <w:r w:rsidR="00BD5520">
        <w:rPr>
          <w:rFonts w:cs="Times New Roman"/>
        </w:rPr>
        <w:instrText>ADDIN CSL_CITATION {"citationItems":[{"id":"ITEM-1","itemData":{"DOI":"10.1007/BF00328786","ISBN":"0029-8549","ISSN":"0029-8549","abstract":"Evidence is reported, based on stable isotope composition of tree rings from Pinus ponderosa, P. monticola and Pseudotsuga menziesii grown in Idaho, USA, that trees have responded physiologically to increases in the CO2 concentration of the atmosphere. However, rather than increasing ca-ci (the difference in CO2 concn. across the stomata, i.e., that outside the leaf to that within), intercellular CO2 concn. have shifted upward to match the rise in atmospheric concn., holding ca-ci constant. No differences were detected among the 3 species. To avoid confounding tree age with CO2, cellulose deposited by saplings in the 1980s was compared to cellulose deposited in the inner rings of the mature trees when they were saplings (between 1910-29 and 1941-70); thus saplings were compared to saplings. In a separate analysis, the juvenile effect, which describes the tendency for delta13C to increase in the first decades of a tree's life, was quantified independent of source CO2 effects. Based on these results and others, it is suggested that ca-ci, which has also been referred to as intrinsic water use efficiency, should be considered a homeostatic gas exchange set point for these conifer species","author":[{"dropping-particle":"","family":"Marshall","given":"John D","non-dropping-particle":"","parse-names":false,"suffix":""},{"dropping-particle":"","family":"Monserud","given":"Robert A","non-dropping-particle":"","parse-names":false,"suffix":""}],"container-title":"Oecologia","id":"ITEM-1","issue":"1","issued":{"date-parts":[["1996"]]},"page":"13-21","title":"Homeostatic gas-exchange parameters inferred from 13C/12C in tree rings of conifers","type":"article-journal","volume":"105"},"uris":["http://www.mendeley.com/documents/?uuid=1b3596f0-81e6-4d76-a053-08fd2d01e184"]}],"mendeley":{"formattedCitation":"(Marshall &amp; Monserud, 1996)","plainTextFormattedCitation":"(Marshall &amp; Monserud, 1996)","previouslyFormattedCitation":"(Marshall &amp; Monserud, 1996)"},"properties":{"noteIndex":0},"schema":"https://github.com/citation-style-language/schema/raw/master/csl-citation.json"}</w:instrText>
      </w:r>
      <w:r w:rsidR="00BE31B8">
        <w:rPr>
          <w:rFonts w:cs="Times New Roman"/>
        </w:rPr>
        <w:fldChar w:fldCharType="separate"/>
      </w:r>
      <w:r w:rsidR="00BE31B8" w:rsidRPr="007D35A8">
        <w:rPr>
          <w:rFonts w:cs="Times New Roman"/>
          <w:noProof/>
        </w:rPr>
        <w:t>(Marshall &amp; Monserud, 1996)</w:t>
      </w:r>
      <w:r w:rsidR="00BE31B8">
        <w:rPr>
          <w:rFonts w:cs="Times New Roman"/>
        </w:rPr>
        <w:fldChar w:fldCharType="end"/>
      </w:r>
      <w:r w:rsidR="0011082B">
        <w:rPr>
          <w:rFonts w:cs="Times New Roman"/>
        </w:rPr>
        <w:t xml:space="preserve">. </w:t>
      </w:r>
      <w:r w:rsidR="009B7CD2">
        <w:rPr>
          <w:rFonts w:cs="Times New Roman"/>
        </w:rPr>
        <w:t xml:space="preserve">Based on these </w:t>
      </w:r>
      <w:r w:rsidR="00EB5C8A">
        <w:rPr>
          <w:rFonts w:cs="Times New Roman"/>
        </w:rPr>
        <w:t xml:space="preserve">controlled </w:t>
      </w:r>
      <w:r w:rsidR="009B7CD2">
        <w:rPr>
          <w:rFonts w:cs="Times New Roman"/>
        </w:rPr>
        <w:t xml:space="preserve">experimental </w:t>
      </w:r>
      <w:r w:rsidR="0066061C">
        <w:rPr>
          <w:rFonts w:cs="Times New Roman"/>
        </w:rPr>
        <w:t xml:space="preserve">studies </w:t>
      </w:r>
      <w:r w:rsidR="009B7CD2">
        <w:rPr>
          <w:rFonts w:cs="Times New Roman"/>
        </w:rPr>
        <w:t>and a</w:t>
      </w:r>
      <w:r w:rsidR="009B7CD2" w:rsidRPr="00904EAB">
        <w:rPr>
          <w:rFonts w:cs="Times New Roman"/>
        </w:rPr>
        <w:t xml:space="preserve">s </w:t>
      </w:r>
      <w:r w:rsidR="00446D5B" w:rsidRPr="00904EAB">
        <w:rPr>
          <w:rFonts w:cs="Times New Roman"/>
        </w:rPr>
        <w:t>a g</w:t>
      </w:r>
      <w:r w:rsidR="00446D5B" w:rsidRPr="00A33F49">
        <w:rPr>
          <w:rFonts w:cs="Times New Roman"/>
        </w:rPr>
        <w:t xml:space="preserve">eneral framework </w:t>
      </w:r>
      <w:r w:rsidR="00446D5B" w:rsidRPr="00BD2160">
        <w:rPr>
          <w:rFonts w:cs="Times New Roman"/>
        </w:rPr>
        <w:t xml:space="preserve">for benchmarking trends in WUE, </w:t>
      </w:r>
      <w:r w:rsidR="00BD5520">
        <w:rPr>
          <w:rFonts w:cs="Times New Roman"/>
        </w:rPr>
        <w:fldChar w:fldCharType="begin" w:fldLock="1"/>
      </w:r>
      <w:r w:rsidR="00B20A90">
        <w:rPr>
          <w:rFonts w:cs="Times New Roman"/>
        </w:rPr>
        <w:instrText>ADDIN CSL_CITATION {"citationItems":[{"id":"ITEM-1","itemData":{"DOI":"10.1111/j.1365-2486.2004.00869.x","ISBN":"1354-1013","ISSN":"13541013","abstract":"Abstract We investigated the response of conifer trees in northern Eurasia to climate change and increasing CO2 over the last century by measuring the carbon isotope ratio in tree rings. Samples from Larix, Pinus and Picea trees growing at 26 high-latitude sites (59–711N) from Norway to Eastern Siberia were analysed. When comparing the periods 1861–1890 and 1961–1990, the isotope discrimination and the ratio of the intercellular to ambient CO2 concentration (ci/ca) remained constant for trees growing in mild oceanic climate and under extremely cold and dry continental conditions. This shows a strong coordination of gas-exchange processes, consisting in a biochemical acclimation and a reduction of the stomatal conductance. The correlation for ci/ca between the two investigated periods was particularly strong for Larix (r250.90) and Pinus (r250.94), but less pronounced for Picea (r250.47). Constant ci/ca under increasing CO2 in the atmosphere resulted in improved intrinsic water-use efficiency (Wi), the amount of water loss at the leaf level per unit carbon gain. We found that 125 out of 126 trees showed increasing Wi from 1861 to 1890 to 1961 to 1990, with an average improvement of 19.2?0.9% (mean?SE). The adaptation in gas exchange and reduced transpiration of trees growing in this region must have had a strong impact on the water and energy budget, resulting in a drier and warmer surface air layer today than would exist without this vegetation–climate feedback.","author":[{"dropping-particle":"","family":"Saurer","given":"M.","non-dropping-particle":"","parse-names":false,"suffix":""},{"dropping-particle":"","family":"Siegwolf","given":"R. T W","non-dropping-particle":"","parse-names":false,"suffix":""},{"dropping-particle":"","family":"Schweingruber","given":"Fritz H.","non-dropping-particle":"","parse-names":false,"suffix":""}],"container-title":"Global Change Biology","id":"ITEM-1","issued":{"date-parts":[["2004"]]},"page":"2109-2120","title":"Carbon isotope discrimination indicates improving water-use efficiency of trees in northern Eurasia over the last 100 years","type":"article-journal","volume":"10"},"uris":["http://www.mendeley.com/documents/?uuid=f099026d-8388-424c-ac71-53574d3becc7"]}],"mendeley":{"formattedCitation":"(Saurer, Siegwolf, &amp; Schweingruber, 2004)","manualFormatting":"Saurer, Siegwolf, &amp; Schweingruber (2004)","plainTextFormattedCitation":"(Saurer, Siegwolf, &amp; Schweingruber, 2004)","previouslyFormattedCitation":"(Saurer, Siegwolf, &amp; Schweingruber, 2004)"},"properties":{"noteIndex":0},"schema":"https://github.com/citation-style-language/schema/raw/master/csl-citation.json"}</w:instrText>
      </w:r>
      <w:r w:rsidR="00BD5520">
        <w:rPr>
          <w:rFonts w:cs="Times New Roman"/>
        </w:rPr>
        <w:fldChar w:fldCharType="separate"/>
      </w:r>
      <w:r w:rsidR="00BD5520" w:rsidRPr="00BD5520">
        <w:rPr>
          <w:rFonts w:cs="Times New Roman"/>
          <w:noProof/>
        </w:rPr>
        <w:t xml:space="preserve">Saurer, Siegwolf, &amp; Schweingruber </w:t>
      </w:r>
      <w:r w:rsidR="00B20A90">
        <w:rPr>
          <w:rFonts w:cs="Times New Roman"/>
          <w:noProof/>
        </w:rPr>
        <w:t>(</w:t>
      </w:r>
      <w:r w:rsidR="00BD5520" w:rsidRPr="00BD5520">
        <w:rPr>
          <w:rFonts w:cs="Times New Roman"/>
          <w:noProof/>
        </w:rPr>
        <w:t>2004)</w:t>
      </w:r>
      <w:r w:rsidR="00BD5520">
        <w:rPr>
          <w:rFonts w:cs="Times New Roman"/>
        </w:rPr>
        <w:fldChar w:fldCharType="end"/>
      </w:r>
      <w:r w:rsidR="00BD5520">
        <w:rPr>
          <w:rFonts w:cs="Times New Roman"/>
        </w:rPr>
        <w:t xml:space="preserve"> </w:t>
      </w:r>
      <w:r w:rsidR="00446D5B" w:rsidRPr="00BD2160">
        <w:rPr>
          <w:rFonts w:cs="Times New Roman"/>
        </w:rPr>
        <w:t xml:space="preserve">proposed three hypothetical scenarios </w:t>
      </w:r>
      <w:r w:rsidR="005D4ED8">
        <w:rPr>
          <w:rFonts w:cs="Times New Roman"/>
        </w:rPr>
        <w:t>reflecting</w:t>
      </w:r>
      <w:r w:rsidR="009B7CD2">
        <w:rPr>
          <w:rFonts w:cs="Times New Roman"/>
        </w:rPr>
        <w:t xml:space="preserve"> specific leaf gas-exchange response to changing </w:t>
      </w:r>
      <w:r w:rsidR="009B7CD2" w:rsidRPr="00D42A13">
        <w:rPr>
          <w:rFonts w:cs="Times New Roman"/>
          <w:i/>
        </w:rPr>
        <w:t>c</w:t>
      </w:r>
      <w:r w:rsidR="009B7CD2" w:rsidRPr="00D42A13">
        <w:rPr>
          <w:rFonts w:cs="Times New Roman"/>
          <w:vertAlign w:val="subscript"/>
        </w:rPr>
        <w:t>a</w:t>
      </w:r>
      <w:r w:rsidR="009B7CD2">
        <w:rPr>
          <w:rFonts w:cs="Times New Roman"/>
        </w:rPr>
        <w:t xml:space="preserve"> </w:t>
      </w:r>
      <w:r w:rsidR="00446D5B" w:rsidRPr="00BD2160">
        <w:rPr>
          <w:rFonts w:cs="Times New Roman"/>
        </w:rPr>
        <w:t xml:space="preserve">in which leaves maintain </w:t>
      </w:r>
      <w:r w:rsidR="001D2A85">
        <w:rPr>
          <w:rFonts w:cs="Times New Roman"/>
        </w:rPr>
        <w:t xml:space="preserve">either </w:t>
      </w:r>
      <w:r w:rsidR="00790845">
        <w:rPr>
          <w:rFonts w:cs="Times New Roman"/>
        </w:rPr>
        <w:t>(i)</w:t>
      </w:r>
      <w:r w:rsidR="001D2A85">
        <w:rPr>
          <w:rFonts w:cs="Times New Roman"/>
        </w:rPr>
        <w:t xml:space="preserve"> </w:t>
      </w:r>
      <w:r w:rsidR="00446D5B" w:rsidRPr="00BD2160">
        <w:rPr>
          <w:rFonts w:cs="Times New Roman"/>
        </w:rPr>
        <w:t xml:space="preserve">constant </w:t>
      </w:r>
      <w:r w:rsidR="00446D5B" w:rsidRPr="00BD2160">
        <w:rPr>
          <w:rFonts w:cs="Times New Roman"/>
          <w:i/>
        </w:rPr>
        <w:t>c</w:t>
      </w:r>
      <w:r w:rsidR="00446D5B" w:rsidRPr="00BD2160">
        <w:rPr>
          <w:rFonts w:cs="Times New Roman"/>
          <w:vertAlign w:val="subscript"/>
        </w:rPr>
        <w:t>i</w:t>
      </w:r>
      <w:r w:rsidR="00790845">
        <w:rPr>
          <w:rFonts w:cs="Times New Roman"/>
        </w:rPr>
        <w:t>; (ii)</w:t>
      </w:r>
      <w:r w:rsidR="00446D5B" w:rsidRPr="00BD2160">
        <w:rPr>
          <w:rFonts w:cs="Times New Roman"/>
        </w:rPr>
        <w:t xml:space="preserve"> constant </w:t>
      </w:r>
      <w:r w:rsidR="00446D5B" w:rsidRPr="00BD2160">
        <w:rPr>
          <w:rFonts w:cs="Times New Roman"/>
          <w:i/>
        </w:rPr>
        <w:t>c</w:t>
      </w:r>
      <w:r w:rsidR="00446D5B" w:rsidRPr="00BD2160">
        <w:rPr>
          <w:rFonts w:cs="Times New Roman"/>
          <w:vertAlign w:val="subscript"/>
        </w:rPr>
        <w:t>a</w:t>
      </w:r>
      <w:r w:rsidR="00446D5B" w:rsidRPr="00BD2160">
        <w:rPr>
          <w:rFonts w:cs="Times New Roman"/>
        </w:rPr>
        <w:t xml:space="preserve"> – </w:t>
      </w:r>
      <w:r w:rsidR="00446D5B" w:rsidRPr="00BD2160">
        <w:rPr>
          <w:rFonts w:cs="Times New Roman"/>
          <w:i/>
        </w:rPr>
        <w:t>c</w:t>
      </w:r>
      <w:r w:rsidR="00446D5B" w:rsidRPr="00BD2160">
        <w:rPr>
          <w:rFonts w:cs="Times New Roman"/>
          <w:vertAlign w:val="subscript"/>
        </w:rPr>
        <w:t>i</w:t>
      </w:r>
      <w:r w:rsidR="00790845">
        <w:rPr>
          <w:rFonts w:cs="Times New Roman"/>
        </w:rPr>
        <w:t>; (iii)</w:t>
      </w:r>
      <w:r w:rsidR="00446D5B" w:rsidRPr="00BD2160">
        <w:rPr>
          <w:rFonts w:cs="Times New Roman"/>
          <w:b/>
        </w:rPr>
        <w:t xml:space="preserve"> </w:t>
      </w:r>
      <w:r w:rsidR="00446D5B" w:rsidRPr="00BD2160">
        <w:rPr>
          <w:rFonts w:cs="Times New Roman"/>
        </w:rPr>
        <w:t xml:space="preserve">constant </w:t>
      </w:r>
      <w:r w:rsidR="00446D5B" w:rsidRPr="00BD2160">
        <w:rPr>
          <w:rFonts w:cs="Times New Roman"/>
          <w:i/>
        </w:rPr>
        <w:t>c</w:t>
      </w:r>
      <w:r w:rsidR="00446D5B" w:rsidRPr="00BD2160">
        <w:rPr>
          <w:rFonts w:cs="Times New Roman"/>
          <w:vertAlign w:val="subscript"/>
        </w:rPr>
        <w:t>i</w:t>
      </w:r>
      <w:r w:rsidR="00446D5B" w:rsidRPr="00BD2160">
        <w:rPr>
          <w:rFonts w:cs="Times New Roman"/>
        </w:rPr>
        <w:t>/</w:t>
      </w:r>
      <w:r w:rsidR="00446D5B" w:rsidRPr="00BD2160">
        <w:rPr>
          <w:rFonts w:cs="Times New Roman"/>
          <w:i/>
        </w:rPr>
        <w:t>c</w:t>
      </w:r>
      <w:r w:rsidR="00446D5B" w:rsidRPr="00BD2160">
        <w:rPr>
          <w:rFonts w:cs="Times New Roman"/>
          <w:vertAlign w:val="subscript"/>
        </w:rPr>
        <w:t>a</w:t>
      </w:r>
      <w:r w:rsidR="00446D5B" w:rsidRPr="00BD2160">
        <w:rPr>
          <w:rFonts w:cs="Times New Roman"/>
        </w:rPr>
        <w:t>. Following equations (</w:t>
      </w:r>
      <w:r w:rsidR="00501637">
        <w:rPr>
          <w:rFonts w:cs="Times New Roman"/>
        </w:rPr>
        <w:t>1</w:t>
      </w:r>
      <w:r w:rsidR="00446D5B" w:rsidRPr="00BD2160">
        <w:rPr>
          <w:rFonts w:cs="Times New Roman"/>
        </w:rPr>
        <w:t>) and (</w:t>
      </w:r>
      <w:r w:rsidR="00501637">
        <w:rPr>
          <w:rFonts w:cs="Times New Roman"/>
        </w:rPr>
        <w:t>2</w:t>
      </w:r>
      <w:r w:rsidR="00446D5B" w:rsidRPr="00BD2160">
        <w:rPr>
          <w:rFonts w:cs="Times New Roman"/>
        </w:rPr>
        <w:t xml:space="preserve">), and assuming no change in </w:t>
      </w:r>
      <w:r w:rsidR="00446D5B" w:rsidRPr="00A948D3">
        <w:rPr>
          <w:rFonts w:cs="Times New Roman"/>
          <w:i/>
        </w:rPr>
        <w:t>D</w:t>
      </w:r>
      <w:r w:rsidR="00446D5B" w:rsidRPr="00BD2160">
        <w:rPr>
          <w:rFonts w:cs="Times New Roman"/>
        </w:rPr>
        <w:t>, the first scenario</w:t>
      </w:r>
      <w:r w:rsidR="00790845">
        <w:rPr>
          <w:rFonts w:cs="Times New Roman"/>
        </w:rPr>
        <w:t xml:space="preserve"> (i)</w:t>
      </w:r>
      <w:r w:rsidR="00446D5B" w:rsidRPr="00BD2160">
        <w:rPr>
          <w:rFonts w:cs="Times New Roman"/>
        </w:rPr>
        <w:t xml:space="preserve"> implies a strong increase of </w:t>
      </w:r>
      <w:r w:rsidR="006440FA" w:rsidRPr="00BD2160">
        <w:rPr>
          <w:rFonts w:cs="Times New Roman"/>
        </w:rPr>
        <w:t>iWUE</w:t>
      </w:r>
      <w:r w:rsidR="006440FA" w:rsidRPr="001B08EE">
        <w:rPr>
          <w:rFonts w:cs="Times New Roman"/>
          <w:vertAlign w:val="superscript"/>
        </w:rPr>
        <w:t>l</w:t>
      </w:r>
      <w:r w:rsidR="006440FA">
        <w:rPr>
          <w:rFonts w:cs="Times New Roman"/>
          <w:vertAlign w:val="superscript"/>
        </w:rPr>
        <w:t>eaf</w:t>
      </w:r>
      <w:r w:rsidR="00446D5B" w:rsidRPr="00BD2160">
        <w:rPr>
          <w:rFonts w:cs="Times New Roman"/>
        </w:rPr>
        <w:t xml:space="preserve"> with decreasing </w:t>
      </w:r>
      <w:r w:rsidR="00446D5B" w:rsidRPr="00BD2160">
        <w:rPr>
          <w:rFonts w:cs="Times New Roman"/>
          <w:i/>
        </w:rPr>
        <w:t>c</w:t>
      </w:r>
      <w:r w:rsidR="00446D5B" w:rsidRPr="00BD2160">
        <w:rPr>
          <w:rFonts w:cs="Times New Roman"/>
          <w:vertAlign w:val="subscript"/>
        </w:rPr>
        <w:t>i</w:t>
      </w:r>
      <w:r w:rsidR="00446D5B" w:rsidRPr="00BD2160">
        <w:rPr>
          <w:rFonts w:cs="Times New Roman"/>
        </w:rPr>
        <w:t>/</w:t>
      </w:r>
      <w:r w:rsidR="00446D5B" w:rsidRPr="00BD2160">
        <w:rPr>
          <w:rFonts w:cs="Times New Roman"/>
          <w:i/>
        </w:rPr>
        <w:t>c</w:t>
      </w:r>
      <w:r w:rsidR="00446D5B" w:rsidRPr="00BD2160">
        <w:rPr>
          <w:rFonts w:cs="Times New Roman"/>
          <w:vertAlign w:val="subscript"/>
        </w:rPr>
        <w:t>a</w:t>
      </w:r>
      <w:r w:rsidR="001D2A85">
        <w:rPr>
          <w:rFonts w:cs="Times New Roman"/>
        </w:rPr>
        <w:t xml:space="preserve">, </w:t>
      </w:r>
      <w:r w:rsidR="00446D5B" w:rsidRPr="00BD2160">
        <w:rPr>
          <w:rFonts w:cs="Times New Roman"/>
        </w:rPr>
        <w:t xml:space="preserve">augmenting the effect of increasing </w:t>
      </w:r>
      <w:r w:rsidR="00446D5B" w:rsidRPr="00BD2160">
        <w:rPr>
          <w:rFonts w:cs="Times New Roman"/>
          <w:i/>
        </w:rPr>
        <w:t>c</w:t>
      </w:r>
      <w:r w:rsidR="00446D5B" w:rsidRPr="00BD2160">
        <w:rPr>
          <w:rFonts w:cs="Times New Roman"/>
          <w:vertAlign w:val="subscript"/>
        </w:rPr>
        <w:t>a</w:t>
      </w:r>
      <w:r w:rsidR="00446D5B" w:rsidRPr="00BD2160">
        <w:rPr>
          <w:rFonts w:cs="Times New Roman"/>
        </w:rPr>
        <w:t>; the second scenario</w:t>
      </w:r>
      <w:r w:rsidR="00790845">
        <w:rPr>
          <w:rFonts w:cs="Times New Roman"/>
        </w:rPr>
        <w:t xml:space="preserve"> (ii)</w:t>
      </w:r>
      <w:r w:rsidR="00446D5B" w:rsidRPr="00BD2160">
        <w:rPr>
          <w:rFonts w:cs="Times New Roman"/>
        </w:rPr>
        <w:t xml:space="preserve"> implies constant </w:t>
      </w:r>
      <w:r w:rsidR="006440FA" w:rsidRPr="00BD2160">
        <w:rPr>
          <w:rFonts w:cs="Times New Roman"/>
        </w:rPr>
        <w:t>iWUE</w:t>
      </w:r>
      <w:r w:rsidR="006440FA" w:rsidRPr="001B08EE">
        <w:rPr>
          <w:rFonts w:cs="Times New Roman"/>
          <w:vertAlign w:val="superscript"/>
        </w:rPr>
        <w:t>l</w:t>
      </w:r>
      <w:r w:rsidR="006440FA">
        <w:rPr>
          <w:rFonts w:cs="Times New Roman"/>
          <w:vertAlign w:val="superscript"/>
        </w:rPr>
        <w:t>eaf</w:t>
      </w:r>
      <w:r w:rsidR="00446D5B" w:rsidRPr="00BD2160">
        <w:rPr>
          <w:rFonts w:cs="Times New Roman"/>
        </w:rPr>
        <w:t xml:space="preserve"> with increasing </w:t>
      </w:r>
      <w:r w:rsidR="00446D5B" w:rsidRPr="00BD2160">
        <w:rPr>
          <w:rFonts w:cs="Times New Roman"/>
          <w:i/>
        </w:rPr>
        <w:t>c</w:t>
      </w:r>
      <w:r w:rsidR="00446D5B" w:rsidRPr="00BD2160">
        <w:rPr>
          <w:rFonts w:cs="Times New Roman"/>
          <w:vertAlign w:val="subscript"/>
        </w:rPr>
        <w:t>i</w:t>
      </w:r>
      <w:r w:rsidR="00446D5B" w:rsidRPr="00BD2160">
        <w:rPr>
          <w:rFonts w:cs="Times New Roman"/>
        </w:rPr>
        <w:t>/</w:t>
      </w:r>
      <w:r w:rsidR="00446D5B" w:rsidRPr="00BD2160">
        <w:rPr>
          <w:rFonts w:cs="Times New Roman"/>
          <w:i/>
        </w:rPr>
        <w:t>c</w:t>
      </w:r>
      <w:r w:rsidR="00446D5B" w:rsidRPr="00BD2160">
        <w:rPr>
          <w:rFonts w:cs="Times New Roman"/>
          <w:vertAlign w:val="subscript"/>
        </w:rPr>
        <w:t>a</w:t>
      </w:r>
      <w:r w:rsidR="001D2A85">
        <w:rPr>
          <w:rFonts w:cs="Times New Roman"/>
        </w:rPr>
        <w:t>,</w:t>
      </w:r>
      <w:r w:rsidR="00446D5B" w:rsidRPr="00BD2160">
        <w:rPr>
          <w:rFonts w:cs="Times New Roman"/>
          <w:vertAlign w:val="subscript"/>
        </w:rPr>
        <w:t xml:space="preserve"> </w:t>
      </w:r>
      <w:r w:rsidR="00446D5B" w:rsidRPr="00BD2160">
        <w:rPr>
          <w:rFonts w:cs="Times New Roman"/>
        </w:rPr>
        <w:t xml:space="preserve">counteracting the effect of increasing </w:t>
      </w:r>
      <w:r w:rsidR="00446D5B" w:rsidRPr="00BD2160">
        <w:rPr>
          <w:rFonts w:cs="Times New Roman"/>
          <w:i/>
        </w:rPr>
        <w:t>c</w:t>
      </w:r>
      <w:r w:rsidR="00446D5B" w:rsidRPr="00BD2160">
        <w:rPr>
          <w:rFonts w:cs="Times New Roman"/>
          <w:vertAlign w:val="subscript"/>
        </w:rPr>
        <w:t>a</w:t>
      </w:r>
      <w:r w:rsidR="00446D5B" w:rsidRPr="00BD2160">
        <w:rPr>
          <w:rFonts w:cs="Times New Roman"/>
        </w:rPr>
        <w:t>; the third scenario</w:t>
      </w:r>
      <w:r w:rsidR="00790845">
        <w:rPr>
          <w:rFonts w:cs="Times New Roman"/>
        </w:rPr>
        <w:t xml:space="preserve"> (iii)</w:t>
      </w:r>
      <w:r w:rsidR="00446D5B" w:rsidRPr="00BD2160">
        <w:rPr>
          <w:rFonts w:cs="Times New Roman"/>
        </w:rPr>
        <w:t xml:space="preserve"> is intermediate, with </w:t>
      </w:r>
      <w:r w:rsidR="006440FA" w:rsidRPr="00BD2160">
        <w:rPr>
          <w:rFonts w:cs="Times New Roman"/>
        </w:rPr>
        <w:t>iWUE</w:t>
      </w:r>
      <w:r w:rsidR="006440FA" w:rsidRPr="001B08EE">
        <w:rPr>
          <w:rFonts w:cs="Times New Roman"/>
          <w:vertAlign w:val="superscript"/>
        </w:rPr>
        <w:t>l</w:t>
      </w:r>
      <w:r w:rsidR="006440FA">
        <w:rPr>
          <w:rFonts w:cs="Times New Roman"/>
          <w:vertAlign w:val="superscript"/>
        </w:rPr>
        <w:t>eaf</w:t>
      </w:r>
      <w:r w:rsidR="00446D5B" w:rsidRPr="00BD2160">
        <w:rPr>
          <w:rFonts w:cs="Times New Roman"/>
        </w:rPr>
        <w:t xml:space="preserve"> increasing in proportion to </w:t>
      </w:r>
      <w:r w:rsidR="00446D5B" w:rsidRPr="00BD2160">
        <w:rPr>
          <w:rFonts w:cs="Times New Roman"/>
          <w:i/>
        </w:rPr>
        <w:t>c</w:t>
      </w:r>
      <w:r w:rsidR="00446D5B" w:rsidRPr="00BD2160">
        <w:rPr>
          <w:rFonts w:cs="Times New Roman"/>
          <w:vertAlign w:val="subscript"/>
        </w:rPr>
        <w:t>a</w:t>
      </w:r>
      <w:r w:rsidR="00446D5B" w:rsidRPr="00BD2160">
        <w:rPr>
          <w:rFonts w:cs="Times New Roman"/>
        </w:rPr>
        <w:t>.</w:t>
      </w:r>
      <w:r w:rsidR="009E7F15">
        <w:rPr>
          <w:rFonts w:cs="Times New Roman"/>
        </w:rPr>
        <w:t xml:space="preserve"> </w:t>
      </w:r>
    </w:p>
    <w:p w14:paraId="5F7C5839" w14:textId="28FAF3C5" w:rsidR="00A61286" w:rsidRPr="009E7F15" w:rsidRDefault="004F26F5" w:rsidP="00D37E2B">
      <w:pPr>
        <w:pStyle w:val="Body"/>
        <w:spacing w:before="240" w:line="360" w:lineRule="auto"/>
        <w:jc w:val="both"/>
        <w:rPr>
          <w:rFonts w:cs="Times New Roman"/>
        </w:rPr>
      </w:pPr>
      <w:r>
        <w:rPr>
          <w:rFonts w:cs="Times New Roman"/>
        </w:rPr>
        <w:t xml:space="preserve">With </w:t>
      </w:r>
      <w:r w:rsidR="00A36820">
        <w:rPr>
          <w:rFonts w:cs="Times New Roman"/>
        </w:rPr>
        <w:t>one</w:t>
      </w:r>
      <w:r>
        <w:rPr>
          <w:rFonts w:cs="Times New Roman"/>
        </w:rPr>
        <w:t xml:space="preserve"> exception </w:t>
      </w:r>
      <w:r>
        <w:rPr>
          <w:rFonts w:cs="Times New Roman"/>
          <w:color w:val="000000" w:themeColor="text1"/>
          <w:lang w:val="fr-FR"/>
        </w:rPr>
        <w:fldChar w:fldCharType="begin" w:fldLock="1"/>
      </w:r>
      <w:r w:rsidR="006D48D4">
        <w:rPr>
          <w:rFonts w:cs="Times New Roman" w:hint="eastAsia"/>
          <w:color w:val="000000" w:themeColor="text1"/>
          <w:lang w:val="fr-FR"/>
        </w:rPr>
        <w:instrText>ADDIN CSL_CITATION {"citationItems":[{"id":"ITEM-1","itemData":{"DOI":"10.1111/nph.12044","ISBN":"0028-646X","ISSN":"1469-8137","PMID":"23215904","abstract":"Elevated CO</w:instrText>
      </w:r>
      <w:r w:rsidR="006D48D4">
        <w:rPr>
          <w:rFonts w:cs="Times New Roman" w:hint="eastAsia"/>
          <w:color w:val="000000" w:themeColor="text1"/>
          <w:lang w:val="fr-FR"/>
        </w:rPr>
        <w:instrText>₂</w:instrText>
      </w:r>
      <w:r w:rsidR="006D48D4">
        <w:rPr>
          <w:rFonts w:cs="Times New Roman" w:hint="eastAsia"/>
          <w:color w:val="000000" w:themeColor="text1"/>
          <w:lang w:val="fr-FR"/>
        </w:rPr>
        <w:instrText xml:space="preserve"> increases intrinsic water use efficiency (WUE(i) ) of forests, but the magnitude of this effect and its interaction with climate is still poorly understood. We combined tree ring analysis with isotope measurements at three Free Air CO</w:instrText>
      </w:r>
      <w:r w:rsidR="006D48D4">
        <w:rPr>
          <w:rFonts w:cs="Times New Roman" w:hint="eastAsia"/>
          <w:color w:val="000000" w:themeColor="text1"/>
          <w:lang w:val="fr-FR"/>
        </w:rPr>
        <w:instrText>₂</w:instrText>
      </w:r>
      <w:r w:rsidR="006D48D4">
        <w:rPr>
          <w:rFonts w:cs="Times New Roman" w:hint="eastAsia"/>
          <w:color w:val="000000" w:themeColor="text1"/>
          <w:lang w:val="fr-FR"/>
        </w:rPr>
        <w:instrText xml:space="preserve"> Enrichment (FACE, POP-EUROFACE, in Italy; Duke FACE in North Carolina and ORNL in Tennessee, USA) sites</w:instrText>
      </w:r>
      <w:r w:rsidR="006D48D4">
        <w:rPr>
          <w:rFonts w:cs="Times New Roman"/>
          <w:color w:val="000000" w:themeColor="text1"/>
          <w:lang w:val="fr-FR"/>
        </w:rPr>
        <w:instrText>, to cover the entire life of the trees. We used δ¹³C to assess carbon isotope discrimination and changes in water-use efficiency, while direct CO</w:instrText>
      </w:r>
      <w:r w:rsidR="006D48D4">
        <w:rPr>
          <w:rFonts w:cs="Times New Roman" w:hint="eastAsia"/>
          <w:color w:val="000000" w:themeColor="text1"/>
          <w:lang w:val="fr-FR"/>
        </w:rPr>
        <w:instrText>₂</w:instrText>
      </w:r>
      <w:r w:rsidR="006D48D4">
        <w:rPr>
          <w:rFonts w:cs="Times New Roman"/>
          <w:color w:val="000000" w:themeColor="text1"/>
          <w:lang w:val="fr-FR"/>
        </w:rPr>
        <w:instrText xml:space="preserve"> effects on stomatal conductance were explored using δ¹⁸O as a proxy. Across all the sites, elevated CO</w:instrText>
      </w:r>
      <w:r w:rsidR="006D48D4">
        <w:rPr>
          <w:rFonts w:cs="Times New Roman" w:hint="eastAsia"/>
          <w:color w:val="000000" w:themeColor="text1"/>
          <w:lang w:val="fr-FR"/>
        </w:rPr>
        <w:instrText>₂</w:instrText>
      </w:r>
      <w:r w:rsidR="006D48D4">
        <w:rPr>
          <w:rFonts w:cs="Times New Roman"/>
          <w:color w:val="000000" w:themeColor="text1"/>
          <w:lang w:val="fr-FR"/>
        </w:rPr>
        <w:instrText xml:space="preserve"> increased ¹³C-derived water-use efficiency on average by 73% for Liquidambar styraciflua, 77% for Pinus taeda and 75% for Populus sp., but through different ecophysiological mechanisms. Our findings provide a robust means of predicting water-use efficiency r</w:instrText>
      </w:r>
      <w:r w:rsidR="006D48D4">
        <w:rPr>
          <w:rFonts w:cs="Times New Roman" w:hint="eastAsia"/>
          <w:color w:val="000000" w:themeColor="text1"/>
          <w:lang w:val="fr-FR"/>
        </w:rPr>
        <w:instrText>esponses from a variety of tree species exposed to variable environmental conditions over time, and species-specific relationships that can help modelling elevated CO</w:instrText>
      </w:r>
      <w:r w:rsidR="006D48D4">
        <w:rPr>
          <w:rFonts w:cs="Times New Roman" w:hint="eastAsia"/>
          <w:color w:val="000000" w:themeColor="text1"/>
          <w:lang w:val="fr-FR"/>
        </w:rPr>
        <w:instrText>₂</w:instrText>
      </w:r>
      <w:r w:rsidR="006D48D4">
        <w:rPr>
          <w:rFonts w:cs="Times New Roman" w:hint="eastAsia"/>
          <w:color w:val="000000" w:themeColor="text1"/>
          <w:lang w:val="fr-FR"/>
        </w:rPr>
        <w:instrText xml:space="preserve"> and climate impacts on forest productivity, carbon and water balances.","author":[{"dro</w:instrText>
      </w:r>
      <w:r w:rsidR="006D48D4">
        <w:rPr>
          <w:rFonts w:cs="Times New Roman"/>
          <w:color w:val="000000" w:themeColor="text1"/>
          <w:lang w:val="fr-FR"/>
        </w:rPr>
        <w:instrText>pping-particle":"","family":"Battipaglia","given":"Giovanna","non-dropping-particle":"","parse-names":false,"suffix":""},{"dropping-particle":"","family":"Saurer","given":"Matthias","non-dropping-particle":"","parse-names":false,"suffix":""},{"dropping-particle":"","family":"Cherubini","given":"Paolo","non-dropping-particle":"","parse-names":false,"suffix":""},{"dropping-particle":"","family":"Calfapietra","given":"Carlo","non-dropping-particle":"","parse-names":false,"suffix":""},{"dropping-particle":"","family":"Mccarthy","given":"Heather R.","non-dropping-particle":"","parse-names":false,"suffix":""},{"dropping-particle":"","family":"Norby","given":"Richard J.","non-dropping-particle":"","parse-names":false,"suffix":""},{"dropping-particle":"","family":"Francesca Cotrufo","given":"M.","non-dropping-particle":"","parse-names":false,"suffix":""}],"container-title":"New Phytologist","id":"ITEM-1","issue":"2","issued":{"date-parts":[["2013"]]},"page":"544-554","title":"Elevated CO2 increases tree-level intrinsic water use efficiency: Insights from carbon and oxygen isotope analyses in tree rings across three forest FACE sites","type":"article-journal","volume":"197"},"uris":["http://www.mendeley.com/documents/?uuid=a2a633cb-c165-4083-9a45-d98deafc05fa"]}],"mendeley":{"formattedCitation":"(Battipaglia et al., 2013)","manualFormatting":"(Battipaglia et al., 2013)","plainTextFormattedCitation":"(Battipaglia et al., 2013)","previouslyFormattedCitation":"(Battipaglia et al., 2013)"},"properties":{"noteIndex":0},"schema":"https://github.com/citation-style-language/schema/raw/master/csl-citation.json"}</w:instrText>
      </w:r>
      <w:r>
        <w:rPr>
          <w:rFonts w:cs="Times New Roman"/>
          <w:color w:val="000000" w:themeColor="text1"/>
          <w:lang w:val="fr-FR"/>
        </w:rPr>
        <w:fldChar w:fldCharType="separate"/>
      </w:r>
      <w:r w:rsidRPr="004F26F5">
        <w:rPr>
          <w:rFonts w:cs="Times New Roman"/>
          <w:noProof/>
          <w:color w:val="000000" w:themeColor="text1"/>
          <w:lang w:val="fr-FR"/>
        </w:rPr>
        <w:t>(Battipaglia et al., 2013)</w:t>
      </w:r>
      <w:r>
        <w:rPr>
          <w:rFonts w:cs="Times New Roman"/>
          <w:color w:val="000000" w:themeColor="text1"/>
          <w:lang w:val="fr-FR"/>
        </w:rPr>
        <w:fldChar w:fldCharType="end"/>
      </w:r>
      <w:r>
        <w:rPr>
          <w:rFonts w:cs="Times New Roman"/>
          <w:color w:val="000000" w:themeColor="text1"/>
          <w:lang w:val="fr-FR"/>
        </w:rPr>
        <w:t xml:space="preserve">, </w:t>
      </w:r>
      <w:r w:rsidR="00446D5B" w:rsidRPr="00BD2160">
        <w:rPr>
          <w:rFonts w:cs="Times New Roman"/>
        </w:rPr>
        <w:t xml:space="preserve">Free-Air Carbon dioxide Enrichment (FACE) experiments studying the effects of elevated </w:t>
      </w:r>
      <w:r w:rsidR="00446D5B" w:rsidRPr="00BD2160">
        <w:rPr>
          <w:rFonts w:cs="Times New Roman"/>
          <w:i/>
        </w:rPr>
        <w:t>c</w:t>
      </w:r>
      <w:r w:rsidR="00446D5B" w:rsidRPr="00BD2160">
        <w:rPr>
          <w:rFonts w:cs="Times New Roman"/>
          <w:vertAlign w:val="subscript"/>
        </w:rPr>
        <w:t>a</w:t>
      </w:r>
      <w:r w:rsidR="00446D5B" w:rsidRPr="00BD2160">
        <w:rPr>
          <w:rFonts w:cs="Times New Roman"/>
        </w:rPr>
        <w:t xml:space="preserve"> on plants and ecosystems under natural</w:t>
      </w:r>
      <w:r w:rsidR="001D2A85">
        <w:rPr>
          <w:rFonts w:cs="Times New Roman"/>
        </w:rPr>
        <w:t>,</w:t>
      </w:r>
      <w:r w:rsidR="00446D5B" w:rsidRPr="00BD2160">
        <w:rPr>
          <w:rFonts w:cs="Times New Roman"/>
        </w:rPr>
        <w:t xml:space="preserve"> open-air conditions have shown responses broadly consistent with the third strategy, i.e. constant </w:t>
      </w:r>
      <w:r w:rsidR="00446D5B" w:rsidRPr="00BD2160">
        <w:rPr>
          <w:rFonts w:cs="Times New Roman"/>
          <w:i/>
        </w:rPr>
        <w:t>c</w:t>
      </w:r>
      <w:r w:rsidR="00446D5B" w:rsidRPr="00BD2160">
        <w:rPr>
          <w:rFonts w:cs="Times New Roman"/>
          <w:vertAlign w:val="subscript"/>
        </w:rPr>
        <w:t>i</w:t>
      </w:r>
      <w:r w:rsidR="00446D5B" w:rsidRPr="00BD2160">
        <w:rPr>
          <w:rFonts w:cs="Times New Roman"/>
        </w:rPr>
        <w:t>/</w:t>
      </w:r>
      <w:r w:rsidR="00446D5B" w:rsidRPr="00BD2160">
        <w:rPr>
          <w:rFonts w:cs="Times New Roman"/>
          <w:i/>
        </w:rPr>
        <w:t>c</w:t>
      </w:r>
      <w:r w:rsidR="00446D5B" w:rsidRPr="00BD2160">
        <w:rPr>
          <w:rFonts w:cs="Times New Roman"/>
          <w:vertAlign w:val="subscript"/>
        </w:rPr>
        <w:t>a</w:t>
      </w:r>
      <w:r w:rsidR="00446D5B" w:rsidRPr="00BD2160">
        <w:rPr>
          <w:rFonts w:cs="Times New Roman"/>
        </w:rPr>
        <w:t xml:space="preserve"> </w:t>
      </w:r>
      <w:r w:rsidR="00D26D34">
        <w:rPr>
          <w:rFonts w:cs="Times New Roman"/>
        </w:rPr>
        <w:fldChar w:fldCharType="begin" w:fldLock="1"/>
      </w:r>
      <w:r w:rsidR="00A644D9">
        <w:rPr>
          <w:rFonts w:cs="Times New Roman"/>
        </w:rPr>
        <w:instrText>ADDIN CSL_CITATION {"citationItems":[{"id":"ITEM-1","itemData":{"DOI":"10.1111/j.1469-8137.2004.01224.x","ISBN":"1469-8137","ISSN":"0028646X","PMID":"15720649","abstract":"Free-air CO2 enrichment (FACE) experiments allow study of the effects of elevated [ CO2] on plants and ecosystems grown under natural conditions without enclosure. Data from 120 primary, peer-reviewed articles describing physiology and production in the 12 large-scale FACE experiments (475-600 ppm) were collected and summarized using meta-analytic techniques. The results confirm some results from previous chamber experiments: light-saturated carbon uptake, diurnal C assimilation, growth and above-ground production increased, while specific leaf area and stomatal conductance decreased in elevated [ CO2]. There were differences in FACE. Trees were more responsive than herbaceous species to elevated [ CO2]. Grain crop yields increased far less than anticipated from prior enclosure studies. The broad direction of change in photosynthesis and production in elevated [ CO2] may be similar in FACE and enclosure studies, but there are major quantitative differences: trees were more responsive than other functional types; C4 species showed little response; and the reduction in plant nitrogen was small and largely accounted for by decreased Rubisco. The results from this review may provide the most plausible estimates of how plants in their native environments and field-grown crops will respond to rising atmospheric [ CO2]; but even with FACE there are limitations, which are also discussed.","author":[{"dropping-particle":"","family":"Ainsworth","given":"Elizabeth A.","non-dropping-particle":"","parse-names":false,"suffix":""},{"dropping-particle":"","family":"Long","given":"Stephen P.","non-dropping-particle":"","parse-names":false,"suffix":""}],"container-title":"New Phytologist","id":"ITEM-1","issued":{"date-parts":[["2005"]]},"page":"351-372","title":"What have we learned from 15 years of free air CO2 enrichment (FACE)? A meta-analytic review of the response of photosynthesis, canopy properties and plant production to rising CO2","type":"article-journal","volume":"165"},"uris":["http://www.mendeley.com/documents/?uuid=172283d6-ecd8-4d47-82fe-d8e56195f45c"]},{"id":"ITEM-2","itemData":{"DOI":"10.1111/gcb.12164","ISBN":"1354-1013 (Print)\\r1354-1013 (Linking)","ISSN":"13541013","PMID":"23504858","abstract":"Predicted responses of transpiration to elevated atmospheric CO2 concentration (eCO2 ) are highly variable amongst process-based models. To better understand and constrain this variability amongst models, we conducted an intercomparison of 11 ecosystem models applied to data from two forest free-air CO2 enrichment (FACE) experiments at Duke University and Oak Ridge National Laboratory. We analysed model structures to identify the key underlying assumptions causing differences in model predictions of transpiration and canopy water use efficiency. We then compared the models against data to identify model assumptions that are incorrect or are large sources of uncertainty. We found that model-to-model and model-to-observations differences resulted from four key sets of assumptions, namely (i) the nature of the stomatal response to elevated CO2 (coupling between photosynthesis and stomata was supported by the data); (ii) the roles of the leaf and atmospheric boundary layer (models which assumed multiple conductance terms in series predicted more decoupled fluxes than observed at the broadleaf site); (iii) the treatment of canopy interception (large intermodel variability, 2-15%); and (iv) the impact of soil moisture stress (process uncertainty in how models limit carbon and water fluxes during moisture stress). Overall, model predictions of the CO2 effect on WUE were reasonable (intermodel mu = approximately 28% +/- 10%) compared to the observations (mu = approximately 30% +/- 13%) at the well-coupled coniferous site (Duke), but poor (intermodel mu = approximately 24% +/- 6%; observations mu = approximately 38% +/- 7%) at the broadleaf site (Oak Ridge). The study yields a framework for analysing and interpreting model predictions of transpiration responses to eCO2 , and highlights key improvements to these types of models.","author":[{"dropping-particle":"","family":"Kauwe","given":"M. G.","non-dropping-particle":"De","parse-names":false,"suffix":""},{"dropping-particle":"","family":"Medlyn","given":"B. E.","non-dropping-particle":"","parse-names":false,"suffix":""},{"dropping-particle":"","family":"Zaehle","given":"Sönke","non-dropping-particle":"","parse-names":false,"suffix":""},{"dropping-particle":"","family":"Walker","given":"Anthony P.","non-dropping-particle":"","parse-names":false,"suffix":""},{"dropping-particle":"","family":"Dietze","given":"Michael C.","non-dropping-particle":"","parse-names":false,"suffix":""},{"dropping-particle":"","family":"Hickler","given":"Thomas","non-dropping-particle":"","parse-names":false,"suffix":""},{"dropping-particle":"","family":"Jain","given":"Atul K.","non-dropping-particle":"","parse-names":false,"suffix":""},{"dropping-particle":"","family":"Luo","given":"Yiqi","non-dropping-particle":"","parse-names":false,"suffix":""},{"dropping-particle":"","family":"Parton","given":"William J.","non-dropping-particle":"","parse-names":false,"suffix":""},{"dropping-particle":"","family":"Prentice","given":"I. Colin","non-dropping-particle":"","parse-names":false,"suffix":""},{"dropping-particle":"","family":"Smith","given":"Benjamin","non-dropping-particle":"","parse-names":false,"suffix":""},{"dropping-particle":"","family":"Thornton","given":"Peter E.","non-dropping-particle":"","parse-names":false,"suffix":""},{"dropping-particle":"","family":"Wang","given":"Shusen","non-dropping-particle":"","parse-names":false,"suffix":""},{"dropping-particle":"","family":"Wang","given":"Ying Ping","non-dropping-particle":"","parse-names":false,"suffix":""},{"dropping-particle":"","family":"Wårlind","given":"David","non-dropping-particle":"","parse-names":false,"suffix":""},{"dropping-particle":"","family":"Weng","given":"Ensheng","non-dropping-particle":"","parse-names":false,"suffix":""},{"dropping-particle":"","family":"Crous","given":"Kristine Y.","non-dropping-particle":"","parse-names":false,"suffix":""},{"dropping-particle":"","family":"Ellsworth","given":"David S.","non-dropping-particle":"","parse-names":false,"suffix":""},{"dropping-particle":"","family":"Hanson","given":"Paul J.","non-dropping-particle":"","parse-names":false,"suffix":""},{"dropping-particle":"","family":"Seok Kim","given":"Hyun","non-dropping-particle":"","parse-names":false,"suffix":""},{"dropping-particle":"","family":"Warren","given":"Jeffrey M.","non-dropping-particle":"","parse-names":false,"suffix":""},{"dropping-particle":"","family":"Oren","given":"Ram","non-dropping-particle":"","parse-names":false,"suffix":""},{"dropping-particle":"","family":"Norby","given":"Richard J.","non-dropping-particle":"","parse-names":false,"suffix":""}],"container-title":"Global Change Biology","id":"ITEM-2","issue":"6","issued":{"date-parts":[["2013"]]},"page":"1759-1779","title":"Forest water use and water use efficiency at elevated CO2: A model-data intercomparison at two contrasting temperate forest FACE sites","type":"article-journal","volume":"19"},"uris":["http://www.mendeley.com/documents/?uuid=1706da95-4cc2-48e6-a705-d0bf6a9d72b2"]},{"id":"ITEM-3","itemData":{"DOI":"10.1111/1365-2435.12532","ISBN":"02698463","ISSN":"13652435","abstract":"\\n\\n\\n\\n* Rising levels of atmospheric CO2 concentration (Ca) and simultaneous climate change profoundly affect plant physiological performance while challenging our ability to estimate vegetation–atmosphere fluxes. To predict rates of water and carbon exchange between vegetation and the atmosphere, we require a formulation for stomatal conductance (gs) that captures the multidimensional response of stomata to changing environmental conditions. The unified stomatal optimization (USO) theory provides a formulation for gs with the ability to predict the response of gs to novel environmental conditions such as elevated Ca (eCa), warmer temperatures and/or changing water availability.\\n\\n\\n* We tested for the effect of eCa and seasonally varying climate on stomatal behaviour, as defined by the USO theory, during the first year of free-air CO2 enrichment in a native eucalypt woodland (the EucFACE experiment). We hypothesized that under eCa, gs would decrease and photosynthesis (Anet) would increase, but fundamental stomatal behaviour described in the USO model would remain unchanged. We also predicted that the USO slope parameter g1 would increase with temperature and water availability. Over 20 months, we performed quarterly gas exchange campaigns encompassing a wide range of temperatures and water availabilities. We measured gs, Anet and leaf water potential (Ψ) at mid-morning, midday and pre-dawn (Ψ only) under ambient and eCa and prevailing climatic conditions, at the tree tops (20 m height).\\n\\n\\n* We found that eCa induced a 20% reduction in stomatal conductance under non-limiting water availability, enhanced mid-morning Anet by 24% in three out of five measurement campaigns and had no significant effect on Ψ. The parameter g1 was conserved under eCa, weakly increased with temperature and did not respond to increasing water availability.\\n\\n\\n* Our results suggest that under eCa and variable rainfall, mature eucalypt trees exhibit a conservative water-use strategy, but this strategy may be modified by growth temperature. We show that the USO theory successfully predicts coupling of carbon uptake and water loss in future atmospheric conditions in a native woodland and thus could be incorporated into ecosystem-scale and global vegetation models.\\n\\n","author":[{"dropping-particle":"","family":"Gimeno","given":"Teresa E.","non-dropping-particle":"","parse-names":false,"suffix":""},{"dropping-particle":"","family":"Crous","given":"Kristine Y.","non-dropping-particle":"","parse-names":false,"suffix":""},{"dropping-particle":"","family":"Cooke","given":"Julia","non-dropping-particle":"","parse-names":false,"suffix":""},{"dropping-particle":"","family":"O'Grady","given":"Anthony P.","non-dropping-particle":"","parse-names":false,"suffix":""},{"dropping-particle":"","family":"Ósvaldsson","given":"Anna","non-dropping-particle":"","parse-names":false,"suffix":""},{"dropping-particle":"","family":"Medlyn","given":"Belinda E.","non-dropping-particle":"","parse-names":false,"suffix":""},{"dropping-particle":"","family":"Ellsworth","given":"David S.","non-dropping-particle":"","parse-names":false,"suffix":""}],"container-title":"Functional Ecology","id":"ITEM-3","issue":"5","issued":{"date-parts":[["2016"]]},"page":"700-709","title":"Conserved stomatal behaviour under elevated CO2 and varying water availability in a mature woodland","type":"article-journal","volume":"30"},"uris":["http://www.mendeley.com/documents/?uuid=01363b85-5aaf-4f35-9817-4c87375a643b"]}],"mendeley":{"formattedCitation":"(Ainsworth &amp; Long, 2005; De Kauwe et al., 2013; Gimeno et al., 2016)","manualFormatting":"(Ainsworth &amp; Long, 2005; De Kauwe et al., 2013; Gimeno et al., 2016)","plainTextFormattedCitation":"(Ainsworth &amp; Long, 2005; De Kauwe et al., 2013; Gimeno et al., 2016)","previouslyFormattedCitation":"(Ainsworth &amp; Long, 2005; De Kauwe et al., 2013; Gimeno et al., 2016)"},"properties":{"noteIndex":0},"schema":"https://github.com/citation-style-language/schema/raw/master/csl-citation.json"}</w:instrText>
      </w:r>
      <w:r w:rsidR="00D26D34">
        <w:rPr>
          <w:rFonts w:cs="Times New Roman"/>
        </w:rPr>
        <w:fldChar w:fldCharType="separate"/>
      </w:r>
      <w:r w:rsidR="001D4B21" w:rsidRPr="001D4B21">
        <w:rPr>
          <w:rFonts w:cs="Times New Roman"/>
          <w:noProof/>
        </w:rPr>
        <w:t>(Ainsworth &amp; Long, 2005; De Kauwe et al., 2013; Gimeno et al., 2016)</w:t>
      </w:r>
      <w:r w:rsidR="00D26D34">
        <w:rPr>
          <w:rFonts w:cs="Times New Roman"/>
        </w:rPr>
        <w:fldChar w:fldCharType="end"/>
      </w:r>
      <w:r w:rsidR="00D26D34">
        <w:rPr>
          <w:rFonts w:cs="Times New Roman"/>
        </w:rPr>
        <w:t>,</w:t>
      </w:r>
      <w:r w:rsidR="004D5F2A">
        <w:rPr>
          <w:rFonts w:cs="Times New Roman"/>
        </w:rPr>
        <w:t xml:space="preserve"> </w:t>
      </w:r>
      <w:r w:rsidR="00446D5B" w:rsidRPr="00BD2160">
        <w:rPr>
          <w:rFonts w:cs="Times New Roman"/>
        </w:rPr>
        <w:t>giv</w:t>
      </w:r>
      <w:r w:rsidR="00954841">
        <w:rPr>
          <w:rFonts w:cs="Times New Roman"/>
        </w:rPr>
        <w:t>ing</w:t>
      </w:r>
      <w:r w:rsidR="00446D5B" w:rsidRPr="00BD2160">
        <w:rPr>
          <w:rFonts w:cs="Times New Roman"/>
        </w:rPr>
        <w:t xml:space="preserve"> rise to the expectation that plants growing in normal conditions should behave accordingly. </w:t>
      </w:r>
      <w:r w:rsidR="00E157BF">
        <w:rPr>
          <w:rFonts w:cs="Times New Roman"/>
        </w:rPr>
        <w:t>Most</w:t>
      </w:r>
      <w:r w:rsidR="00446D5B" w:rsidRPr="00BD2160">
        <w:rPr>
          <w:rFonts w:cs="Times New Roman"/>
        </w:rPr>
        <w:t xml:space="preserve"> </w:t>
      </w:r>
      <w:r w:rsidR="00E400BB">
        <w:rPr>
          <w:rFonts w:cs="Times New Roman"/>
        </w:rPr>
        <w:t>tree-ring</w:t>
      </w:r>
      <w:r w:rsidR="00FF17E7">
        <w:rPr>
          <w:rFonts w:cs="Times New Roman"/>
        </w:rPr>
        <w:t xml:space="preserve"> </w:t>
      </w:r>
      <w:r w:rsidR="00446D5B" w:rsidRPr="00BD2160">
        <w:rPr>
          <w:rFonts w:cs="Times New Roman"/>
        </w:rPr>
        <w:t xml:space="preserve">studies in natural </w:t>
      </w:r>
      <w:r w:rsidR="0054574E">
        <w:rPr>
          <w:rFonts w:cs="Times New Roman"/>
        </w:rPr>
        <w:t>environment</w:t>
      </w:r>
      <w:r w:rsidR="008A69AF">
        <w:rPr>
          <w:rFonts w:cs="Times New Roman"/>
        </w:rPr>
        <w:t xml:space="preserve">s </w:t>
      </w:r>
      <w:r w:rsidR="00446D5B" w:rsidRPr="00BD2160">
        <w:rPr>
          <w:rFonts w:cs="Times New Roman"/>
        </w:rPr>
        <w:t xml:space="preserve">have </w:t>
      </w:r>
      <w:r w:rsidR="001D2A85">
        <w:rPr>
          <w:rFonts w:cs="Times New Roman"/>
        </w:rPr>
        <w:t xml:space="preserve">yielded results consistent with </w:t>
      </w:r>
      <w:r w:rsidR="00C3074B">
        <w:rPr>
          <w:rFonts w:cs="Times New Roman"/>
        </w:rPr>
        <w:t>th</w:t>
      </w:r>
      <w:r w:rsidR="008B4C7E">
        <w:rPr>
          <w:rFonts w:cs="Times New Roman"/>
        </w:rPr>
        <w:t>is</w:t>
      </w:r>
      <w:r w:rsidR="00C3074B" w:rsidRPr="00BD2160">
        <w:rPr>
          <w:rFonts w:cs="Times New Roman"/>
        </w:rPr>
        <w:t xml:space="preserve"> </w:t>
      </w:r>
      <w:r w:rsidR="00446D5B" w:rsidRPr="00BD2160">
        <w:rPr>
          <w:rFonts w:cs="Times New Roman"/>
        </w:rPr>
        <w:t xml:space="preserve">strategy </w:t>
      </w:r>
      <w:r w:rsidR="00446D5B" w:rsidRPr="00BD2160">
        <w:rPr>
          <w:rFonts w:cs="Times New Roman"/>
        </w:rPr>
        <w:fldChar w:fldCharType="begin" w:fldLock="1"/>
      </w:r>
      <w:r w:rsidR="000C3395">
        <w:rPr>
          <w:rFonts w:cs="Times New Roman"/>
        </w:rPr>
        <w:instrText>ADDIN CSL_CITATION {"citationItems":[{"id":"ITEM-1","itemData":{"DOI":"10.5194/bg-14-2641-2017","ISBN":"1720130019","ISSN":"17264189","abstract":"Measurements of the stable carbon isotope ratio (δ13C) on annual tree rings offer new opportunities to evaluate mechanisms of variations in photosynthesis and stomatal conductance under changing CO2 and climate conditions, especially in conjunction with process-based biogeochemical model simulations. The isotopic discrimination is indicative of the ratio between</w:instrText>
      </w:r>
      <w:r w:rsidR="000C3395">
        <w:rPr>
          <w:rFonts w:cs="Times New Roman" w:hint="eastAsia"/>
        </w:rPr>
        <w:instrText xml:space="preserve"> the CO2 partial pressure in the intercellular cavities and the atmosphere (ci</w:instrText>
      </w:r>
      <w:r w:rsidR="000C3395">
        <w:rPr>
          <w:rFonts w:cs="Times New Roman" w:hint="eastAsia"/>
        </w:rPr>
        <w:instrText>∕</w:instrText>
      </w:r>
      <w:r w:rsidR="000C3395">
        <w:rPr>
          <w:rFonts w:cs="Times New Roman" w:hint="eastAsia"/>
        </w:rPr>
        <w:instrText xml:space="preserve">ca) and of the ratio of assimilation to stomatal conductance, termed intrinsic water-use efficiency (iWUE). We performed isotope-enabled simulations over the industrial period </w:instrText>
      </w:r>
      <w:r w:rsidR="000C3395">
        <w:rPr>
          <w:rFonts w:cs="Times New Roman"/>
        </w:rPr>
        <w:instrText>with the land biosphere module (CLM4.5) of the Community Earth System Model and the Land Surface Processes and Exchanges (LPX-Bern) dynamic global vegetation model. Results for C3 tree species show good agreement with a global compilation of δ13C measurements on leaves, though modeled 13C discrimination by C3 trees is smaller in arid regions than measured. A compilation of 76 tree-ring records, mainly from Europe, boreal Asia, and western North America, suggests on average small 20th century changes in is</w:instrText>
      </w:r>
      <w:r w:rsidR="000C3395">
        <w:rPr>
          <w:rFonts w:cs="Times New Roman" w:hint="eastAsia"/>
        </w:rPr>
        <w:instrText>otopic discrimination and in ci</w:instrText>
      </w:r>
      <w:r w:rsidR="000C3395">
        <w:rPr>
          <w:rFonts w:cs="Times New Roman" w:hint="eastAsia"/>
        </w:rPr>
        <w:instrText>∕</w:instrText>
      </w:r>
      <w:r w:rsidR="000C3395">
        <w:rPr>
          <w:rFonts w:cs="Times New Roman" w:hint="eastAsia"/>
        </w:rPr>
        <w:instrText>ca and an increase in iWUE of about 27 % since 1900. LPX-Bern results match these century-scale reconstructions, supporting the idea that the physiology of stomata has evolved to optimize trade-offs between carbon gain by a</w:instrText>
      </w:r>
      <w:r w:rsidR="000C3395">
        <w:rPr>
          <w:rFonts w:cs="Times New Roman"/>
        </w:rPr>
        <w:instrText>ssimilation and water loss by transpiration. In contrast, CLM4.5 simulates an increase in discrimination and in turn a change in iWUE that is almost twice as large as that revealed by the tree-ring data. Factorial simulations show that these changes are m</w:instrText>
      </w:r>
      <w:r w:rsidR="000C3395">
        <w:rPr>
          <w:rFonts w:cs="Times New Roman" w:hint="eastAsia"/>
        </w:rPr>
        <w:instrText>ainly in response to rising atmospheric CO2. The results suggest that the downregulation of ci</w:instrText>
      </w:r>
      <w:r w:rsidR="000C3395">
        <w:rPr>
          <w:rFonts w:cs="Times New Roman" w:hint="eastAsia"/>
        </w:rPr>
        <w:instrText>∕</w:instrText>
      </w:r>
      <w:r w:rsidR="000C3395">
        <w:rPr>
          <w:rFonts w:cs="Times New Roman" w:hint="eastAsia"/>
        </w:rPr>
        <w:instrText>ca and of photosynthesis by nitrogen limitation is possibly too strong in the standard setup of CLM4.5 or that there may be problems associated with the impleme</w:instrText>
      </w:r>
      <w:r w:rsidR="000C3395">
        <w:rPr>
          <w:rFonts w:cs="Times New Roman"/>
        </w:rPr>
        <w:instrText>ntation of conductance, assimilation, and related adjustment processes on long-term environmental changes.","author":[{"dropping-particle":"","family":"Keller","given":"Kathrin M.","non-dropping-particle":"","parse-names":false,"suffix":""},{"dropping-particle":"","family":"Lienert","given":"Sebastian","non-dropping-particle":"","parse-names":false,"suffix":""},{"dropping-particle":"","family":"Bozbiyik","given":"Anil","non-dropping-particle":"","parse-names":false,"suffix":""},{"dropping-particle":"","family":"Stocker","given":"Thomas F.","non-dropping-particle":"","parse-names":false,"suffix":""},{"dropping-particle":"V.","family":"Churakova Sidorova","given":"Olga","non-dropping-particle":"","parse-names":false,"suffix":""},{"dropping-particle":"","family":"Frank","given":"David C.","non-dropping-particle":"","parse-names":false,"suffix":""},{"dropping-particle":"","family":"Klesse","given":"Stefan","non-dropping-particle":"","parse-names":false,"suffix":""},{"dropping-particle":"","family":"Koven","given":"Charles D.","non-dropping-particle":"","parse-names":false,"suffix":""},{"dropping-particle":"","family":"Leuenberger","given":"Markus","non-dropping-particle":"","parse-names":false,"suffix":""},{"dropping-particle":"","family":"Riley","given":"William J.","non-dropping-particle":"","parse-names":false,"suffix":""},{"dropping-particle":"","family":"Saurer","given":"Matthias","non-dropping-particle":"","parse-names":false,"suffix":""},{"dropping-particle":"","family":"Siegwolf","given":"Rolf","non-dropping-particle":"","parse-names":false,"suffix":""},{"dropping-particle":"","family":"Weigt","given":"Rosemarie B.","non-dropping-particle":"","parse-names":false,"suffix":""},{"dropping-particle":"","family":"Joos","given":"Fortunat","non-dropping-particle":"","parse-names":false,"suffix":""}],"container-title":"Biogeosciences","id":"ITEM-1","issue":"10","issued":{"date-parts":[["2017"]]},"page":"2641-2673","title":"20th century changes in carbon isotopes and water-use efficiency: Tree-ring-based evaluation of the CLM4.5 and LPX-Bern models","type":"article-journal","volume":"14"},"uris":["http://www.mendeley.com/documents/?uuid=78529c25-cf9c-4688-ab34-630d9dbe798d"]},{"id":"ITEM-2","itemData":{"DOI":"10.1111/j.1466-8238.2010.00608.x","ISBN":"1466-8238","ISSN":"1466822X","abstract":"Aim The goals of this study are: (1) to determine whether increasing atmospheric CO2 concentrations and changing climate increased intrinsic water use efficiency (iWUE, as detected by changes in Δ13C) over the last four decades; and if it did increase iWUE, whether it led to increased tree growth (as measured by tree-ring growth); (2) to assess whether CO2 responses are biome dependent due to different environmental conditions, including availability of nutrients and water; and (3) to discuss how the findings of this study can better inform assumptions of CO2 fertilization and climate change effects in biospheric and climate models. Location A global range of sites covering all major forest biome types. Methods The analysis encompassed 47 study sites including boreal, wet temperate, mediterranean, semi-arid and tropical biomes for which measurements of tree ring Δ13C and growth are available over multiple decades. Results The iWUE inferred from the Δ13C analyses of comparable mature trees increased 20.5% over the last 40 years with no significant differences between biomes. This increase in iWUE did not translate into a significant overall increase in tree growth. Half of the sites showed a positive trend in growth while the other half had a negative or no trend. There were no significant trends within biomes or among biomes. Main conclusions These results show that despite an increase in atmospheric CO2 concentrations of over 50 p.p.m. and a 20.5% increase in iWUE during the last 40 years, tree growth has not increased as expected, suggesting that other factors have overridden the potential growth benefits of a CO2-rich world in many sites. Such factors could include climate change (particularly drought), nutrient limitation and/or physiological long-term acclimation to elevated CO2. Hence, the rate of biomass carbon sequestration in tropical, arid, mediterranean, wet temperate and boreal ecosystems may not increase with increasing atmospheric CO2 concentrations as is often implied by biospheric models and short-term elevated CO2 experiments.","author":[{"dropping-particle":"","family":"Peñuelas","given":"Josep","non-dropping-particle":"","parse-names":false,"suffix":""},{"dropping-particle":"","family":"Canadell","given":"Josep G.","non-dropping-particle":"","parse-names":false,"suffix":""},{"dropping-particle":"","family":"Ogaya","given":"Romà","non-dropping-particle":"","parse-names":false,"suffix":""}],"container-title":"Global Ecology and Biogeography","id":"ITEM-2","issued":{"date-parts":[["2011"]]},"page":"597-608","title":"Increased water-use efficiency during the 20th century did not translate into enhanced tree growth","type":"article-journal","volume":"20"},"uris":["http://www.mendeley.com/documents/?uuid=4e83d86c-2977-4f64-ab3a-95c381f3d958"]},{"id":"ITEM-3","itemData":{"DOI":"10.1111/gcb.12717","ISBN":"1365-2486","ISSN":"1365-2486","PMID":"25156251","abstract":"The increasing carbon dioxide (CO2) concentration in the atmosphere in combination with climatic changes throughout the last century are likely to have had a profound effect on the physiology of trees: altering the carbon and water fluxes passing through the stomatal pores. However, the magnitude and spatial patterns of such changes in natural forests remain highly uncertain. Here, stable carbon isotope ratios from a network of 35 tree-ring sites located across Europe are investigated to determine the intrinsic water-use efficiency (iWUE), the ratio of photosynthesis to stomatal conductance from 1901 to 2000. The results were compared with simulations of a dynamic vegetation model (LPX-Bern 1.0) that integrates numerous ecosystem and land–atmosphere exchange processes in a theoretical framework. The spatial pattern of tree-ring derived iWUE of the investigated coniferous and deciduous species and the model results agreed significantly with a clear south-to-north gradient, as well as a general increase in iWUE over the 20th century. The magnitude of the iWUE increase was not spatially uniform, with the strongest increase observed and modelled for temperate forests in Central Europe, a region where summer soil-water availability decreased over the last century. We were able to demonstrate that the combined effects of increasing CO2 and climate change leading to soil drying have resulted in an accelerated increase in iWUE. These findings will help to reduce uncertainties in the land surface schemes of global climate models, where vegetation–climate feedbacks are currently still poorly constrained by observational data.","author":[{"dropping-particle":"","family":"Saurer","given":"M.","non-dropping-particle":"","parse-names":false,"suffix":""},{"dropping-particle":"","family":"Spahni","given":"R.","non-dropping-particle":"","parse-names":false,"suffix":""},{"dropping-particle":"","family":"Frank","given":"D. C.","non-dropping-particle":"","parse-names":false,"suffix":""},{"dropping-particle":"","family":"Joos","given":"Fortunat","non-dropping-particle":"","parse-names":false,"suffix":""},{"dropping-particle":"","family":"Leuenberger","given":"Markus","non-dropping-particle":"","parse-names":false,"suffix":""},{"dropping-particle":"","family":"Loader","given":"Neil J.","non-dropping-particle":"","parse-names":false,"suffix":""},{"dropping-particle":"","family":"McCarroll","given":"Danny","non-dropping-particle":"","parse-names":false,"suffix":""},{"dropping-particle":"","family":"Gagen","given":"Mary","non-dropping-particle":"","parse-names":false,"suffix":""},{"dropping-particle":"","family":"Poulter","given":"Ben","non-dropping-particle":"","parse-names":false,"suffix":""},{"dropping-particle":"","family":"Siegwolf","given":"Rolf T.W.","non-dropping-particle":"","parse-names":false,"suffix":""},{"dropping-particle":"","family":"Andreu-Hayles","given":"Laia","non-dropping-particle":"","parse-names":false,"suffix":""},{"dropping-particle":"","family":"Boettger","given":"Tatjana","non-dropping-particle":"","parse-names":false,"suffix":""},{"dropping-particle":"","family":"Dorado Liñán","given":"Isabel","non-dropping-particle":"","parse-names":false,"suffix":""},{"dropping-particle":"","family":"Fairchild","given":"Ian J.","non-dropping-particle":"","parse-names":false,"suffix":""},{"dropping-particle":"","family":"Friedrich","given":"Michael","non-dropping-particle":"","parse-names":false,"suffix":""},{"dropping-particle":"","family":"Gutierrez","given":"Emilia","non-dropping-particle":"","parse-names":false,"suffix":""},{"dropping-particle":"","family":"Haupt","given":"Marika","non-dropping-particle":"","parse-names":false,"suffix":""},{"dropping-particle":"","family":"Hilasvuori","given":"Emmi","non-dropping-particle":"","parse-names":false,"suffix":""},{"dropping-particle":"","family":"Heinrich","given":"Ingo","non-dropping-particle":"","parse-names":false,"suffix":""},{"dropping-particle":"","family":"Helle","given":"Gerd","non-dropping-particle":"","parse-names":false,"suffix":""},{"dropping-particle":"","family":"Grudd","given":"Håkan","non-dropping-particle":"","parse-names":false,"suffix":""},{"dropping-particle":"","family":"Jalkanen","given":"Risto","non-dropping-particle":"","parse-names":false,"suffix":""},{"dropping-particle":"","family":"Levanič","given":"Tom","non-dropping-particle":"","parse-names":false,"suffix":""},{"dropping-particle":"","family":"Linderholm","given":"Hans W.","non-dropping-particle":"","parse-names":false,"suffix":""},{"dropping-particle":"","family":"Robertson","given":"Iain","non-dropping-particle":"","parse-names":false,"suffix":""},{"dropping-particle":"","family":"Sonninen","given":"Eloni","non-dropping-particle":"","parse-names":false,"suffix":""},{"dropping-particle":"","family":"Treydte","given":"Kerstin","non-dropping-particle":"","parse-names":false,"suffix":""},{"dropping-particle":"","family":"Waterhouse","given":"John S.","non-dropping-particle":"","parse-names":false,"suffix":""},{"dropping-particle":"","family":"Woodley","given":"Ewan J.","non-dropping-particle":"","parse-names":false,"suffix":""},{"dropping-particle":"","family":"Wynn","given":"Peter M.","non-dropping-particle":"","parse-names":false,"suffix":""},{"dropping-particle":"","family":"Young","given":"Giles H.F.","non-dropping-particle":"","parse-names":false,"suffix":""}],"container-title":"Global Change Biology","id":"ITEM-3","issue":"12","issued":{"date-parts":[["2014"]]},"page":"3700-3712","title":"Spatial variability and temporal trends in water-use efficiency of European forests","type":"article-journal","volume":"20"},"uris":["http://www.mendeley.com/documents/?uuid=7fb86c9a-e8f9-4c93-bc58-f23d0df4e627"]},{"id":"ITEM-4","itemData":{"DOI":"10.1038/nclimate2614","ISBN":"1758-6798","ISSN":"1758-678X","abstract":"The Earth’s carbon and hydrologic cycles are intimately coupled by gas exchange through plant stomata. However, uncertainties in the magnitude and consequences of the physiological responses of plants to elevated CO2 in natural environments hinders modelling of terrestrial water cycling and carbon storage. Here we use annually resolved long-term δ13C tree-ring measurements across a European forest network to reconstruct the physiologically driven response of intercellular CO2 (Ci) caused by atmospheric CO2 (Ca) trends. When removing meteorological signals from the δ13C measurements, we find that trees across Europe regulated gas exchange so that for one ppmv atmospheric CO2 increase, Ci increased by ~0.76 ppmv, most consistent with moderate control towards a constant Ci/Ca ratio. This response corresponds to twentieth-century intrinsic water-use efficiency (iWUE) increases of 14 ± 10 and 22 ± 6% at broadleaf and coniferous sites, respectively. An ensemble of process-based global vegetation models shows similar CO2 effects on iWUE trends. Yet, when operating these models with climate drivers reintroduced, despite decreased stomatal opening, 5% increases in European forest transpiration are calculated over the twentieth century. This counterintuitive result arises from lengthened growing seasons, enhanced evaporative demand in a warming climate, and increased leaf area, which together oppose effects of CO2-induced stomatal closure. Our study questions changes to the hydrological cycle, such as reductions in transpiration and air humidity, hypothesized to result from plant responses to anthropogenic emissions.","author":[{"dropping-particle":"","family":"Frank","given":"D. C.","non-dropping-particle":"","parse-names":false,"suffix":""},{"dropping-particle":"","family":"Poulter","given":"B.","non-dropping-particle":"","parse-names":false,"suffix":""},{"dropping-particle":"","family":"Saurer","given":"M.","non-dropping-particle":"","parse-names":false,"suffix":""},{"dropping-particle":"","family":"Esper","given":"J.","non-dropping-particle":"","parse-names":false,"suffix":""},{"dropping-particle":"","family":"Huntingford","given":"C.","non-dropping-particle":"","parse-names":false,"suffix":""},{"dropping-particle":"","family":"Helle","given":"G.","non-dropping-particle":"","parse-names":false,"suffix":""},{"dropping-particle":"","family":"Treydte","given":"K.","non-dropping-particle":"","parse-names":false,"suffix":""},{"dropping-particle":"","family":"Zimmermann","given":"N. E.","non-dropping-particle":"","parse-names":false,"suffix":""},{"dropping-particle":"","family":"Schleser","given":"G. H.","non-dropping-particle":"","parse-names":false,"suffix":""},{"dropping-particle":"","family":"Ahlström","given":"A.","non-dropping-particle":"","parse-names":false,"suffix":""},{"dropping-particle":"","family":"Ciais","given":"P.","non-dropping-particle":"","parse-names":false,"suffix":""},{"dropping-particle":"","family":"Friedlingstein","given":"P.","non-dropping-particle":"","parse-names":false,"suffix":""},{"dropping-particle":"","family":"Levis","given":"S.","non-dropping-particle":"","parse-names":false,"suffix":""},{"dropping-particle":"","family":"Lomas","given":"M.","non-dropping-particle":"","parse-names":false,"suffix":""},{"dropping-particle":"","family":"Sitch","given":"S.","non-dropping-particle":"","parse-names":false,"suffix":""},{"dropping-particle":"","family":"Viovy","given":"N.","non-dropping-particle":"","parse-names":false,"suffix":""},{"dropping-particle":"","family":"Andreu-Hayles","given":"L.","non-dropping-particle":"","parse-names":false,"suffix":""},{"dropping-particle":"","family":"Bednarz","given":"Z.","non-dropping-particle":"","parse-names":false,"suffix":""},{"dropping-particle":"","family":"Berninger","given":"F.","non-dropping-particle":"","parse-names":false,"suffix":""},{"dropping-particle":"","family":"Boettger","given":"T.","non-dropping-particle":"","parse-names":false,"suffix":""},{"dropping-particle":"","family":"D'Alessandro","given":"C. M.","non-dropping-particle":"","parse-names":false,"suffix":""},{"dropping-particle":"","family":"Daux","given":"V.","non-dropping-particle":"","parse-names":false,"suffix":""},{"dropping-particle":"","family":"Filot","given":"M.","non-dropping-particle":"","parse-names":false,"suffix":""},{"dropping-particle":"","family":"Grabner","given":"M.","non-dropping-particle":"","parse-names":false,"suffix":""},{"dropping-particle":"","family":"Gutierrez","given":"E.","non-dropping-particle":"","parse-names":false,"suffix":""},{"dropping-particle":"","family":"Haupt","given":"M.","non-dropping-particle":"","parse-names":false,"suffix":""},{"dropping-particle":"","family":"Hilasvuori","given":"E.","non-dropping-particle":"","parse-names":false,"suffix":""},{"dropping-particle":"","family":"Jungner","given":"H.","non-dropping-particle":"","parse-names":false,"suffix":""},{"dropping-particle":"","family":"Kalela-Brundin","given":"M.","non-dropping-particle":"","parse-names":false,"suffix":""},{"dropping-particle":"","family":"Krapiec","given":"M.","non-dropping-particle":"","parse-names":false,"suffix":""},{"dropping-particle":"","family":"Leuenberger","given":"M.","non-dropping-particle":"","parse-names":false,"suffix":""},{"dropping-particle":"","family":"Loader","given":"N. J.","non-dropping-particle":"","parse-names":false,"suffix":""},{"dropping-particle":"","family":"Marah","given":"H.","non-dropping-particle":"","parse-names":false,"suffix":""},{"dropping-particle":"","family":"Masson-Delmotte","given":"V.","non-dropping-particle":"","parse-names":false,"suffix":""},{"dropping-particle":"","family":"Pazdur","given":"A.","non-dropping-particle":"","parse-names":false,"suffix":""},{"dropping-particle":"","family":"Pawelczyk","given":"S.","non-dropping-particle":"","parse-names":false,"suffix":""},{"dropping-particle":"","family":"Pierre","given":"M.","non-dropping-particle":"","parse-names":false,"suffix":""},{"dropping-particle":"","family":"Planells","given":"O.","non-dropping-particle":"","parse-names":false,"suffix":""},{"dropping-particle":"","family":"Pukiene","given":"R.","non-dropping-particle":"","parse-names":false,"suffix":""},{"dropping-particle":"","family":"Reynolds-Henne","given":"C. E.","non-dropping-particle":"","parse-names":false,"suffix":""},{"dropping-particle":"","family":"Rinne","given":"K. T.","non-dropping-particle":"","parse-names":false,"suffix":""},{"dropping-particle":"","family":"Saracino","given":"A.","non-dropping-particle":"","parse-names":false,"suffix":""},{"dropping-particle":"","family":"Sonninen","given":"E.","non-dropping-particle":"","parse-names":false,"suffix":""},{"dropping-particle":"","family":"Stievenard","given":"M.","non-dropping-particle":"","parse-names":false,"suffix":""},{"dropping-particle":"","family":"Switsur","given":"V. R.","non-dropping-particle":"","parse-names":false,"suffix":""},{"dropping-particle":"","family":"Szczepanek","given":"M.","non-dropping-particle":"","parse-names":false,"suffix":""},{"dropping-particle":"","family":"Szychowska-Krapiec","given":"E.","non-dropping-particle":"","parse-names":false,"suffix":""},{"dropping-particle":"","family":"Todaro","given":"L.","non-dropping-particle":"","parse-names":false,"suffix":""},{"dropping-particle":"","family":"Waterhouse","given":"J. S.","non-dropping-particle":"","parse-names":false,"suffix":""},{"dropping-particle":"","family":"Weigl","given":"M.","non-dropping-particle":"","parse-names":false,"suffix":""}],"container-title":"Nature Climate Change","id":"ITEM-4","issue":"6","issued":{"date-parts":[["2015"]]},"page":"579-583","title":"Water-use efficiency and transpiration across European forests during the Anthropocene","type":"article-journal","volume":"5"},"uris":["http://www.mendeley.com/documents/?uuid=ac469d75-cf10-4cf2-85ca-b5f93e6eab8e"]}],"mendeley":{"formattedCitation":"(Frank et al., 2015; Keller et al., 2017; Peñuelas et al., 2011; Saurer et al., 2014)","plainTextFormattedCitation":"(Frank et al., 2015; Keller et al., 2017; Peñuelas et al., 2011; Saurer et al., 2014)","previouslyFormattedCitation":"(Frank et al., 2015; Keller et al., 2017; Peñuelas et al., 2011; Saurer et al., 2014)"},"properties":{"noteIndex":0},"schema":"https://github.com/citation-style-language/schema/raw/master/csl-citation.json"}</w:instrText>
      </w:r>
      <w:r w:rsidR="00446D5B" w:rsidRPr="00BD2160">
        <w:rPr>
          <w:rFonts w:cs="Times New Roman"/>
        </w:rPr>
        <w:fldChar w:fldCharType="separate"/>
      </w:r>
      <w:r w:rsidR="001263BC" w:rsidRPr="001263BC">
        <w:rPr>
          <w:rFonts w:cs="Times New Roman"/>
          <w:noProof/>
          <w:lang w:val="fr-FR"/>
        </w:rPr>
        <w:t>(Frank et al., 2015; Keller et al., 2017; Peñuelas et al., 2011; Saurer et al., 2014)</w:t>
      </w:r>
      <w:r w:rsidR="00446D5B" w:rsidRPr="00BD2160">
        <w:rPr>
          <w:rFonts w:cs="Times New Roman"/>
        </w:rPr>
        <w:fldChar w:fldCharType="end"/>
      </w:r>
      <w:r w:rsidR="00446D5B" w:rsidRPr="00BD2160">
        <w:rPr>
          <w:rFonts w:cs="Times New Roman"/>
          <w:lang w:val="fr-FR"/>
        </w:rPr>
        <w:t xml:space="preserve">. However, </w:t>
      </w:r>
      <w:r w:rsidR="001D2A85">
        <w:rPr>
          <w:rFonts w:cs="Times New Roman"/>
          <w:lang w:val="fr-FR"/>
        </w:rPr>
        <w:t xml:space="preserve">there is also </w:t>
      </w:r>
      <w:r w:rsidR="00446D5B" w:rsidRPr="00BD2160">
        <w:rPr>
          <w:rFonts w:cs="Times New Roman"/>
        </w:rPr>
        <w:t xml:space="preserve">empirical support for plants following </w:t>
      </w:r>
      <w:r w:rsidR="004F7D73">
        <w:rPr>
          <w:rFonts w:cs="Times New Roman"/>
        </w:rPr>
        <w:t>scenario (</w:t>
      </w:r>
      <w:r w:rsidR="00446D5B" w:rsidRPr="00BD2160">
        <w:rPr>
          <w:rFonts w:cs="Times New Roman"/>
        </w:rPr>
        <w:t>i</w:t>
      </w:r>
      <w:r w:rsidR="004F7D73">
        <w:rPr>
          <w:rFonts w:cs="Times New Roman"/>
        </w:rPr>
        <w:t>)</w:t>
      </w:r>
      <w:r w:rsidR="00766F32">
        <w:rPr>
          <w:rFonts w:cs="Times New Roman"/>
        </w:rPr>
        <w:t xml:space="preserve"> with constant </w:t>
      </w:r>
      <w:r w:rsidR="00766F32" w:rsidRPr="00766F32">
        <w:rPr>
          <w:rFonts w:cs="Times New Roman"/>
          <w:i/>
        </w:rPr>
        <w:t>c</w:t>
      </w:r>
      <w:r w:rsidR="00766F32" w:rsidRPr="00766F32">
        <w:rPr>
          <w:rFonts w:cs="Times New Roman"/>
          <w:vertAlign w:val="subscript"/>
        </w:rPr>
        <w:t>i</w:t>
      </w:r>
      <w:r w:rsidR="00446D5B" w:rsidRPr="00BD2160">
        <w:rPr>
          <w:rFonts w:cs="Times New Roman"/>
        </w:rPr>
        <w:t xml:space="preserve"> </w:t>
      </w:r>
      <w:r w:rsidR="00446D5B" w:rsidRPr="00BD2160">
        <w:rPr>
          <w:rFonts w:cs="Times New Roman"/>
        </w:rPr>
        <w:fldChar w:fldCharType="begin" w:fldLock="1"/>
      </w:r>
      <w:r w:rsidR="00D24801">
        <w:rPr>
          <w:rFonts w:cs="Times New Roman"/>
        </w:rPr>
        <w:instrText>ADDIN CSL_CITATION {"citationItems":[{"id":"ITEM-1","itemData":{"DOI":"10.1016/j.scitotenv.2011.02.010","ISBN":"00489697 (ISSN)","ISSN":"00489697","PMID":"21402397","abstract":"δ13C and δ18O of tree rings contain time integrated information about the environmental conditions weighted by seasonal growth dynamics and are well established as sources of palaeoclimatic and ecophysiological data. Annually resolved isotope chronologies are frequently produced by pooling dated growth rings from several trees prior to the isotopic analyses. This procedure has the advantage of saving time and resources, but precludes from defining the isotopic error or statistical uncertainty related to the inter-tree variability. Up to now only a few studies have compared isotope series from pooled tree rings with isotopic measurements from individual trees. We tested whether or not the δ13C and the δ18O chronologies derived from pooled and from individual tree rings display significant differences at two locations from the Iberian Peninsula to assess advantages and constraints of both methodologies. The comparisons along the period 1900-2003 reveal a good agreement between pooled chronologies and the two mean master series which were created by averaging raw individual values (Mean) or by generating a mass calibrated mean (MassC). In most of the cases, pooled chronologies show high synchronicity with averaged individual samples at interannual scale but some differences also show up especially when comparing δ18O decadal to multi-decadal variations. Moreover, differences in the first order autocorrelation among individuals may be obscured by pooling strategies. The lack of replication of pooled chronologies prevents detection of a bias due to a higher mass contribution of one sample but uncertainties associated with the analytical process itself, as sample inhomogeneity, seems to account for the observed differences. © 2011 Elsevier B.V.","author":[{"dropping-particle":"","family":"Dorado Liñán","given":"Isabel","non-dropping-particle":"","parse-names":false,"suffix":""},{"dropping-particle":"","family":"Gutiérrez","given":"Emilia","non-dropping-particle":"","parse-names":false,"suffix":""},{"dropping-particle":"","family":"Helle","given":"Gerhard","non-dropping-particle":"","parse-names":false,"suffix":""},{"dropping-particle":"","family":"Heinrich","given":"Ingo","non-dropping-particle":"","parse-names":false,"suffix":""},{"dropping-particle":"","family":"Andreu-Hayles","given":"Laia","non-dropping-particle":"","parse-names":false,"suffix":""},{"dropping-particle":"","family":"Planells","given":"Octavi","non-dropping-particle":"","parse-names":false,"suffix":""},{"dropping-particle":"","family":"Leuenberger","given":"Markus","non-dropping-particle":"","parse-names":false,"suffix":""},{"dropping-particle":"","family":"Bürger","given":"Carmen","non-dropping-particle":"","parse-names":false,"suffix":""},{"dropping-particle":"","family":"Schleser","given":"Gerhard","non-dropping-particle":"","parse-names":false,"suffix":""}],"container-title":"Science of the Total Environment","id":"ITEM-1","issue":"11","issued":{"date-parts":[["2011"]]},"page":"2244-2251","publisher":"Elsevier B.V.","title":"Pooled versus separate measurements of tree-ring stable isotopes","type":"article-journal","volume":"409"},"uris":["http://www.mendeley.com/documents/?uuid=b3777af0-620e-4091-b03a-620cca0f9b94"]}],"mendeley":{"formattedCitation":"(Dorado Liñán et al., 2011)","plainTextFormattedCitation":"(Dorado Liñán et al., 2011)","previouslyFormattedCitation":"(Dorado Liñán et al., 2011)"},"properties":{"noteIndex":0},"schema":"https://github.com/citation-style-language/schema/raw/master/csl-citation.json"}</w:instrText>
      </w:r>
      <w:r w:rsidR="00446D5B" w:rsidRPr="00BD2160">
        <w:rPr>
          <w:rFonts w:cs="Times New Roman"/>
        </w:rPr>
        <w:fldChar w:fldCharType="separate"/>
      </w:r>
      <w:r w:rsidR="00A46FD5" w:rsidRPr="00A46FD5">
        <w:rPr>
          <w:rFonts w:cs="Times New Roman"/>
          <w:noProof/>
        </w:rPr>
        <w:t>(Dorado Liñán et al., 2011)</w:t>
      </w:r>
      <w:r w:rsidR="00446D5B" w:rsidRPr="00BD2160">
        <w:rPr>
          <w:rFonts w:cs="Times New Roman"/>
        </w:rPr>
        <w:fldChar w:fldCharType="end"/>
      </w:r>
      <w:r w:rsidR="00446D5B" w:rsidRPr="00BD2160">
        <w:rPr>
          <w:rFonts w:cs="Times New Roman"/>
        </w:rPr>
        <w:t xml:space="preserve"> or scenario </w:t>
      </w:r>
      <w:r w:rsidR="004F7D73">
        <w:rPr>
          <w:rFonts w:cs="Times New Roman"/>
        </w:rPr>
        <w:t xml:space="preserve">(ii) </w:t>
      </w:r>
      <w:r w:rsidR="00446D5B" w:rsidRPr="00BD2160">
        <w:rPr>
          <w:rFonts w:cs="Times New Roman"/>
        </w:rPr>
        <w:t xml:space="preserve">where </w:t>
      </w:r>
      <w:r w:rsidR="00446D5B" w:rsidRPr="00BD2160">
        <w:rPr>
          <w:rFonts w:cs="Times New Roman"/>
          <w:i/>
          <w:color w:val="000000" w:themeColor="text1"/>
        </w:rPr>
        <w:t>c</w:t>
      </w:r>
      <w:r w:rsidR="00446D5B" w:rsidRPr="00BD2160">
        <w:rPr>
          <w:rFonts w:cs="Times New Roman"/>
          <w:color w:val="000000" w:themeColor="text1"/>
          <w:vertAlign w:val="subscript"/>
        </w:rPr>
        <w:t>i</w:t>
      </w:r>
      <w:r w:rsidR="00446D5B" w:rsidRPr="00BD2160">
        <w:rPr>
          <w:rFonts w:cs="Times New Roman"/>
          <w:color w:val="000000" w:themeColor="text1"/>
        </w:rPr>
        <w:t xml:space="preserve"> increases at the same rate as </w:t>
      </w:r>
      <w:r w:rsidR="00446D5B" w:rsidRPr="00BD2160">
        <w:rPr>
          <w:rFonts w:cs="Times New Roman"/>
          <w:i/>
          <w:color w:val="000000" w:themeColor="text1"/>
        </w:rPr>
        <w:t>c</w:t>
      </w:r>
      <w:r w:rsidR="00446D5B" w:rsidRPr="00BD2160">
        <w:rPr>
          <w:rFonts w:cs="Times New Roman"/>
          <w:color w:val="000000" w:themeColor="text1"/>
          <w:vertAlign w:val="subscript"/>
        </w:rPr>
        <w:t>a</w:t>
      </w:r>
      <w:r w:rsidR="00446D5B" w:rsidRPr="00BD2160">
        <w:rPr>
          <w:rFonts w:cs="Times New Roman"/>
          <w:color w:val="000000" w:themeColor="text1"/>
        </w:rPr>
        <w:t xml:space="preserve"> </w:t>
      </w:r>
      <w:r w:rsidR="00446D5B" w:rsidRPr="00BD2160">
        <w:rPr>
          <w:rFonts w:cs="Times New Roman"/>
          <w:color w:val="000000" w:themeColor="text1"/>
          <w:lang w:val="en-GB"/>
        </w:rPr>
        <w:fldChar w:fldCharType="begin" w:fldLock="1"/>
      </w:r>
      <w:r w:rsidR="00A46FD5">
        <w:rPr>
          <w:rFonts w:cs="Times New Roman"/>
          <w:color w:val="000000" w:themeColor="text1"/>
          <w:lang w:val="en-GB"/>
        </w:rPr>
        <w:instrText>ADDIN CSL_CITATION {"citationItems":[{"id":"ITEM-1","itemData":{"DOI":"10.1016/j.gca.2008.11.041","ISBN":"0016-7037","ISSN":"00167037","abstract":"Tree-ring stable carbon isotope ratios (δ13C) often display a decline over the industrial period (post-AD1850) that is only partly explained by changes in the isotopic ratio of carbon dioxide (CO2) and may represent a response to increased atmospheric concentrations of CO2 (ca). If this is not addressed, reconstructions using long tree-ring stable isotope chronologies calibrated using the modern period, for which meteorological records are available, may be compromised. We propose a correction procedure that attempts to calculate the δ13C values that would have been obtained under pre-industrial conditions. The correction procedure uses nonlinear (loess) regression but the magnitude of the adjustment made is restricted by two logical constraints based on the physiological response of trees: first, that a unit increase in ca cannot result in more than the same unit increase in the internal concentration of CO2 (ci), and second, that increases in water-use efficiency as a result of an increase in ca are limited to maintaining a constant ci/ca ratio. The first constraint allows retention of a falling trend in δ13C, which exceeds that which could logically be attributed to a passive response to rising ca. The second constraint ensures that any increase in δ13C, reflecting a change in water-use efficiency beyond maintenance of a constant ci/ca, is not removed. The procedure is tested using 'pseudoproxies', to demonstrate the effect of the correction on time-series with different shapes, and data from three sites in Finland and Norway. Two of the time-series retain a significant trend after correction, and in all three cases the correction improves the correlation with local meteorological measurements. © 2009 Elsevier Ltd. All rights reserved.","author":[{"dropping-particle":"","family":"McCarroll","given":"Danny","non-dropping-particle":"","parse-names":false,"suffix":""},{"dropping-particle":"","family":"Gagen","given":"Mary H.","non-dropping-particle":"","parse-names":false,"suffix":""},{"dropping-particle":"","family":"Loader","given":"Neil J.","non-dropping-particle":"","parse-names":false,"suffix":""},{"dropping-particle":"","family":"Robertson","given":"Iain","non-dropping-particle":"","parse-names":false,"suffix":""},{"dropping-particle":"","family":"Anchukaitis","given":"Kevin J.","non-dropping-particle":"","parse-names":false,"suffix":""},{"dropping-particle":"","family":"Los","given":"Sietse","non-dropping-particle":"","parse-names":false,"suffix":""},{"dropping-particle":"","family":"Young","given":"Giles H.F.","non-dropping-particle":"","parse-names":false,"suffix":""},{"dropping-particle":"","family":"Jalkanen","given":"Risto","non-dropping-particle":"","parse-names":false,"suffix":""},{"dropping-particle":"","family":"Kirchhefer","given":"Andreas","non-dropping-particle":"","parse-names":false,"suffix":""},{"dropping-particle":"","family":"Waterhouse","given":"John S.","non-dropping-particle":"","parse-names":false,"suffix":""}],"container-title":"Geochimica et Cosmochimica Acta","id":"ITEM-1","issue":"6","issued":{"date-parts":[["2009"]]},"page":"1539-1547","publisher":"Elsevier Ltd","title":"Correction of tree ring stable carbon isotope chronologies for changes in the carbon dioxide content of the atmosphere","type":"article-journal","volume":"73"},"uris":["http://www.mendeley.com/documents/?uuid=d894c8b2-0eba-4396-be88-db56c67f634b"]},{"id":"ITEM-2","itemData":{"DOI":"10.1016/j.gca.2009.05.057","ISBN":"0016-7037","ISSN":"00167037","PMID":"491","abstract":"We present one millennium-long (1171-year), and three 100 year long annually resolved ??13C tree-ring chronologies from ecologically varying Juniperus stands in the Karakorum Mountains (northern Pakistan), and evaluate their response to climatic and atmospheric CO2 changes. All ??13C records show a gradual decrease since the beginning of the 19th century, which is commonly associated with a depletion of atmospheric ??13C due to fossil fuel burning. Climate calibration of high-frequency ??13C variations indicates a pronounced summer temperature signal for all sites. The low-frequency component of the same records, however, deviates from long-term temperature trends, even after correction for changes in anthropogenic CO2. We hypothesize that these high-elevation trees show a response to both climate and elevated atmospheric CO2 concentration and the latter might explain the offset with target temperature data. We applied several corrections to tree-ring ??13C records, considering a range of potential CO2 discrimination changes over the past 150 years and calculated the goodness of fit with the target via calibration/verification tests (R2, residual trend, and Durbin-Watson statistics). These tests revealed that at our sites, carbon isotope fixation on longer timescales is affected by increasing atmospheric CO2 concentrations at a discrimination rate of about 0.012???/ppmv. Although this statistically derived value may be site related, our findings have implications for the interpretation of any long-term trends in climate reconstructions using tree-ring ??13C, as we demonstrate with our millennium-long ??13C Karakorum record. While we find indications for warmth during the Medieval Warm Period (higher than today's mean summer temperature), we also show that the low-frequency temperature pattern critically depends on the correction applied. Patterns of long-term climate variation, including the Medieval Warm Period, the Little Ice Age, and 20th century warmth are most similar to existing evidence when a strong influence of increased atmospheric CO2 on plant physiology is assumed. ?? 2009 Elsevier Ltd. All rights reserved.","author":[{"dropping-particle":"","family":"Treydte","given":"Kerstin S.","non-dropping-particle":"","parse-names":false,"suffix":""},{"dropping-particle":"","family":"Frank","given":"David C.","non-dropping-particle":"","parse-names":false,"suffix":""},{"dropping-particle":"","family":"Saurer","given":"Matthias","non-dropping-particle":"","parse-names":false,"suffix":""},{"dropping-particle":"","family":"Helle","given":"Gerhard","non-dropping-particle":"","parse-names":false,"suffix":""},{"dropping-particle":"","family":"Schleser","given":"Gerhard H.","non-dropping-particle":"","parse-names":false,"suffix":""},{"dropping-particle":"","family":"Esper","given":"Jan","non-dropping-particle":"","parse-names":false,"suffix":""}],"container-title":"Geochimica et Cosmochimica Acta","id":"ITEM-2","issue":"16","issued":{"date-parts":[["2009"]]},"page":"4635-4647","title":"Impact of climate and CO2 on a millennium-long tree-ring carbon isotope record","type":"article-journal","volume":"73"},"uris":["http://www.mendeley.com/documents/?uuid=d4d06e9c-5b0d-4f97-834a-98bd1e669dc2"]}],"mendeley":{"formattedCitation":"(McCarroll et al., 2009; Treydte et al., 2009)","plainTextFormattedCitation":"(McCarroll et al., 2009; Treydte et al., 2009)","previouslyFormattedCitation":"(McCarroll et al., 2009; Treydte et al., 2009)"},"properties":{"noteIndex":0},"schema":"https://github.com/citation-style-language/schema/raw/master/csl-citation.json"}</w:instrText>
      </w:r>
      <w:r w:rsidR="00446D5B" w:rsidRPr="00BD2160">
        <w:rPr>
          <w:rFonts w:cs="Times New Roman"/>
          <w:color w:val="000000" w:themeColor="text1"/>
          <w:lang w:val="en-GB"/>
        </w:rPr>
        <w:fldChar w:fldCharType="separate"/>
      </w:r>
      <w:r w:rsidR="00A46FD5" w:rsidRPr="00A46FD5">
        <w:rPr>
          <w:rFonts w:cs="Times New Roman"/>
          <w:noProof/>
          <w:color w:val="000000" w:themeColor="text1"/>
          <w:lang w:val="en-GB"/>
        </w:rPr>
        <w:t>(McCarroll et al., 2009; Treydte et al., 2009)</w:t>
      </w:r>
      <w:r w:rsidR="00446D5B" w:rsidRPr="00BD2160">
        <w:rPr>
          <w:rFonts w:cs="Times New Roman"/>
          <w:color w:val="000000" w:themeColor="text1"/>
          <w:lang w:val="en-GB"/>
        </w:rPr>
        <w:fldChar w:fldCharType="end"/>
      </w:r>
      <w:r w:rsidR="00EE0FAC">
        <w:rPr>
          <w:rFonts w:cs="Times New Roman"/>
          <w:color w:val="000000" w:themeColor="text1"/>
          <w:lang w:val="en-GB"/>
        </w:rPr>
        <w:t>.</w:t>
      </w:r>
      <w:r w:rsidR="007B7E22" w:rsidRPr="00BD2160">
        <w:rPr>
          <w:rFonts w:cs="Times New Roman"/>
          <w:color w:val="000000" w:themeColor="text1"/>
          <w:lang w:val="en-GB"/>
        </w:rPr>
        <w:t xml:space="preserve"> </w:t>
      </w:r>
      <w:r w:rsidR="002D26FF">
        <w:rPr>
          <w:rFonts w:cs="Times New Roman"/>
          <w:color w:val="000000" w:themeColor="text1"/>
        </w:rPr>
        <w:t>Other</w:t>
      </w:r>
      <w:r w:rsidR="00446D5B" w:rsidRPr="00BD2160">
        <w:rPr>
          <w:rFonts w:cs="Times New Roman"/>
          <w:color w:val="000000" w:themeColor="text1"/>
        </w:rPr>
        <w:t xml:space="preserve"> </w:t>
      </w:r>
      <w:r w:rsidR="00A308CC">
        <w:rPr>
          <w:rFonts w:cs="Times New Roman"/>
          <w:color w:val="000000" w:themeColor="text1"/>
        </w:rPr>
        <w:t>tree-ring</w:t>
      </w:r>
      <w:r w:rsidR="00446D5B" w:rsidRPr="00BD2160">
        <w:rPr>
          <w:rFonts w:cs="Times New Roman"/>
          <w:color w:val="000000" w:themeColor="text1"/>
        </w:rPr>
        <w:t xml:space="preserve"> studies </w:t>
      </w:r>
      <w:r w:rsidR="001D2A85">
        <w:rPr>
          <w:rFonts w:cs="Times New Roman"/>
          <w:color w:val="000000" w:themeColor="text1"/>
        </w:rPr>
        <w:t xml:space="preserve">moreover </w:t>
      </w:r>
      <w:r w:rsidR="00446D5B" w:rsidRPr="00BD2160">
        <w:rPr>
          <w:rFonts w:cs="Times New Roman"/>
          <w:color w:val="000000" w:themeColor="text1"/>
        </w:rPr>
        <w:t xml:space="preserve">have indicated intermediate situations </w:t>
      </w:r>
      <w:r w:rsidR="00446D5B" w:rsidRPr="00BD2160">
        <w:rPr>
          <w:rFonts w:cs="Times New Roman"/>
        </w:rPr>
        <w:t xml:space="preserve">between the constant </w:t>
      </w:r>
      <w:r w:rsidR="00446D5B" w:rsidRPr="00BD2160">
        <w:rPr>
          <w:rFonts w:cs="Times New Roman"/>
          <w:i/>
        </w:rPr>
        <w:t>c</w:t>
      </w:r>
      <w:r w:rsidR="00446D5B" w:rsidRPr="00BD2160">
        <w:rPr>
          <w:rFonts w:cs="Times New Roman"/>
          <w:vertAlign w:val="subscript"/>
        </w:rPr>
        <w:t>i</w:t>
      </w:r>
      <w:r w:rsidR="00446D5B" w:rsidRPr="00BD2160">
        <w:rPr>
          <w:rFonts w:cs="Times New Roman"/>
        </w:rPr>
        <w:t xml:space="preserve"> and constant</w:t>
      </w:r>
      <w:r w:rsidR="00446D5B" w:rsidRPr="00BD2160">
        <w:rPr>
          <w:rFonts w:cs="Times New Roman"/>
          <w:i/>
        </w:rPr>
        <w:t xml:space="preserve"> c</w:t>
      </w:r>
      <w:r w:rsidR="00446D5B" w:rsidRPr="00BD2160">
        <w:rPr>
          <w:rFonts w:cs="Times New Roman"/>
          <w:vertAlign w:val="subscript"/>
        </w:rPr>
        <w:t>i</w:t>
      </w:r>
      <w:r w:rsidR="00446D5B" w:rsidRPr="00BD2160">
        <w:rPr>
          <w:rFonts w:cs="Times New Roman"/>
        </w:rPr>
        <w:t>/</w:t>
      </w:r>
      <w:r w:rsidR="00446D5B" w:rsidRPr="00BD2160">
        <w:rPr>
          <w:rFonts w:cs="Times New Roman"/>
          <w:i/>
        </w:rPr>
        <w:t>c</w:t>
      </w:r>
      <w:r w:rsidR="00446D5B" w:rsidRPr="00BD2160">
        <w:rPr>
          <w:rFonts w:cs="Times New Roman"/>
          <w:vertAlign w:val="subscript"/>
        </w:rPr>
        <w:t>a</w:t>
      </w:r>
      <w:r w:rsidR="00446D5B" w:rsidRPr="00BD2160">
        <w:rPr>
          <w:rFonts w:cs="Times New Roman"/>
        </w:rPr>
        <w:t xml:space="preserve"> scenarios</w:t>
      </w:r>
      <w:r w:rsidR="00302AB9">
        <w:rPr>
          <w:rFonts w:cs="Times New Roman"/>
        </w:rPr>
        <w:t xml:space="preserve">, implying a more than expected increase in </w:t>
      </w:r>
      <w:r w:rsidR="006440FA" w:rsidRPr="00BD2160">
        <w:rPr>
          <w:rFonts w:cs="Times New Roman"/>
        </w:rPr>
        <w:t>iWUE</w:t>
      </w:r>
      <w:r w:rsidR="006440FA" w:rsidRPr="001B08EE">
        <w:rPr>
          <w:rFonts w:cs="Times New Roman"/>
          <w:vertAlign w:val="superscript"/>
        </w:rPr>
        <w:t>l</w:t>
      </w:r>
      <w:r w:rsidR="006440FA">
        <w:rPr>
          <w:rFonts w:cs="Times New Roman"/>
          <w:vertAlign w:val="superscript"/>
        </w:rPr>
        <w:t>eaf</w:t>
      </w:r>
      <w:r w:rsidR="00446D5B" w:rsidRPr="00BD2160">
        <w:rPr>
          <w:rFonts w:cs="Times New Roman"/>
        </w:rPr>
        <w:t xml:space="preserve">, or between the constant </w:t>
      </w:r>
      <w:r w:rsidR="00446D5B" w:rsidRPr="00BD2160">
        <w:rPr>
          <w:rFonts w:cs="Times New Roman"/>
          <w:i/>
        </w:rPr>
        <w:t>c</w:t>
      </w:r>
      <w:r w:rsidR="00446D5B" w:rsidRPr="00BD2160">
        <w:rPr>
          <w:rFonts w:cs="Times New Roman"/>
          <w:vertAlign w:val="subscript"/>
        </w:rPr>
        <w:t>a</w:t>
      </w:r>
      <w:r w:rsidR="00446D5B" w:rsidRPr="00BD2160">
        <w:rPr>
          <w:rFonts w:cs="Times New Roman"/>
        </w:rPr>
        <w:t xml:space="preserve"> – </w:t>
      </w:r>
      <w:r w:rsidR="00446D5B" w:rsidRPr="00BD2160">
        <w:rPr>
          <w:rFonts w:cs="Times New Roman"/>
          <w:i/>
        </w:rPr>
        <w:t>c</w:t>
      </w:r>
      <w:r w:rsidR="00446D5B" w:rsidRPr="00BD2160">
        <w:rPr>
          <w:rFonts w:cs="Times New Roman"/>
          <w:vertAlign w:val="subscript"/>
        </w:rPr>
        <w:t>i</w:t>
      </w:r>
      <w:r w:rsidR="00446D5B" w:rsidRPr="00BD2160">
        <w:rPr>
          <w:rFonts w:cs="Times New Roman"/>
        </w:rPr>
        <w:t xml:space="preserve"> and constant </w:t>
      </w:r>
      <w:r w:rsidR="00446D5B" w:rsidRPr="00BD2160">
        <w:rPr>
          <w:rFonts w:cs="Times New Roman"/>
          <w:i/>
        </w:rPr>
        <w:t>c</w:t>
      </w:r>
      <w:r w:rsidR="00446D5B" w:rsidRPr="00BD2160">
        <w:rPr>
          <w:rFonts w:cs="Times New Roman"/>
          <w:vertAlign w:val="subscript"/>
        </w:rPr>
        <w:t>i</w:t>
      </w:r>
      <w:r w:rsidR="00446D5B" w:rsidRPr="00BD2160">
        <w:rPr>
          <w:rFonts w:cs="Times New Roman"/>
        </w:rPr>
        <w:t>/</w:t>
      </w:r>
      <w:r w:rsidR="00446D5B" w:rsidRPr="00BD2160">
        <w:rPr>
          <w:rFonts w:cs="Times New Roman"/>
          <w:i/>
        </w:rPr>
        <w:t>c</w:t>
      </w:r>
      <w:r w:rsidR="00446D5B" w:rsidRPr="00BD2160">
        <w:rPr>
          <w:rFonts w:cs="Times New Roman"/>
          <w:vertAlign w:val="subscript"/>
        </w:rPr>
        <w:t>a</w:t>
      </w:r>
      <w:r w:rsidR="00446D5B" w:rsidRPr="00BD2160">
        <w:rPr>
          <w:rFonts w:cs="Times New Roman"/>
        </w:rPr>
        <w:t xml:space="preserve"> scenarios</w:t>
      </w:r>
      <w:r w:rsidR="00C85C53">
        <w:rPr>
          <w:rFonts w:cs="Times New Roman"/>
        </w:rPr>
        <w:t xml:space="preserve">, </w:t>
      </w:r>
      <w:r w:rsidR="002935D8">
        <w:rPr>
          <w:rFonts w:cs="Times New Roman"/>
        </w:rPr>
        <w:t xml:space="preserve">associated with </w:t>
      </w:r>
      <w:r w:rsidR="00C85C53">
        <w:rPr>
          <w:rFonts w:cs="Times New Roman"/>
        </w:rPr>
        <w:t xml:space="preserve">relatively moderate increase in </w:t>
      </w:r>
      <w:r w:rsidR="006440FA" w:rsidRPr="00BD2160">
        <w:rPr>
          <w:rFonts w:cs="Times New Roman"/>
        </w:rPr>
        <w:t>iWUE</w:t>
      </w:r>
      <w:r w:rsidR="006440FA" w:rsidRPr="001B08EE">
        <w:rPr>
          <w:rFonts w:cs="Times New Roman"/>
          <w:vertAlign w:val="superscript"/>
        </w:rPr>
        <w:t>l</w:t>
      </w:r>
      <w:r w:rsidR="006440FA">
        <w:rPr>
          <w:rFonts w:cs="Times New Roman"/>
          <w:vertAlign w:val="superscript"/>
        </w:rPr>
        <w:t>eaf</w:t>
      </w:r>
      <w:r w:rsidR="00446D5B" w:rsidRPr="00BD2160">
        <w:rPr>
          <w:rFonts w:cs="Times New Roman"/>
        </w:rPr>
        <w:t xml:space="preserve"> </w:t>
      </w:r>
      <w:r w:rsidR="00A46FFA" w:rsidRPr="00BD2160">
        <w:rPr>
          <w:rFonts w:cs="Times New Roman"/>
        </w:rPr>
        <w:fldChar w:fldCharType="begin" w:fldLock="1"/>
      </w:r>
      <w:r w:rsidR="007F7101">
        <w:rPr>
          <w:rFonts w:cs="Times New Roman"/>
        </w:rPr>
        <w:instrText>ADDIN CSL_CITATION {"citationItems":[{"id":"ITEM-1","itemData":{"DOI":"10.1111/j.1365-2486.2010.02373.x","ISBN":"1354-1013","ISSN":"13541013","abstract":"We investigated the tree growth and physiological response of five pine forest stands in relation to changes in atmospheric CO2 concentration (ca) and climate in the Iberian Peninsula using annually resolved width and d13C treering chronologies since AD 1600. 13C discrimination (D ci/ca), leaf intercellular CO2 concentration (ci) and intrinsic water-use efficiency (iWUE) were inferred from d13C values. The most pronounced changes were observed during the second half of the 20th century, and differed between stands. Three sites kept a constant ci/ca ratio, leading to significant ci and iWUE increases (active response to ca); whereas a significant increase in ci/ca resulted in the lowest iWUE increase of all stands at a relict Pinus uncinata forest site (passive response to ca). A significant decrease in ci/ca led to the greatest iWUE improvement at the northwestern site.We tested the climatic signal strength registered in the d13C series after removing the low-frequency trends due to the physiological responses to increasing ca. We found stronger correlations with temperature during the growing season, demonstrating that the physiological response to ca changes modulated d13C and masked the climate signal. Since 1970 higher d13C values revealed iWUE improvements at all the sites exceeding values expected by an active response to the ca increase alone. These patterns were related to upward trends in temperatures, indicating that other factors are reinforcing stomatal closure in these forests. Narrower rings during the second half of the 20th century than in previous centuries were observed at four sites and after 1970 at all sites, providing no evidence for a possible CO2 ‘fertilization’ effect on growth. The iWUE improvements found for all the forests, reflecting both a ca rise and warmer conditions, seem to be insufficient to compensate for the negative effects of the increasing water limitation on growth.","author":[{"dropping-particle":"","family":"Andreu-Hayles","given":"Laia","non-dropping-particle":"","parse-names":false,"suffix":""},{"dropping-particle":"","family":"Planells","given":"Octavi","non-dropping-particle":"","parse-names":false,"suffix":""},{"dropping-particle":"","family":"Gutiérrez","given":"Emilia","non-dropping-particle":"","parse-names":false,"suffix":""},{"dropping-particle":"","family":"Muntan","given":"Elena","non-dropping-particle":"","parse-names":false,"suffix":""},{"dropping-particle":"","family":"Helle","given":"Gerhard","non-dropping-particle":"","parse-names":false,"suffix":""},{"dropping-particle":"","family":"Anchukaitis","given":"Kevin J.","non-dropping-particle":"","parse-names":false,"suffix":""},{"dropping-particle":"","family":"Schleser","given":"Gerhard H.","non-dropping-particle":"","parse-names":false,"suffix":""}],"container-title":"Global Change Biology","id":"ITEM-1","issued":{"date-parts":[["2011"]]},"page":"2095-2112","title":"Long tree-ring chronologies reveal 20th century increases in water-use efficiency but no enhancement of tree growth at five Iberian pine forests","type":"article-journal","volume":"17"},"uris":["http://www.mendeley.com/documents/?uuid=4c09cca5-29ad-4a08-8873-bad4b0a80549"]},{"id":"ITEM-2","itemData":{"DOI":"10.1002/2015JG003098.Received","author":[{"dropping-particle":"","family":"Urrutia-Jalabert","given":"Rocío","non-dropping-particle":"","parse-names":false,"suffix":""},{"dropping-particle":"","family":"Malhi","given":"Yadvinder","non-dropping-particle":"","parse-names":false,"suffix":""},{"dropping-particle":"","family":"Barichivich","given":"Jonathan","non-dropping-particle":"","parse-names":false,"suffix":""},{"dropping-particle":"","family":"Lara","given":"Antonio","non-dropping-particle":"","parse-names":false,"suffix":""}],"container-title":"Journal of Geophysical Research - Biogeosciences","id":"ITEM-2","issue":"12","issued":{"date-parts":[["2015"]]},"page":"2505–2524","title":"Increased water use efficiency but contrasting tree growth patterns in Fitzroya cupressoides forests of southern Chile during recent decades","type":"article-journal","volume":"120"},"uris":["http://www.mendeley.com/documents/?uuid=6664fd64-7bec-4567-b460-bcddedcd07a9"]},{"id":"ITEM-3","itemData":{"DOI":"10.1111/j.1365-2486.2012.02757.x","ISBN":"1354-1013","ISSN":"13541013","PMID":"24501068","abstract":"The objective of this study is to globally assess the effects of atmospheric nitrogen deposition and climate, associated with rising levels of atmospheric CO2, on the variability of carbon isotope discrimination (D13C), and intrinsic wateruse efficiency (iWUE) of angiosperm and conifer tree species. Eighty-nine long-term isotope tree-ring chronologies, representing 23 conifer and 13 angiosperm species for 53 sites worldwide, were extracted from the literature, and used to obtain long-term time series of D13C and iWUE. D13C and iWUE were related to the increasing concentration of atmospheric CO2 over the industrial period (1850–2000) and to the variation of simulated atmospheric nitrogen deposition and climatic variables over the period 1950–2000. We applied generalized additive models and linear mixed-effects models to predict the effects of climatic variables and nitrogen deposition on D13C and iWUE. Results showed a declining D13C trend in the angiosperm and conifer species over the industrial period and a 16.1% increase of iWUE between 1850 and 2000, with no evidence that the increased rate was reduced at higher ambient CO2 values. The temporal variation in D13C supported the hypothesis of an active plant mechanism that maintains a constant ratio between intercellular and ambient CO2 concentrations. We defined linear mixed-effects models that were effective to describe the variation of D13C and iWUE as a function of a set of environmental predictors, alternatively including annual rate (Nrate) and long-term cumulative (Ncum) nitrogen deposition. No single climatic or atmospheric variable had a clearly predominant effect, however, D13C and iWUE showed complex dependent interactions between different covariates. A significant association of Nrate with iWUE and D13C was observed in conifers and in the angiosperms, and Ncum was the only independent term with a significant positive association with iWUE, although a multi-factorial control was evident in conifers.","author":[{"dropping-particle":"","family":"Leonardi","given":"Stefano","non-dropping-particle":"","parse-names":false,"suffix":""},{"dropping-particle":"","family":"Gentilesca","given":"Tiziana","non-dropping-particle":"","parse-names":false,"suffix":""},{"dropping-particle":"","family":"Guerrieri","given":"Rossella","non-dropping-particle":"","parse-names":false,"suffix":""},{"dropping-particle":"","family":"Ripullone","given":"Francesco","non-dropping-particle":"","parse-names":false,"suffix":""},{"dropping-particle":"","family":"Magnani","given":"Federico","non-dropping-particle":"","parse-names":false,"suffix":""},{"dropping-particle":"","family":"Mencuccini","given":"Maurizio","non-dropping-particle":"","parse-names":false,"suffix":""},{"dropping-particle":"V.","family":"Noije","given":"Twan","non-dropping-particle":"","parse-names":false,"suffix":""},{"dropping-particle":"","family":"Borghetti","given":"Marco","non-dropping-particle":"","parse-names":false,"suffix":""}],"container-title":"Global Change Biology","id":"ITEM-3","issue":"9","issued":{"date-parts":[["2012"]]},"page":"2925-2944","title":"Assessing the effects of nitrogen deposition and climate on carbon isotope discrimination and intrinsic water-use efficiency of angiosperm and conifer trees under rising CO2 conditions","type":"article-journal","volume":"18"},"uris":["http://www.mendeley.com/documents/?uuid=16c95210-ff87-4bac-a230-2f78beae1ae6"]},{"id":"ITEM-4","itemData":{"DOI":"10.1016/j.epsl.2016.11.045","ISSN":"0012821X","abstract":"© 2016 Elsevier B.V. Very few studies of stable isotopes exist across the Andes in South America. This study is the first presenting annually resolved chronologies of both δ 18 O and δ 13 C in Nothofagus pumilio and Fitzroya cupressoides trees from Northern Patagonia. Interannual variability in δ 18 O and δ 13 C was assessed over the period 1952–2011. Based on these chronologies, we determined the primary climatic controls on stable isotopes and tree physiological responses to changes in atmospheric CO 2 concentrations (c a ), temperature and humidity. Changes in specific intrinsic water use efficiency (iWUE) were inferred from variations in δ 13 C whereas the effects of CO 2 increase on stomatal conductance were explored using δ 18 O. Over the 60-year period, iWUE increased significantly (by ca. 25%) in coincidence with the rise of c a . The two species appear to have different strategies of gas-exchange. Whereas iWUE variations were likely driven by both stomatal conductance and photosynthetic assimilation rates in F. cupressoides, they were largely related to stomatal conductance in N. pumilio. After removing the low-frequency trends related to increasing c a , significant relationships between δ 13 C and summer temperatures were recorded for both species. However, δ 13 C variations in F. cupressoides were more strongly influenced by summer temperatures than in N. pumilio. Our results advocate for an indirect effect of summer temperatures on stable isotope ratios, which is mostly influenced by sunlight radiation in F. cupressoides and relative humidity/soil moisture in N. pumilio. δ 13 C variations in F. cupressoides were spatially correlated to a large area south of 35°S in southern South America. These promising results encourage the use of δ 13 C variations in F. cupressoides for reconstructing past variations in temperature and large-scale circulation indexes such as the Southern Annular Mode (SAM) in the Southern Hemisphere.","author":[{"dropping-particle":"","family":"Lavergne","given":"Aliénor","non-dropping-particle":"","parse-names":false,"suffix":""},{"dropping-particle":"","family":"Daux","given":"Valérie","non-dropping-particle":"","parse-names":false,"suffix":""},{"dropping-particle":"","family":"Villalba","given":"Ricardo","non-dropping-particle":"","parse-names":false,"suffix":""},{"dropping-particle":"","family":"Pierre","given":"Monique","non-dropping-particle":"","parse-names":false,"suffix":""},{"dropping-particle":"","family":"Stievenard","given":"Michel","non-dropping-particle":"","parse-names":false,"suffix":""},{"dropping-particle":"","family":"Srur","given":"Ana Marina A.M.","non-dropping-particle":"","parse-names":false,"suffix":""}],"container-title":"Earth and Planetary Science Letters","id":"ITEM-4","issued":{"date-parts":[["2017","2"]]},"page":"372-380","publisher":"Elsevier B.V.","title":"Improvement of isotope-based climate reconstructions in Patagonia through a better understanding of climate influences on isotopic fractionation in tree rings","type":"article-journal","volume":"459"},"uris":["http://www.mendeley.com/documents/?uuid=f19ebff6-bba0-4078-b1a1-ba8a2fcb4177"]}],"mendeley":{"formattedCitation":"(Andreu-Hayles et al., 2011; Lavergne et al., 2017; Leonardi et al., 2012; Urrutia-Jalabert, Malhi, Barichivich, &amp; Lara, 2015)","manualFormatting":"(Andreu-Hayles et al., 2011; Lavergne et al., 2017; Leonardi et al., 2012; Urrutia-Jalabert et al., 2015)","plainTextFormattedCitation":"(Andreu-Hayles et al., 2011; Lavergne et al., 2017; Leonardi et al., 2012; Urrutia-Jalabert, Malhi, Barichivich, &amp; Lara, 2015)","previouslyFormattedCitation":"(Andreu-Hayles et al., 2011; Lavergne et al., 2017; Leonardi et al., 2012; Urrutia-Jalabert, Malhi, Barichivich, &amp; Lara, 2015)"},"properties":{"noteIndex":0},"schema":"https://github.com/citation-style-language/schema/raw/master/csl-citation.json"}</w:instrText>
      </w:r>
      <w:r w:rsidR="00A46FFA" w:rsidRPr="00BD2160">
        <w:rPr>
          <w:rFonts w:cs="Times New Roman"/>
        </w:rPr>
        <w:fldChar w:fldCharType="separate"/>
      </w:r>
      <w:r w:rsidR="00A46FFA" w:rsidRPr="007560B9">
        <w:rPr>
          <w:rFonts w:cs="Times New Roman"/>
          <w:noProof/>
          <w:lang w:val="fr-FR"/>
        </w:rPr>
        <w:t>(Andreu-Hayles et al., 2011; Lavergne et al., 2017; Leonardi et al., 2012; Urrutia-Jalabert</w:t>
      </w:r>
      <w:r w:rsidR="007F7101">
        <w:rPr>
          <w:rFonts w:cs="Times New Roman"/>
          <w:noProof/>
          <w:lang w:val="fr-FR"/>
        </w:rPr>
        <w:t xml:space="preserve"> et al.</w:t>
      </w:r>
      <w:r w:rsidR="00A46FFA" w:rsidRPr="007560B9">
        <w:rPr>
          <w:rFonts w:cs="Times New Roman"/>
          <w:noProof/>
          <w:lang w:val="fr-FR"/>
        </w:rPr>
        <w:t>, 2015)</w:t>
      </w:r>
      <w:r w:rsidR="00A46FFA" w:rsidRPr="00BD2160">
        <w:rPr>
          <w:rFonts w:cs="Times New Roman"/>
        </w:rPr>
        <w:fldChar w:fldCharType="end"/>
      </w:r>
      <w:r w:rsidR="00A46FFA" w:rsidRPr="00BD2160">
        <w:rPr>
          <w:rFonts w:cs="Times New Roman"/>
          <w:lang w:val="fr-FR"/>
        </w:rPr>
        <w:t>.</w:t>
      </w:r>
      <w:r w:rsidR="00841AC4">
        <w:rPr>
          <w:rFonts w:cs="Times New Roman"/>
          <w:lang w:val="fr-FR"/>
        </w:rPr>
        <w:t xml:space="preserve"> </w:t>
      </w:r>
      <w:r w:rsidR="003927DF">
        <w:rPr>
          <w:rFonts w:cs="Times New Roman"/>
          <w:lang w:val="fr-FR"/>
        </w:rPr>
        <w:t>Several</w:t>
      </w:r>
      <w:r w:rsidR="0044110D">
        <w:rPr>
          <w:rFonts w:cs="Times New Roman"/>
          <w:lang w:val="fr-FR"/>
        </w:rPr>
        <w:t xml:space="preserve"> hypothes</w:t>
      </w:r>
      <w:r w:rsidR="003927DF">
        <w:rPr>
          <w:rFonts w:cs="Times New Roman"/>
          <w:lang w:val="fr-FR"/>
        </w:rPr>
        <w:t>e</w:t>
      </w:r>
      <w:r w:rsidR="0044110D">
        <w:rPr>
          <w:rFonts w:cs="Times New Roman"/>
          <w:lang w:val="fr-FR"/>
        </w:rPr>
        <w:t xml:space="preserve">s </w:t>
      </w:r>
      <w:r w:rsidR="00564931">
        <w:rPr>
          <w:rFonts w:cs="Times New Roman"/>
          <w:lang w:val="fr-FR"/>
        </w:rPr>
        <w:t xml:space="preserve">to </w:t>
      </w:r>
      <w:r w:rsidR="0044110D">
        <w:rPr>
          <w:rFonts w:cs="Times New Roman"/>
          <w:lang w:val="fr-FR"/>
        </w:rPr>
        <w:t>explain the apparent differences in leaf gas</w:t>
      </w:r>
      <w:r w:rsidR="00B5622B">
        <w:rPr>
          <w:rFonts w:cs="Times New Roman"/>
          <w:lang w:val="fr-FR"/>
        </w:rPr>
        <w:t>-</w:t>
      </w:r>
      <w:r w:rsidR="0044110D">
        <w:rPr>
          <w:rFonts w:cs="Times New Roman"/>
          <w:lang w:val="fr-FR"/>
        </w:rPr>
        <w:t>exchange strategies b</w:t>
      </w:r>
      <w:r w:rsidR="003927DF">
        <w:rPr>
          <w:rFonts w:cs="Times New Roman"/>
          <w:lang w:val="fr-FR"/>
        </w:rPr>
        <w:t xml:space="preserve">etween studies have been proposed, </w:t>
      </w:r>
      <w:r w:rsidR="007B6196" w:rsidRPr="007B6196">
        <w:rPr>
          <w:rFonts w:cs="Times New Roman"/>
          <w:lang w:val="fr-FR"/>
        </w:rPr>
        <w:t>including genetically determined variations in leaf architecture, gas-exchange characteristics and photosynthetic capacities between species.</w:t>
      </w:r>
      <w:r w:rsidR="00671C92">
        <w:rPr>
          <w:rFonts w:cs="Times New Roman"/>
          <w:lang w:val="fr-FR"/>
        </w:rPr>
        <w:t xml:space="preserve"> </w:t>
      </w:r>
      <w:r w:rsidR="00256E88">
        <w:rPr>
          <w:rFonts w:cs="Times New Roman"/>
          <w:lang w:val="fr-FR"/>
        </w:rPr>
        <w:t>On the one hand, t</w:t>
      </w:r>
      <w:r w:rsidR="00CC4972">
        <w:rPr>
          <w:rFonts w:cs="Times New Roman"/>
          <w:lang w:val="fr-FR"/>
        </w:rPr>
        <w:t xml:space="preserve">he greater leaf hydraulic conductance in </w:t>
      </w:r>
      <w:r w:rsidR="00E11A79">
        <w:rPr>
          <w:rFonts w:cs="Times New Roman"/>
          <w:lang w:val="fr-FR"/>
        </w:rPr>
        <w:t>angiosperms</w:t>
      </w:r>
      <w:r w:rsidR="00CC4972">
        <w:rPr>
          <w:rFonts w:cs="Times New Roman"/>
          <w:lang w:val="fr-FR"/>
        </w:rPr>
        <w:t xml:space="preserve"> than in </w:t>
      </w:r>
      <w:r w:rsidR="00E11A79">
        <w:rPr>
          <w:rFonts w:cs="Times New Roman"/>
          <w:lang w:val="fr-FR"/>
        </w:rPr>
        <w:t xml:space="preserve">gymnosperms </w:t>
      </w:r>
      <w:r w:rsidR="00E11A79" w:rsidRPr="00BD2160">
        <w:rPr>
          <w:color w:val="000000" w:themeColor="text1"/>
        </w:rPr>
        <w:fldChar w:fldCharType="begin" w:fldLock="1"/>
      </w:r>
      <w:r w:rsidR="00E11A79">
        <w:rPr>
          <w:color w:val="000000" w:themeColor="text1"/>
        </w:rPr>
        <w:instrText>ADDIN CSL_CITATION {"citationItems":[{"id":"ITEM-1","itemData":{"DOI":"10.3732/ajb.93.10.1490","ISBN":"0002-9122","ISSN":"00029122","PMID":"21642096","abstract":"The wide size range of conifer tracheids and angiosperm vessels has important consequences for function. In both conduit types, bigger is better for conducting efficiency. The gain in efficiency with size is maximized by the control of conduit shape, which balances end-wall and lumen resistances. Although vessels are an order of magnitude longer than tracheids of the same diameter, they are not necessarily more efficient because they lack the low end-wall resistance of tracheids with torus-margo pits. Instead, vessels gain conducting efficiency over tracheids by achieving wider maximum diameters. End-walls contributed 56-64% to total xylem resistance in both conduit types, indicating that length limits conducting efficiency. Tracheid dimensions may be more limited by unicellularity and the need to supply strength to homoxylous wood than by the need to protect against cavitation. In contrast, the greater size of the multicellular vessel is facilitated by fibers that strengthen heteroxylous wood. Vessel dimensions may be most limited by the need to restrict intervessel pitting and cavitation by air-seeding. Stressful habitats that promote narrow vessels should favor coexistence of conifers and angiosperms. The evolution of vessels in angiosperm wood may have required early angiosperms to survive a phase of mechanic and hydraulic instability","author":[{"dropping-particle":"","family":"Sperry","given":"John S.","non-dropping-particle":"","parse-names":false,"suffix":""},{"dropping-particle":"","family":"Hacke","given":"Uwe G.","non-dropping-particle":"","parse-names":false,"suffix":""},{"dropping-particle":"","family":"Pittermann","given":"Jarmila","non-dropping-particle":"","parse-names":false,"suffix":""}],"container-title":"American Journal of Botany","id":"ITEM-1","issue":"10","issued":{"date-parts":[["2006"]]},"page":"1490-1500","title":"Size and function in conifer tracheids and angiosperm vessels","type":"article","volume":"93"},"uris":["http://www.mendeley.com/documents/?uuid=69019071-424c-41bd-a4bb-8b9f81b72b94","http://www.mendeley.com/documents/?uuid=40b08b5c-40fe-44b0-99fb-d15b25fcb2ed"]}],"mendeley":{"formattedCitation":"(Sperry, Hacke, &amp; Pittermann, 2006)","plainTextFormattedCitation":"(Sperry, Hacke, &amp; Pittermann, 2006)","previouslyFormattedCitation":"(Sperry, Hacke, &amp; Pittermann, 2006)"},"properties":{"noteIndex":0},"schema":"https://github.com/citation-style-language/schema/raw/master/csl-citation.json"}</w:instrText>
      </w:r>
      <w:r w:rsidR="00E11A79" w:rsidRPr="00BD2160">
        <w:rPr>
          <w:color w:val="000000" w:themeColor="text1"/>
        </w:rPr>
        <w:fldChar w:fldCharType="separate"/>
      </w:r>
      <w:r w:rsidR="00E11A79" w:rsidRPr="002B024A">
        <w:rPr>
          <w:noProof/>
          <w:color w:val="000000" w:themeColor="text1"/>
        </w:rPr>
        <w:t>(Sperry, Hacke, &amp; Pittermann, 2006)</w:t>
      </w:r>
      <w:r w:rsidR="00E11A79" w:rsidRPr="00BD2160">
        <w:rPr>
          <w:color w:val="000000" w:themeColor="text1"/>
        </w:rPr>
        <w:fldChar w:fldCharType="end"/>
      </w:r>
      <w:r w:rsidR="00E11A79">
        <w:rPr>
          <w:color w:val="000000" w:themeColor="text1"/>
        </w:rPr>
        <w:t xml:space="preserve"> may induce </w:t>
      </w:r>
      <w:r w:rsidR="00E11A79" w:rsidRPr="00BD2160">
        <w:rPr>
          <w:color w:val="000000" w:themeColor="text1"/>
        </w:rPr>
        <w:t>higher photosynthetic capacities</w:t>
      </w:r>
      <w:r w:rsidR="00457416">
        <w:rPr>
          <w:color w:val="000000" w:themeColor="text1"/>
        </w:rPr>
        <w:t xml:space="preserve"> </w:t>
      </w:r>
      <w:r w:rsidR="000C3395">
        <w:rPr>
          <w:color w:val="000000" w:themeColor="text1"/>
        </w:rPr>
        <w:t xml:space="preserve">and </w:t>
      </w:r>
      <w:r w:rsidR="00E11A79">
        <w:rPr>
          <w:color w:val="000000" w:themeColor="text1"/>
        </w:rPr>
        <w:t xml:space="preserve">stronger stomatal responsiveness to </w:t>
      </w:r>
      <w:r w:rsidR="0047216F">
        <w:rPr>
          <w:rFonts w:cs="Times New Roman"/>
          <w:color w:val="000000" w:themeColor="text1"/>
          <w:lang w:val="en-GB"/>
        </w:rPr>
        <w:t xml:space="preserve">rising </w:t>
      </w:r>
      <w:r w:rsidR="0047216F" w:rsidRPr="00340073">
        <w:rPr>
          <w:rFonts w:cs="Times New Roman"/>
          <w:i/>
          <w:color w:val="000000" w:themeColor="text1"/>
          <w:lang w:val="en-GB"/>
        </w:rPr>
        <w:t>c</w:t>
      </w:r>
      <w:r w:rsidR="0047216F" w:rsidRPr="00340073">
        <w:rPr>
          <w:rFonts w:cs="Times New Roman"/>
          <w:color w:val="000000" w:themeColor="text1"/>
          <w:vertAlign w:val="subscript"/>
          <w:lang w:val="en-GB"/>
        </w:rPr>
        <w:t>a</w:t>
      </w:r>
      <w:r w:rsidR="00E11A79">
        <w:rPr>
          <w:color w:val="000000" w:themeColor="text1"/>
        </w:rPr>
        <w:t xml:space="preserve"> </w:t>
      </w:r>
      <w:r w:rsidR="004A3A8E">
        <w:rPr>
          <w:color w:val="000000" w:themeColor="text1"/>
        </w:rPr>
        <w:t>for the former</w:t>
      </w:r>
      <w:r w:rsidR="004A3A8E" w:rsidRPr="00BD2160">
        <w:rPr>
          <w:color w:val="000000" w:themeColor="text1"/>
        </w:rPr>
        <w:t xml:space="preserve"> </w:t>
      </w:r>
      <w:r w:rsidR="00E11A79">
        <w:rPr>
          <w:rFonts w:cs="Times New Roman"/>
          <w:color w:val="000000" w:themeColor="text1"/>
          <w:lang w:val="en-GB"/>
        </w:rPr>
        <w:fldChar w:fldCharType="begin" w:fldLock="1"/>
      </w:r>
      <w:r w:rsidR="000959B8">
        <w:rPr>
          <w:rFonts w:cs="Times New Roman"/>
          <w:color w:val="000000" w:themeColor="text1"/>
          <w:lang w:val="en-GB"/>
        </w:rPr>
        <w:instrText>ADDIN CSL_CITATION {"citationItems":[{"id":"ITEM-1","itemData":{"DOI":"10.1111/j.1469-8137.2009.02844.x","ISBN":"0028-646X","ISSN":"0028646X","PMID":"19402882","abstract":"The stomata of angiosperms respond to changes in ambient atmospheric concentrations of CO(2) (C(a)) in ways that appear to optimize water-use efficiency. It is unknown where in the history of land plants this important stomatal control mechanism evolved. Here, we test the hypothesis that major clades of plants have distinct stomatal sensitivities to C(a) reflecting a relatively recent evolution of water-use optimization in derived angiosperms. Responses of stomatal conductance (g(s)) to step changes between elevated, ambient and low C(a) (600, 380 and 100 micromol mol(-1), respectively) were compared in a phylogenetically and ecologically diverse range of higher angiosperms, conifers, ferns and lycopods. All species responded to low C(a) by increasing g(s) but only angiosperm stomata demonstrated a significant closing response when C(a) was elevated to 600 micromol mol(-1). As a result, angiosperms showed significantly greater increases in water-use efficiency under elevated C(a) than the other lineages. The data suggest that the angiosperms have mechanisms for detecting and responding to increases in C(a) that are absent from earlier diverging lineages, and these mechanisms impart a greater capacity to optimize water-use efficiency.","author":[{"dropping-particle":"","family":"Brodribb","given":"Timothy J.","non-dropping-particle":"","parse-names":false,"suffix":""},{"dropping-particle":"","family":"McAdam","given":"Scott A M","non-dropping-particle":"","parse-names":false,"suffix":""},{"dropping-particle":"","family":"Jordan","given":"Gregory J.","non-dropping-particle":"","parse-names":false,"suffix":""},{"dropping-particle":"","family":"Feild","given":"Taylor S.","non-dropping-particle":"","parse-names":false,"suffix":""}],"container-title":"New Phytologist","id":"ITEM-1","issue":"3","issued":{"date-parts":[["2009"]]},"page":"839-847","title":"Evolution of stomatal responsiveness to CO2 and optimization of water-use efficiency among land plants","type":"article-journal","volume":"183"},"uris":["http://www.mendeley.com/documents/?uuid=0da7a6ab-7165-4ced-bbc1-38e57f723f64"]},{"id":"ITEM-2","itemData":{"DOI":"10.1111/i.1469-8137.2004.01259.x","author":[{"dropping-particle":"","family":"Brodribb","given":"Tim J","non-dropping-particle":"","parse-names":false,"suffix":""},{"dropping-particle":"","family":"Holbrook","given":"N Michele","non-dropping-particle":"","parse-names":false,"suffix":""},{"dropping-particle":"","family":"Zwieniecki","given":"Maciej a","non-dropping-particle":"","parse-names":false,"suffix":""},{"dropping-particle":"","family":"Palma","given":"Beatriz","non-dropping-particle":"","parse-names":false,"suffix":""},{"dropping-particle":"","family":"Zwieniecki","given":"A","non-dropping-particle":"","parse-names":false,"suffix":""},{"dropping-particle":"","family":"Michele","given":"N","non-dropping-particle":"","parse-names":false,"suffix":""},{"dropping-particle":"","family":"Brodribb","given":"J","non-dropping-particle":"","parse-names":false,"suffix":""}],"container-title":"New Phytologist","id":"ITEM-2","issued":{"date-parts":[["2005"]]},"page":"839-846","title":"Leaf hydraulic capacity in ferns, conifers and angiosperms: impacts on photosynthetic maxima","type":"article-journal","volume":"165"},"uris":["http://www.mendeley.com/documents/?uuid=0ba7349c-49d7-4b51-85c4-932f53e14b65"]}],"mendeley":{"formattedCitation":"(Tim J Brodribb et al., 2005; Timothy J. Brodribb et al., 2009)","manualFormatting":"(Brodribb et al., 2005, 2009)","plainTextFormattedCitation":"(Tim J Brodribb et al., 2005; Timothy J. Brodribb et al., 2009)","previouslyFormattedCitation":"(Tim J Brodribb et al., 2005; Timothy J. Brodribb et al., 2009)"},"properties":{"noteIndex":0},"schema":"https://github.com/citation-style-language/schema/raw/master/csl-citation.json"}</w:instrText>
      </w:r>
      <w:r w:rsidR="00E11A79">
        <w:rPr>
          <w:rFonts w:cs="Times New Roman"/>
          <w:color w:val="000000" w:themeColor="text1"/>
          <w:lang w:val="en-GB"/>
        </w:rPr>
        <w:fldChar w:fldCharType="separate"/>
      </w:r>
      <w:r w:rsidR="000C3395" w:rsidRPr="000C3395">
        <w:rPr>
          <w:rFonts w:cs="Times New Roman"/>
          <w:noProof/>
          <w:color w:val="000000" w:themeColor="text1"/>
          <w:lang w:val="en-GB"/>
        </w:rPr>
        <w:t>(Brodribb et al., 2005, 2009)</w:t>
      </w:r>
      <w:r w:rsidR="00E11A79">
        <w:rPr>
          <w:rFonts w:cs="Times New Roman"/>
          <w:color w:val="000000" w:themeColor="text1"/>
          <w:lang w:val="en-GB"/>
        </w:rPr>
        <w:fldChar w:fldCharType="end"/>
      </w:r>
      <w:r w:rsidR="00A87127">
        <w:rPr>
          <w:rFonts w:cs="Times New Roman"/>
          <w:color w:val="000000" w:themeColor="text1"/>
          <w:lang w:val="en-GB"/>
        </w:rPr>
        <w:t>.</w:t>
      </w:r>
      <w:r w:rsidR="00256E88">
        <w:rPr>
          <w:rFonts w:cs="Times New Roman"/>
          <w:color w:val="000000" w:themeColor="text1"/>
          <w:lang w:val="en-GB"/>
        </w:rPr>
        <w:t xml:space="preserve"> </w:t>
      </w:r>
      <w:r w:rsidR="003F2658">
        <w:rPr>
          <w:rFonts w:cs="Times New Roman"/>
          <w:color w:val="000000" w:themeColor="text1"/>
          <w:lang w:val="en-GB"/>
        </w:rPr>
        <w:t>On the other hand</w:t>
      </w:r>
      <w:r w:rsidR="006B1E9A" w:rsidRPr="00BD2160">
        <w:rPr>
          <w:color w:val="000000" w:themeColor="text1"/>
        </w:rPr>
        <w:t xml:space="preserve">, reductions in </w:t>
      </w:r>
      <w:r w:rsidR="006B1E9A" w:rsidRPr="00BD2160">
        <w:rPr>
          <w:i/>
          <w:color w:val="000000" w:themeColor="text1"/>
        </w:rPr>
        <w:t>g</w:t>
      </w:r>
      <w:r w:rsidR="006B1E9A" w:rsidRPr="00BD2160">
        <w:rPr>
          <w:color w:val="000000" w:themeColor="text1"/>
          <w:vertAlign w:val="subscript"/>
        </w:rPr>
        <w:t>s</w:t>
      </w:r>
      <w:r w:rsidR="006B1E9A" w:rsidRPr="00BD2160">
        <w:rPr>
          <w:color w:val="000000" w:themeColor="text1"/>
        </w:rPr>
        <w:t xml:space="preserve"> are likely to alter photosynthesis less and generate a stronger response of </w:t>
      </w:r>
      <w:r w:rsidR="00671C92" w:rsidRPr="00BD2160">
        <w:rPr>
          <w:rFonts w:cs="Times New Roman"/>
          <w:i/>
        </w:rPr>
        <w:t>c</w:t>
      </w:r>
      <w:r w:rsidR="00671C92" w:rsidRPr="00BD2160">
        <w:rPr>
          <w:rFonts w:cs="Times New Roman"/>
          <w:vertAlign w:val="subscript"/>
        </w:rPr>
        <w:t>i</w:t>
      </w:r>
      <w:r w:rsidR="00671C92" w:rsidRPr="00BD2160">
        <w:rPr>
          <w:rFonts w:cs="Times New Roman"/>
        </w:rPr>
        <w:t>/</w:t>
      </w:r>
      <w:r w:rsidR="00671C92" w:rsidRPr="00BD2160">
        <w:rPr>
          <w:rFonts w:cs="Times New Roman"/>
          <w:i/>
        </w:rPr>
        <w:t>c</w:t>
      </w:r>
      <w:r w:rsidR="00671C92" w:rsidRPr="00BD2160">
        <w:rPr>
          <w:rFonts w:cs="Times New Roman"/>
          <w:vertAlign w:val="subscript"/>
        </w:rPr>
        <w:t>a</w:t>
      </w:r>
      <w:r w:rsidR="00671C92" w:rsidRPr="00BD2160">
        <w:rPr>
          <w:rFonts w:cs="Times New Roman"/>
        </w:rPr>
        <w:t xml:space="preserve"> </w:t>
      </w:r>
      <w:r w:rsidR="009376CC">
        <w:rPr>
          <w:rFonts w:cs="Times New Roman"/>
        </w:rPr>
        <w:t xml:space="preserve">and </w:t>
      </w:r>
      <w:r w:rsidR="006440FA" w:rsidRPr="00BD2160">
        <w:rPr>
          <w:rFonts w:cs="Times New Roman"/>
        </w:rPr>
        <w:t>iWUE</w:t>
      </w:r>
      <w:r w:rsidR="006440FA" w:rsidRPr="001B08EE">
        <w:rPr>
          <w:rFonts w:cs="Times New Roman"/>
          <w:vertAlign w:val="superscript"/>
        </w:rPr>
        <w:t>l</w:t>
      </w:r>
      <w:r w:rsidR="006440FA">
        <w:rPr>
          <w:rFonts w:cs="Times New Roman"/>
          <w:vertAlign w:val="superscript"/>
        </w:rPr>
        <w:t>eaf</w:t>
      </w:r>
      <w:r w:rsidR="009376CC">
        <w:rPr>
          <w:rFonts w:cs="Times New Roman"/>
          <w:color w:val="000000" w:themeColor="text1"/>
          <w:lang w:val="en-GB"/>
        </w:rPr>
        <w:t xml:space="preserve"> </w:t>
      </w:r>
      <w:r w:rsidR="00885F78">
        <w:rPr>
          <w:rFonts w:cs="Times New Roman"/>
          <w:color w:val="000000" w:themeColor="text1"/>
          <w:lang w:val="en-GB"/>
        </w:rPr>
        <w:t>i</w:t>
      </w:r>
      <w:r w:rsidR="00885F78" w:rsidRPr="00BD2160">
        <w:rPr>
          <w:color w:val="000000" w:themeColor="text1"/>
        </w:rPr>
        <w:t>n species with more rigid leaf architecture, including most gymnosperms</w:t>
      </w:r>
      <w:r w:rsidR="00885F78">
        <w:rPr>
          <w:rFonts w:cs="Times New Roman"/>
          <w:color w:val="000000" w:themeColor="text1"/>
          <w:lang w:val="en-GB"/>
        </w:rPr>
        <w:t xml:space="preserve"> </w:t>
      </w:r>
      <w:r w:rsidR="00C16111">
        <w:rPr>
          <w:rFonts w:cs="Times New Roman"/>
          <w:color w:val="000000" w:themeColor="text1"/>
          <w:lang w:val="en-GB"/>
        </w:rPr>
        <w:fldChar w:fldCharType="begin" w:fldLock="1"/>
      </w:r>
      <w:r w:rsidR="00ED6DD3">
        <w:rPr>
          <w:rFonts w:cs="Times New Roman"/>
          <w:color w:val="000000" w:themeColor="text1"/>
          <w:lang w:val="en-GB"/>
        </w:rPr>
        <w:instrText>ADDIN CSL_CITATION {"citationItems":[{"id":"ITEM-1","itemData":{"DOI":"10.1016/j.tree.2010.12.012","ISBN":"0169-5347","ISSN":"01695347","PMID":"21277042","abstract":"Physical CO2diffusion from sub-stomatal cavities to the chloroplasts where photosynthesis takes place is an important limitation of photosynthesis largely neglected in research related to global climate change. This limitation is particularly important in leaves with robust structures such as evergreen sclerophylls. In these leaves, photosynthesis is less sensitive to changes in stomatal openness, which is considered to be the primary limitation of photosynthesis. In this review we state that, because of large limitations in internal diffusion in C3plants, photosynthesis and the intrinsic efficiency of the use of plant water responds more strongly to elevated levels of CO2in leaves with more robust structures. This provides an additional explanation for the current apparent expansion of evergreen sclerophylls in many Earth ecosystems, and adds a new perspective to research of the biological effects of increasing atmospheric CO2. © 2010 Elsevier Ltd.","author":[{"dropping-particle":"","family":"Niinemets","given":"Ülo","non-dropping-particle":"","parse-names":false,"suffix":""},{"dropping-particle":"","family":"Flexas","given":"Jaume","non-dropping-particle":"","parse-names":false,"suffix":""},{"dropping-particle":"","family":"Peñuelas","given":"Josep","non-dropping-particle":"","parse-names":false,"suffix":""}],"container-title":"Trends in Ecology and Evolution","id":"ITEM-1","issue":"3","issued":{"date-parts":[["2011"]]},"page":"136-142","title":"Evergreens favored by higher responsiveness to increased CO2","type":"article","volume":"26"},"uris":["http://www.mendeley.com/documents/?uuid=a133d9b1-03a9-422b-943a-59cee57bfcda"]},{"id":"ITEM-2","itemData":{"DOI":"10.1093/jxb/erp036","ISBN":"0022-0957","ISSN":"00220957","PMID":"19395391","abstract":"Limited mesophyll diffusion conductance to CO(2) (g(m)) can significantly constrain plant photosynthesis, but the extent of g(m)-limitation is still imperfectly known. As g(m) scales positively with foliage photosynthetic capacity (A), the CO(2) drawdown from substomatal cavities (C(i)) to chloroplasts (C(C), C(i)-C(C)=A/g(m)) rather than g(m) alone characterizes the mesophyll diffusion limitations of photosynthesis. The dependencies of g(m) on A, foliage structure (leaf dry mass per unit area, M(A)), and the resulting drawdowns across a dataset of 81 species of contrasting foliage structure and photosynthetic potentials measured under non-stressed conditions were analysed to describe the structure-driven potential photosynthetic limitations due to g(m). Further the effects of key environmental stress factors and leaf and plant developmental alterations on g(m) and CO(2) drawdown were evaluated and the implications of varying g(m) on foliage photosynthesis in the field were simulated. The meta-analysis demonstrated that g(m) of non-stressed leaves was negatively correlated with M(A), and despite the positive relationship between g(m) and A, the CO(2) drawdown was larger in leaves with more robust structure. The correlations were stronger with mass-based g(m) and A, probably reflecting the circumstance that mesophyll diffusion is a complex three-dimensional process that scales better with mesophyll volume-weighted than with leaf area-weighted traits. The analysis of key environmental stress effects on g(m) and CO(2) drawdowns demonstrated that the effect of individual stresses on CO(2) drawdowns varies depending on the stress effects on foliage structure and assimilation rates. Leaf diffusion limitations are larger in non-senescent older leaves and also in senescent leaves, again reflecting more robust leaf structure and/or non-co-ordinated alterations in leaf photosynthesis and g(m). According to simulation analyses, in plants with a larger part of the overall diffusion conductance from the ambient atmosphere to the chloroplasts in the mesophyll, photosynthesis is less sensitive to changes in stomatal conductance. Accordingly, in harsher environments that support vegetation with tougher long-living stress-tolerant leaves with lower g(m), reductions in stomatal conductance that are common during stress periods are expected to alter photosynthesis less than in species where a larger part of the total diffusion limitation is determined by stomata. While st…","author":[{"dropping-particle":"","family":"Niinemets","given":"Ülo","non-dropping-particle":"","parse-names":false,"suffix":""},{"dropping-particle":"","family":"Díaz-Espejo","given":"Antonio","non-dropping-particle":"","parse-names":false,"suffix":""},{"dropping-particle":"","family":"Flexas","given":"Jaume","non-dropping-particle":"","parse-names":false,"suffix":""},{"dropping-particle":"","family":"Galmés","given":"Jeroni","non-dropping-particle":"","parse-names":false,"suffix":""},{"dropping-particle":"","family":"Warren","given":"Charles R.","non-dropping-particle":"","parse-names":false,"suffix":""}],"container-title":"Journal of Experimental Botany","id":"ITEM-2","issue":"8","issued":{"date-parts":[["2009"]]},"page":"2249-2270","title":"Role of mesophyll diffusion conductance in constraining potential photosynthetic productivity in the field","type":"article-journal","volume":"60"},"uris":["http://www.mendeley.com/documents/?uuid=9fc9ba72-6119-4de4-9ca8-2dd3335e5ade"]}],"mendeley":{"formattedCitation":"(Niinemets, Díaz-Espejo, Flexas, Galmés, &amp; Warren, 2009; Niinemets, Flexas, &amp; Peñuelas, 2011)","manualFormatting":"(Niinemets et al., 2009, 2011)","plainTextFormattedCitation":"(Niinemets, Díaz-Espejo, Flexas, Galmés, &amp; Warren, 2009; Niinemets, Flexas, &amp; Peñuelas, 2011)","previouslyFormattedCitation":"(Niinemets, Díaz-Espejo, Flexas, Galmés, &amp; Warren, 2009; Niinemets, Flexas, &amp; Peñuelas, 2011)"},"properties":{"noteIndex":0},"schema":"https://github.com/citation-style-language/schema/raw/master/csl-citation.json"}</w:instrText>
      </w:r>
      <w:r w:rsidR="00C16111">
        <w:rPr>
          <w:rFonts w:cs="Times New Roman"/>
          <w:color w:val="000000" w:themeColor="text1"/>
          <w:lang w:val="en-GB"/>
        </w:rPr>
        <w:fldChar w:fldCharType="separate"/>
      </w:r>
      <w:r w:rsidR="002F53AE" w:rsidRPr="002F53AE">
        <w:rPr>
          <w:rFonts w:cs="Times New Roman"/>
          <w:noProof/>
          <w:color w:val="000000" w:themeColor="text1"/>
          <w:lang w:val="en-GB"/>
        </w:rPr>
        <w:t>(Niinemets</w:t>
      </w:r>
      <w:r w:rsidR="007F7101">
        <w:rPr>
          <w:rFonts w:cs="Times New Roman"/>
          <w:noProof/>
          <w:color w:val="000000" w:themeColor="text1"/>
          <w:lang w:val="en-GB"/>
        </w:rPr>
        <w:t xml:space="preserve"> et al.</w:t>
      </w:r>
      <w:r w:rsidR="002F53AE" w:rsidRPr="002F53AE">
        <w:rPr>
          <w:rFonts w:cs="Times New Roman"/>
          <w:noProof/>
          <w:color w:val="000000" w:themeColor="text1"/>
          <w:lang w:val="en-GB"/>
        </w:rPr>
        <w:t>, 2009, 2011)</w:t>
      </w:r>
      <w:r w:rsidR="00C16111">
        <w:rPr>
          <w:rFonts w:cs="Times New Roman"/>
          <w:color w:val="000000" w:themeColor="text1"/>
          <w:lang w:val="en-GB"/>
        </w:rPr>
        <w:fldChar w:fldCharType="end"/>
      </w:r>
      <w:r w:rsidR="00C16111">
        <w:rPr>
          <w:rFonts w:cs="Times New Roman"/>
          <w:color w:val="000000" w:themeColor="text1"/>
          <w:lang w:val="fr-FR"/>
        </w:rPr>
        <w:t>.</w:t>
      </w:r>
      <w:r w:rsidR="00BF1BFB">
        <w:rPr>
          <w:rFonts w:cs="Times New Roman"/>
          <w:color w:val="000000" w:themeColor="text1"/>
          <w:lang w:val="fr-FR"/>
        </w:rPr>
        <w:t xml:space="preserve"> The combined impacts of these phylogenetic differences on changes in </w:t>
      </w:r>
      <w:r w:rsidR="00056E30" w:rsidRPr="00BD2160">
        <w:rPr>
          <w:rFonts w:cs="Times New Roman"/>
          <w:i/>
        </w:rPr>
        <w:t>c</w:t>
      </w:r>
      <w:r w:rsidR="00056E30" w:rsidRPr="00BD2160">
        <w:rPr>
          <w:rFonts w:cs="Times New Roman"/>
          <w:vertAlign w:val="subscript"/>
        </w:rPr>
        <w:t>i</w:t>
      </w:r>
      <w:r w:rsidR="00056E30" w:rsidRPr="00BD2160">
        <w:rPr>
          <w:rFonts w:cs="Times New Roman"/>
        </w:rPr>
        <w:t>/</w:t>
      </w:r>
      <w:r w:rsidR="00056E30" w:rsidRPr="00BD2160">
        <w:rPr>
          <w:rFonts w:cs="Times New Roman"/>
          <w:i/>
        </w:rPr>
        <w:t>c</w:t>
      </w:r>
      <w:r w:rsidR="00056E30" w:rsidRPr="00BD2160">
        <w:rPr>
          <w:rFonts w:cs="Times New Roman"/>
          <w:vertAlign w:val="subscript"/>
        </w:rPr>
        <w:t>a</w:t>
      </w:r>
      <w:r w:rsidR="00BF1BFB">
        <w:rPr>
          <w:rFonts w:cs="Times New Roman"/>
          <w:color w:val="000000" w:themeColor="text1"/>
          <w:lang w:val="fr-FR"/>
        </w:rPr>
        <w:t xml:space="preserve"> </w:t>
      </w:r>
      <w:r w:rsidR="00B30645">
        <w:rPr>
          <w:rFonts w:cs="Times New Roman"/>
          <w:color w:val="000000" w:themeColor="text1"/>
          <w:lang w:val="fr-FR"/>
        </w:rPr>
        <w:t xml:space="preserve">and </w:t>
      </w:r>
      <w:r w:rsidR="006440FA" w:rsidRPr="00BD2160">
        <w:rPr>
          <w:rFonts w:cs="Times New Roman"/>
        </w:rPr>
        <w:t>iWUE</w:t>
      </w:r>
      <w:r w:rsidR="006440FA" w:rsidRPr="001B08EE">
        <w:rPr>
          <w:rFonts w:cs="Times New Roman"/>
          <w:vertAlign w:val="superscript"/>
        </w:rPr>
        <w:t>l</w:t>
      </w:r>
      <w:r w:rsidR="006440FA">
        <w:rPr>
          <w:rFonts w:cs="Times New Roman"/>
          <w:vertAlign w:val="superscript"/>
        </w:rPr>
        <w:t>eaf</w:t>
      </w:r>
      <w:r w:rsidR="00485067">
        <w:rPr>
          <w:rFonts w:cs="Times New Roman"/>
          <w:color w:val="000000" w:themeColor="text1"/>
          <w:lang w:val="fr-FR"/>
        </w:rPr>
        <w:t xml:space="preserve"> </w:t>
      </w:r>
      <w:r w:rsidR="00BF1BFB">
        <w:rPr>
          <w:rFonts w:cs="Times New Roman"/>
          <w:color w:val="000000" w:themeColor="text1"/>
          <w:lang w:val="fr-FR"/>
        </w:rPr>
        <w:t>are largely unknown.</w:t>
      </w:r>
    </w:p>
    <w:p w14:paraId="2ABAD691" w14:textId="628F8AEE" w:rsidR="00DE7F20" w:rsidRDefault="0093692B" w:rsidP="00D37E2B">
      <w:pPr>
        <w:pStyle w:val="Body"/>
        <w:spacing w:before="240" w:line="360" w:lineRule="auto"/>
        <w:jc w:val="both"/>
        <w:rPr>
          <w:rFonts w:cs="Times New Roman"/>
          <w:color w:val="000000" w:themeColor="text1"/>
          <w:lang w:val="fr-FR"/>
        </w:rPr>
      </w:pPr>
      <w:r>
        <w:rPr>
          <w:rFonts w:cs="Times New Roman"/>
          <w:color w:val="000000" w:themeColor="text1"/>
          <w:lang w:val="fr-FR"/>
        </w:rPr>
        <w:t>S</w:t>
      </w:r>
      <w:r w:rsidR="005D4730" w:rsidRPr="00BD2160">
        <w:rPr>
          <w:color w:val="000000" w:themeColor="text1"/>
        </w:rPr>
        <w:t xml:space="preserve">everal </w:t>
      </w:r>
      <w:r w:rsidR="00A308CC">
        <w:rPr>
          <w:color w:val="000000" w:themeColor="text1"/>
        </w:rPr>
        <w:t>tree-ring</w:t>
      </w:r>
      <w:r w:rsidR="005D4730">
        <w:rPr>
          <w:color w:val="000000" w:themeColor="text1"/>
        </w:rPr>
        <w:t xml:space="preserve"> </w:t>
      </w:r>
      <w:r w:rsidR="005D4730" w:rsidRPr="00BD2160">
        <w:rPr>
          <w:color w:val="000000" w:themeColor="text1"/>
        </w:rPr>
        <w:t xml:space="preserve">studies have shown stronger increases of </w:t>
      </w:r>
      <w:r w:rsidR="006440FA" w:rsidRPr="00BD2160">
        <w:rPr>
          <w:rFonts w:cs="Times New Roman"/>
        </w:rPr>
        <w:t>iWUE</w:t>
      </w:r>
      <w:r w:rsidR="006440FA" w:rsidRPr="001B08EE">
        <w:rPr>
          <w:rFonts w:cs="Times New Roman"/>
          <w:vertAlign w:val="superscript"/>
        </w:rPr>
        <w:t>l</w:t>
      </w:r>
      <w:r w:rsidR="006440FA">
        <w:rPr>
          <w:rFonts w:cs="Times New Roman"/>
          <w:vertAlign w:val="superscript"/>
        </w:rPr>
        <w:t>eaf</w:t>
      </w:r>
      <w:r w:rsidR="005D4730" w:rsidRPr="00BD2160">
        <w:rPr>
          <w:color w:val="000000" w:themeColor="text1"/>
        </w:rPr>
        <w:t xml:space="preserve"> in </w:t>
      </w:r>
      <w:r w:rsidR="00F2235D">
        <w:rPr>
          <w:color w:val="000000" w:themeColor="text1"/>
        </w:rPr>
        <w:t>evergre</w:t>
      </w:r>
      <w:r w:rsidR="00F12ACB">
        <w:rPr>
          <w:color w:val="000000" w:themeColor="text1"/>
        </w:rPr>
        <w:t>en needleleaf</w:t>
      </w:r>
      <w:r w:rsidR="00F356E1">
        <w:rPr>
          <w:color w:val="000000" w:themeColor="text1"/>
        </w:rPr>
        <w:t xml:space="preserve"> </w:t>
      </w:r>
      <w:r w:rsidR="00B22742">
        <w:rPr>
          <w:color w:val="000000" w:themeColor="text1"/>
        </w:rPr>
        <w:t xml:space="preserve">forests </w:t>
      </w:r>
      <w:r w:rsidR="00F356E1">
        <w:rPr>
          <w:color w:val="000000" w:themeColor="text1"/>
        </w:rPr>
        <w:t>(</w:t>
      </w:r>
      <w:r w:rsidR="00350F6F">
        <w:rPr>
          <w:color w:val="000000" w:themeColor="text1"/>
        </w:rPr>
        <w:t>EN</w:t>
      </w:r>
      <w:r w:rsidR="00AD5193">
        <w:rPr>
          <w:color w:val="000000" w:themeColor="text1"/>
        </w:rPr>
        <w:t>F</w:t>
      </w:r>
      <w:r w:rsidR="00F356E1">
        <w:rPr>
          <w:color w:val="000000" w:themeColor="text1"/>
        </w:rPr>
        <w:t>)</w:t>
      </w:r>
      <w:r w:rsidR="00BC678F">
        <w:rPr>
          <w:color w:val="000000" w:themeColor="text1"/>
        </w:rPr>
        <w:t xml:space="preserve"> </w:t>
      </w:r>
      <w:r w:rsidR="00CA4AB0">
        <w:rPr>
          <w:color w:val="000000" w:themeColor="text1"/>
        </w:rPr>
        <w:t xml:space="preserve">than in </w:t>
      </w:r>
      <w:r w:rsidR="00F12ACB">
        <w:rPr>
          <w:color w:val="000000" w:themeColor="text1"/>
        </w:rPr>
        <w:t xml:space="preserve">deciduous </w:t>
      </w:r>
      <w:r w:rsidR="00CA4AB0">
        <w:rPr>
          <w:color w:val="000000" w:themeColor="text1"/>
        </w:rPr>
        <w:t>broadlea</w:t>
      </w:r>
      <w:r w:rsidR="00003BE2">
        <w:rPr>
          <w:color w:val="000000" w:themeColor="text1"/>
        </w:rPr>
        <w:t>f</w:t>
      </w:r>
      <w:r w:rsidR="00CA4AB0">
        <w:rPr>
          <w:color w:val="000000" w:themeColor="text1"/>
        </w:rPr>
        <w:t xml:space="preserve"> </w:t>
      </w:r>
      <w:r w:rsidR="00B22742">
        <w:rPr>
          <w:color w:val="000000" w:themeColor="text1"/>
        </w:rPr>
        <w:t xml:space="preserve">forests </w:t>
      </w:r>
      <w:r w:rsidR="00CA4AB0">
        <w:rPr>
          <w:color w:val="000000" w:themeColor="text1"/>
        </w:rPr>
        <w:t xml:space="preserve">(DBF) </w:t>
      </w:r>
      <w:r w:rsidR="00BC678F" w:rsidRPr="00BD2160">
        <w:rPr>
          <w:color w:val="000000" w:themeColor="text1"/>
        </w:rPr>
        <w:fldChar w:fldCharType="begin" w:fldLock="1"/>
      </w:r>
      <w:r w:rsidR="00ED388C">
        <w:rPr>
          <w:color w:val="000000" w:themeColor="text1"/>
        </w:rPr>
        <w:instrText>ADDIN CSL_CITATION {"citationItems":[{"id":"ITEM-1","itemData":{"DOI":"10.1038/nclimate2614","ISBN":"1758-6798","ISSN":"1758-678X","abstract":"The Earth’s carbon and hydrologic cycles are intimately coupled by gas exchange through plant stomata. However, uncertainties in the magnitude and consequences of the physiological responses of plants to elevated CO2 in natural environments hinders modelling of terrestrial water cycling and carbon storage. Here we use annually resolved long-term δ13C tree-ring measurements across a European forest network to reconstruct the physiologically driven response of intercellular CO2 (Ci) caused by atmospheric CO2 (Ca) trends. When removing meteorological signals from the δ13C measurements, we find that trees across Europe regulated gas exchange so that for one ppmv atmospheric CO2 increase, Ci increased by ~0.76 ppmv, most consistent with moderate control towards a constant Ci/Ca ratio. This response corresponds to twentieth-century intrinsic water-use efficiency (iWUE) increases of 14 ± 10 and 22 ± 6% at broadleaf and coniferous sites, respectively. An ensemble of process-based global vegetation models shows similar CO2 effects on iWUE trends. Yet, when operating these models with climate drivers reintroduced, despite decreased stomatal opening, 5% increases in European forest transpiration are calculated over the twentieth century. This counterintuitive result arises from lengthened growing seasons, enhanced evaporative demand in a warming climate, and increased leaf area, which together oppose effects of CO2-induced stomatal closure. Our study questions changes to the hydrological cycle, such as reductions in transpiration and air humidity, hypothesized to result from plant responses to anthropogenic emissions.","author":[{"dropping-particle":"","family":"Frank","given":"D. C.","non-dropping-particle":"","parse-names":false,"suffix":""},{"dropping-particle":"","family":"Poulter","given":"B.","non-dropping-particle":"","parse-names":false,"suffix":""},{"dropping-particle":"","family":"Saurer","given":"M.","non-dropping-particle":"","parse-names":false,"suffix":""},{"dropping-particle":"","family":"Esper","given":"J.","non-dropping-particle":"","parse-names":false,"suffix":""},{"dropping-particle":"","family":"Huntingford","given":"C.","non-dropping-particle":"","parse-names":false,"suffix":""},{"dropping-particle":"","family":"Helle","given":"G.","non-dropping-particle":"","parse-names":false,"suffix":""},{"dropping-particle":"","family":"Treydte","given":"K.","non-dropping-particle":"","parse-names":false,"suffix":""},{"dropping-particle":"","family":"Zimmermann","given":"N. E.","non-dropping-particle":"","parse-names":false,"suffix":""},{"dropping-particle":"","family":"Schleser","given":"G. H.","non-dropping-particle":"","parse-names":false,"suffix":""},{"dropping-particle":"","family":"Ahlström","given":"A.","non-dropping-particle":"","parse-names":false,"suffix":""},{"dropping-particle":"","family":"Ciais","given":"P.","non-dropping-particle":"","parse-names":false,"suffix":""},{"dropping-particle":"","family":"Friedlingstein","given":"P.","non-dropping-particle":"","parse-names":false,"suffix":""},{"dropping-particle":"","family":"Levis","given":"S.","non-dropping-particle":"","parse-names":false,"suffix":""},{"dropping-particle":"","family":"Lomas","given":"M.","non-dropping-particle":"","parse-names":false,"suffix":""},{"dropping-particle":"","family":"Sitch","given":"S.","non-dropping-particle":"","parse-names":false,"suffix":""},{"dropping-particle":"","family":"Viovy","given":"N.","non-dropping-particle":"","parse-names":false,"suffix":""},{"dropping-particle":"","family":"Andreu-Hayles","given":"L.","non-dropping-particle":"","parse-names":false,"suffix":""},{"dropping-particle":"","family":"Bednarz","given":"Z.","non-dropping-particle":"","parse-names":false,"suffix":""},{"dropping-particle":"","family":"Berninger","given":"F.","non-dropping-particle":"","parse-names":false,"suffix":""},{"dropping-particle":"","family":"Boettger","given":"T.","non-dropping-particle":"","parse-names":false,"suffix":""},{"dropping-particle":"","family":"D'Alessandro","given":"C. M.","non-dropping-particle":"","parse-names":false,"suffix":""},{"dropping-particle":"","family":"Daux","given":"V.","non-dropping-particle":"","parse-names":false,"suffix":""},{"dropping-particle":"","family":"Filot","given":"M.","non-dropping-particle":"","parse-names":false,"suffix":""},{"dropping-particle":"","family":"Grabner","given":"M.","non-dropping-particle":"","parse-names":false,"suffix":""},{"dropping-particle":"","family":"Gutierrez","given":"E.","non-dropping-particle":"","parse-names":false,"suffix":""},{"dropping-particle":"","family":"Haupt","given":"M.","non-dropping-particle":"","parse-names":false,"suffix":""},{"dropping-particle":"","family":"Hilasvuori","given":"E.","non-dropping-particle":"","parse-names":false,"suffix":""},{"dropping-particle":"","family":"Jungner","given":"H.","non-dropping-particle":"","parse-names":false,"suffix":""},{"dropping-particle":"","family":"Kalela-Brundin","given":"M.","non-dropping-particle":"","parse-names":false,"suffix":""},{"dropping-particle":"","family":"Krapiec","given":"M.","non-dropping-particle":"","parse-names":false,"suffix":""},{"dropping-particle":"","family":"Leuenberger","given":"M.","non-dropping-particle":"","parse-names":false,"suffix":""},{"dropping-particle":"","family":"Loader","given":"N. J.","non-dropping-particle":"","parse-names":false,"suffix":""},{"dropping-particle":"","family":"Marah","given":"H.","non-dropping-particle":"","parse-names":false,"suffix":""},{"dropping-particle":"","family":"Masson-Delmotte","given":"V.","non-dropping-particle":"","parse-names":false,"suffix":""},{"dropping-particle":"","family":"Pazdur","given":"A.","non-dropping-particle":"","parse-names":false,"suffix":""},{"dropping-particle":"","family":"Pawelczyk","given":"S.","non-dropping-particle":"","parse-names":false,"suffix":""},{"dropping-particle":"","family":"Pierre","given":"M.","non-dropping-particle":"","parse-names":false,"suffix":""},{"dropping-particle":"","family":"Planells","given":"O.","non-dropping-particle":"","parse-names":false,"suffix":""},{"dropping-particle":"","family":"Pukiene","given":"R.","non-dropping-particle":"","parse-names":false,"suffix":""},{"dropping-particle":"","family":"Reynolds-Henne","given":"C. E.","non-dropping-particle":"","parse-names":false,"suffix":""},{"dropping-particle":"","family":"Rinne","given":"K. T.","non-dropping-particle":"","parse-names":false,"suffix":""},{"dropping-particle":"","family":"Saracino","given":"A.","non-dropping-particle":"","parse-names":false,"suffix":""},{"dropping-particle":"","family":"Sonninen","given":"E.","non-dropping-particle":"","parse-names":false,"suffix":""},{"dropping-particle":"","family":"Stievenard","given":"M.","non-dropping-particle":"","parse-names":false,"suffix":""},{"dropping-particle":"","family":"Switsur","given":"V. R.","non-dropping-particle":"","parse-names":false,"suffix":""},{"dropping-particle":"","family":"Szczepanek","given":"M.","non-dropping-particle":"","parse-names":false,"suffix":""},{"dropping-particle":"","family":"Szychowska-Krapiec","given":"E.","non-dropping-particle":"","parse-names":false,"suffix":""},{"dropping-particle":"","family":"Todaro","given":"L.","non-dropping-particle":"","parse-names":false,"suffix":""},{"dropping-particle":"","family":"Waterhouse","given":"J. S.","non-dropping-particle":"","parse-names":false,"suffix":""},{"dropping-particle":"","family":"Weigl","given":"M.","non-dropping-particle":"","parse-names":false,"suffix":""}],"container-title":"Nature Climate Change","id":"ITEM-1","issue":"6","issued":{"date-parts":[["2015"]]},"page":"579-583","title":"Water-use efficiency and transpiration across European forests during the Anthropocene","type":"article-journal","volume":"5"},"uris":["http://www.mendeley.com/documents/?uuid=ac469d75-cf10-4cf2-85ca-b5f93e6eab8e"]},{"id":"ITEM-2","itemData":{"DOI":"10.1111/j.1365-2486.2012.02757.x","ISBN":"1354-1013","ISSN":"13541013","PMID":"24501068","abstract":"The objective of this study is to globally assess the effects of atmospheric nitrogen deposition and climate, associated with rising levels of atmospheric CO2, on the variability of carbon isotope discrimination (D13C), and intrinsic wateruse efficiency (iWUE) of angiosperm and conifer tree species. Eighty-nine long-term isotope tree-ring chronologies, representing 23 conifer and 13 angiosperm species for 53 sites worldwide, were extracted from the literature, and used to obtain long-term time series of D13C and iWUE. D13C and iWUE were related to the increasing concentration of atmospheric CO2 over the industrial period (1850–2000) and to the variation of simulated atmospheric nitrogen deposition and climatic variables over the period 1950–2000. We applied generalized additive models and linear mixed-effects models to predict the effects of climatic variables and nitrogen deposition on D13C and iWUE. Results showed a declining D13C trend in the angiosperm and conifer species over the industrial period and a 16.1% increase of iWUE between 1850 and 2000, with no evidence that the increased rate was reduced at higher ambient CO2 values. The temporal variation in D13C supported the hypothesis of an active plant mechanism that maintains a constant ratio between intercellular and ambient CO2 concentrations. We defined linear mixed-effects models that were effective to describe the variation of D13C and iWUE as a function of a set of environmental predictors, alternatively including annual rate (Nrate) and long-term cumulative (Ncum) nitrogen deposition. No single climatic or atmospheric variable had a clearly predominant effect, however, D13C and iWUE showed complex dependent interactions between different covariates. A significant association of Nrate with iWUE and D13C was observed in conifers and in the angiosperms, and Ncum was the only independent term with a significant positive association with iWUE, although a multi-factorial control was evident in conifers.","author":[{"dropping-particle":"","family":"Leonardi","given":"Stefano","non-dropping-particle":"","parse-names":false,"suffix":""},{"dropping-particle":"","family":"Gentilesca","given":"Tiziana","non-dropping-particle":"","parse-names":false,"suffix":""},{"dropping-particle":"","family":"Guerrieri","given":"Rossella","non-dropping-particle":"","parse-names":false,"suffix":""},{"dropping-particle":"","family":"Ripullone","given":"Francesco","non-dropping-particle":"","parse-names":false,"suffix":""},{"dropping-particle":"","family":"Magnani","given":"Federico","non-dropping-particle":"","parse-names":false,"suffix":""},{"dropping-particle":"","family":"Mencuccini","given":"Maurizio","non-dropping-particle":"","parse-names":false,"suffix":""},{"dropping-particle":"V.","family":"Noije","given":"Twan","non-dropping-particle":"","parse-names":false,"suffix":""},{"dropping-particle":"","family":"Borghetti","given":"Marco","non-dropping-particle":"","parse-names":false,"suffix":""}],"container-title":"Global Change Biology","id":"ITEM-2","issue":"9","issued":{"date-parts":[["2012"]]},"page":"2925-2944","title":"Assessing the effects of nitrogen deposition and climate on carbon isotope discrimination and intrinsic water-use efficiency of angiosperm and conifer trees under rising CO2 conditions","type":"article-journal","volume":"18"},"uris":["http://www.mendeley.com/documents/?uuid=16c95210-ff87-4bac-a230-2f78beae1ae6"]},{"id":"ITEM-3","itemData":{"DOI":"10.1016/j.epsl.2016.11.045","ISSN":"0012821X","abstract":"© 2016 Elsevier B.V. Very few studies of stable isotopes exist across the Andes in South America. This study is the first presenting annually resolved chronologies of both δ 18 O and δ 13 C in Nothofagus pumilio and Fitzroya cupressoides trees from Northern Patagonia. Interannual variability in δ 18 O and δ 13 C was assessed over the period 1952–2011. Based on these chronologies, we determined the primary climatic controls on stable isotopes and tree physiological responses to changes in atmospheric CO 2 concentrations (c a ), temperature and humidity. Changes in specific intrinsic water use efficiency (iWUE) were inferred from variations in δ 13 C whereas the effects of CO 2 increase on stomatal conductance were explored using δ 18 O. Over the 60-year period, iWUE increased significantly (by ca. 25%) in coincidence with the rise of c a . The two species appear to have different strategies of gas-exchange. Whereas iWUE variations were likely driven by both stomatal conductance and photosynthetic assimilation rates in F. cupressoides, they were largely related to stomatal conductance in N. pumilio. After removing the low-frequency trends related to increasing c a , significant relationships between δ 13 C and summer temperatures were recorded for both species. However, δ 13 C variations in F. cupressoides were more strongly influenced by summer temperatures than in N. pumilio. Our results advocate for an indirect effect of summer temperatures on stable isotope ratios, which is mostly influenced by sunlight radiation in F. cupressoides and relative humidity/soil moisture in N. pumilio. δ 13 C variations in F. cupressoides were spatially correlated to a large area south of 35°S in southern South America. These promising results encourage the use of δ 13 C variations in F. cupressoides for reconstructing past variations in temperature and large-scale circulation indexes such as the Southern Annular Mode (SAM) in the Southern Hemisphere.","author":[{"dropping-particle":"","family":"Lavergne","given":"Aliénor","non-dropping-particle":"","parse-names":false,"suffix":""},{"dropping-particle":"","family":"Daux","given":"Valérie","non-dropping-particle":"","parse-names":false,"suffix":""},{"dropping-particle":"","family":"Villalba","given":"Ricardo","non-dropping-particle":"","parse-names":false,"suffix":""},{"dropping-particle":"","family":"Pierre","given":"Monique","non-dropping-particle":"","parse-names":false,"suffix":""},{"dropping-particle":"","family":"Stievenard","given":"Michel","non-dropping-particle":"","parse-names":false,"suffix":""},{"dropping-particle":"","family":"Srur","given":"Ana Marina A.M.","non-dropping-particle":"","parse-names":false,"suffix":""}],"container-title":"Earth and Planetary Science Letters","id":"ITEM-3","issued":{"date-parts":[["2017","2"]]},"page":"372-380","publisher":"Elsevier B.V.","title":"Improvement of isotope-based climate reconstructions in Patagonia through a better understanding of climate influences on isotopic fractionation in tree rings","type":"article-journal","volume":"459"},"uris":["http://www.mendeley.com/documents/?uuid=f19ebff6-bba0-4078-b1a1-ba8a2fcb4177"]}],"mendeley":{"formattedCitation":"(Frank et al., 2015; Lavergne et al., 2017; Leonardi et al., 2012)","plainTextFormattedCitation":"(Frank et al., 2015; Lavergne et al., 2017; Leonardi et al., 2012)","previouslyFormattedCitation":"(Frank et al., 2015; Lavergne et al., 2017; Leonardi et al., 2012)"},"properties":{"noteIndex":0},"schema":"https://github.com/citation-style-language/schema/raw/master/csl-citation.json"}</w:instrText>
      </w:r>
      <w:r w:rsidR="00BC678F" w:rsidRPr="00BD2160">
        <w:rPr>
          <w:color w:val="000000" w:themeColor="text1"/>
        </w:rPr>
        <w:fldChar w:fldCharType="separate"/>
      </w:r>
      <w:r w:rsidR="00BC678F" w:rsidRPr="00BC678F">
        <w:rPr>
          <w:noProof/>
          <w:color w:val="000000" w:themeColor="text1"/>
        </w:rPr>
        <w:t>(Frank et al., 2015; Lavergne et al., 2017; Leonardi et al., 2012)</w:t>
      </w:r>
      <w:r w:rsidR="00BC678F" w:rsidRPr="00BD2160">
        <w:rPr>
          <w:color w:val="000000" w:themeColor="text1"/>
        </w:rPr>
        <w:fldChar w:fldCharType="end"/>
      </w:r>
      <w:r w:rsidR="005B79AF">
        <w:rPr>
          <w:color w:val="000000" w:themeColor="text1"/>
        </w:rPr>
        <w:t xml:space="preserve">. In </w:t>
      </w:r>
      <w:r w:rsidR="00003BE2">
        <w:rPr>
          <w:color w:val="000000" w:themeColor="text1"/>
        </w:rPr>
        <w:t xml:space="preserve">particular, </w:t>
      </w:r>
      <w:r w:rsidR="005B79AF">
        <w:rPr>
          <w:color w:val="000000" w:themeColor="text1"/>
        </w:rPr>
        <w:fldChar w:fldCharType="begin" w:fldLock="1"/>
      </w:r>
      <w:r w:rsidR="00266D24">
        <w:rPr>
          <w:color w:val="000000" w:themeColor="text1"/>
        </w:rPr>
        <w:instrText>ADDIN CSL_CITATION {"citationItems":[{"id":"ITEM-1","itemData":{"DOI":"10.1038/nclimate2614","ISBN":"1758-6798","ISSN":"1758-678X","abstract":"The Earth’s carbon and hydrologic cycles are intimately coupled by gas exchange through plant stomata. However, uncertainties in the magnitude and consequences of the physiological responses of plants to elevated CO2 in natural environments hinders modelling of terrestrial water cycling and carbon storage. Here we use annually resolved long-term δ13C tree-ring measurements across a European forest network to reconstruct the physiologically driven response of intercellular CO2 (Ci) caused by atmospheric CO2 (Ca) trends. When removing meteorological signals from the δ13C measurements, we find that trees across Europe regulated gas exchange so that for one ppmv atmospheric CO2 increase, Ci increased by ~0.76 ppmv, most consistent with moderate control towards a constant Ci/Ca ratio. This response corresponds to twentieth-century intrinsic water-use efficiency (iWUE) increases of 14 ± 10 and 22 ± 6% at broadleaf and coniferous sites, respectively. An ensemble of process-based global vegetation models shows similar CO2 effects on iWUE trends. Yet, when operating these models with climate drivers reintroduced, despite decreased stomatal opening, 5% increases in European forest transpiration are calculated over the twentieth century. This counterintuitive result arises from lengthened growing seasons, enhanced evaporative demand in a warming climate, and increased leaf area, which together oppose effects of CO2-induced stomatal closure. Our study questions changes to the hydrological cycle, such as reductions in transpiration and air humidity, hypothesized to result from plant responses to anthropogenic emissions.","author":[{"dropping-particle":"","family":"Frank","given":"D. C.","non-dropping-particle":"","parse-names":false,"suffix":""},{"dropping-particle":"","family":"Poulter","given":"B.","non-dropping-particle":"","parse-names":false,"suffix":""},{"dropping-particle":"","family":"Saurer","given":"M.","non-dropping-particle":"","parse-names":false,"suffix":""},{"dropping-particle":"","family":"Esper","given":"J.","non-dropping-particle":"","parse-names":false,"suffix":""},{"dropping-particle":"","family":"Huntingford","given":"C.","non-dropping-particle":"","parse-names":false,"suffix":""},{"dropping-particle":"","family":"Helle","given":"G.","non-dropping-particle":"","parse-names":false,"suffix":""},{"dropping-particle":"","family":"Treydte","given":"K.","non-dropping-particle":"","parse-names":false,"suffix":""},{"dropping-particle":"","family":"Zimmermann","given":"N. E.","non-dropping-particle":"","parse-names":false,"suffix":""},{"dropping-particle":"","family":"Schleser","given":"G. H.","non-dropping-particle":"","parse-names":false,"suffix":""},{"dropping-particle":"","family":"Ahlström","given":"A.","non-dropping-particle":"","parse-names":false,"suffix":""},{"dropping-particle":"","family":"Ciais","given":"P.","non-dropping-particle":"","parse-names":false,"suffix":""},{"dropping-particle":"","family":"Friedlingstein","given":"P.","non-dropping-particle":"","parse-names":false,"suffix":""},{"dropping-particle":"","family":"Levis","given":"S.","non-dropping-particle":"","parse-names":false,"suffix":""},{"dropping-particle":"","family":"Lomas","given":"M.","non-dropping-particle":"","parse-names":false,"suffix":""},{"dropping-particle":"","family":"Sitch","given":"S.","non-dropping-particle":"","parse-names":false,"suffix":""},{"dropping-particle":"","family":"Viovy","given":"N.","non-dropping-particle":"","parse-names":false,"suffix":""},{"dropping-particle":"","family":"Andreu-Hayles","given":"L.","non-dropping-particle":"","parse-names":false,"suffix":""},{"dropping-particle":"","family":"Bednarz","given":"Z.","non-dropping-particle":"","parse-names":false,"suffix":""},{"dropping-particle":"","family":"Berninger","given":"F.","non-dropping-particle":"","parse-names":false,"suffix":""},{"dropping-particle":"","family":"Boettger","given":"T.","non-dropping-particle":"","parse-names":false,"suffix":""},{"dropping-particle":"","family":"D'Alessandro","given":"C. M.","non-dropping-particle":"","parse-names":false,"suffix":""},{"dropping-particle":"","family":"Daux","given":"V.","non-dropping-particle":"","parse-names":false,"suffix":""},{"dropping-particle":"","family":"Filot","given":"M.","non-dropping-particle":"","parse-names":false,"suffix":""},{"dropping-particle":"","family":"Grabner","given":"M.","non-dropping-particle":"","parse-names":false,"suffix":""},{"dropping-particle":"","family":"Gutierrez","given":"E.","non-dropping-particle":"","parse-names":false,"suffix":""},{"dropping-particle":"","family":"Haupt","given":"M.","non-dropping-particle":"","parse-names":false,"suffix":""},{"dropping-particle":"","family":"Hilasvuori","given":"E.","non-dropping-particle":"","parse-names":false,"suffix":""},{"dropping-particle":"","family":"Jungner","given":"H.","non-dropping-particle":"","parse-names":false,"suffix":""},{"dropping-particle":"","family":"Kalela-Brundin","given":"M.","non-dropping-particle":"","parse-names":false,"suffix":""},{"dropping-particle":"","family":"Krapiec","given":"M.","non-dropping-particle":"","parse-names":false,"suffix":""},{"dropping-particle":"","family":"Leuenberger","given":"M.","non-dropping-particle":"","parse-names":false,"suffix":""},{"dropping-particle":"","family":"Loader","given":"N. J.","non-dropping-particle":"","parse-names":false,"suffix":""},{"dropping-particle":"","family":"Marah","given":"H.","non-dropping-particle":"","parse-names":false,"suffix":""},{"dropping-particle":"","family":"Masson-Delmotte","given":"V.","non-dropping-particle":"","parse-names":false,"suffix":""},{"dropping-particle":"","family":"Pazdur","given":"A.","non-dropping-particle":"","parse-names":false,"suffix":""},{"dropping-particle":"","family":"Pawelczyk","given":"S.","non-dropping-particle":"","parse-names":false,"suffix":""},{"dropping-particle":"","family":"Pierre","given":"M.","non-dropping-particle":"","parse-names":false,"suffix":""},{"dropping-particle":"","family":"Planells","given":"O.","non-dropping-particle":"","parse-names":false,"suffix":""},{"dropping-particle":"","family":"Pukiene","given":"R.","non-dropping-particle":"","parse-names":false,"suffix":""},{"dropping-particle":"","family":"Reynolds-Henne","given":"C. E.","non-dropping-particle":"","parse-names":false,"suffix":""},{"dropping-particle":"","family":"Rinne","given":"K. T.","non-dropping-particle":"","parse-names":false,"suffix":""},{"dropping-particle":"","family":"Saracino","given":"A.","non-dropping-particle":"","parse-names":false,"suffix":""},{"dropping-particle":"","family":"Sonninen","given":"E.","non-dropping-particle":"","parse-names":false,"suffix":""},{"dropping-particle":"","family":"Stievenard","given":"M.","non-dropping-particle":"","parse-names":false,"suffix":""},{"dropping-particle":"","family":"Switsur","given":"V. R.","non-dropping-particle":"","parse-names":false,"suffix":""},{"dropping-particle":"","family":"Szczepanek","given":"M.","non-dropping-particle":"","parse-names":false,"suffix":""},{"dropping-particle":"","family":"Szychowska-Krapiec","given":"E.","non-dropping-particle":"","parse-names":false,"suffix":""},{"dropping-particle":"","family":"Todaro","given":"L.","non-dropping-particle":"","parse-names":false,"suffix":""},{"dropping-particle":"","family":"Waterhouse","given":"J. S.","non-dropping-particle":"","parse-names":false,"suffix":""},{"dropping-particle":"","family":"Weigl","given":"M.","non-dropping-particle":"","parse-names":false,"suffix":""}],"container-title":"Nature Climate Change","id":"ITEM-1","issue":"6","issued":{"date-parts":[["2015"]]},"page":"579-583","title":"Water-use efficiency and transpiration across European forests during the Anthropocene","type":"article-journal","volume":"5"},"uris":["http://www.mendeley.com/documents/?uuid=ac469d75-cf10-4cf2-85ca-b5f93e6eab8e"]}],"mendeley":{"formattedCitation":"(Frank et al., 2015)","manualFormatting":"Frank et al. (2015)","plainTextFormattedCitation":"(Frank et al., 2015)","previouslyFormattedCitation":"(Frank et al., 2015)"},"properties":{"noteIndex":0},"schema":"https://github.com/citation-style-language/schema/raw/master/csl-citation.json"}</w:instrText>
      </w:r>
      <w:r w:rsidR="005B79AF">
        <w:rPr>
          <w:color w:val="000000" w:themeColor="text1"/>
        </w:rPr>
        <w:fldChar w:fldCharType="separate"/>
      </w:r>
      <w:r w:rsidR="005B79AF" w:rsidRPr="00F356E1">
        <w:rPr>
          <w:noProof/>
          <w:color w:val="000000" w:themeColor="text1"/>
        </w:rPr>
        <w:t xml:space="preserve">Frank et al. </w:t>
      </w:r>
      <w:r w:rsidR="00F61077" w:rsidRPr="00F356E1">
        <w:rPr>
          <w:noProof/>
          <w:color w:val="000000" w:themeColor="text1"/>
        </w:rPr>
        <w:t>(</w:t>
      </w:r>
      <w:r w:rsidR="005B79AF" w:rsidRPr="00F356E1">
        <w:rPr>
          <w:noProof/>
          <w:color w:val="000000" w:themeColor="text1"/>
        </w:rPr>
        <w:t>2015)</w:t>
      </w:r>
      <w:r w:rsidR="005B79AF">
        <w:rPr>
          <w:color w:val="000000" w:themeColor="text1"/>
        </w:rPr>
        <w:fldChar w:fldCharType="end"/>
      </w:r>
      <w:r w:rsidR="005B79AF">
        <w:rPr>
          <w:color w:val="000000" w:themeColor="text1"/>
        </w:rPr>
        <w:t xml:space="preserve"> </w:t>
      </w:r>
      <w:r w:rsidR="00136B2A">
        <w:rPr>
          <w:color w:val="000000" w:themeColor="text1"/>
        </w:rPr>
        <w:t>detecte</w:t>
      </w:r>
      <w:r w:rsidR="00432A95">
        <w:rPr>
          <w:color w:val="000000" w:themeColor="text1"/>
        </w:rPr>
        <w:t>d</w:t>
      </w:r>
      <w:r w:rsidR="00F356E1">
        <w:rPr>
          <w:color w:val="000000" w:themeColor="text1"/>
        </w:rPr>
        <w:t xml:space="preserve"> </w:t>
      </w:r>
      <w:r w:rsidR="006440FA" w:rsidRPr="00BD2160">
        <w:rPr>
          <w:rFonts w:cs="Times New Roman"/>
        </w:rPr>
        <w:t>iWUE</w:t>
      </w:r>
      <w:r w:rsidR="006440FA" w:rsidRPr="001B08EE">
        <w:rPr>
          <w:rFonts w:cs="Times New Roman"/>
          <w:vertAlign w:val="superscript"/>
        </w:rPr>
        <w:t>l</w:t>
      </w:r>
      <w:r w:rsidR="006440FA">
        <w:rPr>
          <w:rFonts w:cs="Times New Roman"/>
          <w:vertAlign w:val="superscript"/>
        </w:rPr>
        <w:t>eaf</w:t>
      </w:r>
      <w:r w:rsidR="00680578">
        <w:rPr>
          <w:color w:val="000000" w:themeColor="text1"/>
        </w:rPr>
        <w:t xml:space="preserve"> </w:t>
      </w:r>
      <w:r w:rsidR="00F356E1">
        <w:rPr>
          <w:color w:val="000000" w:themeColor="text1"/>
        </w:rPr>
        <w:t>increase</w:t>
      </w:r>
      <w:r w:rsidR="00136B2A">
        <w:rPr>
          <w:color w:val="000000" w:themeColor="text1"/>
        </w:rPr>
        <w:t xml:space="preserve">s </w:t>
      </w:r>
      <w:r w:rsidR="00F356E1">
        <w:rPr>
          <w:color w:val="000000" w:themeColor="text1"/>
        </w:rPr>
        <w:t xml:space="preserve">of </w:t>
      </w:r>
      <w:r w:rsidR="00A44A0F">
        <w:rPr>
          <w:color w:val="000000" w:themeColor="text1"/>
        </w:rPr>
        <w:t xml:space="preserve">0.22 </w:t>
      </w:r>
      <w:r w:rsidR="00A44A0F">
        <w:rPr>
          <w:color w:val="000000" w:themeColor="text1"/>
        </w:rPr>
        <w:sym w:font="Symbol" w:char="F0B1"/>
      </w:r>
      <w:r w:rsidR="00A44A0F">
        <w:rPr>
          <w:color w:val="000000" w:themeColor="text1"/>
        </w:rPr>
        <w:t xml:space="preserve"> 0.06% yr</w:t>
      </w:r>
      <w:r w:rsidR="00A44A0F" w:rsidRPr="006E2F7C">
        <w:rPr>
          <w:color w:val="000000" w:themeColor="text1"/>
          <w:vertAlign w:val="superscript"/>
        </w:rPr>
        <w:t>-1</w:t>
      </w:r>
      <w:r w:rsidR="00A44A0F">
        <w:rPr>
          <w:color w:val="000000" w:themeColor="text1"/>
        </w:rPr>
        <w:t xml:space="preserve"> </w:t>
      </w:r>
      <w:r w:rsidR="003775FB">
        <w:rPr>
          <w:color w:val="000000" w:themeColor="text1"/>
        </w:rPr>
        <w:t>over the 20</w:t>
      </w:r>
      <w:r w:rsidR="003775FB" w:rsidRPr="002D4228">
        <w:rPr>
          <w:color w:val="000000" w:themeColor="text1"/>
          <w:vertAlign w:val="superscript"/>
        </w:rPr>
        <w:t>th</w:t>
      </w:r>
      <w:r w:rsidR="003775FB">
        <w:rPr>
          <w:color w:val="000000" w:themeColor="text1"/>
        </w:rPr>
        <w:t xml:space="preserve"> century </w:t>
      </w:r>
      <w:r w:rsidR="00432A95">
        <w:rPr>
          <w:color w:val="000000" w:themeColor="text1"/>
        </w:rPr>
        <w:t xml:space="preserve">for </w:t>
      </w:r>
      <w:r w:rsidR="00A44A0F">
        <w:rPr>
          <w:color w:val="000000" w:themeColor="text1"/>
        </w:rPr>
        <w:t xml:space="preserve">14 ENF </w:t>
      </w:r>
      <w:r w:rsidR="00136B2A">
        <w:rPr>
          <w:color w:val="000000" w:themeColor="text1"/>
        </w:rPr>
        <w:t>sites</w:t>
      </w:r>
      <w:r w:rsidR="00003BE2">
        <w:rPr>
          <w:color w:val="000000" w:themeColor="text1"/>
        </w:rPr>
        <w:t xml:space="preserve"> in European forests</w:t>
      </w:r>
      <w:r w:rsidR="00136B2A">
        <w:rPr>
          <w:color w:val="000000" w:themeColor="text1"/>
        </w:rPr>
        <w:t xml:space="preserve">, </w:t>
      </w:r>
      <w:r w:rsidR="00003BE2">
        <w:rPr>
          <w:color w:val="000000" w:themeColor="text1"/>
        </w:rPr>
        <w:t>which</w:t>
      </w:r>
      <w:r w:rsidR="00136B2A">
        <w:rPr>
          <w:color w:val="000000" w:themeColor="text1"/>
        </w:rPr>
        <w:t xml:space="preserve"> is</w:t>
      </w:r>
      <w:r w:rsidR="007450D4">
        <w:rPr>
          <w:color w:val="000000" w:themeColor="text1"/>
        </w:rPr>
        <w:t xml:space="preserve"> consistent with</w:t>
      </w:r>
      <w:r w:rsidR="00432A95">
        <w:rPr>
          <w:color w:val="000000" w:themeColor="text1"/>
        </w:rPr>
        <w:t xml:space="preserve"> </w:t>
      </w:r>
      <w:r w:rsidR="007450D4">
        <w:rPr>
          <w:color w:val="000000" w:themeColor="text1"/>
        </w:rPr>
        <w:t xml:space="preserve">a </w:t>
      </w:r>
      <w:r w:rsidR="007450D4" w:rsidRPr="00BD2160">
        <w:rPr>
          <w:rFonts w:cs="Times New Roman"/>
        </w:rPr>
        <w:t xml:space="preserve">constant </w:t>
      </w:r>
      <w:r w:rsidR="007450D4" w:rsidRPr="00BD2160">
        <w:rPr>
          <w:rFonts w:cs="Times New Roman"/>
          <w:i/>
        </w:rPr>
        <w:t>c</w:t>
      </w:r>
      <w:r w:rsidR="007450D4" w:rsidRPr="00BD2160">
        <w:rPr>
          <w:rFonts w:cs="Times New Roman"/>
          <w:vertAlign w:val="subscript"/>
        </w:rPr>
        <w:t>i</w:t>
      </w:r>
      <w:r w:rsidR="007450D4" w:rsidRPr="00BD2160">
        <w:rPr>
          <w:rFonts w:cs="Times New Roman"/>
        </w:rPr>
        <w:t>/</w:t>
      </w:r>
      <w:r w:rsidR="007450D4" w:rsidRPr="00BD2160">
        <w:rPr>
          <w:rFonts w:cs="Times New Roman"/>
          <w:i/>
        </w:rPr>
        <w:t>c</w:t>
      </w:r>
      <w:r w:rsidR="007450D4" w:rsidRPr="00BD2160">
        <w:rPr>
          <w:rFonts w:cs="Times New Roman"/>
          <w:vertAlign w:val="subscript"/>
        </w:rPr>
        <w:t>a</w:t>
      </w:r>
      <w:r w:rsidR="007450D4">
        <w:rPr>
          <w:rFonts w:cs="Times New Roman"/>
          <w:vertAlign w:val="subscript"/>
        </w:rPr>
        <w:t xml:space="preserve"> </w:t>
      </w:r>
      <w:r w:rsidR="007450D4" w:rsidRPr="00D42A13">
        <w:rPr>
          <w:rFonts w:cs="Times New Roman"/>
        </w:rPr>
        <w:t>strategy</w:t>
      </w:r>
      <w:r w:rsidR="007450D4">
        <w:rPr>
          <w:rFonts w:cs="Times New Roman"/>
        </w:rPr>
        <w:t xml:space="preserve">, </w:t>
      </w:r>
      <w:r w:rsidR="007450D4">
        <w:rPr>
          <w:color w:val="000000" w:themeColor="text1"/>
        </w:rPr>
        <w:t xml:space="preserve">but </w:t>
      </w:r>
      <w:r w:rsidR="00A06989">
        <w:rPr>
          <w:color w:val="000000" w:themeColor="text1"/>
        </w:rPr>
        <w:t xml:space="preserve">smaller </w:t>
      </w:r>
      <w:r w:rsidR="007450D4">
        <w:rPr>
          <w:color w:val="000000" w:themeColor="text1"/>
        </w:rPr>
        <w:t>increases of</w:t>
      </w:r>
      <w:r w:rsidR="00F356E1">
        <w:rPr>
          <w:color w:val="000000" w:themeColor="text1"/>
        </w:rPr>
        <w:t xml:space="preserve"> </w:t>
      </w:r>
      <w:r w:rsidR="006440FA" w:rsidRPr="00BD2160">
        <w:rPr>
          <w:rFonts w:cs="Times New Roman"/>
        </w:rPr>
        <w:t>iWUE</w:t>
      </w:r>
      <w:r w:rsidR="006440FA" w:rsidRPr="001B08EE">
        <w:rPr>
          <w:rFonts w:cs="Times New Roman"/>
          <w:vertAlign w:val="superscript"/>
        </w:rPr>
        <w:t>l</w:t>
      </w:r>
      <w:r w:rsidR="006440FA">
        <w:rPr>
          <w:rFonts w:cs="Times New Roman"/>
          <w:vertAlign w:val="superscript"/>
        </w:rPr>
        <w:t>eaf</w:t>
      </w:r>
      <w:r w:rsidR="00702299">
        <w:rPr>
          <w:color w:val="000000" w:themeColor="text1"/>
        </w:rPr>
        <w:t xml:space="preserve"> in the magnitude of </w:t>
      </w:r>
      <w:r w:rsidR="00A44A0F">
        <w:rPr>
          <w:color w:val="000000" w:themeColor="text1"/>
        </w:rPr>
        <w:t xml:space="preserve">0.14 </w:t>
      </w:r>
      <w:r w:rsidR="00A44A0F">
        <w:rPr>
          <w:color w:val="000000" w:themeColor="text1"/>
        </w:rPr>
        <w:sym w:font="Symbol" w:char="F0B1"/>
      </w:r>
      <w:r w:rsidR="00A44A0F">
        <w:rPr>
          <w:color w:val="000000" w:themeColor="text1"/>
        </w:rPr>
        <w:t xml:space="preserve"> 0.1% yr</w:t>
      </w:r>
      <w:r w:rsidR="00A44A0F" w:rsidRPr="006E2F7C">
        <w:rPr>
          <w:color w:val="000000" w:themeColor="text1"/>
          <w:vertAlign w:val="superscript"/>
        </w:rPr>
        <w:t>-1</w:t>
      </w:r>
      <w:r w:rsidR="00A44A0F">
        <w:rPr>
          <w:color w:val="000000" w:themeColor="text1"/>
        </w:rPr>
        <w:t xml:space="preserve"> </w:t>
      </w:r>
      <w:r w:rsidR="00432A95">
        <w:rPr>
          <w:color w:val="000000" w:themeColor="text1"/>
        </w:rPr>
        <w:t xml:space="preserve">for </w:t>
      </w:r>
      <w:r w:rsidR="00A44A0F">
        <w:rPr>
          <w:color w:val="000000" w:themeColor="text1"/>
        </w:rPr>
        <w:t xml:space="preserve">9 </w:t>
      </w:r>
      <w:r w:rsidR="00A06989">
        <w:rPr>
          <w:color w:val="000000" w:themeColor="text1"/>
        </w:rPr>
        <w:t xml:space="preserve">European </w:t>
      </w:r>
      <w:r w:rsidR="00A44A0F">
        <w:rPr>
          <w:color w:val="000000" w:themeColor="text1"/>
        </w:rPr>
        <w:t xml:space="preserve">DBF </w:t>
      </w:r>
      <w:r w:rsidR="00136B2A">
        <w:rPr>
          <w:color w:val="000000" w:themeColor="text1"/>
        </w:rPr>
        <w:t>sites</w:t>
      </w:r>
      <w:r w:rsidR="00A06989">
        <w:rPr>
          <w:color w:val="000000" w:themeColor="text1"/>
        </w:rPr>
        <w:t xml:space="preserve">, </w:t>
      </w:r>
      <w:r w:rsidR="00716A31">
        <w:rPr>
          <w:color w:val="000000" w:themeColor="text1"/>
        </w:rPr>
        <w:t>more consistent with</w:t>
      </w:r>
      <w:r w:rsidR="007450D4">
        <w:rPr>
          <w:color w:val="000000" w:themeColor="text1"/>
        </w:rPr>
        <w:t xml:space="preserve"> an</w:t>
      </w:r>
      <w:r w:rsidR="008F4E68">
        <w:rPr>
          <w:rFonts w:cs="Times New Roman"/>
        </w:rPr>
        <w:t xml:space="preserve"> intermediate </w:t>
      </w:r>
      <w:r w:rsidR="00C946EA">
        <w:rPr>
          <w:rFonts w:cs="Times New Roman"/>
        </w:rPr>
        <w:t>scenario</w:t>
      </w:r>
      <w:r w:rsidR="007450D4">
        <w:rPr>
          <w:rFonts w:cs="Times New Roman"/>
        </w:rPr>
        <w:t xml:space="preserve"> </w:t>
      </w:r>
      <w:r w:rsidR="008F4E68">
        <w:rPr>
          <w:rFonts w:cs="Times New Roman"/>
        </w:rPr>
        <w:t xml:space="preserve">between </w:t>
      </w:r>
      <w:r w:rsidR="008F4E68" w:rsidRPr="00BD2160">
        <w:rPr>
          <w:rFonts w:cs="Times New Roman"/>
        </w:rPr>
        <w:t xml:space="preserve">constant </w:t>
      </w:r>
      <w:r w:rsidR="008F4E68" w:rsidRPr="00BD2160">
        <w:rPr>
          <w:rFonts w:cs="Times New Roman"/>
          <w:i/>
        </w:rPr>
        <w:t>c</w:t>
      </w:r>
      <w:r w:rsidR="008F4E68" w:rsidRPr="00BD2160">
        <w:rPr>
          <w:rFonts w:cs="Times New Roman"/>
          <w:vertAlign w:val="subscript"/>
        </w:rPr>
        <w:t>a</w:t>
      </w:r>
      <w:r w:rsidR="008F4E68" w:rsidRPr="00BD2160">
        <w:rPr>
          <w:rFonts w:cs="Times New Roman"/>
        </w:rPr>
        <w:t xml:space="preserve"> – </w:t>
      </w:r>
      <w:r w:rsidR="008F4E68" w:rsidRPr="00BD2160">
        <w:rPr>
          <w:rFonts w:cs="Times New Roman"/>
          <w:i/>
        </w:rPr>
        <w:t>c</w:t>
      </w:r>
      <w:r w:rsidR="008F4E68" w:rsidRPr="00BD2160">
        <w:rPr>
          <w:rFonts w:cs="Times New Roman"/>
          <w:vertAlign w:val="subscript"/>
        </w:rPr>
        <w:t>i</w:t>
      </w:r>
      <w:r w:rsidR="008F4E68" w:rsidRPr="00BD2160">
        <w:rPr>
          <w:rFonts w:cs="Times New Roman"/>
        </w:rPr>
        <w:t xml:space="preserve"> and constant </w:t>
      </w:r>
      <w:r w:rsidR="008F4E68" w:rsidRPr="00BD2160">
        <w:rPr>
          <w:rFonts w:cs="Times New Roman"/>
          <w:i/>
        </w:rPr>
        <w:t>c</w:t>
      </w:r>
      <w:r w:rsidR="008F4E68" w:rsidRPr="00BD2160">
        <w:rPr>
          <w:rFonts w:cs="Times New Roman"/>
          <w:vertAlign w:val="subscript"/>
        </w:rPr>
        <w:t>i</w:t>
      </w:r>
      <w:r w:rsidR="008F4E68" w:rsidRPr="00BD2160">
        <w:rPr>
          <w:rFonts w:cs="Times New Roman"/>
        </w:rPr>
        <w:t>/</w:t>
      </w:r>
      <w:r w:rsidR="008F4E68" w:rsidRPr="00BD2160">
        <w:rPr>
          <w:rFonts w:cs="Times New Roman"/>
          <w:i/>
        </w:rPr>
        <w:t>c</w:t>
      </w:r>
      <w:r w:rsidR="008F4E68" w:rsidRPr="00BD2160">
        <w:rPr>
          <w:rFonts w:cs="Times New Roman"/>
          <w:vertAlign w:val="subscript"/>
        </w:rPr>
        <w:t>a</w:t>
      </w:r>
      <w:r w:rsidR="008F4E68">
        <w:rPr>
          <w:rFonts w:cs="Times New Roman"/>
        </w:rPr>
        <w:t xml:space="preserve">. </w:t>
      </w:r>
      <w:r w:rsidR="00DD029F">
        <w:rPr>
          <w:rFonts w:cs="Times New Roman"/>
        </w:rPr>
        <w:t>However</w:t>
      </w:r>
      <w:r w:rsidR="00686101">
        <w:rPr>
          <w:rFonts w:cs="Times New Roman"/>
        </w:rPr>
        <w:t>,</w:t>
      </w:r>
      <w:r w:rsidR="002E5FAB">
        <w:rPr>
          <w:rFonts w:cs="Times New Roman"/>
        </w:rPr>
        <w:t xml:space="preserve"> </w:t>
      </w:r>
      <w:r w:rsidR="00A06989">
        <w:rPr>
          <w:rFonts w:cs="Times New Roman"/>
        </w:rPr>
        <w:t>the opposite patterns w</w:t>
      </w:r>
      <w:r w:rsidR="000D73EC">
        <w:rPr>
          <w:rFonts w:cs="Times New Roman"/>
        </w:rPr>
        <w:t>ere</w:t>
      </w:r>
      <w:r w:rsidR="00A06989">
        <w:rPr>
          <w:rFonts w:cs="Times New Roman"/>
        </w:rPr>
        <w:t xml:space="preserve"> </w:t>
      </w:r>
      <w:r w:rsidR="009F026B">
        <w:rPr>
          <w:rFonts w:cs="Times New Roman"/>
        </w:rPr>
        <w:t xml:space="preserve">also </w:t>
      </w:r>
      <w:r w:rsidR="00A06989">
        <w:rPr>
          <w:rFonts w:cs="Times New Roman"/>
        </w:rPr>
        <w:t xml:space="preserve">found in </w:t>
      </w:r>
      <w:r w:rsidR="00A06989" w:rsidRPr="00BD2160">
        <w:rPr>
          <w:color w:val="000000" w:themeColor="text1"/>
        </w:rPr>
        <w:fldChar w:fldCharType="begin" w:fldLock="1"/>
      </w:r>
      <w:r w:rsidR="00A06989">
        <w:rPr>
          <w:color w:val="000000" w:themeColor="text1"/>
        </w:rPr>
        <w:instrText>ADDIN CSL_CITATION {"citationItems":[{"id":"ITEM-1","itemData":{"DOI":"10.1111/gcb.12717","ISBN":"1365-2486","ISSN":"1365-2486","PMID":"25156251","abstract":"The increasing carbon dioxide (CO2) concentration in the atmosphere in combination with climatic changes throughout the last century are likely to have had a profound effect on the physiology of trees: altering the carbon and water fluxes passing through the stomatal pores. However, the magnitude and spatial patterns of such changes in natural forests remain highly uncertain. Here, stable carbon isotope ratios from a network of 35 tree-ring sites located across Europe are investigated to determine the intrinsic water-use efficiency (iWUE), the ratio of photosynthesis to stomatal conductance from 1901 to 2000. The results were compared with simulations of a dynamic vegetation model (LPX-Bern 1.0) that integrates numerous ecosystem and land–atmosphere exchange processes in a theoretical framework. The spatial pattern of tree-ring derived iWUE of the investigated coniferous and deciduous species and the model results agreed significantly with a clear south-to-north gradient, as well as a general increase in iWUE over the 20th century. The magnitude of the iWUE increase was not spatially uniform, with the strongest increase observed and modelled for temperate forests in Central Europe, a region where summer soil-water availability decreased over the last century. We were able to demonstrate that the combined effects of increasing CO2 and climate change leading to soil drying have resulted in an accelerated increase in iWUE. These findings will help to reduce uncertainties in the land surface schemes of global climate models, where vegetation–climate feedbacks are currently still poorly constrained by observational data.","author":[{"dropping-particle":"","family":"Saurer","given":"M.","non-dropping-particle":"","parse-names":false,"suffix":""},{"dropping-particle":"","family":"Spahni","given":"R.","non-dropping-particle":"","parse-names":false,"suffix":""},{"dropping-particle":"","family":"Frank","given":"D. C.","non-dropping-particle":"","parse-names":false,"suffix":""},{"dropping-particle":"","family":"Joos","given":"Fortunat","non-dropping-particle":"","parse-names":false,"suffix":""},{"dropping-particle":"","family":"Leuenberger","given":"Markus","non-dropping-particle":"","parse-names":false,"suffix":""},{"dropping-particle":"","family":"Loader","given":"Neil J.","non-dropping-particle":"","parse-names":false,"suffix":""},{"dropping-particle":"","family":"McCarroll","given":"Danny","non-dropping-particle":"","parse-names":false,"suffix":""},{"dropping-particle":"","family":"Gagen","given":"Mary","non-dropping-particle":"","parse-names":false,"suffix":""},{"dropping-particle":"","family":"Poulter","given":"Ben","non-dropping-particle":"","parse-names":false,"suffix":""},{"dropping-particle":"","family":"Siegwolf","given":"Rolf T.W.","non-dropping-particle":"","parse-names":false,"suffix":""},{"dropping-particle":"","family":"Andreu-Hayles","given":"Laia","non-dropping-particle":"","parse-names":false,"suffix":""},{"dropping-particle":"","family":"Boettger","given":"Tatjana","non-dropping-particle":"","parse-names":false,"suffix":""},{"dropping-particle":"","family":"Dorado Liñán","given":"Isabel","non-dropping-particle":"","parse-names":false,"suffix":""},{"dropping-particle":"","family":"Fairchild","given":"Ian J.","non-dropping-particle":"","parse-names":false,"suffix":""},{"dropping-particle":"","family":"Friedrich","given":"Michael","non-dropping-particle":"","parse-names":false,"suffix":""},{"dropping-particle":"","family":"Gutierrez","given":"Emilia","non-dropping-particle":"","parse-names":false,"suffix":""},{"dropping-particle":"","family":"Haupt","given":"Marika","non-dropping-particle":"","parse-names":false,"suffix":""},{"dropping-particle":"","family":"Hilasvuori","given":"Emmi","non-dropping-particle":"","parse-names":false,"suffix":""},{"dropping-particle":"","family":"Heinrich","given":"Ingo","non-dropping-particle":"","parse-names":false,"suffix":""},{"dropping-particle":"","family":"Helle","given":"Gerd","non-dropping-particle":"","parse-names":false,"suffix":""},{"dropping-particle":"","family":"Grudd","given":"Håkan","non-dropping-particle":"","parse-names":false,"suffix":""},{"dropping-particle":"","family":"Jalkanen","given":"Risto","non-dropping-particle":"","parse-names":false,"suffix":""},{"dropping-particle":"","family":"Levanič","given":"Tom","non-dropping-particle":"","parse-names":false,"suffix":""},{"dropping-particle":"","family":"Linderholm","given":"Hans W.","non-dropping-particle":"","parse-names":false,"suffix":""},{"dropping-particle":"","family":"Robertson","given":"Iain","non-dropping-particle":"","parse-names":false,"suffix":""},{"dropping-particle":"","family":"Sonninen","given":"Eloni","non-dropping-particle":"","parse-names":false,"suffix":""},{"dropping-particle":"","family":"Treydte","given":"Kerstin","non-dropping-particle":"","parse-names":false,"suffix":""},{"dropping-particle":"","family":"Waterhouse","given":"John S.","non-dropping-particle":"","parse-names":false,"suffix":""},{"dropping-particle":"","family":"Woodley","given":"Ewan J.","non-dropping-particle":"","parse-names":false,"suffix":""},{"dropping-particle":"","family":"Wynn","given":"Peter M.","non-dropping-particle":"","parse-names":false,"suffix":""},{"dropping-particle":"","family":"Young","given":"Giles H.F.","non-dropping-particle":"","parse-names":false,"suffix":""}],"container-title":"Global Change Biology","id":"ITEM-1","issue":"12","issued":{"date-parts":[["2014"]]},"page":"3700-3712","title":"Spatial variability and temporal trends in water-use efficiency of European forests","type":"article-journal","volume":"20"},"uris":["http://www.mendeley.com/documents/?uuid=7fb86c9a-e8f9-4c93-bc58-f23d0df4e627"]}],"mendeley":{"formattedCitation":"(Saurer et al., 2014)","manualFormatting":"Saurer et al. (2014)","plainTextFormattedCitation":"(Saurer et al., 2014)","previouslyFormattedCitation":"(Saurer et al., 2014)"},"properties":{"noteIndex":0},"schema":"https://github.com/citation-style-language/schema/raw/master/csl-citation.json"}</w:instrText>
      </w:r>
      <w:r w:rsidR="00A06989" w:rsidRPr="00BD2160">
        <w:rPr>
          <w:color w:val="000000" w:themeColor="text1"/>
        </w:rPr>
        <w:fldChar w:fldCharType="separate"/>
      </w:r>
      <w:r w:rsidR="00A06989" w:rsidRPr="00ED388C">
        <w:rPr>
          <w:noProof/>
          <w:color w:val="000000" w:themeColor="text1"/>
        </w:rPr>
        <w:t xml:space="preserve">Saurer et al. </w:t>
      </w:r>
      <w:r w:rsidR="00A06989">
        <w:rPr>
          <w:noProof/>
          <w:color w:val="000000" w:themeColor="text1"/>
        </w:rPr>
        <w:t>(</w:t>
      </w:r>
      <w:r w:rsidR="00A06989" w:rsidRPr="00ED388C">
        <w:rPr>
          <w:noProof/>
          <w:color w:val="000000" w:themeColor="text1"/>
        </w:rPr>
        <w:t>2014)</w:t>
      </w:r>
      <w:r w:rsidR="00A06989" w:rsidRPr="00BD2160">
        <w:rPr>
          <w:color w:val="000000" w:themeColor="text1"/>
        </w:rPr>
        <w:fldChar w:fldCharType="end"/>
      </w:r>
      <w:r w:rsidR="00A06989">
        <w:rPr>
          <w:color w:val="000000" w:themeColor="text1"/>
        </w:rPr>
        <w:t xml:space="preserve">, with </w:t>
      </w:r>
      <w:r w:rsidR="00686101">
        <w:rPr>
          <w:rFonts w:cs="Times New Roman"/>
        </w:rPr>
        <w:t xml:space="preserve">larger </w:t>
      </w:r>
      <w:r w:rsidR="006440FA" w:rsidRPr="00BD2160">
        <w:rPr>
          <w:rFonts w:cs="Times New Roman"/>
        </w:rPr>
        <w:t>iWUE</w:t>
      </w:r>
      <w:r w:rsidR="006440FA" w:rsidRPr="001B08EE">
        <w:rPr>
          <w:rFonts w:cs="Times New Roman"/>
          <w:vertAlign w:val="superscript"/>
        </w:rPr>
        <w:t>l</w:t>
      </w:r>
      <w:r w:rsidR="006440FA">
        <w:rPr>
          <w:rFonts w:cs="Times New Roman"/>
          <w:vertAlign w:val="superscript"/>
        </w:rPr>
        <w:t>eaf</w:t>
      </w:r>
      <w:r w:rsidR="00686101">
        <w:rPr>
          <w:rFonts w:cs="Times New Roman"/>
        </w:rPr>
        <w:t xml:space="preserve"> increases observed in DBF</w:t>
      </w:r>
      <w:r w:rsidR="00902C77">
        <w:rPr>
          <w:rFonts w:cs="Times New Roman"/>
        </w:rPr>
        <w:t>s</w:t>
      </w:r>
      <w:r w:rsidR="00ED388C">
        <w:rPr>
          <w:rFonts w:cs="Times New Roman"/>
        </w:rPr>
        <w:t xml:space="preserve"> </w:t>
      </w:r>
      <w:r w:rsidR="00686101">
        <w:rPr>
          <w:rFonts w:cs="Times New Roman"/>
        </w:rPr>
        <w:t>compared</w:t>
      </w:r>
      <w:r w:rsidR="00686101">
        <w:rPr>
          <w:color w:val="000000" w:themeColor="text1"/>
        </w:rPr>
        <w:t xml:space="preserve"> </w:t>
      </w:r>
      <w:r w:rsidR="005D4730" w:rsidRPr="00BD2160">
        <w:rPr>
          <w:color w:val="000000" w:themeColor="text1"/>
        </w:rPr>
        <w:t xml:space="preserve">to </w:t>
      </w:r>
      <w:r w:rsidR="005D4730">
        <w:rPr>
          <w:color w:val="000000" w:themeColor="text1"/>
        </w:rPr>
        <w:t>ENF</w:t>
      </w:r>
      <w:r w:rsidR="00902C77">
        <w:rPr>
          <w:color w:val="000000" w:themeColor="text1"/>
        </w:rPr>
        <w:t>s</w:t>
      </w:r>
      <w:r w:rsidR="005D4730" w:rsidRPr="00BD2160">
        <w:rPr>
          <w:color w:val="000000" w:themeColor="text1"/>
        </w:rPr>
        <w:t xml:space="preserve"> </w:t>
      </w:r>
      <w:r w:rsidR="00ED388C">
        <w:rPr>
          <w:color w:val="000000" w:themeColor="text1"/>
        </w:rPr>
        <w:t>in the European region</w:t>
      </w:r>
      <w:r w:rsidR="0078411F">
        <w:rPr>
          <w:color w:val="000000" w:themeColor="text1"/>
        </w:rPr>
        <w:t xml:space="preserve"> </w:t>
      </w:r>
      <w:r w:rsidR="0078411F">
        <w:rPr>
          <w:rFonts w:cs="Times New Roman"/>
        </w:rPr>
        <w:t>(around 0.32</w:t>
      </w:r>
      <w:r w:rsidR="00C06F11">
        <w:rPr>
          <w:rFonts w:cs="Times New Roman"/>
        </w:rPr>
        <w:t xml:space="preserve"> </w:t>
      </w:r>
      <w:r w:rsidR="00C06F11">
        <w:rPr>
          <w:color w:val="000000" w:themeColor="text1"/>
        </w:rPr>
        <w:sym w:font="Symbol" w:char="F0B1"/>
      </w:r>
      <w:r w:rsidR="00C06F11">
        <w:rPr>
          <w:color w:val="000000" w:themeColor="text1"/>
        </w:rPr>
        <w:t xml:space="preserve"> 0.07</w:t>
      </w:r>
      <w:r w:rsidR="0078411F">
        <w:rPr>
          <w:rFonts w:cs="Times New Roman"/>
        </w:rPr>
        <w:t xml:space="preserve">% </w:t>
      </w:r>
      <w:r w:rsidR="0078411F">
        <w:rPr>
          <w:color w:val="000000" w:themeColor="text1"/>
        </w:rPr>
        <w:t>yr</w:t>
      </w:r>
      <w:r w:rsidR="0078411F" w:rsidRPr="006E2F7C">
        <w:rPr>
          <w:color w:val="000000" w:themeColor="text1"/>
          <w:vertAlign w:val="superscript"/>
        </w:rPr>
        <w:t>-1</w:t>
      </w:r>
      <w:r w:rsidR="0078411F" w:rsidRPr="00D42A13">
        <w:rPr>
          <w:color w:val="000000" w:themeColor="text1"/>
        </w:rPr>
        <w:t xml:space="preserve"> ver</w:t>
      </w:r>
      <w:r w:rsidR="0078411F">
        <w:rPr>
          <w:rFonts w:cs="Times New Roman"/>
        </w:rPr>
        <w:t>sus 0.26</w:t>
      </w:r>
      <w:r w:rsidR="00C06F11">
        <w:rPr>
          <w:rFonts w:cs="Times New Roman"/>
        </w:rPr>
        <w:t xml:space="preserve"> </w:t>
      </w:r>
      <w:r w:rsidR="00C06F11">
        <w:rPr>
          <w:color w:val="000000" w:themeColor="text1"/>
        </w:rPr>
        <w:sym w:font="Symbol" w:char="F0B1"/>
      </w:r>
      <w:r w:rsidR="00C06F11">
        <w:rPr>
          <w:color w:val="000000" w:themeColor="text1"/>
        </w:rPr>
        <w:t xml:space="preserve"> 0.</w:t>
      </w:r>
      <w:r w:rsidR="00495512">
        <w:rPr>
          <w:color w:val="000000" w:themeColor="text1"/>
        </w:rPr>
        <w:t>13</w:t>
      </w:r>
      <w:r w:rsidR="0078411F">
        <w:rPr>
          <w:rFonts w:cs="Times New Roman"/>
        </w:rPr>
        <w:t xml:space="preserve">% </w:t>
      </w:r>
      <w:r w:rsidR="0078411F">
        <w:rPr>
          <w:color w:val="000000" w:themeColor="text1"/>
        </w:rPr>
        <w:t>yr</w:t>
      </w:r>
      <w:r w:rsidR="0078411F" w:rsidRPr="006E2F7C">
        <w:rPr>
          <w:color w:val="000000" w:themeColor="text1"/>
          <w:vertAlign w:val="superscript"/>
        </w:rPr>
        <w:t>-1</w:t>
      </w:r>
      <w:r w:rsidR="0078411F">
        <w:rPr>
          <w:rFonts w:cs="Times New Roman"/>
        </w:rPr>
        <w:t>, respectively</w:t>
      </w:r>
      <w:r w:rsidR="00741535">
        <w:rPr>
          <w:color w:val="000000" w:themeColor="text1"/>
        </w:rPr>
        <w:t>)</w:t>
      </w:r>
      <w:r w:rsidR="007E6454">
        <w:rPr>
          <w:color w:val="000000" w:themeColor="text1"/>
        </w:rPr>
        <w:t>. Nevertheless</w:t>
      </w:r>
      <w:r w:rsidR="003D5BE5">
        <w:rPr>
          <w:color w:val="000000" w:themeColor="text1"/>
        </w:rPr>
        <w:t>,</w:t>
      </w:r>
      <w:r w:rsidR="00333630">
        <w:rPr>
          <w:color w:val="000000" w:themeColor="text1"/>
        </w:rPr>
        <w:t xml:space="preserve"> the difference</w:t>
      </w:r>
      <w:r w:rsidR="00A06989">
        <w:rPr>
          <w:color w:val="000000" w:themeColor="text1"/>
        </w:rPr>
        <w:t>s</w:t>
      </w:r>
      <w:r w:rsidR="00333630">
        <w:rPr>
          <w:color w:val="000000" w:themeColor="text1"/>
        </w:rPr>
        <w:t xml:space="preserve"> between </w:t>
      </w:r>
      <w:r w:rsidR="00A06989">
        <w:rPr>
          <w:color w:val="000000" w:themeColor="text1"/>
        </w:rPr>
        <w:t xml:space="preserve">DBF and ENF </w:t>
      </w:r>
      <w:r w:rsidR="00333630">
        <w:rPr>
          <w:color w:val="000000" w:themeColor="text1"/>
        </w:rPr>
        <w:t xml:space="preserve">trends </w:t>
      </w:r>
      <w:r w:rsidR="00A06989">
        <w:rPr>
          <w:color w:val="000000" w:themeColor="text1"/>
        </w:rPr>
        <w:t xml:space="preserve">were </w:t>
      </w:r>
      <w:r w:rsidR="00333630">
        <w:rPr>
          <w:color w:val="000000" w:themeColor="text1"/>
        </w:rPr>
        <w:t xml:space="preserve">not significant </w:t>
      </w:r>
      <w:r w:rsidR="00A06989">
        <w:rPr>
          <w:color w:val="000000" w:themeColor="text1"/>
        </w:rPr>
        <w:t>in either study</w:t>
      </w:r>
      <w:r w:rsidR="00A74DF2" w:rsidRPr="00A74DF2">
        <w:rPr>
          <w:color w:val="000000" w:themeColor="text1"/>
        </w:rPr>
        <w:t xml:space="preserve"> </w:t>
      </w:r>
      <w:r w:rsidR="00A74DF2">
        <w:rPr>
          <w:color w:val="000000" w:themeColor="text1"/>
        </w:rPr>
        <w:t xml:space="preserve">owing to </w:t>
      </w:r>
      <w:r w:rsidR="00C928E0">
        <w:rPr>
          <w:color w:val="000000" w:themeColor="text1"/>
        </w:rPr>
        <w:t xml:space="preserve">large </w:t>
      </w:r>
      <w:r w:rsidR="00A74DF2">
        <w:rPr>
          <w:color w:val="000000" w:themeColor="text1"/>
        </w:rPr>
        <w:t>site-to-site variability</w:t>
      </w:r>
      <w:r w:rsidR="00A06989">
        <w:rPr>
          <w:color w:val="000000" w:themeColor="text1"/>
        </w:rPr>
        <w:t xml:space="preserve">, </w:t>
      </w:r>
      <w:r w:rsidR="00870250">
        <w:rPr>
          <w:color w:val="000000" w:themeColor="text1"/>
        </w:rPr>
        <w:t xml:space="preserve">and the general </w:t>
      </w:r>
      <w:r w:rsidR="006440FA" w:rsidRPr="00BD2160">
        <w:rPr>
          <w:rFonts w:cs="Times New Roman"/>
        </w:rPr>
        <w:t>iWUE</w:t>
      </w:r>
      <w:r w:rsidR="006440FA" w:rsidRPr="001B08EE">
        <w:rPr>
          <w:rFonts w:cs="Times New Roman"/>
          <w:vertAlign w:val="superscript"/>
        </w:rPr>
        <w:t>l</w:t>
      </w:r>
      <w:r w:rsidR="006440FA">
        <w:rPr>
          <w:rFonts w:cs="Times New Roman"/>
          <w:vertAlign w:val="superscript"/>
        </w:rPr>
        <w:t>eaf</w:t>
      </w:r>
      <w:r w:rsidR="00373C28">
        <w:rPr>
          <w:color w:val="000000" w:themeColor="text1"/>
        </w:rPr>
        <w:t xml:space="preserve"> </w:t>
      </w:r>
      <w:r w:rsidR="00870250">
        <w:rPr>
          <w:color w:val="000000" w:themeColor="text1"/>
        </w:rPr>
        <w:t>trend</w:t>
      </w:r>
      <w:r w:rsidR="00F17791">
        <w:rPr>
          <w:color w:val="000000" w:themeColor="text1"/>
        </w:rPr>
        <w:t>s</w:t>
      </w:r>
      <w:r w:rsidR="00870250">
        <w:rPr>
          <w:color w:val="000000" w:themeColor="text1"/>
        </w:rPr>
        <w:t xml:space="preserve"> w</w:t>
      </w:r>
      <w:r w:rsidR="00F17791">
        <w:rPr>
          <w:color w:val="000000" w:themeColor="text1"/>
        </w:rPr>
        <w:t>ere</w:t>
      </w:r>
      <w:r w:rsidR="00870250">
        <w:rPr>
          <w:color w:val="000000" w:themeColor="text1"/>
        </w:rPr>
        <w:t xml:space="preserve"> </w:t>
      </w:r>
      <w:r w:rsidR="00333630">
        <w:rPr>
          <w:color w:val="000000" w:themeColor="text1"/>
        </w:rPr>
        <w:t>still</w:t>
      </w:r>
      <w:r w:rsidR="00C3121D">
        <w:rPr>
          <w:color w:val="000000" w:themeColor="text1"/>
        </w:rPr>
        <w:t xml:space="preserve"> broadly</w:t>
      </w:r>
      <w:r w:rsidR="00333630">
        <w:rPr>
          <w:color w:val="000000" w:themeColor="text1"/>
        </w:rPr>
        <w:t xml:space="preserve"> consistent with a</w:t>
      </w:r>
      <w:r w:rsidR="00C3121D">
        <w:rPr>
          <w:color w:val="000000" w:themeColor="text1"/>
        </w:rPr>
        <w:t xml:space="preserve"> constant </w:t>
      </w:r>
      <w:r w:rsidR="00C3121D" w:rsidRPr="00BD2160">
        <w:rPr>
          <w:rFonts w:cs="Times New Roman"/>
          <w:i/>
        </w:rPr>
        <w:t>c</w:t>
      </w:r>
      <w:r w:rsidR="00C3121D" w:rsidRPr="00BD2160">
        <w:rPr>
          <w:rFonts w:cs="Times New Roman"/>
          <w:vertAlign w:val="subscript"/>
        </w:rPr>
        <w:t>i</w:t>
      </w:r>
      <w:r w:rsidR="00C3121D" w:rsidRPr="00BD2160">
        <w:rPr>
          <w:rFonts w:cs="Times New Roman"/>
        </w:rPr>
        <w:t>/</w:t>
      </w:r>
      <w:r w:rsidR="00C3121D" w:rsidRPr="00BD2160">
        <w:rPr>
          <w:rFonts w:cs="Times New Roman"/>
          <w:i/>
        </w:rPr>
        <w:t>c</w:t>
      </w:r>
      <w:r w:rsidR="00C3121D" w:rsidRPr="00BD2160">
        <w:rPr>
          <w:rFonts w:cs="Times New Roman"/>
          <w:vertAlign w:val="subscript"/>
        </w:rPr>
        <w:t>a</w:t>
      </w:r>
      <w:r w:rsidR="00C3121D">
        <w:rPr>
          <w:rFonts w:cs="Times New Roman"/>
        </w:rPr>
        <w:t>.</w:t>
      </w:r>
      <w:r w:rsidR="009443FD">
        <w:rPr>
          <w:color w:val="000000" w:themeColor="text1"/>
        </w:rPr>
        <w:t xml:space="preserve"> </w:t>
      </w:r>
      <w:r w:rsidR="005A4C70">
        <w:rPr>
          <w:rFonts w:cs="Times New Roman"/>
          <w:color w:val="000000" w:themeColor="text1"/>
          <w:lang w:val="fr-FR"/>
        </w:rPr>
        <w:t>Thus, d</w:t>
      </w:r>
      <w:r w:rsidR="00487475">
        <w:rPr>
          <w:rFonts w:cs="Times New Roman"/>
          <w:color w:val="000000" w:themeColor="text1"/>
          <w:lang w:val="fr-FR"/>
        </w:rPr>
        <w:t xml:space="preserve">espite </w:t>
      </w:r>
      <w:r w:rsidR="002567AC">
        <w:rPr>
          <w:rFonts w:cs="Times New Roman"/>
          <w:color w:val="000000" w:themeColor="text1"/>
          <w:lang w:val="fr-FR"/>
        </w:rPr>
        <w:t>site</w:t>
      </w:r>
      <w:r w:rsidR="0037052D">
        <w:rPr>
          <w:rFonts w:cs="Times New Roman"/>
          <w:color w:val="000000" w:themeColor="text1"/>
          <w:lang w:val="fr-FR"/>
        </w:rPr>
        <w:t>-</w:t>
      </w:r>
      <w:r w:rsidR="005432CF">
        <w:rPr>
          <w:rFonts w:cs="Times New Roman"/>
          <w:color w:val="000000" w:themeColor="text1"/>
          <w:lang w:val="fr-FR"/>
        </w:rPr>
        <w:t>to-site variability</w:t>
      </w:r>
      <w:r w:rsidR="002567AC">
        <w:rPr>
          <w:rFonts w:cs="Times New Roman"/>
          <w:color w:val="000000" w:themeColor="text1"/>
          <w:lang w:val="fr-FR"/>
        </w:rPr>
        <w:t xml:space="preserve"> </w:t>
      </w:r>
      <w:r w:rsidR="005432CF">
        <w:rPr>
          <w:rFonts w:cs="Times New Roman"/>
          <w:color w:val="000000" w:themeColor="text1"/>
          <w:lang w:val="fr-FR"/>
        </w:rPr>
        <w:t>and/</w:t>
      </w:r>
      <w:r w:rsidR="002567AC">
        <w:rPr>
          <w:rFonts w:cs="Times New Roman"/>
          <w:color w:val="000000" w:themeColor="text1"/>
          <w:lang w:val="fr-FR"/>
        </w:rPr>
        <w:t xml:space="preserve">or </w:t>
      </w:r>
      <w:r w:rsidR="008E48C3">
        <w:rPr>
          <w:rFonts w:cs="Times New Roman"/>
          <w:color w:val="000000" w:themeColor="text1"/>
          <w:lang w:val="fr-FR"/>
        </w:rPr>
        <w:t>specific</w:t>
      </w:r>
      <w:r w:rsidR="00487475">
        <w:rPr>
          <w:rFonts w:cs="Times New Roman"/>
          <w:color w:val="000000" w:themeColor="text1"/>
          <w:lang w:val="fr-FR"/>
        </w:rPr>
        <w:t xml:space="preserve"> differences in </w:t>
      </w:r>
      <w:r w:rsidR="00F9521F">
        <w:rPr>
          <w:rFonts w:cs="Times New Roman"/>
          <w:color w:val="000000" w:themeColor="text1"/>
          <w:lang w:val="fr-FR"/>
        </w:rPr>
        <w:t>plants</w:t>
      </w:r>
      <w:r w:rsidR="00487475">
        <w:rPr>
          <w:rFonts w:cs="Times New Roman"/>
          <w:color w:val="000000" w:themeColor="text1"/>
          <w:lang w:val="fr-FR"/>
        </w:rPr>
        <w:t xml:space="preserve"> responses to changes in </w:t>
      </w:r>
      <w:r w:rsidR="00487475" w:rsidRPr="00D42A13">
        <w:rPr>
          <w:rFonts w:cs="Times New Roman"/>
          <w:i/>
          <w:color w:val="000000" w:themeColor="text1"/>
          <w:lang w:val="fr-FR"/>
        </w:rPr>
        <w:t>c</w:t>
      </w:r>
      <w:r w:rsidR="00487475" w:rsidRPr="00D42A13">
        <w:rPr>
          <w:rFonts w:cs="Times New Roman"/>
          <w:color w:val="000000" w:themeColor="text1"/>
          <w:vertAlign w:val="subscript"/>
          <w:lang w:val="fr-FR"/>
        </w:rPr>
        <w:t>a</w:t>
      </w:r>
      <w:r w:rsidR="00487475">
        <w:rPr>
          <w:rFonts w:cs="Times New Roman"/>
          <w:color w:val="000000" w:themeColor="text1"/>
          <w:lang w:val="fr-FR"/>
        </w:rPr>
        <w:t xml:space="preserve">, </w:t>
      </w:r>
      <w:r w:rsidR="00EF0C52">
        <w:rPr>
          <w:rFonts w:cs="Times New Roman"/>
          <w:color w:val="000000" w:themeColor="text1"/>
          <w:lang w:val="fr-FR"/>
        </w:rPr>
        <w:t xml:space="preserve">the general patterns of </w:t>
      </w:r>
      <w:r w:rsidR="00EF0C52" w:rsidRPr="00BD2160">
        <w:rPr>
          <w:rFonts w:cs="Times New Roman"/>
          <w:i/>
        </w:rPr>
        <w:t>c</w:t>
      </w:r>
      <w:r w:rsidR="00EF0C52" w:rsidRPr="00BD2160">
        <w:rPr>
          <w:rFonts w:cs="Times New Roman"/>
          <w:vertAlign w:val="subscript"/>
        </w:rPr>
        <w:t>i</w:t>
      </w:r>
      <w:r w:rsidR="00EF0C52" w:rsidRPr="00BD2160">
        <w:rPr>
          <w:rFonts w:cs="Times New Roman"/>
        </w:rPr>
        <w:t>/</w:t>
      </w:r>
      <w:r w:rsidR="00EF0C52" w:rsidRPr="00BD2160">
        <w:rPr>
          <w:rFonts w:cs="Times New Roman"/>
          <w:i/>
        </w:rPr>
        <w:t>c</w:t>
      </w:r>
      <w:r w:rsidR="00EF0C52" w:rsidRPr="00BD2160">
        <w:rPr>
          <w:rFonts w:cs="Times New Roman"/>
          <w:vertAlign w:val="subscript"/>
        </w:rPr>
        <w:t>a</w:t>
      </w:r>
      <w:r w:rsidR="00C9573E">
        <w:rPr>
          <w:rFonts w:cs="Times New Roman"/>
          <w:color w:val="000000" w:themeColor="text1"/>
          <w:lang w:val="fr-FR"/>
        </w:rPr>
        <w:t xml:space="preserve"> </w:t>
      </w:r>
      <w:r w:rsidR="006B2935">
        <w:rPr>
          <w:rFonts w:cs="Times New Roman"/>
          <w:color w:val="000000" w:themeColor="text1"/>
          <w:lang w:val="fr-FR"/>
        </w:rPr>
        <w:t xml:space="preserve">derived </w:t>
      </w:r>
      <w:r w:rsidR="004651A7">
        <w:rPr>
          <w:rFonts w:cs="Times New Roman"/>
          <w:color w:val="000000" w:themeColor="text1"/>
          <w:lang w:val="fr-FR"/>
        </w:rPr>
        <w:t xml:space="preserve">from </w:t>
      </w:r>
      <w:r w:rsidR="00097E2F">
        <w:rPr>
          <w:rFonts w:cs="Times New Roman"/>
          <w:color w:val="000000" w:themeColor="text1"/>
          <w:lang w:val="fr-FR"/>
        </w:rPr>
        <w:t>tree-ring</w:t>
      </w:r>
      <w:r w:rsidR="00983CE9">
        <w:rPr>
          <w:rFonts w:cs="Times New Roman"/>
          <w:color w:val="000000" w:themeColor="text1"/>
          <w:lang w:val="fr-FR"/>
        </w:rPr>
        <w:t xml:space="preserve"> </w:t>
      </w:r>
      <w:r w:rsidR="004651A7">
        <w:rPr>
          <w:rFonts w:cs="Times New Roman"/>
          <w:color w:val="000000" w:themeColor="text1"/>
          <w:lang w:val="fr-FR"/>
        </w:rPr>
        <w:t>s</w:t>
      </w:r>
      <w:r w:rsidR="006C7ECB">
        <w:rPr>
          <w:rFonts w:cs="Times New Roman"/>
          <w:color w:val="000000" w:themeColor="text1"/>
          <w:lang w:val="fr-FR"/>
        </w:rPr>
        <w:t>erie</w:t>
      </w:r>
      <w:r w:rsidR="004651A7">
        <w:rPr>
          <w:rFonts w:cs="Times New Roman"/>
          <w:color w:val="000000" w:themeColor="text1"/>
          <w:lang w:val="fr-FR"/>
        </w:rPr>
        <w:t xml:space="preserve">s </w:t>
      </w:r>
      <w:r w:rsidR="00EF0C52">
        <w:rPr>
          <w:rFonts w:cs="Times New Roman"/>
          <w:color w:val="000000" w:themeColor="text1"/>
          <w:lang w:val="fr-FR"/>
        </w:rPr>
        <w:t>tend to be more consistent with the strategy</w:t>
      </w:r>
      <w:r w:rsidR="004B3564">
        <w:rPr>
          <w:rFonts w:cs="Times New Roman"/>
          <w:color w:val="000000" w:themeColor="text1"/>
          <w:lang w:val="fr-FR"/>
        </w:rPr>
        <w:t xml:space="preserve"> of</w:t>
      </w:r>
      <w:r w:rsidR="002B0421">
        <w:rPr>
          <w:rFonts w:cs="Times New Roman"/>
          <w:color w:val="000000" w:themeColor="text1"/>
          <w:lang w:val="fr-FR"/>
        </w:rPr>
        <w:t xml:space="preserve"> </w:t>
      </w:r>
      <w:r w:rsidR="002B0421" w:rsidRPr="00BD2160">
        <w:rPr>
          <w:rFonts w:cs="Times New Roman"/>
        </w:rPr>
        <w:t xml:space="preserve">constant </w:t>
      </w:r>
      <w:r w:rsidR="002B0421" w:rsidRPr="00BD2160">
        <w:rPr>
          <w:rFonts w:cs="Times New Roman"/>
          <w:i/>
        </w:rPr>
        <w:t>c</w:t>
      </w:r>
      <w:r w:rsidR="002B0421" w:rsidRPr="00BD2160">
        <w:rPr>
          <w:rFonts w:cs="Times New Roman"/>
          <w:vertAlign w:val="subscript"/>
        </w:rPr>
        <w:t>i</w:t>
      </w:r>
      <w:r w:rsidR="002B0421" w:rsidRPr="00BD2160">
        <w:rPr>
          <w:rFonts w:cs="Times New Roman"/>
        </w:rPr>
        <w:t>/</w:t>
      </w:r>
      <w:r w:rsidR="002B0421" w:rsidRPr="00BD2160">
        <w:rPr>
          <w:rFonts w:cs="Times New Roman"/>
          <w:i/>
        </w:rPr>
        <w:t>c</w:t>
      </w:r>
      <w:r w:rsidR="002B0421" w:rsidRPr="00BD2160">
        <w:rPr>
          <w:rFonts w:cs="Times New Roman"/>
          <w:vertAlign w:val="subscript"/>
        </w:rPr>
        <w:t>a</w:t>
      </w:r>
      <w:r w:rsidR="00C9573E">
        <w:rPr>
          <w:rFonts w:cs="Times New Roman"/>
          <w:color w:val="000000" w:themeColor="text1"/>
          <w:lang w:val="fr-FR"/>
        </w:rPr>
        <w:t>.</w:t>
      </w:r>
      <w:r w:rsidR="00EE0FAC">
        <w:rPr>
          <w:rFonts w:cs="Times New Roman"/>
          <w:color w:val="000000" w:themeColor="text1"/>
          <w:lang w:val="fr-FR"/>
        </w:rPr>
        <w:t xml:space="preserve"> </w:t>
      </w:r>
    </w:p>
    <w:p w14:paraId="3B7371F3" w14:textId="23FC6CBA" w:rsidR="0006446D" w:rsidRPr="00D42A13" w:rsidRDefault="0006446D" w:rsidP="00D37E2B">
      <w:pPr>
        <w:pStyle w:val="Body"/>
        <w:spacing w:before="240" w:line="360" w:lineRule="auto"/>
        <w:jc w:val="both"/>
        <w:rPr>
          <w:rFonts w:cs="Times New Roman"/>
          <w:color w:val="000000" w:themeColor="text1"/>
        </w:rPr>
      </w:pPr>
      <w:r>
        <w:rPr>
          <w:rFonts w:cs="Times New Roman"/>
          <w:color w:val="000000" w:themeColor="text1"/>
        </w:rPr>
        <w:t>E</w:t>
      </w:r>
      <w:r w:rsidRPr="00BD2160">
        <w:rPr>
          <w:rFonts w:cs="Times New Roman"/>
          <w:color w:val="000000" w:themeColor="text1"/>
        </w:rPr>
        <w:t>stimat</w:t>
      </w:r>
      <w:r w:rsidR="009D7729">
        <w:rPr>
          <w:rFonts w:cs="Times New Roman"/>
          <w:color w:val="000000" w:themeColor="text1"/>
        </w:rPr>
        <w:t>e</w:t>
      </w:r>
      <w:r w:rsidRPr="00BD2160">
        <w:rPr>
          <w:rFonts w:cs="Times New Roman"/>
          <w:color w:val="000000" w:themeColor="text1"/>
        </w:rPr>
        <w:t>s</w:t>
      </w:r>
      <w:r>
        <w:rPr>
          <w:rFonts w:cs="Times New Roman"/>
          <w:color w:val="000000" w:themeColor="text1"/>
        </w:rPr>
        <w:t xml:space="preserve"> of</w:t>
      </w:r>
      <w:r w:rsidRPr="00BD2160">
        <w:rPr>
          <w:rFonts w:cs="Times New Roman"/>
          <w:color w:val="000000" w:themeColor="text1"/>
        </w:rPr>
        <w:t xml:space="preserve"> </w:t>
      </w:r>
      <w:r w:rsidR="00374F72" w:rsidRPr="00BD2160">
        <w:rPr>
          <w:rFonts w:cs="Times New Roman"/>
          <w:i/>
          <w:color w:val="000000" w:themeColor="text1"/>
        </w:rPr>
        <w:t>c</w:t>
      </w:r>
      <w:r w:rsidR="00374F72" w:rsidRPr="00BD2160">
        <w:rPr>
          <w:rFonts w:cs="Times New Roman"/>
          <w:color w:val="000000" w:themeColor="text1"/>
          <w:vertAlign w:val="subscript"/>
        </w:rPr>
        <w:t>i</w:t>
      </w:r>
      <w:r w:rsidR="00374F72" w:rsidRPr="00BD2160">
        <w:rPr>
          <w:rFonts w:cs="Times New Roman"/>
          <w:color w:val="000000" w:themeColor="text1"/>
        </w:rPr>
        <w:t>/</w:t>
      </w:r>
      <w:r w:rsidR="00374F72" w:rsidRPr="00BD2160">
        <w:rPr>
          <w:rFonts w:cs="Times New Roman"/>
          <w:i/>
          <w:color w:val="000000" w:themeColor="text1"/>
        </w:rPr>
        <w:t>c</w:t>
      </w:r>
      <w:r w:rsidR="00374F72" w:rsidRPr="00BD2160">
        <w:rPr>
          <w:rFonts w:cs="Times New Roman"/>
          <w:color w:val="000000" w:themeColor="text1"/>
          <w:vertAlign w:val="subscript"/>
        </w:rPr>
        <w:t>a</w:t>
      </w:r>
      <w:r w:rsidR="00374F72" w:rsidRPr="00BD2160" w:rsidDel="00374F72">
        <w:rPr>
          <w:rFonts w:cs="Times New Roman"/>
        </w:rPr>
        <w:t xml:space="preserve"> </w:t>
      </w:r>
      <w:r w:rsidR="00374F72">
        <w:rPr>
          <w:rFonts w:cs="Times New Roman"/>
        </w:rPr>
        <w:t xml:space="preserve">at </w:t>
      </w:r>
      <w:r w:rsidR="00374F72" w:rsidRPr="00BD2160">
        <w:rPr>
          <w:rFonts w:cs="Times New Roman"/>
        </w:rPr>
        <w:t>ecosystem-scale</w:t>
      </w:r>
      <w:r w:rsidR="00374F72">
        <w:rPr>
          <w:rFonts w:cs="Times New Roman"/>
        </w:rPr>
        <w:t>s</w:t>
      </w:r>
      <w:r w:rsidR="00374F72" w:rsidRPr="00BD2160">
        <w:rPr>
          <w:rFonts w:cs="Times New Roman"/>
        </w:rPr>
        <w:t xml:space="preserve"> </w:t>
      </w:r>
      <w:r w:rsidR="003331A9">
        <w:rPr>
          <w:rFonts w:cs="Times New Roman"/>
        </w:rPr>
        <w:t>(denot</w:t>
      </w:r>
      <w:r w:rsidR="00374F72">
        <w:rPr>
          <w:rFonts w:cs="Times New Roman"/>
        </w:rPr>
        <w:t xml:space="preserve">ed </w:t>
      </w:r>
      <w:r w:rsidR="00374F72" w:rsidRPr="00BD2160">
        <w:rPr>
          <w:rFonts w:cs="Times New Roman"/>
          <w:i/>
          <w:color w:val="000000" w:themeColor="text1"/>
        </w:rPr>
        <w:t>c</w:t>
      </w:r>
      <w:r w:rsidR="00374F72" w:rsidRPr="00BD2160">
        <w:rPr>
          <w:rFonts w:cs="Times New Roman"/>
          <w:color w:val="000000" w:themeColor="text1"/>
          <w:vertAlign w:val="subscript"/>
        </w:rPr>
        <w:t>i</w:t>
      </w:r>
      <w:r w:rsidR="00374F72" w:rsidRPr="00BD2160">
        <w:rPr>
          <w:rFonts w:cs="Times New Roman"/>
          <w:color w:val="000000" w:themeColor="text1"/>
        </w:rPr>
        <w:t>*/</w:t>
      </w:r>
      <w:r w:rsidR="00374F72" w:rsidRPr="00BD2160">
        <w:rPr>
          <w:rFonts w:cs="Times New Roman"/>
          <w:i/>
          <w:color w:val="000000" w:themeColor="text1"/>
        </w:rPr>
        <w:t>c</w:t>
      </w:r>
      <w:r w:rsidR="00374F72" w:rsidRPr="00BD2160">
        <w:rPr>
          <w:rFonts w:cs="Times New Roman"/>
          <w:color w:val="000000" w:themeColor="text1"/>
          <w:vertAlign w:val="subscript"/>
        </w:rPr>
        <w:t>a</w:t>
      </w:r>
      <w:r w:rsidR="003331A9">
        <w:rPr>
          <w:rFonts w:cs="Times New Roman"/>
        </w:rPr>
        <w:t xml:space="preserve">) </w:t>
      </w:r>
      <w:r w:rsidR="00DA5407">
        <w:rPr>
          <w:rFonts w:cs="Times New Roman"/>
        </w:rPr>
        <w:t xml:space="preserve">from </w:t>
      </w:r>
      <w:r w:rsidR="00B47EAE">
        <w:rPr>
          <w:rFonts w:cs="Times New Roman"/>
        </w:rPr>
        <w:t>eddy-covariance</w:t>
      </w:r>
      <w:r w:rsidR="00DA5407">
        <w:rPr>
          <w:rFonts w:cs="Times New Roman"/>
        </w:rPr>
        <w:t xml:space="preserve"> studies </w:t>
      </w:r>
      <w:r w:rsidR="00983854">
        <w:rPr>
          <w:rFonts w:cs="Times New Roman"/>
          <w:color w:val="000000" w:themeColor="text1"/>
        </w:rPr>
        <w:t>are</w:t>
      </w:r>
      <w:r w:rsidR="008203C0">
        <w:rPr>
          <w:rFonts w:cs="Times New Roman"/>
          <w:color w:val="000000" w:themeColor="text1"/>
        </w:rPr>
        <w:t xml:space="preserve"> </w:t>
      </w:r>
      <w:r w:rsidR="00983854">
        <w:rPr>
          <w:rFonts w:cs="Times New Roman"/>
          <w:color w:val="000000" w:themeColor="text1"/>
        </w:rPr>
        <w:t>not straightforward</w:t>
      </w:r>
      <w:r w:rsidR="00374F72">
        <w:rPr>
          <w:rFonts w:cs="Times New Roman"/>
          <w:color w:val="000000" w:themeColor="text1"/>
        </w:rPr>
        <w:t>,</w:t>
      </w:r>
      <w:r w:rsidR="00983854">
        <w:rPr>
          <w:rFonts w:cs="Times New Roman"/>
          <w:color w:val="000000" w:themeColor="text1"/>
        </w:rPr>
        <w:t xml:space="preserve"> but </w:t>
      </w:r>
      <w:r w:rsidR="00374F72" w:rsidRPr="00BD2160">
        <w:rPr>
          <w:rFonts w:cs="Times New Roman"/>
          <w:i/>
          <w:color w:val="000000" w:themeColor="text1"/>
        </w:rPr>
        <w:t>c</w:t>
      </w:r>
      <w:r w:rsidR="00374F72" w:rsidRPr="00BD2160">
        <w:rPr>
          <w:rFonts w:cs="Times New Roman"/>
          <w:color w:val="000000" w:themeColor="text1"/>
          <w:vertAlign w:val="subscript"/>
        </w:rPr>
        <w:t>i</w:t>
      </w:r>
      <w:r w:rsidR="00374F72" w:rsidRPr="00BD2160">
        <w:rPr>
          <w:rFonts w:cs="Times New Roman"/>
          <w:color w:val="000000" w:themeColor="text1"/>
        </w:rPr>
        <w:t>*</w:t>
      </w:r>
      <w:r w:rsidR="00374F72">
        <w:rPr>
          <w:rFonts w:cs="Times New Roman"/>
        </w:rPr>
        <w:t xml:space="preserve"> </w:t>
      </w:r>
      <w:r w:rsidR="00F4724C">
        <w:rPr>
          <w:rFonts w:cs="Times New Roman"/>
        </w:rPr>
        <w:t>can</w:t>
      </w:r>
      <w:r>
        <w:rPr>
          <w:rFonts w:cs="Times New Roman"/>
        </w:rPr>
        <w:t xml:space="preserve"> </w:t>
      </w:r>
      <w:r w:rsidR="00983854">
        <w:rPr>
          <w:rFonts w:cs="Times New Roman"/>
        </w:rPr>
        <w:t xml:space="preserve">be </w:t>
      </w:r>
      <w:r w:rsidR="0021748C">
        <w:rPr>
          <w:rFonts w:cs="Times New Roman"/>
          <w:color w:val="000000" w:themeColor="text1"/>
        </w:rPr>
        <w:t>inferred</w:t>
      </w:r>
      <w:r w:rsidR="008203C0">
        <w:rPr>
          <w:rFonts w:cs="Times New Roman"/>
          <w:color w:val="000000" w:themeColor="text1"/>
        </w:rPr>
        <w:t xml:space="preserve"> as first approximation</w:t>
      </w:r>
      <w:r w:rsidR="0021748C">
        <w:rPr>
          <w:rFonts w:cs="Times New Roman"/>
          <w:color w:val="000000" w:themeColor="text1"/>
        </w:rPr>
        <w:t xml:space="preserve"> from </w:t>
      </w:r>
      <w:r w:rsidR="00B47EAE">
        <w:rPr>
          <w:rFonts w:cs="Times New Roman"/>
          <w:color w:val="000000" w:themeColor="text1"/>
        </w:rPr>
        <w:t>eddy-covariance</w:t>
      </w:r>
      <w:r w:rsidR="0021748C">
        <w:rPr>
          <w:rFonts w:cs="Times New Roman"/>
          <w:color w:val="000000" w:themeColor="text1"/>
        </w:rPr>
        <w:t>-derived</w:t>
      </w:r>
      <w:r w:rsidR="0021748C" w:rsidRPr="00BD2160">
        <w:rPr>
          <w:rFonts w:cs="Times New Roman"/>
          <w:color w:val="000000" w:themeColor="text1"/>
        </w:rPr>
        <w:t xml:space="preserve"> </w:t>
      </w:r>
      <w:r w:rsidR="00D9241F">
        <w:rPr>
          <w:rFonts w:cs="Times New Roman"/>
          <w:color w:val="000000" w:themeColor="text1"/>
        </w:rPr>
        <w:t xml:space="preserve">ecosystem </w:t>
      </w:r>
      <w:r w:rsidR="0021748C" w:rsidRPr="00BD2160">
        <w:rPr>
          <w:rFonts w:cs="Times New Roman"/>
          <w:color w:val="000000" w:themeColor="text1"/>
        </w:rPr>
        <w:t>WUE</w:t>
      </w:r>
      <w:r w:rsidR="0021748C">
        <w:rPr>
          <w:rFonts w:cs="Times New Roman"/>
          <w:color w:val="000000" w:themeColor="text1"/>
        </w:rPr>
        <w:t xml:space="preserve"> </w:t>
      </w:r>
      <w:r>
        <w:rPr>
          <w:rFonts w:cs="Times New Roman"/>
        </w:rPr>
        <w:t xml:space="preserve">by </w:t>
      </w:r>
      <w:r w:rsidRPr="00BD2160">
        <w:rPr>
          <w:rFonts w:cs="Times New Roman"/>
        </w:rPr>
        <w:t>inverting equation (</w:t>
      </w:r>
      <w:r>
        <w:rPr>
          <w:rFonts w:cs="Times New Roman"/>
        </w:rPr>
        <w:t>1</w:t>
      </w:r>
      <w:r w:rsidRPr="00BD2160">
        <w:rPr>
          <w:rFonts w:cs="Times New Roman"/>
        </w:rPr>
        <w:t>)</w:t>
      </w:r>
      <w:r>
        <w:rPr>
          <w:rFonts w:cs="Times New Roman"/>
        </w:rPr>
        <w:t>:</w:t>
      </w:r>
    </w:p>
    <w:p w14:paraId="56E745A7" w14:textId="64F78AD8" w:rsidR="0006446D" w:rsidRDefault="00E31184" w:rsidP="00D42A13">
      <w:pPr>
        <w:pStyle w:val="Body"/>
        <w:spacing w:before="240" w:line="360" w:lineRule="auto"/>
        <w:ind w:firstLine="708"/>
        <w:jc w:val="both"/>
        <w:rPr>
          <w:rFonts w:cs="Times New Roman"/>
        </w:rPr>
      </w:pPr>
      <m:oMath>
        <m:sSubSup>
          <m:sSubSupPr>
            <m:ctrlPr>
              <w:rPr>
                <w:rFonts w:ascii="Cambria Math" w:hAnsi="Cambria Math" w:cs="Times New Roman"/>
                <w:i/>
              </w:rPr>
            </m:ctrlPr>
          </m:sSubSupPr>
          <m:e>
            <m:r>
              <w:rPr>
                <w:rFonts w:ascii="Cambria Math" w:hAnsi="Cambria Math" w:cs="Times New Roman"/>
              </w:rPr>
              <m:t>c</m:t>
            </m:r>
          </m:e>
          <m:sub>
            <m:r>
              <w:rPr>
                <w:rFonts w:ascii="Cambria Math" w:hAnsi="Cambria Math" w:cs="Times New Roman"/>
              </w:rPr>
              <m:t>i</m:t>
            </m:r>
          </m:sub>
          <m:sup>
            <m:r>
              <w:rPr>
                <w:rFonts w:ascii="Cambria Math" w:hAnsi="Cambria Math" w:cs="Times New Roman"/>
              </w:rPr>
              <m:t>*</m:t>
            </m:r>
          </m:sup>
        </m:sSubSup>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a</m:t>
            </m:r>
          </m:sub>
        </m:sSub>
        <m:r>
          <w:rPr>
            <w:rFonts w:ascii="Cambria Math" w:hAnsi="Cambria Math" w:cs="Times New Roman"/>
          </w:rPr>
          <m:t xml:space="preserve">-1.6 </m:t>
        </m:r>
        <m:r>
          <m:rPr>
            <m:sty m:val="p"/>
          </m:rPr>
          <w:rPr>
            <w:rFonts w:ascii="Cambria Math" w:hAnsi="Cambria Math" w:cs="Times New Roman"/>
          </w:rPr>
          <m:t>WUE</m:t>
        </m:r>
      </m:oMath>
      <w:r w:rsidR="0006446D">
        <w:rPr>
          <w:rFonts w:cs="Times New Roman"/>
        </w:rPr>
        <w:tab/>
      </w:r>
      <w:r w:rsidR="0006446D">
        <w:rPr>
          <w:rFonts w:cs="Times New Roman"/>
        </w:rPr>
        <w:tab/>
      </w:r>
      <w:r w:rsidR="0006446D">
        <w:rPr>
          <w:rFonts w:cs="Times New Roman"/>
        </w:rPr>
        <w:tab/>
      </w:r>
      <w:r w:rsidR="0006446D">
        <w:rPr>
          <w:rFonts w:cs="Times New Roman"/>
        </w:rPr>
        <w:tab/>
      </w:r>
      <w:r w:rsidR="0006446D">
        <w:rPr>
          <w:rFonts w:cs="Times New Roman"/>
        </w:rPr>
        <w:tab/>
      </w:r>
      <w:r w:rsidR="0006446D">
        <w:rPr>
          <w:rFonts w:cs="Times New Roman"/>
        </w:rPr>
        <w:tab/>
      </w:r>
      <w:r w:rsidR="0006446D">
        <w:rPr>
          <w:rFonts w:cs="Times New Roman"/>
        </w:rPr>
        <w:tab/>
      </w:r>
      <w:r w:rsidR="0006446D">
        <w:rPr>
          <w:rFonts w:cs="Times New Roman"/>
        </w:rPr>
        <w:tab/>
      </w:r>
      <w:r w:rsidR="0052531F">
        <w:rPr>
          <w:rFonts w:cs="Times New Roman"/>
        </w:rPr>
        <w:tab/>
      </w:r>
      <w:r w:rsidR="0006446D">
        <w:rPr>
          <w:rFonts w:cs="Times New Roman"/>
        </w:rPr>
        <w:t>(</w:t>
      </w:r>
      <w:r w:rsidR="00FC71C9">
        <w:rPr>
          <w:rFonts w:cs="Times New Roman"/>
        </w:rPr>
        <w:t>10</w:t>
      </w:r>
      <w:r w:rsidR="0006446D">
        <w:rPr>
          <w:rFonts w:cs="Times New Roman"/>
        </w:rPr>
        <w:t>)</w:t>
      </w:r>
    </w:p>
    <w:p w14:paraId="39444C09" w14:textId="702D8387" w:rsidR="00C55A8C" w:rsidRPr="0017628A" w:rsidRDefault="00B9272D" w:rsidP="00F13206">
      <w:pPr>
        <w:pStyle w:val="Body"/>
        <w:spacing w:before="240" w:line="360" w:lineRule="auto"/>
        <w:jc w:val="both"/>
        <w:rPr>
          <w:rFonts w:cs="Times New Roman"/>
          <w:color w:val="000000" w:themeColor="text1"/>
        </w:rPr>
      </w:pPr>
      <w:r w:rsidRPr="00BD2160">
        <w:rPr>
          <w:rFonts w:cs="Times New Roman"/>
        </w:rPr>
        <w:t xml:space="preserve">In contrast to </w:t>
      </w:r>
      <w:r>
        <w:rPr>
          <w:rFonts w:cs="Times New Roman"/>
        </w:rPr>
        <w:t xml:space="preserve">FACE </w:t>
      </w:r>
      <w:r w:rsidRPr="00BD2160">
        <w:rPr>
          <w:rFonts w:cs="Times New Roman"/>
        </w:rPr>
        <w:t>experiments</w:t>
      </w:r>
      <w:r w:rsidR="005E4157">
        <w:rPr>
          <w:rFonts w:cs="Times New Roman"/>
        </w:rPr>
        <w:t xml:space="preserve"> and results from </w:t>
      </w:r>
      <w:r w:rsidR="00EF51A8">
        <w:rPr>
          <w:rFonts w:cs="Times New Roman"/>
        </w:rPr>
        <w:t>tree-ring</w:t>
      </w:r>
      <w:r w:rsidR="005E4157">
        <w:rPr>
          <w:rFonts w:cs="Times New Roman"/>
        </w:rPr>
        <w:t xml:space="preserve"> studies</w:t>
      </w:r>
      <w:r w:rsidRPr="00BD2160">
        <w:rPr>
          <w:rFonts w:cs="Times New Roman"/>
        </w:rPr>
        <w:t xml:space="preserve">, </w:t>
      </w:r>
      <w:r>
        <w:rPr>
          <w:rFonts w:cs="Times New Roman"/>
        </w:rPr>
        <w:t>the few</w:t>
      </w:r>
      <w:r w:rsidRPr="00BD2160">
        <w:rPr>
          <w:rFonts w:cs="Times New Roman"/>
        </w:rPr>
        <w:t xml:space="preserve"> studies using </w:t>
      </w:r>
      <w:r w:rsidR="00EF51A8">
        <w:rPr>
          <w:rFonts w:cs="Times New Roman"/>
        </w:rPr>
        <w:t>eddy-covariance</w:t>
      </w:r>
      <w:r w:rsidRPr="00BD2160">
        <w:rPr>
          <w:rFonts w:cs="Times New Roman"/>
        </w:rPr>
        <w:t xml:space="preserve"> flux observations </w:t>
      </w:r>
      <w:r>
        <w:rPr>
          <w:rFonts w:cs="Times New Roman"/>
        </w:rPr>
        <w:t xml:space="preserve">have </w:t>
      </w:r>
      <w:r w:rsidRPr="00BD2160">
        <w:rPr>
          <w:rFonts w:cs="Times New Roman"/>
        </w:rPr>
        <w:t xml:space="preserve">reported </w:t>
      </w:r>
      <w:r w:rsidR="00336692">
        <w:rPr>
          <w:rFonts w:cs="Times New Roman"/>
        </w:rPr>
        <w:t>gas-exchange strategie</w:t>
      </w:r>
      <w:r>
        <w:rPr>
          <w:rFonts w:cs="Times New Roman"/>
        </w:rPr>
        <w:t xml:space="preserve">s </w:t>
      </w:r>
      <w:r w:rsidR="003B57C8">
        <w:rPr>
          <w:rFonts w:cs="Times New Roman"/>
        </w:rPr>
        <w:t xml:space="preserve">more </w:t>
      </w:r>
      <w:r>
        <w:rPr>
          <w:rFonts w:cs="Times New Roman"/>
        </w:rPr>
        <w:t>consistent with a</w:t>
      </w:r>
      <w:r w:rsidRPr="00BD2160">
        <w:rPr>
          <w:rFonts w:cs="Times New Roman"/>
        </w:rPr>
        <w:t xml:space="preserve"> constant </w:t>
      </w:r>
      <w:r w:rsidRPr="00BD2160">
        <w:rPr>
          <w:rFonts w:cs="Times New Roman"/>
          <w:i/>
        </w:rPr>
        <w:t>c</w:t>
      </w:r>
      <w:r w:rsidRPr="00BD2160">
        <w:rPr>
          <w:rFonts w:cs="Times New Roman"/>
          <w:vertAlign w:val="subscript"/>
        </w:rPr>
        <w:t>i</w:t>
      </w:r>
      <w:r w:rsidRPr="00BD2160">
        <w:rPr>
          <w:rFonts w:cs="Times New Roman"/>
        </w:rPr>
        <w:t>*</w:t>
      </w:r>
      <w:r>
        <w:rPr>
          <w:rFonts w:cs="Times New Roman"/>
        </w:rPr>
        <w:t xml:space="preserve">, leading to a decrease in </w:t>
      </w:r>
      <w:r w:rsidRPr="00BD2160">
        <w:rPr>
          <w:rFonts w:cs="Times New Roman"/>
          <w:i/>
        </w:rPr>
        <w:t>c</w:t>
      </w:r>
      <w:r w:rsidRPr="00BD2160">
        <w:rPr>
          <w:rFonts w:cs="Times New Roman"/>
          <w:vertAlign w:val="subscript"/>
        </w:rPr>
        <w:t>i</w:t>
      </w:r>
      <w:r w:rsidRPr="00BD2160">
        <w:rPr>
          <w:rFonts w:cs="Times New Roman"/>
        </w:rPr>
        <w:t>*</w:t>
      </w:r>
      <w:r>
        <w:rPr>
          <w:rFonts w:cs="Times New Roman"/>
        </w:rPr>
        <w:t>/</w:t>
      </w:r>
      <w:r w:rsidRPr="00BD2160">
        <w:rPr>
          <w:rFonts w:cs="Times New Roman"/>
          <w:i/>
        </w:rPr>
        <w:t>c</w:t>
      </w:r>
      <w:r>
        <w:rPr>
          <w:rFonts w:cs="Times New Roman"/>
          <w:vertAlign w:val="subscript"/>
        </w:rPr>
        <w:t>a</w:t>
      </w:r>
      <w:r w:rsidRPr="00BD2160">
        <w:rPr>
          <w:rFonts w:cs="Times New Roman"/>
        </w:rPr>
        <w:t xml:space="preserve"> </w:t>
      </w:r>
      <w:r w:rsidR="005E4157">
        <w:rPr>
          <w:rFonts w:cs="Times New Roman"/>
        </w:rPr>
        <w:t xml:space="preserve">over the past two decades </w:t>
      </w:r>
      <w:r>
        <w:rPr>
          <w:rFonts w:cs="Times New Roman"/>
        </w:rPr>
        <w:t>(</w:t>
      </w:r>
      <w:r>
        <w:rPr>
          <w:rFonts w:cs="Times New Roman"/>
        </w:rPr>
        <w:fldChar w:fldCharType="begin" w:fldLock="1"/>
      </w:r>
      <w:r w:rsidR="00D34863">
        <w:rPr>
          <w:rFonts w:cs="Times New Roman"/>
        </w:rPr>
        <w:instrText>ADDIN CSL_CITATION {"citationItems":[{"id":"ITEM-1","itemData":{"DOI":"10.1038/nature12291","ISBN":"0028-0836","ISSN":"1476-4687","PMID":"23842499","abstract":"Terrestrial plants remove CO2 from the atmosphere through photosynthesis, a process that is accompanied by the loss of water vapour from leaves. The ratio of water loss to carbon gain, or water-use efficiency, is a key characteristic of ecosystem function that is central to the global cycles of water, energy and carbon. Here we analyse direct, long-term measurements of whole-ecosystem carbon and water exchange. We find a substantial increase in water-use efficiency in temperate and boreal forests of the Northern Hemisphere over the past two decades. We systematically assess various competing hypotheses to explain this trend, and find that the observed increase is most consistent with a strong CO2 fertilization effect. The results suggest a partial closure of stomata-small pores on the leaf surface that regulate gas exchange-to maintain a near-constant concentration of CO2 inside the leaf even under continually increasing atmospheric CO2 levels. The observed increase in forest water-use efficiency is larger than that predicted by existing theory and 13 terrestrial biosphere models. The increase is associated with trends of increasing ecosystem-level photosynthesis and net carbon uptake, and decreasing evapotranspiration. Our findings suggest a shift in the carbon- and water-based economics of terrestrial vegetation, which may require a reassessment of the role of stomatal control in regulating interactions between forests and climate change, and a re-evaluation of coupled vegetation-climate models.","author":[{"dropping-particle":"","family":"Keenan","given":"Trevor F.","non-dropping-particle":"","parse-names":false,"suffix":""},{"dropping-particle":"","family":"Hollinger","given":"David Y.","non-dropping-particle":"","parse-names":false,"suffix":""},{"dropping-particle":"","family":"Bohrer","given":"Gil","non-dropping-particle":"","parse-names":false,"suffix":""},{"dropping-particle":"","family":"Dragoni","given":"Danilo","non-dropping-particle":"","parse-names":false,"suffix":""},{"dropping-particle":"","family":"Munger","given":"J. William","non-dropping-particle":"","parse-names":false,"suffix":""},{"dropping-particle":"","family":"Schmid","given":"Hans Peter","non-dropping-particle":"","parse-names":false,"suffix":""},{"dropping-particle":"","family":"Richardson","given":"Andrew D.","non-dropping-particle":"","parse-names":false,"suffix":""}],"container-title":"Nature","id":"ITEM-1","issue":"7458","issued":{"date-parts":[["2013","7","18"]]},"page":"324-327","title":"Increase in forest water-use efficiency as atmospheric carbon dioxide concentrations rise.","type":"article-journal","volume":"499"},"uris":["http://www.mendeley.com/documents/?uuid=139f0204-41ea-415d-84e5-ca73af117030"]},{"id":"ITEM-2","itemData":{"DOI":"10.1002/2017JG003890","ISBN":"2169-8953","ISSN":"21698961","PMID":"26213675","abstract":"©2017. American Geophysical Union. Elevated atmospheric CO 2  concentrations are expected to enhance photosynthesis and reduce stomatal conductance, thus increasing plant water use efficiency. A recent study based on eddy covariance flux observations from Northern Hemisphere forests showed a large increase in inherent water use efficiency (IWUE). Here we used an updated version of the same data set and robust uncertainty quantification to revisit these contemporary IWUE trends. We tested the hypothesis that the observed IWUE increase could be attributed to interannual trends in plant functional traits, potentially triggered by environmental change. We found that IWUE increased by ~1.3% yr -1 , which is less than previously reported but still larger than theoretical expectations. Numerical simulations with the Tethys-Chloris ecosystem model using temporally static plant functional traits cannot explain this increase. Simulations with plant functional trait plasticity, i.e., temporal changes in model parameters such as specific leaf area and maximum Rubisco capacity, match the observed trends in IWUE. Our results show that trends in plant functional traits, equal to 1.0% yr -1 , can explain the observed IWUE trends. Thus, at decadal or longer time scales, trait plasticity could potentially influence forest water, carbon, and energy fluxes with profound implications for both the monitoring of temporal changes in plant functional traits and their representation in Earth system models.","author":[{"dropping-particle":"","family":"Mastrotheodoros","given":"Theodoros","non-dropping-particle":"","parse-names":false,"suffix":""},{"dropping-particle":"","family":"Pappas","given":"Christoforos","non-dropping-particle":"","parse-names":false,"suffix":""},{"dropping-particle":"","family":"Molnar","given":"Peter","non-dropping-particle":"","parse-names":false,"suffix":""},{"dropping-particle":"","family":"Burlando","given":"Paolo","non-dropping-particle":"","parse-names":false,"suffix":""},{"dropping-particle":"","family":"Keenan","given":"Trevor F.","non-dropping-particle":"","parse-names":false,"suffix":""},{"dropping-particle":"","family":"Gentine","given":"Pierre","non-dropping-particle":"","parse-names":false,"suffix":""},{"dropping-particle":"","family":"Gough","given":"Christopher M.","non-dropping-particle":"","parse-names":false,"suffix":""},{"dropping-particle":"","family":"Fatichi","given":"Simone","non-dropping-particle":"","parse-names":false,"suffix":""}],"container-title":"Journal of Geophysical Research: Biogeosciences","id":"ITEM-2","issue":"9","issued":{"date-parts":[["2017"]]},"page":"2393-2408","title":"Linking plant functional trait plasticity and the large increase in forest water use efficiency","type":"article-journal","volume":"122"},"uris":["http://www.mendeley.com/documents/?uuid=025d7927-3672-409f-9e40-3c6d2953e58c"]},{"id":"ITEM-3","itemData":{"DOI":"10.1029/2018GL079093","ISSN":"1944-8007","author":[{"dropping-particle":"","family":"Wang","given":"Mengjie","non-dropping-particle":"","parse-names":false,"suffix":""},{"dropping-particle":"","family":"Chen","given":"Yunhao","non-dropping-particle":"","parse-names":false,"suffix":""},{"dropping-particle":"","family":"Wu","given":"Xiuchen","non-dropping-particle":"","parse-names":false,"suffix":""},{"dropping-particle":"","family":"B</w:instrText>
      </w:r>
      <w:r w:rsidR="00D34863">
        <w:rPr>
          <w:rFonts w:cs="Times New Roman" w:hint="eastAsia"/>
        </w:rPr>
        <w:instrText>ai","given":"Yan","non-dropping-particle":"","parse-names":false,"suffix":""}],"container-title":"Geophysical Research Letters","id":"ITEM-3","issued":{"date-parts":[["2018"]]},"title":"Forest</w:instrText>
      </w:r>
      <w:r w:rsidR="00D34863">
        <w:rPr>
          <w:rFonts w:cs="Times New Roman" w:hint="eastAsia"/>
        </w:rPr>
        <w:instrText>‐</w:instrText>
      </w:r>
      <w:r w:rsidR="00D34863">
        <w:rPr>
          <w:rFonts w:cs="Times New Roman" w:hint="eastAsia"/>
        </w:rPr>
        <w:instrText>type</w:instrText>
      </w:r>
      <w:r w:rsidR="00D34863">
        <w:rPr>
          <w:rFonts w:cs="Times New Roman" w:hint="eastAsia"/>
        </w:rPr>
        <w:instrText>‐</w:instrText>
      </w:r>
      <w:r w:rsidR="00D34863">
        <w:rPr>
          <w:rFonts w:cs="Times New Roman" w:hint="eastAsia"/>
        </w:rPr>
        <w:instrText>dependent water use efficiency trends across the Northern</w:instrText>
      </w:r>
      <w:r w:rsidR="00D34863">
        <w:rPr>
          <w:rFonts w:cs="Times New Roman"/>
        </w:rPr>
        <w:instrText xml:space="preserve"> Hemisphere","type":"article-journal"},"uris":["http://www.mendeley.com/documents/?uuid=2c2ce213-132f-4cd5-977b-498ef8c07e2d"]}],"mendeley":{"formattedCitation":"(Keenan et al., 2013; Mastrotheodoros et al., 2017; Wang et al., 2018)","manualFormatting":"Keenan et al., 2013; Mastrotheodoros et al., 2017; Wang et al., 2018)","plainTextFormattedCitation":"(Keenan et al., 2013; Mastrotheodoros et al., 2017; Wang et al., 2018)","previouslyFormattedCitation":"(Keenan et al., 2013; Mastrotheodoros et al., 2017; Wang et al., 2018)"},"properties":{"noteIndex":0},"schema":"https://github.com/citation-style-language/schema/raw/master/csl-citation.json"}</w:instrText>
      </w:r>
      <w:r>
        <w:rPr>
          <w:rFonts w:cs="Times New Roman"/>
        </w:rPr>
        <w:fldChar w:fldCharType="separate"/>
      </w:r>
      <w:r w:rsidRPr="00A15E92">
        <w:rPr>
          <w:rFonts w:cs="Times New Roman"/>
          <w:noProof/>
        </w:rPr>
        <w:t>Keenan et al., 2013; Mastrotheodoros et al., 2017; Wang et al., 2018)</w:t>
      </w:r>
      <w:r>
        <w:rPr>
          <w:rFonts w:cs="Times New Roman"/>
        </w:rPr>
        <w:fldChar w:fldCharType="end"/>
      </w:r>
      <w:r w:rsidRPr="00BD2160">
        <w:rPr>
          <w:rFonts w:cs="Times New Roman"/>
        </w:rPr>
        <w:t xml:space="preserve">. </w:t>
      </w:r>
      <w:r w:rsidR="004E4089">
        <w:rPr>
          <w:rFonts w:cs="Times New Roman"/>
          <w:color w:val="000000" w:themeColor="text1"/>
        </w:rPr>
        <w:t>D</w:t>
      </w:r>
      <w:r w:rsidR="00E77504">
        <w:rPr>
          <w:rFonts w:cs="Times New Roman"/>
          <w:color w:val="000000" w:themeColor="text1"/>
        </w:rPr>
        <w:t>espite strong site-to-site variability</w:t>
      </w:r>
      <w:r w:rsidR="00C93B1E">
        <w:rPr>
          <w:rFonts w:cs="Times New Roman"/>
          <w:color w:val="000000" w:themeColor="text1"/>
        </w:rPr>
        <w:t xml:space="preserve"> and differences in the magnitude of changes</w:t>
      </w:r>
      <w:r w:rsidR="00E77504">
        <w:rPr>
          <w:rFonts w:cs="Times New Roman"/>
          <w:color w:val="000000" w:themeColor="text1"/>
        </w:rPr>
        <w:t xml:space="preserve">, all studies </w:t>
      </w:r>
      <w:r w:rsidR="00E56EE8">
        <w:rPr>
          <w:rFonts w:cs="Times New Roman"/>
          <w:color w:val="000000" w:themeColor="text1"/>
        </w:rPr>
        <w:t>identifie</w:t>
      </w:r>
      <w:r w:rsidR="00B273DF">
        <w:rPr>
          <w:rFonts w:cs="Times New Roman"/>
          <w:color w:val="000000" w:themeColor="text1"/>
        </w:rPr>
        <w:t>d</w:t>
      </w:r>
      <w:r w:rsidR="00E77504">
        <w:rPr>
          <w:rFonts w:cs="Times New Roman"/>
          <w:color w:val="000000" w:themeColor="text1"/>
        </w:rPr>
        <w:t xml:space="preserve"> a </w:t>
      </w:r>
      <w:r w:rsidR="0017628A">
        <w:rPr>
          <w:rFonts w:cs="Times New Roman"/>
          <w:color w:val="000000" w:themeColor="text1"/>
        </w:rPr>
        <w:t xml:space="preserve">larger decrease in </w:t>
      </w:r>
      <w:r w:rsidR="0017628A" w:rsidRPr="00BD2160">
        <w:rPr>
          <w:rFonts w:cs="Times New Roman"/>
          <w:i/>
        </w:rPr>
        <w:t>c</w:t>
      </w:r>
      <w:r w:rsidR="0017628A" w:rsidRPr="00BD2160">
        <w:rPr>
          <w:rFonts w:cs="Times New Roman"/>
          <w:vertAlign w:val="subscript"/>
        </w:rPr>
        <w:t>i</w:t>
      </w:r>
      <w:r w:rsidR="0017628A" w:rsidRPr="00BD2160">
        <w:rPr>
          <w:rFonts w:cs="Times New Roman"/>
        </w:rPr>
        <w:t>*</w:t>
      </w:r>
      <w:r w:rsidR="0017628A">
        <w:rPr>
          <w:rFonts w:cs="Times New Roman"/>
        </w:rPr>
        <w:t>/</w:t>
      </w:r>
      <w:r w:rsidR="0017628A" w:rsidRPr="00BD2160">
        <w:rPr>
          <w:rFonts w:cs="Times New Roman"/>
          <w:i/>
        </w:rPr>
        <w:t>c</w:t>
      </w:r>
      <w:r w:rsidR="0017628A">
        <w:rPr>
          <w:rFonts w:cs="Times New Roman"/>
          <w:vertAlign w:val="subscript"/>
        </w:rPr>
        <w:t>a</w:t>
      </w:r>
      <w:r w:rsidR="0017628A" w:rsidRPr="0017628A">
        <w:rPr>
          <w:rFonts w:cs="Times New Roman"/>
        </w:rPr>
        <w:t>,</w:t>
      </w:r>
      <w:r w:rsidR="00E77504">
        <w:rPr>
          <w:rFonts w:cs="Times New Roman"/>
          <w:color w:val="000000" w:themeColor="text1"/>
        </w:rPr>
        <w:t xml:space="preserve"> </w:t>
      </w:r>
      <w:r w:rsidR="00D87B41">
        <w:rPr>
          <w:rFonts w:cs="Times New Roman"/>
          <w:color w:val="000000" w:themeColor="text1"/>
        </w:rPr>
        <w:t>associated with</w:t>
      </w:r>
      <w:r w:rsidR="0017628A">
        <w:rPr>
          <w:rFonts w:cs="Times New Roman"/>
          <w:color w:val="000000" w:themeColor="text1"/>
        </w:rPr>
        <w:t xml:space="preserve"> a larger increase of ecosystem WUE, </w:t>
      </w:r>
      <w:r w:rsidR="002362DA">
        <w:rPr>
          <w:rFonts w:cs="Times New Roman"/>
          <w:color w:val="000000" w:themeColor="text1"/>
        </w:rPr>
        <w:t xml:space="preserve">in </w:t>
      </w:r>
      <w:r w:rsidR="00E77504">
        <w:rPr>
          <w:rFonts w:cs="Times New Roman"/>
          <w:color w:val="000000" w:themeColor="text1"/>
        </w:rPr>
        <w:t>DBF</w:t>
      </w:r>
      <w:r w:rsidR="00734981">
        <w:rPr>
          <w:rFonts w:cs="Times New Roman"/>
          <w:color w:val="000000" w:themeColor="text1"/>
        </w:rPr>
        <w:t>s</w:t>
      </w:r>
      <w:r w:rsidR="00E77504">
        <w:rPr>
          <w:rFonts w:cs="Times New Roman"/>
          <w:color w:val="000000" w:themeColor="text1"/>
        </w:rPr>
        <w:t xml:space="preserve"> </w:t>
      </w:r>
      <w:r w:rsidR="004B3564">
        <w:rPr>
          <w:rFonts w:cs="Times New Roman"/>
          <w:color w:val="000000" w:themeColor="text1"/>
        </w:rPr>
        <w:t>compared to</w:t>
      </w:r>
      <w:r w:rsidR="002362DA">
        <w:rPr>
          <w:rFonts w:cs="Times New Roman"/>
          <w:color w:val="000000" w:themeColor="text1"/>
        </w:rPr>
        <w:t xml:space="preserve"> </w:t>
      </w:r>
      <w:r w:rsidR="00E77504">
        <w:rPr>
          <w:rFonts w:cs="Times New Roman"/>
          <w:color w:val="000000" w:themeColor="text1"/>
        </w:rPr>
        <w:t>ENF</w:t>
      </w:r>
      <w:r w:rsidR="00734981">
        <w:rPr>
          <w:rFonts w:cs="Times New Roman"/>
          <w:color w:val="000000" w:themeColor="text1"/>
        </w:rPr>
        <w:t>s</w:t>
      </w:r>
      <w:r w:rsidR="00FA6DF6">
        <w:rPr>
          <w:rFonts w:cs="Times New Roman"/>
          <w:color w:val="000000" w:themeColor="text1"/>
        </w:rPr>
        <w:t xml:space="preserve">. In particular, </w:t>
      </w:r>
      <w:r w:rsidR="00FA6DF6">
        <w:rPr>
          <w:rFonts w:cs="Times New Roman"/>
          <w:color w:val="000000" w:themeColor="text1"/>
        </w:rPr>
        <w:fldChar w:fldCharType="begin" w:fldLock="1"/>
      </w:r>
      <w:r w:rsidR="00FA6DF6">
        <w:rPr>
          <w:rFonts w:cs="Times New Roman"/>
          <w:color w:val="000000" w:themeColor="text1"/>
        </w:rPr>
        <w:instrText>ADDIN CSL_CITATION {"citationItems":[{"id":"ITEM-1","itemData":{"DOI":"10.1002/2017JG003890","ISBN":"2169-8953","ISSN":"21698961","PMID":"26213675","abstract":"©2017. American Geophysical Union. Elevated atmospheric CO 2  concentrations are expected to enhance photosynthesis and reduce stomatal conductance, thus increasing plant water use efficiency. A recent study based on eddy covariance flux observations from Northern Hemisphere forests showed a large increase in inherent water use efficiency (IWUE). Here we used an updated version of the same data set and robust uncertainty quantification to revisit these contemporary IWUE trends. We tested the hypothesis that the observed IWUE increase could be attributed to interannual trends in plant functional traits, potentially triggered by environmental change. We found that IWUE increased by ~1.3% yr -1 , which is less than previously reported but still larger than theoretical expectations. Numerical simulations with the Tethys-Chloris ecosystem model using temporally static plant functional traits cannot explain this increase. Simulations with plant functional trait plasticity, i.e., temporal changes in model parameters such as specific leaf area and maximum Rubisco capacity, match the observed trends in IWUE. Our results show that trends in plant functional traits, equal to 1.0% yr -1 , can explain the observed IWUE trends. Thus, at decadal or longer time scales, trait plasticity could potentially influence forest water, carbon, and energy fluxes with profound implications for both the monitoring of temporal changes in plant functional traits and their representation in Earth system models.","author":[{"dropping-particle":"","family":"Mastrotheodoros","given":"Theodoros","non-dropping-particle":"","parse-names":false,"suffix":""},{"dropping-particle":"","family":"Pappas","given":"Christoforos","non-dropping-particle":"","parse-names":false,"suffix":""},{"dropping-particle":"","family":"Molnar","given":"Peter","non-dropping-particle":"","parse-names":false,"suffix":""},{"dropping-particle":"","family":"Burlando","given":"Paolo","non-dropping-particle":"","parse-names":false,"suffix":""},{"dropping-particle":"","family":"Keenan","given":"Trevor F.","non-dropping-particle":"","parse-names":false,"suffix":""},{"dropping-particle":"","family":"Gentine","given":"Pierre","non-dropping-particle":"","parse-names":false,"suffix":""},{"dropping-particle":"","family":"Gough","given":"Christopher M.","non-dropping-particle":"","parse-names":false,"suffix":""},{"dropping-particle":"","family":"Fatichi","given":"Simone","non-dropping-particle":"","parse-names":false,"suffix":""}],"container-title":"Journal of Geophysical Research: Biogeosciences","id":"ITEM-1","issue":"9","issued":{"date-parts":[["2017"]]},"page":"2393-2408","title":"Linking plant functional trait plasticity and the large increase in forest water use efficiency","type":"article-journal","volume":"122"},"uris":["http://www.mendeley.com/documents/?uuid=025d7927-3672-409f-9e40-3c6d2953e58c"]}],"mendeley":{"formattedCitation":"(Mastrotheodoros et al., 2017)","manualFormatting":"Mastrotheodoros et al. (2017)","plainTextFormattedCitation":"(Mastrotheodoros et al., 2017)","previouslyFormattedCitation":"(Mastrotheodoros et al., 2017)"},"properties":{"noteIndex":0},"schema":"https://github.com/citation-style-language/schema/raw/master/csl-citation.json"}</w:instrText>
      </w:r>
      <w:r w:rsidR="00FA6DF6">
        <w:rPr>
          <w:rFonts w:cs="Times New Roman"/>
          <w:color w:val="000000" w:themeColor="text1"/>
        </w:rPr>
        <w:fldChar w:fldCharType="separate"/>
      </w:r>
      <w:r w:rsidR="00FA6DF6" w:rsidRPr="00335456">
        <w:rPr>
          <w:rFonts w:cs="Times New Roman"/>
          <w:noProof/>
          <w:color w:val="000000" w:themeColor="text1"/>
        </w:rPr>
        <w:t>Mastrotheodoros et al. (2017)</w:t>
      </w:r>
      <w:r w:rsidR="00FA6DF6">
        <w:rPr>
          <w:rFonts w:cs="Times New Roman"/>
          <w:color w:val="000000" w:themeColor="text1"/>
        </w:rPr>
        <w:fldChar w:fldCharType="end"/>
      </w:r>
      <w:r w:rsidR="00FA6DF6">
        <w:rPr>
          <w:rFonts w:cs="Times New Roman"/>
          <w:color w:val="000000" w:themeColor="text1"/>
        </w:rPr>
        <w:t xml:space="preserve"> found </w:t>
      </w:r>
      <w:r w:rsidR="00FA6DF6">
        <w:rPr>
          <w:rFonts w:cs="Times New Roman"/>
        </w:rPr>
        <w:t>increases of IWUE</w:t>
      </w:r>
      <w:r w:rsidR="00FA6DF6" w:rsidRPr="00FA6DF6">
        <w:rPr>
          <w:rFonts w:cs="Times New Roman"/>
          <w:vertAlign w:val="superscript"/>
        </w:rPr>
        <w:t>eco</w:t>
      </w:r>
      <w:r w:rsidR="00FA6DF6">
        <w:rPr>
          <w:rFonts w:cs="Times New Roman"/>
        </w:rPr>
        <w:t xml:space="preserve"> of 3</w:t>
      </w:r>
      <w:r w:rsidR="00FA6DF6">
        <w:rPr>
          <w:rFonts w:cs="Times New Roman"/>
          <w:color w:val="000000" w:themeColor="text1"/>
        </w:rPr>
        <w:t xml:space="preserve">.0 </w:t>
      </w:r>
      <w:r w:rsidR="00FA6DF6">
        <w:rPr>
          <w:color w:val="000000" w:themeColor="text1"/>
        </w:rPr>
        <w:sym w:font="Symbol" w:char="F0B1"/>
      </w:r>
      <w:r w:rsidR="00FA6DF6">
        <w:rPr>
          <w:color w:val="000000" w:themeColor="text1"/>
        </w:rPr>
        <w:t>1.9</w:t>
      </w:r>
      <w:r w:rsidR="00FA6DF6" w:rsidRPr="00BD2160">
        <w:rPr>
          <w:rFonts w:cs="Times New Roman"/>
          <w:color w:val="000000" w:themeColor="text1"/>
        </w:rPr>
        <w:t xml:space="preserve">% </w:t>
      </w:r>
      <w:r w:rsidR="00FA6DF6">
        <w:rPr>
          <w:rFonts w:cs="Times New Roman"/>
          <w:color w:val="000000" w:themeColor="text1"/>
        </w:rPr>
        <w:t>yr</w:t>
      </w:r>
      <w:r w:rsidR="00FA6DF6" w:rsidRPr="00D40240">
        <w:rPr>
          <w:rFonts w:cs="Times New Roman"/>
          <w:color w:val="000000" w:themeColor="text1"/>
          <w:vertAlign w:val="superscript"/>
        </w:rPr>
        <w:t>-1</w:t>
      </w:r>
      <w:r w:rsidR="00FA6DF6">
        <w:rPr>
          <w:rFonts w:cs="Times New Roman"/>
          <w:color w:val="000000" w:themeColor="text1"/>
          <w:vertAlign w:val="superscript"/>
        </w:rPr>
        <w:t xml:space="preserve"> </w:t>
      </w:r>
      <w:r w:rsidR="00FA6DF6">
        <w:rPr>
          <w:rFonts w:cs="Times New Roman"/>
          <w:color w:val="000000" w:themeColor="text1"/>
        </w:rPr>
        <w:t xml:space="preserve">in DBFs and 0.3 </w:t>
      </w:r>
      <w:r w:rsidR="00FA6DF6">
        <w:rPr>
          <w:color w:val="000000" w:themeColor="text1"/>
        </w:rPr>
        <w:sym w:font="Symbol" w:char="F0B1"/>
      </w:r>
      <w:r w:rsidR="00FA6DF6">
        <w:rPr>
          <w:color w:val="000000" w:themeColor="text1"/>
        </w:rPr>
        <w:t xml:space="preserve"> 0.5</w:t>
      </w:r>
      <w:r w:rsidR="00FA6DF6" w:rsidRPr="00BD2160">
        <w:rPr>
          <w:rFonts w:cs="Times New Roman"/>
          <w:color w:val="000000" w:themeColor="text1"/>
        </w:rPr>
        <w:t xml:space="preserve">% </w:t>
      </w:r>
      <w:r w:rsidR="00FA6DF6">
        <w:rPr>
          <w:rFonts w:cs="Times New Roman"/>
          <w:color w:val="000000" w:themeColor="text1"/>
        </w:rPr>
        <w:t>yr</w:t>
      </w:r>
      <w:r w:rsidR="00FA6DF6" w:rsidRPr="00D40240">
        <w:rPr>
          <w:rFonts w:cs="Times New Roman"/>
          <w:color w:val="000000" w:themeColor="text1"/>
          <w:vertAlign w:val="superscript"/>
        </w:rPr>
        <w:t>-1</w:t>
      </w:r>
      <w:r w:rsidR="00FA6DF6">
        <w:rPr>
          <w:rFonts w:cs="Times New Roman"/>
          <w:color w:val="000000" w:themeColor="text1"/>
          <w:vertAlign w:val="superscript"/>
        </w:rPr>
        <w:t xml:space="preserve"> </w:t>
      </w:r>
      <w:r w:rsidR="00FA6DF6">
        <w:rPr>
          <w:rFonts w:cs="Times New Roman"/>
          <w:color w:val="000000" w:themeColor="text1"/>
        </w:rPr>
        <w:t>in ENFs</w:t>
      </w:r>
      <w:r w:rsidR="00FA6DF6" w:rsidRPr="00D760BC">
        <w:rPr>
          <w:rFonts w:cs="Times New Roman"/>
          <w:color w:val="000000" w:themeColor="text1"/>
        </w:rPr>
        <w:t xml:space="preserve"> </w:t>
      </w:r>
      <w:r w:rsidR="00FA6DF6">
        <w:rPr>
          <w:rFonts w:cs="Times New Roman"/>
          <w:color w:val="000000" w:themeColor="text1"/>
        </w:rPr>
        <w:t>over</w:t>
      </w:r>
      <w:r w:rsidR="00FA6DF6" w:rsidRPr="00BD2160">
        <w:rPr>
          <w:rFonts w:cs="Times New Roman"/>
          <w:color w:val="000000" w:themeColor="text1"/>
        </w:rPr>
        <w:t xml:space="preserve"> 199</w:t>
      </w:r>
      <w:r w:rsidR="00FA6DF6">
        <w:rPr>
          <w:rFonts w:cs="Times New Roman"/>
          <w:color w:val="000000" w:themeColor="text1"/>
        </w:rPr>
        <w:t>5-</w:t>
      </w:r>
      <w:r w:rsidR="00FA6DF6" w:rsidRPr="00BD2160">
        <w:rPr>
          <w:rFonts w:cs="Times New Roman"/>
          <w:color w:val="000000" w:themeColor="text1"/>
        </w:rPr>
        <w:t>2014</w:t>
      </w:r>
      <w:r w:rsidR="00FA6DF6">
        <w:rPr>
          <w:rFonts w:cs="Times New Roman"/>
          <w:color w:val="000000" w:themeColor="text1"/>
        </w:rPr>
        <w:t xml:space="preserve">, while </w:t>
      </w:r>
      <w:r w:rsidR="00FA6DF6">
        <w:rPr>
          <w:rFonts w:cs="Times New Roman"/>
          <w:color w:val="000000" w:themeColor="text1"/>
        </w:rPr>
        <w:fldChar w:fldCharType="begin" w:fldLock="1"/>
      </w:r>
      <w:r w:rsidR="00FA6DF6">
        <w:rPr>
          <w:rFonts w:cs="Times New Roman"/>
          <w:color w:val="000000" w:themeColor="text1"/>
        </w:rPr>
        <w:instrText>ADDIN CSL_CITATION {"citationItems":[{"id":"ITEM-1","itemData":{"DOI":"10.1029/2018GL079093","ISSN":"1944-8007","author":[{"dropping-particle":"","family":"Wang","given":"Mengjie","non-dropping-particle":"","parse-names":false,"suffix":""},{"dropping-particle":"","family":"Chen","given":"Yunhao","non-dropping-particle":"","parse-names":false,"suffix":""},{"dropping-particle":"","family":"Wu","given":"Xiuchen","non-dropping-particle":"","parse-names":false,"suffix":""},{"dropping-particle":"","family":"Bai</w:instrText>
      </w:r>
      <w:r w:rsidR="00FA6DF6">
        <w:rPr>
          <w:rFonts w:cs="Times New Roman" w:hint="eastAsia"/>
          <w:color w:val="000000" w:themeColor="text1"/>
        </w:rPr>
        <w:instrText>","given":"Yan","non-dropping-particle":"","parse-names":false,"suffix":""}],"container-title":"Geophysical Research Letters","id":"ITEM-1","issued":{"date-parts":[["2018"]]},"title":"Forest</w:instrText>
      </w:r>
      <w:r w:rsidR="00FA6DF6">
        <w:rPr>
          <w:rFonts w:cs="Times New Roman" w:hint="eastAsia"/>
          <w:color w:val="000000" w:themeColor="text1"/>
        </w:rPr>
        <w:instrText>‐</w:instrText>
      </w:r>
      <w:r w:rsidR="00FA6DF6">
        <w:rPr>
          <w:rFonts w:cs="Times New Roman" w:hint="eastAsia"/>
          <w:color w:val="000000" w:themeColor="text1"/>
        </w:rPr>
        <w:instrText>type</w:instrText>
      </w:r>
      <w:r w:rsidR="00FA6DF6">
        <w:rPr>
          <w:rFonts w:cs="Times New Roman" w:hint="eastAsia"/>
          <w:color w:val="000000" w:themeColor="text1"/>
        </w:rPr>
        <w:instrText>‐</w:instrText>
      </w:r>
      <w:r w:rsidR="00FA6DF6">
        <w:rPr>
          <w:rFonts w:cs="Times New Roman" w:hint="eastAsia"/>
          <w:color w:val="000000" w:themeColor="text1"/>
        </w:rPr>
        <w:instrText>dependent water use efficiency trends across the Northern H</w:instrText>
      </w:r>
      <w:r w:rsidR="00FA6DF6">
        <w:rPr>
          <w:rFonts w:cs="Times New Roman"/>
          <w:color w:val="000000" w:themeColor="text1"/>
        </w:rPr>
        <w:instrText>emisphere","type":"article-journal"},"uris":["http://www.mendeley.com/documents/?uuid=2c2ce213-132f-4cd5-977b-498ef8c07e2d"]}],"mendeley":{"formattedCitation":"(Wang et al., 2018)","manualFormatting":"Wang et al. (2018)","plainTextFormattedCitation":"(Wang et al., 2018)","previouslyFormattedCitation":"(Wang et al., 2018)"},"properties":{"noteIndex":0},"schema":"https://github.com/citation-style-language/schema/raw/master/csl-citation.json"}</w:instrText>
      </w:r>
      <w:r w:rsidR="00FA6DF6">
        <w:rPr>
          <w:rFonts w:cs="Times New Roman"/>
          <w:color w:val="000000" w:themeColor="text1"/>
        </w:rPr>
        <w:fldChar w:fldCharType="separate"/>
      </w:r>
      <w:r w:rsidR="00FA6DF6" w:rsidRPr="004F5264">
        <w:rPr>
          <w:rFonts w:cs="Times New Roman"/>
          <w:noProof/>
          <w:color w:val="000000" w:themeColor="text1"/>
        </w:rPr>
        <w:t>Wang et al. (2018)</w:t>
      </w:r>
      <w:r w:rsidR="00FA6DF6">
        <w:rPr>
          <w:rFonts w:cs="Times New Roman"/>
          <w:color w:val="000000" w:themeColor="text1"/>
        </w:rPr>
        <w:fldChar w:fldCharType="end"/>
      </w:r>
      <w:r w:rsidR="00FA6DF6">
        <w:rPr>
          <w:rFonts w:cs="Times New Roman"/>
          <w:color w:val="000000" w:themeColor="text1"/>
        </w:rPr>
        <w:t xml:space="preserve"> found increases of 1.93 </w:t>
      </w:r>
      <w:r w:rsidR="00FA6DF6">
        <w:rPr>
          <w:color w:val="000000" w:themeColor="text1"/>
        </w:rPr>
        <w:sym w:font="Symbol" w:char="F0B1"/>
      </w:r>
      <w:r w:rsidR="00FA6DF6">
        <w:rPr>
          <w:color w:val="000000" w:themeColor="text1"/>
        </w:rPr>
        <w:t xml:space="preserve"> 1</w:t>
      </w:r>
      <w:r w:rsidR="00FA6DF6" w:rsidRPr="00BD2160">
        <w:rPr>
          <w:rFonts w:cs="Times New Roman"/>
          <w:color w:val="000000" w:themeColor="text1"/>
        </w:rPr>
        <w:t xml:space="preserve">% </w:t>
      </w:r>
      <w:r w:rsidR="00FA6DF6">
        <w:rPr>
          <w:rFonts w:cs="Times New Roman"/>
          <w:color w:val="000000" w:themeColor="text1"/>
        </w:rPr>
        <w:t>yr</w:t>
      </w:r>
      <w:r w:rsidR="00FA6DF6" w:rsidRPr="00D40240">
        <w:rPr>
          <w:rFonts w:cs="Times New Roman"/>
          <w:color w:val="000000" w:themeColor="text1"/>
          <w:vertAlign w:val="superscript"/>
        </w:rPr>
        <w:t>-1</w:t>
      </w:r>
      <w:r w:rsidR="00FA6DF6" w:rsidRPr="00C56D34">
        <w:rPr>
          <w:rFonts w:cs="Times New Roman"/>
          <w:color w:val="000000" w:themeColor="text1"/>
        </w:rPr>
        <w:t xml:space="preserve"> </w:t>
      </w:r>
      <w:r w:rsidR="00FA6DF6">
        <w:rPr>
          <w:rFonts w:cs="Times New Roman"/>
          <w:color w:val="000000" w:themeColor="text1"/>
        </w:rPr>
        <w:t xml:space="preserve">in DBFs and 0.85 </w:t>
      </w:r>
      <w:r w:rsidR="00FA6DF6">
        <w:rPr>
          <w:color w:val="000000" w:themeColor="text1"/>
        </w:rPr>
        <w:sym w:font="Symbol" w:char="F0B1"/>
      </w:r>
      <w:r w:rsidR="00FA6DF6">
        <w:rPr>
          <w:color w:val="000000" w:themeColor="text1"/>
        </w:rPr>
        <w:t xml:space="preserve"> 0.6</w:t>
      </w:r>
      <w:r w:rsidR="00FA6DF6" w:rsidRPr="00BD2160">
        <w:rPr>
          <w:rFonts w:cs="Times New Roman"/>
          <w:color w:val="000000" w:themeColor="text1"/>
        </w:rPr>
        <w:t xml:space="preserve">% </w:t>
      </w:r>
      <w:r w:rsidR="00FA6DF6">
        <w:rPr>
          <w:rFonts w:cs="Times New Roman"/>
          <w:color w:val="000000" w:themeColor="text1"/>
        </w:rPr>
        <w:t>yr</w:t>
      </w:r>
      <w:r w:rsidR="00FA6DF6" w:rsidRPr="00D40240">
        <w:rPr>
          <w:rFonts w:cs="Times New Roman"/>
          <w:color w:val="000000" w:themeColor="text1"/>
          <w:vertAlign w:val="superscript"/>
        </w:rPr>
        <w:t>-1</w:t>
      </w:r>
      <w:r w:rsidR="00FA6DF6">
        <w:rPr>
          <w:rFonts w:cs="Times New Roman"/>
          <w:color w:val="000000" w:themeColor="text1"/>
          <w:vertAlign w:val="superscript"/>
        </w:rPr>
        <w:t xml:space="preserve"> </w:t>
      </w:r>
      <w:r w:rsidR="00FA6DF6">
        <w:rPr>
          <w:rFonts w:cs="Times New Roman"/>
          <w:color w:val="000000" w:themeColor="text1"/>
        </w:rPr>
        <w:t>in ENFs using the iWUE</w:t>
      </w:r>
      <w:r w:rsidR="00FA6DF6" w:rsidRPr="00FA6DF6">
        <w:rPr>
          <w:rFonts w:cs="Times New Roman"/>
          <w:color w:val="000000" w:themeColor="text1"/>
          <w:vertAlign w:val="superscript"/>
        </w:rPr>
        <w:t>eco</w:t>
      </w:r>
      <w:r w:rsidR="00FA6DF6">
        <w:rPr>
          <w:rFonts w:cs="Times New Roman"/>
          <w:color w:val="000000" w:themeColor="text1"/>
        </w:rPr>
        <w:t xml:space="preserve"> formulation over</w:t>
      </w:r>
      <w:r w:rsidR="00FA6DF6" w:rsidRPr="00BD2160">
        <w:rPr>
          <w:rFonts w:cs="Times New Roman"/>
          <w:color w:val="000000" w:themeColor="text1"/>
        </w:rPr>
        <w:t xml:space="preserve"> 199</w:t>
      </w:r>
      <w:r w:rsidR="00FA6DF6">
        <w:rPr>
          <w:rFonts w:cs="Times New Roman"/>
          <w:color w:val="000000" w:themeColor="text1"/>
        </w:rPr>
        <w:t>1-</w:t>
      </w:r>
      <w:r w:rsidR="00FA6DF6" w:rsidRPr="00BD2160">
        <w:rPr>
          <w:rFonts w:cs="Times New Roman"/>
          <w:color w:val="000000" w:themeColor="text1"/>
        </w:rPr>
        <w:t>2014</w:t>
      </w:r>
      <w:r w:rsidR="00FA6DF6">
        <w:rPr>
          <w:rFonts w:cs="Times New Roman"/>
          <w:color w:val="000000" w:themeColor="text1"/>
        </w:rPr>
        <w:t>.</w:t>
      </w:r>
      <w:r w:rsidR="006732CA">
        <w:rPr>
          <w:rFonts w:cs="Times New Roman"/>
          <w:color w:val="000000" w:themeColor="text1"/>
        </w:rPr>
        <w:t xml:space="preserve"> </w:t>
      </w:r>
      <w:r w:rsidR="00896F38">
        <w:rPr>
          <w:rFonts w:cs="Times New Roman"/>
          <w:color w:val="000000" w:themeColor="text1"/>
        </w:rPr>
        <w:t xml:space="preserve">The </w:t>
      </w:r>
      <w:r w:rsidR="00941D7D">
        <w:rPr>
          <w:rFonts w:cs="Times New Roman"/>
          <w:color w:val="000000" w:themeColor="text1"/>
        </w:rPr>
        <w:t xml:space="preserve">relatively </w:t>
      </w:r>
      <w:r w:rsidR="004B3564">
        <w:rPr>
          <w:rFonts w:cs="Times New Roman"/>
          <w:color w:val="000000" w:themeColor="text1"/>
        </w:rPr>
        <w:t xml:space="preserve">small </w:t>
      </w:r>
      <w:r w:rsidR="00896F38">
        <w:rPr>
          <w:rFonts w:cs="Times New Roman"/>
          <w:color w:val="000000" w:themeColor="text1"/>
        </w:rPr>
        <w:t xml:space="preserve">magnitude of </w:t>
      </w:r>
      <w:r w:rsidR="00B53D19" w:rsidRPr="00BD2160">
        <w:rPr>
          <w:rFonts w:cs="Times New Roman"/>
          <w:i/>
        </w:rPr>
        <w:t>c</w:t>
      </w:r>
      <w:r w:rsidR="00B53D19" w:rsidRPr="00BD2160">
        <w:rPr>
          <w:rFonts w:cs="Times New Roman"/>
          <w:vertAlign w:val="subscript"/>
        </w:rPr>
        <w:t>i</w:t>
      </w:r>
      <w:r w:rsidR="00B53D19" w:rsidRPr="00BD2160">
        <w:rPr>
          <w:rFonts w:cs="Times New Roman"/>
        </w:rPr>
        <w:t>*</w:t>
      </w:r>
      <w:r w:rsidR="00B53D19">
        <w:rPr>
          <w:rFonts w:cs="Times New Roman"/>
        </w:rPr>
        <w:t>/</w:t>
      </w:r>
      <w:r w:rsidR="00B53D19" w:rsidRPr="00BD2160">
        <w:rPr>
          <w:rFonts w:cs="Times New Roman"/>
          <w:i/>
        </w:rPr>
        <w:t>c</w:t>
      </w:r>
      <w:r w:rsidR="00B53D19">
        <w:rPr>
          <w:rFonts w:cs="Times New Roman"/>
          <w:vertAlign w:val="subscript"/>
        </w:rPr>
        <w:t>a</w:t>
      </w:r>
      <w:r w:rsidR="00896F38">
        <w:rPr>
          <w:rFonts w:cs="Times New Roman"/>
          <w:color w:val="000000" w:themeColor="text1"/>
        </w:rPr>
        <w:t xml:space="preserve"> </w:t>
      </w:r>
      <w:r w:rsidR="00B53D19">
        <w:rPr>
          <w:rFonts w:cs="Times New Roman"/>
          <w:color w:val="000000" w:themeColor="text1"/>
        </w:rPr>
        <w:t xml:space="preserve">decreases </w:t>
      </w:r>
      <w:r w:rsidR="00D85428">
        <w:rPr>
          <w:rFonts w:cs="Times New Roman"/>
          <w:color w:val="000000" w:themeColor="text1"/>
        </w:rPr>
        <w:t>for</w:t>
      </w:r>
      <w:r w:rsidR="00941D7D">
        <w:rPr>
          <w:rFonts w:cs="Times New Roman"/>
          <w:color w:val="000000" w:themeColor="text1"/>
        </w:rPr>
        <w:t xml:space="preserve"> ENF</w:t>
      </w:r>
      <w:r w:rsidR="00002B1F">
        <w:rPr>
          <w:rFonts w:cs="Times New Roman"/>
          <w:color w:val="000000" w:themeColor="text1"/>
        </w:rPr>
        <w:t>s</w:t>
      </w:r>
      <w:r w:rsidR="00941D7D">
        <w:rPr>
          <w:rFonts w:cs="Times New Roman"/>
          <w:color w:val="000000" w:themeColor="text1"/>
        </w:rPr>
        <w:t xml:space="preserve"> </w:t>
      </w:r>
      <w:r w:rsidR="00896F38">
        <w:rPr>
          <w:rFonts w:cs="Times New Roman"/>
          <w:color w:val="000000" w:themeColor="text1"/>
        </w:rPr>
        <w:t>suggest</w:t>
      </w:r>
      <w:r w:rsidR="00D85428">
        <w:rPr>
          <w:rFonts w:cs="Times New Roman"/>
          <w:color w:val="000000" w:themeColor="text1"/>
        </w:rPr>
        <w:t>s</w:t>
      </w:r>
      <w:r w:rsidR="00896F38">
        <w:rPr>
          <w:rFonts w:cs="Times New Roman"/>
          <w:color w:val="000000" w:themeColor="text1"/>
        </w:rPr>
        <w:t xml:space="preserve"> that</w:t>
      </w:r>
      <w:r w:rsidR="00B70BAF">
        <w:rPr>
          <w:rFonts w:cs="Times New Roman"/>
          <w:color w:val="000000" w:themeColor="text1"/>
        </w:rPr>
        <w:t>, unlike DBFs,</w:t>
      </w:r>
      <w:r w:rsidR="00896F38">
        <w:rPr>
          <w:rFonts w:cs="Times New Roman"/>
          <w:color w:val="000000" w:themeColor="text1"/>
        </w:rPr>
        <w:t xml:space="preserve"> </w:t>
      </w:r>
      <w:r w:rsidR="00B70BAF">
        <w:rPr>
          <w:rFonts w:cs="Times New Roman"/>
          <w:color w:val="000000" w:themeColor="text1"/>
        </w:rPr>
        <w:t xml:space="preserve">ENF </w:t>
      </w:r>
      <w:r w:rsidR="00896F38">
        <w:rPr>
          <w:rFonts w:cs="Times New Roman"/>
          <w:color w:val="000000" w:themeColor="text1"/>
        </w:rPr>
        <w:t xml:space="preserve">trees </w:t>
      </w:r>
      <w:r w:rsidR="00F7530A">
        <w:rPr>
          <w:rFonts w:cs="Times New Roman"/>
          <w:color w:val="000000" w:themeColor="text1"/>
        </w:rPr>
        <w:t>might</w:t>
      </w:r>
      <w:r w:rsidR="00526C5A">
        <w:rPr>
          <w:rFonts w:cs="Times New Roman"/>
          <w:color w:val="000000" w:themeColor="text1"/>
        </w:rPr>
        <w:t xml:space="preserve"> follow </w:t>
      </w:r>
      <w:r w:rsidR="00374220">
        <w:rPr>
          <w:rFonts w:cs="Times New Roman"/>
          <w:color w:val="000000" w:themeColor="text1"/>
        </w:rPr>
        <w:t>a</w:t>
      </w:r>
      <w:r w:rsidR="004D30DF">
        <w:rPr>
          <w:rFonts w:cs="Times New Roman"/>
          <w:color w:val="000000" w:themeColor="text1"/>
        </w:rPr>
        <w:t>n intermediate</w:t>
      </w:r>
      <w:r w:rsidR="00374220">
        <w:rPr>
          <w:rFonts w:cs="Times New Roman"/>
          <w:color w:val="000000" w:themeColor="text1"/>
        </w:rPr>
        <w:t xml:space="preserve"> scenario </w:t>
      </w:r>
      <w:r w:rsidR="00D91083">
        <w:rPr>
          <w:rFonts w:cs="Times New Roman"/>
          <w:color w:val="000000" w:themeColor="text1"/>
        </w:rPr>
        <w:t xml:space="preserve">between constant </w:t>
      </w:r>
      <w:r w:rsidR="00D91083" w:rsidRPr="00D42A13">
        <w:rPr>
          <w:rFonts w:cs="Times New Roman"/>
          <w:i/>
          <w:color w:val="000000" w:themeColor="text1"/>
        </w:rPr>
        <w:t>c</w:t>
      </w:r>
      <w:r w:rsidR="00D91083" w:rsidRPr="00D42A13">
        <w:rPr>
          <w:rFonts w:cs="Times New Roman"/>
          <w:color w:val="000000" w:themeColor="text1"/>
          <w:vertAlign w:val="subscript"/>
        </w:rPr>
        <w:t>i</w:t>
      </w:r>
      <w:r w:rsidR="00D91083">
        <w:rPr>
          <w:rFonts w:cs="Times New Roman"/>
          <w:color w:val="000000" w:themeColor="text1"/>
        </w:rPr>
        <w:t xml:space="preserve">* and </w:t>
      </w:r>
      <w:r w:rsidR="00374220">
        <w:rPr>
          <w:rFonts w:cs="Times New Roman"/>
          <w:color w:val="000000" w:themeColor="text1"/>
        </w:rPr>
        <w:t xml:space="preserve">constant </w:t>
      </w:r>
      <w:r w:rsidR="00374220" w:rsidRPr="00BD2160">
        <w:rPr>
          <w:rFonts w:cs="Times New Roman"/>
          <w:i/>
        </w:rPr>
        <w:t>c</w:t>
      </w:r>
      <w:r w:rsidR="00374220" w:rsidRPr="00BD2160">
        <w:rPr>
          <w:rFonts w:cs="Times New Roman"/>
          <w:vertAlign w:val="subscript"/>
        </w:rPr>
        <w:t>i</w:t>
      </w:r>
      <w:r w:rsidR="00374220" w:rsidRPr="00BD2160">
        <w:rPr>
          <w:rFonts w:cs="Times New Roman"/>
        </w:rPr>
        <w:t>*/</w:t>
      </w:r>
      <w:r w:rsidR="00374220" w:rsidRPr="00BD2160">
        <w:rPr>
          <w:rFonts w:cs="Times New Roman"/>
          <w:i/>
        </w:rPr>
        <w:t>c</w:t>
      </w:r>
      <w:r w:rsidR="00374220" w:rsidRPr="00BD2160">
        <w:rPr>
          <w:rFonts w:cs="Times New Roman"/>
          <w:vertAlign w:val="subscript"/>
        </w:rPr>
        <w:t>a</w:t>
      </w:r>
      <w:r w:rsidR="00BA0E95">
        <w:rPr>
          <w:rFonts w:cs="Times New Roman"/>
        </w:rPr>
        <w:t xml:space="preserve"> with increasing </w:t>
      </w:r>
      <w:r w:rsidR="00BA0E95" w:rsidRPr="00D42A13">
        <w:rPr>
          <w:rFonts w:cs="Times New Roman"/>
          <w:i/>
        </w:rPr>
        <w:t>c</w:t>
      </w:r>
      <w:r w:rsidR="00BA0E95" w:rsidRPr="00D42A13">
        <w:rPr>
          <w:rFonts w:cs="Times New Roman"/>
          <w:vertAlign w:val="subscript"/>
        </w:rPr>
        <w:t>a</w:t>
      </w:r>
      <w:r w:rsidR="004B3564">
        <w:rPr>
          <w:rFonts w:cs="Times New Roman"/>
        </w:rPr>
        <w:t>. This</w:t>
      </w:r>
      <w:r w:rsidR="006D05D9">
        <w:rPr>
          <w:rFonts w:cs="Times New Roman"/>
        </w:rPr>
        <w:t xml:space="preserve"> would be more consistent with </w:t>
      </w:r>
      <w:r w:rsidR="00460AC4">
        <w:rPr>
          <w:rFonts w:cs="Times New Roman"/>
        </w:rPr>
        <w:t>most</w:t>
      </w:r>
      <w:r w:rsidR="003D29B4">
        <w:rPr>
          <w:rFonts w:cs="Times New Roman"/>
        </w:rPr>
        <w:t xml:space="preserve"> tree-ring</w:t>
      </w:r>
      <w:r w:rsidR="006D05D9">
        <w:rPr>
          <w:rFonts w:cs="Times New Roman"/>
        </w:rPr>
        <w:t xml:space="preserve"> studies.</w:t>
      </w:r>
    </w:p>
    <w:p w14:paraId="629A1F7F" w14:textId="48F9BEA7" w:rsidR="00C55A8C" w:rsidRPr="00106A23" w:rsidRDefault="004B3564" w:rsidP="00F13206">
      <w:pPr>
        <w:pStyle w:val="Body"/>
        <w:spacing w:before="240" w:line="360" w:lineRule="auto"/>
        <w:jc w:val="both"/>
        <w:rPr>
          <w:rFonts w:cs="Times New Roman"/>
          <w:color w:val="000000" w:themeColor="text1"/>
        </w:rPr>
      </w:pPr>
      <w:r>
        <w:rPr>
          <w:rFonts w:cs="Times New Roman"/>
          <w:color w:val="000000" w:themeColor="text1"/>
        </w:rPr>
        <w:t>T</w:t>
      </w:r>
      <w:r w:rsidR="008C42FB" w:rsidRPr="00BD2160">
        <w:rPr>
          <w:rFonts w:cs="Times New Roman"/>
          <w:color w:val="000000" w:themeColor="text1"/>
        </w:rPr>
        <w:t xml:space="preserve">hese </w:t>
      </w:r>
      <w:r>
        <w:rPr>
          <w:rFonts w:cs="Times New Roman"/>
          <w:color w:val="000000" w:themeColor="text1"/>
        </w:rPr>
        <w:t xml:space="preserve">various </w:t>
      </w:r>
      <w:r w:rsidR="00446D5B" w:rsidRPr="00BD2160">
        <w:rPr>
          <w:rFonts w:cs="Times New Roman"/>
          <w:color w:val="000000" w:themeColor="text1"/>
        </w:rPr>
        <w:t xml:space="preserve">conflicting findings have led </w:t>
      </w:r>
      <w:r w:rsidR="001D2A85">
        <w:rPr>
          <w:rFonts w:cs="Times New Roman"/>
          <w:color w:val="000000" w:themeColor="text1"/>
        </w:rPr>
        <w:t>some</w:t>
      </w:r>
      <w:r w:rsidR="001D2A85" w:rsidRPr="00BD2160">
        <w:rPr>
          <w:rFonts w:cs="Times New Roman"/>
          <w:color w:val="000000" w:themeColor="text1"/>
        </w:rPr>
        <w:t xml:space="preserve"> </w:t>
      </w:r>
      <w:r w:rsidR="00446D5B" w:rsidRPr="00BD2160">
        <w:rPr>
          <w:rFonts w:cs="Times New Roman"/>
          <w:color w:val="000000" w:themeColor="text1"/>
        </w:rPr>
        <w:t xml:space="preserve">researchers to suggest that </w:t>
      </w:r>
      <w:r w:rsidR="00CD7D92">
        <w:rPr>
          <w:rFonts w:cs="Times New Roman"/>
          <w:color w:val="000000" w:themeColor="text1"/>
        </w:rPr>
        <w:t>rising</w:t>
      </w:r>
      <w:r w:rsidR="00446D5B" w:rsidRPr="00BD2160">
        <w:rPr>
          <w:rFonts w:cs="Times New Roman"/>
          <w:color w:val="000000" w:themeColor="text1"/>
        </w:rPr>
        <w:t xml:space="preserve"> </w:t>
      </w:r>
      <w:r w:rsidR="00446D5B" w:rsidRPr="00BD2160">
        <w:rPr>
          <w:rFonts w:cs="Times New Roman"/>
          <w:i/>
          <w:color w:val="000000" w:themeColor="text1"/>
        </w:rPr>
        <w:t>c</w:t>
      </w:r>
      <w:r w:rsidR="00446D5B" w:rsidRPr="00BD2160">
        <w:rPr>
          <w:rFonts w:cs="Times New Roman"/>
          <w:color w:val="000000" w:themeColor="text1"/>
          <w:vertAlign w:val="subscript"/>
        </w:rPr>
        <w:t>a</w:t>
      </w:r>
      <w:r w:rsidR="00446D5B" w:rsidRPr="00BD2160">
        <w:rPr>
          <w:rFonts w:cs="Times New Roman"/>
          <w:color w:val="000000" w:themeColor="text1"/>
        </w:rPr>
        <w:t xml:space="preserve"> could result in plants regulating leaf ga</w:t>
      </w:r>
      <w:r w:rsidR="00242488">
        <w:rPr>
          <w:rFonts w:cs="Times New Roman"/>
          <w:color w:val="000000" w:themeColor="text1"/>
        </w:rPr>
        <w:t>s-</w:t>
      </w:r>
      <w:r w:rsidR="00446D5B" w:rsidRPr="00BD2160">
        <w:rPr>
          <w:rFonts w:cs="Times New Roman"/>
          <w:color w:val="000000" w:themeColor="text1"/>
        </w:rPr>
        <w:t xml:space="preserve">exchange along a continuum represented by the </w:t>
      </w:r>
      <w:r w:rsidR="00B34C4E">
        <w:rPr>
          <w:rFonts w:cs="Times New Roman"/>
          <w:color w:val="000000" w:themeColor="text1"/>
        </w:rPr>
        <w:t xml:space="preserve">three </w:t>
      </w:r>
      <w:r w:rsidR="005A0A18">
        <w:rPr>
          <w:rFonts w:cs="Times New Roman"/>
          <w:color w:val="000000" w:themeColor="text1"/>
        </w:rPr>
        <w:t>above</w:t>
      </w:r>
      <w:r w:rsidR="007A7068">
        <w:rPr>
          <w:rFonts w:cs="Times New Roman"/>
          <w:color w:val="000000" w:themeColor="text1"/>
        </w:rPr>
        <w:t>-</w:t>
      </w:r>
      <w:r w:rsidR="005A0A18">
        <w:rPr>
          <w:rFonts w:cs="Times New Roman"/>
          <w:color w:val="000000" w:themeColor="text1"/>
        </w:rPr>
        <w:t xml:space="preserve">mentioned </w:t>
      </w:r>
      <w:r w:rsidR="00446D5B" w:rsidRPr="00BD2160">
        <w:rPr>
          <w:rFonts w:cs="Times New Roman"/>
          <w:color w:val="000000" w:themeColor="text1"/>
        </w:rPr>
        <w:t xml:space="preserve">strategies </w:t>
      </w:r>
      <w:r w:rsidR="0041741C" w:rsidRPr="00773412">
        <w:rPr>
          <w:rFonts w:cs="Times New Roman"/>
          <w:color w:val="000000" w:themeColor="text1"/>
        </w:rPr>
        <w:t>depending on</w:t>
      </w:r>
      <w:r w:rsidR="0041741C">
        <w:rPr>
          <w:rFonts w:cs="Times New Roman"/>
          <w:color w:val="000000" w:themeColor="text1"/>
        </w:rPr>
        <w:t xml:space="preserve"> </w:t>
      </w:r>
      <w:r w:rsidR="0041741C" w:rsidRPr="00BD2160">
        <w:rPr>
          <w:rFonts w:cs="Times New Roman"/>
          <w:i/>
          <w:color w:val="000000" w:themeColor="text1"/>
        </w:rPr>
        <w:t>c</w:t>
      </w:r>
      <w:r w:rsidR="0041741C" w:rsidRPr="00BD2160">
        <w:rPr>
          <w:rFonts w:cs="Times New Roman"/>
          <w:color w:val="000000" w:themeColor="text1"/>
          <w:vertAlign w:val="subscript"/>
        </w:rPr>
        <w:t>a</w:t>
      </w:r>
      <w:r w:rsidR="00CD7D92">
        <w:rPr>
          <w:rFonts w:cs="Times New Roman"/>
          <w:color w:val="000000" w:themeColor="text1"/>
          <w:vertAlign w:val="subscript"/>
        </w:rPr>
        <w:t xml:space="preserve"> </w:t>
      </w:r>
      <w:r w:rsidR="00CD7D92" w:rsidRPr="00D42A13">
        <w:rPr>
          <w:rFonts w:cs="Times New Roman"/>
          <w:color w:val="000000" w:themeColor="text1"/>
        </w:rPr>
        <w:t>level</w:t>
      </w:r>
      <w:r w:rsidR="0041741C">
        <w:rPr>
          <w:rFonts w:cs="Times New Roman"/>
          <w:color w:val="000000" w:themeColor="text1"/>
        </w:rPr>
        <w:t>, life stage, or species</w:t>
      </w:r>
      <w:r w:rsidR="00446D5B" w:rsidRPr="00BD2160">
        <w:rPr>
          <w:rFonts w:cs="Times New Roman"/>
          <w:color w:val="000000" w:themeColor="text1"/>
        </w:rPr>
        <w:t xml:space="preserve">. </w:t>
      </w:r>
      <w:r w:rsidR="00446D5B" w:rsidRPr="00BD2160">
        <w:rPr>
          <w:rFonts w:cs="Times New Roman"/>
        </w:rPr>
        <w:t>Using isotopic data from both CO</w:t>
      </w:r>
      <w:r w:rsidR="00446D5B" w:rsidRPr="00BD2160">
        <w:rPr>
          <w:rFonts w:cs="Times New Roman"/>
          <w:vertAlign w:val="subscript"/>
        </w:rPr>
        <w:t>2</w:t>
      </w:r>
      <w:r w:rsidR="00446D5B" w:rsidRPr="00BD2160">
        <w:rPr>
          <w:rFonts w:cs="Times New Roman"/>
        </w:rPr>
        <w:t xml:space="preserve"> enrichment and palaeoecological studies, </w:t>
      </w:r>
      <w:r w:rsidR="0019376B">
        <w:rPr>
          <w:rFonts w:cs="Times New Roman"/>
        </w:rPr>
        <w:fldChar w:fldCharType="begin" w:fldLock="1"/>
      </w:r>
      <w:r w:rsidR="00781CA1">
        <w:rPr>
          <w:rFonts w:cs="Times New Roman"/>
        </w:rPr>
        <w:instrText>ADDIN CSL_CITATION {"citationItems":[{"id":"ITEM-1","itemData":{"DOI":"10.1111/gcb.13102","ISBN":"9788578110796","ISSN":"13541013","PMID":"25246403","author":[{"dropping-particle":"","family":"Voelker","given":"Steven L.","non-dropping-particle":"","parse-names":false,"suffix":""},{"dropping-particle":"","family":"Brooks","given":"J. Renée","non-dropping-particle":"","parse-names":false,"suffix":""},{"dropping-particle":"","family":"Meinzer","given":"Frederick C.","non-dropping-particle":"","parse-names":false,"suffix":""},{"dropping-particle":"","family":"Anderson","given":"Rebecca","non-dropping-particle":"","parse-names":false,"suffix":""},{"dropping-particle":"","family":"Bader","given":"Martin K.-F.","non-dropping-particle":"","parse-names":false,"suffix":""},{"dropping-particle":"","family":"Battipaglia","given":"Giovanna","non-dropping-particle":"","parse-names":false,"suffix":""},{"dropping-particle":"","family":"Becklin","given":"Katie M.","non-dropping-particle":"","parse-names":false,"suffix":""},{"dropping-particle":"","family":"Beerling","given":"David","non-dropping-particle":"","parse-names":false,"suffix":""},{"dropping-particle":"","family":"Bert","given":"Didier","non-dropping-particle":"","parse-names":false,"suffix":""},{"dropping-particle":"","family":"Betancourt","given":"Julio L.","non-dropping-particle":"","parse-names":false,"suffix":""},{"dropping-particle":"","family":"Dawson","given":"Todd E.","non-dropping-particle":"","parse-names":false,"suffix":""},{"dropping-particle":"","family":"Domec","given":"Jean-Christophe","non-dropping-particle":"","parse-names":false,"suffix":""},{"dropping-particle":"","family":"Guyette","given":"Richard P.","non-dropping-particle":"","parse-names":false,"suffix":""},{"dropping-particle":"","family":"Körner","given":"Christian","non-dropping-particle":"","parse-names":false,"suffix":""},{"dropping-particle":"","family":"Leavitt","given":"Steven W.","non-dropping-particle":"","parse-names":false,"suffix":""},{"dropping-particle":"","family":"Linder","given":"Sune","non-dropping-particle":"","parse-names":false,"suffix":""},{"dropping-particle":"","family":"Marshall","given":"John D.","non-dropping-particle":"","parse-names":false,"suffix":""},{"dropping-particle":"","family":"Mildner","given":"Manuel","non-dropping-particle":"","parse-names":false,"suffix":""},{"dropping-particle":"","family":"Ogée","given":"Jérôme","non-dropping-particle":"","parse-names":false,"suffix":""},{"dropping-particle":"","family":"Panyushkina","given":"Irina","non-dropping-particle":"","parse-names":false,"suffix":""},{"dropping-particle":"","family":"Plumpton","given":"Heather J.","non-dropping-particle":"","parse-names":false,"suffix":""},{"dropping-particle":"","family":"Pregitzer","given":"Kurt S.","non-dropping-particle":"","parse-names":false,"suffix":""},{"dropping-particle":"","family":"Saurer","given":"Matthias","non-dropping-particle":"","parse-names":false,"suffix":""},{"dropping-particle":"","family":"Smith","given":"Andrew R.","non-dropping-particle":"","parse-names":false,"suffix":""},{"dropping-particle":"","family":"Siegwolf","given":"Rolf T.W.","non-dropping-particle":"","parse-names":false,"suffix":""},{"dropping-particle":"","family":"Stambaugh","given":"Michael C.","non-dropping-particle":"","parse-names":false,"suffix":""},{"dropping-particle":"","family":"Talhelm","given":"Alan F.","non-dropping-particle":"","parse-names":false,"suffix":""},{"dropping-particle":"","family":"Tardif","given":"Jacques C.","non-dropping-particle":"","parse-names":false,"suffix":""},{"dropping-particle":"","family":"Water","given":"Peter K.","non-dropping-particle":"Van de","parse-names":false,"suffix":""},{"dropping-particle":"","family":"Ward","given":"Joy K.","non-dropping-particle":"","parse-names":false,"suffix":""},{"dropping-particle":"","family":"Wingate","given":"Lisa","non-dropping-particle":"","parse-names":false,"suffix":""}],"container-title":"Global Change Biology","id":"ITEM-1","issue":"2","issued":{"date-parts":[["2016","9"]]},"page":"889-902","title":"A dynamic leaf gas-exchange strategy is conserved in woody plants under changing ambient CO2: evidence from carbon isotope discrimination in paleo and CO2 enrichment studies","type":"article-journal","volume":"22"},"uris":["http://www.mendeley.com/documents/?uuid=6a2fcd23-81ca-4a07-acc0-dae40f48686f"]}],"mendeley":{"formattedCitation":"(Voelker et al., 2016)","manualFormatting":"Voelker et al. (2016)","plainTextFormattedCitation":"(Voelker et al., 2016)","previouslyFormattedCitation":"(Voelker et al., 2016)"},"properties":{"noteIndex":0},"schema":"https://github.com/citation-style-language/schema/raw/master/csl-citation.json"}</w:instrText>
      </w:r>
      <w:r w:rsidR="0019376B">
        <w:rPr>
          <w:rFonts w:cs="Times New Roman"/>
        </w:rPr>
        <w:fldChar w:fldCharType="separate"/>
      </w:r>
      <w:r w:rsidR="0019376B">
        <w:rPr>
          <w:rFonts w:cs="Times New Roman"/>
          <w:noProof/>
        </w:rPr>
        <w:t>Voelker et al.</w:t>
      </w:r>
      <w:r w:rsidR="0019376B" w:rsidRPr="0019376B">
        <w:rPr>
          <w:rFonts w:cs="Times New Roman"/>
          <w:noProof/>
        </w:rPr>
        <w:t xml:space="preserve"> </w:t>
      </w:r>
      <w:r w:rsidR="0019376B">
        <w:rPr>
          <w:rFonts w:cs="Times New Roman"/>
          <w:noProof/>
        </w:rPr>
        <w:t>(</w:t>
      </w:r>
      <w:r w:rsidR="0019376B" w:rsidRPr="0019376B">
        <w:rPr>
          <w:rFonts w:cs="Times New Roman"/>
          <w:noProof/>
        </w:rPr>
        <w:t>2016)</w:t>
      </w:r>
      <w:r w:rsidR="0019376B">
        <w:rPr>
          <w:rFonts w:cs="Times New Roman"/>
        </w:rPr>
        <w:fldChar w:fldCharType="end"/>
      </w:r>
      <w:r w:rsidR="00446D5B" w:rsidRPr="00BD2160">
        <w:rPr>
          <w:rFonts w:cs="Times New Roman"/>
        </w:rPr>
        <w:t xml:space="preserve"> </w:t>
      </w:r>
      <w:r w:rsidR="00936099">
        <w:rPr>
          <w:rFonts w:cs="Times New Roman"/>
        </w:rPr>
        <w:t>sugges</w:t>
      </w:r>
      <w:r w:rsidR="0022135E">
        <w:rPr>
          <w:rFonts w:cs="Times New Roman"/>
        </w:rPr>
        <w:t>t</w:t>
      </w:r>
      <w:r w:rsidR="0022135E" w:rsidRPr="00BD2160">
        <w:rPr>
          <w:rFonts w:cs="Times New Roman"/>
        </w:rPr>
        <w:t xml:space="preserve">ed </w:t>
      </w:r>
      <w:r w:rsidR="00446D5B" w:rsidRPr="00BD2160">
        <w:rPr>
          <w:rFonts w:cs="Times New Roman"/>
        </w:rPr>
        <w:t>that</w:t>
      </w:r>
      <w:r w:rsidR="005B550E">
        <w:rPr>
          <w:rFonts w:cs="Times New Roman"/>
        </w:rPr>
        <w:t xml:space="preserve"> </w:t>
      </w:r>
      <w:r w:rsidR="009F6E2C">
        <w:rPr>
          <w:rFonts w:cs="Times New Roman"/>
        </w:rPr>
        <w:t>trees</w:t>
      </w:r>
      <w:r w:rsidR="00446D5B" w:rsidRPr="00BD2160">
        <w:rPr>
          <w:rFonts w:cs="Times New Roman"/>
        </w:rPr>
        <w:t xml:space="preserve"> </w:t>
      </w:r>
      <w:r w:rsidR="005B550E">
        <w:rPr>
          <w:rFonts w:cs="Times New Roman"/>
        </w:rPr>
        <w:t>m</w:t>
      </w:r>
      <w:r w:rsidR="0004097A">
        <w:rPr>
          <w:rFonts w:cs="Times New Roman"/>
        </w:rPr>
        <w:t>ight</w:t>
      </w:r>
      <w:r w:rsidR="005B550E">
        <w:rPr>
          <w:rFonts w:cs="Times New Roman"/>
        </w:rPr>
        <w:t xml:space="preserve"> </w:t>
      </w:r>
      <w:r w:rsidR="00446D5B" w:rsidRPr="00BD2160">
        <w:rPr>
          <w:rFonts w:cs="Times New Roman"/>
        </w:rPr>
        <w:t xml:space="preserve">follow a ‘dynamic’ strategy with </w:t>
      </w:r>
      <w:r w:rsidR="00446D5B" w:rsidRPr="00BD2160">
        <w:rPr>
          <w:rFonts w:cs="Times New Roman"/>
          <w:i/>
        </w:rPr>
        <w:t>c</w:t>
      </w:r>
      <w:r w:rsidR="00446D5B" w:rsidRPr="00BD2160">
        <w:rPr>
          <w:rFonts w:cs="Times New Roman"/>
          <w:vertAlign w:val="subscript"/>
        </w:rPr>
        <w:t>i</w:t>
      </w:r>
      <w:r w:rsidR="00446D5B" w:rsidRPr="00BD2160">
        <w:rPr>
          <w:rFonts w:cs="Times New Roman"/>
        </w:rPr>
        <w:t>/</w:t>
      </w:r>
      <w:r w:rsidR="00446D5B" w:rsidRPr="00BD2160">
        <w:rPr>
          <w:rFonts w:cs="Times New Roman"/>
          <w:i/>
        </w:rPr>
        <w:t>c</w:t>
      </w:r>
      <w:r w:rsidR="00446D5B" w:rsidRPr="00BD2160">
        <w:rPr>
          <w:rFonts w:cs="Times New Roman"/>
          <w:vertAlign w:val="subscript"/>
        </w:rPr>
        <w:t>a</w:t>
      </w:r>
      <w:r w:rsidR="00446D5B" w:rsidRPr="00BD2160">
        <w:rPr>
          <w:rFonts w:cs="Times New Roman"/>
          <w:i/>
        </w:rPr>
        <w:t xml:space="preserve"> </w:t>
      </w:r>
      <w:r w:rsidR="00446D5B" w:rsidRPr="00BD2160">
        <w:rPr>
          <w:rFonts w:cs="Times New Roman"/>
        </w:rPr>
        <w:t xml:space="preserve">increasing at low </w:t>
      </w:r>
      <w:r w:rsidR="00446D5B" w:rsidRPr="00BD2160">
        <w:rPr>
          <w:rFonts w:cs="Times New Roman"/>
          <w:i/>
        </w:rPr>
        <w:t>c</w:t>
      </w:r>
      <w:r w:rsidR="00446D5B" w:rsidRPr="00BD2160">
        <w:rPr>
          <w:rFonts w:cs="Times New Roman"/>
          <w:vertAlign w:val="subscript"/>
        </w:rPr>
        <w:t>a</w:t>
      </w:r>
      <w:r w:rsidR="00446D5B" w:rsidRPr="00BD2160">
        <w:rPr>
          <w:rFonts w:cs="Times New Roman"/>
        </w:rPr>
        <w:t xml:space="preserve"> </w:t>
      </w:r>
      <w:r w:rsidR="00550F72" w:rsidRPr="00BD2160">
        <w:rPr>
          <w:rFonts w:cs="Times New Roman"/>
        </w:rPr>
        <w:t xml:space="preserve">(200 to 400 ppm) </w:t>
      </w:r>
      <w:r w:rsidR="00446D5B" w:rsidRPr="00BD2160">
        <w:rPr>
          <w:rFonts w:cs="Times New Roman"/>
        </w:rPr>
        <w:t xml:space="preserve">and levelling off at higher </w:t>
      </w:r>
      <w:r w:rsidR="00446D5B" w:rsidRPr="00BD2160">
        <w:rPr>
          <w:rFonts w:cs="Times New Roman"/>
          <w:i/>
        </w:rPr>
        <w:t>c</w:t>
      </w:r>
      <w:r w:rsidR="00446D5B" w:rsidRPr="00BD2160">
        <w:rPr>
          <w:rFonts w:cs="Times New Roman"/>
          <w:vertAlign w:val="subscript"/>
        </w:rPr>
        <w:t>a</w:t>
      </w:r>
      <w:r w:rsidR="00550F72">
        <w:rPr>
          <w:rFonts w:cs="Times New Roman"/>
          <w:vertAlign w:val="subscript"/>
        </w:rPr>
        <w:t xml:space="preserve"> </w:t>
      </w:r>
      <w:r w:rsidR="00550F72" w:rsidRPr="00BD2160">
        <w:rPr>
          <w:rFonts w:cs="Times New Roman"/>
        </w:rPr>
        <w:t>(400 ppm)</w:t>
      </w:r>
      <w:r w:rsidR="00FB6C0E">
        <w:rPr>
          <w:rFonts w:cs="Times New Roman"/>
        </w:rPr>
        <w:t xml:space="preserve">, </w:t>
      </w:r>
      <w:r w:rsidR="00446D5B" w:rsidRPr="00BD2160">
        <w:rPr>
          <w:rFonts w:cs="Times New Roman"/>
        </w:rPr>
        <w:t>help</w:t>
      </w:r>
      <w:r w:rsidR="00FB6C0E">
        <w:rPr>
          <w:rFonts w:cs="Times New Roman"/>
        </w:rPr>
        <w:t>ing</w:t>
      </w:r>
      <w:r w:rsidR="00446D5B" w:rsidRPr="00BD2160">
        <w:rPr>
          <w:rFonts w:cs="Times New Roman"/>
        </w:rPr>
        <w:t xml:space="preserve"> plants to maximize carbon gain at low </w:t>
      </w:r>
      <w:r w:rsidR="00446D5B" w:rsidRPr="00BD2160">
        <w:rPr>
          <w:rFonts w:cs="Times New Roman"/>
          <w:i/>
        </w:rPr>
        <w:t>c</w:t>
      </w:r>
      <w:r w:rsidR="00446D5B" w:rsidRPr="00BD2160">
        <w:rPr>
          <w:rFonts w:cs="Times New Roman"/>
          <w:vertAlign w:val="subscript"/>
        </w:rPr>
        <w:t>a</w:t>
      </w:r>
      <w:r w:rsidR="00446D5B" w:rsidRPr="00BD2160">
        <w:rPr>
          <w:rFonts w:cs="Times New Roman"/>
        </w:rPr>
        <w:t xml:space="preserve"> while avoiding drought stress at high </w:t>
      </w:r>
      <w:r w:rsidR="00446D5B" w:rsidRPr="00BD2160">
        <w:rPr>
          <w:rFonts w:cs="Times New Roman"/>
          <w:i/>
        </w:rPr>
        <w:t>c</w:t>
      </w:r>
      <w:r w:rsidR="00446D5B" w:rsidRPr="00BD2160">
        <w:rPr>
          <w:rFonts w:cs="Times New Roman"/>
          <w:vertAlign w:val="subscript"/>
        </w:rPr>
        <w:t>a</w:t>
      </w:r>
      <w:r w:rsidR="00446D5B" w:rsidRPr="00BD2160">
        <w:rPr>
          <w:rFonts w:cs="Times New Roman"/>
        </w:rPr>
        <w:t>.</w:t>
      </w:r>
      <w:r w:rsidR="00936099">
        <w:rPr>
          <w:rFonts w:cs="Times New Roman"/>
        </w:rPr>
        <w:t xml:space="preserve"> </w:t>
      </w:r>
      <w:r w:rsidR="00C96A4A">
        <w:rPr>
          <w:rFonts w:cs="Times New Roman"/>
        </w:rPr>
        <w:t>This impl</w:t>
      </w:r>
      <w:r w:rsidR="00401D38">
        <w:rPr>
          <w:rFonts w:cs="Times New Roman"/>
        </w:rPr>
        <w:t>ies</w:t>
      </w:r>
      <w:r w:rsidR="00C96A4A">
        <w:rPr>
          <w:rFonts w:cs="Times New Roman"/>
        </w:rPr>
        <w:t xml:space="preserve"> that </w:t>
      </w:r>
      <w:r w:rsidR="006440FA" w:rsidRPr="00BD2160">
        <w:rPr>
          <w:rFonts w:cs="Times New Roman"/>
        </w:rPr>
        <w:t>WUE</w:t>
      </w:r>
      <w:r w:rsidR="00C96A4A">
        <w:rPr>
          <w:rFonts w:cs="Times New Roman"/>
        </w:rPr>
        <w:t xml:space="preserve"> should stay </w:t>
      </w:r>
      <w:r w:rsidR="00075858">
        <w:rPr>
          <w:rFonts w:cs="Times New Roman"/>
        </w:rPr>
        <w:t>nearly-</w:t>
      </w:r>
      <w:r w:rsidR="00C96A4A">
        <w:rPr>
          <w:rFonts w:cs="Times New Roman"/>
        </w:rPr>
        <w:t xml:space="preserve">constant or increase slightly at low </w:t>
      </w:r>
      <w:r w:rsidR="00C96A4A" w:rsidRPr="00F92FCB">
        <w:rPr>
          <w:rFonts w:cs="Times New Roman"/>
          <w:i/>
        </w:rPr>
        <w:t>c</w:t>
      </w:r>
      <w:r w:rsidR="00C96A4A" w:rsidRPr="00F92FCB">
        <w:rPr>
          <w:rFonts w:cs="Times New Roman"/>
          <w:vertAlign w:val="subscript"/>
        </w:rPr>
        <w:t>a</w:t>
      </w:r>
      <w:r w:rsidR="00C96A4A">
        <w:rPr>
          <w:rFonts w:cs="Times New Roman"/>
        </w:rPr>
        <w:t xml:space="preserve">, but increase </w:t>
      </w:r>
      <w:r w:rsidR="00884F13">
        <w:rPr>
          <w:rFonts w:cs="Times New Roman"/>
        </w:rPr>
        <w:t>proportionally to</w:t>
      </w:r>
      <w:r w:rsidR="00C96A4A">
        <w:rPr>
          <w:rFonts w:cs="Times New Roman"/>
        </w:rPr>
        <w:t xml:space="preserve"> </w:t>
      </w:r>
      <w:r w:rsidR="00C96A4A" w:rsidRPr="00F92FCB">
        <w:rPr>
          <w:rFonts w:cs="Times New Roman"/>
          <w:i/>
        </w:rPr>
        <w:t>c</w:t>
      </w:r>
      <w:r w:rsidR="00C96A4A" w:rsidRPr="00F92FCB">
        <w:rPr>
          <w:rFonts w:cs="Times New Roman"/>
          <w:vertAlign w:val="subscript"/>
        </w:rPr>
        <w:t>a</w:t>
      </w:r>
      <w:r w:rsidR="00C96A4A">
        <w:rPr>
          <w:rFonts w:cs="Times New Roman"/>
        </w:rPr>
        <w:t xml:space="preserve"> at higher </w:t>
      </w:r>
      <w:r w:rsidR="00C96A4A" w:rsidRPr="00D42A13">
        <w:rPr>
          <w:rFonts w:cs="Times New Roman"/>
          <w:i/>
        </w:rPr>
        <w:t>c</w:t>
      </w:r>
      <w:r w:rsidR="00C96A4A" w:rsidRPr="00D42A13">
        <w:rPr>
          <w:rFonts w:cs="Times New Roman"/>
          <w:vertAlign w:val="subscript"/>
        </w:rPr>
        <w:t>a</w:t>
      </w:r>
      <w:r w:rsidR="00C96A4A">
        <w:rPr>
          <w:rFonts w:cs="Times New Roman"/>
        </w:rPr>
        <w:t>.</w:t>
      </w:r>
      <w:r w:rsidR="00446D5B" w:rsidRPr="00BD2160">
        <w:rPr>
          <w:rFonts w:cs="Times New Roman"/>
        </w:rPr>
        <w:t xml:space="preserve"> </w:t>
      </w:r>
      <w:r w:rsidR="0074568D">
        <w:rPr>
          <w:rFonts w:cs="Times New Roman"/>
        </w:rPr>
        <w:fldChar w:fldCharType="begin" w:fldLock="1"/>
      </w:r>
      <w:r w:rsidR="00640CCC">
        <w:rPr>
          <w:rFonts w:cs="Times New Roman"/>
        </w:rPr>
        <w:instrText>ADDIN CSL_CITATION {"citationItems":[{"id":"ITEM-1","itemData":{"DOI":"10.1038/s41467-017-00225-z","ISSN":"20411723","PMID":"28819277","abstract":"Various studies report substantial increases in intrinsic water-use efficiency (Wi), estimated using carbon isotopes in tree rings, suggesting trees are gaining increasingly more carbon per unit water lost due to increases in atmospheric CO2. Usually, reconstructions do not, however, correct for the effect of intrinsic developmental changes inWi as trees grow larger. Here we show, by comparingWi across varying tree sizes at one CO2 level, that ignoring such developmental effects can severely affect inferences of trees’Wi.Wi doubled or even tripled over a trees’ lifespan in three broadleaf species due to changes in tree height and light availability alone, and there are also weak trends for Pine trees. Developmental trends in broadleaf species are as large as the trends previously assigned to CO2 and climate. Credible future tree ring isotope studies require explicit accounting for species-specific developmental effects before CO2 and climate effects are inferred.","author":[{"dropping-particle":"","family":"Brienen","given":"R. J.W.","non-dropping-particle":"","parse-names":false,"suffix":""},{"dropping-particle":"","family":"Gloor","given":"E.","non-dropping-particle":"","parse-names":false,"suffix":""},{"dropping-particle":"","family":"Clerici","given":"S.","non-dropping-particle":"","parse-names":false,"suffix":""},{"dropping-particle":"","family":"Newton","given":"R.","non-dropping-particle":"","parse-names":false,"suffix":""},{"dropping-particle":"","family":"Arppe","given":"L.","non-dropping-particle":"","parse-names":false,"suffix":""},{"dropping-particle":"","family":"Boom","given":"A.","non-dropping-particle":"","parse-names":false,"suffix":""},{"dropping-particle":"","family":"Bottrell","given":"S.","non-dropping-particle":"","parse-names":false,"suffix":""},{"dropping-particle":"","family":"Callaghan","given":"M.","non-dropping-particle":"","parse-names":false,"suffix":""},{"dropping-particle":"","family":"Heaton","given":"T.","non-dropping-particle":"","parse-names":false,"suffix":""},{"dropping-particle":"","family":"Helama","given":"S.","non-dropping-particle":"","parse-names":false,"suffix":""},{"dropping-particle":"","family":"Helle","given":"G.","non-dropping-particle":"","parse-names":false,"suffix":""},{"dropping-particle":"","family":"Leng","given":"M. J.","non-dropping-particle":"","parse-names":false,"suffix":""},{"dropping-particle":"","family":"Mielikäinen","given":"K.","non-dropping-particle":"","parse-names":false,"suffix":""},{"dropping-particle":"","family":"Oinonen","given":"M.","non-dropping-particle":"","parse-names":false,"suffix":""},{"dropping-particle":"","family":"Timonen","given":"M.","non-dropping-particle":"","parse-names":false,"suffix":""}],"container-title":"Nature Communications","id":"ITEM-1","issue":"1","issued":{"date-parts":[["2017"]]},"title":"Tree height strongly affects estimates of water-use efficiency responses to climate and CO2 using isotopes","type":"article-journal","volume":"8"},"uris":["http://www.mendeley.com/documents/?uuid=ad31acc8-c860-4a52-a1bc-2be12b20eb57"]}],"mendeley":{"formattedCitation":"(Brienen et al., 2017)","manualFormatting":"Brienen et al. (2017)","plainTextFormattedCitation":"(Brienen et al., 2017)","previouslyFormattedCitation":"(Brienen et al., 2017)"},"properties":{"noteIndex":0},"schema":"https://github.com/citation-style-language/schema/raw/master/csl-citation.json"}</w:instrText>
      </w:r>
      <w:r w:rsidR="0074568D">
        <w:rPr>
          <w:rFonts w:cs="Times New Roman"/>
        </w:rPr>
        <w:fldChar w:fldCharType="separate"/>
      </w:r>
      <w:r w:rsidR="0074568D">
        <w:rPr>
          <w:rFonts w:cs="Times New Roman"/>
          <w:noProof/>
        </w:rPr>
        <w:t>Brienen et al.</w:t>
      </w:r>
      <w:r w:rsidR="0074568D" w:rsidRPr="0074568D">
        <w:rPr>
          <w:rFonts w:cs="Times New Roman"/>
          <w:noProof/>
        </w:rPr>
        <w:t xml:space="preserve"> </w:t>
      </w:r>
      <w:r w:rsidR="0074568D">
        <w:rPr>
          <w:rFonts w:cs="Times New Roman"/>
          <w:noProof/>
        </w:rPr>
        <w:t>(</w:t>
      </w:r>
      <w:r w:rsidR="0074568D" w:rsidRPr="0074568D">
        <w:rPr>
          <w:rFonts w:cs="Times New Roman"/>
          <w:noProof/>
        </w:rPr>
        <w:t>2017)</w:t>
      </w:r>
      <w:r w:rsidR="0074568D">
        <w:rPr>
          <w:rFonts w:cs="Times New Roman"/>
        </w:rPr>
        <w:fldChar w:fldCharType="end"/>
      </w:r>
      <w:r w:rsidR="007E2FCD" w:rsidRPr="00BD2160">
        <w:rPr>
          <w:rFonts w:cs="Times New Roman"/>
        </w:rPr>
        <w:t xml:space="preserve"> </w:t>
      </w:r>
      <w:r w:rsidR="00446D5B" w:rsidRPr="00BD2160">
        <w:rPr>
          <w:rFonts w:cs="Times New Roman"/>
        </w:rPr>
        <w:t xml:space="preserve">also suggested that </w:t>
      </w:r>
      <w:r w:rsidR="00A531A8">
        <w:rPr>
          <w:rFonts w:cs="Times New Roman"/>
        </w:rPr>
        <w:t xml:space="preserve">the </w:t>
      </w:r>
      <w:r w:rsidR="007B0F32">
        <w:rPr>
          <w:rFonts w:cs="Times New Roman"/>
        </w:rPr>
        <w:t xml:space="preserve">tree </w:t>
      </w:r>
      <w:r w:rsidR="00A531A8">
        <w:rPr>
          <w:rFonts w:cs="Times New Roman"/>
        </w:rPr>
        <w:t>s</w:t>
      </w:r>
      <w:r w:rsidR="005B550E" w:rsidRPr="00BD2160">
        <w:rPr>
          <w:rFonts w:cs="Times New Roman"/>
        </w:rPr>
        <w:t xml:space="preserve">trategy </w:t>
      </w:r>
      <w:r w:rsidR="00446D5B" w:rsidRPr="00BD2160">
        <w:rPr>
          <w:rFonts w:cs="Times New Roman"/>
        </w:rPr>
        <w:t>m</w:t>
      </w:r>
      <w:r w:rsidR="00A531A8">
        <w:rPr>
          <w:rFonts w:cs="Times New Roman"/>
        </w:rPr>
        <w:t>ight</w:t>
      </w:r>
      <w:r w:rsidR="00446D5B" w:rsidRPr="00BD2160">
        <w:rPr>
          <w:rFonts w:cs="Times New Roman"/>
        </w:rPr>
        <w:t xml:space="preserve"> vary between different developmental stages, and species.</w:t>
      </w:r>
      <w:r w:rsidR="005360C3">
        <w:rPr>
          <w:rFonts w:cs="Times New Roman"/>
        </w:rPr>
        <w:t xml:space="preserve"> </w:t>
      </w:r>
      <w:r w:rsidR="009F26C8">
        <w:rPr>
          <w:rFonts w:cs="Times New Roman"/>
        </w:rPr>
        <w:t xml:space="preserve">However, most above-mentioned </w:t>
      </w:r>
      <w:r w:rsidR="003E6CD0">
        <w:rPr>
          <w:rFonts w:cs="Times New Roman"/>
        </w:rPr>
        <w:t>tree-ring</w:t>
      </w:r>
      <w:r w:rsidR="009F26C8">
        <w:rPr>
          <w:rFonts w:cs="Times New Roman"/>
        </w:rPr>
        <w:t xml:space="preserve"> studies </w:t>
      </w:r>
      <w:r w:rsidR="00E7441D">
        <w:rPr>
          <w:rFonts w:cs="Times New Roman"/>
        </w:rPr>
        <w:t xml:space="preserve">investigating </w:t>
      </w:r>
      <w:r w:rsidR="006440FA" w:rsidRPr="00BD2160">
        <w:rPr>
          <w:rFonts w:cs="Times New Roman"/>
        </w:rPr>
        <w:t>iWUE</w:t>
      </w:r>
      <w:r w:rsidR="006440FA" w:rsidRPr="001B08EE">
        <w:rPr>
          <w:rFonts w:cs="Times New Roman"/>
          <w:vertAlign w:val="superscript"/>
        </w:rPr>
        <w:t>l</w:t>
      </w:r>
      <w:r w:rsidR="006440FA">
        <w:rPr>
          <w:rFonts w:cs="Times New Roman"/>
          <w:vertAlign w:val="superscript"/>
        </w:rPr>
        <w:t>eaf</w:t>
      </w:r>
      <w:r w:rsidR="00135C32">
        <w:rPr>
          <w:rFonts w:cs="Times New Roman"/>
        </w:rPr>
        <w:t xml:space="preserve"> </w:t>
      </w:r>
      <w:r w:rsidR="00E7441D">
        <w:rPr>
          <w:rFonts w:cs="Times New Roman"/>
        </w:rPr>
        <w:t xml:space="preserve">trends </w:t>
      </w:r>
      <w:r w:rsidR="00135C32">
        <w:rPr>
          <w:rFonts w:cs="Times New Roman"/>
        </w:rPr>
        <w:t>over</w:t>
      </w:r>
      <w:r w:rsidR="00E7441D">
        <w:rPr>
          <w:rFonts w:cs="Times New Roman"/>
        </w:rPr>
        <w:t xml:space="preserve"> the 20</w:t>
      </w:r>
      <w:r w:rsidR="00E7441D" w:rsidRPr="00D42A13">
        <w:rPr>
          <w:rFonts w:cs="Times New Roman"/>
          <w:vertAlign w:val="superscript"/>
        </w:rPr>
        <w:t>th</w:t>
      </w:r>
      <w:r w:rsidR="00E7441D">
        <w:rPr>
          <w:rFonts w:cs="Times New Roman"/>
        </w:rPr>
        <w:t xml:space="preserve"> century have </w:t>
      </w:r>
      <w:r w:rsidR="00385B31">
        <w:rPr>
          <w:rFonts w:cs="Times New Roman"/>
        </w:rPr>
        <w:t>report</w:t>
      </w:r>
      <w:r w:rsidR="00E7441D">
        <w:rPr>
          <w:rFonts w:cs="Times New Roman"/>
        </w:rPr>
        <w:t xml:space="preserve">ed </w:t>
      </w:r>
      <w:r w:rsidR="00135C32">
        <w:rPr>
          <w:rFonts w:cs="Times New Roman"/>
        </w:rPr>
        <w:t>leaf gas</w:t>
      </w:r>
      <w:r w:rsidR="00547FFB">
        <w:rPr>
          <w:rFonts w:cs="Times New Roman"/>
        </w:rPr>
        <w:t>-</w:t>
      </w:r>
      <w:r w:rsidR="00135C32">
        <w:rPr>
          <w:rFonts w:cs="Times New Roman"/>
        </w:rPr>
        <w:t xml:space="preserve">exchange </w:t>
      </w:r>
      <w:r w:rsidR="00E7441D">
        <w:rPr>
          <w:rFonts w:cs="Times New Roman"/>
        </w:rPr>
        <w:t xml:space="preserve">strategy </w:t>
      </w:r>
      <w:r w:rsidR="00135C32">
        <w:rPr>
          <w:rFonts w:cs="Times New Roman"/>
        </w:rPr>
        <w:t xml:space="preserve">broadly consistent with a </w:t>
      </w:r>
      <w:r w:rsidR="00E7441D">
        <w:rPr>
          <w:rFonts w:cs="Times New Roman"/>
        </w:rPr>
        <w:t xml:space="preserve">constant </w:t>
      </w:r>
      <w:r w:rsidR="00E7441D" w:rsidRPr="00BD2160">
        <w:rPr>
          <w:rFonts w:cs="Times New Roman"/>
          <w:i/>
        </w:rPr>
        <w:t>c</w:t>
      </w:r>
      <w:r w:rsidR="00E7441D" w:rsidRPr="00BD2160">
        <w:rPr>
          <w:rFonts w:cs="Times New Roman"/>
          <w:vertAlign w:val="subscript"/>
        </w:rPr>
        <w:t>i</w:t>
      </w:r>
      <w:r w:rsidR="00E7441D" w:rsidRPr="00BD2160">
        <w:rPr>
          <w:rFonts w:cs="Times New Roman"/>
        </w:rPr>
        <w:t>/</w:t>
      </w:r>
      <w:r w:rsidR="00E7441D" w:rsidRPr="00BD2160">
        <w:rPr>
          <w:rFonts w:cs="Times New Roman"/>
          <w:i/>
        </w:rPr>
        <w:t>c</w:t>
      </w:r>
      <w:r w:rsidR="00E7441D" w:rsidRPr="00BD2160">
        <w:rPr>
          <w:rFonts w:cs="Times New Roman"/>
          <w:vertAlign w:val="subscript"/>
        </w:rPr>
        <w:t>a</w:t>
      </w:r>
      <w:r w:rsidR="00AD1DCA">
        <w:rPr>
          <w:rFonts w:cs="Times New Roman"/>
        </w:rPr>
        <w:t xml:space="preserve"> in a period</w:t>
      </w:r>
      <w:r w:rsidR="009F26C8">
        <w:rPr>
          <w:rFonts w:cs="Times New Roman"/>
        </w:rPr>
        <w:t xml:space="preserve"> </w:t>
      </w:r>
      <w:r w:rsidR="00AD1DCA">
        <w:rPr>
          <w:rFonts w:cs="Times New Roman"/>
        </w:rPr>
        <w:t xml:space="preserve">when </w:t>
      </w:r>
      <w:r w:rsidR="000E7D9E" w:rsidRPr="00BD2160">
        <w:rPr>
          <w:rFonts w:cs="Times New Roman"/>
          <w:i/>
          <w:color w:val="000000" w:themeColor="text1"/>
        </w:rPr>
        <w:t>c</w:t>
      </w:r>
      <w:r w:rsidR="000E7D9E" w:rsidRPr="00BD2160">
        <w:rPr>
          <w:rFonts w:cs="Times New Roman"/>
          <w:color w:val="000000" w:themeColor="text1"/>
          <w:vertAlign w:val="subscript"/>
        </w:rPr>
        <w:t>a</w:t>
      </w:r>
      <w:r w:rsidR="00AD1DCA">
        <w:rPr>
          <w:rFonts w:cs="Times New Roman"/>
        </w:rPr>
        <w:t xml:space="preserve"> w</w:t>
      </w:r>
      <w:r w:rsidR="000E7D9E">
        <w:rPr>
          <w:rFonts w:cs="Times New Roman"/>
        </w:rPr>
        <w:t>as</w:t>
      </w:r>
      <w:r w:rsidR="00AD1DCA">
        <w:rPr>
          <w:rFonts w:cs="Times New Roman"/>
        </w:rPr>
        <w:t xml:space="preserve"> lower than 400 ppm</w:t>
      </w:r>
      <w:r w:rsidR="00D10DC5">
        <w:rPr>
          <w:rFonts w:cs="Times New Roman"/>
        </w:rPr>
        <w:t xml:space="preserve">, which is </w:t>
      </w:r>
      <w:r w:rsidR="005609C1">
        <w:rPr>
          <w:rFonts w:cs="Times New Roman"/>
        </w:rPr>
        <w:t>in disagreement with</w:t>
      </w:r>
      <w:r w:rsidR="00824192">
        <w:rPr>
          <w:rFonts w:cs="Times New Roman"/>
        </w:rPr>
        <w:t xml:space="preserve"> the argument proposed by</w:t>
      </w:r>
      <w:r w:rsidR="005609C1">
        <w:rPr>
          <w:rFonts w:cs="Times New Roman"/>
        </w:rPr>
        <w:t xml:space="preserve"> </w:t>
      </w:r>
      <w:r w:rsidR="005609C1">
        <w:rPr>
          <w:rFonts w:cs="Times New Roman"/>
        </w:rPr>
        <w:fldChar w:fldCharType="begin" w:fldLock="1"/>
      </w:r>
      <w:r w:rsidR="005609C1">
        <w:rPr>
          <w:rFonts w:cs="Times New Roman"/>
        </w:rPr>
        <w:instrText>ADDIN CSL_CITATION {"citationItems":[{"id":"ITEM-1","itemData":{"DOI":"10.1111/gcb.13102","ISBN":"9788578110796","ISSN":"13541013","PMID":"25246403","author":[{"dropping-particle":"","family":"Voelker","given":"Steven L.","non-dropping-particle":"","parse-names":false,"suffix":""},{"dropping-particle":"","family":"Brooks","given":"J. Renée","non-dropping-particle":"","parse-names":false,"suffix":""},{"dropping-particle":"","family":"Meinzer","given":"Frederick C.","non-dropping-particle":"","parse-names":false,"suffix":""},{"dropping-particle":"","family":"Anderson","given":"Rebecca","non-dropping-particle":"","parse-names":false,"suffix":""},{"dropping-particle":"","family":"Bader","given":"Martin K.-F.","non-dropping-particle":"","parse-names":false,"suffix":""},{"dropping-particle":"","family":"Battipaglia","given":"Giovanna","non-dropping-particle":"","parse-names":false,"suffix":""},{"dropping-particle":"","family":"Becklin","given":"Katie M.","non-dropping-particle":"","parse-names":false,"suffix":""},{"dropping-particle":"","family":"Beerling","given":"David","non-dropping-particle":"","parse-names":false,"suffix":""},{"dropping-particle":"","family":"Bert","given":"Didier","non-dropping-particle":"","parse-names":false,"suffix":""},{"dropping-particle":"","family":"Betancourt","given":"Julio L.","non-dropping-particle":"","parse-names":false,"suffix":""},{"dropping-particle":"","family":"Dawson","given":"Todd E.","non-dropping-particle":"","parse-names":false,"suffix":""},{"dropping-particle":"","family":"Domec","given":"Jean-Christophe","non-dropping-particle":"","parse-names":false,"suffix":""},{"dropping-particle":"","family":"Guyette","given":"Richard P.","non-dropping-particle":"","parse-names":false,"suffix":""},{"dropping-particle":"","family":"Körner","given":"Christian","non-dropping-particle":"","parse-names":false,"suffix":""},{"dropping-particle":"","family":"Leavitt","given":"Steven W.","non-dropping-particle":"","parse-names":false,"suffix":""},{"dropping-particle":"","family":"Linder","given":"Sune","non-dropping-particle":"","parse-names":false,"suffix":""},{"dropping-particle":"","family":"Marshall","given":"John D.","non-dropping-particle":"","parse-names":false,"suffix":""},{"dropping-particle":"","family":"Mildner","given":"Manuel","non-dropping-particle":"","parse-names":false,"suffix":""},{"dropping-particle":"","family":"Ogée","given":"Jérôme","non-dropping-particle":"","parse-names":false,"suffix":""},{"dropping-particle":"","family":"Panyushkina","given":"Irina","non-dropping-particle":"","parse-names":false,"suffix":""},{"dropping-particle":"","family":"Plumpton","given":"Heather J.","non-dropping-particle":"","parse-names":false,"suffix":""},{"dropping-particle":"","family":"Pregitzer","given":"Kurt S.","non-dropping-particle":"","parse-names":false,"suffix":""},{"dropping-particle":"","family":"Saurer","given":"Matthias","non-dropping-particle":"","parse-names":false,"suffix":""},{"dropping-particle":"","family":"Smith","given":"Andrew R.","non-dropping-particle":"","parse-names":false,"suffix":""},{"dropping-particle":"","family":"Siegwolf","given":"Rolf T.W.","non-dropping-particle":"","parse-names":false,"suffix":""},{"dropping-particle":"","family":"Stambaugh","given":"Michael C.","non-dropping-particle":"","parse-names":false,"suffix":""},{"dropping-particle":"","family":"Talhelm","given":"Alan F.","non-dropping-particle":"","parse-names":false,"suffix":""},{"dropping-particle":"","family":"Tardif","given":"Jacques C.","non-dropping-particle":"","parse-names":false,"suffix":""},{"dropping-particle":"","family":"Water","given":"Peter K.","non-dropping-particle":"Van de","parse-names":false,"suffix":""},{"dropping-particle":"","family":"Ward","given":"Joy K.","non-dropping-particle":"","parse-names":false,"suffix":""},{"dropping-particle":"","family":"Wingate","given":"Lisa","non-dropping-particle":"","parse-names":false,"suffix":""}],"container-title":"Global Change Biology","id":"ITEM-1","issue":"2","issued":{"date-parts":[["2016","9"]]},"page":"889-902","title":"A dynamic leaf gas-exchange strategy is conserved in woody plants under changing ambient CO2: evidence from carbon isotope discrimination in paleo and CO2 enrichment studies","type":"article-journal","volume":"22"},"uris":["http://www.mendeley.com/documents/?uuid=6a2fcd23-81ca-4a07-acc0-dae40f48686f"]}],"mendeley":{"formattedCitation":"(Voelker et al., 2016)","manualFormatting":"Voelker et al. (2016)","plainTextFormattedCitation":"(Voelker et al., 2016)","previouslyFormattedCitation":"(Voelker et al., 2016)"},"properties":{"noteIndex":0},"schema":"https://github.com/citation-style-language/schema/raw/master/csl-citation.json"}</w:instrText>
      </w:r>
      <w:r w:rsidR="005609C1">
        <w:rPr>
          <w:rFonts w:cs="Times New Roman"/>
        </w:rPr>
        <w:fldChar w:fldCharType="separate"/>
      </w:r>
      <w:r w:rsidR="005609C1">
        <w:rPr>
          <w:rFonts w:cs="Times New Roman"/>
          <w:noProof/>
        </w:rPr>
        <w:t>Voelker et al.</w:t>
      </w:r>
      <w:r w:rsidR="005609C1" w:rsidRPr="0019376B">
        <w:rPr>
          <w:rFonts w:cs="Times New Roman"/>
          <w:noProof/>
        </w:rPr>
        <w:t xml:space="preserve"> </w:t>
      </w:r>
      <w:r w:rsidR="005609C1">
        <w:rPr>
          <w:rFonts w:cs="Times New Roman"/>
          <w:noProof/>
        </w:rPr>
        <w:t>(</w:t>
      </w:r>
      <w:r w:rsidR="005609C1" w:rsidRPr="0019376B">
        <w:rPr>
          <w:rFonts w:cs="Times New Roman"/>
          <w:noProof/>
        </w:rPr>
        <w:t>2016)</w:t>
      </w:r>
      <w:r w:rsidR="005609C1">
        <w:rPr>
          <w:rFonts w:cs="Times New Roman"/>
        </w:rPr>
        <w:fldChar w:fldCharType="end"/>
      </w:r>
      <w:r w:rsidR="00D10DC5">
        <w:rPr>
          <w:rFonts w:cs="Times New Roman"/>
        </w:rPr>
        <w:t xml:space="preserve">. </w:t>
      </w:r>
      <w:r w:rsidR="00D46950">
        <w:rPr>
          <w:rFonts w:cs="Times New Roman"/>
        </w:rPr>
        <w:t xml:space="preserve">Similarly, </w:t>
      </w:r>
      <w:r w:rsidR="00A833F9">
        <w:rPr>
          <w:rFonts w:cs="Times New Roman"/>
        </w:rPr>
        <w:t>eddy-covariance</w:t>
      </w:r>
      <w:r w:rsidR="00D46950">
        <w:rPr>
          <w:rFonts w:cs="Times New Roman"/>
        </w:rPr>
        <w:t xml:space="preserve"> </w:t>
      </w:r>
      <w:r w:rsidR="000E7D9E">
        <w:rPr>
          <w:rFonts w:cs="Times New Roman"/>
        </w:rPr>
        <w:t xml:space="preserve">studies tend to suggest that </w:t>
      </w:r>
      <w:r w:rsidR="000E7D9E" w:rsidRPr="00BD2160">
        <w:rPr>
          <w:rFonts w:cs="Times New Roman"/>
          <w:i/>
        </w:rPr>
        <w:t>c</w:t>
      </w:r>
      <w:r w:rsidR="000E7D9E" w:rsidRPr="00BD2160">
        <w:rPr>
          <w:rFonts w:cs="Times New Roman"/>
          <w:vertAlign w:val="subscript"/>
        </w:rPr>
        <w:t>i</w:t>
      </w:r>
      <w:r w:rsidR="000E7D9E">
        <w:rPr>
          <w:rFonts w:cs="Times New Roman"/>
        </w:rPr>
        <w:t>*</w:t>
      </w:r>
      <w:r w:rsidR="000E7D9E" w:rsidRPr="00BD2160">
        <w:rPr>
          <w:rFonts w:cs="Times New Roman"/>
        </w:rPr>
        <w:t>/</w:t>
      </w:r>
      <w:r w:rsidR="000E7D9E" w:rsidRPr="00BD2160">
        <w:rPr>
          <w:rFonts w:cs="Times New Roman"/>
          <w:i/>
        </w:rPr>
        <w:t>c</w:t>
      </w:r>
      <w:r w:rsidR="000E7D9E" w:rsidRPr="00BD2160">
        <w:rPr>
          <w:rFonts w:cs="Times New Roman"/>
          <w:vertAlign w:val="subscript"/>
        </w:rPr>
        <w:t>a</w:t>
      </w:r>
      <w:r w:rsidR="000E7D9E" w:rsidRPr="00BD2160">
        <w:rPr>
          <w:rFonts w:cs="Times New Roman"/>
          <w:i/>
        </w:rPr>
        <w:t xml:space="preserve"> </w:t>
      </w:r>
      <w:r w:rsidR="000E7D9E">
        <w:rPr>
          <w:rFonts w:cs="Times New Roman"/>
        </w:rPr>
        <w:t>has decreased over the past two decades</w:t>
      </w:r>
      <w:r w:rsidR="00854CCE">
        <w:rPr>
          <w:rFonts w:cs="Times New Roman"/>
        </w:rPr>
        <w:t xml:space="preserve">, which is in contradiction with </w:t>
      </w:r>
      <w:r w:rsidR="00854CCE">
        <w:rPr>
          <w:rFonts w:cs="Times New Roman"/>
        </w:rPr>
        <w:fldChar w:fldCharType="begin" w:fldLock="1"/>
      </w:r>
      <w:r w:rsidR="00854CCE">
        <w:rPr>
          <w:rFonts w:cs="Times New Roman"/>
        </w:rPr>
        <w:instrText>ADDIN CSL_CITATION {"citationItems":[{"id":"ITEM-1","itemData":{"DOI":"10.1111/gcb.13102","ISBN":"9788578110796","ISSN":"13541013","PMID":"25246403","author":[{"dropping-particle":"","family":"Voelker","given":"Steven L.","non-dropping-particle":"","parse-names":false,"suffix":""},{"dropping-particle":"","family":"Brooks","given":"J. Renée","non-dropping-particle":"","parse-names":false,"suffix":""},{"dropping-particle":"","family":"Meinzer","given":"Frederick C.","non-dropping-particle":"","parse-names":false,"suffix":""},{"dropping-particle":"","family":"Anderson","given":"Rebecca","non-dropping-particle":"","parse-names":false,"suffix":""},{"dropping-particle":"","family":"Bader","given":"Martin K.-F.","non-dropping-particle":"","parse-names":false,"suffix":""},{"dropping-particle":"","family":"Battipaglia","given":"Giovanna","non-dropping-particle":"","parse-names":false,"suffix":""},{"dropping-particle":"","family":"Becklin","given":"Katie M.","non-dropping-particle":"","parse-names":false,"suffix":""},{"dropping-particle":"","family":"Beerling","given":"David","non-dropping-particle":"","parse-names":false,"suffix":""},{"dropping-particle":"","family":"Bert","given":"Didier","non-dropping-particle":"","parse-names":false,"suffix":""},{"dropping-particle":"","family":"Betancourt","given":"Julio L.","non-dropping-particle":"","parse-names":false,"suffix":""},{"dropping-particle":"","family":"Dawson","given":"Todd E.","non-dropping-particle":"","parse-names":false,"suffix":""},{"dropping-particle":"","family":"Domec","given":"Jean-Christophe","non-dropping-particle":"","parse-names":false,"suffix":""},{"dropping-particle":"","family":"Guyette","given":"Richard P.","non-dropping-particle":"","parse-names":false,"suffix":""},{"dropping-particle":"","family":"Körner","given":"Christian","non-dropping-particle":"","parse-names":false,"suffix":""},{"dropping-particle":"","family":"Leavitt","given":"Steven W.","non-dropping-particle":"","parse-names":false,"suffix":""},{"dropping-particle":"","family":"Linder","given":"Sune","non-dropping-particle":"","parse-names":false,"suffix":""},{"dropping-particle":"","family":"Marshall","given":"John D.","non-dropping-particle":"","parse-names":false,"suffix":""},{"dropping-particle":"","family":"Mildner","given":"Manuel","non-dropping-particle":"","parse-names":false,"suffix":""},{"dropping-particle":"","family":"Ogée","given":"Jérôme","non-dropping-particle":"","parse-names":false,"suffix":""},{"dropping-particle":"","family":"Panyushkina","given":"Irina","non-dropping-particle":"","parse-names":false,"suffix":""},{"dropping-particle":"","family":"Plumpton","given":"Heather J.","non-dropping-particle":"","parse-names":false,"suffix":""},{"dropping-particle":"","family":"Pregitzer","given":"Kurt S.","non-dropping-particle":"","parse-names":false,"suffix":""},{"dropping-particle":"","family":"Saurer","given":"Matthias","non-dropping-particle":"","parse-names":false,"suffix":""},{"dropping-particle":"","family":"Smith","given":"Andrew R.","non-dropping-particle":"","parse-names":false,"suffix":""},{"dropping-particle":"","family":"Siegwolf","given":"Rolf T.W.","non-dropping-particle":"","parse-names":false,"suffix":""},{"dropping-particle":"","family":"Stambaugh","given":"Michael C.","non-dropping-particle":"","parse-names":false,"suffix":""},{"dropping-particle":"","family":"Talhelm","given":"Alan F.","non-dropping-particle":"","parse-names":false,"suffix":""},{"dropping-particle":"","family":"Tardif","given":"Jacques C.","non-dropping-particle":"","parse-names":false,"suffix":""},{"dropping-particle":"","family":"Water","given":"Peter K.","non-dropping-particle":"Van de","parse-names":false,"suffix":""},{"dropping-particle":"","family":"Ward","given":"Joy K.","non-dropping-particle":"","parse-names":false,"suffix":""},{"dropping-particle":"","family":"Wingate","given":"Lisa","non-dropping-particle":"","parse-names":false,"suffix":""}],"container-title":"Global Change Biology","id":"ITEM-1","issue":"2","issued":{"date-parts":[["2016","9"]]},"page":"889-902","title":"A dynamic leaf gas-exchange strategy is conserved in woody plants under changing ambient CO2: evidence from carbon isotope discrimination in paleo and CO2 enrichment studies","type":"article-journal","volume":"22"},"uris":["http://www.mendeley.com/documents/?uuid=6a2fcd23-81ca-4a07-acc0-dae40f48686f"]}],"mendeley":{"formattedCitation":"(Voelker et al., 2016)","manualFormatting":"Voelker et al. (2016)","plainTextFormattedCitation":"(Voelker et al., 2016)","previouslyFormattedCitation":"(Voelker et al., 2016)"},"properties":{"noteIndex":0},"schema":"https://github.com/citation-style-language/schema/raw/master/csl-citation.json"}</w:instrText>
      </w:r>
      <w:r w:rsidR="00854CCE">
        <w:rPr>
          <w:rFonts w:cs="Times New Roman"/>
        </w:rPr>
        <w:fldChar w:fldCharType="separate"/>
      </w:r>
      <w:r w:rsidR="00854CCE">
        <w:rPr>
          <w:rFonts w:cs="Times New Roman"/>
          <w:noProof/>
        </w:rPr>
        <w:t>Voelker et al.</w:t>
      </w:r>
      <w:r w:rsidR="00854CCE" w:rsidRPr="0019376B">
        <w:rPr>
          <w:rFonts w:cs="Times New Roman"/>
          <w:noProof/>
        </w:rPr>
        <w:t xml:space="preserve"> </w:t>
      </w:r>
      <w:r w:rsidR="00854CCE">
        <w:rPr>
          <w:rFonts w:cs="Times New Roman"/>
          <w:noProof/>
        </w:rPr>
        <w:t>(</w:t>
      </w:r>
      <w:r w:rsidR="00854CCE" w:rsidRPr="0019376B">
        <w:rPr>
          <w:rFonts w:cs="Times New Roman"/>
          <w:noProof/>
        </w:rPr>
        <w:t>2016)</w:t>
      </w:r>
      <w:r w:rsidR="00854CCE">
        <w:rPr>
          <w:rFonts w:cs="Times New Roman"/>
        </w:rPr>
        <w:fldChar w:fldCharType="end"/>
      </w:r>
      <w:r w:rsidR="00854CCE">
        <w:rPr>
          <w:rFonts w:cs="Times New Roman"/>
        </w:rPr>
        <w:t>.</w:t>
      </w:r>
      <w:r w:rsidR="000E7D9E">
        <w:rPr>
          <w:rFonts w:cs="Times New Roman"/>
        </w:rPr>
        <w:t xml:space="preserve"> </w:t>
      </w:r>
      <w:r w:rsidR="00446D5B" w:rsidRPr="005360C3">
        <w:rPr>
          <w:rFonts w:cs="Times New Roman"/>
          <w:color w:val="000000" w:themeColor="text1"/>
        </w:rPr>
        <w:t>T</w:t>
      </w:r>
      <w:r w:rsidR="00854CCE">
        <w:rPr>
          <w:rFonts w:cs="Times New Roman"/>
          <w:color w:val="000000" w:themeColor="text1"/>
        </w:rPr>
        <w:t xml:space="preserve">hus, </w:t>
      </w:r>
      <w:r w:rsidR="001C21BF">
        <w:rPr>
          <w:rFonts w:cs="Times New Roman"/>
          <w:color w:val="000000" w:themeColor="text1"/>
        </w:rPr>
        <w:t>t</w:t>
      </w:r>
      <w:r w:rsidR="009D0BB6" w:rsidRPr="005360C3">
        <w:rPr>
          <w:rFonts w:cs="Times New Roman"/>
        </w:rPr>
        <w:t>he large difference</w:t>
      </w:r>
      <w:r w:rsidR="000A1DE0" w:rsidRPr="005360C3">
        <w:rPr>
          <w:rFonts w:cs="Times New Roman"/>
        </w:rPr>
        <w:t>s</w:t>
      </w:r>
      <w:r w:rsidR="009D0BB6" w:rsidRPr="005360C3">
        <w:rPr>
          <w:rFonts w:cs="Times New Roman"/>
        </w:rPr>
        <w:t xml:space="preserve"> between WUE trends inferred from </w:t>
      </w:r>
      <w:r w:rsidR="00DD5FA6" w:rsidRPr="005360C3">
        <w:rPr>
          <w:rFonts w:cs="Times New Roman"/>
          <w:color w:val="000000" w:themeColor="text1"/>
        </w:rPr>
        <w:t>the different data sources</w:t>
      </w:r>
      <w:r w:rsidR="008C50C9">
        <w:rPr>
          <w:rFonts w:cs="Times New Roman"/>
          <w:color w:val="000000" w:themeColor="text1"/>
        </w:rPr>
        <w:t>, especially for DBFs,</w:t>
      </w:r>
      <w:r w:rsidR="0097194C">
        <w:rPr>
          <w:rFonts w:cs="Times New Roman"/>
          <w:color w:val="FF0000"/>
        </w:rPr>
        <w:t xml:space="preserve"> </w:t>
      </w:r>
      <w:r w:rsidR="009D0BB6" w:rsidRPr="005360C3">
        <w:rPr>
          <w:rFonts w:cs="Times New Roman"/>
        </w:rPr>
        <w:t>remain enigmatic.</w:t>
      </w:r>
      <w:r w:rsidR="004D4543" w:rsidRPr="005360C3">
        <w:rPr>
          <w:rFonts w:cs="Times New Roman"/>
        </w:rPr>
        <w:t xml:space="preserve"> </w:t>
      </w:r>
      <w:r w:rsidR="00627A93" w:rsidRPr="005360C3">
        <w:rPr>
          <w:rFonts w:cs="Times New Roman"/>
          <w:color w:val="000000" w:themeColor="text1"/>
        </w:rPr>
        <w:t>Nevertheless,</w:t>
      </w:r>
      <w:r w:rsidR="00270127">
        <w:rPr>
          <w:rFonts w:cs="Times New Roman"/>
          <w:color w:val="FF0000"/>
        </w:rPr>
        <w:t xml:space="preserve"> </w:t>
      </w:r>
      <w:r w:rsidR="00270127" w:rsidRPr="00D42A13">
        <w:rPr>
          <w:rFonts w:cs="Times New Roman"/>
          <w:color w:val="000000" w:themeColor="text1"/>
        </w:rPr>
        <w:t xml:space="preserve">investigating potential biases </w:t>
      </w:r>
      <w:r w:rsidR="00305EAC">
        <w:rPr>
          <w:rFonts w:cs="Times New Roman"/>
          <w:color w:val="000000" w:themeColor="text1"/>
        </w:rPr>
        <w:t>in</w:t>
      </w:r>
      <w:r w:rsidR="00270127" w:rsidRPr="00D42A13">
        <w:rPr>
          <w:rFonts w:cs="Times New Roman"/>
          <w:color w:val="000000" w:themeColor="text1"/>
        </w:rPr>
        <w:t xml:space="preserve"> the estimat</w:t>
      </w:r>
      <w:r w:rsidR="009D7729">
        <w:rPr>
          <w:rFonts w:cs="Times New Roman"/>
          <w:color w:val="000000" w:themeColor="text1"/>
        </w:rPr>
        <w:t>e</w:t>
      </w:r>
      <w:r w:rsidR="00270127" w:rsidRPr="00D42A13">
        <w:rPr>
          <w:rFonts w:cs="Times New Roman"/>
          <w:color w:val="000000" w:themeColor="text1"/>
        </w:rPr>
        <w:t xml:space="preserve">s and </w:t>
      </w:r>
      <w:r w:rsidR="00627A93" w:rsidRPr="005360C3">
        <w:rPr>
          <w:rFonts w:cs="Times New Roman"/>
          <w:color w:val="000000" w:themeColor="text1"/>
        </w:rPr>
        <w:t>quantifying the uncertainties associated with t</w:t>
      </w:r>
      <w:r w:rsidR="00627A93" w:rsidRPr="00106A23">
        <w:rPr>
          <w:rFonts w:cs="Times New Roman"/>
          <w:color w:val="000000" w:themeColor="text1"/>
        </w:rPr>
        <w:t>he</w:t>
      </w:r>
      <w:r w:rsidR="00305EAC">
        <w:rPr>
          <w:rFonts w:cs="Times New Roman"/>
          <w:color w:val="000000" w:themeColor="text1"/>
        </w:rPr>
        <w:t xml:space="preserve"> source</w:t>
      </w:r>
      <w:r w:rsidR="00627A93" w:rsidRPr="00106A23">
        <w:rPr>
          <w:rFonts w:cs="Times New Roman"/>
          <w:color w:val="000000" w:themeColor="text1"/>
        </w:rPr>
        <w:t xml:space="preserve"> data </w:t>
      </w:r>
      <w:r w:rsidR="00270127" w:rsidRPr="00106A23">
        <w:rPr>
          <w:rFonts w:cs="Times New Roman"/>
          <w:color w:val="000000" w:themeColor="text1"/>
        </w:rPr>
        <w:t xml:space="preserve">are </w:t>
      </w:r>
      <w:r w:rsidR="00627A93" w:rsidRPr="00106A23">
        <w:rPr>
          <w:rFonts w:cs="Times New Roman"/>
          <w:color w:val="000000" w:themeColor="text1"/>
        </w:rPr>
        <w:t>the first step</w:t>
      </w:r>
      <w:r w:rsidR="00270127" w:rsidRPr="00106A23">
        <w:rPr>
          <w:rFonts w:cs="Times New Roman"/>
          <w:color w:val="000000" w:themeColor="text1"/>
        </w:rPr>
        <w:t>s</w:t>
      </w:r>
      <w:r w:rsidR="00627A93" w:rsidRPr="00106A23">
        <w:rPr>
          <w:rFonts w:cs="Times New Roman"/>
          <w:color w:val="000000" w:themeColor="text1"/>
        </w:rPr>
        <w:t xml:space="preserve"> towards accurate </w:t>
      </w:r>
      <w:r w:rsidR="00831099" w:rsidRPr="00106A23">
        <w:rPr>
          <w:rFonts w:cs="Times New Roman"/>
          <w:color w:val="000000" w:themeColor="text1"/>
        </w:rPr>
        <w:t xml:space="preserve">interpretations </w:t>
      </w:r>
      <w:r w:rsidR="00627A93" w:rsidRPr="00106A23">
        <w:rPr>
          <w:rFonts w:cs="Times New Roman"/>
          <w:color w:val="000000" w:themeColor="text1"/>
        </w:rPr>
        <w:t xml:space="preserve">of </w:t>
      </w:r>
      <w:r w:rsidR="00C21C4F">
        <w:rPr>
          <w:rFonts w:cs="Times New Roman"/>
          <w:color w:val="000000" w:themeColor="text1"/>
        </w:rPr>
        <w:t>the</w:t>
      </w:r>
      <w:r w:rsidR="001E0D29">
        <w:rPr>
          <w:rFonts w:cs="Times New Roman"/>
          <w:color w:val="000000" w:themeColor="text1"/>
        </w:rPr>
        <w:t>se</w:t>
      </w:r>
      <w:r w:rsidR="00C21C4F">
        <w:rPr>
          <w:rFonts w:cs="Times New Roman"/>
          <w:color w:val="000000" w:themeColor="text1"/>
        </w:rPr>
        <w:t xml:space="preserve"> </w:t>
      </w:r>
      <w:r w:rsidR="00015FB7">
        <w:rPr>
          <w:rFonts w:cs="Times New Roman"/>
          <w:color w:val="000000" w:themeColor="text1"/>
        </w:rPr>
        <w:t>differences</w:t>
      </w:r>
      <w:r w:rsidR="00627A93" w:rsidRPr="00106A23">
        <w:rPr>
          <w:rFonts w:cs="Times New Roman"/>
          <w:color w:val="000000" w:themeColor="text1"/>
        </w:rPr>
        <w:t xml:space="preserve"> in WUE </w:t>
      </w:r>
      <w:r w:rsidR="00134C3F">
        <w:rPr>
          <w:rFonts w:cs="Times New Roman"/>
          <w:color w:val="000000" w:themeColor="text1"/>
        </w:rPr>
        <w:t>trend</w:t>
      </w:r>
      <w:r w:rsidR="00C21C4F">
        <w:rPr>
          <w:rFonts w:cs="Times New Roman"/>
          <w:color w:val="000000" w:themeColor="text1"/>
        </w:rPr>
        <w:t>s</w:t>
      </w:r>
      <w:r w:rsidR="00627A93" w:rsidRPr="00106A23">
        <w:rPr>
          <w:rFonts w:cs="Times New Roman"/>
          <w:color w:val="000000" w:themeColor="text1"/>
        </w:rPr>
        <w:t>.</w:t>
      </w:r>
    </w:p>
    <w:p w14:paraId="6D640616" w14:textId="236DCF3F" w:rsidR="00291249" w:rsidRPr="00291249" w:rsidRDefault="00E02728" w:rsidP="00291249">
      <w:pPr>
        <w:pStyle w:val="Body"/>
        <w:keepNext/>
        <w:numPr>
          <w:ilvl w:val="1"/>
          <w:numId w:val="29"/>
        </w:numPr>
        <w:spacing w:before="240" w:line="360" w:lineRule="auto"/>
        <w:jc w:val="both"/>
        <w:rPr>
          <w:color w:val="000000" w:themeColor="text1"/>
        </w:rPr>
      </w:pPr>
      <w:r w:rsidRPr="00106A23">
        <w:rPr>
          <w:b/>
          <w:bCs/>
          <w:color w:val="000000" w:themeColor="text1"/>
        </w:rPr>
        <w:t>Methodological issues</w:t>
      </w:r>
      <w:r w:rsidR="00D650F8" w:rsidRPr="00106A23">
        <w:rPr>
          <w:b/>
          <w:bCs/>
          <w:color w:val="000000" w:themeColor="text1"/>
        </w:rPr>
        <w:t xml:space="preserve"> </w:t>
      </w:r>
      <w:r w:rsidR="00F04FC0">
        <w:rPr>
          <w:b/>
          <w:bCs/>
          <w:color w:val="000000" w:themeColor="text1"/>
        </w:rPr>
        <w:t>underlying trend</w:t>
      </w:r>
      <w:r w:rsidR="00036513">
        <w:rPr>
          <w:b/>
          <w:bCs/>
          <w:color w:val="000000" w:themeColor="text1"/>
        </w:rPr>
        <w:t>s</w:t>
      </w:r>
      <w:r w:rsidR="00F04FC0">
        <w:rPr>
          <w:b/>
          <w:bCs/>
          <w:color w:val="000000" w:themeColor="text1"/>
        </w:rPr>
        <w:t xml:space="preserve"> estimates</w:t>
      </w:r>
    </w:p>
    <w:bookmarkEnd w:id="1"/>
    <w:p w14:paraId="3DD0E8AE" w14:textId="091F69EC" w:rsidR="00D83CAE" w:rsidRDefault="006D6609" w:rsidP="00D83CAE">
      <w:pPr>
        <w:keepNext/>
        <w:spacing w:before="240" w:line="360" w:lineRule="auto"/>
        <w:jc w:val="both"/>
        <w:rPr>
          <w:color w:val="000000" w:themeColor="text1"/>
        </w:rPr>
      </w:pPr>
      <w:r>
        <w:rPr>
          <w:color w:val="000000" w:themeColor="text1"/>
        </w:rPr>
        <w:t>In this section</w:t>
      </w:r>
      <w:r w:rsidR="00054175" w:rsidRPr="00054175">
        <w:rPr>
          <w:color w:val="000000" w:themeColor="text1"/>
        </w:rPr>
        <w:t>, we investigate potential biases and uncertainties in the estimation of trends related to the methodology applied that might explain part of the discrepancies observed within and across scales</w:t>
      </w:r>
      <w:r w:rsidR="00897660">
        <w:rPr>
          <w:color w:val="000000" w:themeColor="text1"/>
        </w:rPr>
        <w:t>. We also</w:t>
      </w:r>
      <w:r w:rsidR="00141247">
        <w:rPr>
          <w:color w:val="000000" w:themeColor="text1"/>
        </w:rPr>
        <w:t xml:space="preserve"> compare estimat</w:t>
      </w:r>
      <w:r w:rsidR="009D7729">
        <w:rPr>
          <w:color w:val="000000" w:themeColor="text1"/>
        </w:rPr>
        <w:t>e</w:t>
      </w:r>
      <w:r w:rsidR="00141247">
        <w:rPr>
          <w:color w:val="000000" w:themeColor="text1"/>
        </w:rPr>
        <w:t xml:space="preserve">s </w:t>
      </w:r>
      <w:r w:rsidR="00897660">
        <w:rPr>
          <w:color w:val="000000" w:themeColor="text1"/>
        </w:rPr>
        <w:t xml:space="preserve">of WUE trends </w:t>
      </w:r>
      <w:r w:rsidR="002E158E">
        <w:rPr>
          <w:color w:val="000000" w:themeColor="text1"/>
        </w:rPr>
        <w:t xml:space="preserve">inferred </w:t>
      </w:r>
      <w:r w:rsidR="00141247">
        <w:rPr>
          <w:color w:val="000000" w:themeColor="text1"/>
        </w:rPr>
        <w:t xml:space="preserve">from </w:t>
      </w:r>
      <w:r w:rsidR="00841AC4">
        <w:rPr>
          <w:color w:val="000000" w:themeColor="text1"/>
        </w:rPr>
        <w:t>tree-ring</w:t>
      </w:r>
      <w:r w:rsidR="00897660">
        <w:rPr>
          <w:color w:val="000000" w:themeColor="text1"/>
        </w:rPr>
        <w:t xml:space="preserve"> </w:t>
      </w:r>
      <w:r w:rsidR="002E158E">
        <w:rPr>
          <w:color w:val="000000" w:themeColor="text1"/>
        </w:rPr>
        <w:t xml:space="preserve">carbon isotopes </w:t>
      </w:r>
      <w:r w:rsidR="00897660">
        <w:rPr>
          <w:color w:val="000000" w:themeColor="text1"/>
        </w:rPr>
        <w:t xml:space="preserve">and </w:t>
      </w:r>
      <w:r w:rsidR="00841AC4">
        <w:rPr>
          <w:color w:val="000000" w:themeColor="text1"/>
        </w:rPr>
        <w:t>eddy-covariance</w:t>
      </w:r>
      <w:r w:rsidR="00897660">
        <w:rPr>
          <w:color w:val="000000" w:themeColor="text1"/>
        </w:rPr>
        <w:t xml:space="preserve"> </w:t>
      </w:r>
      <w:r w:rsidR="002E158E">
        <w:rPr>
          <w:color w:val="000000" w:themeColor="text1"/>
        </w:rPr>
        <w:t xml:space="preserve">flux </w:t>
      </w:r>
      <w:r w:rsidR="00897660">
        <w:rPr>
          <w:color w:val="000000" w:themeColor="text1"/>
        </w:rPr>
        <w:t>measurements</w:t>
      </w:r>
      <w:r w:rsidR="00141247">
        <w:rPr>
          <w:color w:val="000000" w:themeColor="text1"/>
        </w:rPr>
        <w:t xml:space="preserve"> </w:t>
      </w:r>
      <w:r w:rsidR="00897660">
        <w:rPr>
          <w:color w:val="000000" w:themeColor="text1"/>
        </w:rPr>
        <w:t xml:space="preserve">derived from </w:t>
      </w:r>
      <w:r w:rsidR="00897660" w:rsidRPr="00141247">
        <w:rPr>
          <w:color w:val="000000" w:themeColor="text1"/>
        </w:rPr>
        <w:t xml:space="preserve">open-access datasets (Table 1) </w:t>
      </w:r>
      <w:r w:rsidR="00141247">
        <w:rPr>
          <w:color w:val="000000" w:themeColor="text1"/>
        </w:rPr>
        <w:t>over their common period</w:t>
      </w:r>
      <w:r w:rsidR="00897660">
        <w:rPr>
          <w:color w:val="000000" w:themeColor="text1"/>
        </w:rPr>
        <w:t xml:space="preserve"> of records </w:t>
      </w:r>
      <w:r w:rsidR="00F74DA2">
        <w:rPr>
          <w:color w:val="000000" w:themeColor="text1"/>
        </w:rPr>
        <w:t>(i.e. 199</w:t>
      </w:r>
      <w:r w:rsidR="00B079C8">
        <w:rPr>
          <w:color w:val="000000" w:themeColor="text1"/>
        </w:rPr>
        <w:t>2</w:t>
      </w:r>
      <w:r w:rsidR="00F74DA2">
        <w:rPr>
          <w:color w:val="000000" w:themeColor="text1"/>
        </w:rPr>
        <w:t>-2011)</w:t>
      </w:r>
      <w:r w:rsidR="00141247" w:rsidRPr="00141247">
        <w:rPr>
          <w:color w:val="000000" w:themeColor="text1"/>
        </w:rPr>
        <w:t>.</w:t>
      </w:r>
    </w:p>
    <w:p w14:paraId="6A4534B6" w14:textId="77777777" w:rsidR="00310A4F" w:rsidRPr="00310A4F" w:rsidRDefault="00310A4F" w:rsidP="00D83CAE">
      <w:pPr>
        <w:keepNext/>
        <w:spacing w:before="240" w:line="360" w:lineRule="auto"/>
        <w:jc w:val="both"/>
        <w:rPr>
          <w:color w:val="000000" w:themeColor="text1"/>
        </w:rPr>
      </w:pPr>
    </w:p>
    <w:p w14:paraId="49F4065D" w14:textId="0F3BB5CE" w:rsidR="006D7CCF" w:rsidRPr="00106A23" w:rsidRDefault="006838B6" w:rsidP="00106A23">
      <w:pPr>
        <w:pStyle w:val="ListParagraph"/>
        <w:keepNext/>
        <w:numPr>
          <w:ilvl w:val="2"/>
          <w:numId w:val="29"/>
        </w:numPr>
        <w:spacing w:line="360" w:lineRule="auto"/>
        <w:jc w:val="both"/>
        <w:rPr>
          <w:rFonts w:ascii="Times New Roman" w:hAnsi="Times New Roman" w:cs="Times New Roman"/>
          <w:b/>
          <w:bCs/>
        </w:rPr>
      </w:pPr>
      <w:r w:rsidRPr="00106A23">
        <w:rPr>
          <w:rFonts w:ascii="Times New Roman" w:hAnsi="Times New Roman" w:cs="Times New Roman"/>
          <w:b/>
          <w:iCs/>
        </w:rPr>
        <w:t xml:space="preserve">Stable </w:t>
      </w:r>
      <w:r w:rsidR="00B53418" w:rsidRPr="00106A23">
        <w:rPr>
          <w:rFonts w:ascii="Times New Roman" w:hAnsi="Times New Roman" w:cs="Times New Roman"/>
          <w:b/>
          <w:iCs/>
        </w:rPr>
        <w:t xml:space="preserve">carbon </w:t>
      </w:r>
      <w:r w:rsidRPr="00106A23">
        <w:rPr>
          <w:rFonts w:ascii="Times New Roman" w:hAnsi="Times New Roman" w:cs="Times New Roman"/>
          <w:b/>
          <w:iCs/>
        </w:rPr>
        <w:t>isotope data</w:t>
      </w:r>
    </w:p>
    <w:p w14:paraId="51784F4E" w14:textId="71FD8B23" w:rsidR="00535B17" w:rsidRDefault="00F6042E" w:rsidP="00544519">
      <w:pPr>
        <w:pStyle w:val="Body"/>
        <w:spacing w:before="240" w:line="360" w:lineRule="auto"/>
        <w:jc w:val="both"/>
        <w:rPr>
          <w:rFonts w:cs="Times New Roman"/>
          <w:color w:val="000000" w:themeColor="text1"/>
        </w:rPr>
      </w:pPr>
      <w:r>
        <w:rPr>
          <w:rFonts w:cs="Times New Roman"/>
        </w:rPr>
        <w:t>A</w:t>
      </w:r>
      <w:r w:rsidR="004E7C88">
        <w:rPr>
          <w:rFonts w:cs="Times New Roman"/>
        </w:rPr>
        <w:t xml:space="preserve">ll </w:t>
      </w:r>
      <w:r w:rsidR="006723FD">
        <w:rPr>
          <w:rFonts w:cs="Times New Roman"/>
        </w:rPr>
        <w:t>tree-ring</w:t>
      </w:r>
      <w:r w:rsidR="004E7C88">
        <w:rPr>
          <w:rFonts w:cs="Times New Roman"/>
        </w:rPr>
        <w:t xml:space="preserve"> studies </w:t>
      </w:r>
      <w:r>
        <w:rPr>
          <w:rFonts w:cs="Times New Roman"/>
        </w:rPr>
        <w:t>have applied equation (</w:t>
      </w:r>
      <w:r w:rsidR="0003167F">
        <w:rPr>
          <w:rFonts w:cs="Times New Roman"/>
        </w:rPr>
        <w:t>4</w:t>
      </w:r>
      <w:r>
        <w:rPr>
          <w:rFonts w:cs="Times New Roman"/>
        </w:rPr>
        <w:t xml:space="preserve">) for </w:t>
      </w:r>
      <w:r w:rsidR="004E7C88">
        <w:rPr>
          <w:rFonts w:cs="Times New Roman"/>
        </w:rPr>
        <w:t xml:space="preserve">estimating historical trends in </w:t>
      </w:r>
      <w:r w:rsidR="006440FA" w:rsidRPr="00BD2160">
        <w:rPr>
          <w:rFonts w:cs="Times New Roman"/>
        </w:rPr>
        <w:t>iWUE</w:t>
      </w:r>
      <w:r w:rsidR="006440FA" w:rsidRPr="001B08EE">
        <w:rPr>
          <w:rFonts w:cs="Times New Roman"/>
          <w:vertAlign w:val="superscript"/>
        </w:rPr>
        <w:t>l</w:t>
      </w:r>
      <w:r w:rsidR="006440FA">
        <w:rPr>
          <w:rFonts w:cs="Times New Roman"/>
          <w:vertAlign w:val="superscript"/>
        </w:rPr>
        <w:t>eaf</w:t>
      </w:r>
      <w:r w:rsidR="00597417">
        <w:rPr>
          <w:rFonts w:cs="Times New Roman"/>
        </w:rPr>
        <w:t xml:space="preserve">. </w:t>
      </w:r>
      <w:r w:rsidR="000C2783">
        <w:rPr>
          <w:rFonts w:cs="Times New Roman"/>
        </w:rPr>
        <w:t>However, th</w:t>
      </w:r>
      <w:r w:rsidR="00597417">
        <w:rPr>
          <w:rFonts w:cs="Times New Roman"/>
        </w:rPr>
        <w:t>e discrimination</w:t>
      </w:r>
      <w:r w:rsidR="000C2783">
        <w:rPr>
          <w:rFonts w:cs="Times New Roman"/>
        </w:rPr>
        <w:t xml:space="preserve"> model</w:t>
      </w:r>
      <w:r w:rsidR="00D22DAC" w:rsidRPr="00E02728">
        <w:rPr>
          <w:rFonts w:cs="Times New Roman"/>
        </w:rPr>
        <w:t xml:space="preserve"> </w:t>
      </w:r>
      <w:r w:rsidR="004B3564">
        <w:rPr>
          <w:rFonts w:cs="Times New Roman"/>
        </w:rPr>
        <w:t xml:space="preserve">represented by </w:t>
      </w:r>
      <w:r w:rsidR="00597417">
        <w:rPr>
          <w:rFonts w:cs="Times New Roman"/>
        </w:rPr>
        <w:t xml:space="preserve">equation </w:t>
      </w:r>
      <w:r w:rsidR="004B3564">
        <w:rPr>
          <w:rFonts w:cs="Times New Roman"/>
        </w:rPr>
        <w:t>(</w:t>
      </w:r>
      <w:r w:rsidR="0003167F">
        <w:rPr>
          <w:rFonts w:cs="Times New Roman"/>
        </w:rPr>
        <w:t>3</w:t>
      </w:r>
      <w:r w:rsidR="00597417">
        <w:rPr>
          <w:rFonts w:cs="Times New Roman"/>
        </w:rPr>
        <w:t xml:space="preserve">) </w:t>
      </w:r>
      <w:r w:rsidR="000C2783" w:rsidRPr="00E02728">
        <w:rPr>
          <w:rFonts w:cs="Times New Roman"/>
        </w:rPr>
        <w:t>i</w:t>
      </w:r>
      <w:r w:rsidR="000C2783">
        <w:rPr>
          <w:rFonts w:cs="Times New Roman"/>
        </w:rPr>
        <w:t>s</w:t>
      </w:r>
      <w:r w:rsidR="000C2783" w:rsidRPr="00BD2160">
        <w:rPr>
          <w:rFonts w:cs="Times New Roman"/>
        </w:rPr>
        <w:t xml:space="preserve"> </w:t>
      </w:r>
      <w:r w:rsidR="0078374F" w:rsidRPr="00BD2160">
        <w:rPr>
          <w:rFonts w:cs="Times New Roman"/>
        </w:rPr>
        <w:t>a considerable simplification of the</w:t>
      </w:r>
      <w:r w:rsidR="005C6B53" w:rsidRPr="00BD2160">
        <w:rPr>
          <w:rFonts w:cs="Times New Roman"/>
        </w:rPr>
        <w:t xml:space="preserve"> processes involved in determining ∆</w:t>
      </w:r>
      <w:r w:rsidR="005C6B53" w:rsidRPr="00BD2160">
        <w:rPr>
          <w:rFonts w:cs="Times New Roman"/>
          <w:vertAlign w:val="superscript"/>
        </w:rPr>
        <w:t>13</w:t>
      </w:r>
      <w:r w:rsidR="005C6B53" w:rsidRPr="00BD2160">
        <w:rPr>
          <w:rFonts w:cs="Times New Roman"/>
        </w:rPr>
        <w:t xml:space="preserve">C </w:t>
      </w:r>
      <w:r w:rsidR="001A6091" w:rsidRPr="00BD2160">
        <w:rPr>
          <w:rFonts w:cs="Times New Roman"/>
        </w:rPr>
        <w:t>at the leaf level</w:t>
      </w:r>
      <w:r w:rsidR="001D34F0">
        <w:rPr>
          <w:rFonts w:cs="Times New Roman"/>
        </w:rPr>
        <w:t>,</w:t>
      </w:r>
      <w:r w:rsidR="005C6B53" w:rsidRPr="00BD2160">
        <w:rPr>
          <w:rFonts w:cs="Times New Roman"/>
        </w:rPr>
        <w:t xml:space="preserve"> </w:t>
      </w:r>
      <w:r w:rsidR="004B3564">
        <w:rPr>
          <w:rFonts w:cs="Times New Roman"/>
        </w:rPr>
        <w:t>and this</w:t>
      </w:r>
      <w:r w:rsidR="004B3564" w:rsidRPr="00BD2160">
        <w:rPr>
          <w:rFonts w:cs="Times New Roman"/>
        </w:rPr>
        <w:t xml:space="preserve"> </w:t>
      </w:r>
      <w:r w:rsidR="005C6B53" w:rsidRPr="00BD2160">
        <w:rPr>
          <w:rFonts w:cs="Times New Roman"/>
        </w:rPr>
        <w:t>matters when considering small variations and trends</w:t>
      </w:r>
      <w:r w:rsidR="00E212AA" w:rsidRPr="00BD2160">
        <w:rPr>
          <w:rFonts w:cs="Times New Roman"/>
        </w:rPr>
        <w:t xml:space="preserve">. </w:t>
      </w:r>
      <w:r w:rsidR="00CC1273" w:rsidRPr="00BD2160">
        <w:rPr>
          <w:rFonts w:cs="Times New Roman"/>
        </w:rPr>
        <w:t xml:space="preserve">Plant tissues are </w:t>
      </w:r>
      <w:r w:rsidR="00F436EC" w:rsidRPr="00BD2160">
        <w:rPr>
          <w:rFonts w:cs="Times New Roman"/>
        </w:rPr>
        <w:t xml:space="preserve">constructed from the net </w:t>
      </w:r>
      <w:r w:rsidR="00D22DAC" w:rsidRPr="00BD2160">
        <w:rPr>
          <w:rFonts w:cs="Times New Roman"/>
        </w:rPr>
        <w:t xml:space="preserve">pool of </w:t>
      </w:r>
      <w:r w:rsidR="00F436EC" w:rsidRPr="00BD2160">
        <w:rPr>
          <w:rFonts w:cs="Times New Roman"/>
        </w:rPr>
        <w:t xml:space="preserve">carbon captured during metabolism, i.e., the balance of carbon gain </w:t>
      </w:r>
      <w:r w:rsidR="00F436EC" w:rsidRPr="00BD2160">
        <w:rPr>
          <w:rFonts w:cs="Times New Roman"/>
          <w:i/>
          <w:iCs/>
        </w:rPr>
        <w:t>via</w:t>
      </w:r>
      <w:r w:rsidR="00F436EC" w:rsidRPr="00BD2160">
        <w:rPr>
          <w:rFonts w:cs="Times New Roman"/>
        </w:rPr>
        <w:t xml:space="preserve"> assimilation and carbon loss </w:t>
      </w:r>
      <w:r w:rsidR="00F436EC" w:rsidRPr="00BD2160">
        <w:rPr>
          <w:rFonts w:cs="Times New Roman"/>
          <w:i/>
          <w:iCs/>
        </w:rPr>
        <w:t>via</w:t>
      </w:r>
      <w:r w:rsidR="00F436EC" w:rsidRPr="00BD2160">
        <w:rPr>
          <w:rFonts w:cs="Times New Roman"/>
        </w:rPr>
        <w:t xml:space="preserve"> photorespiration and </w:t>
      </w:r>
      <w:r w:rsidR="00CC1273" w:rsidRPr="00BD2160">
        <w:rPr>
          <w:rFonts w:cs="Times New Roman"/>
        </w:rPr>
        <w:t xml:space="preserve">mitochondrial </w:t>
      </w:r>
      <w:r w:rsidR="00F436EC" w:rsidRPr="00BD2160">
        <w:rPr>
          <w:rFonts w:cs="Times New Roman"/>
        </w:rPr>
        <w:t xml:space="preserve">respiration </w:t>
      </w:r>
      <w:r w:rsidR="00517464" w:rsidRPr="00BD2160">
        <w:rPr>
          <w:rFonts w:cs="Times New Roman"/>
        </w:rPr>
        <w:fldChar w:fldCharType="begin" w:fldLock="1"/>
      </w:r>
      <w:r w:rsidR="004434E2">
        <w:rPr>
          <w:rFonts w:cs="Times New Roman"/>
        </w:rPr>
        <w:instrText>ADDIN CSL_CITATION {"citationItems":[{"id":"ITEM-1","itemData":{"DOI":"10.1111/j.1365-3040.2007.01647.x","ISBN":"0140-7791 (Print)","ISSN":"0140-7791","PMID":"17407538","author":[{"dropping-particle":"","family":"Wingate","given":"Lisa","non-dropping-particle":"","parse-names":false,"suffix":""},{"dropping-particle":"","family":"Seibt","given":"Ulli","non-dropping-particle":"","parse-names":false,"suffix":""},{"dropping-particle":"","family":"Moncrieff","given":"John B.","non-dropping-particle":"","parse-names":false,"suffix":""},{"dropping-particle":"","family":"Jarvis","given":"Paul G.","non-dropping-particle":"","parse-names":false,"suffix":""},{"dropping-particle":"","family":"Lloyd","given":"Jon","non-dropping-particle":"","parse-names":false,"suffix":""}],"container-title":"Plant, Cell &amp; Environment","id":"ITEM-1","issue":"5","issued":{"date-parts":[["2007"]]},"page":"600-616","title":"Variations in 13C discrimination during CO2 exchange by Picea sitchensis branches in the field","type":"article-journal","volume":"30"},"uris":["http://www.mendeley.com/documents/?uuid=995997ab-34e1-4246-ba34-f3076a50ebdf","http://www.mendeley.com/documents/?uuid=8e96f7d8-0ddc-4afe-b908-b29b4b554a18"]}],"mendeley":{"formattedCitation":"(Wingate et al., 2007)","plainTextFormattedCitation":"(Wingate et al., 2007)","previouslyFormattedCitation":"(Wingate et al., 2007)"},"properties":{"noteIndex":0},"schema":"https://github.com/citation-style-language/schema/raw/master/csl-citation.json"}</w:instrText>
      </w:r>
      <w:r w:rsidR="00517464" w:rsidRPr="00BD2160">
        <w:rPr>
          <w:rFonts w:cs="Times New Roman"/>
        </w:rPr>
        <w:fldChar w:fldCharType="separate"/>
      </w:r>
      <w:r w:rsidR="00F34888" w:rsidRPr="00F34888">
        <w:rPr>
          <w:rFonts w:cs="Times New Roman"/>
          <w:noProof/>
          <w:lang w:val="fr-FR"/>
        </w:rPr>
        <w:t>(Wingate et al., 2007)</w:t>
      </w:r>
      <w:r w:rsidR="00517464" w:rsidRPr="00BD2160">
        <w:rPr>
          <w:rFonts w:cs="Times New Roman"/>
        </w:rPr>
        <w:fldChar w:fldCharType="end"/>
      </w:r>
      <w:r w:rsidR="00F436EC" w:rsidRPr="00BD2160">
        <w:rPr>
          <w:rFonts w:cs="Times New Roman"/>
          <w:lang w:val="fr-FR"/>
        </w:rPr>
        <w:t xml:space="preserve">. </w:t>
      </w:r>
      <w:r w:rsidR="00F436EC" w:rsidRPr="00BD2160">
        <w:rPr>
          <w:rFonts w:cs="Times New Roman"/>
        </w:rPr>
        <w:t xml:space="preserve">Furthermore, </w:t>
      </w:r>
      <w:r w:rsidR="00F43D0F">
        <w:rPr>
          <w:rFonts w:cs="Times New Roman"/>
        </w:rPr>
        <w:t xml:space="preserve">although </w:t>
      </w:r>
      <w:r w:rsidR="00F436EC" w:rsidRPr="00BD2160">
        <w:rPr>
          <w:rFonts w:cs="Times New Roman"/>
        </w:rPr>
        <w:t>CO</w:t>
      </w:r>
      <w:r w:rsidR="00F436EC" w:rsidRPr="00BD2160">
        <w:rPr>
          <w:rFonts w:cs="Times New Roman"/>
          <w:vertAlign w:val="subscript"/>
        </w:rPr>
        <w:t>2</w:t>
      </w:r>
      <w:r w:rsidR="00F436EC" w:rsidRPr="00BD2160">
        <w:rPr>
          <w:rFonts w:cs="Times New Roman"/>
        </w:rPr>
        <w:t xml:space="preserve"> diffuses into the leaf through the stomata</w:t>
      </w:r>
      <w:r w:rsidR="00F43D0F">
        <w:rPr>
          <w:rFonts w:cs="Times New Roman"/>
        </w:rPr>
        <w:t>, it</w:t>
      </w:r>
      <w:r w:rsidR="00F436EC" w:rsidRPr="00BD2160">
        <w:rPr>
          <w:rFonts w:cs="Times New Roman"/>
        </w:rPr>
        <w:t xml:space="preserve"> has to travel across internal components of the leaf before </w:t>
      </w:r>
      <w:r w:rsidR="00F43D0F">
        <w:rPr>
          <w:rFonts w:cs="Times New Roman"/>
        </w:rPr>
        <w:t>being</w:t>
      </w:r>
      <w:r w:rsidR="00F436EC" w:rsidRPr="00BD2160">
        <w:rPr>
          <w:rFonts w:cs="Times New Roman"/>
        </w:rPr>
        <w:t xml:space="preserve"> fixed in the first step of the Calvin cycle. Photo</w:t>
      </w:r>
      <w:r w:rsidR="00D22DAC">
        <w:rPr>
          <w:rFonts w:cs="Times New Roman"/>
        </w:rPr>
        <w:t>respiration</w:t>
      </w:r>
      <w:r w:rsidR="00F436EC" w:rsidRPr="00BD2160">
        <w:rPr>
          <w:rFonts w:cs="Times New Roman"/>
        </w:rPr>
        <w:t xml:space="preserve"> and day respiration</w:t>
      </w:r>
      <w:r w:rsidR="00D22DAC">
        <w:rPr>
          <w:rFonts w:cs="Times New Roman"/>
        </w:rPr>
        <w:t>,</w:t>
      </w:r>
      <w:r w:rsidR="00F436EC" w:rsidRPr="00BD2160">
        <w:rPr>
          <w:rFonts w:cs="Times New Roman"/>
        </w:rPr>
        <w:t xml:space="preserve"> and the CO</w:t>
      </w:r>
      <w:r w:rsidR="00F436EC" w:rsidRPr="00BD2160">
        <w:rPr>
          <w:rFonts w:cs="Times New Roman"/>
          <w:vertAlign w:val="subscript"/>
        </w:rPr>
        <w:t>2</w:t>
      </w:r>
      <w:r w:rsidR="00F436EC" w:rsidRPr="00BD2160">
        <w:rPr>
          <w:rFonts w:cs="Times New Roman"/>
        </w:rPr>
        <w:t xml:space="preserve"> transfer from substomatal cavities to the site of fixation</w:t>
      </w:r>
      <w:r w:rsidR="00CC1273" w:rsidRPr="00BD2160">
        <w:rPr>
          <w:rFonts w:cs="Times New Roman"/>
        </w:rPr>
        <w:t xml:space="preserve"> (</w:t>
      </w:r>
      <w:r w:rsidR="00F436EC" w:rsidRPr="00BD2160">
        <w:rPr>
          <w:rFonts w:cs="Times New Roman"/>
        </w:rPr>
        <w:t>mesophyll conductance</w:t>
      </w:r>
      <w:r w:rsidR="00CC1273" w:rsidRPr="00BD2160">
        <w:rPr>
          <w:rFonts w:cs="Times New Roman"/>
        </w:rPr>
        <w:t>)</w:t>
      </w:r>
      <w:r w:rsidR="00D22DAC">
        <w:rPr>
          <w:rFonts w:cs="Times New Roman"/>
        </w:rPr>
        <w:t>,</w:t>
      </w:r>
      <w:r w:rsidR="00F436EC" w:rsidRPr="00BD2160">
        <w:rPr>
          <w:rFonts w:cs="Times New Roman"/>
        </w:rPr>
        <w:t xml:space="preserve"> </w:t>
      </w:r>
      <w:r w:rsidR="00CC1273" w:rsidRPr="00BD2160">
        <w:rPr>
          <w:rFonts w:cs="Times New Roman"/>
        </w:rPr>
        <w:t xml:space="preserve">all potentially </w:t>
      </w:r>
      <w:r w:rsidR="00F436EC" w:rsidRPr="00BD2160">
        <w:rPr>
          <w:rFonts w:cs="Times New Roman"/>
        </w:rPr>
        <w:t>have an impact on ∆</w:t>
      </w:r>
      <w:r w:rsidR="00F436EC" w:rsidRPr="00BD2160">
        <w:rPr>
          <w:rFonts w:cs="Times New Roman"/>
          <w:vertAlign w:val="superscript"/>
        </w:rPr>
        <w:t>13</w:t>
      </w:r>
      <w:r w:rsidR="00F436EC" w:rsidRPr="00BD2160">
        <w:rPr>
          <w:rFonts w:cs="Times New Roman"/>
        </w:rPr>
        <w:t xml:space="preserve">C </w:t>
      </w:r>
      <w:r w:rsidR="00517464" w:rsidRPr="00BD2160">
        <w:rPr>
          <w:rFonts w:cs="Times New Roman"/>
        </w:rPr>
        <w:fldChar w:fldCharType="begin" w:fldLock="1"/>
      </w:r>
      <w:r w:rsidR="00256DD8">
        <w:rPr>
          <w:rFonts w:cs="Times New Roman"/>
        </w:rPr>
        <w:instrText>ADDIN CSL_CITATION {"citationItems":[{"id":"ITEM-1","itemData":{"DOI":"10.1111/j.1365-3040.2007.01757.x","ISBN":"0140-7791","ISSN":"0140-7791","PMID":"17996013","abstract":"During photosynthesis, CO2 moves from the atmosphere (C-a) surrounding the leaf to the sub-stomatal internal cavities (C-i) through stomata, and from there to the site of carboxylation inside the chloroplast stroma (C-c) through the leaf mesophyll. The latter CO2 diffusion component is called mesophyll conductance (g(m)), and can he divided in at least three components, that is, conductance through intercellular air spaces (g(ias)), through cell wall (g(w)) and through the liquid phase inside cells (g(liq)). A large body of evidence has accumulated in the past two decades indicating that g(m) is sufficiently small as to significantly decrease C-c relative to C-i, therefore limiting photosynthesis. Moreover, g(m) is not constant, and it changes among species and in response to environmental factors. In addition, there is now evidence that g(liq) and, in some cases, g(w), are the main determinants of g(m). Mesophyll conductance is very dynamic, changing in response to environmental variables as rapid or even faster than stomatal conductance (i.e. within seconds to minutes). A revision of current knowledge on g(m) is presented. Firstly, a historical perspective is given, highlighting the founding works and methods, followed by a re-examination of the range of variation of g(m) among plant species and functional groups, and a revision of the responses of g(m) to different external (biotic and abiotic) and internal (developmental, structural and metabolic) factors. The possible physiological bases for g(m), including aquaporins and carbonic anhydrases, are discussed. Possible ecological implications for variable g(m) are indicated, and the errors induced by neglecting g(m) when interpreting photosynthesis and carbon isotope discrimination models are highlighted. Finally, a series of research priorities for the near future are proposed.","author":[{"dropping-particle":"","family":"Flexas","given":"J","non-dropping-particle":"","parse-names":false,"suffix":""},{"dropping-particle":"","family":"Ribas-Carbo","given":"M","non-dropping-particle":"","parse-names":false,"suffix":""},{"dropping-particle":"","family":"Diaz-Espejo","given":"A","non-dropping-particle":"","parse-names":false,"suffix":""},{"dropping-particle":"","family":"Galmes","given":"J","non-dropping-particle":"","parse-names":false,"suffix":""},{"dropping-particle":"","family":"Medrano","given":"H","non-dropping-particle":"","parse-names":false,"suffix":""}],"container-title":"Plant Cell and Environment","id":"ITEM-1","issued":{"date-parts":[["2008"]]},"page":"602-621","title":"Mesophyll conductance to CO2: current knowledge and future prospects","type":"article-journal","volume":"31"},"uris":["http://www.mendeley.com/documents/?uuid=f84ca7ee-595f-4c78-879e-2274e36eca67","http://www.mendeley.com/documents/?uuid=31cde032-94aa-4239-88aa-345dd46e2dfa"]}],"mendeley":{"formattedCitation":"(Flexas, Ribas-Carbo, Diaz-Espejo, Galmes, &amp; Medrano, 2008)","manualFormatting":"(Flexas et al., 2008)","plainTextFormattedCitation":"(Flexas, Ribas-Carbo, Diaz-Espejo, Galmes, &amp; Medrano, 2008)","previouslyFormattedCitation":"(Flexas, Ribas-Carbo, Diaz-Espejo, Galmes, &amp; Medrano, 2008)"},"properties":{"noteIndex":0},"schema":"https://github.com/citation-style-language/schema/raw/master/csl-citation.json"}</w:instrText>
      </w:r>
      <w:r w:rsidR="00517464" w:rsidRPr="00BD2160">
        <w:rPr>
          <w:rFonts w:cs="Times New Roman"/>
        </w:rPr>
        <w:fldChar w:fldCharType="separate"/>
      </w:r>
      <w:r w:rsidR="00E24F56" w:rsidRPr="00E24F56">
        <w:rPr>
          <w:rFonts w:cs="Times New Roman"/>
          <w:noProof/>
        </w:rPr>
        <w:t>(Flexas</w:t>
      </w:r>
      <w:r w:rsidR="00E24F56">
        <w:rPr>
          <w:rFonts w:cs="Times New Roman"/>
          <w:noProof/>
        </w:rPr>
        <w:t xml:space="preserve"> et al.</w:t>
      </w:r>
      <w:r w:rsidR="00E24F56" w:rsidRPr="00E24F56">
        <w:rPr>
          <w:rFonts w:cs="Times New Roman"/>
          <w:noProof/>
        </w:rPr>
        <w:t>, 2008)</w:t>
      </w:r>
      <w:r w:rsidR="00517464" w:rsidRPr="00BD2160">
        <w:rPr>
          <w:rFonts w:cs="Times New Roman"/>
        </w:rPr>
        <w:fldChar w:fldCharType="end"/>
      </w:r>
      <w:r w:rsidR="00F436EC" w:rsidRPr="00BD2160">
        <w:rPr>
          <w:rFonts w:cs="Times New Roman"/>
        </w:rPr>
        <w:t xml:space="preserve">. </w:t>
      </w:r>
      <w:r w:rsidR="00544519">
        <w:rPr>
          <w:rFonts w:cs="Times New Roman"/>
          <w:color w:val="000000" w:themeColor="text1"/>
        </w:rPr>
        <w:t xml:space="preserve">As a result, </w:t>
      </w:r>
      <w:r w:rsidR="00544519">
        <w:rPr>
          <w:rFonts w:cs="Times New Roman"/>
        </w:rPr>
        <w:t>a</w:t>
      </w:r>
      <w:r w:rsidR="00544519" w:rsidRPr="00BD2160">
        <w:rPr>
          <w:rFonts w:cs="Times New Roman"/>
        </w:rPr>
        <w:t xml:space="preserve"> substantial fraction of the shift in </w:t>
      </w:r>
      <w:r w:rsidR="00544519" w:rsidRPr="00BD2160">
        <w:rPr>
          <w:rFonts w:cs="Times New Roman"/>
          <w:i/>
        </w:rPr>
        <w:t>c</w:t>
      </w:r>
      <w:r w:rsidR="00544519" w:rsidRPr="00BD2160">
        <w:rPr>
          <w:rFonts w:cs="Times New Roman"/>
          <w:vertAlign w:val="subscript"/>
        </w:rPr>
        <w:t>i</w:t>
      </w:r>
      <w:r w:rsidR="00544519" w:rsidRPr="00BD2160">
        <w:rPr>
          <w:rFonts w:cs="Times New Roman"/>
        </w:rPr>
        <w:t xml:space="preserve"> with increasing </w:t>
      </w:r>
      <w:r w:rsidR="00544519" w:rsidRPr="00BD2160">
        <w:rPr>
          <w:rFonts w:cs="Times New Roman"/>
          <w:i/>
        </w:rPr>
        <w:t>c</w:t>
      </w:r>
      <w:r w:rsidR="00544519" w:rsidRPr="00BD2160">
        <w:rPr>
          <w:rFonts w:cs="Times New Roman"/>
          <w:vertAlign w:val="subscript"/>
        </w:rPr>
        <w:t>a</w:t>
      </w:r>
      <w:r w:rsidR="00544519" w:rsidRPr="00BD2160">
        <w:rPr>
          <w:rFonts w:cs="Times New Roman"/>
        </w:rPr>
        <w:t xml:space="preserve"> reported </w:t>
      </w:r>
      <w:r w:rsidR="00544519">
        <w:rPr>
          <w:rFonts w:cs="Times New Roman"/>
        </w:rPr>
        <w:t xml:space="preserve">in </w:t>
      </w:r>
      <w:r w:rsidR="00544519" w:rsidRPr="00BD2160">
        <w:rPr>
          <w:rFonts w:cs="Times New Roman"/>
        </w:rPr>
        <w:t xml:space="preserve">several </w:t>
      </w:r>
      <w:r w:rsidR="000F28C6">
        <w:rPr>
          <w:rFonts w:cs="Times New Roman"/>
        </w:rPr>
        <w:t>tree-ring</w:t>
      </w:r>
      <w:r w:rsidR="00544519">
        <w:rPr>
          <w:rFonts w:cs="Times New Roman"/>
        </w:rPr>
        <w:t xml:space="preserve"> </w:t>
      </w:r>
      <w:r w:rsidR="00544519" w:rsidRPr="00BD2160">
        <w:rPr>
          <w:rFonts w:cs="Times New Roman"/>
        </w:rPr>
        <w:t>studies could be an artefact due to</w:t>
      </w:r>
      <w:r w:rsidR="00544519">
        <w:rPr>
          <w:rFonts w:cs="Times New Roman"/>
        </w:rPr>
        <w:t xml:space="preserve"> these approaches </w:t>
      </w:r>
      <w:r w:rsidR="00544519" w:rsidRPr="00BD2160">
        <w:rPr>
          <w:rFonts w:cs="Times New Roman"/>
        </w:rPr>
        <w:t>disregarding th</w:t>
      </w:r>
      <w:r w:rsidR="00880408">
        <w:rPr>
          <w:rFonts w:cs="Times New Roman"/>
        </w:rPr>
        <w:t>e</w:t>
      </w:r>
      <w:r w:rsidR="00BA629E">
        <w:rPr>
          <w:rFonts w:cs="Times New Roman"/>
        </w:rPr>
        <w:t>se</w:t>
      </w:r>
      <w:r w:rsidR="00544519" w:rsidRPr="00BD2160">
        <w:rPr>
          <w:rFonts w:cs="Times New Roman"/>
        </w:rPr>
        <w:t xml:space="preserve"> effect</w:t>
      </w:r>
      <w:r w:rsidR="00A922E4">
        <w:rPr>
          <w:rFonts w:cs="Times New Roman"/>
        </w:rPr>
        <w:t>s</w:t>
      </w:r>
      <w:r w:rsidR="00544519" w:rsidRPr="00BD2160">
        <w:rPr>
          <w:rFonts w:cs="Times New Roman"/>
        </w:rPr>
        <w:t xml:space="preserve"> on Δ</w:t>
      </w:r>
      <w:r w:rsidR="00544519" w:rsidRPr="00BD2160">
        <w:rPr>
          <w:rFonts w:cs="Times New Roman"/>
          <w:vertAlign w:val="superscript"/>
        </w:rPr>
        <w:t>13</w:t>
      </w:r>
      <w:r w:rsidR="00544519" w:rsidRPr="00BD2160">
        <w:rPr>
          <w:rFonts w:cs="Times New Roman"/>
        </w:rPr>
        <w:t>C in equation (</w:t>
      </w:r>
      <w:r w:rsidR="004D45D7">
        <w:rPr>
          <w:rFonts w:cs="Times New Roman"/>
        </w:rPr>
        <w:t>3</w:t>
      </w:r>
      <w:r w:rsidR="00544519">
        <w:rPr>
          <w:rFonts w:cs="Times New Roman"/>
        </w:rPr>
        <w:t>)</w:t>
      </w:r>
      <w:r w:rsidR="00544519" w:rsidRPr="00BD2160">
        <w:rPr>
          <w:rFonts w:cs="Times New Roman"/>
        </w:rPr>
        <w:t xml:space="preserve">. </w:t>
      </w:r>
      <w:r w:rsidR="00912E9F">
        <w:rPr>
          <w:rFonts w:cs="Times New Roman"/>
        </w:rPr>
        <w:t>Note that</w:t>
      </w:r>
      <w:r w:rsidR="004F645E">
        <w:rPr>
          <w:rFonts w:cs="Times New Roman"/>
        </w:rPr>
        <w:t xml:space="preserve"> the values </w:t>
      </w:r>
      <w:r w:rsidR="004F645E" w:rsidRPr="002230FC">
        <w:rPr>
          <w:rFonts w:cs="Times New Roman"/>
          <w:color w:val="000000" w:themeColor="text1"/>
        </w:rPr>
        <w:t xml:space="preserve">for </w:t>
      </w:r>
      <m:oMath>
        <m:acc>
          <m:accPr>
            <m:chr m:val="̅"/>
            <m:ctrlPr>
              <w:rPr>
                <w:rFonts w:ascii="Cambria Math" w:hAnsi="Cambria Math" w:cs="Times New Roman"/>
                <w:i/>
                <w:color w:val="000000" w:themeColor="text1"/>
              </w:rPr>
            </m:ctrlPr>
          </m:accPr>
          <m:e>
            <m:r>
              <w:rPr>
                <w:rFonts w:ascii="Cambria Math" w:hAnsi="Cambria Math" w:cs="Times New Roman"/>
                <w:color w:val="000000" w:themeColor="text1"/>
              </w:rPr>
              <m:t>b</m:t>
            </m:r>
          </m:e>
        </m:acc>
      </m:oMath>
      <w:r w:rsidR="004F645E" w:rsidRPr="002230FC">
        <w:rPr>
          <w:rFonts w:cs="Times New Roman"/>
          <w:color w:val="000000" w:themeColor="text1"/>
        </w:rPr>
        <w:t xml:space="preserve"> in </w:t>
      </w:r>
      <w:r w:rsidR="004F645E">
        <w:rPr>
          <w:rFonts w:cs="Times New Roman"/>
        </w:rPr>
        <w:t>equation (3)</w:t>
      </w:r>
      <w:r w:rsidR="0084434B">
        <w:rPr>
          <w:rFonts w:cs="Times New Roman"/>
        </w:rPr>
        <w:t>, i.e. 27</w:t>
      </w:r>
      <w:r w:rsidR="0084434B" w:rsidRPr="00BD2160">
        <w:rPr>
          <w:rFonts w:cs="Times New Roman"/>
        </w:rPr>
        <w:t>‰</w:t>
      </w:r>
      <w:r w:rsidR="0084434B">
        <w:rPr>
          <w:rFonts w:cs="Times New Roman"/>
        </w:rPr>
        <w:t>,</w:t>
      </w:r>
      <w:r w:rsidR="004F645E">
        <w:rPr>
          <w:rFonts w:cs="Times New Roman"/>
        </w:rPr>
        <w:t xml:space="preserve"> </w:t>
      </w:r>
      <w:r w:rsidR="009B2EB7">
        <w:rPr>
          <w:rFonts w:cs="Times New Roman"/>
        </w:rPr>
        <w:t>was first</w:t>
      </w:r>
      <w:r w:rsidR="004F645E">
        <w:rPr>
          <w:rFonts w:cs="Times New Roman"/>
        </w:rPr>
        <w:t xml:space="preserve"> estimated</w:t>
      </w:r>
      <w:r w:rsidR="009B2EB7">
        <w:rPr>
          <w:rFonts w:cs="Times New Roman"/>
        </w:rPr>
        <w:t xml:space="preserve"> </w:t>
      </w:r>
      <w:r w:rsidR="009B60F6">
        <w:rPr>
          <w:rFonts w:cs="Times New Roman"/>
        </w:rPr>
        <w:t xml:space="preserve">on </w:t>
      </w:r>
      <w:r w:rsidR="00F60293">
        <w:rPr>
          <w:rFonts w:cs="Times New Roman"/>
        </w:rPr>
        <w:t>leaf</w:t>
      </w:r>
      <w:r w:rsidR="009B60F6">
        <w:rPr>
          <w:rFonts w:cs="Times New Roman"/>
        </w:rPr>
        <w:t xml:space="preserve"> bulk material </w:t>
      </w:r>
      <w:r w:rsidR="004F645E">
        <w:rPr>
          <w:rFonts w:cs="Times New Roman"/>
        </w:rPr>
        <w:t xml:space="preserve">to account for all the isotopic effects </w:t>
      </w:r>
      <w:r w:rsidR="00B53FD2">
        <w:rPr>
          <w:rFonts w:cs="Times New Roman"/>
        </w:rPr>
        <w:t>related to</w:t>
      </w:r>
      <w:r w:rsidR="004F645E">
        <w:rPr>
          <w:rFonts w:cs="Times New Roman"/>
        </w:rPr>
        <w:t xml:space="preserve"> photosynthetic discrimination</w:t>
      </w:r>
      <w:r w:rsidR="00F60293">
        <w:rPr>
          <w:rFonts w:cs="Times New Roman"/>
        </w:rPr>
        <w:t xml:space="preserve"> and post-photosynthetic fractionation </w:t>
      </w:r>
      <w:r w:rsidR="00F60293">
        <w:rPr>
          <w:rFonts w:cs="Times New Roman"/>
        </w:rPr>
        <w:fldChar w:fldCharType="begin" w:fldLock="1"/>
      </w:r>
      <w:r w:rsidR="006D4ACA">
        <w:rPr>
          <w:rFonts w:cs="Times New Roman"/>
        </w:rPr>
        <w:instrText>ADDIN CSL_CITATION {"citationItems":[{"id":"ITEM-1","itemData":{"DOI":"10.1111/j.1365-3040.2009.02010.x","ISBN":"0140-7791","ISSN":"1365-3040","PMID":"19558409","abstract":"Water-use efficiency and stable isotope composition were studied in three tropical tree species. Seedlings of Tectona grandis, Swietenia macrophylla and Platymiscium pinnatum were grown at either high or low water supply, and with or without added fertilizer. These three species previously exhibited low, intermediate and high whole-plant water-use efficiency (TE) when grown at high water supply in unfertilized soil. Responses of TE to water and nutrient availability varied among species. The TE was calculated as experiment-long dry matter production divided by cumulative water use. Species-specific offsets were observed in relationships between TE and whole-plant (13)C discrimination (Delta(13)C(p)). These offsets could be attributed to a breakdown in the relationship between Delta(13)C(p) and the ratio of intercellular to ambient CO(2) partial pressures (c(i)/c(a)) in P. pinnatum, and to variation among species in the leaf-to-air vapour pressure difference (v). Thus, a plot of v.TE against c(i)/c(a) showed a general relationship among species. Relationships between delta(18)O of stem dry matter and stomatal conductance ranged from strongly negative for S. macrophylla to no relationship for T. grandis. Results suggest inter-specific variation among tropical tree species in relationships between stable isotope ratios (delta(13)C and delta(18)O) and the gas exchange processes thought to affect them.","author":[{"dropping-particle":"","family":"Cernusak","given":"Lucas a","non-dropping-particle":"","parse-names":false,"suffix":""},{"dropping-particle":"","family":"Winter","given":"Klaus","non-dropping-particle":"","parse-names":false,"suffix":""},{"dropping-particle":"","family":"Turner","given":"Benjamin L","non-dropping-particle":"","parse-names":false,"suffix":""}],"container-title":"Plant, cell &amp; environment","id":"ITEM-1","issue":"10","issued":{"date-parts":[["2009"]]},"page":"1441-1455","title":"Physiological and isotopic δ13C and δ18O responses of three tropical tree species to water and nutrient availability.","type":"article-journal","volume":"32"},"uris":["http://www.mendeley.com/documents/?uuid=00d913a2-a8cd-4476-823e-f2bf50e9f609"]}],"mendeley":{"formattedCitation":"(Cernusak et al., 2009)","plainTextFormattedCitation":"(Cernusak et al., 2009)","previouslyFormattedCitation":"(Cernusak et al., 2009)"},"properties":{"noteIndex":0},"schema":"https://github.com/citation-style-language/schema/raw/master/csl-citation.json"}</w:instrText>
      </w:r>
      <w:r w:rsidR="00F60293">
        <w:rPr>
          <w:rFonts w:cs="Times New Roman"/>
        </w:rPr>
        <w:fldChar w:fldCharType="separate"/>
      </w:r>
      <w:r w:rsidR="00F60293" w:rsidRPr="00F60293">
        <w:rPr>
          <w:rFonts w:cs="Times New Roman"/>
          <w:noProof/>
        </w:rPr>
        <w:t>(Cernusak et al., 2009)</w:t>
      </w:r>
      <w:r w:rsidR="00F60293">
        <w:rPr>
          <w:rFonts w:cs="Times New Roman"/>
        </w:rPr>
        <w:fldChar w:fldCharType="end"/>
      </w:r>
      <w:r w:rsidR="00556607">
        <w:rPr>
          <w:rFonts w:cs="Times New Roman"/>
        </w:rPr>
        <w:t>.</w:t>
      </w:r>
      <w:r w:rsidR="0036474C">
        <w:rPr>
          <w:rFonts w:cs="Times New Roman"/>
        </w:rPr>
        <w:t xml:space="preserve"> </w:t>
      </w:r>
      <w:r w:rsidR="00A319E1">
        <w:rPr>
          <w:rFonts w:cs="Times New Roman"/>
        </w:rPr>
        <w:t>Nevertheless</w:t>
      </w:r>
      <w:r w:rsidR="00556607">
        <w:rPr>
          <w:rFonts w:cs="Times New Roman"/>
        </w:rPr>
        <w:t>,</w:t>
      </w:r>
      <w:r w:rsidR="0036474C">
        <w:rPr>
          <w:rFonts w:cs="Times New Roman"/>
        </w:rPr>
        <w:t xml:space="preserve"> </w:t>
      </w:r>
      <w:r w:rsidR="00290A1E">
        <w:rPr>
          <w:rFonts w:cs="Times New Roman"/>
        </w:rPr>
        <w:t xml:space="preserve">this value </w:t>
      </w:r>
      <w:r w:rsidR="00A319E1">
        <w:rPr>
          <w:rFonts w:cs="Times New Roman"/>
        </w:rPr>
        <w:t>m</w:t>
      </w:r>
      <w:r w:rsidR="006D4ACA">
        <w:rPr>
          <w:rFonts w:cs="Times New Roman"/>
        </w:rPr>
        <w:t>ay</w:t>
      </w:r>
      <w:r w:rsidR="00A319E1">
        <w:rPr>
          <w:rFonts w:cs="Times New Roman"/>
        </w:rPr>
        <w:t xml:space="preserve"> varies </w:t>
      </w:r>
      <w:r w:rsidR="00166EBE">
        <w:rPr>
          <w:rFonts w:cs="Times New Roman"/>
        </w:rPr>
        <w:t>a</w:t>
      </w:r>
      <w:r w:rsidR="006D4ACA">
        <w:rPr>
          <w:rFonts w:cs="Times New Roman"/>
        </w:rPr>
        <w:t>cross different</w:t>
      </w:r>
      <w:r w:rsidR="00A319E1">
        <w:rPr>
          <w:rFonts w:cs="Times New Roman"/>
        </w:rPr>
        <w:t xml:space="preserve"> species</w:t>
      </w:r>
      <w:r w:rsidR="003D51FD">
        <w:rPr>
          <w:rFonts w:cs="Times New Roman"/>
        </w:rPr>
        <w:t xml:space="preserve"> </w:t>
      </w:r>
      <w:r w:rsidR="00F34970">
        <w:rPr>
          <w:rFonts w:cs="Times New Roman"/>
        </w:rPr>
        <w:t xml:space="preserve">(see discussions in </w:t>
      </w:r>
      <w:r w:rsidR="004F645E">
        <w:rPr>
          <w:rFonts w:cs="Times New Roman"/>
        </w:rPr>
        <w:fldChar w:fldCharType="begin" w:fldLock="1"/>
      </w:r>
      <w:r w:rsidR="004533E5">
        <w:rPr>
          <w:rFonts w:cs="Times New Roman"/>
        </w:rPr>
        <w:instrText>ADDIN CSL_CITATION {"citationItems":[{"id":"ITEM-1","itemData":{"DOI":"10.1111/pce.12346","author":[{"dropping-particle":"","family":"Ubierna","given":"Nerea","non-dropping-particle":"","parse-names":false,"suffix":""},{"dropping-particle":"","family":"Farquhar","given":"Graham D.","non-dropping-particle":"","parse-names":false,"suffix":""}],"container-title":"Plant Cell and Environment","id":"ITEM-1","issued":{"date-parts":[["2014"]]},"page":"1494-1498","title":"Advances in measurements and models of photosynthetic carbon isotope discrimination in C3 plants","type":"article-journal","volume":"37"},"uris":["http://www.mendeley.com/documents/?uuid=32aabadc-792a-4e9f-8f02-ff37b19c647c"]},{"id":"ITEM-2","itemData":{"DOI":"10.1016/j.gca.2012.08.003","ISSN":"00167037","author":[{"dropping-particle":"","family":"Schubert","given":"Brian A","non-dropping-particle":"","parse-names":false,"suffix":""},{"dropping-particle":"","family":"Jahren","given":"A. Hope","non-dropping-particle":"","parse-names":false,"suffix":""}],"container-title":"Geochimica et Cosmochimica Acta","id":"ITEM-2","issued":{"date-parts":[["2012","11"]]},"page":"29-43","title":"The effect of atmospheric CO2 concentration on carbon isotope fractionation in C3 land plants","type":"article-journal","volume":"96"},"uris":["http://www.mendeley.com/documents/?uuid=960c52e3-d522-4d5f-adca-1f151f1d0f3e"]}],"mendeley":{"formattedCitation":"(Schubert &amp; Jahren, 2012; Ubierna &amp; Farquhar, 2014)","manualFormatting":"Schubert &amp; Jahren, 2012; Ubierna &amp; Farquhar, 2014)","plainTextFormattedCitation":"(Schubert &amp; Jahren, 2012; Ubierna &amp; Farquhar, 2014)","previouslyFormattedCitation":"(Schubert &amp; Jahren, 2012; Ubierna &amp; Farquhar, 2014)"},"properties":{"noteIndex":0},"schema":"https://github.com/citation-style-language/schema/raw/master/csl-citation.json"}</w:instrText>
      </w:r>
      <w:r w:rsidR="004F645E">
        <w:rPr>
          <w:rFonts w:cs="Times New Roman"/>
        </w:rPr>
        <w:fldChar w:fldCharType="separate"/>
      </w:r>
      <w:r w:rsidR="006D4ACA" w:rsidRPr="006D4ACA">
        <w:rPr>
          <w:rFonts w:cs="Times New Roman"/>
          <w:noProof/>
        </w:rPr>
        <w:t>Schubert &amp; Jahren, 2012; Ubierna &amp; Farquhar, 2014)</w:t>
      </w:r>
      <w:r w:rsidR="004F645E">
        <w:rPr>
          <w:rFonts w:cs="Times New Roman"/>
        </w:rPr>
        <w:fldChar w:fldCharType="end"/>
      </w:r>
      <w:r w:rsidR="004F645E">
        <w:rPr>
          <w:rFonts w:cs="Times New Roman"/>
        </w:rPr>
        <w:t>.</w:t>
      </w:r>
    </w:p>
    <w:p w14:paraId="58F74151" w14:textId="029A740A" w:rsidR="00D2605F" w:rsidRPr="00535B17" w:rsidRDefault="00544519" w:rsidP="00D2605F">
      <w:pPr>
        <w:pStyle w:val="Body"/>
        <w:spacing w:before="240" w:line="360" w:lineRule="auto"/>
        <w:jc w:val="both"/>
        <w:rPr>
          <w:rFonts w:cs="Times New Roman"/>
          <w:color w:val="000000" w:themeColor="text1"/>
        </w:rPr>
      </w:pPr>
      <w:r>
        <w:rPr>
          <w:rFonts w:cs="Times New Roman"/>
          <w:color w:val="000000" w:themeColor="text1"/>
        </w:rPr>
        <w:t>The</w:t>
      </w:r>
      <w:r w:rsidR="00D2605F">
        <w:rPr>
          <w:rFonts w:cs="Times New Roman"/>
          <w:color w:val="000000" w:themeColor="text1"/>
        </w:rPr>
        <w:t xml:space="preserve"> </w:t>
      </w:r>
      <w:r w:rsidR="00D2605F">
        <w:rPr>
          <w:rFonts w:cs="Times New Roman"/>
        </w:rPr>
        <w:t xml:space="preserve">model for </w:t>
      </w:r>
      <w:r w:rsidR="00D2605F" w:rsidRPr="00BD2160">
        <w:rPr>
          <w:rFonts w:cs="Times New Roman"/>
        </w:rPr>
        <w:t>∆</w:t>
      </w:r>
      <w:r w:rsidR="00D2605F" w:rsidRPr="00BD2160">
        <w:rPr>
          <w:rFonts w:cs="Times New Roman"/>
          <w:vertAlign w:val="superscript"/>
        </w:rPr>
        <w:t>13</w:t>
      </w:r>
      <w:r w:rsidR="00D2605F">
        <w:rPr>
          <w:rFonts w:cs="Times New Roman"/>
        </w:rPr>
        <w:t>C</w:t>
      </w:r>
      <w:r w:rsidR="00D2605F" w:rsidRPr="00BD2160">
        <w:rPr>
          <w:rFonts w:cs="Times New Roman"/>
        </w:rPr>
        <w:t xml:space="preserve"> </w:t>
      </w:r>
      <w:r w:rsidR="00D2605F">
        <w:rPr>
          <w:rFonts w:cs="Times New Roman"/>
        </w:rPr>
        <w:t xml:space="preserve">including </w:t>
      </w:r>
      <w:r>
        <w:rPr>
          <w:rFonts w:cs="Times New Roman"/>
        </w:rPr>
        <w:t>all these processes is</w:t>
      </w:r>
      <w:r w:rsidR="007E3622" w:rsidRPr="00BD2160">
        <w:rPr>
          <w:rFonts w:cs="Times New Roman"/>
        </w:rPr>
        <w:t xml:space="preserve"> expected to represent </w:t>
      </w:r>
      <w:r w:rsidR="00ED4C12" w:rsidRPr="00BD2160">
        <w:rPr>
          <w:rFonts w:cs="Times New Roman"/>
        </w:rPr>
        <w:t>∆</w:t>
      </w:r>
      <w:r w:rsidR="00ED4C12" w:rsidRPr="00BD2160">
        <w:rPr>
          <w:rFonts w:cs="Times New Roman"/>
          <w:vertAlign w:val="superscript"/>
        </w:rPr>
        <w:t>13</w:t>
      </w:r>
      <w:r w:rsidR="00ED4C12">
        <w:rPr>
          <w:rFonts w:cs="Times New Roman"/>
        </w:rPr>
        <w:t>C</w:t>
      </w:r>
      <w:r w:rsidR="007E3622" w:rsidRPr="00BD2160">
        <w:rPr>
          <w:rFonts w:cs="Times New Roman"/>
        </w:rPr>
        <w:t xml:space="preserve"> more accurately than equation (</w:t>
      </w:r>
      <w:r w:rsidR="004B39BE">
        <w:rPr>
          <w:rFonts w:cs="Times New Roman"/>
        </w:rPr>
        <w:t>3</w:t>
      </w:r>
      <w:r w:rsidR="007E3622" w:rsidRPr="00BD2160">
        <w:rPr>
          <w:rFonts w:cs="Times New Roman"/>
        </w:rPr>
        <w:t>) when considering the first products of photosynthesis</w:t>
      </w:r>
      <w:r w:rsidR="00807273">
        <w:rPr>
          <w:rFonts w:cs="Times New Roman"/>
        </w:rPr>
        <w:t>.</w:t>
      </w:r>
      <w:r w:rsidR="007E3622" w:rsidRPr="00BD2160">
        <w:rPr>
          <w:rFonts w:cs="Times New Roman"/>
        </w:rPr>
        <w:t xml:space="preserve"> </w:t>
      </w:r>
      <w:r w:rsidR="00807273">
        <w:rPr>
          <w:rFonts w:cs="Times New Roman"/>
          <w:color w:val="000000" w:themeColor="text1"/>
        </w:rPr>
        <w:t>H</w:t>
      </w:r>
      <w:r w:rsidRPr="00BD2160">
        <w:rPr>
          <w:rFonts w:cs="Times New Roman"/>
          <w:color w:val="000000" w:themeColor="text1"/>
        </w:rPr>
        <w:t>owever</w:t>
      </w:r>
      <w:r w:rsidR="007E3622" w:rsidRPr="00BD2160">
        <w:rPr>
          <w:rFonts w:cs="Times New Roman"/>
          <w:color w:val="000000" w:themeColor="text1"/>
        </w:rPr>
        <w:t xml:space="preserve">, </w:t>
      </w:r>
      <w:r>
        <w:rPr>
          <w:rFonts w:cs="Times New Roman"/>
          <w:color w:val="000000" w:themeColor="text1"/>
        </w:rPr>
        <w:t>it</w:t>
      </w:r>
      <w:r w:rsidR="007E3622" w:rsidRPr="00BD2160">
        <w:rPr>
          <w:rFonts w:cs="Times New Roman"/>
          <w:color w:val="000000" w:themeColor="text1"/>
        </w:rPr>
        <w:t xml:space="preserve"> is</w:t>
      </w:r>
      <w:r w:rsidR="007E3622">
        <w:rPr>
          <w:rFonts w:cs="Times New Roman"/>
          <w:color w:val="000000" w:themeColor="text1"/>
        </w:rPr>
        <w:t xml:space="preserve"> substantially</w:t>
      </w:r>
      <w:r w:rsidR="007E3622" w:rsidRPr="00BD2160">
        <w:rPr>
          <w:rFonts w:cs="Times New Roman"/>
          <w:color w:val="000000" w:themeColor="text1"/>
        </w:rPr>
        <w:t xml:space="preserve"> </w:t>
      </w:r>
      <w:r w:rsidR="007E3622">
        <w:rPr>
          <w:rFonts w:cs="Times New Roman"/>
          <w:color w:val="000000" w:themeColor="text1"/>
        </w:rPr>
        <w:t xml:space="preserve">more </w:t>
      </w:r>
      <w:r w:rsidR="007E3622" w:rsidRPr="00BD2160">
        <w:rPr>
          <w:rFonts w:cs="Times New Roman"/>
          <w:color w:val="000000" w:themeColor="text1"/>
        </w:rPr>
        <w:t>difficult to implement</w:t>
      </w:r>
      <w:r w:rsidR="007E3622">
        <w:rPr>
          <w:rFonts w:cs="Times New Roman"/>
          <w:color w:val="000000" w:themeColor="text1"/>
        </w:rPr>
        <w:t xml:space="preserve"> than equation (</w:t>
      </w:r>
      <w:r w:rsidR="004B39BE">
        <w:rPr>
          <w:rFonts w:cs="Times New Roman"/>
          <w:color w:val="000000" w:themeColor="text1"/>
        </w:rPr>
        <w:t>3</w:t>
      </w:r>
      <w:r w:rsidR="007E3622">
        <w:rPr>
          <w:rFonts w:cs="Times New Roman"/>
          <w:color w:val="000000" w:themeColor="text1"/>
        </w:rPr>
        <w:t xml:space="preserve">) as </w:t>
      </w:r>
      <w:r w:rsidR="005D7ABB">
        <w:rPr>
          <w:rFonts w:cs="Times New Roman"/>
          <w:color w:val="000000" w:themeColor="text1"/>
        </w:rPr>
        <w:t xml:space="preserve">it </w:t>
      </w:r>
      <w:r w:rsidR="00AD2CA3">
        <w:rPr>
          <w:rFonts w:cs="Times New Roman"/>
          <w:color w:val="000000" w:themeColor="text1"/>
        </w:rPr>
        <w:t xml:space="preserve">introduces a number of additional terms </w:t>
      </w:r>
      <w:r w:rsidR="00AD589B">
        <w:rPr>
          <w:rFonts w:cs="Times New Roman"/>
        </w:rPr>
        <w:fldChar w:fldCharType="begin" w:fldLock="1"/>
      </w:r>
      <w:r w:rsidR="00647EF3">
        <w:rPr>
          <w:rFonts w:cs="Times New Roman"/>
        </w:rPr>
        <w:instrText>ADDIN CSL_CITATION {"citationItems":[{"id":"ITEM-1","itemData":{"DOI":"10.1111/pce.12165","ISBN":"1365-3040","ISSN":"01407791","PMID":"23862667","abstract":"Measurements of the carbon (δ(13) Cm ) and oxygen (δ(18) Om ) isotope composition of C3 plant tissue provide important insights into controls on water-use efficiency. We investigated the causes of seasonal and inter-annual variability in water-use efficiency in a grassland near Lethbridge, Canada using stable isotope (leaf-scale) and eddy covariance measurements (ecosystem-scale). The positive relationship between δ(13) Cm and δ(18) Om values for samples collected during 1998-2001 indicated that variation in stomatal conductance and water stress-induced changes in the degree of stomatal limitation of net photosynthesis were the major controls on variation in δ(13) Cm and biomass production during this time. By comparison, the lack of a significant relationship between δ(13) Cm and δ(18) Om values during 2002, 2003 and 2006 demonstrated that water stress was not a significant limitation on photosynthesis and biomass production in these years. Water-use efficiency was higher in 2000 than 1999, consistent with expectations because of greater stomatal limitation of photosynthesis and lower leaf ci /ca during the drier conditions of 2000. Calculated values of leaf-scale water-use efficiency were 2-3 times higher than ecosystem-scale water-use efficiency, a difference that was likely due to carbon lost in root respiration and water lost during soil evaporation that was not accounted for by the stable isotope measurements.","author":[{"dropping-particle":"","family":"Flanagan","given":"Lawrence B.","non-dropping-particle":"","parse-names":false,"suffix":""},{"dropping-particle":"","family":"Farquhar","given":"Graham D.","non-dropping-particle":"","parse-names":false,"suffix":""}],"container-title":"Plant, Cell and Environment","id":"ITEM-1","issue":"2","issued":{"date-parts":[["2014"]]},"page":"425-438","title":"Variation in the carbon and oxygen isotope composition of plant biomass and its relationship to water-use efficiency at the leaf- and ecosystem-scales in a northern Great Plains grassland","type":"article-journal","volume":"37"},"uris":["http://www.mendeley.com/documents/?uuid=75ee795c-a54b-4948-8366-0eff4dfa6f4d"]},{"id":"ITEM-2","itemData":{"DOI":"10.1111/pce.12622","ISBN":"1365-3040","ISSN":"13653040","PMID":"26297108","abstract":"Water limitation is a major global constraint for plant productivity that is likely to be exacerbated by climate change. Hence, improving plant water use efficiency (WUE) has become a major goal for the near future. At the leaf level, WUE is the ratio between photosynthesis and transpiration. Maintaining high photosynthesis under water stress, while improving WUE requires either increasing mesophyll conductance (gm ) and/or improving the biochemical capacity for CO2 assimilation-in which Rubisco properties play a key role, especially in C3 plants at current atmospheric CO2 . The goals of the present analysis are: (1) to summarize the evidence that improving gm and/or Rubisco can result in increased WUE; (2) to review the degree of success of early attempts to genetically manipulate gm or Rubisco; (3) to analyse how gm , gsw and the Rubisco's maximum velocity (Vcmax ) co-vary across different plant species in well-watered and drought-stressed conditions; (4) to examine how these variations cause differences in WUE and what is the overall extent of variation in individual determinants of WUE; and finally, (5) to use simulation analysis to provide a theoretical framework for the possible control of WUE by gm and Rubisco catalytic constants vis-à-vis gsw under water limitations.","author":[{"dropping-particle":"","family":"Flexas","given":"J.","non-dropping-particle":"","parse-names":false,"suffix":""},{"dropping-particle":"","family":"Díaz-Espejo","given":"A.","non-dropping-particle":"","parse-names":false,"suffix":""},{"dropping-particle":"","family":"Conesa","given":"M. A.","non-dropping-particle":"","parse-names":false,"suffix":""},{"dropping-particle":"","family":"Coopman","given":"R. E.","non-dropping-particle":"","parse-names":false,"suffix":""},{"dropping-particle":"","family":"Douthe","given":"C.","non-dropping-particle":"","parse-names":false,"suffix":""},{"dropping-particle":"","family":"Gago","given":"J.","non-dropping-particle":"","parse-names":false,"suffix":""},{"dropping-particle":"","family":"Gallé","given":"A.","non-dropping-particle":"","parse-names":false,"suffix":""},{"dropping-particle":"","family":"Galmés","given":"J.","non-dropping-particle":"","parse-names":false,"suffix":""},{"dropping-particle":"","family":"Medrano","given":"H.","non-dropping-particle":"","parse-names":false,"suffix":""},{"dropping-particle":"","family":"Ribas-Carbo","given":"M.","non-dropping-particle":"","parse-names":false,"suffix":""},{"dropping-particle":"","family":"Tomàs","given":"M.","non-dropping-particle":"","parse-names":false,"suffix":""},{"dropping-particle":"","family":"Niinemets","given":"U.","non-dropping-particle":"","parse-names":false,"suffix":""}],"container-title":"Plant Cell and Environment","id":"ITEM-2","issue":"5","issued":{"date-parts":[["2016"]]},"page":"965-982","title":"Mesophyll conductance to CO2 and Rubisco as targets for improving intrinsic water use efficiency in C3 plants","type":"article","volume":"39"},"uris":["http://www.mendeley.com/documents/?uuid=d02720c6-7b93-41dd-b141-8657f64db5c4"]}],"mendeley":{"formattedCitation":"(Flanagan &amp; Farquhar, 2014; Flexas et al., 2016)","plainTextFormattedCitation":"(Flanagan &amp; Farquhar, 2014; Flexas et al., 2016)","previouslyFormattedCitation":"(Flanagan &amp; Farquhar, 2014; Flexas et al., 2016)"},"properties":{"noteIndex":0},"schema":"https://github.com/citation-style-language/schema/raw/master/csl-citation.json"}</w:instrText>
      </w:r>
      <w:r w:rsidR="00AD589B">
        <w:rPr>
          <w:rFonts w:cs="Times New Roman"/>
        </w:rPr>
        <w:fldChar w:fldCharType="separate"/>
      </w:r>
      <w:r w:rsidR="005839CA" w:rsidRPr="005839CA">
        <w:rPr>
          <w:rFonts w:cs="Times New Roman"/>
          <w:noProof/>
        </w:rPr>
        <w:t>(Flanagan &amp; Farquhar, 2014; Flexas et al., 2016)</w:t>
      </w:r>
      <w:r w:rsidR="00AD589B">
        <w:rPr>
          <w:rFonts w:cs="Times New Roman"/>
        </w:rPr>
        <w:fldChar w:fldCharType="end"/>
      </w:r>
      <w:r w:rsidR="00AD2CA3">
        <w:rPr>
          <w:rFonts w:cs="Times New Roman"/>
          <w:color w:val="000000" w:themeColor="text1"/>
        </w:rPr>
        <w:t>.</w:t>
      </w:r>
      <w:r w:rsidR="00240D4D" w:rsidRPr="009439C3">
        <w:rPr>
          <w:rFonts w:cs="Times New Roman"/>
          <w:color w:val="000000" w:themeColor="text1"/>
        </w:rPr>
        <w:t xml:space="preserve"> </w:t>
      </w:r>
      <w:r w:rsidR="00AD2CA3">
        <w:rPr>
          <w:rFonts w:cs="Times New Roman"/>
          <w:color w:val="000000" w:themeColor="text1"/>
        </w:rPr>
        <w:t xml:space="preserve">It is also difficult to </w:t>
      </w:r>
      <w:r w:rsidR="001E2C62" w:rsidRPr="009439C3">
        <w:rPr>
          <w:rFonts w:cs="Times New Roman"/>
          <w:color w:val="000000" w:themeColor="text1"/>
        </w:rPr>
        <w:t xml:space="preserve">assess values for all the </w:t>
      </w:r>
      <w:r w:rsidR="00302371">
        <w:rPr>
          <w:rFonts w:cs="Times New Roman"/>
          <w:color w:val="000000" w:themeColor="text1"/>
        </w:rPr>
        <w:t>fractionation factors</w:t>
      </w:r>
      <w:r w:rsidR="00240D4D" w:rsidRPr="009439C3">
        <w:rPr>
          <w:rFonts w:cs="Times New Roman"/>
          <w:color w:val="000000" w:themeColor="text1"/>
        </w:rPr>
        <w:t>.</w:t>
      </w:r>
      <w:r>
        <w:rPr>
          <w:rFonts w:cs="Times New Roman"/>
          <w:color w:val="000000" w:themeColor="text1"/>
        </w:rPr>
        <w:t xml:space="preserve"> </w:t>
      </w:r>
      <w:r w:rsidR="00DD5990" w:rsidRPr="00BD2160">
        <w:rPr>
          <w:rFonts w:cs="Times New Roman"/>
        </w:rPr>
        <w:t xml:space="preserve">Several studies have suggested </w:t>
      </w:r>
      <w:r w:rsidR="00860D12">
        <w:rPr>
          <w:rFonts w:cs="Times New Roman"/>
        </w:rPr>
        <w:t xml:space="preserve">the </w:t>
      </w:r>
      <w:r w:rsidR="00DD5990" w:rsidRPr="00BD2160">
        <w:rPr>
          <w:rFonts w:cs="Times New Roman"/>
        </w:rPr>
        <w:t>inclu</w:t>
      </w:r>
      <w:r w:rsidR="00860D12">
        <w:rPr>
          <w:rFonts w:cs="Times New Roman"/>
        </w:rPr>
        <w:t>sion</w:t>
      </w:r>
      <w:r w:rsidR="00DD5990" w:rsidRPr="00BD2160">
        <w:rPr>
          <w:rFonts w:cs="Times New Roman"/>
        </w:rPr>
        <w:t xml:space="preserve"> </w:t>
      </w:r>
      <w:r w:rsidR="00160A6D">
        <w:rPr>
          <w:rFonts w:cs="Times New Roman"/>
        </w:rPr>
        <w:t xml:space="preserve">at least </w:t>
      </w:r>
      <w:r w:rsidR="00675652">
        <w:rPr>
          <w:rFonts w:cs="Times New Roman"/>
          <w:color w:val="000000" w:themeColor="text1"/>
        </w:rPr>
        <w:t xml:space="preserve">of </w:t>
      </w:r>
      <w:r w:rsidR="00160A6D">
        <w:rPr>
          <w:rFonts w:cs="Times New Roman"/>
          <w:color w:val="000000" w:themeColor="text1"/>
        </w:rPr>
        <w:t xml:space="preserve">the </w:t>
      </w:r>
      <w:r w:rsidR="00804738" w:rsidRPr="008B6F7B">
        <w:rPr>
          <w:rFonts w:cs="Times New Roman"/>
          <w:color w:val="000000" w:themeColor="text1"/>
        </w:rPr>
        <w:t xml:space="preserve">photorespiration </w:t>
      </w:r>
      <w:r w:rsidR="00675652">
        <w:rPr>
          <w:rFonts w:cs="Times New Roman"/>
          <w:color w:val="000000" w:themeColor="text1"/>
        </w:rPr>
        <w:t xml:space="preserve">term </w:t>
      </w:r>
      <w:r w:rsidR="00675652" w:rsidRPr="00BD2160">
        <w:rPr>
          <w:rFonts w:cs="Times New Roman"/>
        </w:rPr>
        <w:t>in the model for Δ</w:t>
      </w:r>
      <w:r w:rsidR="00675652" w:rsidRPr="00BD2160">
        <w:rPr>
          <w:rFonts w:cs="Times New Roman"/>
          <w:vertAlign w:val="superscript"/>
        </w:rPr>
        <w:t>13</w:t>
      </w:r>
      <w:r w:rsidR="00675652" w:rsidRPr="00BD2160">
        <w:rPr>
          <w:rFonts w:cs="Times New Roman"/>
        </w:rPr>
        <w:t>C</w:t>
      </w:r>
      <w:r w:rsidR="00860D12">
        <w:rPr>
          <w:rFonts w:cs="Times New Roman"/>
        </w:rPr>
        <w:t xml:space="preserve">, </w:t>
      </w:r>
      <w:r w:rsidR="001D34F0">
        <w:rPr>
          <w:rFonts w:cs="Times New Roman"/>
        </w:rPr>
        <w:t xml:space="preserve">as </w:t>
      </w:r>
      <w:r w:rsidR="00510AF5">
        <w:rPr>
          <w:rFonts w:cs="Times New Roman"/>
        </w:rPr>
        <w:t>th</w:t>
      </w:r>
      <w:r w:rsidR="00160A6D">
        <w:rPr>
          <w:rFonts w:cs="Times New Roman"/>
        </w:rPr>
        <w:t>is</w:t>
      </w:r>
      <w:r w:rsidR="00693FBF">
        <w:rPr>
          <w:rFonts w:cs="Times New Roman"/>
        </w:rPr>
        <w:t xml:space="preserve"> term</w:t>
      </w:r>
      <w:r w:rsidR="00DD5990" w:rsidRPr="00BD2160">
        <w:rPr>
          <w:rFonts w:cs="Times New Roman"/>
        </w:rPr>
        <w:t xml:space="preserve"> contributed to increas</w:t>
      </w:r>
      <w:r w:rsidR="00860D12">
        <w:rPr>
          <w:rFonts w:cs="Times New Roman"/>
        </w:rPr>
        <w:t>ing</w:t>
      </w:r>
      <w:r w:rsidR="00DD5990" w:rsidRPr="00BD2160">
        <w:rPr>
          <w:rFonts w:cs="Times New Roman"/>
        </w:rPr>
        <w:t xml:space="preserve"> Δ</w:t>
      </w:r>
      <w:r w:rsidR="00DD5990" w:rsidRPr="00BD2160">
        <w:rPr>
          <w:rFonts w:cs="Times New Roman"/>
          <w:vertAlign w:val="superscript"/>
        </w:rPr>
        <w:t>13</w:t>
      </w:r>
      <w:r w:rsidR="00DD5990" w:rsidRPr="00BD2160">
        <w:rPr>
          <w:rFonts w:cs="Times New Roman"/>
        </w:rPr>
        <w:t xml:space="preserve">C </w:t>
      </w:r>
      <w:r w:rsidR="00F66AA9" w:rsidRPr="00BD2160">
        <w:rPr>
          <w:rFonts w:cs="Times New Roman"/>
        </w:rPr>
        <w:t xml:space="preserve">in agreement with </w:t>
      </w:r>
      <w:r w:rsidR="00C6773E">
        <w:rPr>
          <w:rFonts w:cs="Times New Roman"/>
        </w:rPr>
        <w:t xml:space="preserve">atmospheric and </w:t>
      </w:r>
      <w:r w:rsidR="00AC2C7E">
        <w:rPr>
          <w:rFonts w:cs="Times New Roman"/>
        </w:rPr>
        <w:t xml:space="preserve">plant </w:t>
      </w:r>
      <w:r w:rsidR="000B661C">
        <w:rPr>
          <w:rFonts w:cs="Times New Roman"/>
        </w:rPr>
        <w:t>observation</w:t>
      </w:r>
      <w:r w:rsidR="00F66AA9" w:rsidRPr="00BD2160">
        <w:rPr>
          <w:rFonts w:cs="Times New Roman"/>
        </w:rPr>
        <w:t>s</w:t>
      </w:r>
      <w:r w:rsidR="00070F39">
        <w:rPr>
          <w:rFonts w:cs="Times New Roman"/>
        </w:rPr>
        <w:t xml:space="preserve"> </w:t>
      </w:r>
      <w:r w:rsidR="00070F39">
        <w:rPr>
          <w:rFonts w:cs="Times New Roman"/>
        </w:rPr>
        <w:fldChar w:fldCharType="begin" w:fldLock="1"/>
      </w:r>
      <w:r w:rsidR="00F34888">
        <w:rPr>
          <w:rFonts w:cs="Times New Roman"/>
        </w:rPr>
        <w:instrText>ADDIN CSL_CITATION {"citationItems":[{"id":"ITEM-1","itemData":{"DOI":"10.1073/pnas.1619240114","ISBN":"1619240114","ISSN":"0027-8424","PMID":"28893986","abstract":"A decrease in the (13)C/(12)C ratio of atmospheric CO2 has been documented by direct observations since 1978 and from ice core measurements since the industrial revolution. This decrease, known as the (13)C-Suess effect, is driven primarily by the input of fossil fuel-derived CO2 but is also sensitive to land and ocean carbon cycling and uptake. Using updated records, we show that no plausible combination of sources and sinks of CO2 from fossil fuel, land, and oceans can explain the observed (13)C-Suess effect unless an increase has occurred in the (13)C/(12)C isotopic discrimination of land photosynthesis. A trend toward greater discrimination under higher CO2 levels is broadly consistent with tree ring studies over the past century, with field and chamber experiments, and with geological records of C3 plants at times of altered atmospheric CO2, but increasing discrimination has not previously been included in studies of long-term atmospheric (13)C/(12)C measurements. We further show that the inferred discrimination increase of 0.014 ± 0.007‰ ppm(-1) is largely explained by photorespiratory and mesophyll effects. This result implies that, at the global scale, land plants have regulated their stomatal conductance so as to allow the CO2 partial pressure within stomatal cavities and their intrinsic water use efficiency to increase in nearly constant proportion to the rise in atmospheric CO2 concentration.","author":[{"dropping-particle":"","family":"Keeling","given":"Ralph F.","non-dropping-particle":"","parse-names":false,"suffix":""},{"dropping-particle":"","family":"Graven","given":"Heather D.","non-dropping-particle":"","parse-names":false,"suffix":""},{"dropping-particle":"","family":"Welp","given":"Lisa R.","non-dropping-particle":"","parse-names":false,"suffix":""},{"dropping-particle":"","family":"Resplandy","given":"Laure","non-dropping-particle":"","parse-names":false,"suffix":""},{"dropping-particle":"","family":"Bi","given":"Jian","non-dropping-particle":"","parse-names":false,"suffix":""},{"dropping-particle":"","family":"Piper","given":"Stephen C.","non-dropping-particle":"","parse-names":false,"suffix":""},{"dropping-particle":"","family":"Sun","given":"Ying","non-dropping-particle":"","parse-names":false,"suffix":""},{"dropping-particle":"","family":"Bollenbacher","given":"Alane","non-dropping-particle":"","parse-names":false,"suffix":""},{"dropping-particle":"","family":"Meijer","given":"Harro A. J.","non-dropping-particle":"","parse-names":false,"suffix":""}],"container-title":"Proceedings of the National Academy of Sciences","id":"ITEM-1","issue":"39","issued":{"date-parts":[["2017","9","26"]]},"page":"10361-10366","title":"Atmospheric evidence for a global secular increase in carbon isotopic discrimination of land photosynthesis","type":"article-journal","volume":"114"},"uris":["http://www.mendeley.com/documents/?uuid=dee6d3c8-fc3b-4e2f-a86d-eb1072c684c7"]},{"id":"ITEM-2","itemData":{"DOI":"10.1016/j.earscirev.2017.12.008","ISSN":"00128252","abstract":"Paleoclimate reconstruction from the carbon stable isotopes in fossilized terrestrial organic matter relies upon a simple relationship between isotope discrimination and photosynthetic rate or leaf stomatal conductance (ci/ca). The carbon in plant tissues, however, represents the net carbon gained during photosynthesis, i.e., the balance of carbon gained through the stomata minus the carbon lost via photorespiration and respiration. While carbon isotope discrimination during respiration is negligible,13C discrimination during photorespiration can change plant isotope composition by several per mil. Our analysis of 123 Arabidopsis thaliana plants grown under a large range of subambient-to-highly-elevated pCO2revealed a positive response between carbon isotope discrimination and pCO2that was both consistent with the theoretical estimate for photorespiration and mathematically independent of ci/ca. Studies that seek to reconstruct climate records from plant-derived substrates must account for changes in atmospheric pCO2when attributing isotopic shifts to changes in photosynthetic rate or stomatal conductance driven by environmental conditions.","author":[{"dropping-particle":"","family":"Schubert","given":"Brian A","non-dropping-particle":"","parse-names":false,"suffix":""},{"dropping-particle":"","family":"Jahren","given":"A. Hope","non-dropping-particle":"","parse-names":false,"suffix":""}],"container-title":"Earth-Science Reviews","id":"ITEM-2","issued":{"date-parts":[["2018"]]},"page":"637-642","title":"Incorporating the effects of photorespiration into terrestrial paleoclimate reconstruction","type":"article-journal","volume":"177"},"uris":["http://www.mendeley.com/documents/?uuid=d47dc9da-5b72-4dd3-947c-60821f1b8c35"]}],"mendeley":{"formattedCitation":"(Keeling et al., 2017; Schubert &amp; Jahren, 2018)","manualFormatting":"(Keeling et al., 2017; Schubert &amp; Jahren, 2018)","plainTextFormattedCitation":"(Keeling et al., 2017; Schubert &amp; Jahren, 2018)","previouslyFormattedCitation":"(Keeling et al., 2017; Schubert &amp; Jahren, 2018)"},"properties":{"noteIndex":0},"schema":"https://github.com/citation-style-language/schema/raw/master/csl-citation.json"}</w:instrText>
      </w:r>
      <w:r w:rsidR="00070F39">
        <w:rPr>
          <w:rFonts w:cs="Times New Roman"/>
        </w:rPr>
        <w:fldChar w:fldCharType="separate"/>
      </w:r>
      <w:r w:rsidR="00070F39" w:rsidRPr="00070F39">
        <w:rPr>
          <w:rFonts w:cs="Times New Roman"/>
          <w:noProof/>
        </w:rPr>
        <w:t>(Keeling et al., 2017; Schubert &amp; Jahren, 2018)</w:t>
      </w:r>
      <w:r w:rsidR="00070F39">
        <w:rPr>
          <w:rFonts w:cs="Times New Roman"/>
        </w:rPr>
        <w:fldChar w:fldCharType="end"/>
      </w:r>
      <w:r w:rsidR="00F66AA9" w:rsidRPr="00BD2160">
        <w:rPr>
          <w:rFonts w:cs="Times New Roman"/>
        </w:rPr>
        <w:t>.</w:t>
      </w:r>
      <w:r w:rsidR="006D7CCF" w:rsidRPr="00BD2160">
        <w:rPr>
          <w:rFonts w:cs="Times New Roman"/>
        </w:rPr>
        <w:t xml:space="preserve"> </w:t>
      </w:r>
      <w:r w:rsidR="00D2605F">
        <w:rPr>
          <w:rFonts w:cs="Times New Roman"/>
        </w:rPr>
        <w:t>A</w:t>
      </w:r>
      <w:r w:rsidR="00D2605F" w:rsidRPr="00BD2160">
        <w:rPr>
          <w:rFonts w:cs="Times New Roman"/>
        </w:rPr>
        <w:t xml:space="preserve">ssuming infinite boundary-layer </w:t>
      </w:r>
      <w:r w:rsidR="001F1708">
        <w:rPr>
          <w:rFonts w:cs="Times New Roman"/>
        </w:rPr>
        <w:t xml:space="preserve">and mesophyll </w:t>
      </w:r>
      <w:r w:rsidR="00D2605F" w:rsidRPr="00BD2160">
        <w:rPr>
          <w:rFonts w:cs="Times New Roman"/>
        </w:rPr>
        <w:t>conductance</w:t>
      </w:r>
      <w:r w:rsidR="001F1708">
        <w:rPr>
          <w:rFonts w:cs="Times New Roman"/>
        </w:rPr>
        <w:t>s</w:t>
      </w:r>
      <w:r w:rsidR="00D2605F">
        <w:rPr>
          <w:rFonts w:cs="Times New Roman"/>
          <w:lang w:val="es-ES_tradnl"/>
        </w:rPr>
        <w:t xml:space="preserve"> and</w:t>
      </w:r>
      <w:r w:rsidR="00D2605F">
        <w:rPr>
          <w:rFonts w:cs="Times New Roman"/>
          <w:color w:val="000000" w:themeColor="text1"/>
        </w:rPr>
        <w:t xml:space="preserve"> negligible fractionation during day respiration as shown by several studies (e.g. </w:t>
      </w:r>
      <w:r w:rsidR="00D2605F">
        <w:rPr>
          <w:rFonts w:cs="Times New Roman"/>
          <w:color w:val="000000" w:themeColor="text1"/>
        </w:rPr>
        <w:fldChar w:fldCharType="begin" w:fldLock="1"/>
      </w:r>
      <w:r w:rsidR="00D2605F">
        <w:rPr>
          <w:rFonts w:cs="Times New Roman"/>
          <w:color w:val="000000" w:themeColor="text1"/>
        </w:rPr>
        <w:instrText>ADDIN CSL_CITATION {"citationItems":[{"id":"ITEM-1","itemData":{"DOI":"10.1023/B:PHYT.0000004326.00711.ca","ISBN":"1568-7767","ISSN":"15687767","abstract":"Carbon isotope discrimination during photosynthetic CO2 assimilation has been extensively studied and rigorous models have been developed, while the fractionations during photorespiratory and dark respiratory processes have been less well investigated. Whilst models of discrimination have included specific factors for fractionation during respiration (e) and photorespiration (f), these effects have been considered to be very small, i.e. not significantly modifying the net discrimination expressed in organic material. On this paper we consider the fractionation effects associated with specific reactions set against the overall discrimination which occurs during source-product transformations. We review the studies which have recently shown that discrimination occurs during respiration at night in intact C3 leaves, leading to the production of CO2 enriched in 13C (i.e., e = -6‰), and modifying the signature of the remaining plant material. Under photorespiratory conditions (i.e. increased oxygen concentration and high temperature), the photorespiratory fractionation factor may be high (with f around +10‰), and significantly alters the observed net photosynthetic discrimination measured during gas exchange. Fractionation factors for both respiration and photorespiration have been shown to be variable among species and with environmental conditions, and we suggest that the term 'apparent fractionation' be used to describe the net effect for each process. In this paper we review the fractionations during photorespiration and dark respiration and the metabolic origin of the CO2 released during these processes, and we discuss the ecological implications of such fractionations.","author":[{"dropping-particle":"","family":"Ghashghaie","given":"J.","non-dropping-particle":"","parse-names":false,"suffix":""},{"dropping-particle":"","family":"Badeck","given":"F. -W.","non-dropping-particle":"","parse-names":false,"suffix":""},{"dropping-particle":"","family":"Lanigan","given":"G.","non-dropping-particle":"","parse-names":false,"suffix":""},{"dropping-particle":"","family":"Nogués","given":"S.","non-dropping-particle":"","parse-names":false,"suffix":""},{"dropping-particle":"","family":"Tcherkez","given":"G.","non-dropping-particle":"","parse-names":false,"suffix":""},{"dropping-particle":"","family":"Deléens","given":"E.","non-dropping-particle":"","parse-names":false,"suffix":""},{"dropping-particle":"","family":"Cornic","given":"G.","non-dropping-particle":"","parse-names":false,"suffix":""},{"dropping-particle":"","family":"Griffiths","given":"H.","non-dropping-particle":"","parse-names":false,"suffix":""}],"container-title":"Phytochemistry Reviews","id":"ITEM-1","issue":"1-2","issued":{"date-parts":[["2003"]]},"page":"145-161","title":"Carbon isotope fractionation during dark respiration and photorespiration in C3 plants","type":"article-journal","volume":"2"},"uris":["http://www.mendeley.com/documents/?uuid=ea1620b6-a456-441c-bd86-c4cb5d5a268e"]}],"mendeley":{"formattedCitation":"(Ghashghaie et al., 2003)","manualFormatting":"Ghashghaie et al., 2003)","plainTextFormattedCitation":"(Ghashghaie et al., 2003)","previouslyFormattedCitation":"(Ghashghaie et al., 2003)"},"properties":{"noteIndex":0},"schema":"https://github.com/citation-style-language/schema/raw/master/csl-citation.json"}</w:instrText>
      </w:r>
      <w:r w:rsidR="00D2605F">
        <w:rPr>
          <w:rFonts w:cs="Times New Roman"/>
          <w:color w:val="000000" w:themeColor="text1"/>
        </w:rPr>
        <w:fldChar w:fldCharType="separate"/>
      </w:r>
      <w:r w:rsidR="00D2605F" w:rsidRPr="00F64852">
        <w:rPr>
          <w:rFonts w:cs="Times New Roman"/>
          <w:noProof/>
          <w:color w:val="000000" w:themeColor="text1"/>
        </w:rPr>
        <w:t>Ghashghaie et al., 2003)</w:t>
      </w:r>
      <w:r w:rsidR="00D2605F">
        <w:rPr>
          <w:rFonts w:cs="Times New Roman"/>
          <w:color w:val="000000" w:themeColor="text1"/>
        </w:rPr>
        <w:fldChar w:fldCharType="end"/>
      </w:r>
      <w:r w:rsidR="00D2605F">
        <w:rPr>
          <w:rFonts w:cs="Times New Roman"/>
          <w:color w:val="000000" w:themeColor="text1"/>
        </w:rPr>
        <w:t>,</w:t>
      </w:r>
      <w:r w:rsidR="00D2605F" w:rsidRPr="00123536">
        <w:rPr>
          <w:rFonts w:cs="Times New Roman"/>
          <w:color w:val="000000" w:themeColor="text1"/>
        </w:rPr>
        <w:t xml:space="preserve"> </w:t>
      </w:r>
      <w:r>
        <w:rPr>
          <w:rFonts w:cs="Times New Roman"/>
          <w:color w:val="000000" w:themeColor="text1"/>
        </w:rPr>
        <w:t>the</w:t>
      </w:r>
      <w:r w:rsidR="00D2605F" w:rsidRPr="00BD2160">
        <w:rPr>
          <w:rFonts w:cs="Times New Roman"/>
        </w:rPr>
        <w:t xml:space="preserve"> model for ∆</w:t>
      </w:r>
      <w:r w:rsidR="00D2605F" w:rsidRPr="00BD2160">
        <w:rPr>
          <w:rFonts w:cs="Times New Roman"/>
          <w:vertAlign w:val="superscript"/>
        </w:rPr>
        <w:t>13</w:t>
      </w:r>
      <w:r w:rsidR="00D2605F" w:rsidRPr="00BD2160">
        <w:rPr>
          <w:rFonts w:cs="Times New Roman"/>
        </w:rPr>
        <w:t xml:space="preserve">C </w:t>
      </w:r>
      <w:r w:rsidR="00D2605F">
        <w:rPr>
          <w:rFonts w:cs="Times New Roman"/>
          <w:color w:val="000000" w:themeColor="text1"/>
        </w:rPr>
        <w:t xml:space="preserve">can be expressed </w:t>
      </w:r>
      <w:r w:rsidR="00D2605F" w:rsidRPr="00123536">
        <w:rPr>
          <w:rFonts w:cs="Times New Roman"/>
          <w:color w:val="000000" w:themeColor="text1"/>
        </w:rPr>
        <w:t>as:</w:t>
      </w:r>
      <w:r w:rsidR="00D2605F" w:rsidRPr="00D2605F">
        <w:rPr>
          <w:rFonts w:cs="Times New Roman"/>
        </w:rPr>
        <w:t xml:space="preserve"> </w:t>
      </w:r>
    </w:p>
    <w:p w14:paraId="209F485C" w14:textId="6D056C09" w:rsidR="002E5765" w:rsidRDefault="00E31184" w:rsidP="002E5765">
      <w:pPr>
        <w:pStyle w:val="Body"/>
        <w:spacing w:before="240" w:line="360" w:lineRule="auto"/>
        <w:ind w:firstLine="708"/>
        <w:jc w:val="both"/>
        <w:rPr>
          <w:rFonts w:cs="Times New Roman"/>
        </w:rPr>
      </w:pPr>
      <m:oMath>
        <m:sSup>
          <m:sSupPr>
            <m:ctrlPr>
              <w:rPr>
                <w:rFonts w:ascii="Cambria Math" w:hAnsi="Cambria Math" w:cs="Times New Roman"/>
                <w:i/>
              </w:rPr>
            </m:ctrlPr>
          </m:sSupPr>
          <m:e>
            <m:r>
              <w:rPr>
                <w:rFonts w:ascii="Cambria Math" w:hAnsi="Cambria Math" w:cs="Times New Roman"/>
              </w:rPr>
              <m:t>∆</m:t>
            </m:r>
          </m:e>
          <m:sup>
            <m:r>
              <w:rPr>
                <w:rFonts w:ascii="Cambria Math" w:hAnsi="Cambria Math" w:cs="Times New Roman"/>
              </w:rPr>
              <m:t>13</m:t>
            </m:r>
          </m:sup>
        </m:sSup>
        <m:r>
          <m:rPr>
            <m:sty m:val="p"/>
          </m:rPr>
          <w:rPr>
            <w:rFonts w:ascii="Cambria Math" w:hAnsi="Cambria Math" w:cs="Times New Roman"/>
          </w:rPr>
          <m:t>C</m:t>
        </m:r>
        <m:r>
          <w:rPr>
            <w:rFonts w:ascii="Cambria Math" w:hAnsi="Cambria Math" w:cs="Times New Roman"/>
          </w:rPr>
          <m:t>=a+</m:t>
        </m:r>
        <m:d>
          <m:dPr>
            <m:ctrlPr>
              <w:rPr>
                <w:rFonts w:ascii="Cambria Math" w:hAnsi="Cambria Math" w:cs="Times New Roman"/>
                <w:i/>
              </w:rPr>
            </m:ctrlPr>
          </m:dPr>
          <m:e>
            <m:r>
              <w:rPr>
                <w:rFonts w:ascii="Cambria Math" w:hAnsi="Cambria Math" w:cs="Times New Roman"/>
              </w:rPr>
              <m:t>b-a</m:t>
            </m:r>
          </m:e>
        </m:d>
        <m:f>
          <m:fPr>
            <m:ctrlPr>
              <w:rPr>
                <w:rFonts w:ascii="Cambria Math" w:hAnsi="Cambria Math" w:cs="Times New Roman"/>
              </w:rPr>
            </m:ctrlPr>
          </m:fPr>
          <m:num>
            <m:sSub>
              <m:sSubPr>
                <m:ctrlPr>
                  <w:rPr>
                    <w:rFonts w:ascii="Cambria Math" w:hAnsi="Cambria Math" w:cs="Times New Roman"/>
                    <w:i/>
                  </w:rPr>
                </m:ctrlPr>
              </m:sSubPr>
              <m:e>
                <m:r>
                  <w:rPr>
                    <w:rFonts w:ascii="Cambria Math" w:hAnsi="Cambria Math" w:cs="Times New Roman"/>
                  </w:rPr>
                  <m:t>c</m:t>
                </m:r>
              </m:e>
              <m:sub>
                <m:r>
                  <m:rPr>
                    <m:sty m:val="p"/>
                  </m:rPr>
                  <w:rPr>
                    <w:rFonts w:ascii="Cambria Math" w:hAnsi="Cambria Math" w:cs="Times New Roman"/>
                  </w:rPr>
                  <m:t>i</m:t>
                </m:r>
              </m:sub>
            </m:sSub>
          </m:num>
          <m:den>
            <m:sSub>
              <m:sSubPr>
                <m:ctrlPr>
                  <w:rPr>
                    <w:rFonts w:ascii="Cambria Math" w:hAnsi="Cambria Math" w:cs="Times New Roman"/>
                    <w:i/>
                  </w:rPr>
                </m:ctrlPr>
              </m:sSubPr>
              <m:e>
                <m:r>
                  <w:rPr>
                    <w:rFonts w:ascii="Cambria Math" w:hAnsi="Cambria Math" w:cs="Times New Roman"/>
                  </w:rPr>
                  <m:t>c</m:t>
                </m:r>
              </m:e>
              <m:sub>
                <m:r>
                  <m:rPr>
                    <m:sty m:val="p"/>
                  </m:rPr>
                  <w:rPr>
                    <w:rFonts w:ascii="Cambria Math" w:hAnsi="Cambria Math" w:cs="Times New Roman"/>
                  </w:rPr>
                  <m:t>a</m:t>
                </m:r>
              </m:sub>
            </m:sSub>
          </m:den>
        </m:f>
        <m:r>
          <w:rPr>
            <w:rFonts w:ascii="Cambria Math" w:hAnsi="Cambria Math" w:cs="Times New Roman"/>
          </w:rPr>
          <m:t>-f</m:t>
        </m:r>
        <m:f>
          <m:fPr>
            <m:ctrlPr>
              <w:rPr>
                <w:rFonts w:ascii="Cambria Math" w:hAnsi="Cambria Math" w:cs="Times New Roman"/>
              </w:rPr>
            </m:ctrlPr>
          </m:fPr>
          <m:num>
            <m:r>
              <w:rPr>
                <w:rFonts w:ascii="Cambria Math" w:hAnsi="Cambria Math" w:cs="Times New Roman"/>
              </w:rPr>
              <m:t>Γ*</m:t>
            </m:r>
          </m:num>
          <m:den>
            <m:sSub>
              <m:sSubPr>
                <m:ctrlPr>
                  <w:rPr>
                    <w:rFonts w:ascii="Cambria Math" w:hAnsi="Cambria Math" w:cs="Times New Roman"/>
                    <w:i/>
                  </w:rPr>
                </m:ctrlPr>
              </m:sSubPr>
              <m:e>
                <m:r>
                  <w:rPr>
                    <w:rFonts w:ascii="Cambria Math" w:hAnsi="Cambria Math" w:cs="Times New Roman"/>
                  </w:rPr>
                  <m:t>c</m:t>
                </m:r>
              </m:e>
              <m:sub>
                <m:r>
                  <m:rPr>
                    <m:sty m:val="p"/>
                  </m:rPr>
                  <w:rPr>
                    <w:rFonts w:ascii="Cambria Math" w:hAnsi="Cambria Math" w:cs="Times New Roman"/>
                  </w:rPr>
                  <m:t>a</m:t>
                </m:r>
              </m:sub>
            </m:sSub>
          </m:den>
        </m:f>
      </m:oMath>
      <w:r w:rsidR="002E5765">
        <w:rPr>
          <w:rFonts w:cs="Times New Roman"/>
        </w:rPr>
        <w:t xml:space="preserve">    </w:t>
      </w:r>
      <w:r w:rsidR="002E5765">
        <w:rPr>
          <w:rFonts w:cs="Times New Roman"/>
        </w:rPr>
        <w:tab/>
      </w:r>
      <w:r w:rsidR="002E5765">
        <w:rPr>
          <w:rFonts w:cs="Times New Roman"/>
        </w:rPr>
        <w:tab/>
      </w:r>
      <w:r w:rsidR="002E5765">
        <w:rPr>
          <w:rFonts w:cs="Times New Roman"/>
        </w:rPr>
        <w:tab/>
      </w:r>
      <w:r w:rsidR="002E5765">
        <w:rPr>
          <w:rFonts w:cs="Times New Roman"/>
        </w:rPr>
        <w:tab/>
      </w:r>
      <w:r w:rsidR="002E5765">
        <w:rPr>
          <w:rFonts w:cs="Times New Roman"/>
        </w:rPr>
        <w:tab/>
      </w:r>
      <w:r w:rsidR="002E5765">
        <w:rPr>
          <w:rFonts w:cs="Times New Roman"/>
        </w:rPr>
        <w:tab/>
      </w:r>
      <w:r w:rsidR="002E5765">
        <w:rPr>
          <w:rFonts w:cs="Times New Roman"/>
        </w:rPr>
        <w:tab/>
      </w:r>
      <w:r w:rsidR="002E5765" w:rsidRPr="00BD2160">
        <w:rPr>
          <w:rFonts w:cs="Times New Roman"/>
        </w:rPr>
        <w:t>(</w:t>
      </w:r>
      <w:r w:rsidR="00BA0DDB">
        <w:rPr>
          <w:rFonts w:cs="Times New Roman"/>
        </w:rPr>
        <w:t>1</w:t>
      </w:r>
      <w:r w:rsidR="001F1708">
        <w:rPr>
          <w:rFonts w:cs="Times New Roman"/>
        </w:rPr>
        <w:t>1</w:t>
      </w:r>
      <w:r w:rsidR="002E5765" w:rsidRPr="00BD2160">
        <w:rPr>
          <w:rFonts w:cs="Times New Roman"/>
        </w:rPr>
        <w:t>)</w:t>
      </w:r>
    </w:p>
    <w:p w14:paraId="649D6888" w14:textId="78C95B63" w:rsidR="002F04D9" w:rsidRDefault="00D2605F" w:rsidP="0094569B">
      <w:pPr>
        <w:pStyle w:val="Body"/>
        <w:spacing w:before="240" w:line="360" w:lineRule="auto"/>
        <w:jc w:val="both"/>
        <w:rPr>
          <w:rFonts w:cs="Times New Roman"/>
          <w:color w:val="000000" w:themeColor="text1"/>
        </w:rPr>
      </w:pPr>
      <w:r>
        <w:rPr>
          <w:rFonts w:cs="Times New Roman"/>
        </w:rPr>
        <w:t>w</w:t>
      </w:r>
      <w:r w:rsidRPr="00BD2160">
        <w:rPr>
          <w:rFonts w:cs="Times New Roman"/>
        </w:rPr>
        <w:t>here</w:t>
      </w:r>
      <w:r>
        <w:rPr>
          <w:rFonts w:cs="Times New Roman"/>
        </w:rPr>
        <w:t xml:space="preserve"> </w:t>
      </w:r>
      <w:r w:rsidRPr="00BD2160">
        <w:rPr>
          <w:rFonts w:cs="Times New Roman"/>
          <w:i/>
          <w:iCs/>
        </w:rPr>
        <w:t>b</w:t>
      </w:r>
      <w:r w:rsidRPr="00BD2160">
        <w:rPr>
          <w:rFonts w:cs="Times New Roman"/>
          <w:iCs/>
        </w:rPr>
        <w:t xml:space="preserve"> and </w:t>
      </w:r>
      <w:r w:rsidRPr="00BD2160">
        <w:rPr>
          <w:rFonts w:cs="Times New Roman"/>
          <w:i/>
          <w:iCs/>
        </w:rPr>
        <w:t>f</w:t>
      </w:r>
      <w:r w:rsidRPr="00BD2160">
        <w:rPr>
          <w:rFonts w:cs="Times New Roman"/>
          <w:iCs/>
        </w:rPr>
        <w:t xml:space="preserve"> are</w:t>
      </w:r>
      <w:r w:rsidRPr="00BD2160">
        <w:rPr>
          <w:rFonts w:cs="Times New Roman"/>
        </w:rPr>
        <w:t xml:space="preserve"> the fractionations associated with Rubisco carboxylation </w:t>
      </w:r>
      <w:r w:rsidR="00176D41" w:rsidRPr="00BD2160">
        <w:rPr>
          <w:rFonts w:cs="Times New Roman"/>
        </w:rPr>
        <w:t>(</w:t>
      </w:r>
      <w:r w:rsidR="00BD08DA">
        <w:rPr>
          <w:rFonts w:cs="Times New Roman"/>
        </w:rPr>
        <w:t>2</w:t>
      </w:r>
      <w:r w:rsidR="00DA712A">
        <w:rPr>
          <w:rFonts w:cs="Times New Roman"/>
        </w:rPr>
        <w:t>8</w:t>
      </w:r>
      <w:r w:rsidR="00AF689E">
        <w:rPr>
          <w:rFonts w:cs="Times New Roman"/>
        </w:rPr>
        <w:t xml:space="preserve"> </w:t>
      </w:r>
      <w:r w:rsidR="00BD08DA">
        <w:rPr>
          <w:rFonts w:cs="Times New Roman"/>
        </w:rPr>
        <w:sym w:font="Symbol" w:char="F0B1"/>
      </w:r>
      <w:r w:rsidR="00AF689E">
        <w:rPr>
          <w:rFonts w:cs="Times New Roman"/>
        </w:rPr>
        <w:t xml:space="preserve"> </w:t>
      </w:r>
      <w:r w:rsidR="00C958BA">
        <w:rPr>
          <w:rFonts w:cs="Times New Roman"/>
        </w:rPr>
        <w:t>2</w:t>
      </w:r>
      <w:r w:rsidR="00BD08DA" w:rsidRPr="00BD2160">
        <w:rPr>
          <w:rFonts w:cs="Times New Roman"/>
        </w:rPr>
        <w:t>‰</w:t>
      </w:r>
      <w:r w:rsidR="00176D41">
        <w:rPr>
          <w:rFonts w:cs="Times New Roman"/>
        </w:rPr>
        <w:t>)</w:t>
      </w:r>
      <w:r w:rsidR="001F1708">
        <w:rPr>
          <w:rFonts w:cs="Times New Roman"/>
        </w:rPr>
        <w:t xml:space="preserve"> </w:t>
      </w:r>
      <w:r w:rsidRPr="00BD2160">
        <w:rPr>
          <w:rFonts w:cs="Times New Roman"/>
        </w:rPr>
        <w:t>and photorespiration (</w:t>
      </w:r>
      <w:r>
        <w:rPr>
          <w:rFonts w:cs="Times New Roman"/>
        </w:rPr>
        <w:t xml:space="preserve">12 </w:t>
      </w:r>
      <w:r>
        <w:rPr>
          <w:rFonts w:cs="Times New Roman"/>
        </w:rPr>
        <w:sym w:font="Symbol" w:char="F0B1"/>
      </w:r>
      <w:r w:rsidRPr="00BD2160">
        <w:rPr>
          <w:rFonts w:cs="Times New Roman"/>
        </w:rPr>
        <w:t xml:space="preserve"> </w:t>
      </w:r>
      <w:r>
        <w:rPr>
          <w:rFonts w:cs="Times New Roman"/>
        </w:rPr>
        <w:t>4</w:t>
      </w:r>
      <w:r w:rsidRPr="00BD2160">
        <w:rPr>
          <w:rFonts w:cs="Times New Roman"/>
          <w:lang w:val="en-GB"/>
        </w:rPr>
        <w:t>‰), respectively</w:t>
      </w:r>
      <w:r w:rsidR="007C643E">
        <w:rPr>
          <w:rFonts w:cs="Times New Roman"/>
          <w:lang w:val="en-GB"/>
        </w:rPr>
        <w:t xml:space="preserve"> (</w:t>
      </w:r>
      <w:r w:rsidR="006E3A4C" w:rsidRPr="00BD2160">
        <w:rPr>
          <w:rFonts w:cs="Times New Roman"/>
          <w:lang w:val="es-ES_tradnl"/>
        </w:rPr>
        <w:fldChar w:fldCharType="begin" w:fldLock="1"/>
      </w:r>
      <w:r w:rsidR="006E3A4C">
        <w:rPr>
          <w:rFonts w:cs="Times New Roman"/>
          <w:lang w:val="es-ES_tradnl"/>
        </w:rPr>
        <w:instrText>ADDIN CSL_CITATION {"citationItems":[{"id":"ITEM-1","itemData":{"DOI":"10.1111/pce.12346","author":[{"dropping-particle":"","family":"Ubierna","given":"Nerea","non-dropping-particle":"","parse-names":false,"suffix":""},{"dropping-particle":"","family":"Farquhar","given":"Graham D.","non-dropping-particle":"","parse-names":false,"suffix":""}],"container-title":"Plant Cell and Environment","id":"ITEM-1","issued":{"date-parts":[["2014"]]},"page":"1494-1498","title":"Advances in measurements and models of photosynthetic carbon isotope discrimination in C3 plants","type":"article-journal","volume":"37"},"uris":["http://www.mendeley.com/documents/?uuid=32aabadc-792a-4e9f-8f02-ff37b19c647c"]}],"mendeley":{"formattedCitation":"(Ubierna &amp; Farquhar, 2014)","manualFormatting":"Ubierna &amp; Farquhar, 2014)","plainTextFormattedCitation":"(Ubierna &amp; Farquhar, 2014)","previouslyFormattedCitation":"(Ubierna &amp; Farquhar, 2014)"},"properties":{"noteIndex":0},"schema":"https://github.com/citation-style-language/schema/raw/master/csl-citation.json"}</w:instrText>
      </w:r>
      <w:r w:rsidR="006E3A4C" w:rsidRPr="00BD2160">
        <w:rPr>
          <w:rFonts w:cs="Times New Roman"/>
          <w:lang w:val="es-ES_tradnl"/>
        </w:rPr>
        <w:fldChar w:fldCharType="separate"/>
      </w:r>
      <w:r w:rsidR="006E3A4C" w:rsidRPr="00BD2160">
        <w:rPr>
          <w:rFonts w:cs="Times New Roman"/>
          <w:noProof/>
          <w:lang w:val="es-ES_tradnl"/>
        </w:rPr>
        <w:t>Ubierna &amp; Farquhar, 2014)</w:t>
      </w:r>
      <w:r w:rsidR="006E3A4C" w:rsidRPr="00BD2160">
        <w:rPr>
          <w:rFonts w:cs="Times New Roman"/>
          <w:lang w:val="es-ES_tradnl"/>
        </w:rPr>
        <w:fldChar w:fldCharType="end"/>
      </w:r>
      <w:r w:rsidR="001F1708">
        <w:rPr>
          <w:rFonts w:cs="Times New Roman"/>
          <w:lang w:val="en-GB"/>
        </w:rPr>
        <w:t xml:space="preserve">. </w:t>
      </w:r>
      <w:r w:rsidRPr="00BD2160">
        <w:rPr>
          <w:rFonts w:cs="Times New Roman"/>
        </w:rPr>
        <w:t>Γ* is the CO</w:t>
      </w:r>
      <w:r w:rsidRPr="00BD2160">
        <w:rPr>
          <w:rFonts w:cs="Times New Roman"/>
          <w:vertAlign w:val="subscript"/>
        </w:rPr>
        <w:t>2</w:t>
      </w:r>
      <w:r w:rsidRPr="00BD2160">
        <w:rPr>
          <w:rFonts w:cs="Times New Roman"/>
        </w:rPr>
        <w:t xml:space="preserve"> compensation point in the absence of day respiration, i.e. the value of </w:t>
      </w:r>
      <w:r w:rsidRPr="00BD2160">
        <w:rPr>
          <w:rFonts w:cs="Times New Roman"/>
          <w:i/>
        </w:rPr>
        <w:t>c</w:t>
      </w:r>
      <w:r w:rsidRPr="00BD2160">
        <w:rPr>
          <w:rFonts w:cs="Times New Roman"/>
          <w:vertAlign w:val="subscript"/>
        </w:rPr>
        <w:t>i</w:t>
      </w:r>
      <w:r w:rsidRPr="00BD2160">
        <w:rPr>
          <w:rFonts w:cs="Times New Roman"/>
        </w:rPr>
        <w:t xml:space="preserve"> at which the rate of photosynthetic CO</w:t>
      </w:r>
      <w:r w:rsidRPr="00BD2160">
        <w:rPr>
          <w:rFonts w:cs="Times New Roman"/>
          <w:vertAlign w:val="subscript"/>
        </w:rPr>
        <w:t>2</w:t>
      </w:r>
      <w:r w:rsidRPr="00BD2160">
        <w:rPr>
          <w:rFonts w:cs="Times New Roman"/>
        </w:rPr>
        <w:t xml:space="preserve"> uptake equals that of photorespiratory CO</w:t>
      </w:r>
      <w:r w:rsidRPr="00BD2160">
        <w:rPr>
          <w:rFonts w:cs="Times New Roman"/>
          <w:vertAlign w:val="subscript"/>
        </w:rPr>
        <w:t>2</w:t>
      </w:r>
      <w:r w:rsidRPr="00BD2160">
        <w:rPr>
          <w:rFonts w:cs="Times New Roman"/>
        </w:rPr>
        <w:t xml:space="preserve"> evolution</w:t>
      </w:r>
      <w:r>
        <w:rPr>
          <w:rFonts w:cs="Times New Roman"/>
        </w:rPr>
        <w:t xml:space="preserve"> </w:t>
      </w:r>
      <w:r w:rsidRPr="00BD2160">
        <w:rPr>
          <w:rFonts w:cs="Times New Roman"/>
        </w:rPr>
        <w:fldChar w:fldCharType="begin" w:fldLock="1"/>
      </w:r>
      <w:r w:rsidR="001D4B21">
        <w:rPr>
          <w:rFonts w:cs="Times New Roman"/>
        </w:rPr>
        <w:instrText>ADDIN CSL_CITATION {"citationItems":[{"id":"ITEM-1","itemData":{"DOI":"10.1007/BF00392238","ISSN":"0032-0935","author":[{"dropping-particle":"","family":"Brooks","given":"A","non-dropping-particle":"","parse-names":false,"suffix":""},{"dropping-particle":"","family":"Farquhar","given":"G D","non-dropping-particle":"","parse-names":false,"suffix":""}],"container-title":"Planta","id":"ITEM-1","issue":"3","issued":{"date-parts":[["1985"]]},"page":"397-406","title":"Effect of temperature on the CO2/O2 specificity of ribulose-1,5-bisphosphate carboxylase/oxygenase and the rate of respiration in the light","type":"article-journal","volume":"165"},"uris":["http://www.mendeley.com/documents/?uuid=5ac89457-9ce5-4f3e-9fef-a26e808e93cd","http://www.mendeley.com/documents/?uuid=58ca9011-2270-4826-a596-d7700f326fc7"]}],"mendeley":{"formattedCitation":"(Brooks &amp; Farquhar, 1985)","plainTextFormattedCitation":"(Brooks &amp; Farquhar, 1985)","previouslyFormattedCitation":"(Brooks &amp; Farquhar, 1985)"},"properties":{"noteIndex":0},"schema":"https://github.com/citation-style-language/schema/raw/master/csl-citation.json"}</w:instrText>
      </w:r>
      <w:r w:rsidRPr="00BD2160">
        <w:rPr>
          <w:rFonts w:cs="Times New Roman"/>
        </w:rPr>
        <w:fldChar w:fldCharType="separate"/>
      </w:r>
      <w:r w:rsidRPr="00BD2160">
        <w:rPr>
          <w:rFonts w:cs="Times New Roman"/>
          <w:noProof/>
        </w:rPr>
        <w:t>(Brooks &amp; Farquhar, 1985)</w:t>
      </w:r>
      <w:r w:rsidRPr="00BD2160">
        <w:rPr>
          <w:rFonts w:cs="Times New Roman"/>
        </w:rPr>
        <w:fldChar w:fldCharType="end"/>
      </w:r>
      <w:r w:rsidR="009F52C9">
        <w:rPr>
          <w:rFonts w:cs="Times New Roman"/>
        </w:rPr>
        <w:t>.</w:t>
      </w:r>
    </w:p>
    <w:p w14:paraId="52314C8B" w14:textId="442A4493" w:rsidR="00237119" w:rsidRPr="00310A4F" w:rsidRDefault="00D132B8" w:rsidP="00310A4F">
      <w:pPr>
        <w:pStyle w:val="Body"/>
        <w:spacing w:before="240" w:line="360" w:lineRule="auto"/>
        <w:jc w:val="both"/>
        <w:rPr>
          <w:lang w:val="en-GB"/>
        </w:rPr>
      </w:pPr>
      <w:r>
        <w:rPr>
          <w:rFonts w:cs="Times New Roman"/>
          <w:color w:val="000000" w:themeColor="text1"/>
        </w:rPr>
        <w:t>We tested t</w:t>
      </w:r>
      <w:r w:rsidR="007E17B5" w:rsidRPr="00BD2160">
        <w:rPr>
          <w:rFonts w:cs="Times New Roman"/>
          <w:color w:val="000000" w:themeColor="text1"/>
        </w:rPr>
        <w:t>h</w:t>
      </w:r>
      <w:r w:rsidR="004A29E0" w:rsidRPr="00BD2160">
        <w:rPr>
          <w:rFonts w:cs="Times New Roman"/>
          <w:color w:val="000000" w:themeColor="text1"/>
        </w:rPr>
        <w:t>e</w:t>
      </w:r>
      <w:r w:rsidR="007E17B5" w:rsidRPr="00BD2160">
        <w:rPr>
          <w:rFonts w:cs="Times New Roman"/>
          <w:color w:val="000000" w:themeColor="text1"/>
        </w:rPr>
        <w:t xml:space="preserve"> </w:t>
      </w:r>
      <w:r w:rsidR="004A29E0" w:rsidRPr="00BD2160">
        <w:rPr>
          <w:rFonts w:cs="Times New Roman"/>
          <w:color w:val="000000" w:themeColor="text1"/>
        </w:rPr>
        <w:t xml:space="preserve">effect of </w:t>
      </w:r>
      <w:r>
        <w:rPr>
          <w:rFonts w:cs="Times New Roman"/>
          <w:color w:val="000000" w:themeColor="text1"/>
        </w:rPr>
        <w:t xml:space="preserve">including the </w:t>
      </w:r>
      <w:r w:rsidR="005E7B78">
        <w:rPr>
          <w:rFonts w:cs="Times New Roman"/>
          <w:color w:val="000000" w:themeColor="text1"/>
        </w:rPr>
        <w:t xml:space="preserve">isotopic </w:t>
      </w:r>
      <w:r w:rsidR="004A29E0" w:rsidRPr="00BD2160">
        <w:rPr>
          <w:rFonts w:cs="Times New Roman"/>
          <w:color w:val="000000" w:themeColor="text1"/>
        </w:rPr>
        <w:t xml:space="preserve">fractionation </w:t>
      </w:r>
      <w:r w:rsidR="005E7B78">
        <w:rPr>
          <w:rFonts w:cs="Times New Roman"/>
          <w:color w:val="000000" w:themeColor="text1"/>
        </w:rPr>
        <w:t>due to</w:t>
      </w:r>
      <w:r w:rsidR="005E7B78" w:rsidRPr="00BD2160">
        <w:rPr>
          <w:rFonts w:cs="Times New Roman"/>
          <w:color w:val="000000" w:themeColor="text1"/>
        </w:rPr>
        <w:t xml:space="preserve"> </w:t>
      </w:r>
      <w:r w:rsidR="004A29E0" w:rsidRPr="00BD2160">
        <w:rPr>
          <w:rFonts w:cs="Times New Roman"/>
          <w:color w:val="000000" w:themeColor="text1"/>
        </w:rPr>
        <w:t xml:space="preserve">photorespiration on </w:t>
      </w:r>
      <w:r w:rsidR="004A29E0" w:rsidRPr="00BD2160">
        <w:rPr>
          <w:rFonts w:cs="Times New Roman"/>
        </w:rPr>
        <w:t>Δ</w:t>
      </w:r>
      <w:r w:rsidR="004A29E0" w:rsidRPr="00BD2160">
        <w:rPr>
          <w:rFonts w:cs="Times New Roman"/>
          <w:vertAlign w:val="superscript"/>
        </w:rPr>
        <w:t>13</w:t>
      </w:r>
      <w:r w:rsidR="004A29E0" w:rsidRPr="00BD2160">
        <w:rPr>
          <w:rFonts w:cs="Times New Roman"/>
        </w:rPr>
        <w:t>C</w:t>
      </w:r>
      <w:r w:rsidR="004A29E0" w:rsidRPr="00BD2160">
        <w:rPr>
          <w:rFonts w:cs="Times New Roman"/>
          <w:color w:val="000000" w:themeColor="text1"/>
        </w:rPr>
        <w:t xml:space="preserve"> </w:t>
      </w:r>
      <w:r w:rsidR="00BC3794">
        <w:rPr>
          <w:rFonts w:cs="Times New Roman"/>
          <w:color w:val="000000" w:themeColor="text1"/>
        </w:rPr>
        <w:t xml:space="preserve">(and </w:t>
      </w:r>
      <w:r w:rsidR="00A71FEC">
        <w:rPr>
          <w:rFonts w:cs="Times New Roman"/>
          <w:color w:val="000000" w:themeColor="text1"/>
        </w:rPr>
        <w:t xml:space="preserve">thus on </w:t>
      </w:r>
      <w:r w:rsidR="00BC3794" w:rsidRPr="00BD2160">
        <w:rPr>
          <w:rFonts w:cs="Times New Roman"/>
          <w:i/>
        </w:rPr>
        <w:t>c</w:t>
      </w:r>
      <w:r w:rsidR="00BC3794" w:rsidRPr="00BD2160">
        <w:rPr>
          <w:rFonts w:cs="Times New Roman"/>
          <w:vertAlign w:val="subscript"/>
        </w:rPr>
        <w:t>i</w:t>
      </w:r>
      <w:r w:rsidR="00BC3794" w:rsidRPr="00BD2160">
        <w:rPr>
          <w:rFonts w:cs="Times New Roman"/>
        </w:rPr>
        <w:t>/</w:t>
      </w:r>
      <w:r w:rsidR="00BC3794" w:rsidRPr="00BD2160">
        <w:rPr>
          <w:rFonts w:cs="Times New Roman"/>
          <w:i/>
        </w:rPr>
        <w:t>c</w:t>
      </w:r>
      <w:r w:rsidR="00BC3794" w:rsidRPr="00BD2160">
        <w:rPr>
          <w:rFonts w:cs="Times New Roman"/>
          <w:vertAlign w:val="subscript"/>
        </w:rPr>
        <w:t>a</w:t>
      </w:r>
      <w:r w:rsidR="00BC3794">
        <w:rPr>
          <w:rFonts w:cs="Times New Roman"/>
          <w:color w:val="000000" w:themeColor="text1"/>
        </w:rPr>
        <w:t xml:space="preserve">) </w:t>
      </w:r>
      <w:r w:rsidR="004A29E0" w:rsidRPr="00BD2160">
        <w:rPr>
          <w:rFonts w:cs="Times New Roman"/>
          <w:color w:val="000000" w:themeColor="text1"/>
        </w:rPr>
        <w:t xml:space="preserve">variations </w:t>
      </w:r>
      <w:r>
        <w:rPr>
          <w:rFonts w:cs="Times New Roman"/>
          <w:color w:val="000000" w:themeColor="text1"/>
        </w:rPr>
        <w:t>using</w:t>
      </w:r>
      <w:r w:rsidR="002C42B2">
        <w:rPr>
          <w:rFonts w:cs="Times New Roman"/>
          <w:color w:val="000000" w:themeColor="text1"/>
        </w:rPr>
        <w:t xml:space="preserve"> synthetic data</w:t>
      </w:r>
      <w:r w:rsidR="007E17B5" w:rsidRPr="00BD2160">
        <w:rPr>
          <w:rFonts w:cs="Times New Roman"/>
          <w:color w:val="000000" w:themeColor="text1"/>
        </w:rPr>
        <w:t xml:space="preserve"> </w:t>
      </w:r>
      <w:r w:rsidR="002C42B2">
        <w:rPr>
          <w:rFonts w:cs="Times New Roman"/>
          <w:color w:val="000000" w:themeColor="text1"/>
        </w:rPr>
        <w:t>(</w:t>
      </w:r>
      <w:r w:rsidR="007E17B5" w:rsidRPr="00BD2160">
        <w:rPr>
          <w:rFonts w:cs="Times New Roman"/>
          <w:color w:val="000000" w:themeColor="text1"/>
        </w:rPr>
        <w:t>Fig</w:t>
      </w:r>
      <w:r w:rsidR="00CF3E04">
        <w:rPr>
          <w:rFonts w:cs="Times New Roman"/>
          <w:color w:val="000000" w:themeColor="text1"/>
        </w:rPr>
        <w:t>.</w:t>
      </w:r>
      <w:r w:rsidR="007E17B5" w:rsidRPr="00BD2160">
        <w:rPr>
          <w:rFonts w:cs="Times New Roman"/>
          <w:color w:val="000000" w:themeColor="text1"/>
        </w:rPr>
        <w:t xml:space="preserve"> </w:t>
      </w:r>
      <w:r w:rsidR="00B11B89">
        <w:rPr>
          <w:rFonts w:cs="Times New Roman"/>
          <w:color w:val="000000" w:themeColor="text1"/>
        </w:rPr>
        <w:t>2</w:t>
      </w:r>
      <w:r w:rsidR="00CF3E04">
        <w:rPr>
          <w:rFonts w:cs="Times New Roman"/>
          <w:color w:val="000000" w:themeColor="text1"/>
        </w:rPr>
        <w:t>a</w:t>
      </w:r>
      <w:r w:rsidR="002C42B2">
        <w:rPr>
          <w:rFonts w:cs="Times New Roman"/>
          <w:color w:val="000000" w:themeColor="text1"/>
        </w:rPr>
        <w:t>)</w:t>
      </w:r>
      <w:r w:rsidR="007E17B5" w:rsidRPr="00BD2160">
        <w:rPr>
          <w:rFonts w:cs="Times New Roman"/>
          <w:color w:val="000000" w:themeColor="text1"/>
        </w:rPr>
        <w:t xml:space="preserve">. </w:t>
      </w:r>
      <w:r w:rsidR="00BC7E33">
        <w:rPr>
          <w:rFonts w:cs="Times New Roman"/>
          <w:color w:val="000000" w:themeColor="text1"/>
        </w:rPr>
        <w:t>When</w:t>
      </w:r>
      <w:r w:rsidR="00843881" w:rsidRPr="00BD2160">
        <w:rPr>
          <w:rFonts w:cs="Times New Roman"/>
          <w:color w:val="000000" w:themeColor="text1"/>
        </w:rPr>
        <w:t xml:space="preserve"> </w:t>
      </w:r>
      <w:r w:rsidR="00843881" w:rsidRPr="00BD2160">
        <w:rPr>
          <w:rFonts w:cs="Times New Roman"/>
          <w:i/>
          <w:color w:val="000000" w:themeColor="text1"/>
        </w:rPr>
        <w:t>c</w:t>
      </w:r>
      <w:r w:rsidR="00843881" w:rsidRPr="00BD2160">
        <w:rPr>
          <w:rFonts w:cs="Times New Roman"/>
          <w:color w:val="000000" w:themeColor="text1"/>
          <w:vertAlign w:val="subscript"/>
        </w:rPr>
        <w:t>i</w:t>
      </w:r>
      <w:r w:rsidR="00843881" w:rsidRPr="00BD2160">
        <w:rPr>
          <w:rFonts w:cs="Times New Roman"/>
          <w:color w:val="000000" w:themeColor="text1"/>
        </w:rPr>
        <w:t>/</w:t>
      </w:r>
      <w:r w:rsidR="00843881" w:rsidRPr="00BD2160">
        <w:rPr>
          <w:rFonts w:cs="Times New Roman"/>
          <w:i/>
          <w:color w:val="000000" w:themeColor="text1"/>
        </w:rPr>
        <w:t>c</w:t>
      </w:r>
      <w:r w:rsidR="00843881" w:rsidRPr="00BD2160">
        <w:rPr>
          <w:rFonts w:cs="Times New Roman"/>
          <w:color w:val="000000" w:themeColor="text1"/>
          <w:vertAlign w:val="subscript"/>
        </w:rPr>
        <w:t>a</w:t>
      </w:r>
      <w:r w:rsidR="00843881" w:rsidRPr="00BD2160">
        <w:rPr>
          <w:rFonts w:cs="Times New Roman"/>
          <w:color w:val="000000" w:themeColor="text1"/>
        </w:rPr>
        <w:t xml:space="preserve"> </w:t>
      </w:r>
      <w:r w:rsidR="00BC7E33">
        <w:rPr>
          <w:rFonts w:cs="Times New Roman"/>
          <w:color w:val="000000" w:themeColor="text1"/>
        </w:rPr>
        <w:t xml:space="preserve">remains constant over a range of </w:t>
      </w:r>
      <w:r w:rsidR="00BC7E33" w:rsidRPr="00BC7E33">
        <w:rPr>
          <w:rFonts w:cs="Times New Roman"/>
          <w:i/>
          <w:color w:val="000000" w:themeColor="text1"/>
        </w:rPr>
        <w:t>c</w:t>
      </w:r>
      <w:r w:rsidR="00BC7E33" w:rsidRPr="00BC7E33">
        <w:rPr>
          <w:rFonts w:cs="Times New Roman"/>
          <w:color w:val="000000" w:themeColor="text1"/>
          <w:vertAlign w:val="subscript"/>
        </w:rPr>
        <w:t>a</w:t>
      </w:r>
      <w:r w:rsidR="00843881" w:rsidRPr="00BD2160">
        <w:rPr>
          <w:rFonts w:cs="Times New Roman"/>
          <w:color w:val="000000" w:themeColor="text1"/>
        </w:rPr>
        <w:t>, a constant Δ</w:t>
      </w:r>
      <w:r w:rsidR="00843881" w:rsidRPr="00BD2160">
        <w:rPr>
          <w:rFonts w:cs="Times New Roman"/>
          <w:color w:val="000000" w:themeColor="text1"/>
          <w:vertAlign w:val="superscript"/>
        </w:rPr>
        <w:t>13</w:t>
      </w:r>
      <w:r w:rsidR="00843881" w:rsidRPr="00BD2160">
        <w:rPr>
          <w:rFonts w:cs="Times New Roman"/>
          <w:color w:val="000000" w:themeColor="text1"/>
        </w:rPr>
        <w:t xml:space="preserve">C with </w:t>
      </w:r>
      <w:r w:rsidR="00843881" w:rsidRPr="00BD2160">
        <w:rPr>
          <w:rFonts w:cs="Times New Roman"/>
          <w:i/>
          <w:color w:val="000000" w:themeColor="text1"/>
        </w:rPr>
        <w:t>c</w:t>
      </w:r>
      <w:r w:rsidR="00843881" w:rsidRPr="00BD2160">
        <w:rPr>
          <w:rFonts w:cs="Times New Roman"/>
          <w:color w:val="000000" w:themeColor="text1"/>
          <w:vertAlign w:val="subscript"/>
        </w:rPr>
        <w:t>a</w:t>
      </w:r>
      <w:r w:rsidR="00843881" w:rsidRPr="00BD2160">
        <w:rPr>
          <w:rFonts w:cs="Times New Roman"/>
          <w:color w:val="000000" w:themeColor="text1"/>
        </w:rPr>
        <w:t xml:space="preserve"> increase </w:t>
      </w:r>
      <w:r w:rsidR="001943D5">
        <w:rPr>
          <w:rFonts w:cs="Times New Roman"/>
          <w:color w:val="000000" w:themeColor="text1"/>
        </w:rPr>
        <w:t xml:space="preserve">is expected </w:t>
      </w:r>
      <w:r w:rsidR="00843881" w:rsidRPr="00BD2160">
        <w:rPr>
          <w:rFonts w:cs="Times New Roman"/>
          <w:color w:val="000000" w:themeColor="text1"/>
        </w:rPr>
        <w:t xml:space="preserve">according to </w:t>
      </w:r>
      <w:r w:rsidR="00415625">
        <w:rPr>
          <w:rFonts w:cs="Times New Roman"/>
          <w:color w:val="000000" w:themeColor="text1"/>
        </w:rPr>
        <w:t>equation (</w:t>
      </w:r>
      <w:r w:rsidR="006F2C87">
        <w:rPr>
          <w:rFonts w:cs="Times New Roman"/>
          <w:color w:val="000000" w:themeColor="text1"/>
        </w:rPr>
        <w:t>3</w:t>
      </w:r>
      <w:r w:rsidR="00415625">
        <w:rPr>
          <w:rFonts w:cs="Times New Roman"/>
          <w:color w:val="000000" w:themeColor="text1"/>
        </w:rPr>
        <w:t>)</w:t>
      </w:r>
      <w:r w:rsidR="00843881" w:rsidRPr="00BD2160">
        <w:rPr>
          <w:rFonts w:cs="Times New Roman"/>
          <w:color w:val="000000" w:themeColor="text1"/>
        </w:rPr>
        <w:t>, but a</w:t>
      </w:r>
      <w:r w:rsidR="006A45DA" w:rsidRPr="00BD2160">
        <w:rPr>
          <w:rFonts w:cs="Times New Roman"/>
          <w:color w:val="000000" w:themeColor="text1"/>
        </w:rPr>
        <w:t xml:space="preserve"> Δ</w:t>
      </w:r>
      <w:r w:rsidR="006A45DA" w:rsidRPr="00BD2160">
        <w:rPr>
          <w:rFonts w:cs="Times New Roman"/>
          <w:color w:val="000000" w:themeColor="text1"/>
          <w:vertAlign w:val="superscript"/>
        </w:rPr>
        <w:t>13</w:t>
      </w:r>
      <w:r w:rsidR="006A45DA" w:rsidRPr="00BD2160">
        <w:rPr>
          <w:rFonts w:cs="Times New Roman"/>
          <w:color w:val="000000" w:themeColor="text1"/>
        </w:rPr>
        <w:t>C</w:t>
      </w:r>
      <w:r w:rsidR="00843881" w:rsidRPr="00BD2160">
        <w:rPr>
          <w:rFonts w:cs="Times New Roman"/>
          <w:color w:val="000000" w:themeColor="text1"/>
        </w:rPr>
        <w:t xml:space="preserve"> increase </w:t>
      </w:r>
      <w:r w:rsidR="001943D5">
        <w:rPr>
          <w:rFonts w:cs="Times New Roman"/>
          <w:color w:val="000000" w:themeColor="text1"/>
        </w:rPr>
        <w:t xml:space="preserve">should be observed </w:t>
      </w:r>
      <w:r w:rsidR="00843881" w:rsidRPr="00BD2160">
        <w:rPr>
          <w:rFonts w:cs="Times New Roman"/>
          <w:color w:val="000000" w:themeColor="text1"/>
        </w:rPr>
        <w:t xml:space="preserve">following </w:t>
      </w:r>
      <w:r w:rsidR="00282DF7">
        <w:rPr>
          <w:rFonts w:cs="Times New Roman"/>
          <w:color w:val="000000" w:themeColor="text1"/>
        </w:rPr>
        <w:t>equation (11)</w:t>
      </w:r>
      <w:r w:rsidR="00843881" w:rsidRPr="00BD2160">
        <w:rPr>
          <w:rFonts w:cs="Times New Roman"/>
          <w:color w:val="000000" w:themeColor="text1"/>
        </w:rPr>
        <w:t xml:space="preserve">. </w:t>
      </w:r>
      <w:r w:rsidR="00504CA4">
        <w:rPr>
          <w:rFonts w:cs="Times New Roman"/>
          <w:color w:val="000000" w:themeColor="text1"/>
        </w:rPr>
        <w:t>R</w:t>
      </w:r>
      <w:r w:rsidR="00EE6FAB">
        <w:rPr>
          <w:rFonts w:cs="Times New Roman"/>
          <w:color w:val="000000" w:themeColor="text1"/>
        </w:rPr>
        <w:t xml:space="preserve">ising </w:t>
      </w:r>
      <w:r w:rsidR="00EE6FAB" w:rsidRPr="00BD2160">
        <w:rPr>
          <w:rFonts w:cs="Times New Roman"/>
          <w:i/>
          <w:color w:val="000000" w:themeColor="text1"/>
        </w:rPr>
        <w:t>c</w:t>
      </w:r>
      <w:r w:rsidR="00EE6FAB" w:rsidRPr="00BD2160">
        <w:rPr>
          <w:rFonts w:cs="Times New Roman"/>
          <w:color w:val="000000" w:themeColor="text1"/>
          <w:vertAlign w:val="subscript"/>
        </w:rPr>
        <w:t>a</w:t>
      </w:r>
      <w:r w:rsidR="00EE6FAB">
        <w:rPr>
          <w:rFonts w:cs="Times New Roman"/>
          <w:color w:val="000000" w:themeColor="text1"/>
        </w:rPr>
        <w:t xml:space="preserve"> under </w:t>
      </w:r>
      <w:r w:rsidR="00F911AD">
        <w:rPr>
          <w:rFonts w:cs="Times New Roman"/>
          <w:color w:val="000000" w:themeColor="text1"/>
        </w:rPr>
        <w:t>a</w:t>
      </w:r>
      <w:r w:rsidR="00963A18" w:rsidRPr="00BD2160">
        <w:rPr>
          <w:rFonts w:cs="Times New Roman"/>
          <w:color w:val="000000" w:themeColor="text1"/>
        </w:rPr>
        <w:t xml:space="preserve"> constant </w:t>
      </w:r>
      <w:r w:rsidR="00963A18" w:rsidRPr="00BD2160">
        <w:rPr>
          <w:rFonts w:cs="Times New Roman"/>
          <w:i/>
          <w:color w:val="000000" w:themeColor="text1"/>
        </w:rPr>
        <w:t>c</w:t>
      </w:r>
      <w:r w:rsidR="00963A18">
        <w:rPr>
          <w:rFonts w:cs="Times New Roman"/>
          <w:color w:val="000000" w:themeColor="text1"/>
          <w:vertAlign w:val="subscript"/>
        </w:rPr>
        <w:t>a</w:t>
      </w:r>
      <w:r w:rsidR="00860D12">
        <w:rPr>
          <w:rFonts w:cs="Times New Roman"/>
          <w:color w:val="000000" w:themeColor="text1"/>
        </w:rPr>
        <w:t xml:space="preserve"> – </w:t>
      </w:r>
      <w:r w:rsidR="00963A18" w:rsidRPr="00BD2160">
        <w:rPr>
          <w:rFonts w:cs="Times New Roman"/>
          <w:i/>
          <w:color w:val="000000" w:themeColor="text1"/>
        </w:rPr>
        <w:t>c</w:t>
      </w:r>
      <w:r w:rsidR="00963A18">
        <w:rPr>
          <w:rFonts w:cs="Times New Roman"/>
          <w:color w:val="000000" w:themeColor="text1"/>
          <w:vertAlign w:val="subscript"/>
        </w:rPr>
        <w:t>i</w:t>
      </w:r>
      <w:r w:rsidR="00963A18" w:rsidRPr="00BD2160">
        <w:rPr>
          <w:rFonts w:cs="Times New Roman"/>
          <w:color w:val="000000" w:themeColor="text1"/>
        </w:rPr>
        <w:t xml:space="preserve"> scenario </w:t>
      </w:r>
      <w:r w:rsidR="00AC2A74">
        <w:rPr>
          <w:rFonts w:cs="Times New Roman"/>
          <w:color w:val="000000" w:themeColor="text1"/>
        </w:rPr>
        <w:t>le</w:t>
      </w:r>
      <w:r w:rsidR="0076467E">
        <w:rPr>
          <w:rFonts w:cs="Times New Roman"/>
          <w:color w:val="000000" w:themeColor="text1"/>
        </w:rPr>
        <w:t>a</w:t>
      </w:r>
      <w:r w:rsidR="00AC2A74">
        <w:rPr>
          <w:rFonts w:cs="Times New Roman"/>
          <w:color w:val="000000" w:themeColor="text1"/>
        </w:rPr>
        <w:t>d</w:t>
      </w:r>
      <w:r w:rsidR="00860D12">
        <w:rPr>
          <w:rFonts w:cs="Times New Roman"/>
          <w:color w:val="000000" w:themeColor="text1"/>
        </w:rPr>
        <w:t>s</w:t>
      </w:r>
      <w:r w:rsidR="00AC2A74">
        <w:rPr>
          <w:rFonts w:cs="Times New Roman"/>
          <w:color w:val="000000" w:themeColor="text1"/>
        </w:rPr>
        <w:t xml:space="preserve"> </w:t>
      </w:r>
      <w:r w:rsidR="00436047">
        <w:rPr>
          <w:rFonts w:cs="Times New Roman"/>
          <w:color w:val="000000" w:themeColor="text1"/>
        </w:rPr>
        <w:t xml:space="preserve">to </w:t>
      </w:r>
      <w:r w:rsidR="00B52EF3">
        <w:rPr>
          <w:rFonts w:cs="Times New Roman"/>
          <w:color w:val="000000" w:themeColor="text1"/>
        </w:rPr>
        <w:t xml:space="preserve">a </w:t>
      </w:r>
      <w:r w:rsidR="00436047">
        <w:rPr>
          <w:rFonts w:cs="Times New Roman"/>
          <w:color w:val="000000" w:themeColor="text1"/>
        </w:rPr>
        <w:t xml:space="preserve">stronger increase in </w:t>
      </w:r>
      <w:r w:rsidR="00436047" w:rsidRPr="00BD2160">
        <w:rPr>
          <w:rFonts w:cs="Times New Roman"/>
          <w:color w:val="000000" w:themeColor="text1"/>
        </w:rPr>
        <w:t>Δ</w:t>
      </w:r>
      <w:r w:rsidR="00436047" w:rsidRPr="00BD2160">
        <w:rPr>
          <w:rFonts w:cs="Times New Roman"/>
          <w:color w:val="000000" w:themeColor="text1"/>
          <w:vertAlign w:val="superscript"/>
        </w:rPr>
        <w:t>13</w:t>
      </w:r>
      <w:r w:rsidR="00436047" w:rsidRPr="00BD2160">
        <w:rPr>
          <w:rFonts w:cs="Times New Roman"/>
          <w:color w:val="000000" w:themeColor="text1"/>
        </w:rPr>
        <w:t xml:space="preserve">C </w:t>
      </w:r>
      <w:r w:rsidR="00B52EF3">
        <w:rPr>
          <w:rFonts w:cs="Times New Roman"/>
          <w:color w:val="000000" w:themeColor="text1"/>
        </w:rPr>
        <w:t>us</w:t>
      </w:r>
      <w:r w:rsidR="00504CA4">
        <w:rPr>
          <w:rFonts w:cs="Times New Roman"/>
          <w:color w:val="000000" w:themeColor="text1"/>
        </w:rPr>
        <w:t xml:space="preserve">ing </w:t>
      </w:r>
      <w:r w:rsidR="00282DF7">
        <w:rPr>
          <w:rFonts w:cs="Times New Roman"/>
          <w:color w:val="000000" w:themeColor="text1"/>
        </w:rPr>
        <w:t>equation (11)</w:t>
      </w:r>
      <w:r w:rsidR="00156B5D">
        <w:rPr>
          <w:rFonts w:cs="Times New Roman"/>
          <w:color w:val="000000" w:themeColor="text1"/>
        </w:rPr>
        <w:t xml:space="preserve"> </w:t>
      </w:r>
      <w:r w:rsidR="00B52EF3">
        <w:rPr>
          <w:rFonts w:cs="Times New Roman"/>
          <w:color w:val="000000" w:themeColor="text1"/>
        </w:rPr>
        <w:t xml:space="preserve">rather </w:t>
      </w:r>
      <w:r w:rsidR="00282DF7">
        <w:rPr>
          <w:rFonts w:cs="Times New Roman"/>
          <w:color w:val="000000" w:themeColor="text1"/>
        </w:rPr>
        <w:t>than equation (</w:t>
      </w:r>
      <w:r w:rsidR="00CB0459">
        <w:rPr>
          <w:rFonts w:cs="Times New Roman"/>
          <w:color w:val="000000" w:themeColor="text1"/>
        </w:rPr>
        <w:t>3</w:t>
      </w:r>
      <w:r w:rsidR="00282DF7">
        <w:rPr>
          <w:rFonts w:cs="Times New Roman"/>
          <w:color w:val="000000" w:themeColor="text1"/>
        </w:rPr>
        <w:t>)</w:t>
      </w:r>
      <w:r w:rsidR="00895CE0">
        <w:rPr>
          <w:rFonts w:cs="Times New Roman"/>
          <w:color w:val="000000" w:themeColor="text1"/>
        </w:rPr>
        <w:t xml:space="preserve">. </w:t>
      </w:r>
      <w:r w:rsidR="00ED501E">
        <w:rPr>
          <w:rFonts w:cs="Times New Roman"/>
          <w:color w:val="000000" w:themeColor="text1"/>
        </w:rPr>
        <w:t>I</w:t>
      </w:r>
      <w:r w:rsidR="00B52EF3">
        <w:rPr>
          <w:rFonts w:cs="Times New Roman"/>
          <w:color w:val="000000" w:themeColor="text1"/>
        </w:rPr>
        <w:t>n contrast the magnitude of changes in</w:t>
      </w:r>
      <w:r w:rsidR="00ED501E">
        <w:rPr>
          <w:rFonts w:cs="Times New Roman"/>
          <w:color w:val="000000" w:themeColor="text1"/>
        </w:rPr>
        <w:t xml:space="preserve"> </w:t>
      </w:r>
      <w:r w:rsidR="00ED501E" w:rsidRPr="00BD2160">
        <w:rPr>
          <w:rFonts w:cs="Times New Roman"/>
          <w:color w:val="000000" w:themeColor="text1"/>
        </w:rPr>
        <w:t>Δ</w:t>
      </w:r>
      <w:r w:rsidR="00ED501E" w:rsidRPr="00BD2160">
        <w:rPr>
          <w:rFonts w:cs="Times New Roman"/>
          <w:color w:val="000000" w:themeColor="text1"/>
          <w:vertAlign w:val="superscript"/>
        </w:rPr>
        <w:t>13</w:t>
      </w:r>
      <w:r w:rsidR="00ED501E" w:rsidRPr="00BD2160">
        <w:rPr>
          <w:rFonts w:cs="Times New Roman"/>
          <w:color w:val="000000" w:themeColor="text1"/>
        </w:rPr>
        <w:t>C</w:t>
      </w:r>
      <w:r w:rsidR="00ED501E">
        <w:rPr>
          <w:rFonts w:cs="Times New Roman"/>
          <w:color w:val="000000" w:themeColor="text1"/>
        </w:rPr>
        <w:t xml:space="preserve"> </w:t>
      </w:r>
      <w:r w:rsidR="00ED501E" w:rsidRPr="00BD2160">
        <w:rPr>
          <w:rFonts w:cs="Times New Roman"/>
          <w:color w:val="000000" w:themeColor="text1"/>
        </w:rPr>
        <w:t xml:space="preserve">with </w:t>
      </w:r>
      <w:r w:rsidR="00ED501E" w:rsidRPr="00BE20AA">
        <w:rPr>
          <w:rFonts w:cs="Times New Roman"/>
          <w:i/>
          <w:color w:val="000000" w:themeColor="text1"/>
        </w:rPr>
        <w:t>c</w:t>
      </w:r>
      <w:r w:rsidR="00ED501E" w:rsidRPr="00BD2160">
        <w:rPr>
          <w:rFonts w:cs="Times New Roman"/>
          <w:color w:val="000000" w:themeColor="text1"/>
          <w:vertAlign w:val="subscript"/>
        </w:rPr>
        <w:t>a</w:t>
      </w:r>
      <w:r w:rsidR="00ED501E" w:rsidRPr="00BD2160">
        <w:rPr>
          <w:rFonts w:cs="Times New Roman"/>
          <w:color w:val="000000" w:themeColor="text1"/>
        </w:rPr>
        <w:t xml:space="preserve"> increase </w:t>
      </w:r>
      <w:r w:rsidR="00B52EF3">
        <w:rPr>
          <w:rFonts w:cs="Times New Roman"/>
          <w:color w:val="000000" w:themeColor="text1"/>
        </w:rPr>
        <w:t xml:space="preserve">is not significantly different for the two </w:t>
      </w:r>
      <w:r w:rsidR="00B52EF3" w:rsidRPr="00BD2160">
        <w:rPr>
          <w:rFonts w:cs="Times New Roman"/>
          <w:color w:val="000000" w:themeColor="text1"/>
        </w:rPr>
        <w:t>Δ</w:t>
      </w:r>
      <w:r w:rsidR="00B52EF3" w:rsidRPr="00BD2160">
        <w:rPr>
          <w:rFonts w:cs="Times New Roman"/>
          <w:color w:val="000000" w:themeColor="text1"/>
          <w:vertAlign w:val="superscript"/>
        </w:rPr>
        <w:t>13</w:t>
      </w:r>
      <w:r w:rsidR="00B52EF3" w:rsidRPr="00BD2160">
        <w:rPr>
          <w:rFonts w:cs="Times New Roman"/>
          <w:color w:val="000000" w:themeColor="text1"/>
        </w:rPr>
        <w:t>C</w:t>
      </w:r>
      <w:r w:rsidR="00B52EF3">
        <w:rPr>
          <w:rFonts w:cs="Times New Roman"/>
          <w:color w:val="000000" w:themeColor="text1"/>
        </w:rPr>
        <w:t xml:space="preserve"> models</w:t>
      </w:r>
      <w:r w:rsidR="00C0310B" w:rsidRPr="00BD2160">
        <w:rPr>
          <w:rFonts w:cs="Times New Roman"/>
          <w:color w:val="000000" w:themeColor="text1"/>
        </w:rPr>
        <w:t xml:space="preserve"> </w:t>
      </w:r>
      <w:r w:rsidR="00B52EF3">
        <w:rPr>
          <w:rFonts w:cs="Times New Roman"/>
          <w:color w:val="000000" w:themeColor="text1"/>
        </w:rPr>
        <w:t>in the case</w:t>
      </w:r>
      <w:r w:rsidR="00B52EF3" w:rsidRPr="00BD2160">
        <w:rPr>
          <w:rFonts w:cs="Times New Roman"/>
          <w:color w:val="000000" w:themeColor="text1"/>
        </w:rPr>
        <w:t xml:space="preserve"> </w:t>
      </w:r>
      <w:r w:rsidR="00B52EF3" w:rsidRPr="00BD2160">
        <w:rPr>
          <w:rFonts w:cs="Times New Roman"/>
          <w:i/>
          <w:color w:val="000000" w:themeColor="text1"/>
        </w:rPr>
        <w:t>c</w:t>
      </w:r>
      <w:r w:rsidR="00B52EF3">
        <w:rPr>
          <w:rFonts w:cs="Times New Roman"/>
          <w:color w:val="000000" w:themeColor="text1"/>
          <w:vertAlign w:val="subscript"/>
        </w:rPr>
        <w:t>i</w:t>
      </w:r>
      <w:r w:rsidR="00B52EF3">
        <w:rPr>
          <w:rFonts w:cs="Times New Roman"/>
          <w:color w:val="000000" w:themeColor="text1"/>
        </w:rPr>
        <w:t xml:space="preserve"> remains constant</w:t>
      </w:r>
      <w:r w:rsidR="00A47624">
        <w:rPr>
          <w:rFonts w:cs="Times New Roman"/>
          <w:color w:val="000000" w:themeColor="text1"/>
        </w:rPr>
        <w:t>.</w:t>
      </w:r>
      <w:r w:rsidR="00B52EF3">
        <w:rPr>
          <w:rFonts w:cs="Times New Roman"/>
          <w:color w:val="000000" w:themeColor="text1"/>
        </w:rPr>
        <w:t xml:space="preserve"> </w:t>
      </w:r>
      <w:r w:rsidR="009C5743">
        <w:rPr>
          <w:rFonts w:cs="Times New Roman"/>
          <w:color w:val="000000" w:themeColor="text1"/>
        </w:rPr>
        <w:t>N</w:t>
      </w:r>
      <w:r w:rsidR="00C0310B" w:rsidRPr="00BD2160">
        <w:rPr>
          <w:rFonts w:cs="Times New Roman"/>
        </w:rPr>
        <w:t xml:space="preserve">eglecting </w:t>
      </w:r>
      <w:r w:rsidR="00A47624">
        <w:rPr>
          <w:rFonts w:cs="Times New Roman"/>
        </w:rPr>
        <w:t xml:space="preserve">the </w:t>
      </w:r>
      <w:r w:rsidR="009C5743">
        <w:rPr>
          <w:rFonts w:cs="Times New Roman"/>
        </w:rPr>
        <w:t>photorespiration term</w:t>
      </w:r>
      <w:r w:rsidR="00DF76C7">
        <w:rPr>
          <w:rFonts w:cs="Times New Roman"/>
        </w:rPr>
        <w:t xml:space="preserve"> </w:t>
      </w:r>
      <w:r w:rsidR="00A47624">
        <w:rPr>
          <w:rFonts w:cs="Times New Roman"/>
        </w:rPr>
        <w:t>(-</w:t>
      </w:r>
      <w:r w:rsidR="00A47624" w:rsidRPr="00A47624">
        <w:rPr>
          <w:rFonts w:cs="Times New Roman"/>
          <w:i/>
        </w:rPr>
        <w:t>f</w:t>
      </w:r>
      <w:r w:rsidR="00A47624" w:rsidRPr="00BD2160">
        <w:rPr>
          <w:rFonts w:cs="Times New Roman"/>
        </w:rPr>
        <w:t>Γ*</w:t>
      </w:r>
      <w:r w:rsidR="00A47624">
        <w:rPr>
          <w:rFonts w:cs="Times New Roman"/>
        </w:rPr>
        <w:t>/</w:t>
      </w:r>
      <w:r w:rsidR="00A47624" w:rsidRPr="00BE20AA">
        <w:rPr>
          <w:rFonts w:cs="Times New Roman"/>
          <w:i/>
          <w:color w:val="000000" w:themeColor="text1"/>
        </w:rPr>
        <w:t>c</w:t>
      </w:r>
      <w:r w:rsidR="00A47624" w:rsidRPr="00BD2160">
        <w:rPr>
          <w:rFonts w:cs="Times New Roman"/>
          <w:color w:val="000000" w:themeColor="text1"/>
          <w:vertAlign w:val="subscript"/>
        </w:rPr>
        <w:t>a</w:t>
      </w:r>
      <w:r w:rsidR="00A47624">
        <w:rPr>
          <w:rFonts w:cs="Times New Roman"/>
        </w:rPr>
        <w:t xml:space="preserve">) </w:t>
      </w:r>
      <w:r w:rsidR="009C5743">
        <w:rPr>
          <w:rFonts w:cs="Times New Roman"/>
        </w:rPr>
        <w:t>in the</w:t>
      </w:r>
      <w:r w:rsidR="00C0310B" w:rsidRPr="00BD2160">
        <w:rPr>
          <w:rFonts w:cs="Times New Roman"/>
        </w:rPr>
        <w:t xml:space="preserve"> </w:t>
      </w:r>
      <w:r w:rsidR="009C5743">
        <w:rPr>
          <w:rFonts w:cs="Times New Roman"/>
        </w:rPr>
        <w:t xml:space="preserve">discrimination model </w:t>
      </w:r>
      <w:r w:rsidR="00C0310B" w:rsidRPr="00BD2160">
        <w:rPr>
          <w:rFonts w:cs="Times New Roman"/>
        </w:rPr>
        <w:t>m</w:t>
      </w:r>
      <w:r w:rsidR="00F068BF">
        <w:rPr>
          <w:rFonts w:cs="Times New Roman"/>
        </w:rPr>
        <w:t>ay</w:t>
      </w:r>
      <w:r w:rsidR="00C0310B" w:rsidRPr="00BD2160">
        <w:rPr>
          <w:rFonts w:cs="Times New Roman"/>
        </w:rPr>
        <w:t xml:space="preserve"> </w:t>
      </w:r>
      <w:r w:rsidR="00814606">
        <w:rPr>
          <w:rFonts w:cs="Times New Roman"/>
        </w:rPr>
        <w:t xml:space="preserve">thus </w:t>
      </w:r>
      <w:r w:rsidR="00C0310B" w:rsidRPr="00BD2160">
        <w:rPr>
          <w:rFonts w:cs="Times New Roman"/>
        </w:rPr>
        <w:t xml:space="preserve">lead to </w:t>
      </w:r>
      <w:r w:rsidR="009C5743" w:rsidRPr="00BD2160">
        <w:rPr>
          <w:rFonts w:cs="Times New Roman"/>
        </w:rPr>
        <w:t>misinterpret</w:t>
      </w:r>
      <w:r w:rsidR="00860D12">
        <w:rPr>
          <w:rFonts w:cs="Times New Roman"/>
        </w:rPr>
        <w:t>ati</w:t>
      </w:r>
      <w:r w:rsidR="0013406A">
        <w:rPr>
          <w:rFonts w:cs="Times New Roman"/>
        </w:rPr>
        <w:t>on of</w:t>
      </w:r>
      <w:r w:rsidR="00860D12">
        <w:rPr>
          <w:rFonts w:cs="Times New Roman"/>
        </w:rPr>
        <w:t xml:space="preserve"> how</w:t>
      </w:r>
      <w:r w:rsidR="009C5743" w:rsidRPr="00BD2160">
        <w:rPr>
          <w:rFonts w:cs="Times New Roman"/>
        </w:rPr>
        <w:t xml:space="preserve"> leaf gas</w:t>
      </w:r>
      <w:r w:rsidR="0040616B">
        <w:rPr>
          <w:rFonts w:cs="Times New Roman"/>
        </w:rPr>
        <w:t>-</w:t>
      </w:r>
      <w:r w:rsidR="009C5743" w:rsidRPr="00BD2160">
        <w:rPr>
          <w:rFonts w:cs="Times New Roman"/>
        </w:rPr>
        <w:t xml:space="preserve">exchange strategies </w:t>
      </w:r>
      <w:r w:rsidR="00860D12">
        <w:rPr>
          <w:rFonts w:cs="Times New Roman"/>
        </w:rPr>
        <w:t xml:space="preserve">vary </w:t>
      </w:r>
      <w:r w:rsidR="009C5743" w:rsidRPr="00BD2160">
        <w:rPr>
          <w:rFonts w:cs="Times New Roman"/>
        </w:rPr>
        <w:t xml:space="preserve">with changing </w:t>
      </w:r>
      <w:r w:rsidR="009C5743" w:rsidRPr="00BD2160">
        <w:rPr>
          <w:rFonts w:cs="Times New Roman"/>
          <w:i/>
        </w:rPr>
        <w:t>c</w:t>
      </w:r>
      <w:r w:rsidR="009C5743" w:rsidRPr="00BD2160">
        <w:rPr>
          <w:rFonts w:cs="Times New Roman"/>
          <w:vertAlign w:val="subscript"/>
        </w:rPr>
        <w:t>a</w:t>
      </w:r>
      <w:r w:rsidR="009C5743" w:rsidRPr="00BD2160">
        <w:rPr>
          <w:rFonts w:cs="Times New Roman"/>
        </w:rPr>
        <w:t xml:space="preserve"> levels</w:t>
      </w:r>
      <w:r w:rsidR="009C5743">
        <w:rPr>
          <w:rFonts w:cs="Times New Roman"/>
        </w:rPr>
        <w:t>.</w:t>
      </w:r>
      <w:r w:rsidR="00872DF5">
        <w:rPr>
          <w:rFonts w:cs="Times New Roman"/>
        </w:rPr>
        <w:t xml:space="preserve"> </w:t>
      </w:r>
      <w:r w:rsidR="008B1F6B">
        <w:rPr>
          <w:rFonts w:cs="Times New Roman"/>
        </w:rPr>
        <w:t>In the example, t</w:t>
      </w:r>
      <w:r w:rsidR="00973008" w:rsidRPr="00A15EE0">
        <w:rPr>
          <w:lang w:val="en-GB"/>
        </w:rPr>
        <w:t>he photorespiration term contribut</w:t>
      </w:r>
      <w:r w:rsidR="00973008">
        <w:rPr>
          <w:lang w:val="en-GB"/>
        </w:rPr>
        <w:t>e</w:t>
      </w:r>
      <w:r w:rsidR="00F2707F">
        <w:rPr>
          <w:lang w:val="en-GB"/>
        </w:rPr>
        <w:t>s</w:t>
      </w:r>
      <w:r w:rsidR="00973008" w:rsidRPr="00A15EE0">
        <w:rPr>
          <w:lang w:val="en-GB"/>
        </w:rPr>
        <w:t xml:space="preserve"> to increase </w:t>
      </w:r>
      <w:r w:rsidR="00973008" w:rsidRPr="00BD2160">
        <w:rPr>
          <w:rFonts w:cs="Times New Roman"/>
          <w:color w:val="000000" w:themeColor="text1"/>
        </w:rPr>
        <w:t>Δ</w:t>
      </w:r>
      <w:r w:rsidR="00973008" w:rsidRPr="00BD2160">
        <w:rPr>
          <w:rFonts w:cs="Times New Roman"/>
          <w:color w:val="000000" w:themeColor="text1"/>
          <w:vertAlign w:val="superscript"/>
        </w:rPr>
        <w:t>13</w:t>
      </w:r>
      <w:r w:rsidR="00973008" w:rsidRPr="00BD2160">
        <w:rPr>
          <w:rFonts w:cs="Times New Roman"/>
          <w:color w:val="000000" w:themeColor="text1"/>
        </w:rPr>
        <w:t>C</w:t>
      </w:r>
      <w:r w:rsidR="00973008" w:rsidRPr="00A15EE0">
        <w:rPr>
          <w:lang w:val="en-GB"/>
        </w:rPr>
        <w:t xml:space="preserve"> with </w:t>
      </w:r>
      <w:r w:rsidR="00973008" w:rsidRPr="00A15EE0">
        <w:rPr>
          <w:i/>
          <w:lang w:val="en-GB"/>
        </w:rPr>
        <w:t>c</w:t>
      </w:r>
      <w:r w:rsidR="00973008" w:rsidRPr="00A15EE0">
        <w:rPr>
          <w:vertAlign w:val="subscript"/>
          <w:lang w:val="en-GB"/>
        </w:rPr>
        <w:t>a</w:t>
      </w:r>
      <w:r w:rsidR="00973008">
        <w:rPr>
          <w:vertAlign w:val="subscript"/>
          <w:lang w:val="en-GB"/>
        </w:rPr>
        <w:t xml:space="preserve"> </w:t>
      </w:r>
      <w:r w:rsidR="002A796B" w:rsidRPr="00A15EE0">
        <w:rPr>
          <w:lang w:val="en-GB"/>
        </w:rPr>
        <w:t>ris</w:t>
      </w:r>
      <w:r w:rsidR="002A796B">
        <w:rPr>
          <w:lang w:val="en-GB"/>
        </w:rPr>
        <w:t xml:space="preserve">e </w:t>
      </w:r>
      <w:r w:rsidR="00F2707F">
        <w:rPr>
          <w:lang w:val="en-GB"/>
        </w:rPr>
        <w:t>by</w:t>
      </w:r>
      <w:r w:rsidR="004A5ACD" w:rsidRPr="00A15EE0">
        <w:rPr>
          <w:lang w:val="en-GB"/>
        </w:rPr>
        <w:t xml:space="preserve"> </w:t>
      </w:r>
      <w:r w:rsidR="00C449FC" w:rsidRPr="00A15EE0">
        <w:rPr>
          <w:lang w:val="en-GB"/>
        </w:rPr>
        <w:t>0.</w:t>
      </w:r>
      <w:r w:rsidR="001346DE" w:rsidRPr="00A15EE0">
        <w:rPr>
          <w:lang w:val="en-GB"/>
        </w:rPr>
        <w:t>00</w:t>
      </w:r>
      <w:r w:rsidR="001346DE">
        <w:rPr>
          <w:lang w:val="en-GB"/>
        </w:rPr>
        <w:t>4</w:t>
      </w:r>
      <w:r w:rsidR="00C449FC" w:rsidRPr="00A15EE0">
        <w:rPr>
          <w:lang w:val="en-GB"/>
        </w:rPr>
        <w:t>‰ ppm</w:t>
      </w:r>
      <w:r w:rsidR="00C449FC" w:rsidRPr="00A15EE0">
        <w:rPr>
          <w:vertAlign w:val="superscript"/>
          <w:lang w:val="en-GB"/>
        </w:rPr>
        <w:t>-1</w:t>
      </w:r>
      <w:r w:rsidR="00C449FC">
        <w:rPr>
          <w:lang w:val="en-GB"/>
        </w:rPr>
        <w:t xml:space="preserve"> over the range of 285 to 400 ppm</w:t>
      </w:r>
      <w:r w:rsidR="00F2707F">
        <w:rPr>
          <w:lang w:val="en-GB"/>
        </w:rPr>
        <w:t>, in a scenario</w:t>
      </w:r>
      <w:r w:rsidR="00454F9A">
        <w:rPr>
          <w:lang w:val="en-GB"/>
        </w:rPr>
        <w:t xml:space="preserve"> </w:t>
      </w:r>
      <w:r w:rsidR="00F2707F">
        <w:rPr>
          <w:lang w:val="en-GB"/>
        </w:rPr>
        <w:t>of constant</w:t>
      </w:r>
      <w:r w:rsidR="004A5ACD" w:rsidRPr="00A15EE0">
        <w:rPr>
          <w:lang w:val="en-GB"/>
        </w:rPr>
        <w:t xml:space="preserve"> </w:t>
      </w:r>
      <w:r w:rsidR="004A5ACD" w:rsidRPr="00A15EE0">
        <w:rPr>
          <w:i/>
          <w:lang w:val="en-GB"/>
        </w:rPr>
        <w:t>c</w:t>
      </w:r>
      <w:r w:rsidR="004A5ACD" w:rsidRPr="00A15EE0">
        <w:rPr>
          <w:vertAlign w:val="subscript"/>
          <w:lang w:val="en-GB"/>
        </w:rPr>
        <w:t>i</w:t>
      </w:r>
      <w:r w:rsidR="004A5ACD" w:rsidRPr="00A15EE0">
        <w:rPr>
          <w:lang w:val="en-GB"/>
        </w:rPr>
        <w:t>/</w:t>
      </w:r>
      <w:r w:rsidR="004A5ACD" w:rsidRPr="00A15EE0">
        <w:rPr>
          <w:i/>
          <w:lang w:val="en-GB"/>
        </w:rPr>
        <w:t>c</w:t>
      </w:r>
      <w:r w:rsidR="004A5ACD" w:rsidRPr="00A15EE0">
        <w:rPr>
          <w:vertAlign w:val="subscript"/>
          <w:lang w:val="en-GB"/>
        </w:rPr>
        <w:t>a</w:t>
      </w:r>
      <w:r w:rsidR="000C327A">
        <w:rPr>
          <w:lang w:val="en-GB"/>
        </w:rPr>
        <w:t xml:space="preserve">, which is </w:t>
      </w:r>
      <w:r w:rsidR="000C327A">
        <w:t>within the range of variability measured in C</w:t>
      </w:r>
      <w:r w:rsidR="000C327A" w:rsidRPr="005F3D37">
        <w:rPr>
          <w:vertAlign w:val="subscript"/>
        </w:rPr>
        <w:t>3</w:t>
      </w:r>
      <w:r w:rsidR="000C327A">
        <w:t xml:space="preserve"> plants </w:t>
      </w:r>
      <w:r w:rsidR="000C327A">
        <w:fldChar w:fldCharType="begin" w:fldLock="1"/>
      </w:r>
      <w:r w:rsidR="000C327A">
        <w:instrText>ADDIN CSL_CITATION {"citationItems":[{"id":"ITEM-1","itemData":{"DOI":"10.1016/j.earscirev.2017.12.008","ISSN":"00128252","abstract":"Paleoclimate reconstruction from the carbon stable isotopes in fossilized terrestrial organic matter relies upon a simple relationship between isotope discrimination and photosynthetic rate or leaf stomatal conductance (ci/ca). The carbon in plant tissues, however, represents the net carbon gained during photosynthesis, i.e., the balance of carbon gained through the stomata minus the carbon lost via photorespiration and respiration. While carbon isotope discrimination during respiration is negligible,13C discrimination during photorespiration can change plant isotope composition by several per mil. Our analysis of 123 Arabidopsis thaliana plants grown under a large range of subambient-to-highly-elevated pCO2revealed a positive response between carbon isotope discrimination and pCO2that was both consistent with the theoretical estimate for photorespiration and mathematically independent of ci/ca. Studies that seek to reconstruct climate records from plant-derived substrates must account for changes in atmospheric pCO2when attributing isotopic shifts to changes in photosynthetic rate or stomatal conductance driven by environmental conditions.","author":[{"dropping-particle":"","family":"Schubert","given":"Brian A","non-dropping-particle":"","parse-names":false,"suffix":""},{"dropping-particle":"","family":"Jahren","given":"A. Hope","non-dropping-particle":"","parse-names":false,"suffix":""}],"container-title":"Earth-Science Reviews","id":"ITEM-1","issued":{"date-parts":[["2018"]]},"page":"637-642","title":"Incorporating the effects of photorespiration into terrestrial paleoclimate reconstruction","type":"article-journal","volume":"177"},"uris":["http://www.mendeley.com/documents/?uuid=d47dc9da-5b72-4dd3-947c-60821f1b8c35"]}],"mendeley":{"formattedCitation":"(Schubert &amp; Jahren, 2018)","plainTextFormattedCitation":"(Schubert &amp; Jahren, 2018)","previouslyFormattedCitation":"(Schubert &amp; Jahren, 2018)"},"properties":{"noteIndex":0},"schema":"https://github.com/citation-style-language/schema/raw/master/csl-citation.json"}</w:instrText>
      </w:r>
      <w:r w:rsidR="000C327A">
        <w:fldChar w:fldCharType="separate"/>
      </w:r>
      <w:r w:rsidR="000C327A" w:rsidRPr="006B1002">
        <w:rPr>
          <w:noProof/>
        </w:rPr>
        <w:t>(Schubert &amp; Jahren, 2018)</w:t>
      </w:r>
      <w:r w:rsidR="000C327A">
        <w:fldChar w:fldCharType="end"/>
      </w:r>
      <w:r w:rsidR="000C327A">
        <w:t>.</w:t>
      </w:r>
      <w:r w:rsidR="00491FC8">
        <w:rPr>
          <w:lang w:val="en-GB"/>
        </w:rPr>
        <w:t xml:space="preserve"> </w:t>
      </w:r>
      <w:r w:rsidR="004B67E0">
        <w:rPr>
          <w:rFonts w:cs="Times New Roman"/>
        </w:rPr>
        <w:t>T</w:t>
      </w:r>
      <w:r w:rsidR="0042051E" w:rsidRPr="005F26AD">
        <w:rPr>
          <w:lang w:val="en-GB"/>
        </w:rPr>
        <w:t>he</w:t>
      </w:r>
      <w:r w:rsidR="0042051E">
        <w:rPr>
          <w:lang w:val="en-GB"/>
        </w:rPr>
        <w:t xml:space="preserve"> trend in </w:t>
      </w:r>
      <w:r w:rsidR="006440FA" w:rsidRPr="00BD2160">
        <w:rPr>
          <w:rFonts w:cs="Times New Roman"/>
        </w:rPr>
        <w:t>iWUE</w:t>
      </w:r>
      <w:r w:rsidR="006440FA" w:rsidRPr="001B08EE">
        <w:rPr>
          <w:rFonts w:cs="Times New Roman"/>
          <w:vertAlign w:val="superscript"/>
        </w:rPr>
        <w:t>l</w:t>
      </w:r>
      <w:r w:rsidR="006440FA">
        <w:rPr>
          <w:rFonts w:cs="Times New Roman"/>
          <w:vertAlign w:val="superscript"/>
        </w:rPr>
        <w:t>eaf</w:t>
      </w:r>
      <w:r w:rsidR="0042051E">
        <w:rPr>
          <w:lang w:val="en-GB"/>
        </w:rPr>
        <w:t xml:space="preserve"> tend</w:t>
      </w:r>
      <w:r w:rsidR="00653E2E">
        <w:rPr>
          <w:lang w:val="en-GB"/>
        </w:rPr>
        <w:t>ed</w:t>
      </w:r>
      <w:r w:rsidR="0042051E">
        <w:rPr>
          <w:lang w:val="en-GB"/>
        </w:rPr>
        <w:t xml:space="preserve"> to be </w:t>
      </w:r>
      <w:r w:rsidR="008468BE">
        <w:rPr>
          <w:lang w:val="en-GB"/>
        </w:rPr>
        <w:t xml:space="preserve">higher </w:t>
      </w:r>
      <w:r w:rsidR="0042051E">
        <w:rPr>
          <w:lang w:val="en-GB"/>
        </w:rPr>
        <w:t xml:space="preserve">using </w:t>
      </w:r>
      <w:r w:rsidR="007325B3">
        <w:rPr>
          <w:lang w:val="en-GB"/>
        </w:rPr>
        <w:t>equation (11)</w:t>
      </w:r>
      <w:r w:rsidR="00697FF6">
        <w:rPr>
          <w:lang w:val="en-GB"/>
        </w:rPr>
        <w:t xml:space="preserve"> </w:t>
      </w:r>
      <w:r w:rsidR="004C646C">
        <w:rPr>
          <w:lang w:val="en-GB"/>
        </w:rPr>
        <w:t>than</w:t>
      </w:r>
      <w:r w:rsidR="00697FF6">
        <w:rPr>
          <w:lang w:val="en-GB"/>
        </w:rPr>
        <w:t xml:space="preserve"> </w:t>
      </w:r>
      <w:r w:rsidR="007325B3">
        <w:rPr>
          <w:lang w:val="en-GB"/>
        </w:rPr>
        <w:t>equation (</w:t>
      </w:r>
      <w:r w:rsidR="00D52EC9">
        <w:rPr>
          <w:lang w:val="en-GB"/>
        </w:rPr>
        <w:t>3</w:t>
      </w:r>
      <w:r w:rsidR="007325B3">
        <w:rPr>
          <w:lang w:val="en-GB"/>
        </w:rPr>
        <w:t>)</w:t>
      </w:r>
      <w:r w:rsidR="00B12C5F">
        <w:rPr>
          <w:lang w:val="en-GB"/>
        </w:rPr>
        <w:t xml:space="preserve"> </w:t>
      </w:r>
      <w:r w:rsidR="004B67E0">
        <w:rPr>
          <w:lang w:val="en-GB"/>
        </w:rPr>
        <w:t>for a same</w:t>
      </w:r>
      <w:r w:rsidR="004B67E0" w:rsidRPr="00BD2160">
        <w:rPr>
          <w:rFonts w:cs="Times New Roman"/>
          <w:color w:val="000000" w:themeColor="text1"/>
        </w:rPr>
        <w:t xml:space="preserve"> </w:t>
      </w:r>
      <w:r w:rsidR="004B67E0" w:rsidRPr="005F26AD">
        <w:rPr>
          <w:rFonts w:cs="Times New Roman"/>
          <w:color w:val="000000" w:themeColor="text1"/>
        </w:rPr>
        <w:t>Δ</w:t>
      </w:r>
      <w:r w:rsidR="004B67E0" w:rsidRPr="005F26AD">
        <w:rPr>
          <w:rFonts w:cs="Times New Roman"/>
          <w:color w:val="000000" w:themeColor="text1"/>
          <w:vertAlign w:val="superscript"/>
        </w:rPr>
        <w:t>13</w:t>
      </w:r>
      <w:r w:rsidR="004B67E0" w:rsidRPr="005F26AD">
        <w:rPr>
          <w:rFonts w:cs="Times New Roman"/>
          <w:color w:val="000000" w:themeColor="text1"/>
        </w:rPr>
        <w:t>C</w:t>
      </w:r>
      <w:r w:rsidR="004B67E0" w:rsidRPr="005F26AD">
        <w:rPr>
          <w:rFonts w:cs="Times New Roman"/>
        </w:rPr>
        <w:t xml:space="preserve"> </w:t>
      </w:r>
      <w:r w:rsidR="00B12C5F">
        <w:rPr>
          <w:lang w:val="en-GB"/>
        </w:rPr>
        <w:t>(Fig</w:t>
      </w:r>
      <w:r w:rsidR="00463A48">
        <w:rPr>
          <w:lang w:val="en-GB"/>
        </w:rPr>
        <w:t>.</w:t>
      </w:r>
      <w:r w:rsidR="00B12C5F">
        <w:rPr>
          <w:lang w:val="en-GB"/>
        </w:rPr>
        <w:t xml:space="preserve"> 2</w:t>
      </w:r>
      <w:r w:rsidR="00463A48">
        <w:rPr>
          <w:lang w:val="en-GB"/>
        </w:rPr>
        <w:t>b</w:t>
      </w:r>
      <w:r w:rsidR="00B12C5F">
        <w:rPr>
          <w:lang w:val="en-GB"/>
        </w:rPr>
        <w:t>)</w:t>
      </w:r>
      <w:r w:rsidR="00F35155">
        <w:rPr>
          <w:lang w:val="en-GB"/>
        </w:rPr>
        <w:t>, in agreement with</w:t>
      </w:r>
      <w:r w:rsidR="001A267E">
        <w:rPr>
          <w:lang w:val="en-GB"/>
        </w:rPr>
        <w:t xml:space="preserve"> </w:t>
      </w:r>
      <w:r w:rsidR="001A267E">
        <w:rPr>
          <w:lang w:val="en-GB"/>
        </w:rPr>
        <w:fldChar w:fldCharType="begin" w:fldLock="1"/>
      </w:r>
      <w:r w:rsidR="000139B4">
        <w:rPr>
          <w:lang w:val="en-GB"/>
        </w:rPr>
        <w:instrText>ADDIN CSL_CITATION {"citationItems":[{"id":"ITEM-1","itemData":{"DOI":"10.1073/pnas.1619240114","ISBN":"1619240114","ISSN":"0027-8424","PMID":"28893986","abstract":"A decrease in the (13)C/(12)C ratio of atmospheric CO2 has been documented by direct observations since 1978 and from ice core measurements since the industrial revolution. This decrease, known as the (13)C-Suess effect, is driven primarily by the input of fossil fuel-derived CO2 but is also sensitive to land and ocean carbon cycling and uptake. Using updated records, we show that no plausible combination of sources and sinks of CO2 from fossil fuel, land, and oceans can explain the observed (13)C-Suess effect unless an increase has occurred in the (13)C/(12)C isotopic discrimination of land photosynthesis. A trend toward greater discrimination under higher CO2 levels is broadly consistent with tree ring studies over the past century, with field and chamber experiments, and with geological records of C3 plants at times of altered atmospheric CO2, but increasing discrimination has not previously been included in studies of long-term atmospheric (13)C/(12)C measurements. We further show that the inferred discrimination increase of 0.014 ± 0.007‰ ppm(-1) is largely explained by photorespiratory and mesophyll effects. This result implies that, at the global scale, land plants have regulated their stomatal conductance so as to allow the CO2 partial pressure within stomatal cavities and their intrinsic water use efficiency to increase in nearly constant proportion to the rise in atmospheric CO2 concentration.","author":[{"dropping-particle":"","family":"Keeling","given":"Ralph F.","non-dropping-particle":"","parse-names":false,"suffix":""},{"dropping-particle":"","family":"Graven","given":"Heather D.","non-dropping-particle":"","parse-names":false,"suffix":""},{"dropping-particle":"","family":"Welp","given":"Lisa R.","non-dropping-particle":"","parse-names":false,"suffix":""},{"dropping-particle":"","family":"Resplandy","given":"Laure","non-dropping-particle":"","parse-names":false,"suffix":""},{"dropping-particle":"","family":"Bi","given":"Jian","non-dropping-particle":"","parse-names":false,"suffix":""},{"dropping-particle":"","family":"Piper","given":"Stephen C.","non-dropping-particle":"","parse-names":false,"suffix":""},{"dropping-particle":"","family":"Sun","given":"Ying","non-dropping-particle":"","parse-names":false,"suffix":""},{"dropping-particle":"","family":"Bollenbacher","given":"Alane","non-dropping-particle":"","parse-names":false,"suffix":""},{"dropping-particle":"","family":"Meijer","given":"Harro A. J.","non-dropping-particle":"","parse-names":false,"suffix":""}],"container-title":"Proceedings of the National Academy of Sciences","id":"ITEM-1","issue":"39","issued":{"date-parts":[["2017","9","26"]]},"page":"10361-10366","title":"Atmospheric evidence for a global secular increase in carbon isotopic discrimination of land photosynthesis","type":"article-journal","volume":"114"},"uris":["http://www.mendeley.com/documents/?uuid=dee6d3c8-fc3b-4e2f-a86d-eb1072c684c7"]}],"mendeley":{"formattedCitation":"(Keeling et al., 2017)","manualFormatting":"Keeling et al. (2017)","plainTextFormattedCitation":"(Keeling et al., 2017)","previouslyFormattedCitation":"(Keeling et al., 2017)"},"properties":{"noteIndex":0},"schema":"https://github.com/citation-style-language/schema/raw/master/csl-citation.json"}</w:instrText>
      </w:r>
      <w:r w:rsidR="001A267E">
        <w:rPr>
          <w:lang w:val="en-GB"/>
        </w:rPr>
        <w:fldChar w:fldCharType="separate"/>
      </w:r>
      <w:r w:rsidR="001A267E" w:rsidRPr="001A267E">
        <w:rPr>
          <w:noProof/>
          <w:lang w:val="en-GB"/>
        </w:rPr>
        <w:t xml:space="preserve">Keeling et al. </w:t>
      </w:r>
      <w:r w:rsidR="00921654">
        <w:rPr>
          <w:noProof/>
          <w:lang w:val="en-GB"/>
        </w:rPr>
        <w:t>(</w:t>
      </w:r>
      <w:r w:rsidR="001A267E" w:rsidRPr="001A267E">
        <w:rPr>
          <w:noProof/>
          <w:lang w:val="en-GB"/>
        </w:rPr>
        <w:t>2017)</w:t>
      </w:r>
      <w:r w:rsidR="001A267E">
        <w:rPr>
          <w:lang w:val="en-GB"/>
        </w:rPr>
        <w:fldChar w:fldCharType="end"/>
      </w:r>
      <w:r w:rsidR="00A56137">
        <w:rPr>
          <w:lang w:val="en-GB"/>
        </w:rPr>
        <w:t>.</w:t>
      </w:r>
      <w:r w:rsidR="00D934F0">
        <w:rPr>
          <w:lang w:val="en-GB"/>
        </w:rPr>
        <w:t xml:space="preserve"> </w:t>
      </w:r>
      <w:r w:rsidR="007F592B">
        <w:rPr>
          <w:lang w:val="en-GB"/>
        </w:rPr>
        <w:t>Note</w:t>
      </w:r>
      <w:r w:rsidR="00BD285F">
        <w:rPr>
          <w:lang w:val="en-GB"/>
        </w:rPr>
        <w:t xml:space="preserve"> </w:t>
      </w:r>
      <w:r w:rsidR="007F592B">
        <w:rPr>
          <w:lang w:val="en-GB"/>
        </w:rPr>
        <w:t xml:space="preserve">that </w:t>
      </w:r>
      <w:r w:rsidR="00294199">
        <w:rPr>
          <w:lang w:val="en-GB"/>
        </w:rPr>
        <w:t xml:space="preserve">here we </w:t>
      </w:r>
      <w:r w:rsidR="005079C2">
        <w:rPr>
          <w:lang w:val="en-GB"/>
        </w:rPr>
        <w:t>made the assumption</w:t>
      </w:r>
      <w:r w:rsidR="0008446A">
        <w:rPr>
          <w:lang w:val="en-GB"/>
        </w:rPr>
        <w:t>s</w:t>
      </w:r>
      <w:r w:rsidR="005079C2">
        <w:rPr>
          <w:lang w:val="en-GB"/>
        </w:rPr>
        <w:t xml:space="preserve"> </w:t>
      </w:r>
      <w:r w:rsidR="00F424B6">
        <w:rPr>
          <w:lang w:val="en-GB"/>
        </w:rPr>
        <w:t xml:space="preserve">that only </w:t>
      </w:r>
      <w:r w:rsidR="00880608">
        <w:rPr>
          <w:i/>
          <w:lang w:val="en-GB"/>
        </w:rPr>
        <w:t>c</w:t>
      </w:r>
      <w:r w:rsidR="00880608">
        <w:rPr>
          <w:vertAlign w:val="subscript"/>
          <w:lang w:val="en-GB"/>
        </w:rPr>
        <w:t>i</w:t>
      </w:r>
      <w:r w:rsidR="00F424B6">
        <w:rPr>
          <w:lang w:val="en-GB"/>
        </w:rPr>
        <w:t xml:space="preserve"> </w:t>
      </w:r>
      <w:r w:rsidR="00880608">
        <w:rPr>
          <w:lang w:val="en-GB"/>
        </w:rPr>
        <w:t>may</w:t>
      </w:r>
      <w:r w:rsidR="000E37A7">
        <w:rPr>
          <w:lang w:val="en-GB"/>
        </w:rPr>
        <w:t xml:space="preserve"> </w:t>
      </w:r>
      <w:r w:rsidR="00F424B6">
        <w:rPr>
          <w:lang w:val="en-GB"/>
        </w:rPr>
        <w:t>change</w:t>
      </w:r>
      <w:r w:rsidR="00CE2E2D">
        <w:rPr>
          <w:lang w:val="en-GB"/>
        </w:rPr>
        <w:t xml:space="preserve"> with rising </w:t>
      </w:r>
      <w:r w:rsidR="00CE2E2D" w:rsidRPr="00A15EE0">
        <w:rPr>
          <w:i/>
          <w:lang w:val="en-GB"/>
        </w:rPr>
        <w:t>c</w:t>
      </w:r>
      <w:r w:rsidR="00CE2E2D" w:rsidRPr="00A15EE0">
        <w:rPr>
          <w:vertAlign w:val="subscript"/>
          <w:lang w:val="en-GB"/>
        </w:rPr>
        <w:t>a</w:t>
      </w:r>
      <w:r w:rsidR="005C54F8">
        <w:rPr>
          <w:lang w:val="en-GB"/>
        </w:rPr>
        <w:t xml:space="preserve">, </w:t>
      </w:r>
      <w:r w:rsidR="005079C2">
        <w:rPr>
          <w:lang w:val="en-GB"/>
        </w:rPr>
        <w:t xml:space="preserve">and </w:t>
      </w:r>
      <w:r w:rsidR="0008446A">
        <w:rPr>
          <w:lang w:val="en-GB"/>
        </w:rPr>
        <w:t xml:space="preserve">that </w:t>
      </w:r>
      <w:r w:rsidR="00FC0A44" w:rsidRPr="00E21FD4">
        <w:rPr>
          <w:i/>
          <w:lang w:val="en-GB"/>
        </w:rPr>
        <w:t>T</w:t>
      </w:r>
      <w:r w:rsidR="00FC0A44" w:rsidRPr="00E21FD4">
        <w:rPr>
          <w:i/>
          <w:vertAlign w:val="subscript"/>
          <w:lang w:val="en-GB"/>
        </w:rPr>
        <w:t>air</w:t>
      </w:r>
      <w:r w:rsidR="0008446A" w:rsidRPr="00E21FD4">
        <w:rPr>
          <w:i/>
          <w:lang w:val="en-GB"/>
        </w:rPr>
        <w:t xml:space="preserve"> </w:t>
      </w:r>
      <w:r w:rsidR="0008446A">
        <w:rPr>
          <w:lang w:val="en-GB"/>
        </w:rPr>
        <w:t xml:space="preserve">remains constant over the range of </w:t>
      </w:r>
      <w:r w:rsidR="0008446A" w:rsidRPr="00A15EE0">
        <w:rPr>
          <w:i/>
          <w:lang w:val="en-GB"/>
        </w:rPr>
        <w:t>c</w:t>
      </w:r>
      <w:r w:rsidR="0008446A" w:rsidRPr="00A15EE0">
        <w:rPr>
          <w:vertAlign w:val="subscript"/>
          <w:lang w:val="en-GB"/>
        </w:rPr>
        <w:t>a</w:t>
      </w:r>
      <w:r w:rsidR="0008446A">
        <w:rPr>
          <w:lang w:val="en-GB"/>
        </w:rPr>
        <w:t xml:space="preserve">. Thus, the </w:t>
      </w:r>
      <w:r w:rsidR="005C54F8">
        <w:rPr>
          <w:lang w:val="en-GB"/>
        </w:rPr>
        <w:t xml:space="preserve">effect </w:t>
      </w:r>
      <w:r w:rsidR="0008446A">
        <w:rPr>
          <w:lang w:val="en-GB"/>
        </w:rPr>
        <w:t xml:space="preserve">on </w:t>
      </w:r>
      <w:r w:rsidR="0008446A" w:rsidRPr="00BD2160">
        <w:rPr>
          <w:rFonts w:cs="Times New Roman"/>
          <w:color w:val="000000" w:themeColor="text1"/>
        </w:rPr>
        <w:t>Δ</w:t>
      </w:r>
      <w:r w:rsidR="0008446A" w:rsidRPr="00BD2160">
        <w:rPr>
          <w:rFonts w:cs="Times New Roman"/>
          <w:color w:val="000000" w:themeColor="text1"/>
          <w:vertAlign w:val="superscript"/>
        </w:rPr>
        <w:t>13</w:t>
      </w:r>
      <w:r w:rsidR="0008446A" w:rsidRPr="00BD2160">
        <w:rPr>
          <w:rFonts w:cs="Times New Roman"/>
          <w:color w:val="000000" w:themeColor="text1"/>
        </w:rPr>
        <w:t>C</w:t>
      </w:r>
      <w:r w:rsidR="0008446A">
        <w:rPr>
          <w:rFonts w:cs="Times New Roman"/>
        </w:rPr>
        <w:t xml:space="preserve"> </w:t>
      </w:r>
      <w:r w:rsidR="005C54F8">
        <w:rPr>
          <w:lang w:val="en-GB"/>
        </w:rPr>
        <w:t xml:space="preserve">of changes in </w:t>
      </w:r>
      <w:r w:rsidR="005C54F8" w:rsidRPr="00BD2160">
        <w:rPr>
          <w:rFonts w:cs="Times New Roman"/>
        </w:rPr>
        <w:t>Γ*</w:t>
      </w:r>
      <w:r w:rsidR="0008446A">
        <w:rPr>
          <w:rFonts w:cs="Times New Roman"/>
        </w:rPr>
        <w:t xml:space="preserve">, through changes in </w:t>
      </w:r>
      <w:r w:rsidR="0008446A" w:rsidRPr="00137659">
        <w:rPr>
          <w:rFonts w:cs="Times New Roman"/>
          <w:i/>
        </w:rPr>
        <w:t>T</w:t>
      </w:r>
      <w:r w:rsidR="0008446A" w:rsidRPr="0008446A">
        <w:rPr>
          <w:rFonts w:cs="Times New Roman"/>
          <w:vertAlign w:val="subscript"/>
        </w:rPr>
        <w:t>air</w:t>
      </w:r>
      <w:r w:rsidR="0008446A">
        <w:rPr>
          <w:rFonts w:cs="Times New Roman"/>
        </w:rPr>
        <w:t>,</w:t>
      </w:r>
      <w:r w:rsidR="005C54F8">
        <w:rPr>
          <w:rFonts w:cs="Times New Roman"/>
        </w:rPr>
        <w:t xml:space="preserve"> </w:t>
      </w:r>
      <w:r w:rsidR="0008446A">
        <w:rPr>
          <w:rFonts w:cs="Times New Roman"/>
        </w:rPr>
        <w:t>w</w:t>
      </w:r>
      <w:r w:rsidR="00654BFC">
        <w:rPr>
          <w:rFonts w:cs="Times New Roman"/>
        </w:rPr>
        <w:t>ere not considered</w:t>
      </w:r>
      <w:r w:rsidR="0008446A">
        <w:rPr>
          <w:rFonts w:cs="Times New Roman"/>
        </w:rPr>
        <w:t xml:space="preserve"> </w:t>
      </w:r>
      <w:r w:rsidR="00654BFC">
        <w:rPr>
          <w:rFonts w:cs="Times New Roman"/>
        </w:rPr>
        <w:t>(</w:t>
      </w:r>
      <w:r w:rsidR="00654BFC" w:rsidRPr="00BD2160">
        <w:rPr>
          <w:rFonts w:cs="Times New Roman"/>
        </w:rPr>
        <w:t>Γ*</w:t>
      </w:r>
      <w:r w:rsidR="00654BFC">
        <w:rPr>
          <w:rFonts w:cs="Times New Roman"/>
        </w:rPr>
        <w:t xml:space="preserve"> = 43 ppm </w:t>
      </w:r>
      <w:r w:rsidR="00654BFC" w:rsidRPr="002866A2">
        <w:rPr>
          <w:rFonts w:cs="Times New Roman"/>
          <w:color w:val="000000" w:themeColor="text1"/>
        </w:rPr>
        <w:t>at 25</w:t>
      </w:r>
      <w:r w:rsidR="00654BFC" w:rsidRPr="002866A2">
        <w:rPr>
          <w:color w:val="000000" w:themeColor="text1"/>
          <w:lang w:val="en-GB"/>
        </w:rPr>
        <w:sym w:font="Symbol" w:char="F0B0"/>
      </w:r>
      <w:r w:rsidR="00654BFC" w:rsidRPr="002866A2">
        <w:rPr>
          <w:color w:val="000000" w:themeColor="text1"/>
          <w:lang w:val="en-GB"/>
        </w:rPr>
        <w:t>C</w:t>
      </w:r>
      <w:r w:rsidR="002866A2" w:rsidRPr="002866A2">
        <w:rPr>
          <w:color w:val="000000" w:themeColor="text1"/>
          <w:lang w:val="en-GB"/>
        </w:rPr>
        <w:t xml:space="preserve">; </w:t>
      </w:r>
      <w:r w:rsidR="002866A2" w:rsidRPr="002866A2">
        <w:rPr>
          <w:color w:val="000000" w:themeColor="text1"/>
        </w:rPr>
        <w:fldChar w:fldCharType="begin" w:fldLock="1"/>
      </w:r>
      <w:r w:rsidR="00E24F56">
        <w:rPr>
          <w:color w:val="000000" w:themeColor="text1"/>
        </w:rPr>
        <w:instrText>ADDIN CSL_CITATION {"citationItems":[{"id":"ITEM-1","itemData":{"DOI":"10.1111/j.1365-3040.2001.00668.x","ISSN":"0140-7791","abstract":"ABSTRACT Predicting the environmental responses of leaf photosynthesis is central to many models of changes in the future global carbon cycle and terrestrial biosphere. The steady?state biochemical model of C3 photosynthesis of Farquhar et al. (Planta 149, 78?90, 1980) provides a basis for these larger scale predictions; but a weakness in the application of the model as currently parameterized is the inability to accurately predict carbon assimilation at the range of temperatures over which significant photosynthesis occurs in the natural environment. The temperature functions used in this model have been based on in vitro measurements made over a limited temperature range and require several assumptions of in vivo conditions. Since photosynthetic rates are often Rubisco?limited (ribulose, 1?5 bisphosphate carboxylase/oxygenase) under natural steady?state conditions, inaccuracies in the functions predicting Rubisco kinetic properties at different temperatures may cause significant error. In this study, transgenic tobacco containing only 10% normal levels of Rubisco were used to measure Rubisco?limited photosynthesis over a large range of CO2 concentrations. From the responses of the rate of CO2 assimilation at a wide range of temperatures, and CO2 and O2 concentrations, the temperature functions of Rubisco kinetic properties were estimated in vivo. These differed substantially from previously published functions. These new functions were then used to predict photosynthesis in lemon and found to faithfully mimic the observed pattern of temperature response. There was also a close correspondence with published C3 photosynthesis temperature responses. The results represent an improved ability to model leaf photosynthesis over a wide range of temperatures (10?40 °C) necessary for predicting carbon uptake by terrestrial C3 systems.","author":[{"dropping-particle":"","family":"Bernacchi","given":"Carl J.","non-dropping-particle":"","parse-names":false,"suffix":""},{"dropping-particle":"","family":"Singsaas","given":"E. L.","non-dropping-particle":"","parse-names":false,"suffix":""},{"dropping-particle":"","family":"Pimentel","given":"C.","non-dropping-particle":"","parse-names":false,"suffix":""},{"dropping-particle":"","family":"Portis Jr","given":"A. R.","non-dropping-particle":"","parse-names":false,"suffix":""},{"dropping-particle":"","family":"Long","given":"S. P.","non-dropping-particle":"","parse-names":false,"suffix":""}],"container-title":"Plant, Cell and Environment","id":"ITEM-1","issue":"2","issued":{"date-parts":[["2001","2"]]},"page":"253-259","title":"Improved temperature response functions for models of Rubisco-limited photosynthesis","type":"article-journal","volume":"24"},"uris":["http://www.mendeley.com/documents/?uuid=11b9f79a-06be-454b-a776-92d0d5821095"]}],"mendeley":{"formattedCitation":"(Bernacchi, Singsaas, Pimentel, Portis Jr, &amp; Long, 2001)","manualFormatting":"Bernacchi et al., 2001)","plainTextFormattedCitation":"(Bernacchi, Singsaas, Pimentel, Portis Jr, &amp; Long, 2001)","previouslyFormattedCitation":"(Bernacchi, Singsaas, Pimentel, Portis Jr, &amp; Long, 2001)"},"properties":{"noteIndex":0},"schema":"https://github.com/citation-style-language/schema/raw/master/csl-citation.json"}</w:instrText>
      </w:r>
      <w:r w:rsidR="002866A2" w:rsidRPr="002866A2">
        <w:rPr>
          <w:color w:val="000000" w:themeColor="text1"/>
        </w:rPr>
        <w:fldChar w:fldCharType="separate"/>
      </w:r>
      <w:r w:rsidR="002866A2" w:rsidRPr="002866A2">
        <w:rPr>
          <w:noProof/>
          <w:color w:val="000000" w:themeColor="text1"/>
        </w:rPr>
        <w:t>Bernacchi et al., 2001)</w:t>
      </w:r>
      <w:r w:rsidR="002866A2" w:rsidRPr="002866A2">
        <w:rPr>
          <w:color w:val="000000" w:themeColor="text1"/>
        </w:rPr>
        <w:fldChar w:fldCharType="end"/>
      </w:r>
      <w:r w:rsidR="0049773B" w:rsidRPr="002866A2">
        <w:rPr>
          <w:color w:val="000000" w:themeColor="text1"/>
          <w:lang w:val="en-GB"/>
        </w:rPr>
        <w:t xml:space="preserve">. </w:t>
      </w:r>
      <w:r w:rsidR="00294199" w:rsidRPr="00A95451">
        <w:rPr>
          <w:color w:val="000000" w:themeColor="text1"/>
          <w:lang w:val="en-GB"/>
        </w:rPr>
        <w:t xml:space="preserve">We acknowledge that </w:t>
      </w:r>
      <w:r w:rsidR="002A17CF" w:rsidRPr="00A95451">
        <w:rPr>
          <w:color w:val="000000" w:themeColor="text1"/>
          <w:lang w:val="en-GB"/>
        </w:rPr>
        <w:t xml:space="preserve">potential </w:t>
      </w:r>
      <w:r w:rsidR="00880608" w:rsidRPr="00A95451">
        <w:rPr>
          <w:color w:val="000000" w:themeColor="text1"/>
          <w:lang w:val="en-GB"/>
        </w:rPr>
        <w:t xml:space="preserve">contributions from </w:t>
      </w:r>
      <w:r w:rsidR="00275BF2" w:rsidRPr="00A95451">
        <w:rPr>
          <w:color w:val="000000" w:themeColor="text1"/>
          <w:lang w:val="en-GB"/>
        </w:rPr>
        <w:t xml:space="preserve">other </w:t>
      </w:r>
      <w:r w:rsidR="00294199" w:rsidRPr="00A95451">
        <w:rPr>
          <w:color w:val="000000" w:themeColor="text1"/>
          <w:lang w:val="en-GB"/>
        </w:rPr>
        <w:t xml:space="preserve">environmental </w:t>
      </w:r>
      <w:r w:rsidR="004E0F10" w:rsidRPr="00A95451">
        <w:rPr>
          <w:color w:val="000000" w:themeColor="text1"/>
          <w:lang w:val="en-GB"/>
        </w:rPr>
        <w:t>drivers</w:t>
      </w:r>
      <w:r w:rsidR="002A17CF" w:rsidRPr="00A95451">
        <w:rPr>
          <w:color w:val="000000" w:themeColor="text1"/>
          <w:lang w:val="en-GB"/>
        </w:rPr>
        <w:t xml:space="preserve"> (e.g. </w:t>
      </w:r>
      <w:r w:rsidR="006662A6" w:rsidRPr="00A95451">
        <w:rPr>
          <w:color w:val="000000" w:themeColor="text1"/>
          <w:lang w:val="en-GB"/>
        </w:rPr>
        <w:t>plant water availability</w:t>
      </w:r>
      <w:r w:rsidR="00CB7942" w:rsidRPr="00A95451">
        <w:rPr>
          <w:color w:val="000000" w:themeColor="text1"/>
          <w:lang w:val="en-GB"/>
        </w:rPr>
        <w:t xml:space="preserve"> or</w:t>
      </w:r>
      <w:r w:rsidR="00C27D57" w:rsidRPr="00A95451">
        <w:rPr>
          <w:color w:val="000000" w:themeColor="text1"/>
          <w:lang w:val="en-GB"/>
        </w:rPr>
        <w:t xml:space="preserve"> </w:t>
      </w:r>
      <w:r w:rsidR="00F328C4" w:rsidRPr="00A95451">
        <w:rPr>
          <w:color w:val="000000" w:themeColor="text1"/>
          <w:lang w:val="en-GB"/>
        </w:rPr>
        <w:t>nitrogen deposition</w:t>
      </w:r>
      <w:r w:rsidR="002A17CF" w:rsidRPr="00A95451">
        <w:rPr>
          <w:color w:val="000000" w:themeColor="text1"/>
          <w:lang w:val="en-GB"/>
        </w:rPr>
        <w:t>)</w:t>
      </w:r>
      <w:r w:rsidR="003B4E6D" w:rsidRPr="00A95451">
        <w:rPr>
          <w:color w:val="000000" w:themeColor="text1"/>
          <w:lang w:val="en-GB"/>
        </w:rPr>
        <w:t xml:space="preserve"> </w:t>
      </w:r>
      <w:r w:rsidR="00CB7942" w:rsidRPr="00A95451">
        <w:rPr>
          <w:color w:val="000000" w:themeColor="text1"/>
          <w:lang w:val="en-GB"/>
        </w:rPr>
        <w:t>may</w:t>
      </w:r>
      <w:r w:rsidR="00294199" w:rsidRPr="00A95451">
        <w:rPr>
          <w:color w:val="000000" w:themeColor="text1"/>
          <w:lang w:val="en-GB"/>
        </w:rPr>
        <w:t xml:space="preserve"> also affect changes in </w:t>
      </w:r>
      <w:r w:rsidR="00294199" w:rsidRPr="00A95451">
        <w:rPr>
          <w:rFonts w:cs="Times New Roman"/>
          <w:color w:val="000000" w:themeColor="text1"/>
        </w:rPr>
        <w:t>Δ</w:t>
      </w:r>
      <w:r w:rsidR="00294199" w:rsidRPr="00A95451">
        <w:rPr>
          <w:rFonts w:cs="Times New Roman"/>
          <w:color w:val="000000" w:themeColor="text1"/>
          <w:vertAlign w:val="superscript"/>
        </w:rPr>
        <w:t>13</w:t>
      </w:r>
      <w:r w:rsidR="00294199" w:rsidRPr="00A95451">
        <w:rPr>
          <w:rFonts w:cs="Times New Roman"/>
          <w:color w:val="000000" w:themeColor="text1"/>
        </w:rPr>
        <w:t>C</w:t>
      </w:r>
      <w:r w:rsidR="00366BC5">
        <w:rPr>
          <w:rFonts w:cs="Times New Roman"/>
          <w:color w:val="000000" w:themeColor="text1"/>
        </w:rPr>
        <w:t xml:space="preserve"> (see Text S3)</w:t>
      </w:r>
      <w:r w:rsidR="00CB7942" w:rsidRPr="00A95451">
        <w:rPr>
          <w:rFonts w:cs="Times New Roman"/>
          <w:color w:val="000000" w:themeColor="text1"/>
        </w:rPr>
        <w:t xml:space="preserve">, but given </w:t>
      </w:r>
      <w:r w:rsidR="00D437A3" w:rsidRPr="00A95451">
        <w:rPr>
          <w:rFonts w:cs="Times New Roman"/>
          <w:color w:val="000000" w:themeColor="text1"/>
        </w:rPr>
        <w:t>the</w:t>
      </w:r>
      <w:r w:rsidR="00CB7942" w:rsidRPr="00A95451">
        <w:rPr>
          <w:rFonts w:cs="Times New Roman"/>
          <w:color w:val="000000" w:themeColor="text1"/>
        </w:rPr>
        <w:t xml:space="preserve"> large uncertainties in the impact of these effects on Δ</w:t>
      </w:r>
      <w:r w:rsidR="00CB7942" w:rsidRPr="00A95451">
        <w:rPr>
          <w:rFonts w:cs="Times New Roman"/>
          <w:color w:val="000000" w:themeColor="text1"/>
          <w:vertAlign w:val="superscript"/>
        </w:rPr>
        <w:t>13</w:t>
      </w:r>
      <w:r w:rsidR="00CB7942" w:rsidRPr="00A95451">
        <w:rPr>
          <w:rFonts w:cs="Times New Roman"/>
          <w:color w:val="000000" w:themeColor="text1"/>
        </w:rPr>
        <w:t>C, we</w:t>
      </w:r>
      <w:r w:rsidR="00DD2977" w:rsidRPr="00A95451">
        <w:rPr>
          <w:rFonts w:cs="Times New Roman"/>
          <w:color w:val="000000" w:themeColor="text1"/>
        </w:rPr>
        <w:t xml:space="preserve"> only consider</w:t>
      </w:r>
      <w:r w:rsidR="00A84572" w:rsidRPr="00A95451">
        <w:rPr>
          <w:rFonts w:cs="Times New Roman"/>
          <w:color w:val="000000" w:themeColor="text1"/>
        </w:rPr>
        <w:t>ed</w:t>
      </w:r>
      <w:r w:rsidR="00DD2977" w:rsidRPr="00A95451">
        <w:rPr>
          <w:rFonts w:cs="Times New Roman"/>
          <w:color w:val="000000" w:themeColor="text1"/>
        </w:rPr>
        <w:t xml:space="preserve"> equation (11) for assessing </w:t>
      </w:r>
      <w:r w:rsidR="00986F0F" w:rsidRPr="00A95451">
        <w:rPr>
          <w:rFonts w:cs="Times New Roman"/>
          <w:color w:val="000000" w:themeColor="text1"/>
        </w:rPr>
        <w:t>the sensitivity of Δ</w:t>
      </w:r>
      <w:r w:rsidR="00986F0F" w:rsidRPr="00A95451">
        <w:rPr>
          <w:rFonts w:cs="Times New Roman"/>
          <w:color w:val="000000" w:themeColor="text1"/>
          <w:vertAlign w:val="superscript"/>
        </w:rPr>
        <w:t>13</w:t>
      </w:r>
      <w:r w:rsidR="00986F0F" w:rsidRPr="00A95451">
        <w:rPr>
          <w:rFonts w:cs="Times New Roman"/>
          <w:color w:val="000000" w:themeColor="text1"/>
        </w:rPr>
        <w:t xml:space="preserve">C, and thus </w:t>
      </w:r>
      <w:r w:rsidR="006440FA" w:rsidRPr="00A95451">
        <w:rPr>
          <w:rFonts w:cs="Times New Roman"/>
          <w:color w:val="000000" w:themeColor="text1"/>
        </w:rPr>
        <w:t>iWUE</w:t>
      </w:r>
      <w:r w:rsidR="006440FA" w:rsidRPr="00A95451">
        <w:rPr>
          <w:rFonts w:cs="Times New Roman"/>
          <w:color w:val="000000" w:themeColor="text1"/>
          <w:vertAlign w:val="superscript"/>
        </w:rPr>
        <w:t>leaf</w:t>
      </w:r>
      <w:r w:rsidR="00986F0F" w:rsidRPr="00A95451">
        <w:rPr>
          <w:rFonts w:cs="Times New Roman"/>
          <w:color w:val="000000" w:themeColor="text1"/>
        </w:rPr>
        <w:t>, to chang</w:t>
      </w:r>
      <w:r w:rsidR="004F638C" w:rsidRPr="00A95451">
        <w:rPr>
          <w:rFonts w:cs="Times New Roman"/>
          <w:color w:val="000000" w:themeColor="text1"/>
        </w:rPr>
        <w:t>ing environmental conditions</w:t>
      </w:r>
      <w:r w:rsidR="00DD2977" w:rsidRPr="00A95451">
        <w:rPr>
          <w:rFonts w:cs="Times New Roman"/>
          <w:color w:val="000000" w:themeColor="text1"/>
        </w:rPr>
        <w:t>.</w:t>
      </w:r>
      <w:r w:rsidR="00CB7942" w:rsidRPr="00A95451">
        <w:rPr>
          <w:rFonts w:cs="Times New Roman"/>
          <w:color w:val="000000" w:themeColor="text1"/>
        </w:rPr>
        <w:t xml:space="preserve"> </w:t>
      </w:r>
    </w:p>
    <w:p w14:paraId="0ECEC71F" w14:textId="7C720532" w:rsidR="005A5246" w:rsidRPr="00D84EFD" w:rsidRDefault="007B57F6" w:rsidP="00310A4F">
      <w:pPr>
        <w:pStyle w:val="Body"/>
        <w:spacing w:before="240" w:line="360" w:lineRule="auto"/>
        <w:jc w:val="both"/>
        <w:rPr>
          <w:color w:val="FF0000"/>
        </w:rPr>
      </w:pPr>
      <w:r>
        <w:rPr>
          <w:rFonts w:cs="Times New Roman"/>
        </w:rPr>
        <w:t xml:space="preserve">Another methodological issue </w:t>
      </w:r>
      <w:r w:rsidR="001935EB">
        <w:rPr>
          <w:rFonts w:cs="Times New Roman"/>
        </w:rPr>
        <w:t xml:space="preserve">when using </w:t>
      </w:r>
      <w:r w:rsidR="001210B9">
        <w:rPr>
          <w:rFonts w:cs="Times New Roman"/>
        </w:rPr>
        <w:t xml:space="preserve">stable </w:t>
      </w:r>
      <w:r w:rsidR="001935EB">
        <w:rPr>
          <w:rFonts w:cs="Times New Roman"/>
        </w:rPr>
        <w:t>carbon isotope</w:t>
      </w:r>
      <w:r w:rsidR="001210B9">
        <w:rPr>
          <w:rFonts w:cs="Times New Roman"/>
        </w:rPr>
        <w:t xml:space="preserve">s in tree-rings </w:t>
      </w:r>
      <w:r>
        <w:rPr>
          <w:rFonts w:cs="Times New Roman"/>
        </w:rPr>
        <w:t xml:space="preserve">is related to </w:t>
      </w:r>
      <w:r w:rsidR="000E7611">
        <w:rPr>
          <w:rFonts w:cs="Times New Roman"/>
        </w:rPr>
        <w:t xml:space="preserve">data </w:t>
      </w:r>
      <w:r>
        <w:rPr>
          <w:rFonts w:cs="Times New Roman"/>
        </w:rPr>
        <w:t xml:space="preserve">pre-processing before </w:t>
      </w:r>
      <w:r w:rsidRPr="00106A23">
        <w:rPr>
          <w:color w:val="000000" w:themeColor="text1"/>
        </w:rPr>
        <w:t xml:space="preserve">assessing </w:t>
      </w:r>
      <w:r w:rsidR="006440FA" w:rsidRPr="00BD2160">
        <w:rPr>
          <w:rFonts w:cs="Times New Roman"/>
        </w:rPr>
        <w:t>iWUE</w:t>
      </w:r>
      <w:r w:rsidR="006440FA" w:rsidRPr="001B08EE">
        <w:rPr>
          <w:rFonts w:cs="Times New Roman"/>
          <w:vertAlign w:val="superscript"/>
        </w:rPr>
        <w:t>l</w:t>
      </w:r>
      <w:r w:rsidR="006440FA">
        <w:rPr>
          <w:rFonts w:cs="Times New Roman"/>
          <w:vertAlign w:val="superscript"/>
        </w:rPr>
        <w:t>eaf</w:t>
      </w:r>
      <w:r w:rsidRPr="00106A23">
        <w:rPr>
          <w:color w:val="000000" w:themeColor="text1"/>
        </w:rPr>
        <w:t xml:space="preserve"> trends. </w:t>
      </w:r>
      <w:r w:rsidR="00626CFD">
        <w:rPr>
          <w:color w:val="000000" w:themeColor="text1"/>
        </w:rPr>
        <w:t>Two</w:t>
      </w:r>
      <w:r w:rsidR="00626CFD" w:rsidRPr="00106A23">
        <w:rPr>
          <w:color w:val="000000" w:themeColor="text1"/>
        </w:rPr>
        <w:t xml:space="preserve"> </w:t>
      </w:r>
      <w:r w:rsidR="00290354">
        <w:rPr>
          <w:color w:val="000000" w:themeColor="text1"/>
        </w:rPr>
        <w:t xml:space="preserve">recent </w:t>
      </w:r>
      <w:r w:rsidR="00454A4C" w:rsidRPr="00106A23">
        <w:rPr>
          <w:color w:val="000000" w:themeColor="text1"/>
        </w:rPr>
        <w:t xml:space="preserve">studies </w:t>
      </w:r>
      <w:r w:rsidR="00454A4C" w:rsidRPr="00106A23">
        <w:rPr>
          <w:color w:val="000000" w:themeColor="text1"/>
        </w:rPr>
        <w:fldChar w:fldCharType="begin" w:fldLock="1"/>
      </w:r>
      <w:r w:rsidR="00937BCB">
        <w:rPr>
          <w:color w:val="000000" w:themeColor="text1"/>
        </w:rPr>
        <w:instrText>ADDIN CSL_CITATION {"citationItems":[{"id":"ITEM-1","itemData":{"DOI":"10.1038/nclimate2614","ISBN":"1758-6798","ISSN":"1758-678X","abstract":"The Earth’s carbon and hydrologic cycles are intimately coupled by gas exchange through plant stomata. However, uncertainties in the magnitude and consequences of the physiological responses of plants to elevated CO2 in natural environments hinders modelling of terrestrial water cycling and carbon storage. Here we use annually resolved long-term δ13C tree-ring measurements across a European forest network to reconstruct the physiologically driven response of intercellular CO2 (Ci) caused by atmospheric CO2 (Ca) trends. When removing meteorological signals from the δ13C measurements, we find that trees across Europe regulated gas exchange so that for one ppmv atmospheric CO2 increase, Ci increased by ~0.76 ppmv, most consistent with moderate control towards a constant Ci/Ca ratio. This response corresponds to twentieth-century intrinsic water-use efficiency (iWUE) increases of 14 ± 10 and 22 ± 6% at broadleaf and coniferous sites, respectively. An ensemble of process-based global vegetation models shows similar CO2 effects on iWUE trends. Yet, when operating these models with climate drivers reintroduced, despite decreased stomatal opening, 5% increases in European forest transpiration are calculated over the twentieth century. This counterintuitive result arises from lengthened growing seasons, enhanced evaporative demand in a warming climate, and increased leaf area, which together oppose effects of CO2-induced stomatal closure. Our study questions changes to the hydrological cycle, such as reductions in transpiration and air humidity, hypothesized to result from plant responses to anthropogenic emissions.","author":[{"dropping-particle":"","family":"Frank","given":"D. C.","non-dropping-particle":"","parse-names":false,"suffix":""},{"dropping-particle":"","family":"Poulter","given":"B.","non-dropping-particle":"","parse-names":false,"suffix":""},{"dropping-particle":"","family":"Saurer","given":"M.","non-dropping-particle":"","parse-names":false,"suffix":""},{"dropping-particle":"","family":"Esper","given":"J.","non-dropping-particle":"","parse-names":false,"suffix":""},{"dropping-particle":"","family":"Huntingford","given":"C.","non-dropping-particle":"","parse-names":false,"suffix":""},{"dropping-particle":"","family":"Helle","given":"G.","non-dropping-particle":"","parse-names":false,"suffix":""},{"dropping-particle":"","family":"Treydte","given":"K.","non-dropping-particle":"","parse-names":false,"suffix":""},{"dropping-particle":"","family":"Zimmermann","given":"N. E.","non-dropping-particle":"","parse-names":false,"suffix":""},{"dropping-particle":"","family":"Schleser","given":"G. H.","non-dropping-particle":"","parse-names":false,"suffix":""},{"dropping-particle":"","family":"Ahlström","given":"A.","non-dropping-particle":"","parse-names":false,"suffix":""},{"dropping-particle":"","family":"Ciais","given":"P.","non-dropping-particle":"","parse-names":false,"suffix":""},{"dropping-particle":"","family":"Friedlingstein","given":"P.","non-dropping-particle":"","parse-names":false,"suffix":""},{"dropping-particle":"","family":"Levis","given":"S.","non-dropping-particle":"","parse-names":false,"suffix":""},{"dropping-particle":"","family":"Lomas","given":"M.","non-dropping-particle":"","parse-names":false,"suffix":""},{"dropping-particle":"","family":"Sitch","given":"S.","non-dropping-particle":"","parse-names":false,"suffix":""},{"dropping-particle":"","family":"Viovy","given":"N.","non-dropping-particle":"","parse-names":false,"suffix":""},{"dropping-particle":"","family":"Andreu-Hayles","given":"L.","non-dropping-particle":"","parse-names":false,"suffix":""},{"dropping-particle":"","family":"Bednarz","given":"Z.","non-dropping-particle":"","parse-names":false,"suffix":""},{"dropping-particle":"","family":"Berninger","given":"F.","non-dropping-particle":"","parse-names":false,"suffix":""},{"dropping-particle":"","family":"Boettger","given":"T.","non-dropping-particle":"","parse-names":false,"suffix":""},{"dropping-particle":"","family":"D'Alessandro","given":"C. M.","non-dropping-particle":"","parse-names":false,"suffix":""},{"dropping-particle":"","family":"Daux","given":"V.","non-dropping-particle":"","parse-names":false,"suffix":""},{"dropping-particle":"","family":"Filot","given":"M.","non-dropping-particle":"","parse-names":false,"suffix":""},{"dropping-particle":"","family":"Grabner","given":"M.","non-dropping-particle":"","parse-names":false,"suffix":""},{"dropping-particle":"","family":"Gutierrez","given":"E.","non-dropping-particle":"","parse-names":false,"suffix":""},{"dropping-particle":"","family":"Haupt","given":"M.","non-dropping-particle":"","parse-names":false,"suffix":""},{"dropping-particle":"","family":"Hilasvuori","given":"E.","non-dropping-particle":"","parse-names":false,"suffix":""},{"dropping-particle":"","family":"Jungner","given":"H.","non-dropping-particle":"","parse-names":false,"suffix":""},{"dropping-particle":"","family":"Kalela-Brundin","given":"M.","non-dropping-particle":"","parse-names":false,"suffix":""},{"dropping-particle":"","family":"Krapiec","given":"M.","non-dropping-particle":"","parse-names":false,"suffix":""},{"dropping-particle":"","family":"Leuenberger","given":"M.","non-dropping-particle":"","parse-names":false,"suffix":""},{"dropping-particle":"","family":"Loader","given":"N. J.","non-dropping-particle":"","parse-names":false,"suffix":""},{"dropping-particle":"","family":"Marah","given":"H.","non-dropping-particle":"","parse-names":false,"suffix":""},{"dropping-particle":"","family":"Masson-Delmotte","given":"V.","non-dropping-particle":"","parse-names":false,"suffix":""},{"dropping-particle":"","family":"Pazdur","given":"A.","non-dropping-particle":"","parse-names":false,"suffix":""},{"dropping-particle":"","family":"Pawelczyk","given":"S.","non-dropping-particle":"","parse-names":false,"suffix":""},{"dropping-particle":"","family":"Pierre","given":"M.","non-dropping-particle":"","parse-names":false,"suffix":""},{"dropping-particle":"","family":"Planells","given":"O.","non-dropping-particle":"","parse-names":false,"suffix":""},{"dropping-particle":"","family":"Pukiene","given":"R.","non-dropping-particle":"","parse-names":false,"suffix":""},{"dropping-particle":"","family":"Reynolds-Henne","given":"C. E.","non-dropping-particle":"","parse-names":false,"suffix":""},{"dropping-particle":"","family":"Rinne","given":"K. T.","non-dropping-particle":"","parse-names":false,"suffix":""},{"dropping-particle":"","family":"Saracino","given":"A.","non-dropping-particle":"","parse-names":false,"suffix":""},{"dropping-particle":"","family":"Sonninen","given":"E.","non-dropping-particle":"","parse-names":false,"suffix":""},{"dropping-particle":"","family":"Stievenard","given":"M.","non-dropping-particle":"","parse-names":false,"suffix":""},{"dropping-particle":"","family":"Switsur","given":"V. R.","non-dropping-particle":"","parse-names":false,"suffix":""},{"dropping-particle":"","family":"Szczepanek","given":"M.","non-dropping-particle":"","parse-names":false,"suffix":""},{"dropping-particle":"","family":"Szychowska-Krapiec","given":"E.","non-dropping-particle":"","parse-names":false,"suffix":""},{"dropping-particle":"","family":"Todaro","given":"L.","non-dropping-particle":"","parse-names":false,"suffix":""},{"dropping-particle":"","family":"Waterhouse","given":"J. S.","non-dropping-particle":"","parse-names":false,"suffix":""},{"dropping-particle":"","family":"Weigl","given":"M.","non-dropping-particle":"","parse-names":false,"suffix":""}],"container-title":"Nature Climate Change","id":"ITEM-1","issue":"6","issued":{"date-parts":[["2015"]]},"page":"579-583","title":"Water-use efficiency and transpiration across European forests during the Anthropocene","type":"article-journal","volume":"5"},"uris":["http://www.mendeley.com/documents/?uuid=ac469d75-cf10-4cf2-85ca-b5f93e6eab8e"]},{"id":"ITEM-2","itemData":{"DOI":"10.3390/f9100642","author":[{"dropping-particle":"","family":"Xu","given":"Guobao","non-dropping-particle":"","parse-names":false,"suffix":""},{"dropping-particle":"","family":"Liu","given":"Xiaohong","non-dropping-particle":"","parse-names":false,"suffix":""},{"dropping-particle":"","family":"Belmecheri","given":"Soumaya","non-dropping-particle":"","parse-names":false,"suffix":""},{"dropping-particle":"","family":"Chen","given":"Tuo","non-dropping-particle":"","parse-names":false,"suffix":""},{"dropping-particle":"","family":"Wu","given":"Guoju","non-dropping-particle":"","parse-names":false,"suffix":""}],"container-title":"Forests","id":"ITEM-2","issue":"642","issued":{"date-parts":[["2018"]]},"page":"1-21","title":"Disentangling Contributions of CO2 Concentration and Climate to Changes in Intrinsic Water-Use Efficiency in the Arid Boreal Forest in China's Altay Mountains","type":"article-journal","volume":"9"},"uris":["http://www.mendeley.com/documents/?uuid=4acc1fdf-072b-4824-aaf3-bc2b902f8d65"]}],"mendeley":{"formattedCitation":"(Frank et al., 2015; Xu, Liu, Belmecheri, Chen, &amp; Wu, 2018)","manualFormatting":"(Frank et al., 2015; Xu et al., 2018)","plainTextFormattedCitation":"(Frank et al., 2015; Xu, Liu, Belmecheri, Chen, &amp; Wu, 2018)","previouslyFormattedCitation":"(Frank et al., 2015; Xu, Liu, Belmecheri, Chen, &amp; Wu, 2018)"},"properties":{"noteIndex":0},"schema":"https://github.com/citation-style-language/schema/raw/master/csl-citation.json"}</w:instrText>
      </w:r>
      <w:r w:rsidR="00454A4C" w:rsidRPr="00106A23">
        <w:rPr>
          <w:color w:val="000000" w:themeColor="text1"/>
        </w:rPr>
        <w:fldChar w:fldCharType="separate"/>
      </w:r>
      <w:r w:rsidR="00454A4C" w:rsidRPr="00106A23">
        <w:rPr>
          <w:noProof/>
          <w:color w:val="000000" w:themeColor="text1"/>
        </w:rPr>
        <w:t>(Frank et al., 2015; Xu</w:t>
      </w:r>
      <w:r w:rsidR="00937BCB">
        <w:rPr>
          <w:noProof/>
          <w:color w:val="000000" w:themeColor="text1"/>
        </w:rPr>
        <w:t xml:space="preserve"> et al.</w:t>
      </w:r>
      <w:r w:rsidR="00454A4C" w:rsidRPr="00106A23">
        <w:rPr>
          <w:noProof/>
          <w:color w:val="000000" w:themeColor="text1"/>
        </w:rPr>
        <w:t>, 2018)</w:t>
      </w:r>
      <w:r w:rsidR="00454A4C" w:rsidRPr="00106A23">
        <w:rPr>
          <w:color w:val="000000" w:themeColor="text1"/>
        </w:rPr>
        <w:fldChar w:fldCharType="end"/>
      </w:r>
      <w:r w:rsidR="00454A4C" w:rsidRPr="00106A23">
        <w:rPr>
          <w:color w:val="000000" w:themeColor="text1"/>
        </w:rPr>
        <w:t xml:space="preserve"> performed an empirical adjustment of </w:t>
      </w:r>
      <w:r w:rsidR="003136B2">
        <w:rPr>
          <w:color w:val="000000" w:themeColor="text1"/>
        </w:rPr>
        <w:t xml:space="preserve">carbon </w:t>
      </w:r>
      <w:r w:rsidR="00454A4C" w:rsidRPr="00106A23">
        <w:rPr>
          <w:color w:val="000000" w:themeColor="text1"/>
        </w:rPr>
        <w:t xml:space="preserve">isotopic series to remove the climate effects on </w:t>
      </w:r>
      <w:r w:rsidR="00454A4C" w:rsidRPr="00106A23">
        <w:rPr>
          <w:i/>
          <w:color w:val="000000" w:themeColor="text1"/>
        </w:rPr>
        <w:t>c</w:t>
      </w:r>
      <w:r w:rsidR="00454A4C" w:rsidRPr="00106A23">
        <w:rPr>
          <w:color w:val="000000" w:themeColor="text1"/>
          <w:vertAlign w:val="subscript"/>
        </w:rPr>
        <w:t>i</w:t>
      </w:r>
      <w:r w:rsidR="00E62EC4">
        <w:rPr>
          <w:color w:val="000000" w:themeColor="text1"/>
          <w:vertAlign w:val="subscript"/>
        </w:rPr>
        <w:t xml:space="preserve"> </w:t>
      </w:r>
      <w:r w:rsidR="00E62EC4">
        <w:rPr>
          <w:color w:val="000000" w:themeColor="text1"/>
        </w:rPr>
        <w:t>(</w:t>
      </w:r>
      <w:r w:rsidR="00334E76">
        <w:rPr>
          <w:color w:val="000000" w:themeColor="text1"/>
        </w:rPr>
        <w:t xml:space="preserve">the so-called </w:t>
      </w:r>
      <w:r w:rsidR="00E62EC4">
        <w:rPr>
          <w:color w:val="000000" w:themeColor="text1"/>
        </w:rPr>
        <w:sym w:font="Symbol" w:char="F074"/>
      </w:r>
      <w:r w:rsidR="00E62EC4">
        <w:rPr>
          <w:color w:val="000000" w:themeColor="text1"/>
        </w:rPr>
        <w:t xml:space="preserve"> approach)</w:t>
      </w:r>
      <w:r w:rsidR="00334E76">
        <w:rPr>
          <w:color w:val="000000" w:themeColor="text1"/>
        </w:rPr>
        <w:t xml:space="preserve"> in an attempt to isolate</w:t>
      </w:r>
      <w:r w:rsidR="00D36E18" w:rsidRPr="00106A23">
        <w:rPr>
          <w:color w:val="000000" w:themeColor="text1"/>
        </w:rPr>
        <w:t xml:space="preserve"> trends in </w:t>
      </w:r>
      <w:r w:rsidR="006440FA" w:rsidRPr="00BD2160">
        <w:rPr>
          <w:rFonts w:cs="Times New Roman"/>
        </w:rPr>
        <w:t>iWUE</w:t>
      </w:r>
      <w:r w:rsidR="006440FA" w:rsidRPr="001B08EE">
        <w:rPr>
          <w:rFonts w:cs="Times New Roman"/>
          <w:vertAlign w:val="superscript"/>
        </w:rPr>
        <w:t>l</w:t>
      </w:r>
      <w:r w:rsidR="006440FA">
        <w:rPr>
          <w:rFonts w:cs="Times New Roman"/>
          <w:vertAlign w:val="superscript"/>
        </w:rPr>
        <w:t>eaf</w:t>
      </w:r>
      <w:r w:rsidR="00D36E18" w:rsidRPr="00106A23">
        <w:rPr>
          <w:color w:val="000000" w:themeColor="text1"/>
        </w:rPr>
        <w:t xml:space="preserve"> </w:t>
      </w:r>
      <w:r w:rsidR="00334E76">
        <w:rPr>
          <w:color w:val="000000" w:themeColor="text1"/>
        </w:rPr>
        <w:t xml:space="preserve">that are </w:t>
      </w:r>
      <w:r w:rsidR="00D36E18" w:rsidRPr="00106A23">
        <w:rPr>
          <w:color w:val="000000" w:themeColor="text1"/>
        </w:rPr>
        <w:t>not related to climate change</w:t>
      </w:r>
      <w:r w:rsidR="00FF5082">
        <w:rPr>
          <w:color w:val="000000" w:themeColor="text1"/>
        </w:rPr>
        <w:t xml:space="preserve"> </w:t>
      </w:r>
      <w:r w:rsidR="00FF5082" w:rsidRPr="003B6873">
        <w:rPr>
          <w:color w:val="000000" w:themeColor="text1"/>
        </w:rPr>
        <w:t>(see Text S</w:t>
      </w:r>
      <w:r w:rsidR="00C5493C">
        <w:rPr>
          <w:color w:val="000000" w:themeColor="text1"/>
        </w:rPr>
        <w:t>4</w:t>
      </w:r>
      <w:r w:rsidR="00FF5082">
        <w:rPr>
          <w:color w:val="000000" w:themeColor="text1"/>
        </w:rPr>
        <w:t xml:space="preserve"> </w:t>
      </w:r>
      <w:r w:rsidR="001861CB">
        <w:rPr>
          <w:color w:val="000000" w:themeColor="text1"/>
        </w:rPr>
        <w:t>for more details</w:t>
      </w:r>
      <w:r w:rsidR="00FF5082" w:rsidRPr="003B6873">
        <w:rPr>
          <w:color w:val="000000" w:themeColor="text1"/>
        </w:rPr>
        <w:t>)</w:t>
      </w:r>
      <w:r w:rsidR="00D36E18" w:rsidRPr="00106A23">
        <w:rPr>
          <w:color w:val="000000" w:themeColor="text1"/>
        </w:rPr>
        <w:t>.</w:t>
      </w:r>
      <w:r w:rsidR="00454A4C" w:rsidRPr="00106A23">
        <w:rPr>
          <w:color w:val="000000" w:themeColor="text1"/>
        </w:rPr>
        <w:t xml:space="preserve"> The difference between </w:t>
      </w:r>
      <w:r w:rsidR="0032056E">
        <w:rPr>
          <w:color w:val="000000" w:themeColor="text1"/>
        </w:rPr>
        <w:t xml:space="preserve">the standard </w:t>
      </w:r>
      <w:r w:rsidR="00454A4C" w:rsidRPr="00106A23">
        <w:rPr>
          <w:color w:val="000000" w:themeColor="text1"/>
        </w:rPr>
        <w:t xml:space="preserve">tree-ring </w:t>
      </w:r>
      <w:r w:rsidR="00454A4C" w:rsidRPr="00106A23">
        <w:rPr>
          <w:i/>
          <w:color w:val="000000" w:themeColor="text1"/>
        </w:rPr>
        <w:t>c</w:t>
      </w:r>
      <w:r w:rsidR="00454A4C" w:rsidRPr="00106A23">
        <w:rPr>
          <w:color w:val="000000" w:themeColor="text1"/>
          <w:vertAlign w:val="subscript"/>
        </w:rPr>
        <w:t>i</w:t>
      </w:r>
      <w:r w:rsidR="00454A4C" w:rsidRPr="00106A23">
        <w:rPr>
          <w:color w:val="000000" w:themeColor="text1"/>
        </w:rPr>
        <w:t xml:space="preserve"> and the climate-corrected </w:t>
      </w:r>
      <w:r w:rsidR="00454A4C" w:rsidRPr="00106A23">
        <w:rPr>
          <w:i/>
          <w:color w:val="000000" w:themeColor="text1"/>
        </w:rPr>
        <w:t>c</w:t>
      </w:r>
      <w:r w:rsidR="00454A4C" w:rsidRPr="00106A23">
        <w:rPr>
          <w:color w:val="000000" w:themeColor="text1"/>
          <w:vertAlign w:val="subscript"/>
        </w:rPr>
        <w:t>i</w:t>
      </w:r>
      <w:r w:rsidR="00454A4C" w:rsidRPr="00106A23">
        <w:rPr>
          <w:color w:val="000000" w:themeColor="text1"/>
        </w:rPr>
        <w:t xml:space="preserve"> (</w:t>
      </w:r>
      <w:r w:rsidR="00454A4C" w:rsidRPr="00106A23">
        <w:rPr>
          <w:color w:val="000000" w:themeColor="text1"/>
          <w:vertAlign w:val="superscript"/>
        </w:rPr>
        <w:t>cc</w:t>
      </w:r>
      <w:r w:rsidR="00454A4C" w:rsidRPr="00106A23">
        <w:rPr>
          <w:i/>
          <w:color w:val="000000" w:themeColor="text1"/>
        </w:rPr>
        <w:t>c</w:t>
      </w:r>
      <w:r w:rsidR="00454A4C" w:rsidRPr="00106A23">
        <w:rPr>
          <w:color w:val="000000" w:themeColor="text1"/>
          <w:vertAlign w:val="subscript"/>
        </w:rPr>
        <w:t>i</w:t>
      </w:r>
      <w:r w:rsidR="00454A4C" w:rsidRPr="00106A23">
        <w:rPr>
          <w:color w:val="000000" w:themeColor="text1"/>
        </w:rPr>
        <w:t xml:space="preserve">) was used for assessing trends in climate-corrected </w:t>
      </w:r>
      <w:r w:rsidR="006440FA" w:rsidRPr="00BD2160">
        <w:rPr>
          <w:rFonts w:cs="Times New Roman"/>
        </w:rPr>
        <w:t>iWUE</w:t>
      </w:r>
      <w:r w:rsidR="006440FA" w:rsidRPr="001B08EE">
        <w:rPr>
          <w:rFonts w:cs="Times New Roman"/>
          <w:vertAlign w:val="superscript"/>
        </w:rPr>
        <w:t>l</w:t>
      </w:r>
      <w:r w:rsidR="006440FA">
        <w:rPr>
          <w:rFonts w:cs="Times New Roman"/>
          <w:vertAlign w:val="superscript"/>
        </w:rPr>
        <w:t>eaf</w:t>
      </w:r>
      <w:r w:rsidR="00454A4C" w:rsidRPr="00106A23">
        <w:rPr>
          <w:color w:val="000000" w:themeColor="text1"/>
        </w:rPr>
        <w:t xml:space="preserve"> (</w:t>
      </w:r>
      <w:r w:rsidR="00454A4C" w:rsidRPr="00106A23">
        <w:rPr>
          <w:color w:val="000000" w:themeColor="text1"/>
          <w:vertAlign w:val="superscript"/>
        </w:rPr>
        <w:t>cc</w:t>
      </w:r>
      <w:r w:rsidR="006440FA" w:rsidRPr="00BD2160">
        <w:rPr>
          <w:rFonts w:cs="Times New Roman"/>
        </w:rPr>
        <w:t>iWUE</w:t>
      </w:r>
      <w:r w:rsidR="006440FA" w:rsidRPr="001B08EE">
        <w:rPr>
          <w:rFonts w:cs="Times New Roman"/>
          <w:vertAlign w:val="superscript"/>
        </w:rPr>
        <w:t>l</w:t>
      </w:r>
      <w:r w:rsidR="006440FA">
        <w:rPr>
          <w:rFonts w:cs="Times New Roman"/>
          <w:vertAlign w:val="superscript"/>
        </w:rPr>
        <w:t>eaf</w:t>
      </w:r>
      <w:r w:rsidR="00454A4C" w:rsidRPr="00106A23">
        <w:rPr>
          <w:color w:val="000000" w:themeColor="text1"/>
        </w:rPr>
        <w:t>)</w:t>
      </w:r>
      <w:r w:rsidR="00EE501E">
        <w:rPr>
          <w:color w:val="000000" w:themeColor="text1"/>
        </w:rPr>
        <w:t xml:space="preserve"> and for determining the contribution</w:t>
      </w:r>
      <w:r w:rsidR="00B51654">
        <w:rPr>
          <w:color w:val="000000" w:themeColor="text1"/>
        </w:rPr>
        <w:t>s</w:t>
      </w:r>
      <w:r w:rsidR="00EE501E">
        <w:rPr>
          <w:color w:val="000000" w:themeColor="text1"/>
        </w:rPr>
        <w:t xml:space="preserve"> of rising </w:t>
      </w:r>
      <w:r w:rsidR="00EE501E" w:rsidRPr="00EE501E">
        <w:rPr>
          <w:i/>
          <w:color w:val="000000" w:themeColor="text1"/>
        </w:rPr>
        <w:t>c</w:t>
      </w:r>
      <w:r w:rsidR="00EE501E" w:rsidRPr="00EE501E">
        <w:rPr>
          <w:color w:val="000000" w:themeColor="text1"/>
          <w:vertAlign w:val="subscript"/>
        </w:rPr>
        <w:t>a</w:t>
      </w:r>
      <w:r w:rsidR="00EE501E">
        <w:rPr>
          <w:color w:val="000000" w:themeColor="text1"/>
        </w:rPr>
        <w:t xml:space="preserve"> and climate changes to </w:t>
      </w:r>
      <w:r w:rsidR="000968E2">
        <w:rPr>
          <w:color w:val="000000" w:themeColor="text1"/>
        </w:rPr>
        <w:t xml:space="preserve">the </w:t>
      </w:r>
      <w:r w:rsidR="00C37E43">
        <w:rPr>
          <w:color w:val="000000" w:themeColor="text1"/>
        </w:rPr>
        <w:t>i</w:t>
      </w:r>
      <w:r w:rsidR="00EE501E">
        <w:rPr>
          <w:color w:val="000000" w:themeColor="text1"/>
        </w:rPr>
        <w:t>WUE</w:t>
      </w:r>
      <w:r w:rsidR="005100BD" w:rsidRPr="001B08EE">
        <w:rPr>
          <w:rFonts w:cs="Times New Roman"/>
          <w:vertAlign w:val="superscript"/>
        </w:rPr>
        <w:t>l</w:t>
      </w:r>
      <w:r w:rsidR="005100BD">
        <w:rPr>
          <w:rFonts w:cs="Times New Roman"/>
          <w:vertAlign w:val="superscript"/>
        </w:rPr>
        <w:t>eaf</w:t>
      </w:r>
      <w:r w:rsidR="00EE501E">
        <w:rPr>
          <w:color w:val="000000" w:themeColor="text1"/>
        </w:rPr>
        <w:t xml:space="preserve"> trend</w:t>
      </w:r>
      <w:r w:rsidR="00B51654">
        <w:rPr>
          <w:color w:val="000000" w:themeColor="text1"/>
        </w:rPr>
        <w:t>s</w:t>
      </w:r>
      <w:r w:rsidR="00454A4C" w:rsidRPr="00106A23">
        <w:rPr>
          <w:color w:val="000000" w:themeColor="text1"/>
        </w:rPr>
        <w:t xml:space="preserve">. </w:t>
      </w:r>
      <w:r w:rsidR="00EB02F0" w:rsidRPr="00FF5082">
        <w:rPr>
          <w:color w:val="000000" w:themeColor="text1"/>
        </w:rPr>
        <w:t>We a</w:t>
      </w:r>
      <w:r w:rsidR="00454A4C" w:rsidRPr="00FF5082">
        <w:rPr>
          <w:color w:val="000000" w:themeColor="text1"/>
        </w:rPr>
        <w:t>ppl</w:t>
      </w:r>
      <w:r w:rsidR="00EB02F0" w:rsidRPr="00FF5082">
        <w:rPr>
          <w:color w:val="000000" w:themeColor="text1"/>
        </w:rPr>
        <w:t>ied</w:t>
      </w:r>
      <w:r w:rsidR="00454A4C" w:rsidRPr="00FF5082">
        <w:rPr>
          <w:color w:val="000000" w:themeColor="text1"/>
        </w:rPr>
        <w:t xml:space="preserve"> this procedure to a </w:t>
      </w:r>
      <w:r w:rsidR="00A47ABE">
        <w:rPr>
          <w:color w:val="000000" w:themeColor="text1"/>
        </w:rPr>
        <w:t>tree-ring</w:t>
      </w:r>
      <w:r w:rsidR="00454A4C" w:rsidRPr="00FF5082">
        <w:rPr>
          <w:color w:val="000000" w:themeColor="text1"/>
        </w:rPr>
        <w:t xml:space="preserve"> network of </w:t>
      </w:r>
      <w:r w:rsidR="00F53C1D">
        <w:rPr>
          <w:color w:val="000000" w:themeColor="text1"/>
        </w:rPr>
        <w:t>9</w:t>
      </w:r>
      <w:r w:rsidR="00454A4C" w:rsidRPr="00FF5082">
        <w:rPr>
          <w:color w:val="000000" w:themeColor="text1"/>
        </w:rPr>
        <w:t xml:space="preserve"> sites available in the </w:t>
      </w:r>
      <w:r w:rsidR="0071548B" w:rsidRPr="00FF5082">
        <w:rPr>
          <w:color w:val="000000" w:themeColor="text1"/>
        </w:rPr>
        <w:t xml:space="preserve">ITRDB </w:t>
      </w:r>
      <w:r w:rsidR="00126BC0" w:rsidRPr="00FF5082">
        <w:rPr>
          <w:color w:val="000000" w:themeColor="text1"/>
        </w:rPr>
        <w:t xml:space="preserve">from </w:t>
      </w:r>
      <w:r w:rsidR="00540401">
        <w:rPr>
          <w:color w:val="000000" w:themeColor="text1"/>
        </w:rPr>
        <w:t>temperate forests</w:t>
      </w:r>
      <w:r w:rsidR="00EC2436">
        <w:rPr>
          <w:color w:val="000000" w:themeColor="text1"/>
        </w:rPr>
        <w:t xml:space="preserve"> </w:t>
      </w:r>
      <w:r w:rsidR="00334E76">
        <w:rPr>
          <w:color w:val="000000" w:themeColor="text1"/>
        </w:rPr>
        <w:t xml:space="preserve">assessed to be </w:t>
      </w:r>
      <w:r w:rsidR="00EC2436">
        <w:rPr>
          <w:color w:val="000000" w:themeColor="text1"/>
        </w:rPr>
        <w:t xml:space="preserve">sensitive to </w:t>
      </w:r>
      <w:r w:rsidR="00667F29">
        <w:rPr>
          <w:color w:val="000000" w:themeColor="text1"/>
        </w:rPr>
        <w:t xml:space="preserve">evaporative demand </w:t>
      </w:r>
      <w:r w:rsidR="00454A4C" w:rsidRPr="00FF5082">
        <w:rPr>
          <w:color w:val="000000" w:themeColor="text1"/>
        </w:rPr>
        <w:t>(</w:t>
      </w:r>
      <w:r w:rsidR="004F37BB">
        <w:rPr>
          <w:color w:val="000000" w:themeColor="text1"/>
        </w:rPr>
        <w:t>i.e. VPD</w:t>
      </w:r>
      <w:r w:rsidR="00CB465D">
        <w:rPr>
          <w:color w:val="000000" w:themeColor="text1"/>
        </w:rPr>
        <w:t xml:space="preserve"> and </w:t>
      </w:r>
      <w:r w:rsidR="00CB465D" w:rsidRPr="00F81591">
        <w:rPr>
          <w:i/>
          <w:color w:val="000000" w:themeColor="text1"/>
        </w:rPr>
        <w:t>T</w:t>
      </w:r>
      <w:r w:rsidR="00CB465D" w:rsidRPr="00CB465D">
        <w:rPr>
          <w:color w:val="000000" w:themeColor="text1"/>
          <w:vertAlign w:val="subscript"/>
        </w:rPr>
        <w:t>air</w:t>
      </w:r>
      <w:r w:rsidR="004F37BB">
        <w:rPr>
          <w:color w:val="000000" w:themeColor="text1"/>
        </w:rPr>
        <w:t xml:space="preserve">; </w:t>
      </w:r>
      <w:r w:rsidR="00454A4C" w:rsidRPr="00FF5082">
        <w:rPr>
          <w:color w:val="000000" w:themeColor="text1"/>
        </w:rPr>
        <w:t>see Table S5)</w:t>
      </w:r>
      <w:r w:rsidR="00E30E30">
        <w:rPr>
          <w:color w:val="000000" w:themeColor="text1"/>
        </w:rPr>
        <w:t xml:space="preserve">, and compared the effect of using either of the </w:t>
      </w:r>
      <w:r w:rsidR="00805C92">
        <w:rPr>
          <w:color w:val="000000" w:themeColor="text1"/>
        </w:rPr>
        <w:t>t</w:t>
      </w:r>
      <w:r w:rsidR="004D4A5A">
        <w:rPr>
          <w:color w:val="000000" w:themeColor="text1"/>
        </w:rPr>
        <w:t>wo</w:t>
      </w:r>
      <w:r w:rsidR="00805C92" w:rsidRPr="00FF5082">
        <w:rPr>
          <w:color w:val="000000" w:themeColor="text1"/>
        </w:rPr>
        <w:t xml:space="preserve"> </w:t>
      </w:r>
      <w:r w:rsidR="00881067" w:rsidRPr="00FF5082">
        <w:rPr>
          <w:color w:val="000000" w:themeColor="text1"/>
        </w:rPr>
        <w:t>model</w:t>
      </w:r>
      <w:r w:rsidR="00E6309A" w:rsidRPr="00FF5082">
        <w:rPr>
          <w:color w:val="000000" w:themeColor="text1"/>
        </w:rPr>
        <w:t>s</w:t>
      </w:r>
      <w:r w:rsidR="00881067" w:rsidRPr="00FF5082">
        <w:rPr>
          <w:color w:val="000000" w:themeColor="text1"/>
        </w:rPr>
        <w:t xml:space="preserve"> for </w:t>
      </w:r>
      <w:r w:rsidR="00881067" w:rsidRPr="00FF5082">
        <w:rPr>
          <w:rFonts w:cs="Times New Roman"/>
          <w:color w:val="000000" w:themeColor="text1"/>
        </w:rPr>
        <w:t>Δ</w:t>
      </w:r>
      <w:r w:rsidR="00881067" w:rsidRPr="00FF5082">
        <w:rPr>
          <w:rFonts w:cs="Times New Roman"/>
          <w:color w:val="000000" w:themeColor="text1"/>
          <w:vertAlign w:val="superscript"/>
        </w:rPr>
        <w:t>13</w:t>
      </w:r>
      <w:r w:rsidR="00881067" w:rsidRPr="00FF5082">
        <w:rPr>
          <w:rFonts w:cs="Times New Roman"/>
          <w:color w:val="000000" w:themeColor="text1"/>
        </w:rPr>
        <w:t>C</w:t>
      </w:r>
      <w:r w:rsidR="00E30E30">
        <w:rPr>
          <w:rFonts w:cs="Times New Roman"/>
          <w:color w:val="000000" w:themeColor="text1"/>
        </w:rPr>
        <w:t xml:space="preserve"> </w:t>
      </w:r>
      <w:r w:rsidR="00DD5A4E">
        <w:rPr>
          <w:rFonts w:cs="Times New Roman"/>
          <w:color w:val="000000" w:themeColor="text1"/>
        </w:rPr>
        <w:t>(equation</w:t>
      </w:r>
      <w:r w:rsidR="00922AB4">
        <w:rPr>
          <w:rFonts w:cs="Times New Roman"/>
          <w:color w:val="000000" w:themeColor="text1"/>
        </w:rPr>
        <w:t>s</w:t>
      </w:r>
      <w:r w:rsidR="00DD5A4E">
        <w:rPr>
          <w:rFonts w:cs="Times New Roman"/>
          <w:color w:val="000000" w:themeColor="text1"/>
        </w:rPr>
        <w:t xml:space="preserve"> </w:t>
      </w:r>
      <w:r w:rsidR="00DC16CE">
        <w:rPr>
          <w:rFonts w:cs="Times New Roman"/>
          <w:color w:val="000000" w:themeColor="text1"/>
        </w:rPr>
        <w:t>3</w:t>
      </w:r>
      <w:r w:rsidR="00922AB4">
        <w:rPr>
          <w:rFonts w:cs="Times New Roman"/>
          <w:color w:val="000000" w:themeColor="text1"/>
        </w:rPr>
        <w:t xml:space="preserve"> and 1</w:t>
      </w:r>
      <w:r w:rsidR="004D4A5A">
        <w:rPr>
          <w:rFonts w:cs="Times New Roman"/>
          <w:color w:val="000000" w:themeColor="text1"/>
        </w:rPr>
        <w:t>1</w:t>
      </w:r>
      <w:r w:rsidR="00DD5A4E">
        <w:rPr>
          <w:rFonts w:cs="Times New Roman"/>
          <w:color w:val="000000" w:themeColor="text1"/>
        </w:rPr>
        <w:t>)</w:t>
      </w:r>
      <w:r w:rsidR="0057539F">
        <w:rPr>
          <w:rFonts w:cs="Times New Roman"/>
          <w:color w:val="000000" w:themeColor="text1"/>
        </w:rPr>
        <w:t xml:space="preserve"> </w:t>
      </w:r>
      <w:r w:rsidR="00334E76">
        <w:rPr>
          <w:rFonts w:cs="Times New Roman"/>
          <w:color w:val="000000" w:themeColor="text1"/>
        </w:rPr>
        <w:t xml:space="preserve">to </w:t>
      </w:r>
      <w:r w:rsidR="0057539F">
        <w:rPr>
          <w:rFonts w:cs="Times New Roman"/>
          <w:color w:val="000000" w:themeColor="text1"/>
        </w:rPr>
        <w:t xml:space="preserve">infer </w:t>
      </w:r>
      <w:r w:rsidR="00A15ED3">
        <w:rPr>
          <w:rFonts w:cs="Times New Roman"/>
          <w:color w:val="000000" w:themeColor="text1"/>
        </w:rPr>
        <w:t xml:space="preserve">leaf-level </w:t>
      </w:r>
      <w:r w:rsidR="006440FA" w:rsidRPr="00BD2160">
        <w:rPr>
          <w:rFonts w:cs="Times New Roman"/>
        </w:rPr>
        <w:t>iWUE</w:t>
      </w:r>
      <w:r w:rsidR="0057539F">
        <w:rPr>
          <w:rFonts w:cs="Times New Roman"/>
          <w:color w:val="000000" w:themeColor="text1"/>
        </w:rPr>
        <w:t xml:space="preserve"> trends</w:t>
      </w:r>
      <w:r w:rsidR="003C44E5">
        <w:rPr>
          <w:rFonts w:cs="Times New Roman"/>
          <w:color w:val="000000" w:themeColor="text1"/>
        </w:rPr>
        <w:t xml:space="preserve"> over 199</w:t>
      </w:r>
      <w:r w:rsidR="009B31F1">
        <w:rPr>
          <w:rFonts w:cs="Times New Roman"/>
          <w:color w:val="000000" w:themeColor="text1"/>
        </w:rPr>
        <w:t>2</w:t>
      </w:r>
      <w:r w:rsidR="003C44E5">
        <w:rPr>
          <w:rFonts w:cs="Times New Roman"/>
          <w:color w:val="000000" w:themeColor="text1"/>
        </w:rPr>
        <w:t>-2011</w:t>
      </w:r>
      <w:r w:rsidR="0057539F">
        <w:rPr>
          <w:color w:val="000000" w:themeColor="text1"/>
        </w:rPr>
        <w:t xml:space="preserve">. </w:t>
      </w:r>
      <w:r w:rsidR="00EC2436">
        <w:rPr>
          <w:color w:val="000000" w:themeColor="text1"/>
        </w:rPr>
        <w:t>W</w:t>
      </w:r>
      <w:r w:rsidR="00454A4C" w:rsidRPr="00FF5082">
        <w:rPr>
          <w:color w:val="000000" w:themeColor="text1"/>
        </w:rPr>
        <w:t xml:space="preserve">e found </w:t>
      </w:r>
      <w:r w:rsidR="00922AB4">
        <w:rPr>
          <w:color w:val="000000" w:themeColor="text1"/>
        </w:rPr>
        <w:t xml:space="preserve">significant </w:t>
      </w:r>
      <w:r w:rsidR="00454A4C" w:rsidRPr="00FF5082">
        <w:rPr>
          <w:color w:val="000000" w:themeColor="text1"/>
        </w:rPr>
        <w:t>lower increase</w:t>
      </w:r>
      <w:r w:rsidR="00750E27">
        <w:rPr>
          <w:color w:val="000000" w:themeColor="text1"/>
        </w:rPr>
        <w:t>s</w:t>
      </w:r>
      <w:r w:rsidR="00454A4C" w:rsidRPr="00FF5082">
        <w:rPr>
          <w:color w:val="000000" w:themeColor="text1"/>
        </w:rPr>
        <w:t xml:space="preserve"> in </w:t>
      </w:r>
      <w:r w:rsidR="00454A4C" w:rsidRPr="00FF5082">
        <w:rPr>
          <w:color w:val="000000" w:themeColor="text1"/>
          <w:vertAlign w:val="superscript"/>
        </w:rPr>
        <w:t>cc</w:t>
      </w:r>
      <w:r w:rsidR="006440FA" w:rsidRPr="00BD2160">
        <w:rPr>
          <w:rFonts w:cs="Times New Roman"/>
        </w:rPr>
        <w:t>iWUE</w:t>
      </w:r>
      <w:r w:rsidR="006440FA" w:rsidRPr="001B08EE">
        <w:rPr>
          <w:rFonts w:cs="Times New Roman"/>
          <w:vertAlign w:val="superscript"/>
        </w:rPr>
        <w:t>l</w:t>
      </w:r>
      <w:r w:rsidR="006440FA">
        <w:rPr>
          <w:rFonts w:cs="Times New Roman"/>
          <w:vertAlign w:val="superscript"/>
        </w:rPr>
        <w:t>eaf</w:t>
      </w:r>
      <w:r w:rsidR="00454A4C" w:rsidRPr="00FF5082">
        <w:rPr>
          <w:color w:val="000000" w:themeColor="text1"/>
        </w:rPr>
        <w:t xml:space="preserve"> (0.</w:t>
      </w:r>
      <w:r w:rsidR="00C53F59">
        <w:rPr>
          <w:color w:val="000000" w:themeColor="text1"/>
        </w:rPr>
        <w:t>23</w:t>
      </w:r>
      <w:r w:rsidR="00C53F59" w:rsidRPr="00FF5082">
        <w:rPr>
          <w:color w:val="000000" w:themeColor="text1"/>
        </w:rPr>
        <w:t xml:space="preserve"> </w:t>
      </w:r>
      <w:r w:rsidR="00454A4C" w:rsidRPr="00FF5082">
        <w:rPr>
          <w:color w:val="000000" w:themeColor="text1"/>
        </w:rPr>
        <w:sym w:font="Symbol" w:char="F0B1"/>
      </w:r>
      <w:r w:rsidR="00454A4C" w:rsidRPr="00FF5082">
        <w:rPr>
          <w:color w:val="000000" w:themeColor="text1"/>
        </w:rPr>
        <w:t xml:space="preserve"> 0.</w:t>
      </w:r>
      <w:r w:rsidR="00BF3076">
        <w:rPr>
          <w:color w:val="000000" w:themeColor="text1"/>
        </w:rPr>
        <w:t>1</w:t>
      </w:r>
      <w:r w:rsidR="00430AFD">
        <w:rPr>
          <w:color w:val="000000" w:themeColor="text1"/>
        </w:rPr>
        <w:t>1</w:t>
      </w:r>
      <w:r w:rsidR="0064264D">
        <w:rPr>
          <w:color w:val="000000" w:themeColor="text1"/>
        </w:rPr>
        <w:t xml:space="preserve"> </w:t>
      </w:r>
      <w:r w:rsidR="00881067" w:rsidRPr="00FF5082">
        <w:rPr>
          <w:color w:val="000000" w:themeColor="text1"/>
        </w:rPr>
        <w:t>and</w:t>
      </w:r>
      <w:r w:rsidR="002B431A" w:rsidRPr="00FF5082">
        <w:rPr>
          <w:color w:val="000000" w:themeColor="text1"/>
        </w:rPr>
        <w:t xml:space="preserve"> 0.</w:t>
      </w:r>
      <w:r w:rsidR="00BF3076">
        <w:rPr>
          <w:color w:val="000000" w:themeColor="text1"/>
        </w:rPr>
        <w:t>23</w:t>
      </w:r>
      <w:r w:rsidR="00BF3076" w:rsidRPr="00FF5082">
        <w:rPr>
          <w:color w:val="000000" w:themeColor="text1"/>
        </w:rPr>
        <w:t xml:space="preserve"> </w:t>
      </w:r>
      <w:r w:rsidR="002B431A" w:rsidRPr="00FF5082">
        <w:rPr>
          <w:color w:val="000000" w:themeColor="text1"/>
        </w:rPr>
        <w:sym w:font="Symbol" w:char="F0B1"/>
      </w:r>
      <w:r w:rsidR="002B431A" w:rsidRPr="00FF5082">
        <w:rPr>
          <w:color w:val="000000" w:themeColor="text1"/>
        </w:rPr>
        <w:t xml:space="preserve"> 0.</w:t>
      </w:r>
      <w:r w:rsidR="007D2427">
        <w:rPr>
          <w:color w:val="000000" w:themeColor="text1"/>
        </w:rPr>
        <w:t>17</w:t>
      </w:r>
      <w:r w:rsidR="00454A4C" w:rsidRPr="00FF5082">
        <w:rPr>
          <w:color w:val="000000" w:themeColor="text1"/>
        </w:rPr>
        <w:t>% yr</w:t>
      </w:r>
      <w:r w:rsidR="00454A4C" w:rsidRPr="00FF5082">
        <w:rPr>
          <w:color w:val="000000" w:themeColor="text1"/>
          <w:vertAlign w:val="superscript"/>
        </w:rPr>
        <w:t>-1</w:t>
      </w:r>
      <w:r w:rsidR="00881067" w:rsidRPr="00FF5082">
        <w:rPr>
          <w:color w:val="000000" w:themeColor="text1"/>
        </w:rPr>
        <w:t>, respectively</w:t>
      </w:r>
      <w:r w:rsidR="00822C38">
        <w:rPr>
          <w:color w:val="000000" w:themeColor="text1"/>
        </w:rPr>
        <w:t xml:space="preserve"> for equation </w:t>
      </w:r>
      <w:r w:rsidR="00E550D9">
        <w:rPr>
          <w:color w:val="000000" w:themeColor="text1"/>
        </w:rPr>
        <w:t>3</w:t>
      </w:r>
      <w:r w:rsidR="004D4A5A">
        <w:rPr>
          <w:color w:val="000000" w:themeColor="text1"/>
        </w:rPr>
        <w:t xml:space="preserve"> </w:t>
      </w:r>
      <w:r w:rsidR="00822C38">
        <w:rPr>
          <w:color w:val="000000" w:themeColor="text1"/>
        </w:rPr>
        <w:t xml:space="preserve">and </w:t>
      </w:r>
      <w:r w:rsidR="00BF3076">
        <w:rPr>
          <w:color w:val="000000" w:themeColor="text1"/>
        </w:rPr>
        <w:t>1</w:t>
      </w:r>
      <w:r w:rsidR="004D4A5A">
        <w:rPr>
          <w:color w:val="000000" w:themeColor="text1"/>
        </w:rPr>
        <w:t>1</w:t>
      </w:r>
      <w:r w:rsidR="00454A4C" w:rsidRPr="00FF5082">
        <w:rPr>
          <w:color w:val="000000" w:themeColor="text1"/>
        </w:rPr>
        <w:t xml:space="preserve">) than </w:t>
      </w:r>
      <w:r w:rsidR="001D34F0">
        <w:rPr>
          <w:color w:val="000000" w:themeColor="text1"/>
        </w:rPr>
        <w:t>those</w:t>
      </w:r>
      <w:r w:rsidR="001D34F0" w:rsidRPr="00FF5082">
        <w:rPr>
          <w:color w:val="000000" w:themeColor="text1"/>
        </w:rPr>
        <w:t xml:space="preserve"> </w:t>
      </w:r>
      <w:r w:rsidR="00454A4C" w:rsidRPr="00FF5082">
        <w:rPr>
          <w:color w:val="000000" w:themeColor="text1"/>
        </w:rPr>
        <w:t xml:space="preserve">estimated without correcting for </w:t>
      </w:r>
      <w:r w:rsidR="00C06FE7">
        <w:rPr>
          <w:color w:val="000000" w:themeColor="text1"/>
        </w:rPr>
        <w:t>VPD</w:t>
      </w:r>
      <w:r w:rsidR="005845EF">
        <w:rPr>
          <w:color w:val="000000" w:themeColor="text1"/>
        </w:rPr>
        <w:t xml:space="preserve"> or </w:t>
      </w:r>
      <w:r w:rsidR="003E1F9E" w:rsidRPr="00D85EE3">
        <w:rPr>
          <w:i/>
          <w:color w:val="000000" w:themeColor="text1"/>
        </w:rPr>
        <w:t>T</w:t>
      </w:r>
      <w:r w:rsidR="003E1F9E" w:rsidRPr="003E1F9E">
        <w:rPr>
          <w:color w:val="000000" w:themeColor="text1"/>
          <w:vertAlign w:val="subscript"/>
        </w:rPr>
        <w:t>air</w:t>
      </w:r>
      <w:r w:rsidR="00454A4C" w:rsidRPr="00FF5082">
        <w:rPr>
          <w:color w:val="000000" w:themeColor="text1"/>
        </w:rPr>
        <w:t xml:space="preserve"> (</w:t>
      </w:r>
      <w:r w:rsidR="00BA3FBC" w:rsidRPr="00FF5082">
        <w:rPr>
          <w:color w:val="000000" w:themeColor="text1"/>
        </w:rPr>
        <w:t>0.</w:t>
      </w:r>
      <w:r w:rsidR="0084587F">
        <w:rPr>
          <w:color w:val="000000" w:themeColor="text1"/>
        </w:rPr>
        <w:t>53</w:t>
      </w:r>
      <w:r w:rsidR="0084587F" w:rsidRPr="00FF5082">
        <w:rPr>
          <w:color w:val="000000" w:themeColor="text1"/>
        </w:rPr>
        <w:t xml:space="preserve"> </w:t>
      </w:r>
      <w:r w:rsidR="00BA3FBC" w:rsidRPr="00FF5082">
        <w:rPr>
          <w:color w:val="000000" w:themeColor="text1"/>
        </w:rPr>
        <w:sym w:font="Symbol" w:char="F0B1"/>
      </w:r>
      <w:r w:rsidR="00BA3FBC" w:rsidRPr="00FF5082">
        <w:rPr>
          <w:color w:val="000000" w:themeColor="text1"/>
        </w:rPr>
        <w:t xml:space="preserve"> 0.</w:t>
      </w:r>
      <w:r w:rsidR="00B232BB">
        <w:rPr>
          <w:color w:val="000000" w:themeColor="text1"/>
        </w:rPr>
        <w:t>36</w:t>
      </w:r>
      <w:r w:rsidR="00FA4FD5">
        <w:rPr>
          <w:color w:val="000000" w:themeColor="text1"/>
        </w:rPr>
        <w:t xml:space="preserve"> </w:t>
      </w:r>
      <w:r w:rsidR="00BA3FBC" w:rsidRPr="00FF5082">
        <w:rPr>
          <w:color w:val="000000" w:themeColor="text1"/>
        </w:rPr>
        <w:t>and 0.</w:t>
      </w:r>
      <w:r w:rsidR="005E49F0">
        <w:rPr>
          <w:color w:val="000000" w:themeColor="text1"/>
        </w:rPr>
        <w:t>49</w:t>
      </w:r>
      <w:r w:rsidR="005E49F0" w:rsidRPr="00FF5082">
        <w:rPr>
          <w:color w:val="000000" w:themeColor="text1"/>
        </w:rPr>
        <w:t xml:space="preserve"> </w:t>
      </w:r>
      <w:r w:rsidR="00BA3FBC" w:rsidRPr="00FF5082">
        <w:rPr>
          <w:color w:val="000000" w:themeColor="text1"/>
        </w:rPr>
        <w:sym w:font="Symbol" w:char="F0B1"/>
      </w:r>
      <w:r w:rsidR="00BA3FBC" w:rsidRPr="00FF5082">
        <w:rPr>
          <w:color w:val="000000" w:themeColor="text1"/>
        </w:rPr>
        <w:t xml:space="preserve"> 0.</w:t>
      </w:r>
      <w:r w:rsidR="00B232BB">
        <w:rPr>
          <w:color w:val="000000" w:themeColor="text1"/>
        </w:rPr>
        <w:t>28</w:t>
      </w:r>
      <w:r w:rsidR="00BA3FBC" w:rsidRPr="00724197">
        <w:rPr>
          <w:color w:val="000000" w:themeColor="text1"/>
        </w:rPr>
        <w:t>% yr</w:t>
      </w:r>
      <w:r w:rsidR="00BA3FBC" w:rsidRPr="00724197">
        <w:rPr>
          <w:color w:val="000000" w:themeColor="text1"/>
          <w:vertAlign w:val="superscript"/>
        </w:rPr>
        <w:t>-1</w:t>
      </w:r>
      <w:r w:rsidR="00881067" w:rsidRPr="00724197">
        <w:rPr>
          <w:color w:val="000000" w:themeColor="text1"/>
        </w:rPr>
        <w:t>, respectively;</w:t>
      </w:r>
      <w:r w:rsidR="00A7603C" w:rsidRPr="00724197">
        <w:rPr>
          <w:color w:val="000000" w:themeColor="text1"/>
        </w:rPr>
        <w:t xml:space="preserve"> </w:t>
      </w:r>
      <w:r w:rsidR="00653B78">
        <w:rPr>
          <w:color w:val="000000" w:themeColor="text1"/>
        </w:rPr>
        <w:t xml:space="preserve">median </w:t>
      </w:r>
      <w:r w:rsidR="00653B78" w:rsidRPr="00FF5082">
        <w:rPr>
          <w:color w:val="000000" w:themeColor="text1"/>
        </w:rPr>
        <w:sym w:font="Symbol" w:char="F0B1"/>
      </w:r>
      <w:r w:rsidR="00653B78">
        <w:rPr>
          <w:color w:val="000000" w:themeColor="text1"/>
        </w:rPr>
        <w:t xml:space="preserve"> </w:t>
      </w:r>
      <w:r w:rsidR="00D85EE3">
        <w:rPr>
          <w:color w:val="000000" w:themeColor="text1"/>
        </w:rPr>
        <w:t>interquartile range</w:t>
      </w:r>
      <w:r w:rsidR="00653B78">
        <w:rPr>
          <w:color w:val="000000" w:themeColor="text1"/>
        </w:rPr>
        <w:t>,</w:t>
      </w:r>
      <w:r w:rsidR="00653B78" w:rsidRPr="00724197">
        <w:rPr>
          <w:rFonts w:cs="Times New Roman"/>
          <w:color w:val="000000" w:themeColor="text1"/>
        </w:rPr>
        <w:t xml:space="preserve"> </w:t>
      </w:r>
      <w:r w:rsidR="002D6D96" w:rsidRPr="00724197">
        <w:rPr>
          <w:rFonts w:cs="Times New Roman"/>
          <w:color w:val="000000" w:themeColor="text1"/>
        </w:rPr>
        <w:t>Fig</w:t>
      </w:r>
      <w:r w:rsidR="00DD497B">
        <w:rPr>
          <w:rFonts w:cs="Times New Roman"/>
          <w:color w:val="000000" w:themeColor="text1"/>
        </w:rPr>
        <w:t>.</w:t>
      </w:r>
      <w:r w:rsidR="002D6D96" w:rsidRPr="00724197">
        <w:rPr>
          <w:rFonts w:cs="Times New Roman"/>
          <w:color w:val="000000" w:themeColor="text1"/>
        </w:rPr>
        <w:t xml:space="preserve"> 3)</w:t>
      </w:r>
      <w:r w:rsidR="00A060DA" w:rsidRPr="00724197">
        <w:rPr>
          <w:color w:val="000000" w:themeColor="text1"/>
        </w:rPr>
        <w:t>.</w:t>
      </w:r>
      <w:r w:rsidR="00B810F8">
        <w:rPr>
          <w:color w:val="000000" w:themeColor="text1"/>
        </w:rPr>
        <w:t xml:space="preserve"> </w:t>
      </w:r>
      <w:r w:rsidR="00E04F35">
        <w:rPr>
          <w:color w:val="000000" w:themeColor="text1"/>
        </w:rPr>
        <w:t>Even though t</w:t>
      </w:r>
      <w:r w:rsidR="002D51AF" w:rsidRPr="00724197">
        <w:rPr>
          <w:color w:val="000000" w:themeColor="text1"/>
        </w:rPr>
        <w:t xml:space="preserve">he difference in trends between </w:t>
      </w:r>
      <w:r w:rsidR="006440FA" w:rsidRPr="00BD2160">
        <w:rPr>
          <w:rFonts w:cs="Times New Roman"/>
        </w:rPr>
        <w:t>iWUE</w:t>
      </w:r>
      <w:r w:rsidR="006440FA" w:rsidRPr="001B08EE">
        <w:rPr>
          <w:rFonts w:cs="Times New Roman"/>
          <w:vertAlign w:val="superscript"/>
        </w:rPr>
        <w:t>l</w:t>
      </w:r>
      <w:r w:rsidR="006440FA">
        <w:rPr>
          <w:rFonts w:cs="Times New Roman"/>
          <w:vertAlign w:val="superscript"/>
        </w:rPr>
        <w:t>eaf</w:t>
      </w:r>
      <w:r w:rsidR="008B5EE2">
        <w:rPr>
          <w:color w:val="000000" w:themeColor="text1"/>
        </w:rPr>
        <w:t xml:space="preserve"> </w:t>
      </w:r>
      <w:r w:rsidR="002D51AF" w:rsidRPr="00724197">
        <w:rPr>
          <w:color w:val="000000" w:themeColor="text1"/>
        </w:rPr>
        <w:t>estimat</w:t>
      </w:r>
      <w:r w:rsidR="008B5EE2">
        <w:rPr>
          <w:color w:val="000000" w:themeColor="text1"/>
        </w:rPr>
        <w:t>ed</w:t>
      </w:r>
      <w:r w:rsidR="002D51AF" w:rsidRPr="00724197">
        <w:rPr>
          <w:color w:val="000000" w:themeColor="text1"/>
        </w:rPr>
        <w:t xml:space="preserve"> from the t</w:t>
      </w:r>
      <w:r w:rsidR="00F93D46">
        <w:rPr>
          <w:color w:val="000000" w:themeColor="text1"/>
        </w:rPr>
        <w:t>wo</w:t>
      </w:r>
      <w:r w:rsidR="002D51AF" w:rsidRPr="00724197">
        <w:rPr>
          <w:color w:val="000000" w:themeColor="text1"/>
        </w:rPr>
        <w:t xml:space="preserve"> </w:t>
      </w:r>
      <w:r w:rsidR="002D51AF" w:rsidRPr="00BD2160">
        <w:rPr>
          <w:rFonts w:cs="Times New Roman"/>
          <w:color w:val="000000" w:themeColor="text1"/>
        </w:rPr>
        <w:t>Δ</w:t>
      </w:r>
      <w:r w:rsidR="002D51AF" w:rsidRPr="00BD2160">
        <w:rPr>
          <w:rFonts w:cs="Times New Roman"/>
          <w:color w:val="000000" w:themeColor="text1"/>
          <w:vertAlign w:val="superscript"/>
        </w:rPr>
        <w:t>13</w:t>
      </w:r>
      <w:r w:rsidR="002D51AF" w:rsidRPr="00BD2160">
        <w:rPr>
          <w:rFonts w:cs="Times New Roman"/>
          <w:color w:val="000000" w:themeColor="text1"/>
        </w:rPr>
        <w:t>C</w:t>
      </w:r>
      <w:r w:rsidR="002D51AF" w:rsidRPr="00724197">
        <w:rPr>
          <w:color w:val="000000" w:themeColor="text1"/>
        </w:rPr>
        <w:t xml:space="preserve"> models </w:t>
      </w:r>
      <w:r w:rsidR="009271BC">
        <w:rPr>
          <w:color w:val="000000" w:themeColor="text1"/>
        </w:rPr>
        <w:t>a</w:t>
      </w:r>
      <w:r w:rsidR="002D51AF" w:rsidRPr="00724197">
        <w:rPr>
          <w:color w:val="000000" w:themeColor="text1"/>
        </w:rPr>
        <w:t>re not significant</w:t>
      </w:r>
      <w:r w:rsidR="002D51AF">
        <w:rPr>
          <w:color w:val="000000" w:themeColor="text1"/>
        </w:rPr>
        <w:t>,</w:t>
      </w:r>
      <w:r w:rsidR="002D51AF" w:rsidRPr="00724197">
        <w:rPr>
          <w:color w:val="000000" w:themeColor="text1"/>
        </w:rPr>
        <w:t xml:space="preserve"> </w:t>
      </w:r>
      <w:r w:rsidR="00F907C4" w:rsidRPr="00724197">
        <w:rPr>
          <w:color w:val="000000" w:themeColor="text1"/>
        </w:rPr>
        <w:t>the amplitudes of</w:t>
      </w:r>
      <w:r w:rsidR="0074066A">
        <w:rPr>
          <w:color w:val="000000" w:themeColor="text1"/>
        </w:rPr>
        <w:t xml:space="preserve"> </w:t>
      </w:r>
      <w:r w:rsidR="00F907C4" w:rsidRPr="00724197">
        <w:rPr>
          <w:color w:val="000000" w:themeColor="text1"/>
        </w:rPr>
        <w:t xml:space="preserve">variation in </w:t>
      </w:r>
      <w:r w:rsidR="006440FA" w:rsidRPr="00BD2160">
        <w:rPr>
          <w:rFonts w:cs="Times New Roman"/>
        </w:rPr>
        <w:t>iWUE</w:t>
      </w:r>
      <w:r w:rsidR="006440FA" w:rsidRPr="001B08EE">
        <w:rPr>
          <w:rFonts w:cs="Times New Roman"/>
          <w:vertAlign w:val="superscript"/>
        </w:rPr>
        <w:t>l</w:t>
      </w:r>
      <w:r w:rsidR="006440FA">
        <w:rPr>
          <w:rFonts w:cs="Times New Roman"/>
          <w:vertAlign w:val="superscript"/>
        </w:rPr>
        <w:t>eaf</w:t>
      </w:r>
      <w:r w:rsidR="008B5EE2">
        <w:rPr>
          <w:color w:val="000000" w:themeColor="text1"/>
        </w:rPr>
        <w:t xml:space="preserve"> </w:t>
      </w:r>
      <w:r w:rsidR="00F907C4" w:rsidRPr="00724197">
        <w:rPr>
          <w:color w:val="000000" w:themeColor="text1"/>
        </w:rPr>
        <w:t xml:space="preserve">trends </w:t>
      </w:r>
      <w:r w:rsidR="009271BC">
        <w:rPr>
          <w:color w:val="000000" w:themeColor="text1"/>
        </w:rPr>
        <w:t>between sites a</w:t>
      </w:r>
      <w:r w:rsidR="00F907C4" w:rsidRPr="00724197">
        <w:rPr>
          <w:color w:val="000000" w:themeColor="text1"/>
        </w:rPr>
        <w:t xml:space="preserve">re lower using </w:t>
      </w:r>
      <w:r w:rsidR="00724197" w:rsidRPr="00724197">
        <w:rPr>
          <w:color w:val="000000" w:themeColor="text1"/>
        </w:rPr>
        <w:t>equation (1</w:t>
      </w:r>
      <w:r w:rsidR="007A004E">
        <w:rPr>
          <w:color w:val="000000" w:themeColor="text1"/>
        </w:rPr>
        <w:t>1</w:t>
      </w:r>
      <w:r w:rsidR="00724197" w:rsidRPr="00724197">
        <w:rPr>
          <w:color w:val="000000" w:themeColor="text1"/>
        </w:rPr>
        <w:t>) than equation (</w:t>
      </w:r>
      <w:r w:rsidR="00333241">
        <w:rPr>
          <w:color w:val="000000" w:themeColor="text1"/>
        </w:rPr>
        <w:t>3</w:t>
      </w:r>
      <w:r w:rsidR="00724197" w:rsidRPr="00724197">
        <w:rPr>
          <w:color w:val="000000" w:themeColor="text1"/>
        </w:rPr>
        <w:t>)</w:t>
      </w:r>
      <w:r w:rsidR="003630F8">
        <w:rPr>
          <w:color w:val="000000" w:themeColor="text1"/>
        </w:rPr>
        <w:t xml:space="preserve">, </w:t>
      </w:r>
      <w:r w:rsidR="00611AA3">
        <w:rPr>
          <w:color w:val="000000" w:themeColor="text1"/>
        </w:rPr>
        <w:t>suggest</w:t>
      </w:r>
      <w:r w:rsidR="003630F8">
        <w:rPr>
          <w:color w:val="000000" w:themeColor="text1"/>
        </w:rPr>
        <w:t xml:space="preserve">ing that </w:t>
      </w:r>
      <w:r w:rsidR="00E118E4">
        <w:rPr>
          <w:color w:val="000000" w:themeColor="text1"/>
        </w:rPr>
        <w:t>adding the photorespiration term in the discrimination model tend</w:t>
      </w:r>
      <w:r w:rsidR="001D34F0">
        <w:rPr>
          <w:color w:val="000000" w:themeColor="text1"/>
        </w:rPr>
        <w:t>s</w:t>
      </w:r>
      <w:r w:rsidR="00E118E4">
        <w:rPr>
          <w:color w:val="000000" w:themeColor="text1"/>
        </w:rPr>
        <w:t xml:space="preserve"> to reduce the </w:t>
      </w:r>
      <w:r w:rsidR="00DC79FC">
        <w:rPr>
          <w:color w:val="000000" w:themeColor="text1"/>
        </w:rPr>
        <w:t xml:space="preserve">inter-site </w:t>
      </w:r>
      <w:r w:rsidR="00E118E4">
        <w:rPr>
          <w:color w:val="000000" w:themeColor="text1"/>
        </w:rPr>
        <w:t>variability and thus the uncertaint</w:t>
      </w:r>
      <w:r w:rsidR="001D34F0">
        <w:rPr>
          <w:color w:val="000000" w:themeColor="text1"/>
        </w:rPr>
        <w:t>y</w:t>
      </w:r>
      <w:r w:rsidR="00F907C4" w:rsidRPr="00724197">
        <w:rPr>
          <w:color w:val="000000" w:themeColor="text1"/>
        </w:rPr>
        <w:t xml:space="preserve">. </w:t>
      </w:r>
      <w:r w:rsidR="00BF2C90" w:rsidRPr="00724197">
        <w:rPr>
          <w:color w:val="000000" w:themeColor="text1"/>
        </w:rPr>
        <w:t>Th</w:t>
      </w:r>
      <w:r w:rsidR="00E4631E">
        <w:rPr>
          <w:color w:val="000000" w:themeColor="text1"/>
        </w:rPr>
        <w:t xml:space="preserve">e trend differences between </w:t>
      </w:r>
      <w:r w:rsidR="006440FA" w:rsidRPr="00BD2160">
        <w:rPr>
          <w:rFonts w:cs="Times New Roman"/>
        </w:rPr>
        <w:t>iWUE</w:t>
      </w:r>
      <w:r w:rsidR="006440FA" w:rsidRPr="001B08EE">
        <w:rPr>
          <w:rFonts w:cs="Times New Roman"/>
          <w:vertAlign w:val="superscript"/>
        </w:rPr>
        <w:t>l</w:t>
      </w:r>
      <w:r w:rsidR="006440FA">
        <w:rPr>
          <w:rFonts w:cs="Times New Roman"/>
          <w:vertAlign w:val="superscript"/>
        </w:rPr>
        <w:t>eaf</w:t>
      </w:r>
      <w:r w:rsidR="00BF2C90" w:rsidRPr="00724197">
        <w:rPr>
          <w:color w:val="000000" w:themeColor="text1"/>
        </w:rPr>
        <w:t xml:space="preserve"> </w:t>
      </w:r>
      <w:r w:rsidR="00E4631E">
        <w:rPr>
          <w:color w:val="000000" w:themeColor="text1"/>
        </w:rPr>
        <w:t xml:space="preserve">and </w:t>
      </w:r>
      <w:r w:rsidR="00E4631E" w:rsidRPr="00E4631E">
        <w:rPr>
          <w:color w:val="000000" w:themeColor="text1"/>
          <w:vertAlign w:val="superscript"/>
        </w:rPr>
        <w:t>cc</w:t>
      </w:r>
      <w:r w:rsidR="006440FA" w:rsidRPr="00BD2160">
        <w:rPr>
          <w:rFonts w:cs="Times New Roman"/>
        </w:rPr>
        <w:t>iWUE</w:t>
      </w:r>
      <w:r w:rsidR="006440FA" w:rsidRPr="001B08EE">
        <w:rPr>
          <w:rFonts w:cs="Times New Roman"/>
          <w:vertAlign w:val="superscript"/>
        </w:rPr>
        <w:t>l</w:t>
      </w:r>
      <w:r w:rsidR="006440FA">
        <w:rPr>
          <w:rFonts w:cs="Times New Roman"/>
          <w:vertAlign w:val="superscript"/>
        </w:rPr>
        <w:t>eaf</w:t>
      </w:r>
      <w:r w:rsidR="00E4631E">
        <w:rPr>
          <w:color w:val="000000" w:themeColor="text1"/>
        </w:rPr>
        <w:t xml:space="preserve"> </w:t>
      </w:r>
      <w:r w:rsidR="00454A4C" w:rsidRPr="00724197">
        <w:rPr>
          <w:color w:val="000000" w:themeColor="text1"/>
        </w:rPr>
        <w:t>suggest tha</w:t>
      </w:r>
      <w:r w:rsidR="00D7283C">
        <w:rPr>
          <w:color w:val="000000" w:themeColor="text1"/>
        </w:rPr>
        <w:t>t</w:t>
      </w:r>
      <w:r w:rsidR="00454A4C" w:rsidRPr="00724197">
        <w:rPr>
          <w:color w:val="000000" w:themeColor="text1"/>
        </w:rPr>
        <w:t xml:space="preserve"> </w:t>
      </w:r>
      <w:r w:rsidR="002F1DD5" w:rsidRPr="00724197">
        <w:rPr>
          <w:color w:val="000000" w:themeColor="text1"/>
        </w:rPr>
        <w:t xml:space="preserve">the increasing trend in </w:t>
      </w:r>
      <w:r w:rsidR="006440FA" w:rsidRPr="00BD2160">
        <w:rPr>
          <w:rFonts w:cs="Times New Roman"/>
        </w:rPr>
        <w:t>iWUE</w:t>
      </w:r>
      <w:r w:rsidR="006440FA" w:rsidRPr="001B08EE">
        <w:rPr>
          <w:rFonts w:cs="Times New Roman"/>
          <w:vertAlign w:val="superscript"/>
        </w:rPr>
        <w:t>l</w:t>
      </w:r>
      <w:r w:rsidR="006440FA">
        <w:rPr>
          <w:rFonts w:cs="Times New Roman"/>
          <w:vertAlign w:val="superscript"/>
        </w:rPr>
        <w:t>eaf</w:t>
      </w:r>
      <w:r w:rsidR="002F1DD5" w:rsidRPr="00724197">
        <w:rPr>
          <w:color w:val="000000" w:themeColor="text1"/>
        </w:rPr>
        <w:t xml:space="preserve"> </w:t>
      </w:r>
      <w:r w:rsidR="002F1DD5">
        <w:rPr>
          <w:color w:val="000000" w:themeColor="text1"/>
        </w:rPr>
        <w:t xml:space="preserve">is </w:t>
      </w:r>
      <w:r w:rsidR="00C310FE">
        <w:rPr>
          <w:color w:val="000000" w:themeColor="text1"/>
        </w:rPr>
        <w:t>primarily driven</w:t>
      </w:r>
      <w:r w:rsidR="002F1DD5">
        <w:rPr>
          <w:color w:val="000000" w:themeColor="text1"/>
        </w:rPr>
        <w:t xml:space="preserve"> by </w:t>
      </w:r>
      <w:r w:rsidR="001B68CE">
        <w:rPr>
          <w:color w:val="000000" w:themeColor="text1"/>
        </w:rPr>
        <w:t>evaporative demand</w:t>
      </w:r>
      <w:r w:rsidR="00B30AA1">
        <w:rPr>
          <w:color w:val="000000" w:themeColor="text1"/>
        </w:rPr>
        <w:t xml:space="preserve"> </w:t>
      </w:r>
      <w:r w:rsidR="00C310FE">
        <w:rPr>
          <w:color w:val="000000" w:themeColor="text1"/>
        </w:rPr>
        <w:t>rather than by</w:t>
      </w:r>
      <w:r w:rsidR="002F1DD5">
        <w:rPr>
          <w:color w:val="000000" w:themeColor="text1"/>
        </w:rPr>
        <w:t xml:space="preserve"> </w:t>
      </w:r>
      <w:r w:rsidR="002F1DD5" w:rsidRPr="00C83231">
        <w:rPr>
          <w:i/>
          <w:color w:val="000000" w:themeColor="text1"/>
        </w:rPr>
        <w:t>c</w:t>
      </w:r>
      <w:r w:rsidR="002F1DD5" w:rsidRPr="00C83231">
        <w:rPr>
          <w:color w:val="000000" w:themeColor="text1"/>
          <w:vertAlign w:val="subscript"/>
        </w:rPr>
        <w:t>a</w:t>
      </w:r>
      <w:r w:rsidR="00E60C49">
        <w:rPr>
          <w:color w:val="000000" w:themeColor="text1"/>
        </w:rPr>
        <w:t>,</w:t>
      </w:r>
      <w:r w:rsidR="00454A4C" w:rsidRPr="00724197">
        <w:rPr>
          <w:rFonts w:cs="Times New Roman"/>
          <w:color w:val="000000" w:themeColor="text1"/>
        </w:rPr>
        <w:t xml:space="preserve"> consistent </w:t>
      </w:r>
      <w:r w:rsidR="00454A4C">
        <w:rPr>
          <w:rFonts w:cs="Times New Roman"/>
          <w:color w:val="000000" w:themeColor="text1"/>
        </w:rPr>
        <w:t xml:space="preserve">with </w:t>
      </w:r>
      <w:r w:rsidR="00E60C49">
        <w:rPr>
          <w:rFonts w:cs="Times New Roman"/>
          <w:color w:val="000000" w:themeColor="text1"/>
        </w:rPr>
        <w:t xml:space="preserve">previous </w:t>
      </w:r>
      <w:r w:rsidR="00454A4C">
        <w:rPr>
          <w:rFonts w:cs="Times New Roman"/>
          <w:color w:val="000000" w:themeColor="text1"/>
        </w:rPr>
        <w:t xml:space="preserve">studies </w:t>
      </w:r>
      <w:r w:rsidR="00454A4C">
        <w:rPr>
          <w:color w:val="000000" w:themeColor="text1"/>
        </w:rPr>
        <w:fldChar w:fldCharType="begin" w:fldLock="1"/>
      </w:r>
      <w:r w:rsidR="00D34863">
        <w:rPr>
          <w:rFonts w:cs="Times New Roman"/>
          <w:color w:val="000000" w:themeColor="text1"/>
        </w:rPr>
        <w:instrText>ADDIN CSL_CITATION {"citationItems":[{"id":"ITEM-1","itemData":{"DOI":"10.1038/nclimate2614","ISBN":"1758-6798","ISSN":"1758-678X","abstract":"The Earth’s carbon and hydrologic cycles are intimately coupled by gas exchange through plant stomata. However, uncertainties in the magnitude and consequences of the physiological responses of plants to elevated CO2 in natural environments hinders modelling of terrestrial water cycling and carbon storage. Here we use annually resolved long-term δ13C tree-ring measurements across a European forest network to reconstruct the physiologically driven response of intercellular CO2 (Ci) caused by atmospheric CO2 (Ca) trends. When removing meteorological signals from the δ13C measurements, we find that trees across Europe regulated gas exchange so that for one ppmv atmospheric CO2 increase, Ci increased by ~0.76 ppmv, most consistent with moderate control towards a constant Ci/Ca ratio. This response corresponds to twentieth-century intrinsic water-use efficiency (iWUE) increases of 14 ± 10 and 22 ± 6% at broadleaf and coniferous sites, respectively. An ensemble of process-based global vegetation models shows similar CO2 effects on iWUE trends. Yet, when operating these models with climate drivers reintroduced, despite decreased stomatal opening, 5% increases in European forest transpiration are calculated over the twentieth century. This counterintuitive result arises from lengthened growing seasons, enhanced evaporative demand in a warming climate, and increased leaf area, which together oppose effects of CO2-induced stomatal closure. Our study questions changes to the hydrological cycle, such as reductions in transpiration and air humidity, hypothesized to result from plant responses to anthropogenic emissions.","author":[{"dropping-particle":"","family":"Frank","given":"D. C.","non-dropping-particle":"","parse-names":false,"suffix":""},{"dropping-particle":"","family":"Poulter","given":"B.","non-dropping-particle":"","parse-names":false,"suffix":""},{"dropping-particle":"","family":"Saurer","given":"M.","non-dropping-particle":"","parse-names":false,"suffix":""},{"dropping-particle":"","family":"Esper","given":"J.","non-dropping-particle":"","parse-names":false,"suffix":""},{"dropping-particle":"","family":"Huntingford","given":"C.","non-dropping-particle":"","parse-names":false,"suffix":""},{"dropping-particle":"","family":"Helle","given":"G.","non-dropping-particle":"","parse-names":false,"suffix":""},{"dropping-particle":"","family":"Treydte","given":"K.","non-dropping-particle":"","parse-names":false,"suffix":""},{"dropping-particle":"","family":"Zimmermann","given":"N. E.","non-dropping-particle":"","parse-names":false,"suffix":""},{"dropping-particle":"","family":"Schleser","given":"G. H.","non-dropping-particle":"","parse-names":false,"suffix":""},{"dropping-particle":"","family":"Ahlström","given":"A.","non-dropping-particle":"","parse-names":false,"suffix":""},{"dropping-particle":"","family":"Ciais","given":"P.","non-dropping-particle":"","parse-names":false,"suffix":""},{"dropping-particle":"","family":"Friedlingstein","given":"P.","non-dropping-particle":"","parse-names":false,"suffix":""},{"dropping-particle":"","family":"Levis","given":"S.","non-dropping-particle":"","parse-names":false,"suffix":""},{"dropping-particle":"","family":"Lomas","given":"M.","non-dropping-particle":"","parse-names":false,"suffix":""},{"dropping-particle":"","family":"Sitch","given":"S.","non-dropping-particle":"","parse-names":false,"suffix":""},{"dropping-particle":"","family":"Viovy","given":"N.","non-dropping-particle":"","parse-names":false,"suffix":""},{"dropping-particle":"","family":"Andreu-Hayles","given":"L.","non-dropping-particle":"","parse-names":false,"suffix":""},{"dropping-particle":"","family":"Bednarz","given":"Z.","non-dropping-particle":"","parse-names":false,"suffix":""},{"dropping-particle":"","family":"Berninger","given":"F.","non-dropping-particle":"","parse-names":false,"suffix":""},{"dropping-particle":"","family":"Boettger","given":"T.","non-dropping-particle":"","parse-names":false,"suffix":""},{"dropping-particle":"","family":"D'Alessandro","given":"C. M.","non-dropping-particle":"","parse-names":false,"suffix":""},{"dropping-particle":"","family":"Daux","given":"V.","non-dropping-particle":"","parse-names":false,"suffix":""},{"dropping-particle":"","family":"Filot","given":"M.","non-dropping-particle":"","parse-names":false,"suffix":""},{"dropping-particle":"","family":"Grabner","given":"M.","non-dropping-particle":"","parse-names":false,"suffix":""},{"dropping-particle":"","family":"Gutierrez","given":"E.","non-dropping-particle":"","parse-names":false,"suffix":""},{"dropping-particle":"","family":"Haupt","given":"M.","non-dropping-particle":"","parse-names":false,"suffix":""},{"dropping-particle":"","family":"Hilasvuori","given":"E.","non-dropping-particle":"","parse-names":false,"suffix":""},{"dropping-particle":"","family":"Jungner","given":"H.","non-dropping-particle":"","parse-names":false,"suffix":""},{"dropping-particle":"","family":"Kalela-Brundin","given":"M.","non-dropping-particle":"","parse-names":false,"suffix":""},{"dropping-particle":"","family":"Krapiec","given":"M.","non-dropping-particle":"","parse-names":false,"suffix":""},{"dropping-particle":"","family":"Leuenberger","given":"M.","non-dropping-particle":"","parse-names":false,"suffix":""},{"dropping-particle":"","family":"Loader","given":"N. J.","non-dropping-particle":"","parse-names":false,"suffix":""},{"dropping-particle":"","family":"Marah","given":"H.","non-dropping-particle":"","parse-names":false,"suffix":""},{"dropping-particle":"","family":"Masson-Delmotte","given":"V.","non-dropping-particle":"","parse-names":false,"suffix":""},{"dropping-particle":"","family":"Pazdur","given":"A.","non-dropping-particle":"","parse-names":false,"suffix":""},{"dropping-particle":"","family":"Pawelczyk","given":"S.","non-dropping-particle":"","parse-names":false,"suffix":""},{"dropping-particle":"","family":"Pierre","given":"M.","non-dropping-particle":"","parse-names":false,"suffix":""},{"dropping-particle":"","family":"Planells","given":"O.","non-dropping-particle":"","parse-names":false,"suffix":""},{"dropping-particle":"","family":"Pukiene","given":"R.","non-dropping-particle":"","parse-names":false,"suffix":""},{"dropping-particle":"","family":"Reynolds-Henne","given":"C. E.","non-dropping-particle":"","parse-names":false,"suffix":""},{"dropping-particle":"","family":"Rinne","given":"K. T.","non-dropping-particle":"","parse-names":false,"suffix":""},{"dropping-particle":"","family":"Saracino","given":"A.","non-dropping-particle":"","parse-names":false,"suffix":""},{"dropping-particle":"","family":"Sonninen","given":"E.","non-dropping-particle":"","parse-names":false,"suffix":""},{"dropping-particle":"","family":"Stievenard","given":"M.","non-dropping-particle":"","parse-names":false,"suffix":""},{"dropping-particle":"","family":"Switsur","given":"V. R.","non-dropping-particle":"","parse-names":false,"suffix":""},{"dropping-particle":"","family":"Szczepanek","given":"M.","non-dropping-particle":"","parse-names":false,"suffix":""},{"dropping-particle":"","family":"Szychowska-Krapiec","given":"E.","non-dropping-particle":"","parse-names":false,"suffix":""},{"dropping-particle":"","family":"Todaro","given":"L.","non-dropping-particle":"","parse-names":false,"suffix":""},{"dropping-particle":"","family":"Waterhouse","given":"J. S.","non-dropping-particle":"","parse-names":false,"suffix":""},{"dropping-particle":"","family":"Weigl","given":"M.","non-dropping-particle":"","parse-names":false,"suffix":""}],"container-title":"Nature Climate Change","id":"ITEM-1","issue":"6","issued":{"date-parts":[["2015"]]},"page":"579-583","title":"Water-use efficiency and transpiration across European forests during the Anthropocene","type":"article-journal","volume":"5"},"uris":["http://www.mendeley.com/documents/?uuid=ac469d75-cf10-4cf2-85ca-b5f93e6eab8e"]},{"id":"ITEM-2","itemData":{"DOI":"10.1029/2018GL079093","ISSN":"1944-8007","author":[{"dropping-particle":"","family":"Wang","given":"Mengjie","non-dropping-particle":"","parse-names":false,"suffix":""},{"dropping-particle":"","family":"Chen","given":"Yunhao","non-dropping-particle":"","parse-names":false,"suffix":""},{"dropping-particle":"","family":"Wu","given":"Xiuchen","non-dropping-particle":"","parse-names":false,"suffix":""},{"dropping-particle":"","family":"Bai","given":"Yan","non-dropping-particle":"","parse-names":false,"suffix":""}],"container-title":"Geophysical Research Letters","id":"ITEM-2","issued":{"date-parts":[["2018"]]},"title":</w:instrText>
      </w:r>
      <w:r w:rsidR="00D34863">
        <w:rPr>
          <w:rFonts w:cs="Times New Roman" w:hint="eastAsia"/>
          <w:color w:val="000000" w:themeColor="text1"/>
        </w:rPr>
        <w:instrText>"Forest</w:instrText>
      </w:r>
      <w:r w:rsidR="00D34863">
        <w:rPr>
          <w:rFonts w:cs="Times New Roman" w:hint="eastAsia"/>
          <w:color w:val="000000" w:themeColor="text1"/>
        </w:rPr>
        <w:instrText>‐</w:instrText>
      </w:r>
      <w:r w:rsidR="00D34863">
        <w:rPr>
          <w:rFonts w:cs="Times New Roman" w:hint="eastAsia"/>
          <w:color w:val="000000" w:themeColor="text1"/>
        </w:rPr>
        <w:instrText>type</w:instrText>
      </w:r>
      <w:r w:rsidR="00D34863">
        <w:rPr>
          <w:rFonts w:cs="Times New Roman" w:hint="eastAsia"/>
          <w:color w:val="000000" w:themeColor="text1"/>
        </w:rPr>
        <w:instrText>‐</w:instrText>
      </w:r>
      <w:r w:rsidR="00D34863">
        <w:rPr>
          <w:rFonts w:cs="Times New Roman" w:hint="eastAsia"/>
          <w:color w:val="000000" w:themeColor="text1"/>
        </w:rPr>
        <w:instrText>dependent water use efficiency trends across the Northern Hemisphere","type":"article-journal"},"uris":["http://www.mendeley.com/documents/?uuid=2c2ce213-132f-4cd5-977b-498ef8c07e2d"]},{"id":"ITEM-3","itemData":{"DOI":"10.1111/gcb.12164","ISB</w:instrText>
      </w:r>
      <w:r w:rsidR="00D34863">
        <w:rPr>
          <w:rFonts w:cs="Times New Roman"/>
          <w:color w:val="000000" w:themeColor="text1"/>
        </w:rPr>
        <w:instrText>N":"1354-1013 (Print)\\r1354-1013 (Linking)","ISSN":"13541013","PMID":"23504858","abstract":"Predicted responses of transpiration to elevated atmospheric CO2 concentration (eCO2 ) are highly variable amongst process-based models. To better understand and constrain this variability amongst models, we conducted an intercomparison of 11 ecosystem models applied to data from two forest free-air CO2 enrichment (FACE) experiments at Duke University and Oak Ridge National Laboratory. We analysed model structures to identify the key underlying assumptions causing differences in model predictions of transpiration and canopy water use efficiency. We then compared the models against data to identify model assumptions that are incorrect or are large sources of uncertainty. We found that model-to-model and model-to-observations differences resulted from four key sets of assumptions, namely (i) the nature of the stomatal response to elevated CO2 (coupling between photosynthesis and stomata was supported by the data); (ii) the roles of the leaf and atmospheric boundary layer (models which assumed multiple conductance terms in series predicted more decoupled fluxes than observed at the broadleaf site); (iii) the treatment of canopy interception (large intermodel variability, 2-15%); and (iv) the impact of soil moisture stress (process uncertainty in how models limit carbon and water fluxes during moisture stress). Overall, model predictions of the CO2 effect on WUE were reasonable (intermodel mu = approximately 28% +/- 10%) compared to the observations (mu = approximately 30% +/- 13%) at the well-coupled coniferous site (Duke), but poor (intermodel mu = approximately 24% +/- 6%; observations mu = approximately 38% +/- 7%) at the broadleaf site (Oak Ridge). The study yields a framework for analysing and interpreting model predictions of transpiration responses to eCO2 , and highlights key improvements to these types of models.","author":[{"dropping-particle":"","family":"Kauwe","given":"M. G.","non-dropping-particle":"De","parse-names":false,"suffix":""},{"dropping-particle":"","family":"Medlyn","given":"B. E.","non-dropping-particle":"","parse-names":false,"suffix":""},{"dropping-particle":"","family":"Zaehle","given":"Sönke","non-dropping-particle":"","parse-names":false,"suffix":""},{"dropping-particle":"","family":"Walker","given":"Anthony P.","non-dropping-particle":"","parse-names":false,"suffix":""},{"dropping-particle":"","family":"Dietze","given":"Michael C.","non-dropping-particle":"","parse-names":false,"suffix":""},{"dropping-particle":"","family":"Hickler","given":"Thomas","non-dropping-particle":"","parse-names":false,"suffix":""},{"dropping-particle":"","family":"Jain","given":"Atul K.","non-dropping-particle":"","parse-names":false,"suffix":""},{"dropping-particle":"","family":"Luo","given":"Yiqi","non-dropping-particle":"","parse-names":false,"suffix":""},{"dropping-particle":"","family":"Parton","given":"William J.","non-dropping-particle":"","parse-names":false,"suffix":""},{"dropping-particle":"","family":"Prentice","given":"I. Colin","non-dropping-particle":"","parse-names":false,"suffix":""},{"dropping-particle":"","family":"Smith","given":"Benjamin","non-dropping-particle":"","parse-names":false,"suffix":""},{"dropping-particle":"","family":"Thornton","given":"Peter E.","non-dropping-particle":"","parse-names":false,"suffix":""},{"dropping-particle":"","family":"Wang","given":"Shusen","non-dropping-particle":"","parse-names":false,"suffix":""},{"dropping-particle":"","family":"Wang","given":"Ying Ping","non-dropping-particle":"","parse-names":false,"suffix":""},{"dropping-particle":"","family":"Wårlind","given":"David","non-dropping-particle":"","parse-names":false,"suffix":""},{"dropping-particle":"","family":"Weng","given":"Ensheng","non-dropping-particle":"","parse-names":false,"suffix":""},{"dropping-particle":"","family":"Crous","given":"Kristine Y.","non-dropping-particle":"","parse-names":false,"suffix":""},{"dropping-particle":"","family":"Ellsworth","given":"David S.","non-dropping-particle":"","parse-names":false,"suffix":""},{"dropping-particle":"","family":"Hanson","given":"Paul J.","non-dropping-particle":"","parse-names":false,"suffix":""},{"dropping-particle":"","family":"Seok Kim","given":"Hyun","non-dropping-particle":"","parse-names":false,"suffix":""},{"dropping-particle":"","family":"Warren","given":"Jeffrey M.","non-dropping-particle":"","parse-names":false,"suffix":""},{"dropping-particle":"","family":"Oren","given":"Ram","non-dropping-particle":"","parse-names":false,"suffix":""},{"dropping-particle":"","family":"Norby","given":"Richard J.","non-dropping-particle":"","parse-names":false,"suffix":""}],"container-title":"Global Change Biology","id":"ITEM-3","issue":"6","issued":{"date-parts":[["2013"]]},"page":"1759-1779","title":"Forest water use and water use efficiency at elevated CO2: A model-data intercomparison at two contrasting temperate forest FACE sites","type":"article-journal","volume":"19"},"uris":["http://www.mendeley.com/documents/?uuid=1706da95-4cc2-48e6-a705-d0bf6a9d72b2"]}],"mendeley":{"formattedCitation":"(De Kauwe et al., 2013; Frank et al., 2015; Wang et al., 2018)","manualFormatting":"(Frank et al., 2015; Wang et al., 2018)","plainTextFormattedCitation":"(De Kauwe et al., 2013; Frank et al., 2015; Wang et al., 2018)","previouslyFormattedCitation":"(De Kauwe et al., 2013; Frank et al., 2015; Wang et al., 2018)"},"properties":{"noteIndex":0},"schema":"https://github.com/citation-style-language/schema/raw/master/csl-citation.json"}</w:instrText>
      </w:r>
      <w:r w:rsidR="00454A4C">
        <w:rPr>
          <w:color w:val="000000" w:themeColor="text1"/>
        </w:rPr>
        <w:fldChar w:fldCharType="separate"/>
      </w:r>
      <w:r w:rsidR="00454A4C" w:rsidRPr="00150CEF">
        <w:rPr>
          <w:rFonts w:cs="Times New Roman"/>
          <w:noProof/>
          <w:color w:val="000000" w:themeColor="text1"/>
        </w:rPr>
        <w:t>(Frank et al., 2015; Wang et al., 2018)</w:t>
      </w:r>
      <w:r w:rsidR="00454A4C">
        <w:rPr>
          <w:color w:val="000000" w:themeColor="text1"/>
        </w:rPr>
        <w:fldChar w:fldCharType="end"/>
      </w:r>
      <w:r w:rsidR="007F2DC7">
        <w:rPr>
          <w:rFonts w:cs="Times New Roman"/>
          <w:color w:val="000000" w:themeColor="text1"/>
        </w:rPr>
        <w:t xml:space="preserve">, but differs from other </w:t>
      </w:r>
      <w:r w:rsidR="006870A5">
        <w:rPr>
          <w:rFonts w:cs="Times New Roman"/>
          <w:color w:val="000000" w:themeColor="text1"/>
        </w:rPr>
        <w:t>studies</w:t>
      </w:r>
      <w:r w:rsidR="00F136AE">
        <w:rPr>
          <w:rFonts w:cs="Times New Roman"/>
          <w:color w:val="000000" w:themeColor="text1"/>
        </w:rPr>
        <w:t xml:space="preserve"> suggest</w:t>
      </w:r>
      <w:r w:rsidR="006870A5">
        <w:rPr>
          <w:rFonts w:cs="Times New Roman"/>
          <w:color w:val="000000" w:themeColor="text1"/>
        </w:rPr>
        <w:t>ing</w:t>
      </w:r>
      <w:r w:rsidR="00F136AE">
        <w:rPr>
          <w:rFonts w:cs="Times New Roman"/>
          <w:color w:val="000000" w:themeColor="text1"/>
        </w:rPr>
        <w:t xml:space="preserve"> a greater contribution from CO</w:t>
      </w:r>
      <w:r w:rsidR="00F136AE" w:rsidRPr="008F329D">
        <w:rPr>
          <w:color w:val="000000" w:themeColor="text1"/>
          <w:vertAlign w:val="subscript"/>
        </w:rPr>
        <w:t>2</w:t>
      </w:r>
      <w:r w:rsidR="00F136AE">
        <w:rPr>
          <w:rFonts w:cs="Times New Roman"/>
          <w:color w:val="000000" w:themeColor="text1"/>
        </w:rPr>
        <w:t xml:space="preserve"> </w:t>
      </w:r>
      <w:r w:rsidR="003A0A8F">
        <w:rPr>
          <w:color w:val="000000" w:themeColor="text1"/>
        </w:rPr>
        <w:fldChar w:fldCharType="begin" w:fldLock="1"/>
      </w:r>
      <w:r w:rsidR="0032530D">
        <w:rPr>
          <w:rFonts w:cs="Times New Roman"/>
          <w:color w:val="000000" w:themeColor="text1"/>
        </w:rPr>
        <w:instrText>ADDIN CSL_CITATION {"citationItems":[{"id":"ITEM-1","itemData":{"DOI":"10.5194/esd-7-525-2016","ISBN":"9788578110796","ISSN":"21904987","PMID":"25246403","abstract":"&lt;p&gt;Plant Water Use Efficiency (&lt;i&gt;WUE&lt;/i&gt;), which is the ratio of the uptake of carbon dioxide through photosynthesis to the loss of water through transpiration, is a very useful metric of the functioning of the land biosphere. &lt;i&gt;WUE&lt;/i&gt; is expected to increase with atmospheric CO&lt;sub&gt;2&lt;/sub&gt;, but to decline with increasing atmospheric evaporative demand – which can arise from increases in near-surface temperature or decreases in relative humidity. We have used Δ&lt;sup&gt;13&lt;/sup&gt;C measurements from tree-rings, along with eddy-covariance measurements from Fluxnet sites, to estimate the sensitivities of &lt;i&gt;WUE&lt;/i&gt; to changes in CO&lt;sub&gt;2&lt;/sub&gt; and atmospheric humidity deficit. This enables us to reconstruct fractional changes in &lt;i&gt;WUE&lt;/i&gt;, based on changes in atmospheric climate and CO&lt;sub&gt;2&lt;/sub&gt;, for the entire period of the instrumental global climate record. We estimate that overall &lt;i&gt;WUE&lt;/i&gt; increased from 1900 to 2010 by 48 ± 22 %, which is more than double that simulated by the latest Earth System Models. This long-term trend is largely driven by increases in CO&lt;sub&gt;2&lt;/sub&gt;, but significant inter-annual variability and regional differences are evident due to variations in temperature and relative humidity. There are several highly populated regions, such as Western Europe and East Asia, where the rate of increase of &lt;i&gt;WUE&lt;/i&gt; has declined sharply in the last two decades.&lt;/p&gt;","author":[{"dropping-particle":"","family":"Dekker","given":"Stefan C.","non-dropping-particle":"","parse-names":false,"suffix":""},{"dropping-particle":"","family":"Groenendijk","given":"Margriet","non-dropping-particle":"","parse-names":false,"suffix":""},{"dropping-particle":"","family":"Booth","given":"Ben B.B.","non-dropping-particle":"","parse-names":false,"suffix":""},{"dropping-particle":"","family":"Huntingford","given":"Chris","non-dropping-particle":"","parse-names":false,"suffix":""},{"dropping-particle":"","family":"Cox","given":"Peter M.","non-dropping-particle":"","parse-names":false,"suffix":""}],"container-title":"Earth System Dynamics","id":"ITEM-1","issue":"2","issued":{"date-parts":[["2016"]]},"page":"525-533","title":"Spatial and temporal variations in plant water-use efficiency inferred from tree-ring, eddy covariance and atmospheric observations","type":"article-journal","volume":"7"},"uris":["http://www.mendeley.com/documents/?uuid=00833f11-9b0e-47a1-82d0-870fcef8cd1f"]}],"mendeley":{"formattedCitation":"(Dekker, Groenendijk, Booth, Huntingford, &amp; Cox, 2016)","manualFormatting":"(e.g. Dekker et al., 2016)","plainTextFormattedCitation":"(Dekker, Groenendijk, Booth, Huntingford, &amp; Cox, 2016)","previouslyFormattedCitation":"(Dekker, Groenendijk, Booth, Huntingford, &amp; Cox, 2016)"},"properties":{"noteIndex":0},"schema":"https://github.com/citation-style-language/schema/raw/master/csl-citation.json"}</w:instrText>
      </w:r>
      <w:r w:rsidR="003A0A8F">
        <w:rPr>
          <w:color w:val="000000" w:themeColor="text1"/>
        </w:rPr>
        <w:fldChar w:fldCharType="separate"/>
      </w:r>
      <w:r w:rsidR="00836810" w:rsidRPr="00836810">
        <w:rPr>
          <w:rFonts w:cs="Times New Roman"/>
          <w:noProof/>
          <w:color w:val="000000" w:themeColor="text1"/>
        </w:rPr>
        <w:t>(</w:t>
      </w:r>
      <w:r w:rsidR="003F5651">
        <w:rPr>
          <w:rFonts w:cs="Times New Roman"/>
          <w:noProof/>
          <w:color w:val="000000" w:themeColor="text1"/>
        </w:rPr>
        <w:t xml:space="preserve">e.g. </w:t>
      </w:r>
      <w:r w:rsidR="00836810" w:rsidRPr="00836810">
        <w:rPr>
          <w:rFonts w:cs="Times New Roman"/>
          <w:noProof/>
          <w:color w:val="000000" w:themeColor="text1"/>
        </w:rPr>
        <w:t>Dekker et al., 2016)</w:t>
      </w:r>
      <w:r w:rsidR="003A0A8F">
        <w:rPr>
          <w:color w:val="000000" w:themeColor="text1"/>
        </w:rPr>
        <w:fldChar w:fldCharType="end"/>
      </w:r>
      <w:r w:rsidR="003A0A8F">
        <w:rPr>
          <w:rFonts w:cs="Times New Roman"/>
          <w:color w:val="000000" w:themeColor="text1"/>
        </w:rPr>
        <w:t>.</w:t>
      </w:r>
      <w:r w:rsidR="00454A4C">
        <w:rPr>
          <w:color w:val="FF0000"/>
        </w:rPr>
        <w:t xml:space="preserve"> </w:t>
      </w:r>
      <w:r w:rsidR="00334E76">
        <w:rPr>
          <w:color w:val="000000" w:themeColor="text1"/>
        </w:rPr>
        <w:t>T</w:t>
      </w:r>
      <w:r w:rsidR="00454A4C" w:rsidRPr="00D36571">
        <w:rPr>
          <w:color w:val="000000" w:themeColor="text1"/>
        </w:rPr>
        <w:t xml:space="preserve">here are several limitations </w:t>
      </w:r>
      <w:r w:rsidR="003565DC" w:rsidRPr="00D36571">
        <w:rPr>
          <w:color w:val="000000" w:themeColor="text1"/>
        </w:rPr>
        <w:t xml:space="preserve">associated </w:t>
      </w:r>
      <w:r w:rsidR="00301C83" w:rsidRPr="00D36571">
        <w:rPr>
          <w:color w:val="000000" w:themeColor="text1"/>
        </w:rPr>
        <w:t>to</w:t>
      </w:r>
      <w:r w:rsidR="00454A4C" w:rsidRPr="00D36571">
        <w:rPr>
          <w:color w:val="000000" w:themeColor="text1"/>
        </w:rPr>
        <w:t xml:space="preserve"> </w:t>
      </w:r>
      <w:r w:rsidR="001A32E4" w:rsidRPr="00D36571">
        <w:rPr>
          <w:color w:val="000000" w:themeColor="text1"/>
        </w:rPr>
        <w:t>th</w:t>
      </w:r>
      <w:r w:rsidR="001A32E4">
        <w:rPr>
          <w:color w:val="000000" w:themeColor="text1"/>
        </w:rPr>
        <w:t>e</w:t>
      </w:r>
      <w:r w:rsidR="001A32E4" w:rsidRPr="00D36571">
        <w:rPr>
          <w:color w:val="000000" w:themeColor="text1"/>
        </w:rPr>
        <w:t xml:space="preserve"> </w:t>
      </w:r>
      <w:r w:rsidR="001A32E4">
        <w:rPr>
          <w:color w:val="000000" w:themeColor="text1"/>
        </w:rPr>
        <w:sym w:font="Symbol" w:char="F074"/>
      </w:r>
      <w:r w:rsidR="001A32E4">
        <w:rPr>
          <w:color w:val="000000" w:themeColor="text1"/>
        </w:rPr>
        <w:t xml:space="preserve"> </w:t>
      </w:r>
      <w:r w:rsidR="00454A4C" w:rsidRPr="00D36571">
        <w:rPr>
          <w:color w:val="000000" w:themeColor="text1"/>
        </w:rPr>
        <w:t>approach</w:t>
      </w:r>
      <w:r w:rsidR="00334E76">
        <w:rPr>
          <w:color w:val="000000" w:themeColor="text1"/>
        </w:rPr>
        <w:t>, however</w:t>
      </w:r>
      <w:r w:rsidR="00454A4C" w:rsidRPr="00D36571">
        <w:rPr>
          <w:color w:val="000000" w:themeColor="text1"/>
        </w:rPr>
        <w:t xml:space="preserve">. </w:t>
      </w:r>
      <w:r w:rsidR="00D35367">
        <w:rPr>
          <w:color w:val="000000" w:themeColor="text1"/>
        </w:rPr>
        <w:t>First, t</w:t>
      </w:r>
      <w:r w:rsidR="00D35367" w:rsidRPr="00D36571">
        <w:rPr>
          <w:color w:val="000000" w:themeColor="text1"/>
        </w:rPr>
        <w:t xml:space="preserve">his </w:t>
      </w:r>
      <w:r w:rsidR="00131500" w:rsidRPr="00D36571">
        <w:rPr>
          <w:color w:val="000000" w:themeColor="text1"/>
        </w:rPr>
        <w:t>procedure</w:t>
      </w:r>
      <w:r w:rsidR="00454A4C" w:rsidRPr="00D36571">
        <w:rPr>
          <w:color w:val="000000" w:themeColor="text1"/>
        </w:rPr>
        <w:t xml:space="preserve"> assume</w:t>
      </w:r>
      <w:r w:rsidR="00334E76">
        <w:rPr>
          <w:color w:val="000000" w:themeColor="text1"/>
        </w:rPr>
        <w:t>s</w:t>
      </w:r>
      <w:r w:rsidR="00454A4C" w:rsidRPr="00D36571">
        <w:rPr>
          <w:color w:val="000000" w:themeColor="text1"/>
        </w:rPr>
        <w:t xml:space="preserve"> that variations in </w:t>
      </w:r>
      <w:r w:rsidR="00454A4C" w:rsidRPr="00D36571">
        <w:rPr>
          <w:i/>
          <w:color w:val="000000" w:themeColor="text1"/>
        </w:rPr>
        <w:t>c</w:t>
      </w:r>
      <w:r w:rsidR="00454A4C" w:rsidRPr="00D36571">
        <w:rPr>
          <w:color w:val="000000" w:themeColor="text1"/>
          <w:vertAlign w:val="subscript"/>
        </w:rPr>
        <w:t xml:space="preserve">i </w:t>
      </w:r>
      <w:r w:rsidR="00A95456" w:rsidRPr="00D36571">
        <w:rPr>
          <w:color w:val="000000" w:themeColor="text1"/>
        </w:rPr>
        <w:t>a</w:t>
      </w:r>
      <w:r w:rsidR="00454A4C" w:rsidRPr="00D36571">
        <w:rPr>
          <w:color w:val="000000" w:themeColor="text1"/>
        </w:rPr>
        <w:t xml:space="preserve">re only driven by </w:t>
      </w:r>
      <w:r w:rsidR="00454A4C" w:rsidRPr="00D36571">
        <w:rPr>
          <w:i/>
          <w:color w:val="000000" w:themeColor="text1"/>
        </w:rPr>
        <w:t>c</w:t>
      </w:r>
      <w:r w:rsidR="00454A4C" w:rsidRPr="00D36571">
        <w:rPr>
          <w:color w:val="000000" w:themeColor="text1"/>
          <w:vertAlign w:val="subscript"/>
        </w:rPr>
        <w:t>a</w:t>
      </w:r>
      <w:r w:rsidR="007F7E83" w:rsidRPr="00D36571">
        <w:rPr>
          <w:color w:val="000000" w:themeColor="text1"/>
        </w:rPr>
        <w:t xml:space="preserve"> and one climate </w:t>
      </w:r>
      <w:r w:rsidR="00334E76">
        <w:rPr>
          <w:color w:val="000000" w:themeColor="text1"/>
        </w:rPr>
        <w:t>variable</w:t>
      </w:r>
      <w:r w:rsidR="00454A4C" w:rsidRPr="00D36571">
        <w:rPr>
          <w:color w:val="000000" w:themeColor="text1"/>
        </w:rPr>
        <w:t xml:space="preserve">, </w:t>
      </w:r>
      <w:r w:rsidR="007F7E83" w:rsidRPr="00D36571">
        <w:rPr>
          <w:color w:val="000000" w:themeColor="text1"/>
        </w:rPr>
        <w:t>and that</w:t>
      </w:r>
      <w:r w:rsidR="00454A4C" w:rsidRPr="00D36571">
        <w:rPr>
          <w:color w:val="000000" w:themeColor="text1"/>
        </w:rPr>
        <w:t xml:space="preserve"> both drivers </w:t>
      </w:r>
      <w:r w:rsidR="007F7E83" w:rsidRPr="00D36571">
        <w:rPr>
          <w:color w:val="000000" w:themeColor="text1"/>
        </w:rPr>
        <w:t>have</w:t>
      </w:r>
      <w:r w:rsidR="00454A4C" w:rsidRPr="00D36571">
        <w:rPr>
          <w:color w:val="000000" w:themeColor="text1"/>
        </w:rPr>
        <w:t xml:space="preserve"> linear and stable effects on </w:t>
      </w:r>
      <w:r w:rsidR="00454A4C" w:rsidRPr="00D36571">
        <w:rPr>
          <w:i/>
          <w:color w:val="000000" w:themeColor="text1"/>
        </w:rPr>
        <w:t>c</w:t>
      </w:r>
      <w:r w:rsidR="00454A4C" w:rsidRPr="00D36571">
        <w:rPr>
          <w:color w:val="000000" w:themeColor="text1"/>
          <w:vertAlign w:val="subscript"/>
        </w:rPr>
        <w:t xml:space="preserve">i </w:t>
      </w:r>
      <w:r w:rsidR="00454A4C" w:rsidRPr="00D36571">
        <w:rPr>
          <w:color w:val="000000" w:themeColor="text1"/>
        </w:rPr>
        <w:t xml:space="preserve">over time. </w:t>
      </w:r>
      <w:r w:rsidR="00D35367">
        <w:rPr>
          <w:color w:val="000000" w:themeColor="text1"/>
        </w:rPr>
        <w:t>Second</w:t>
      </w:r>
      <w:r w:rsidR="00681062">
        <w:rPr>
          <w:color w:val="000000" w:themeColor="text1"/>
        </w:rPr>
        <w:t>ly</w:t>
      </w:r>
      <w:r w:rsidR="00454A4C" w:rsidRPr="00D36571">
        <w:rPr>
          <w:color w:val="000000" w:themeColor="text1"/>
        </w:rPr>
        <w:t xml:space="preserve">, </w:t>
      </w:r>
      <w:r w:rsidR="008457E2" w:rsidRPr="00D36571">
        <w:rPr>
          <w:color w:val="000000" w:themeColor="text1"/>
        </w:rPr>
        <w:t>the sampling strateg</w:t>
      </w:r>
      <w:r w:rsidR="00C1051A" w:rsidRPr="00D36571">
        <w:rPr>
          <w:color w:val="000000" w:themeColor="text1"/>
        </w:rPr>
        <w:t>ies</w:t>
      </w:r>
      <w:r w:rsidR="008457E2" w:rsidRPr="00D36571">
        <w:rPr>
          <w:color w:val="000000" w:themeColor="text1"/>
        </w:rPr>
        <w:t xml:space="preserve"> </w:t>
      </w:r>
      <w:r w:rsidR="006A5E96" w:rsidRPr="00D36571">
        <w:rPr>
          <w:color w:val="000000" w:themeColor="text1"/>
        </w:rPr>
        <w:t xml:space="preserve">for generating the </w:t>
      </w:r>
      <w:r w:rsidR="00697DFC">
        <w:rPr>
          <w:color w:val="000000" w:themeColor="text1"/>
        </w:rPr>
        <w:t>tree-ring</w:t>
      </w:r>
      <w:r w:rsidR="006A5E96" w:rsidRPr="00D36571">
        <w:rPr>
          <w:color w:val="000000" w:themeColor="text1"/>
        </w:rPr>
        <w:t xml:space="preserve"> series have been chosen so as to maximize the climate signal (</w:t>
      </w:r>
      <w:r w:rsidR="00334E76">
        <w:rPr>
          <w:color w:val="000000" w:themeColor="text1"/>
        </w:rPr>
        <w:t>thus often favouring</w:t>
      </w:r>
      <w:r w:rsidR="006A5E96" w:rsidRPr="00D36571">
        <w:rPr>
          <w:color w:val="000000" w:themeColor="text1"/>
        </w:rPr>
        <w:t xml:space="preserve"> </w:t>
      </w:r>
      <w:r w:rsidR="009A0CCD" w:rsidRPr="00D36571">
        <w:rPr>
          <w:color w:val="000000" w:themeColor="text1"/>
        </w:rPr>
        <w:t xml:space="preserve">old trees from </w:t>
      </w:r>
      <w:r w:rsidR="006A5E96" w:rsidRPr="00D36571">
        <w:rPr>
          <w:color w:val="000000" w:themeColor="text1"/>
        </w:rPr>
        <w:t xml:space="preserve">high-latitude and high-elevation forests), and </w:t>
      </w:r>
      <w:r w:rsidR="00334E76">
        <w:rPr>
          <w:color w:val="000000" w:themeColor="text1"/>
        </w:rPr>
        <w:t>because of this intentional bias they</w:t>
      </w:r>
      <w:r w:rsidR="00334E76" w:rsidRPr="00D36571">
        <w:rPr>
          <w:color w:val="000000" w:themeColor="text1"/>
        </w:rPr>
        <w:t xml:space="preserve"> </w:t>
      </w:r>
      <w:r w:rsidR="000C484E">
        <w:rPr>
          <w:color w:val="000000" w:themeColor="text1"/>
        </w:rPr>
        <w:t>may</w:t>
      </w:r>
      <w:r w:rsidR="000C484E" w:rsidRPr="00D36571">
        <w:rPr>
          <w:color w:val="000000" w:themeColor="text1"/>
        </w:rPr>
        <w:t xml:space="preserve"> </w:t>
      </w:r>
      <w:r w:rsidR="003C160B" w:rsidRPr="00D36571">
        <w:rPr>
          <w:color w:val="000000" w:themeColor="text1"/>
        </w:rPr>
        <w:t xml:space="preserve">not </w:t>
      </w:r>
      <w:r w:rsidR="000C484E">
        <w:rPr>
          <w:color w:val="000000" w:themeColor="text1"/>
        </w:rPr>
        <w:t xml:space="preserve">be </w:t>
      </w:r>
      <w:r w:rsidR="003C160B" w:rsidRPr="00D36571">
        <w:rPr>
          <w:color w:val="000000" w:themeColor="text1"/>
        </w:rPr>
        <w:t xml:space="preserve">representative of </w:t>
      </w:r>
      <w:r w:rsidR="000C484E">
        <w:rPr>
          <w:color w:val="000000" w:themeColor="text1"/>
        </w:rPr>
        <w:t>forests in general</w:t>
      </w:r>
      <w:r w:rsidR="00DC00D2" w:rsidRPr="00D36571">
        <w:rPr>
          <w:color w:val="000000" w:themeColor="text1"/>
        </w:rPr>
        <w:t xml:space="preserve">. </w:t>
      </w:r>
      <w:r w:rsidR="000C484E">
        <w:rPr>
          <w:color w:val="000000" w:themeColor="text1"/>
        </w:rPr>
        <w:t>One</w:t>
      </w:r>
      <w:r w:rsidR="000C484E" w:rsidRPr="00D36571">
        <w:rPr>
          <w:color w:val="000000" w:themeColor="text1"/>
        </w:rPr>
        <w:t xml:space="preserve"> </w:t>
      </w:r>
      <w:r w:rsidR="00DC00D2" w:rsidRPr="00D36571">
        <w:rPr>
          <w:color w:val="000000" w:themeColor="text1"/>
        </w:rPr>
        <w:t xml:space="preserve">recent study demonstrated that </w:t>
      </w:r>
      <w:r w:rsidR="000C484E">
        <w:rPr>
          <w:color w:val="000000" w:themeColor="text1"/>
        </w:rPr>
        <w:t xml:space="preserve">the </w:t>
      </w:r>
      <w:r w:rsidR="00287B14">
        <w:rPr>
          <w:color w:val="000000" w:themeColor="text1"/>
        </w:rPr>
        <w:t>tree-ring</w:t>
      </w:r>
      <w:r w:rsidR="00DC00D2" w:rsidRPr="00D36571">
        <w:rPr>
          <w:color w:val="000000" w:themeColor="text1"/>
        </w:rPr>
        <w:t xml:space="preserve"> growth series</w:t>
      </w:r>
      <w:r w:rsidR="00CC1F61" w:rsidRPr="00D36571">
        <w:rPr>
          <w:color w:val="000000" w:themeColor="text1"/>
        </w:rPr>
        <w:t xml:space="preserve"> </w:t>
      </w:r>
      <w:r w:rsidR="0003551F" w:rsidRPr="00D36571">
        <w:rPr>
          <w:color w:val="000000" w:themeColor="text1"/>
        </w:rPr>
        <w:t>available in</w:t>
      </w:r>
      <w:r w:rsidR="00DC00D2" w:rsidRPr="00D36571">
        <w:rPr>
          <w:color w:val="000000" w:themeColor="text1"/>
        </w:rPr>
        <w:t xml:space="preserve"> </w:t>
      </w:r>
      <w:r w:rsidR="000C484E">
        <w:rPr>
          <w:color w:val="000000" w:themeColor="text1"/>
        </w:rPr>
        <w:t xml:space="preserve">the </w:t>
      </w:r>
      <w:r w:rsidR="00DC00D2" w:rsidRPr="00D36571">
        <w:rPr>
          <w:color w:val="000000" w:themeColor="text1"/>
        </w:rPr>
        <w:t>ITRDB</w:t>
      </w:r>
      <w:r w:rsidR="002F2F31" w:rsidRPr="00D36571">
        <w:rPr>
          <w:color w:val="000000" w:themeColor="text1"/>
        </w:rPr>
        <w:t xml:space="preserve"> </w:t>
      </w:r>
      <w:r w:rsidR="006A5E96" w:rsidRPr="00D36571">
        <w:rPr>
          <w:color w:val="000000" w:themeColor="text1"/>
        </w:rPr>
        <w:t xml:space="preserve">for the US Southwest region </w:t>
      </w:r>
      <w:r w:rsidR="002F2F31" w:rsidRPr="00D36571">
        <w:rPr>
          <w:color w:val="000000" w:themeColor="text1"/>
        </w:rPr>
        <w:t xml:space="preserve">tend to overestimate </w:t>
      </w:r>
      <w:r w:rsidR="005E0389" w:rsidRPr="00D36571">
        <w:rPr>
          <w:color w:val="000000" w:themeColor="text1"/>
        </w:rPr>
        <w:t xml:space="preserve">regional forest climate sensitivity </w:t>
      </w:r>
      <w:r w:rsidR="002F2F31" w:rsidRPr="00D36571">
        <w:rPr>
          <w:color w:val="000000" w:themeColor="text1"/>
        </w:rPr>
        <w:t xml:space="preserve">by around 50 </w:t>
      </w:r>
      <w:r w:rsidR="002F2F31" w:rsidRPr="00D36571">
        <w:rPr>
          <w:color w:val="000000" w:themeColor="text1"/>
        </w:rPr>
        <w:sym w:font="Symbol" w:char="F0B1"/>
      </w:r>
      <w:r w:rsidR="002F2F31" w:rsidRPr="00D36571">
        <w:rPr>
          <w:color w:val="000000" w:themeColor="text1"/>
        </w:rPr>
        <w:t xml:space="preserve"> 9%</w:t>
      </w:r>
      <w:r w:rsidR="00CC1F61" w:rsidRPr="00D36571">
        <w:rPr>
          <w:color w:val="000000" w:themeColor="text1"/>
        </w:rPr>
        <w:t xml:space="preserve"> </w:t>
      </w:r>
      <w:r w:rsidR="005E0389" w:rsidRPr="00D36571">
        <w:rPr>
          <w:color w:val="000000" w:themeColor="text1"/>
        </w:rPr>
        <w:t xml:space="preserve">compared </w:t>
      </w:r>
      <w:r w:rsidR="00C70979">
        <w:rPr>
          <w:color w:val="000000" w:themeColor="text1"/>
        </w:rPr>
        <w:t>to</w:t>
      </w:r>
      <w:r w:rsidR="005E0389" w:rsidRPr="00D36571">
        <w:rPr>
          <w:color w:val="000000" w:themeColor="text1"/>
        </w:rPr>
        <w:t xml:space="preserve"> a spatially unbiased </w:t>
      </w:r>
      <w:r w:rsidR="00287B14">
        <w:rPr>
          <w:color w:val="000000" w:themeColor="text1"/>
        </w:rPr>
        <w:t>tree-ring</w:t>
      </w:r>
      <w:r w:rsidR="005E0389" w:rsidRPr="00D36571">
        <w:rPr>
          <w:color w:val="000000" w:themeColor="text1"/>
        </w:rPr>
        <w:t xml:space="preserve"> network </w:t>
      </w:r>
      <w:r w:rsidR="00CC1F61" w:rsidRPr="00D36571">
        <w:rPr>
          <w:color w:val="000000" w:themeColor="text1"/>
        </w:rPr>
        <w:fldChar w:fldCharType="begin" w:fldLock="1"/>
      </w:r>
      <w:r w:rsidR="00675ACF" w:rsidRPr="00D36571">
        <w:rPr>
          <w:color w:val="000000" w:themeColor="text1"/>
        </w:rPr>
        <w:instrText>ADDIN CSL_CITATION {"citationItems":[{"id":"ITEM-1","itemData":{"DOI":"https://doi.org/10.1038/s41467-018-07800-y","ISBN":"4146701807800","author":[{"dropping-particle":"","family":"Klesse","given":"Stefan","non-dropping-particle":"","parse-names":false,"suffix":""},{"dropping-particle":"","family":"Derose","given":"R Justin","non-dropping-particle":"","parse-names":false,"suffix":""},{"dropping-particle":"","family":"Guiterman","given":"Christopher H","non-dropping-particle":"","parse-names":false,"suffix":""},{"dropping-particle":"","family":"Lynch","given":"Ann M","non-dropping-particle":"","parse-names":false,"suffix":""},{"dropping-particle":"","family":"Connor","given":"Christopher D O","non-dropping-particle":"","parse-names":false,"suffix":""},{"dropping-particle":"","family":"Shaw","given":"John D","non-dropping-particle":"","parse-names":false,"suffix":""},{"dropping-particle":"","family":"Evans","given":"Margaret E K","non-dropping-particle":"","parse-names":false,"suffix":""}],"container-title":"Nature communications","id":"ITEM-1","issue":"5336","issued":{"date-parts":[["2018"]]},"page":"1-9","title":"Sampling bias overestimates climate change impacts on forest growth in the southwestern United States","type":"article-journal","volume":"9"},"uris":["http://www.mendeley.com/documents/?uuid=41924c74-0dc2-412b-aec9-c3e789c4d776"]}],"mendeley":{"formattedCitation":"(Klesse et al., 2018)","plainTextFormattedCitation":"(Klesse et al., 2018)","previouslyFormattedCitation":"(Klesse et al., 2018)"},"properties":{"noteIndex":0},"schema":"https://github.com/citation-style-language/schema/raw/master/csl-citation.json"}</w:instrText>
      </w:r>
      <w:r w:rsidR="00CC1F61" w:rsidRPr="00D36571">
        <w:rPr>
          <w:color w:val="000000" w:themeColor="text1"/>
        </w:rPr>
        <w:fldChar w:fldCharType="separate"/>
      </w:r>
      <w:r w:rsidR="00CC1F61" w:rsidRPr="00D36571">
        <w:rPr>
          <w:noProof/>
          <w:color w:val="000000" w:themeColor="text1"/>
        </w:rPr>
        <w:t>(Klesse et al., 2018)</w:t>
      </w:r>
      <w:r w:rsidR="00CC1F61" w:rsidRPr="00D36571">
        <w:rPr>
          <w:color w:val="000000" w:themeColor="text1"/>
        </w:rPr>
        <w:fldChar w:fldCharType="end"/>
      </w:r>
      <w:r w:rsidR="00CC1F61" w:rsidRPr="00D36571">
        <w:rPr>
          <w:color w:val="000000" w:themeColor="text1"/>
        </w:rPr>
        <w:t>.</w:t>
      </w:r>
      <w:r w:rsidR="005E0389" w:rsidRPr="00D36571">
        <w:rPr>
          <w:color w:val="000000" w:themeColor="text1"/>
        </w:rPr>
        <w:t xml:space="preserve"> These results </w:t>
      </w:r>
      <w:r w:rsidR="00F608B2" w:rsidRPr="00D36571">
        <w:rPr>
          <w:color w:val="000000" w:themeColor="text1"/>
        </w:rPr>
        <w:t xml:space="preserve">suggest that </w:t>
      </w:r>
      <w:r w:rsidR="00287B14">
        <w:rPr>
          <w:color w:val="000000" w:themeColor="text1"/>
        </w:rPr>
        <w:t>tree-ring</w:t>
      </w:r>
      <w:r w:rsidR="00F608B2" w:rsidRPr="00D36571">
        <w:rPr>
          <w:color w:val="000000" w:themeColor="text1"/>
        </w:rPr>
        <w:t xml:space="preserve">-based </w:t>
      </w:r>
      <w:r w:rsidR="006440FA" w:rsidRPr="00BD2160">
        <w:rPr>
          <w:rFonts w:cs="Times New Roman"/>
        </w:rPr>
        <w:t>iWUE</w:t>
      </w:r>
      <w:r w:rsidR="006440FA" w:rsidRPr="001B08EE">
        <w:rPr>
          <w:rFonts w:cs="Times New Roman"/>
          <w:vertAlign w:val="superscript"/>
        </w:rPr>
        <w:t>l</w:t>
      </w:r>
      <w:r w:rsidR="006440FA">
        <w:rPr>
          <w:rFonts w:cs="Times New Roman"/>
          <w:vertAlign w:val="superscript"/>
        </w:rPr>
        <w:t>eaf</w:t>
      </w:r>
      <w:r w:rsidR="00F608B2" w:rsidRPr="00D36571">
        <w:rPr>
          <w:color w:val="000000" w:themeColor="text1"/>
        </w:rPr>
        <w:t xml:space="preserve"> trends</w:t>
      </w:r>
      <w:r w:rsidR="00B43B4C" w:rsidRPr="00D36571">
        <w:rPr>
          <w:color w:val="000000" w:themeColor="text1"/>
        </w:rPr>
        <w:t xml:space="preserve"> </w:t>
      </w:r>
      <w:r w:rsidR="004A1239" w:rsidRPr="00D36571">
        <w:rPr>
          <w:color w:val="000000" w:themeColor="text1"/>
        </w:rPr>
        <w:t>estimated so far in the literature</w:t>
      </w:r>
      <w:r w:rsidR="009A0CCD" w:rsidRPr="00D36571">
        <w:rPr>
          <w:color w:val="000000" w:themeColor="text1"/>
        </w:rPr>
        <w:t xml:space="preserve"> may only be representative of marginal </w:t>
      </w:r>
      <w:r w:rsidR="00C1051A" w:rsidRPr="00D36571">
        <w:rPr>
          <w:color w:val="000000" w:themeColor="text1"/>
        </w:rPr>
        <w:t>loca</w:t>
      </w:r>
      <w:r w:rsidR="00FD74FE" w:rsidRPr="00D36571">
        <w:rPr>
          <w:color w:val="000000" w:themeColor="text1"/>
        </w:rPr>
        <w:t>tions, and</w:t>
      </w:r>
      <w:r w:rsidR="004A1239" w:rsidRPr="00D36571">
        <w:rPr>
          <w:color w:val="000000" w:themeColor="text1"/>
        </w:rPr>
        <w:t xml:space="preserve"> could overestimate </w:t>
      </w:r>
      <w:r w:rsidR="005F6F91" w:rsidRPr="00D36571">
        <w:rPr>
          <w:color w:val="000000" w:themeColor="text1"/>
        </w:rPr>
        <w:t xml:space="preserve">the effect </w:t>
      </w:r>
      <w:r w:rsidR="004A1239" w:rsidRPr="00D36571">
        <w:rPr>
          <w:color w:val="000000" w:themeColor="text1"/>
        </w:rPr>
        <w:t xml:space="preserve">of climate change </w:t>
      </w:r>
      <w:r w:rsidR="005F6F91" w:rsidRPr="00D36571">
        <w:rPr>
          <w:color w:val="000000" w:themeColor="text1"/>
        </w:rPr>
        <w:t xml:space="preserve">on </w:t>
      </w:r>
      <w:r w:rsidR="00481659" w:rsidRPr="00D36571">
        <w:rPr>
          <w:color w:val="000000" w:themeColor="text1"/>
        </w:rPr>
        <w:t xml:space="preserve">regional </w:t>
      </w:r>
      <w:r w:rsidR="006440FA" w:rsidRPr="00BD2160">
        <w:rPr>
          <w:rFonts w:cs="Times New Roman"/>
        </w:rPr>
        <w:t>iWUE</w:t>
      </w:r>
      <w:r w:rsidR="006440FA" w:rsidRPr="001B08EE">
        <w:rPr>
          <w:rFonts w:cs="Times New Roman"/>
          <w:vertAlign w:val="superscript"/>
        </w:rPr>
        <w:t>l</w:t>
      </w:r>
      <w:r w:rsidR="006440FA">
        <w:rPr>
          <w:rFonts w:cs="Times New Roman"/>
          <w:vertAlign w:val="superscript"/>
        </w:rPr>
        <w:t>eaf</w:t>
      </w:r>
      <w:r w:rsidR="003E29BA" w:rsidRPr="00D36571">
        <w:rPr>
          <w:color w:val="000000" w:themeColor="text1"/>
        </w:rPr>
        <w:t xml:space="preserve"> trends</w:t>
      </w:r>
      <w:r w:rsidR="00B43B4C" w:rsidRPr="00D36571">
        <w:rPr>
          <w:color w:val="000000" w:themeColor="text1"/>
        </w:rPr>
        <w:t>.</w:t>
      </w:r>
      <w:r w:rsidR="008960B6" w:rsidRPr="00D36571">
        <w:rPr>
          <w:color w:val="000000" w:themeColor="text1"/>
        </w:rPr>
        <w:t xml:space="preserve"> </w:t>
      </w:r>
      <w:r w:rsidR="00D97FE8">
        <w:rPr>
          <w:color w:val="000000" w:themeColor="text1"/>
        </w:rPr>
        <w:t>Note that</w:t>
      </w:r>
      <w:r w:rsidR="00AA1DAA">
        <w:rPr>
          <w:color w:val="000000" w:themeColor="text1"/>
        </w:rPr>
        <w:t xml:space="preserve"> without applying th</w:t>
      </w:r>
      <w:r w:rsidR="00477698">
        <w:rPr>
          <w:color w:val="000000" w:themeColor="text1"/>
        </w:rPr>
        <w:t xml:space="preserve">e </w:t>
      </w:r>
      <w:r w:rsidR="007B3661">
        <w:rPr>
          <w:color w:val="000000" w:themeColor="text1"/>
        </w:rPr>
        <w:t>climate</w:t>
      </w:r>
      <w:r w:rsidR="00AA1DAA">
        <w:rPr>
          <w:color w:val="000000" w:themeColor="text1"/>
        </w:rPr>
        <w:t xml:space="preserve"> correction,</w:t>
      </w:r>
      <w:r w:rsidR="00D97FE8">
        <w:rPr>
          <w:color w:val="000000" w:themeColor="text1"/>
        </w:rPr>
        <w:t xml:space="preserve"> </w:t>
      </w:r>
      <w:r w:rsidR="00890078">
        <w:rPr>
          <w:color w:val="000000" w:themeColor="text1"/>
        </w:rPr>
        <w:t xml:space="preserve">the </w:t>
      </w:r>
      <w:r w:rsidR="00872BC5">
        <w:rPr>
          <w:color w:val="000000" w:themeColor="text1"/>
        </w:rPr>
        <w:t xml:space="preserve">median </w:t>
      </w:r>
      <w:r w:rsidR="00890078">
        <w:rPr>
          <w:color w:val="000000" w:themeColor="text1"/>
        </w:rPr>
        <w:t xml:space="preserve">increase </w:t>
      </w:r>
      <w:r w:rsidR="00C0261D">
        <w:rPr>
          <w:color w:val="000000" w:themeColor="text1"/>
        </w:rPr>
        <w:t>in</w:t>
      </w:r>
      <w:r w:rsidR="00890078">
        <w:rPr>
          <w:color w:val="000000" w:themeColor="text1"/>
        </w:rPr>
        <w:t xml:space="preserve"> </w:t>
      </w:r>
      <w:r w:rsidR="00D97FE8" w:rsidRPr="00BD2160">
        <w:rPr>
          <w:rFonts w:cs="Times New Roman"/>
        </w:rPr>
        <w:t>iWUE</w:t>
      </w:r>
      <w:r w:rsidR="00D97FE8" w:rsidRPr="001B08EE">
        <w:rPr>
          <w:rFonts w:cs="Times New Roman"/>
          <w:vertAlign w:val="superscript"/>
        </w:rPr>
        <w:t>l</w:t>
      </w:r>
      <w:r w:rsidR="00D97FE8">
        <w:rPr>
          <w:rFonts w:cs="Times New Roman"/>
          <w:vertAlign w:val="superscript"/>
        </w:rPr>
        <w:t>eaf</w:t>
      </w:r>
      <w:r w:rsidR="00D97FE8">
        <w:rPr>
          <w:color w:val="000000" w:themeColor="text1"/>
        </w:rPr>
        <w:t xml:space="preserve"> </w:t>
      </w:r>
      <w:r w:rsidR="00872BC5">
        <w:rPr>
          <w:color w:val="000000" w:themeColor="text1"/>
        </w:rPr>
        <w:t>calculated here i</w:t>
      </w:r>
      <w:r w:rsidR="00D97FE8">
        <w:rPr>
          <w:color w:val="000000" w:themeColor="text1"/>
        </w:rPr>
        <w:t xml:space="preserve">s </w:t>
      </w:r>
      <w:r w:rsidR="000C484E">
        <w:rPr>
          <w:color w:val="000000" w:themeColor="text1"/>
        </w:rPr>
        <w:t xml:space="preserve">roughly </w:t>
      </w:r>
      <w:r w:rsidR="00D97FE8">
        <w:rPr>
          <w:color w:val="000000" w:themeColor="text1"/>
        </w:rPr>
        <w:t xml:space="preserve">proportional to the increase of </w:t>
      </w:r>
      <w:r w:rsidR="00D97FE8" w:rsidRPr="00695A64">
        <w:rPr>
          <w:i/>
          <w:color w:val="000000" w:themeColor="text1"/>
          <w:lang w:val="en-GB"/>
        </w:rPr>
        <w:t>c</w:t>
      </w:r>
      <w:r w:rsidR="00D97FE8" w:rsidRPr="00695A64">
        <w:rPr>
          <w:color w:val="000000" w:themeColor="text1"/>
          <w:vertAlign w:val="subscript"/>
          <w:lang w:val="en-GB"/>
        </w:rPr>
        <w:t>a</w:t>
      </w:r>
      <w:r w:rsidR="00D97FE8">
        <w:rPr>
          <w:color w:val="000000" w:themeColor="text1"/>
          <w:lang w:val="en-GB"/>
        </w:rPr>
        <w:t xml:space="preserve"> over the same period (</w:t>
      </w:r>
      <w:r w:rsidR="00945D11">
        <w:rPr>
          <w:color w:val="000000" w:themeColor="text1"/>
          <w:lang w:val="en-GB"/>
        </w:rPr>
        <w:t>Fig. 3</w:t>
      </w:r>
      <w:r w:rsidR="00D97FE8">
        <w:rPr>
          <w:color w:val="000000" w:themeColor="text1"/>
          <w:lang w:val="en-GB"/>
        </w:rPr>
        <w:t>)</w:t>
      </w:r>
      <w:r w:rsidR="00357B62">
        <w:rPr>
          <w:color w:val="000000" w:themeColor="text1"/>
          <w:lang w:val="en-GB"/>
        </w:rPr>
        <w:t>. I</w:t>
      </w:r>
      <w:r w:rsidR="007B3661">
        <w:rPr>
          <w:color w:val="000000" w:themeColor="text1"/>
          <w:lang w:val="en-GB"/>
        </w:rPr>
        <w:t xml:space="preserve">t is </w:t>
      </w:r>
      <w:r w:rsidR="00357B62">
        <w:rPr>
          <w:color w:val="000000" w:themeColor="text1"/>
          <w:lang w:val="en-GB"/>
        </w:rPr>
        <w:t xml:space="preserve">thus </w:t>
      </w:r>
      <w:r w:rsidR="0003313B">
        <w:rPr>
          <w:color w:val="000000" w:themeColor="text1"/>
          <w:lang w:val="en-GB"/>
        </w:rPr>
        <w:t xml:space="preserve">very </w:t>
      </w:r>
      <w:r w:rsidR="007B3661">
        <w:rPr>
          <w:color w:val="000000" w:themeColor="text1"/>
          <w:lang w:val="en-GB"/>
        </w:rPr>
        <w:t>likely that</w:t>
      </w:r>
      <w:r w:rsidR="00702C2A">
        <w:rPr>
          <w:color w:val="000000" w:themeColor="text1"/>
          <w:lang w:val="en-GB"/>
        </w:rPr>
        <w:t xml:space="preserve"> </w:t>
      </w:r>
      <w:r w:rsidR="00E83D8A">
        <w:rPr>
          <w:color w:val="000000" w:themeColor="text1"/>
          <w:lang w:val="en-GB"/>
        </w:rPr>
        <w:t xml:space="preserve">the </w:t>
      </w:r>
      <w:r w:rsidR="00E83D8A">
        <w:rPr>
          <w:color w:val="000000" w:themeColor="text1"/>
        </w:rPr>
        <w:sym w:font="Symbol" w:char="F074"/>
      </w:r>
      <w:r w:rsidR="007B3661">
        <w:rPr>
          <w:color w:val="000000" w:themeColor="text1"/>
        </w:rPr>
        <w:t xml:space="preserve"> approach tend to overcorrect </w:t>
      </w:r>
      <w:r w:rsidR="0003313B" w:rsidRPr="00106A23">
        <w:rPr>
          <w:color w:val="000000" w:themeColor="text1"/>
        </w:rPr>
        <w:t xml:space="preserve">tree-ring </w:t>
      </w:r>
      <w:r w:rsidR="0003313B" w:rsidRPr="00106A23">
        <w:rPr>
          <w:i/>
          <w:color w:val="000000" w:themeColor="text1"/>
        </w:rPr>
        <w:t>c</w:t>
      </w:r>
      <w:r w:rsidR="0003313B" w:rsidRPr="00106A23">
        <w:rPr>
          <w:color w:val="000000" w:themeColor="text1"/>
          <w:vertAlign w:val="subscript"/>
        </w:rPr>
        <w:t>i</w:t>
      </w:r>
      <w:r w:rsidR="0003313B">
        <w:rPr>
          <w:color w:val="000000" w:themeColor="text1"/>
          <w:vertAlign w:val="subscript"/>
        </w:rPr>
        <w:t xml:space="preserve"> </w:t>
      </w:r>
      <w:r w:rsidR="0039358B">
        <w:rPr>
          <w:color w:val="000000" w:themeColor="text1"/>
        </w:rPr>
        <w:t>series</w:t>
      </w:r>
      <w:r w:rsidR="000C484E">
        <w:rPr>
          <w:color w:val="000000" w:themeColor="text1"/>
        </w:rPr>
        <w:t>,</w:t>
      </w:r>
      <w:r w:rsidR="0039358B">
        <w:rPr>
          <w:color w:val="000000" w:themeColor="text1"/>
        </w:rPr>
        <w:t xml:space="preserve"> </w:t>
      </w:r>
      <w:r w:rsidR="0003313B">
        <w:rPr>
          <w:color w:val="000000" w:themeColor="text1"/>
        </w:rPr>
        <w:t xml:space="preserve">resulting in underestimation of the effect of </w:t>
      </w:r>
      <w:r w:rsidR="0003313B" w:rsidRPr="00695A64">
        <w:rPr>
          <w:i/>
          <w:color w:val="000000" w:themeColor="text1"/>
          <w:lang w:val="en-GB"/>
        </w:rPr>
        <w:t>c</w:t>
      </w:r>
      <w:r w:rsidR="0003313B" w:rsidRPr="00695A64">
        <w:rPr>
          <w:color w:val="000000" w:themeColor="text1"/>
          <w:vertAlign w:val="subscript"/>
          <w:lang w:val="en-GB"/>
        </w:rPr>
        <w:t>a</w:t>
      </w:r>
      <w:r w:rsidR="0003313B">
        <w:rPr>
          <w:color w:val="000000" w:themeColor="text1"/>
        </w:rPr>
        <w:t xml:space="preserve"> on the trends. </w:t>
      </w:r>
      <w:r w:rsidR="000C484E">
        <w:rPr>
          <w:color w:val="000000" w:themeColor="text1"/>
        </w:rPr>
        <w:t>We suggest that</w:t>
      </w:r>
      <w:r w:rsidR="00CA7751">
        <w:rPr>
          <w:color w:val="000000" w:themeColor="text1"/>
        </w:rPr>
        <w:t xml:space="preserve"> this</w:t>
      </w:r>
      <w:r w:rsidR="00173DCE">
        <w:rPr>
          <w:color w:val="000000" w:themeColor="text1"/>
        </w:rPr>
        <w:t xml:space="preserve"> correction should be avoided</w:t>
      </w:r>
      <w:r w:rsidR="005A1349">
        <w:rPr>
          <w:color w:val="000000" w:themeColor="text1"/>
        </w:rPr>
        <w:t>.</w:t>
      </w:r>
      <w:r w:rsidR="00173DCE">
        <w:rPr>
          <w:color w:val="000000" w:themeColor="text1"/>
        </w:rPr>
        <w:t xml:space="preserve"> </w:t>
      </w:r>
      <w:r w:rsidR="00CA7751">
        <w:rPr>
          <w:color w:val="000000" w:themeColor="text1"/>
        </w:rPr>
        <w:t xml:space="preserve">  </w:t>
      </w:r>
    </w:p>
    <w:p w14:paraId="37680F95" w14:textId="64E8E9F4" w:rsidR="009F5BD6" w:rsidRDefault="000C484E" w:rsidP="00CA070F">
      <w:pPr>
        <w:pStyle w:val="Body"/>
        <w:spacing w:before="240" w:line="360" w:lineRule="auto"/>
        <w:jc w:val="both"/>
        <w:rPr>
          <w:rFonts w:cs="Times New Roman"/>
        </w:rPr>
      </w:pPr>
      <w:r>
        <w:rPr>
          <w:rFonts w:cs="Times New Roman"/>
          <w:lang w:val="en-GB"/>
        </w:rPr>
        <w:t>P</w:t>
      </w:r>
      <w:r w:rsidR="000F6A38">
        <w:rPr>
          <w:rFonts w:cs="Times New Roman"/>
          <w:lang w:val="en-GB"/>
        </w:rPr>
        <w:t>lant</w:t>
      </w:r>
      <w:r w:rsidR="0042026E">
        <w:rPr>
          <w:rFonts w:cs="Times New Roman"/>
          <w:lang w:val="en-GB"/>
        </w:rPr>
        <w:t>s</w:t>
      </w:r>
      <w:r w:rsidR="000F6A38">
        <w:rPr>
          <w:rFonts w:cs="Times New Roman"/>
          <w:lang w:val="en-GB"/>
        </w:rPr>
        <w:t xml:space="preserve"> preferentially use newly-formed </w:t>
      </w:r>
      <w:r w:rsidR="00CA070F">
        <w:rPr>
          <w:rFonts w:cs="Times New Roman"/>
          <w:lang w:val="en-GB"/>
        </w:rPr>
        <w:t>photosynthates</w:t>
      </w:r>
      <w:r w:rsidR="000F6A38">
        <w:rPr>
          <w:rFonts w:cs="Times New Roman"/>
          <w:lang w:val="en-GB"/>
        </w:rPr>
        <w:t xml:space="preserve"> </w:t>
      </w:r>
      <w:r w:rsidR="00901FF2">
        <w:rPr>
          <w:rFonts w:cs="Times New Roman"/>
          <w:lang w:val="en-GB"/>
        </w:rPr>
        <w:t>to form wood</w:t>
      </w:r>
      <w:r w:rsidR="00DA7115">
        <w:rPr>
          <w:rFonts w:cs="Times New Roman"/>
          <w:lang w:val="en-GB"/>
        </w:rPr>
        <w:t>,</w:t>
      </w:r>
      <w:r w:rsidR="00901FF2">
        <w:rPr>
          <w:rFonts w:cs="Times New Roman"/>
          <w:lang w:val="en-GB"/>
        </w:rPr>
        <w:t xml:space="preserve"> </w:t>
      </w:r>
      <w:r w:rsidR="000F6A38">
        <w:rPr>
          <w:rFonts w:cs="Times New Roman"/>
          <w:lang w:val="en-GB"/>
        </w:rPr>
        <w:t xml:space="preserve">but </w:t>
      </w:r>
      <w:r>
        <w:rPr>
          <w:rFonts w:cs="Times New Roman"/>
          <w:lang w:val="en-GB"/>
        </w:rPr>
        <w:t xml:space="preserve">they </w:t>
      </w:r>
      <w:r w:rsidR="000F6A38">
        <w:rPr>
          <w:rFonts w:cs="Times New Roman"/>
          <w:lang w:val="en-GB"/>
        </w:rPr>
        <w:t xml:space="preserve">can </w:t>
      </w:r>
      <w:r w:rsidR="00901FF2">
        <w:rPr>
          <w:rFonts w:cs="Times New Roman"/>
          <w:lang w:val="en-GB"/>
        </w:rPr>
        <w:t xml:space="preserve">also </w:t>
      </w:r>
      <w:r w:rsidR="000F6A38">
        <w:rPr>
          <w:rFonts w:cs="Times New Roman"/>
          <w:lang w:val="en-GB"/>
        </w:rPr>
        <w:t xml:space="preserve">access decade-old carbon </w:t>
      </w:r>
      <w:r w:rsidR="009C35D0">
        <w:rPr>
          <w:rFonts w:cs="Times New Roman"/>
          <w:lang w:val="en-GB"/>
        </w:rPr>
        <w:t xml:space="preserve">stored </w:t>
      </w:r>
      <w:r w:rsidR="0099185D">
        <w:rPr>
          <w:rFonts w:cs="Times New Roman"/>
          <w:lang w:val="en-GB"/>
        </w:rPr>
        <w:t>in</w:t>
      </w:r>
      <w:r w:rsidR="009C35D0">
        <w:rPr>
          <w:rFonts w:cs="Times New Roman"/>
          <w:lang w:val="en-GB"/>
        </w:rPr>
        <w:t xml:space="preserve"> non-structural carbohydrates (NSCs) </w:t>
      </w:r>
      <w:r w:rsidR="000F6A38">
        <w:rPr>
          <w:rFonts w:cs="Times New Roman"/>
          <w:lang w:val="en-GB"/>
        </w:rPr>
        <w:t xml:space="preserve">when the plant is stressed or physically damaged </w:t>
      </w:r>
      <w:r w:rsidR="000F6A38">
        <w:rPr>
          <w:rFonts w:cs="Times New Roman"/>
          <w:lang w:val="en-GB"/>
        </w:rPr>
        <w:fldChar w:fldCharType="begin" w:fldLock="1"/>
      </w:r>
      <w:r w:rsidR="00AB44F9">
        <w:rPr>
          <w:rFonts w:cs="Times New Roman"/>
          <w:lang w:val="en-GB"/>
        </w:rPr>
        <w:instrText>ADDIN CSL_CITATION {"citationItems":[{"id":"ITEM-1","itemData":{"DOI":"10.1146/annurev-arplant-050213-040054","ISBN":"1543-5008","ISSN":"1543-5008","PMID":"24274032","abstract":"Nonstructural carbon (NSC) provides the carbon and energy for plant growth and survival. In woody plants, fundamental questions about NSC remain unresolved: Is NSC storage an active or passive process? Do older NSC reserves remain accessible to the plant? How is NSC depletion related to mortality risk? Herein we review conceptual and mathematical models of NSCdynamics, recent observations and experiments at the organismal scale, and advances in plant physiology that have provided a better understanding of the dynamics of woody plant NSC. Plants preferentially use new carbon but can access decade-old carbon when the plant is stressed or physically damaged. In addition to serving as a carbon and energy source, NSC plays important roles in phloem transport, osmoregulation, and cold tolerance, but how plants regulate these competing roles and NSC depletion remains elusive. Moving forward requires greater synthesis of models and data and integration across scales from -omics to ecology.","author":[{"dropping-particle":"","family":"Dietze","given":"Michael C","non-dropping-particle":"","parse-names":false,"suffix":""},{"dropping-particle":"","family":"Sala","given":"Anna","non-dropping-particle":"","parse-names":false,"suffix":""},{"dropping-particle":"","family":"Carbone","given":"Mariah S","non-dropping-particle":"","parse-names":false,"suffix":""},{"dropping-particle":"","family":"Czimczik","given":"Claudia I","non-dropping-particle":"","parse-names":false,"suffix":""},{"dropping-particle":"","family":"Mantooth","given":"Joshua A","non-dropping-particle":"","parse-names":false,"suffix":""},{"dropping-particle":"","family":"Richardson","given":"Andrew D","non-dropping-particle":"","parse-names":false,"suffix":""},{"dropping-particle":"","family":"Vargas","given":"Rodrigo","non-dropping-particle":"","parse-names":false,"suffix":""}],"container-title":"Annual Review of Plant Biology","id":"ITEM-1","issue":"1","issued":{"date-parts":[["2014"]]},"page":"667-687","title":"Nonstructural Carbon in Woody Plants","type":"article-journal","volume":"65"},"uris":["http://www.mendeley.com/documents/?uuid=5b9c2f6b-1dc5-4027-8ff7-6f5d01645486"]},{"id":"ITEM-2","itemData":{"DOI":"10.1111/nph.13955","author":[{"dropping-particle":"","family":"Hartmann","given":"Henrik","non-dropping-particle":"","parse-names":false,"suffix":""},{"dropping-particle":"","family":"Trumbore","given":"Susan","non-dropping-particle":"","parse-names":false,"suffix":""}],"container-title":"New Phytologist","id":"ITEM-2","issued":{"date-parts":[["2016"]]},"page":"386-403","title":"Understanding the roles of nonstructural carbohydrates in forest trees – from what we can measure to what we want to know","type":"article-journal","volume":"211"},"uris":["http://www.mendeley.com/documents/?uuid=ebea821f-1a3c-4caf-9397-9a4ffbea0b53"]}],"mendeley":{"formattedCitation":"(Dietze et al., 2014; Hartmann &amp; Trumbore, 2016)","plainTextFormattedCitation":"(Dietze et al., 2014; Hartmann &amp; Trumbore, 2016)","previouslyFormattedCitation":"(Dietze et al., 2014; Hartmann &amp; Trumbore, 2016)"},"properties":{"noteIndex":0},"schema":"https://github.com/citation-style-language/schema/raw/master/csl-citation.json"}</w:instrText>
      </w:r>
      <w:r w:rsidR="000F6A38">
        <w:rPr>
          <w:rFonts w:cs="Times New Roman"/>
          <w:lang w:val="en-GB"/>
        </w:rPr>
        <w:fldChar w:fldCharType="separate"/>
      </w:r>
      <w:r w:rsidR="007B7869" w:rsidRPr="007B7869">
        <w:rPr>
          <w:rFonts w:cs="Times New Roman"/>
          <w:noProof/>
          <w:lang w:val="en-GB"/>
        </w:rPr>
        <w:t>(Dietze et al., 2014; Hartmann &amp; Trumbore, 2016)</w:t>
      </w:r>
      <w:r w:rsidR="000F6A38">
        <w:rPr>
          <w:rFonts w:cs="Times New Roman"/>
          <w:lang w:val="en-GB"/>
        </w:rPr>
        <w:fldChar w:fldCharType="end"/>
      </w:r>
      <w:r w:rsidR="00CA070F">
        <w:rPr>
          <w:rFonts w:cs="Times New Roman"/>
          <w:lang w:val="en-GB"/>
        </w:rPr>
        <w:t xml:space="preserve">. </w:t>
      </w:r>
      <w:r w:rsidR="00B71FC5">
        <w:rPr>
          <w:rFonts w:cs="Times New Roman"/>
          <w:lang w:val="en-GB"/>
        </w:rPr>
        <w:t xml:space="preserve">The mixing and turnover of old and new NSC might </w:t>
      </w:r>
      <w:r w:rsidR="00C27A71">
        <w:rPr>
          <w:rFonts w:cs="Times New Roman"/>
          <w:lang w:val="en-GB"/>
        </w:rPr>
        <w:t xml:space="preserve">thus </w:t>
      </w:r>
      <w:r w:rsidR="00B71FC5">
        <w:rPr>
          <w:rFonts w:cs="Times New Roman"/>
          <w:lang w:val="en-GB"/>
        </w:rPr>
        <w:t xml:space="preserve">dampen the </w:t>
      </w:r>
      <w:r w:rsidR="00B71FC5">
        <w:rPr>
          <w:rFonts w:cs="Times New Roman"/>
          <w:lang w:val="en-GB"/>
        </w:rPr>
        <w:sym w:font="Symbol" w:char="F064"/>
      </w:r>
      <w:r w:rsidR="00B71FC5" w:rsidRPr="00B71FC5">
        <w:rPr>
          <w:rFonts w:cs="Times New Roman"/>
          <w:vertAlign w:val="superscript"/>
          <w:lang w:val="en-GB"/>
        </w:rPr>
        <w:t>13</w:t>
      </w:r>
      <w:r w:rsidR="00B71FC5">
        <w:rPr>
          <w:rFonts w:cs="Times New Roman"/>
          <w:lang w:val="en-GB"/>
        </w:rPr>
        <w:t>C</w:t>
      </w:r>
      <w:r w:rsidR="00B71FC5" w:rsidRPr="00B71FC5">
        <w:rPr>
          <w:rFonts w:cs="Times New Roman"/>
          <w:vertAlign w:val="subscript"/>
          <w:lang w:val="en-GB"/>
        </w:rPr>
        <w:t>TR</w:t>
      </w:r>
      <w:r w:rsidR="00B71FC5">
        <w:rPr>
          <w:rFonts w:cs="Times New Roman"/>
          <w:lang w:val="en-GB"/>
        </w:rPr>
        <w:t xml:space="preserve"> signal used as a proxy of leaf gas</w:t>
      </w:r>
      <w:r w:rsidR="00370D3F">
        <w:rPr>
          <w:rFonts w:cs="Times New Roman"/>
          <w:lang w:val="en-GB"/>
        </w:rPr>
        <w:t>-</w:t>
      </w:r>
      <w:r w:rsidR="00B71FC5">
        <w:rPr>
          <w:rFonts w:cs="Times New Roman"/>
          <w:lang w:val="en-GB"/>
        </w:rPr>
        <w:t xml:space="preserve">exchange </w:t>
      </w:r>
      <w:r w:rsidR="00B71FC5">
        <w:rPr>
          <w:rFonts w:cs="Times New Roman"/>
          <w:lang w:val="en-GB"/>
        </w:rPr>
        <w:fldChar w:fldCharType="begin" w:fldLock="1"/>
      </w:r>
      <w:r w:rsidR="00F11BB2">
        <w:rPr>
          <w:rFonts w:cs="Times New Roman"/>
          <w:lang w:val="en-GB"/>
        </w:rPr>
        <w:instrText>ADDIN CSL_CITATION {"citationItems":[{"id":"ITEM-1","itemData":{"DOI":"10.1111/nph.15384","ISSN":"0028646X","author":[{"dropping-particle":"","family":"Yi","given":"Koong","non-dropping-particle":"","parse-names":false,"suffix":""},{"dropping-particle":"","family":"Maxwell","given":"Justin T.","non-dropping-particle":"","parse-names":false,"suffix":""},{"dropping-particle":"","family":"Wenzel","given":"Matthew K.","non-dropping-particle":"","parse-names":false,"suffix":""},{"dropping-particle":"","family":"Roman","given":"D. Tyler","non-dropping-particle":"","parse-names":false,"suffix":""},{"dropping-particle":"","family":"Sauer","given":"Peter E.","non-dropping-particle":"","parse-names":false,"suffix":""},{"dropping-particle":"","family":"Phillips","given":"Richard P.","non-dropping-particle":"","parse-names":false,"suffix":""},{"dropping-particle":"","family":"Novick","given":"Kimberly A.","non-dropping-particle":"","parse-names":false,"suffix":""}],"container-title":"New Phytologist","id":"ITEM-1","issued":{"date-parts":[["2018"]]},"title":"Linking variation in intrinsic water-use efficiency to isohydricity: a comparison at multiple spatiotemporal scales","type":"article-journal"},"uris":["http://www.mendeley.com/documents/?uuid=30b78e09-bb18-40a8-bf21-52b06bb8047d"]}],"mendeley":{"formattedCitation":"(Yi et al., 2018)","plainTextFormattedCitation":"(Yi et al., 2018)","previouslyFormattedCitation":"(Yi et al., 2018)"},"properties":{"noteIndex":0},"schema":"https://github.com/citation-style-language/schema/raw/master/csl-citation.json"}</w:instrText>
      </w:r>
      <w:r w:rsidR="00B71FC5">
        <w:rPr>
          <w:rFonts w:cs="Times New Roman"/>
          <w:lang w:val="en-GB"/>
        </w:rPr>
        <w:fldChar w:fldCharType="separate"/>
      </w:r>
      <w:r w:rsidR="004C44B6" w:rsidRPr="004C44B6">
        <w:rPr>
          <w:rFonts w:cs="Times New Roman"/>
          <w:noProof/>
          <w:lang w:val="en-GB"/>
        </w:rPr>
        <w:t>(Yi et al., 2018)</w:t>
      </w:r>
      <w:r w:rsidR="00B71FC5">
        <w:rPr>
          <w:rFonts w:cs="Times New Roman"/>
          <w:lang w:val="en-GB"/>
        </w:rPr>
        <w:fldChar w:fldCharType="end"/>
      </w:r>
      <w:r w:rsidR="004C44B6">
        <w:rPr>
          <w:rFonts w:cs="Times New Roman"/>
          <w:lang w:val="en-GB"/>
        </w:rPr>
        <w:t xml:space="preserve"> and </w:t>
      </w:r>
      <w:r w:rsidR="00052010">
        <w:rPr>
          <w:rFonts w:cs="Times New Roman"/>
          <w:lang w:val="en-GB"/>
        </w:rPr>
        <w:t>should</w:t>
      </w:r>
      <w:r w:rsidR="00036E2A">
        <w:rPr>
          <w:rFonts w:cs="Times New Roman"/>
          <w:lang w:val="en-GB"/>
        </w:rPr>
        <w:t xml:space="preserve"> </w:t>
      </w:r>
      <w:r w:rsidR="004D69ED">
        <w:rPr>
          <w:rFonts w:cs="Times New Roman"/>
          <w:lang w:val="en-GB"/>
        </w:rPr>
        <w:t xml:space="preserve">better </w:t>
      </w:r>
      <w:r w:rsidR="004C44B6">
        <w:rPr>
          <w:rFonts w:cs="Times New Roman"/>
          <w:lang w:val="en-GB"/>
        </w:rPr>
        <w:t xml:space="preserve">reflect </w:t>
      </w:r>
      <w:r w:rsidR="00BD747F">
        <w:rPr>
          <w:rFonts w:cs="Times New Roman"/>
          <w:lang w:val="en-GB"/>
        </w:rPr>
        <w:t>year-to-decades</w:t>
      </w:r>
      <w:r w:rsidR="00D009CB">
        <w:rPr>
          <w:rFonts w:cs="Times New Roman"/>
          <w:lang w:val="en-GB"/>
        </w:rPr>
        <w:t xml:space="preserve"> smoothed </w:t>
      </w:r>
      <w:r w:rsidR="00036E2A">
        <w:rPr>
          <w:rFonts w:cs="Times New Roman"/>
          <w:lang w:val="en-GB"/>
        </w:rPr>
        <w:t xml:space="preserve">rather than interannual changes </w:t>
      </w:r>
      <w:r w:rsidR="00D009CB">
        <w:rPr>
          <w:rFonts w:cs="Times New Roman"/>
          <w:lang w:val="en-GB"/>
        </w:rPr>
        <w:t xml:space="preserve">in </w:t>
      </w:r>
      <w:r w:rsidR="000D5462" w:rsidRPr="00BD2160">
        <w:rPr>
          <w:rFonts w:cs="Times New Roman"/>
        </w:rPr>
        <w:t>iWUE</w:t>
      </w:r>
      <w:r w:rsidR="000D5462" w:rsidRPr="001B08EE">
        <w:rPr>
          <w:rFonts w:cs="Times New Roman"/>
          <w:vertAlign w:val="superscript"/>
        </w:rPr>
        <w:t>l</w:t>
      </w:r>
      <w:r w:rsidR="000D5462">
        <w:rPr>
          <w:rFonts w:cs="Times New Roman"/>
          <w:vertAlign w:val="superscript"/>
        </w:rPr>
        <w:t>eaf</w:t>
      </w:r>
      <w:r w:rsidR="00474DAA">
        <w:rPr>
          <w:rFonts w:cs="Times New Roman"/>
          <w:lang w:val="en-GB"/>
        </w:rPr>
        <w:t xml:space="preserve">. </w:t>
      </w:r>
      <w:r w:rsidR="00BD747F">
        <w:rPr>
          <w:rFonts w:cs="Times New Roman"/>
          <w:lang w:val="en-GB"/>
        </w:rPr>
        <w:t xml:space="preserve">This </w:t>
      </w:r>
      <w:r w:rsidR="001B0E64">
        <w:rPr>
          <w:rFonts w:cs="Times New Roman"/>
          <w:lang w:val="en-GB"/>
        </w:rPr>
        <w:t>is</w:t>
      </w:r>
      <w:r w:rsidR="00BD747F">
        <w:rPr>
          <w:rFonts w:cs="Times New Roman"/>
          <w:lang w:val="en-GB"/>
        </w:rPr>
        <w:t xml:space="preserve"> a </w:t>
      </w:r>
      <w:r>
        <w:rPr>
          <w:rFonts w:cs="Times New Roman"/>
          <w:lang w:val="en-GB"/>
        </w:rPr>
        <w:t xml:space="preserve">relatively minor </w:t>
      </w:r>
      <w:r w:rsidR="00BD747F">
        <w:rPr>
          <w:rFonts w:cs="Times New Roman"/>
          <w:lang w:val="en-GB"/>
        </w:rPr>
        <w:t xml:space="preserve">issue when the goal is to estimate long-term trends in </w:t>
      </w:r>
      <w:r w:rsidR="000D5462" w:rsidRPr="00BD2160">
        <w:rPr>
          <w:rFonts w:cs="Times New Roman"/>
        </w:rPr>
        <w:t>iWUE</w:t>
      </w:r>
      <w:r w:rsidR="000D5462" w:rsidRPr="001B08EE">
        <w:rPr>
          <w:rFonts w:cs="Times New Roman"/>
          <w:vertAlign w:val="superscript"/>
        </w:rPr>
        <w:t>l</w:t>
      </w:r>
      <w:r w:rsidR="000D5462">
        <w:rPr>
          <w:rFonts w:cs="Times New Roman"/>
          <w:vertAlign w:val="superscript"/>
        </w:rPr>
        <w:t>eaf</w:t>
      </w:r>
      <w:r w:rsidR="004D69ED">
        <w:rPr>
          <w:rFonts w:cs="Times New Roman"/>
          <w:lang w:val="en-GB"/>
        </w:rPr>
        <w:t>, but given that</w:t>
      </w:r>
      <w:r w:rsidR="00BD747F">
        <w:rPr>
          <w:rFonts w:cs="Times New Roman"/>
          <w:lang w:val="en-GB"/>
        </w:rPr>
        <w:t xml:space="preserve"> </w:t>
      </w:r>
      <w:r w:rsidR="001B0E64">
        <w:rPr>
          <w:rFonts w:cs="Times New Roman"/>
        </w:rPr>
        <w:t>t</w:t>
      </w:r>
      <w:r w:rsidR="00C87EC5" w:rsidRPr="00BD2160">
        <w:rPr>
          <w:rFonts w:cs="Times New Roman"/>
        </w:rPr>
        <w:t xml:space="preserve">he </w:t>
      </w:r>
      <w:r w:rsidR="0066030F">
        <w:rPr>
          <w:rFonts w:cs="Times New Roman"/>
        </w:rPr>
        <w:t xml:space="preserve">effects of NSCs on </w:t>
      </w:r>
      <w:r w:rsidR="004D69ED">
        <w:rPr>
          <w:rFonts w:cs="Times New Roman"/>
          <w:lang w:val="en-GB"/>
        </w:rPr>
        <w:sym w:font="Symbol" w:char="F064"/>
      </w:r>
      <w:r w:rsidR="004D69ED" w:rsidRPr="00B71FC5">
        <w:rPr>
          <w:rFonts w:cs="Times New Roman"/>
          <w:vertAlign w:val="superscript"/>
          <w:lang w:val="en-GB"/>
        </w:rPr>
        <w:t>13</w:t>
      </w:r>
      <w:r w:rsidR="004D69ED">
        <w:rPr>
          <w:rFonts w:cs="Times New Roman"/>
          <w:lang w:val="en-GB"/>
        </w:rPr>
        <w:t>C</w:t>
      </w:r>
      <w:r w:rsidR="004D69ED" w:rsidRPr="00B71FC5">
        <w:rPr>
          <w:rFonts w:cs="Times New Roman"/>
          <w:vertAlign w:val="subscript"/>
          <w:lang w:val="en-GB"/>
        </w:rPr>
        <w:t>TR</w:t>
      </w:r>
      <w:r w:rsidR="004D69ED">
        <w:rPr>
          <w:rFonts w:cs="Times New Roman"/>
          <w:lang w:val="en-GB"/>
        </w:rPr>
        <w:t xml:space="preserve"> </w:t>
      </w:r>
      <w:r w:rsidR="001B0E64">
        <w:rPr>
          <w:rFonts w:cs="Times New Roman"/>
        </w:rPr>
        <w:t>are</w:t>
      </w:r>
      <w:r w:rsidR="0066030F">
        <w:rPr>
          <w:rFonts w:cs="Times New Roman"/>
        </w:rPr>
        <w:t xml:space="preserve"> </w:t>
      </w:r>
      <w:r w:rsidR="00DE4313" w:rsidRPr="00BD2160">
        <w:rPr>
          <w:rFonts w:cs="Times New Roman"/>
        </w:rPr>
        <w:t xml:space="preserve">still </w:t>
      </w:r>
      <w:r w:rsidR="00C87EC5" w:rsidRPr="00BD2160">
        <w:rPr>
          <w:rFonts w:cs="Times New Roman"/>
        </w:rPr>
        <w:t>largely unknown</w:t>
      </w:r>
      <w:r w:rsidR="00474DAA">
        <w:rPr>
          <w:rFonts w:cs="Times New Roman"/>
        </w:rPr>
        <w:t xml:space="preserve"> </w:t>
      </w:r>
      <w:r w:rsidR="001B0E64">
        <w:rPr>
          <w:rFonts w:cs="Times New Roman"/>
        </w:rPr>
        <w:fldChar w:fldCharType="begin" w:fldLock="1"/>
      </w:r>
      <w:r w:rsidR="000479CF">
        <w:rPr>
          <w:rFonts w:cs="Times New Roman"/>
        </w:rPr>
        <w:instrText>ADDIN CSL_CITATION {"citationItems":[{"id":"ITEM-1","itemData":{"DOI":"10.1111/nph.13955","author":[{"dropping-particle":"","family":"Hartmann","given":"Henrik","non-dropping-particle":"","parse-names":false,"suffix":""},{"dropping-particle":"","family":"Trumbore","given":"Susan","non-dropping-particle":"","parse-names":false,"suffix":""}],"container-title":"New Phytologist","id":"ITEM-1","issued":{"date-parts":[["2016"]]},"page":"386-403","title":"Understanding the roles of nonstructural carbohydrates in forest trees – from what we can measure to what we want to know","type":"article-journal","volume":"211"},"uris":["http://www.mendeley.com/documents/?uuid=ebea821f-1a3c-4caf-9397-9a4ffbea0b53"]}],"mendeley":{"formattedCitation":"(Hartmann &amp; Trumbore, 2016)","plainTextFormattedCitation":"(Hartmann &amp; Trumbore, 2016)","previouslyFormattedCitation":"(Hartmann &amp; Trumbore, 2016)"},"properties":{"noteIndex":0},"schema":"https://github.com/citation-style-language/schema/raw/master/csl-citation.json"}</w:instrText>
      </w:r>
      <w:r w:rsidR="001B0E64">
        <w:rPr>
          <w:rFonts w:cs="Times New Roman"/>
        </w:rPr>
        <w:fldChar w:fldCharType="separate"/>
      </w:r>
      <w:r w:rsidR="001B0E64" w:rsidRPr="00FF44B3">
        <w:rPr>
          <w:rFonts w:cs="Times New Roman"/>
          <w:noProof/>
        </w:rPr>
        <w:t>(Hartmann &amp; Trumbore, 2016)</w:t>
      </w:r>
      <w:r w:rsidR="001B0E64">
        <w:rPr>
          <w:rFonts w:cs="Times New Roman"/>
        </w:rPr>
        <w:fldChar w:fldCharType="end"/>
      </w:r>
      <w:r w:rsidR="004D69ED">
        <w:rPr>
          <w:rFonts w:cs="Times New Roman"/>
        </w:rPr>
        <w:t xml:space="preserve">, </w:t>
      </w:r>
      <w:r w:rsidR="001507EF">
        <w:rPr>
          <w:rFonts w:cs="Times New Roman"/>
        </w:rPr>
        <w:t xml:space="preserve">they </w:t>
      </w:r>
      <w:r w:rsidR="003B41B5" w:rsidRPr="00BD2160">
        <w:rPr>
          <w:rFonts w:cs="Times New Roman"/>
        </w:rPr>
        <w:t>increas</w:t>
      </w:r>
      <w:r w:rsidR="001D34F0">
        <w:rPr>
          <w:rFonts w:cs="Times New Roman"/>
        </w:rPr>
        <w:t>e</w:t>
      </w:r>
      <w:r w:rsidR="003B41B5" w:rsidRPr="00BD2160">
        <w:rPr>
          <w:rFonts w:cs="Times New Roman"/>
        </w:rPr>
        <w:t xml:space="preserve"> the degree of uncertaint</w:t>
      </w:r>
      <w:r w:rsidR="001D34F0">
        <w:rPr>
          <w:rFonts w:cs="Times New Roman"/>
        </w:rPr>
        <w:t>y</w:t>
      </w:r>
      <w:r w:rsidR="003B41B5" w:rsidRPr="00BD2160">
        <w:rPr>
          <w:rFonts w:cs="Times New Roman"/>
        </w:rPr>
        <w:t xml:space="preserve"> when estimating </w:t>
      </w:r>
      <w:r w:rsidR="000D5462" w:rsidRPr="00BD2160">
        <w:rPr>
          <w:rFonts w:cs="Times New Roman"/>
        </w:rPr>
        <w:t>iWUE</w:t>
      </w:r>
      <w:r w:rsidR="000D5462" w:rsidRPr="001B08EE">
        <w:rPr>
          <w:rFonts w:cs="Times New Roman"/>
          <w:vertAlign w:val="superscript"/>
        </w:rPr>
        <w:t>l</w:t>
      </w:r>
      <w:r w:rsidR="000D5462">
        <w:rPr>
          <w:rFonts w:cs="Times New Roman"/>
          <w:vertAlign w:val="superscript"/>
        </w:rPr>
        <w:t>eaf</w:t>
      </w:r>
      <w:r w:rsidR="0030488E">
        <w:rPr>
          <w:rFonts w:cs="Times New Roman"/>
        </w:rPr>
        <w:t>.</w:t>
      </w:r>
      <w:r w:rsidR="0038201E">
        <w:rPr>
          <w:rFonts w:cs="Times New Roman"/>
        </w:rPr>
        <w:t xml:space="preserve"> </w:t>
      </w:r>
      <w:r w:rsidR="00E212AA" w:rsidRPr="00BD2160">
        <w:rPr>
          <w:rFonts w:cs="Times New Roman"/>
        </w:rPr>
        <w:t>∆</w:t>
      </w:r>
      <w:r w:rsidR="00E212AA" w:rsidRPr="00BD2160">
        <w:rPr>
          <w:rFonts w:cs="Times New Roman"/>
          <w:vertAlign w:val="superscript"/>
        </w:rPr>
        <w:t>13</w:t>
      </w:r>
      <w:r w:rsidR="00E212AA" w:rsidRPr="00BD2160">
        <w:rPr>
          <w:rFonts w:cs="Times New Roman"/>
        </w:rPr>
        <w:t xml:space="preserve">C </w:t>
      </w:r>
      <w:r w:rsidR="0099409C">
        <w:rPr>
          <w:rFonts w:cs="Times New Roman"/>
        </w:rPr>
        <w:t xml:space="preserve">can also vary </w:t>
      </w:r>
      <w:r w:rsidR="00E212AA" w:rsidRPr="00BD2160">
        <w:rPr>
          <w:rFonts w:cs="Times New Roman"/>
        </w:rPr>
        <w:t>as tree</w:t>
      </w:r>
      <w:r w:rsidR="00340580" w:rsidRPr="00BD2160">
        <w:rPr>
          <w:rFonts w:cs="Times New Roman"/>
        </w:rPr>
        <w:t>s</w:t>
      </w:r>
      <w:r w:rsidR="00E212AA" w:rsidRPr="00BD2160">
        <w:rPr>
          <w:rFonts w:cs="Times New Roman"/>
        </w:rPr>
        <w:t xml:space="preserve"> grow in height, </w:t>
      </w:r>
      <w:r w:rsidR="00075963" w:rsidRPr="00BD2160">
        <w:rPr>
          <w:rFonts w:cs="Times New Roman"/>
        </w:rPr>
        <w:t>giving rise to a</w:t>
      </w:r>
      <w:r w:rsidR="003E0021" w:rsidRPr="00BD2160">
        <w:rPr>
          <w:rFonts w:cs="Times New Roman"/>
        </w:rPr>
        <w:t>n</w:t>
      </w:r>
      <w:r w:rsidR="00E55C86" w:rsidRPr="00BD2160">
        <w:rPr>
          <w:rFonts w:cs="Times New Roman"/>
        </w:rPr>
        <w:t xml:space="preserve"> </w:t>
      </w:r>
      <w:r w:rsidR="00075963" w:rsidRPr="00BD2160">
        <w:rPr>
          <w:rFonts w:cs="Times New Roman"/>
        </w:rPr>
        <w:t>effect</w:t>
      </w:r>
      <w:r w:rsidR="00973E6F" w:rsidRPr="00BD2160">
        <w:rPr>
          <w:rFonts w:cs="Times New Roman"/>
        </w:rPr>
        <w:t xml:space="preserve"> </w:t>
      </w:r>
      <w:r w:rsidR="00B472ED">
        <w:rPr>
          <w:rFonts w:cs="Times New Roman"/>
        </w:rPr>
        <w:t xml:space="preserve">that has </w:t>
      </w:r>
      <w:r w:rsidR="00AD1C09" w:rsidRPr="00BD2160">
        <w:rPr>
          <w:rFonts w:cs="Times New Roman"/>
        </w:rPr>
        <w:t>also</w:t>
      </w:r>
      <w:r w:rsidR="00520865" w:rsidRPr="00BD2160">
        <w:rPr>
          <w:rFonts w:cs="Times New Roman"/>
        </w:rPr>
        <w:t xml:space="preserve"> </w:t>
      </w:r>
      <w:r w:rsidR="00B472ED">
        <w:rPr>
          <w:rFonts w:cs="Times New Roman"/>
        </w:rPr>
        <w:t xml:space="preserve">been called </w:t>
      </w:r>
      <w:r w:rsidR="001F73B0" w:rsidRPr="00BD2160">
        <w:rPr>
          <w:rFonts w:cs="Times New Roman"/>
        </w:rPr>
        <w:t xml:space="preserve">the </w:t>
      </w:r>
      <w:r w:rsidR="00E212AA" w:rsidRPr="00BD2160">
        <w:rPr>
          <w:rFonts w:cs="Times New Roman"/>
        </w:rPr>
        <w:t xml:space="preserve">‘juvenile effect’ </w:t>
      </w:r>
      <w:r w:rsidR="00902CBA" w:rsidRPr="00BD2160">
        <w:rPr>
          <w:rFonts w:cs="Times New Roman"/>
        </w:rPr>
        <w:fldChar w:fldCharType="begin" w:fldLock="1"/>
      </w:r>
      <w:r w:rsidR="00710A74">
        <w:rPr>
          <w:rFonts w:cs="Times New Roman"/>
        </w:rPr>
        <w:instrText>ADDIN CSL_CITATION {"citationItems":[{"id":"ITEM-1","itemData":{"author":[{"dropping-particle":"","family":"Francey","given":"R.J.","non-dropping-particle":"","parse-names":false,"suffix":""},{"dropping-particle":"","family":"Farquhar","given":"G D","non-dropping-particle":"","parse-names":false,"suffix":""}],"container-title":"Nature","id":"ITEM-1","issued":{"date-parts":[["1982"]]},"page":"28-31","title":"An explanation of 13C/12C variations in tree rings","type":"article-journal","volume":"297"},"uris":["http://www.mendeley.com/documents/?uuid=66abf670-bc26-4e8e-950c-433cfc6a41b9"]},{"id":"ITEM-2","itemData":{"DOI":"10.1016/j.tree.2011.06.003","ISBN":"0169-5347","ISSN":"01695347","PMID":"21802765","abstract":"Climate-driven vegetation mortality is occurring globally and is predicted to increase in the near future. The expected climate feedbacks of regional-scale mortality events have intensified the need to improve the simple mortality algorithms used for future predictions, but uncertainty regarding mortality processes precludes mechanistic modeling. By integrating new evidence from a wide range of fields, we conclude that hydraulic function and carbohydrate and defense metabolism have numerous potential failure points, and that these processes are strongly interdependent, both with each other and with destructive pathogen and insect populations. Crucially, most of these mechanisms and their interdependencies are likely to become amplified under a warmer, drier climate. Here, we outline the observations and experiments needed to test this interdependence and to improve simulations of this emergent global phenomenon. ?? 2011 Elsevier Ltd.","author":[{"dropping-particle":"","family":"McDowell","given":"Nate G.","non-dropping-particle":"","parse-names":false,"suffix":""},{"dropping-particle":"","family":"Beerling","given":"David J.","non-dropping-particle":"","parse-names":false,"suffix":""},{"dropping-particle":"","family":"Breshears","given":"David D.","non-dropping-particle":"","parse-names":false,"suffix":""},{"dropping-particle":"","family":"Fisher","given":"Rosie A.","non-dropping-particle":"","parse-names":false,"suffix":""},{"dropping-particle":"","family":"Raffa","given":"Kenneth F.","non-dropping-particle":"","parse-names":false,"suffix":""},{"dropping-particle":"","family":"Stitt","given":"Mark","non-dropping-particle":"","parse-names":false,"suffix":""}],"container-title":"Trends in Ecology and Evolution","id":"ITEM-2","issue":"10","issued":{"date-parts":[["2011"]]},"page":"523-532","title":"The interdependence of mechanisms underlying climate-driven vegetation mortality","type":"article-journal","volume":"26"},"uris":["http://www.mendeley.com/documents/?uuid=5cc5a0b7-d3d4-4da0-b6ec-e526dfcc0039"]}],"mendeley":{"formattedCitation":"(Francey &amp; Farquhar, 1982; McDowell et al., 2011)","plainTextFormattedCitation":"(Francey &amp; Farquhar, 1982; McDowell et al., 2011)","previouslyFormattedCitation":"(Francey &amp; Farquhar, 1982; McDowell et al., 2011)"},"properties":{"noteIndex":0},"schema":"https://github.com/citation-style-language/schema/raw/master/csl-citation.json"}</w:instrText>
      </w:r>
      <w:r w:rsidR="00902CBA" w:rsidRPr="00BD2160">
        <w:rPr>
          <w:rFonts w:cs="Times New Roman"/>
        </w:rPr>
        <w:fldChar w:fldCharType="separate"/>
      </w:r>
      <w:r w:rsidR="00710A74" w:rsidRPr="00710A74">
        <w:rPr>
          <w:rFonts w:cs="Times New Roman"/>
          <w:noProof/>
          <w:lang w:val="fr-FR"/>
        </w:rPr>
        <w:t>(Francey &amp; Farquhar, 1982; McDowell et al., 2011)</w:t>
      </w:r>
      <w:r w:rsidR="00902CBA" w:rsidRPr="00BD2160">
        <w:rPr>
          <w:rFonts w:cs="Times New Roman"/>
        </w:rPr>
        <w:fldChar w:fldCharType="end"/>
      </w:r>
      <w:r w:rsidR="00430AAA">
        <w:rPr>
          <w:rFonts w:cs="Times New Roman"/>
        </w:rPr>
        <w:t xml:space="preserve"> but, in reality, one that continues well </w:t>
      </w:r>
      <w:r w:rsidR="00B472ED">
        <w:rPr>
          <w:rFonts w:cs="Times New Roman"/>
        </w:rPr>
        <w:t>into maturity</w:t>
      </w:r>
      <w:r w:rsidR="00075963" w:rsidRPr="00BD2160">
        <w:rPr>
          <w:rFonts w:cs="Times New Roman"/>
          <w:lang w:val="fr-FR"/>
        </w:rPr>
        <w:t xml:space="preserve">. </w:t>
      </w:r>
      <w:r w:rsidR="00B90EA6">
        <w:rPr>
          <w:rFonts w:cs="Times New Roman"/>
          <w:lang w:val="fr-FR"/>
        </w:rPr>
        <w:fldChar w:fldCharType="begin" w:fldLock="1"/>
      </w:r>
      <w:r w:rsidR="00CA4069">
        <w:rPr>
          <w:rFonts w:cs="Times New Roman"/>
          <w:lang w:val="fr-FR"/>
        </w:rPr>
        <w:instrText>ADDIN CSL_CITATION {"citationItems":[{"id":"ITEM-1","itemData":{"DOI":"10.1038/s41467-017-00225-z","ISSN":"20411723","PMID":"28819277","abstract":"Various studies report substantial increases in intrinsic water-use efficiency (Wi), estimated using carbon isotopes in tree rings, suggesting trees are gaining increasingly more carbon per unit water lost due to increases in atmospheric CO2. Usually, reconstructions do not, however, correct for the effect of intrinsic developmental changes inWi as trees grow larger. Here we show, by comparingWi across varying tree sizes at one CO2 level, that ignoring such developmental effects can severely affect inferences of trees’Wi.Wi doubled or even tripled over a trees’ lifespan in three broadleaf species due to changes in tree height and light availability alone, and there are also weak trends for Pine trees. Developmental trends in broadleaf species are as large as the trends previously assigned to CO2 and climate. Credible future tree ring isotope studies require explicit accounting for species-specific developmental effects before CO2 and climate effects are inferred.","author":[{"dropping-particle":"","family":"Brienen","given":"R. J.W.","non-dropping-particle":"","parse-names":false,"suffix":""},{"dropping-particle":"","family":"Gloor","given":"E.","non-dropping-particle":"","parse-names":false,"suffix":""},{"dropping-particle":"","family":"Clerici","given":"S.","non-dropping-particle":"","parse-names":false,"suffix":""},{"dropping-particle":"","family":"Newton","given":"R.","non-dropping-particle":"","parse-names":false,"suffix":""},{"dropping-particle":"","family":"Arppe","given":"L.","non-dropping-particle":"","parse-names":false,"suffix":""},{"dropping-particle":"","family":"Boom","given":"A.","non-dropping-particle":"","parse-names":false,"suffix":""},{"dropping-particle":"","family":"Bottrell","given":"S.","non-dropping-particle":"","parse-names":false,"suffix":""},{"dropping-particle":"","family":"Callaghan","given":"M.","non-dropping-particle":"","parse-names":false,"suffix":""},{"dropping-particle":"","family":"Heaton","given":"T.","non-dropping-particle":"","parse-names":false,"suffix":""},{"dropping-particle":"","family":"Helama","given":"S.","non-dropping-particle":"","parse-names":false,"suffix":""},{"dropping-particle":"","family":"Helle","given":"G.","non-dropping-particle":"","parse-names":false,"suffix":""},{"dropping-particle":"","family":"Leng","given":"M. J.","non-dropping-particle":"","parse-names":false,"suffix":""},{"dropping-particle":"","family":"Mielikäinen","given":"K.","non-dropping-particle":"","parse-names":false,"suffix":""},{"dropping-particle":"","family":"Oinonen","given":"M.","non-dropping-particle":"","parse-names":false,"suffix":""},{"dropping-particle":"","family":"Timonen","given":"M.","non-dropping-particle":"","parse-names":false,"suffix":""}],"container-title":"Nature Communications","id":"ITEM-1","issue":"1","issued":{"date-parts":[["2017"]]},"title":"Tree height strongly affects estimates of water-use efficiency responses to climate and CO2 using isotopes","type":"article-journal","volume":"8"},"uris":["http://www.mendeley.com/documents/?uuid=ad31acc8-c860-4a52-a1bc-2be12b20eb57"]}],"mendeley":{"formattedCitation":"(Brienen et al., 2017)","manualFormatting":"Brienen et al. (2017)","plainTextFormattedCitation":"(Brienen et al., 2017)","previouslyFormattedCitation":"(Brienen et al., 2017)"},"properties":{"noteIndex":0},"schema":"https://github.com/citation-style-language/schema/raw/master/csl-citation.json"}</w:instrText>
      </w:r>
      <w:r w:rsidR="00B90EA6">
        <w:rPr>
          <w:rFonts w:cs="Times New Roman"/>
          <w:lang w:val="fr-FR"/>
        </w:rPr>
        <w:fldChar w:fldCharType="separate"/>
      </w:r>
      <w:r w:rsidR="00B90EA6" w:rsidRPr="00B90EA6">
        <w:rPr>
          <w:rFonts w:cs="Times New Roman"/>
          <w:noProof/>
          <w:lang w:val="fr-FR"/>
        </w:rPr>
        <w:t>Brienen et al. (2017)</w:t>
      </w:r>
      <w:r w:rsidR="00B90EA6">
        <w:rPr>
          <w:rFonts w:cs="Times New Roman"/>
          <w:lang w:val="fr-FR"/>
        </w:rPr>
        <w:fldChar w:fldCharType="end"/>
      </w:r>
      <w:r w:rsidR="00B90EA6">
        <w:rPr>
          <w:rFonts w:cs="Times New Roman"/>
          <w:lang w:val="fr-FR"/>
        </w:rPr>
        <w:t xml:space="preserve"> </w:t>
      </w:r>
      <w:r w:rsidR="000D0193">
        <w:rPr>
          <w:rFonts w:cs="Times New Roman"/>
        </w:rPr>
        <w:t>demonstrat</w:t>
      </w:r>
      <w:r w:rsidR="001F73B0" w:rsidRPr="00BD2160">
        <w:rPr>
          <w:rFonts w:cs="Times New Roman"/>
        </w:rPr>
        <w:t xml:space="preserve">ed </w:t>
      </w:r>
      <w:r w:rsidR="009E60B2" w:rsidRPr="00BD2160">
        <w:rPr>
          <w:rFonts w:cs="Times New Roman"/>
        </w:rPr>
        <w:t>that</w:t>
      </w:r>
      <w:r w:rsidR="00973E6F" w:rsidRPr="00BD2160">
        <w:rPr>
          <w:rFonts w:cs="Times New Roman"/>
        </w:rPr>
        <w:t xml:space="preserve"> </w:t>
      </w:r>
      <w:r w:rsidR="00D03261">
        <w:rPr>
          <w:rFonts w:cs="Times New Roman"/>
        </w:rPr>
        <w:t>this</w:t>
      </w:r>
      <w:r w:rsidR="008544D6">
        <w:rPr>
          <w:rFonts w:cs="Times New Roman"/>
        </w:rPr>
        <w:t xml:space="preserve"> </w:t>
      </w:r>
      <w:r w:rsidR="00615A06" w:rsidRPr="00BD2160">
        <w:rPr>
          <w:rFonts w:cs="Times New Roman"/>
        </w:rPr>
        <w:t xml:space="preserve">effect </w:t>
      </w:r>
      <w:r w:rsidR="00D03261">
        <w:rPr>
          <w:rFonts w:cs="Times New Roman"/>
        </w:rPr>
        <w:t>is</w:t>
      </w:r>
      <w:r w:rsidR="00615A06" w:rsidRPr="00BD2160">
        <w:rPr>
          <w:rFonts w:cs="Times New Roman"/>
        </w:rPr>
        <w:t xml:space="preserve"> not primarily related to age</w:t>
      </w:r>
      <w:r w:rsidR="00B472ED">
        <w:rPr>
          <w:rFonts w:cs="Times New Roman"/>
        </w:rPr>
        <w:t>,</w:t>
      </w:r>
      <w:r w:rsidR="00E9266A">
        <w:rPr>
          <w:rFonts w:cs="Times New Roman"/>
        </w:rPr>
        <w:t xml:space="preserve"> as was previously assumed </w:t>
      </w:r>
      <w:r w:rsidR="00B472ED">
        <w:rPr>
          <w:rFonts w:cs="Times New Roman"/>
        </w:rPr>
        <w:t xml:space="preserve">in many </w:t>
      </w:r>
      <w:r w:rsidR="00E9266A">
        <w:rPr>
          <w:rFonts w:cs="Times New Roman"/>
        </w:rPr>
        <w:t xml:space="preserve">studies </w:t>
      </w:r>
      <w:r w:rsidR="00E9266A" w:rsidRPr="00BD2160">
        <w:rPr>
          <w:rFonts w:cs="Times New Roman"/>
        </w:rPr>
        <w:fldChar w:fldCharType="begin" w:fldLock="1"/>
      </w:r>
      <w:r w:rsidR="004867C1">
        <w:rPr>
          <w:rFonts w:cs="Times New Roman"/>
        </w:rPr>
        <w:instrText>ADDIN CSL_CITATION {"citationItems":[{"id":"ITEM-1","itemData":{"DOI":"10.1016/j.quascirev.2003.06.011","author":[{"dropping-particle":"","family":"Waterhouse","given":"J S","non-dropping-particle":"","parse-names":false,"suffix":""},{"dropping-particle":"","family":"Switsur","given":"V R","non-dropping-particle":"","parse-names":false,"suffix":""},{"dropping-particle":"","family":"Barker","given":"A C","non-dropping-particle":"","parse-names":false,"suffix":""},{"dropping-particle":"","family":"Carter","given":"A H C","non-dropping-particle":"","parse-names":false,"suffix":""}],"container-title":"Quaternary Science Reviews","id":"ITEM-1","issued":{"date-parts":[["2004"]]},"page":"803-810","title":"Northern European trees show a progressively diminishing response to increasing atmospheric carbon dioxide concentrations","type":"article-journal","volume":"23"},"uris":["http://www.mendeley.com/documents/?uuid=3d61e97c-4bce-4af4-9586-85a4f79b1efb"]},{"id":"ITEM-2","itemData":{"DOI":"10.1002/jqs.2554","ISBN":"1099-1417","ISSN":"02678179","abstract":"In regions with seasonal temperate climatic regimes, tree growth is rarely controlled by any single environmental factor. As a consequence, the development of robust palaeoclimate reconstructions has proved challenging. Tree-ring stable carbon isotope ratios (d13C), however, are controlled primarily by photosynthetic rate, not by net growth. Therefore, at sites where climatic controls on tree-ring growth are not strongly expressed, a robust (isotopic) palaeoclimate signal may still potentially be preserved. This hypothesis was tested using a 160-year record of d13C measured from the pooled latewood cellulose of six Quercus petraea L. (sessile oak) trees from Allt Lan-las in West Wales, UK. Raw d13C values were corrected for changes in the isotopic ratio of atmospheric carbon dioxide and for changes in the behaviour of trees due to the increasing availability of atmospheric CO2 since AD 1850. Strong correlations with local summer temperature and sunshine are reported, and also with the Central England Temperature record over the full length of the isotopic chronology (AD 1850–2010) (r¼0.69, P&lt;0.001). We conclude that treering stable isotopes can be used to extract strong palaeoclimate signals even from oak trees growing in a temperate maritime climate. This demonstrates the potential for extracting robust palaeoclimatic information from the very long and well-replicated oak chronologies which have been developed in western and central Europe primarily for dating rather than palaeoclimatic research purposes","author":[{"dropping-particle":"","family":"Young","given":"G. H F","non-dropping-particle":"","parse-names":false,"suffix":""},{"dropping-particle":"","family":"Bale","given":"R. J.","non-dropping-particle":"","parse-names":false,"suffix":""},{"dropping-particle":"","family":"Loader","given":"N. J.","non-dropping-particle":"","parse-names":false,"suffix":""},{"dropping-particle":"","family":"Mccarroll","given":"D.","non-dropping-particle":"","parse-names":false,"suffix":""},{"dropping-particle":"","family":"Nayling","given":"N.","non-dropping-particle":"","parse-names":false,"suffix":""},{"dropping-particle":"","family":"Vousden","given":"N.","non-dropping-particle":"","parse-names":false,"suffix":""}],"container-title":"Journal of Quaternary Science","id":"ITEM-2","issue":"6","issued":{"date-parts":[["2012"]]},"page":"606-614","title":"Central england temperature since ad 1850: The potential of stable carbon isotopes in british oak trees to reconstruct past summer temperatures","type":"article-journal","volume":"27"},"uris":["http://www.mendeley.com/documents/?uuid=16f8845a-3b60-40c1-aa7c-4ffea66083c4"]}],"mendeley":{"formattedCitation":"(Waterhouse et al., 2004; Young et al., 2012)","plainTextFormattedCitation":"(Waterhouse et al., 2004; Young et al., 2012)","previouslyFormattedCitation":"(Waterhouse et al., 2004; Young et al., 2012)"},"properties":{"noteIndex":0},"schema":"https://github.com/citation-style-language/schema/raw/master/csl-citation.json"}</w:instrText>
      </w:r>
      <w:r w:rsidR="00E9266A" w:rsidRPr="00BD2160">
        <w:rPr>
          <w:rFonts w:cs="Times New Roman"/>
        </w:rPr>
        <w:fldChar w:fldCharType="separate"/>
      </w:r>
      <w:r w:rsidR="00710A74" w:rsidRPr="00710A74">
        <w:rPr>
          <w:rFonts w:cs="Times New Roman"/>
          <w:noProof/>
        </w:rPr>
        <w:t>(Waterhouse et al., 2004; Young et al., 2012)</w:t>
      </w:r>
      <w:r w:rsidR="00E9266A" w:rsidRPr="00BD2160">
        <w:rPr>
          <w:rFonts w:cs="Times New Roman"/>
        </w:rPr>
        <w:fldChar w:fldCharType="end"/>
      </w:r>
      <w:r w:rsidR="00430AAA">
        <w:rPr>
          <w:rFonts w:cs="Times New Roman"/>
        </w:rPr>
        <w:t>, but rather to height</w:t>
      </w:r>
      <w:r>
        <w:rPr>
          <w:rFonts w:cs="Times New Roman"/>
        </w:rPr>
        <w:t>;</w:t>
      </w:r>
      <w:r w:rsidR="0024230A">
        <w:rPr>
          <w:rFonts w:cs="Times New Roman"/>
        </w:rPr>
        <w:t xml:space="preserve"> and that its magnitude depends on the species considered</w:t>
      </w:r>
      <w:r w:rsidR="0078446D" w:rsidRPr="00BD2160">
        <w:rPr>
          <w:rFonts w:cs="Times New Roman"/>
        </w:rPr>
        <w:t>.</w:t>
      </w:r>
      <w:r w:rsidR="007A7F91" w:rsidRPr="00BD2160">
        <w:rPr>
          <w:rFonts w:cs="Times New Roman"/>
        </w:rPr>
        <w:t xml:space="preserve"> </w:t>
      </w:r>
      <w:r w:rsidR="00210D84" w:rsidRPr="00BD2160">
        <w:rPr>
          <w:rFonts w:cs="Times New Roman"/>
        </w:rPr>
        <w:t>I</w:t>
      </w:r>
      <w:r w:rsidR="0078446D" w:rsidRPr="00BD2160">
        <w:rPr>
          <w:rFonts w:cs="Times New Roman"/>
        </w:rPr>
        <w:t xml:space="preserve">ncreasing tree height </w:t>
      </w:r>
      <w:r w:rsidR="00210D84" w:rsidRPr="00BD2160">
        <w:rPr>
          <w:rFonts w:cs="Times New Roman"/>
        </w:rPr>
        <w:t xml:space="preserve">might be expected to </w:t>
      </w:r>
      <w:r w:rsidR="0078446D" w:rsidRPr="00BD2160">
        <w:rPr>
          <w:rFonts w:cs="Times New Roman"/>
        </w:rPr>
        <w:t>increase constraints on water transport to the canopy</w:t>
      </w:r>
      <w:r>
        <w:rPr>
          <w:rFonts w:cs="Times New Roman"/>
        </w:rPr>
        <w:t>,</w:t>
      </w:r>
      <w:r w:rsidR="0078446D" w:rsidRPr="00BD2160">
        <w:rPr>
          <w:rFonts w:cs="Times New Roman"/>
        </w:rPr>
        <w:t xml:space="preserve"> </w:t>
      </w:r>
      <w:r w:rsidR="00210D84" w:rsidRPr="00BD2160">
        <w:rPr>
          <w:rFonts w:cs="Times New Roman"/>
        </w:rPr>
        <w:t>thereby reduc</w:t>
      </w:r>
      <w:r w:rsidR="007D0D4F">
        <w:rPr>
          <w:rFonts w:cs="Times New Roman"/>
        </w:rPr>
        <w:t>ing</w:t>
      </w:r>
      <w:r w:rsidR="00210D84" w:rsidRPr="00BD2160">
        <w:rPr>
          <w:rFonts w:cs="Times New Roman"/>
        </w:rPr>
        <w:t xml:space="preserve"> </w:t>
      </w:r>
      <w:r w:rsidR="00210D84" w:rsidRPr="00BD2160">
        <w:rPr>
          <w:rFonts w:cs="Times New Roman"/>
          <w:i/>
        </w:rPr>
        <w:t>c</w:t>
      </w:r>
      <w:r w:rsidR="00210D84" w:rsidRPr="00BD2160">
        <w:rPr>
          <w:rFonts w:cs="Times New Roman"/>
          <w:vertAlign w:val="subscript"/>
        </w:rPr>
        <w:t>i</w:t>
      </w:r>
      <w:r w:rsidR="00210D84" w:rsidRPr="00BD2160">
        <w:rPr>
          <w:rFonts w:cs="Times New Roman"/>
        </w:rPr>
        <w:t>/</w:t>
      </w:r>
      <w:r w:rsidR="00210D84" w:rsidRPr="00BD2160">
        <w:rPr>
          <w:rFonts w:cs="Times New Roman"/>
          <w:i/>
        </w:rPr>
        <w:t>c</w:t>
      </w:r>
      <w:r w:rsidR="00210D84" w:rsidRPr="00BD2160">
        <w:rPr>
          <w:rFonts w:cs="Times New Roman"/>
          <w:vertAlign w:val="subscript"/>
        </w:rPr>
        <w:t>a</w:t>
      </w:r>
      <w:r w:rsidR="00210D84" w:rsidRPr="00BD2160">
        <w:rPr>
          <w:rFonts w:cs="Times New Roman"/>
        </w:rPr>
        <w:t xml:space="preserve"> and </w:t>
      </w:r>
      <w:r w:rsidR="0078446D" w:rsidRPr="00BD2160">
        <w:rPr>
          <w:rFonts w:cs="Times New Roman"/>
        </w:rPr>
        <w:t xml:space="preserve">leaf </w:t>
      </w:r>
      <w:r w:rsidR="00D719EA" w:rsidRPr="00BD2160">
        <w:rPr>
          <w:rFonts w:cs="Times New Roman"/>
        </w:rPr>
        <w:t>∆</w:t>
      </w:r>
      <w:r w:rsidR="00D719EA" w:rsidRPr="00BD2160">
        <w:rPr>
          <w:rFonts w:cs="Times New Roman"/>
          <w:vertAlign w:val="superscript"/>
        </w:rPr>
        <w:t>13</w:t>
      </w:r>
      <w:r w:rsidR="00D719EA" w:rsidRPr="00BD2160">
        <w:rPr>
          <w:rFonts w:cs="Times New Roman"/>
        </w:rPr>
        <w:t>C</w:t>
      </w:r>
      <w:r w:rsidR="0078446D" w:rsidRPr="00BD2160">
        <w:rPr>
          <w:rFonts w:cs="Times New Roman"/>
        </w:rPr>
        <w:t xml:space="preserve">. </w:t>
      </w:r>
      <w:r w:rsidR="00C311CF">
        <w:rPr>
          <w:rFonts w:cs="Times New Roman"/>
        </w:rPr>
        <w:t xml:space="preserve">Developmental </w:t>
      </w:r>
      <w:r w:rsidR="00D03261">
        <w:rPr>
          <w:rFonts w:cs="Times New Roman"/>
        </w:rPr>
        <w:t>effect</w:t>
      </w:r>
      <w:r w:rsidR="00C311CF">
        <w:rPr>
          <w:rFonts w:cs="Times New Roman"/>
        </w:rPr>
        <w:t>s</w:t>
      </w:r>
      <w:r w:rsidR="00D03261" w:rsidRPr="00BD2160">
        <w:rPr>
          <w:rFonts w:cs="Times New Roman"/>
        </w:rPr>
        <w:t xml:space="preserve"> could potentially confound the interpretation of </w:t>
      </w:r>
      <w:r w:rsidR="000D5462" w:rsidRPr="00BD2160">
        <w:rPr>
          <w:rFonts w:cs="Times New Roman"/>
        </w:rPr>
        <w:t>iWUE</w:t>
      </w:r>
      <w:r w:rsidR="000D5462" w:rsidRPr="001B08EE">
        <w:rPr>
          <w:rFonts w:cs="Times New Roman"/>
          <w:vertAlign w:val="superscript"/>
        </w:rPr>
        <w:t>l</w:t>
      </w:r>
      <w:r w:rsidR="000D5462">
        <w:rPr>
          <w:rFonts w:cs="Times New Roman"/>
          <w:vertAlign w:val="superscript"/>
        </w:rPr>
        <w:t>eaf</w:t>
      </w:r>
      <w:r w:rsidR="00D03261" w:rsidRPr="00BD2160">
        <w:rPr>
          <w:rFonts w:cs="Times New Roman"/>
        </w:rPr>
        <w:t xml:space="preserve"> changes over time inferred from single </w:t>
      </w:r>
      <w:r w:rsidR="00936E79">
        <w:rPr>
          <w:rFonts w:cs="Times New Roman"/>
        </w:rPr>
        <w:t>tree-ring</w:t>
      </w:r>
      <w:r w:rsidR="00D03261" w:rsidRPr="00BD2160">
        <w:rPr>
          <w:rFonts w:cs="Times New Roman"/>
        </w:rPr>
        <w:t xml:space="preserve"> series</w:t>
      </w:r>
      <w:r w:rsidR="001D34F0">
        <w:rPr>
          <w:rFonts w:cs="Times New Roman"/>
        </w:rPr>
        <w:t>,</w:t>
      </w:r>
      <w:r w:rsidR="00C311CF">
        <w:rPr>
          <w:rFonts w:cs="Times New Roman"/>
        </w:rPr>
        <w:t xml:space="preserve"> as the</w:t>
      </w:r>
      <w:r w:rsidR="004460C2">
        <w:rPr>
          <w:rFonts w:cs="Times New Roman"/>
        </w:rPr>
        <w:t xml:space="preserve">ir impacts on </w:t>
      </w:r>
      <w:r w:rsidR="000D5462" w:rsidRPr="00BD2160">
        <w:rPr>
          <w:rFonts w:cs="Times New Roman"/>
        </w:rPr>
        <w:t>iWUE</w:t>
      </w:r>
      <w:r w:rsidR="000D5462" w:rsidRPr="001B08EE">
        <w:rPr>
          <w:rFonts w:cs="Times New Roman"/>
          <w:vertAlign w:val="superscript"/>
        </w:rPr>
        <w:t>l</w:t>
      </w:r>
      <w:r w:rsidR="000D5462">
        <w:rPr>
          <w:rFonts w:cs="Times New Roman"/>
          <w:vertAlign w:val="superscript"/>
        </w:rPr>
        <w:t>eaf</w:t>
      </w:r>
      <w:r w:rsidR="004460C2">
        <w:rPr>
          <w:rFonts w:cs="Times New Roman"/>
        </w:rPr>
        <w:t xml:space="preserve"> </w:t>
      </w:r>
      <w:r w:rsidR="00CF704B">
        <w:rPr>
          <w:rFonts w:cs="Times New Roman"/>
        </w:rPr>
        <w:t>can be</w:t>
      </w:r>
      <w:r w:rsidR="004460C2">
        <w:rPr>
          <w:rFonts w:cs="Times New Roman"/>
        </w:rPr>
        <w:t xml:space="preserve"> as large as those from CO</w:t>
      </w:r>
      <w:r w:rsidR="004460C2" w:rsidRPr="00BE0D3F">
        <w:rPr>
          <w:rFonts w:cs="Times New Roman"/>
          <w:vertAlign w:val="subscript"/>
        </w:rPr>
        <w:t>2</w:t>
      </w:r>
      <w:r w:rsidR="004460C2">
        <w:rPr>
          <w:rFonts w:cs="Times New Roman"/>
        </w:rPr>
        <w:t xml:space="preserve"> and climate</w:t>
      </w:r>
      <w:r w:rsidR="000479CF">
        <w:rPr>
          <w:rFonts w:cs="Times New Roman"/>
        </w:rPr>
        <w:t xml:space="preserve"> </w:t>
      </w:r>
      <w:r w:rsidR="000479CF">
        <w:rPr>
          <w:rFonts w:cs="Times New Roman"/>
        </w:rPr>
        <w:fldChar w:fldCharType="begin" w:fldLock="1"/>
      </w:r>
      <w:r w:rsidR="004A3989">
        <w:rPr>
          <w:rFonts w:cs="Times New Roman"/>
        </w:rPr>
        <w:instrText>ADDIN CSL_CITATION {"citationItems":[{"id":"ITEM-1","itemData":{"DOI":"10.1038/s41467-017-00225-z","ISSN":"20411723","PMID":"28819277","abstract":"Various studies report substantial increases in intrinsic water-use efficiency (Wi), estimated using carbon isotopes in tree rings, suggesting trees are gaining increasingly more carbon per unit water lost due to increases in atmospheric CO2. Usually, reconstructions do not, however, correct for the effect of intrinsic developmental changes inWi as trees grow larger. Here we show, by comparingWi across varying tree sizes at one CO2 level, that ignoring such developmental effects can severely affect inferences of trees’Wi.Wi doubled or even tripled over a trees’ lifespan in three broadleaf species due to changes in tree height and light availability alone, and there are also weak trends for Pine trees. Developmental trends in broadleaf species are as large as the trends previously assigned to CO2 and climate. Credible future tree ring isotope studies require explicit accounting for species-specific developmental effects before CO2 and climate effects are inferred.","author":[{"dropping-particle":"","family":"Brienen","given":"R. J.W.","non-dropping-particle":"","parse-names":false,"suffix":""},{"dropping-particle":"","family":"Gloor","given":"E.","non-dropping-particle":"","parse-names":false,"suffix":""},{"dropping-particle":"","family":"Clerici","given":"S.","non-dropping-particle":"","parse-names":false,"suffix":""},{"dropping-particle":"","family":"Newton","given":"R.","non-dropping-particle":"","parse-names":false,"suffix":""},{"dropping-particle":"","family":"Arppe","given":"L.","non-dropping-particle":"","parse-names":false,"suffix":""},{"dropping-particle":"","family":"Boom","given":"A.","non-dropping-particle":"","parse-names":false,"suffix":""},{"dropping-particle":"","family":"Bottrell","given":"S.","non-dropping-particle":"","parse-names":false,"suffix":""},{"dropping-particle":"","family":"Callaghan","given":"M.","non-dropping-particle":"","parse-names":false,"suffix":""},{"dropping-particle":"","family":"Heaton","given":"T.","non-dropping-particle":"","parse-names":false,"suffix":""},{"dropping-particle":"","family":"Helama","given":"S.","non-dropping-particle":"","parse-names":false,"suffix":""},{"dropping-particle":"","family":"Helle","given":"G.","non-dropping-particle":"","parse-names":false,"suffix":""},{"dropping-particle":"","family":"Leng","given":"M. J.","non-dropping-particle":"","parse-names":false,"suffix":""},{"dropping-particle":"","family":"Mielikäinen","given":"K.","non-dropping-particle":"","parse-names":false,"suffix":""},{"dropping-particle":"","family":"Oinonen","given":"M.","non-dropping-particle":"","parse-names":false,"suffix":""},{"dropping-particle":"","family":"Timonen","given":"M.","non-dropping-particle":"","parse-names":false,"suffix":""}],"container-title":"Nature Communications","id":"ITEM-1","issue":"1","issued":{"date-parts":[["2017"]]},"title":"Tree height strongly affects estimates of water-use efficiency responses to climate and CO2 using isotopes","type":"article-journal","volume":"8"},"uris":["http://www.mendeley.com/documents/?uuid=ad31acc8-c860-4a52-a1bc-2be12b20eb57"]}],"mendeley":{"formattedCitation":"(Brienen et al., 2017)","plainTextFormattedCitation":"(Brienen et al., 2017)","previouslyFormattedCitation":"(Brienen et al., 2017)"},"properties":{"noteIndex":0},"schema":"https://github.com/citation-style-language/schema/raw/master/csl-citation.json"}</w:instrText>
      </w:r>
      <w:r w:rsidR="000479CF">
        <w:rPr>
          <w:rFonts w:cs="Times New Roman"/>
        </w:rPr>
        <w:fldChar w:fldCharType="separate"/>
      </w:r>
      <w:r w:rsidR="000479CF" w:rsidRPr="000479CF">
        <w:rPr>
          <w:rFonts w:cs="Times New Roman"/>
          <w:noProof/>
        </w:rPr>
        <w:t>(Brienen et al., 2017)</w:t>
      </w:r>
      <w:r w:rsidR="000479CF">
        <w:rPr>
          <w:rFonts w:cs="Times New Roman"/>
        </w:rPr>
        <w:fldChar w:fldCharType="end"/>
      </w:r>
      <w:r w:rsidR="00D03261" w:rsidRPr="00BD2160">
        <w:rPr>
          <w:rFonts w:cs="Times New Roman"/>
        </w:rPr>
        <w:t xml:space="preserve">. </w:t>
      </w:r>
      <w:r w:rsidR="00BE6A90" w:rsidRPr="00BD2160">
        <w:rPr>
          <w:rFonts w:cs="Times New Roman"/>
        </w:rPr>
        <w:t xml:space="preserve">These findings have </w:t>
      </w:r>
      <w:r w:rsidR="00B472ED">
        <w:rPr>
          <w:rFonts w:cs="Times New Roman"/>
        </w:rPr>
        <w:t xml:space="preserve">major </w:t>
      </w:r>
      <w:r w:rsidR="00BE6A90" w:rsidRPr="00BD2160">
        <w:rPr>
          <w:rFonts w:cs="Times New Roman"/>
        </w:rPr>
        <w:t xml:space="preserve">implications when using </w:t>
      </w:r>
      <w:r w:rsidR="006F71F4">
        <w:rPr>
          <w:rFonts w:cs="Times New Roman"/>
        </w:rPr>
        <w:t>tree-ring</w:t>
      </w:r>
      <w:r w:rsidR="00BE6A90" w:rsidRPr="00BD2160">
        <w:rPr>
          <w:rFonts w:cs="Times New Roman"/>
        </w:rPr>
        <w:t xml:space="preserve"> series to infer </w:t>
      </w:r>
      <w:r w:rsidR="000D5462" w:rsidRPr="00BD2160">
        <w:rPr>
          <w:rFonts w:cs="Times New Roman"/>
        </w:rPr>
        <w:t>iWUE</w:t>
      </w:r>
      <w:r w:rsidR="000D5462" w:rsidRPr="001B08EE">
        <w:rPr>
          <w:rFonts w:cs="Times New Roman"/>
          <w:vertAlign w:val="superscript"/>
        </w:rPr>
        <w:t>l</w:t>
      </w:r>
      <w:r w:rsidR="000D5462">
        <w:rPr>
          <w:rFonts w:cs="Times New Roman"/>
          <w:vertAlign w:val="superscript"/>
        </w:rPr>
        <w:t>eaf</w:t>
      </w:r>
      <w:r w:rsidR="000F086F">
        <w:rPr>
          <w:rFonts w:cs="Times New Roman"/>
        </w:rPr>
        <w:t>,</w:t>
      </w:r>
      <w:r w:rsidR="00BE6A90" w:rsidRPr="00BD2160">
        <w:rPr>
          <w:rFonts w:cs="Times New Roman"/>
        </w:rPr>
        <w:t xml:space="preserve"> as they </w:t>
      </w:r>
      <w:r w:rsidR="000F086F">
        <w:rPr>
          <w:rFonts w:cs="Times New Roman"/>
        </w:rPr>
        <w:t>indicate</w:t>
      </w:r>
      <w:r w:rsidR="000F086F" w:rsidRPr="00BD2160">
        <w:rPr>
          <w:rFonts w:cs="Times New Roman"/>
        </w:rPr>
        <w:t xml:space="preserve"> </w:t>
      </w:r>
      <w:r w:rsidR="007A7F91" w:rsidRPr="00BD2160">
        <w:rPr>
          <w:rFonts w:cs="Times New Roman"/>
        </w:rPr>
        <w:t>that ∆</w:t>
      </w:r>
      <w:r w:rsidR="007A7F91" w:rsidRPr="00BD2160">
        <w:rPr>
          <w:rFonts w:cs="Times New Roman"/>
          <w:vertAlign w:val="superscript"/>
        </w:rPr>
        <w:t>13</w:t>
      </w:r>
      <w:r w:rsidR="007A7F91" w:rsidRPr="00BD2160">
        <w:rPr>
          <w:rFonts w:cs="Times New Roman"/>
        </w:rPr>
        <w:t xml:space="preserve">C </w:t>
      </w:r>
      <w:r>
        <w:rPr>
          <w:rFonts w:cs="Times New Roman"/>
        </w:rPr>
        <w:t xml:space="preserve">should </w:t>
      </w:r>
      <w:r w:rsidR="007A7F91" w:rsidRPr="00BD2160">
        <w:rPr>
          <w:rFonts w:cs="Times New Roman"/>
        </w:rPr>
        <w:t xml:space="preserve">be corrected for developmental effects over the tree’s lifespan. </w:t>
      </w:r>
      <w:r w:rsidR="006A299A">
        <w:rPr>
          <w:rFonts w:cs="Times New Roman"/>
        </w:rPr>
        <w:t>It is, however, unknown where (at what height) in a deep crown the photosynthates measured in a ground-level tree ring series</w:t>
      </w:r>
      <w:r w:rsidR="00C37754" w:rsidRPr="00C37754">
        <w:rPr>
          <w:rFonts w:cs="Times New Roman"/>
        </w:rPr>
        <w:t xml:space="preserve"> </w:t>
      </w:r>
      <w:r w:rsidR="00C37754">
        <w:rPr>
          <w:rFonts w:cs="Times New Roman"/>
        </w:rPr>
        <w:t>are produced</w:t>
      </w:r>
      <w:r w:rsidR="00BB2BE5">
        <w:rPr>
          <w:rFonts w:cs="Times New Roman"/>
        </w:rPr>
        <w:t xml:space="preserve">, complicating </w:t>
      </w:r>
      <w:r w:rsidR="00E34201">
        <w:rPr>
          <w:rFonts w:cs="Times New Roman"/>
        </w:rPr>
        <w:t>the implementation of this correction.</w:t>
      </w:r>
    </w:p>
    <w:p w14:paraId="193C6E97" w14:textId="77777777" w:rsidR="00907A6D" w:rsidRPr="00BD2160" w:rsidRDefault="00907A6D" w:rsidP="00CA070F">
      <w:pPr>
        <w:pStyle w:val="Body"/>
        <w:spacing w:line="360" w:lineRule="auto"/>
        <w:jc w:val="both"/>
        <w:rPr>
          <w:rFonts w:cs="Times New Roman"/>
        </w:rPr>
      </w:pPr>
    </w:p>
    <w:p w14:paraId="0539D8C5" w14:textId="78C7066B" w:rsidR="005D3816" w:rsidRPr="00BD2160" w:rsidRDefault="00E212AA" w:rsidP="007A7B76">
      <w:pPr>
        <w:pStyle w:val="Body"/>
        <w:keepNext/>
        <w:numPr>
          <w:ilvl w:val="2"/>
          <w:numId w:val="29"/>
        </w:numPr>
        <w:spacing w:line="360" w:lineRule="auto"/>
        <w:jc w:val="both"/>
        <w:outlineLvl w:val="0"/>
        <w:rPr>
          <w:rFonts w:cs="Times New Roman"/>
          <w:b/>
          <w:iCs/>
        </w:rPr>
      </w:pPr>
      <w:r w:rsidRPr="00BD2160">
        <w:rPr>
          <w:rFonts w:cs="Times New Roman"/>
          <w:b/>
          <w:iCs/>
          <w:lang w:val="en-GB"/>
        </w:rPr>
        <w:t>Eddy covariance data</w:t>
      </w:r>
    </w:p>
    <w:p w14:paraId="115FA462" w14:textId="18FC4B46" w:rsidR="00872B99" w:rsidRDefault="009A7F1C" w:rsidP="00A9672F">
      <w:pPr>
        <w:pStyle w:val="Body"/>
        <w:spacing w:before="240" w:line="360" w:lineRule="auto"/>
        <w:jc w:val="both"/>
        <w:rPr>
          <w:rFonts w:cs="Times New Roman"/>
          <w:color w:val="000000" w:themeColor="text1"/>
        </w:rPr>
      </w:pPr>
      <w:r>
        <w:rPr>
          <w:rFonts w:cs="Times New Roman"/>
          <w:color w:val="000000" w:themeColor="text1"/>
        </w:rPr>
        <w:t xml:space="preserve">In general, the mean ecosystem WUE trends inferred from the </w:t>
      </w:r>
      <w:r w:rsidR="006F71F4">
        <w:rPr>
          <w:rFonts w:cs="Times New Roman"/>
          <w:color w:val="000000" w:themeColor="text1"/>
        </w:rPr>
        <w:t>eddy-covariance</w:t>
      </w:r>
      <w:r>
        <w:rPr>
          <w:rFonts w:cs="Times New Roman"/>
          <w:color w:val="000000" w:themeColor="text1"/>
        </w:rPr>
        <w:t xml:space="preserve"> studies are based on a rather small proportion of the total network (20-26 </w:t>
      </w:r>
      <w:r w:rsidR="006F71F4">
        <w:rPr>
          <w:rFonts w:cs="Times New Roman"/>
          <w:color w:val="000000" w:themeColor="text1"/>
        </w:rPr>
        <w:t>eddy-covariance</w:t>
      </w:r>
      <w:r>
        <w:rPr>
          <w:rFonts w:cs="Times New Roman"/>
          <w:color w:val="000000" w:themeColor="text1"/>
        </w:rPr>
        <w:t xml:space="preserve"> sites; </w:t>
      </w:r>
      <w:r>
        <w:rPr>
          <w:rFonts w:cs="Times New Roman"/>
          <w:color w:val="000000" w:themeColor="text1"/>
        </w:rPr>
        <w:fldChar w:fldCharType="begin" w:fldLock="1"/>
      </w:r>
      <w:r w:rsidR="00D34863">
        <w:rPr>
          <w:rFonts w:cs="Times New Roman"/>
          <w:color w:val="000000" w:themeColor="text1"/>
        </w:rPr>
        <w:instrText>ADDIN CSL_CITATION {"citationItems":[{"id":"ITEM-1","itemData":{"DOI":"10.1002/2017JG003890","ISBN":"2169-8953","ISSN":"21698961","PMID":"26213675","abstract":"©2017. American Geophysical Union. Elevated atmospheric CO 2  concentrations are expected to enhance photosynthesis and reduce stomatal conductance, thus increasing plant water use efficiency. A recent study based on eddy covariance flux observations from Northern Hemisphere forests showed a large increase in inherent water use efficiency (IWUE). Here we used an updated version of the same data set and robust uncertainty quantification to revisit these contemporary IWUE trends. We tested the hypothesis that the observed IWUE increase could be attributed to interannual trends in plant functional traits, potentially triggered by environmental change. We found that IWUE increased by ~1.3% yr -1 , which is less than previously reported but still larger than theoretical expectations. Numerical simulations with the Tethys-Chloris ecosystem model using temporally static plant functional traits cannot explain this increase. Simulations with plant functional trait plasticity, i.e., temporal changes in model parameters such as specific leaf area and maximum Rubisco capacity, match the observed trends in IWUE. Our results show that trends in plant functional traits, equal to 1.0% yr -1 , can explain the observed IWUE trends. Thus, at decadal or longer time scales, trait plasticity could potentially influence forest water, carbon, and energy fluxes with profound implications for both the monitoring of temporal changes in plant functional traits and their representation in Earth system models.","author":[{"dropping-particle":"","family":"Mastrotheodoros","given":"Theodoros","non-dropping-particle":"","parse-names":false,"suffix":""},{"dropping-particle":"","family":"Pappas","given":"Christoforos","non-dropping-particle":"","parse-names":false,"suffix":""},{"dropping-particle":"","family":"Molnar","given":"Peter","non-dropping-particle":"","parse-names":false,"suffix":""},{"dropping-particle":"","family":"Burlando","given":"Paolo","non-dropping-particle":"","parse-names":false,"suffix":""},{"dropping-particle":"","family":"Keenan","given":"Trevor F.","non-dropping-particle":"","parse-names":false,"suffix":""},{"dropping-particle":"","family":"Gentine","given":"Pierre","non-dropping-particle":"","parse-names":false,"suffix":""},{"dropping-particle":"","family":"Gough","given":"Christopher M.","non-dropping-particle":"","parse-names":false,"suffix":""},{"dropping-particle":"","family":"Fatichi","given":"Simone","non-dropping-particle":"","parse-names":false,"suffix":""}],"container-title":"Journal of Geophysical Research: Biogeosciences","id":"ITEM-1","issue":"9","issued":{"date-parts":[["2017"]]},"page":"2393-2408","title":"Linking plant functional trait plasticity and the large increase in forest water use efficiency","type":"article-journal","volume":"122"},"uris":["http://www.mendeley.com/documents/?uuid=025d7927-3672-409f-9e40-3c6d2953e58c"]},{"id":"ITEM-2","itemData":{"DOI":"10.1029/2018GL079093","ISSN":"1944-8007","author":[{"dropping-particle":"","family":"Wang","given":"Mengjie","non-dropping-particle":"","parse-names":false,"suffix":""},{"dropping-particle":"","family":"Chen","given":"Yunhao","non-dropping-particle":"","parse-names":false,"suffix":""},{"dropping-particle":"","family":"Wu","given":"Xiuchen","non-dropping-particle":"","parse-names":false,"suffix":""},{"dropping-particle":"","family":"Bai","given":"Yan","non-dropping-particle":"","parse-nam</w:instrText>
      </w:r>
      <w:r w:rsidR="00D34863">
        <w:rPr>
          <w:rFonts w:cs="Times New Roman" w:hint="eastAsia"/>
          <w:color w:val="000000" w:themeColor="text1"/>
        </w:rPr>
        <w:instrText>es":false,"suffix":""}],"container-title":"Geophysical Research Letters","id":"ITEM-2","issued":{"date-parts":[["2018"]]},"title":"Forest</w:instrText>
      </w:r>
      <w:r w:rsidR="00D34863">
        <w:rPr>
          <w:rFonts w:cs="Times New Roman" w:hint="eastAsia"/>
          <w:color w:val="000000" w:themeColor="text1"/>
        </w:rPr>
        <w:instrText>‐</w:instrText>
      </w:r>
      <w:r w:rsidR="00D34863">
        <w:rPr>
          <w:rFonts w:cs="Times New Roman" w:hint="eastAsia"/>
          <w:color w:val="000000" w:themeColor="text1"/>
        </w:rPr>
        <w:instrText>type</w:instrText>
      </w:r>
      <w:r w:rsidR="00D34863">
        <w:rPr>
          <w:rFonts w:cs="Times New Roman" w:hint="eastAsia"/>
          <w:color w:val="000000" w:themeColor="text1"/>
        </w:rPr>
        <w:instrText>‐</w:instrText>
      </w:r>
      <w:r w:rsidR="00D34863">
        <w:rPr>
          <w:rFonts w:cs="Times New Roman" w:hint="eastAsia"/>
          <w:color w:val="000000" w:themeColor="text1"/>
        </w:rPr>
        <w:instrText>dependent water use efficiency trends across the Northern Hemisphere","type":"article-journal"},"uris":["http://</w:instrText>
      </w:r>
      <w:r w:rsidR="00D34863">
        <w:rPr>
          <w:rFonts w:cs="Times New Roman"/>
          <w:color w:val="000000" w:themeColor="text1"/>
        </w:rPr>
        <w:instrText>www.mendeley.com/documents/?uuid=2c2ce213-132f-4cd5-977b-498ef8c07e2d"]},{"id":"ITEM-3","itemData":{"DOI":"10.1038/nature12291","ISBN":"0028-0836","ISSN":"1476-4687","PMID":"23842499","abstract":"Terrestrial plants remove CO2 from the atmosphere through photosynthesis, a process that is accompanied by the loss of water vapour from leaves. The ratio of water loss to carbon gain, or water-use efficiency, is a key characteristic of ecosystem function that is central to the global cycles of water, energy and carbon. Here we analyse direct, long-term measurements of whole-ecosystem carbon and water exchange. We find a substantial increase in water-use efficiency in temperate and boreal forests of the Northern Hemisphere over the past two decades. We systematically assess various competing hypotheses to explain this trend, and find that the observed increase is most consistent with a strong CO2 fertilization effect. The results suggest a partial closure of stomata-small pores on the leaf surface that regulate gas exchange-to maintain a near-constant concentration of CO2 inside the leaf even under continually increasing atmospheric CO2 levels. The observed increase in forest water-use efficiency is larger than that predicted by existing theory and 13 terrestrial biosphere models. The increase is associated with trends of increasing ecosystem-level photosynthesis and net carbon uptake, and decreasing evapotranspiration. Our findings suggest a shift in the carbon- and water-based economics of terrestrial vegetation, which may require a reassessment of the role of stomatal control in regulating interactions between forests and climate change, and a re-evaluation of coupled vegetation-climate models.","author":[{"dropping-particle":"","family":"Keenan","given":"Trevor F.","non-dropping-particle":"","parse-names":false,"suffix":""},{"dropping-particle":"","family":"Hollinger","given":"David Y.","non-dropping-particle":"","parse-names":false,"suffix":""},{"dropping-particle":"","family":"Bohrer","given":"Gil","non-dropping-particle":"","parse-names":false,"suffix":""},{"dropping-particle":"","family":"Dragoni","given":"Danilo","non-dropping-particle":"","parse-names":false,"suffix":""},{"dropping-particle":"","family":"Munger","given":"J. William","non-dropping-particle":"","parse-names":false,"suffix":""},{"dropping-particle":"","family":"Schmid","given":"Hans Peter","non-dropping-particle":"","parse-names":false,"suffix":""},{"dropping-particle":"","family":"Richardson","given":"Andrew D.","non-dropping-particle":"","parse-names":false,"suffix":""}],"container-title":"Nature","id":"ITEM-3","issue":"7458","issued":{"date-parts":[["2013","7","18"]]},"page":"324-327","title":"Increase in forest water-use efficiency as atmospheric carbon dioxide concentrations rise.","type":"article-journal","volume":"499"},"uris":["http://www.mendeley.com/documents/?uuid=139f0204-41ea-415d-84e5-ca73af117030"]}],"mendeley":{"formattedCitation":"(Keenan et al., 2013; Mastrotheodoros et al., 2017; Wang et al., 2018)","manualFormatting":"Keenan et al., 2013; Mastrotheodoros et al., 2017; Wang et al., 2018)","plainTextFormattedCitation":"(Keenan et al., 2013; Mastrotheodoros et al., 2017; Wang et al., 2018)","previouslyFormattedCitation":"(Keenan et al., 2013; Mastrotheodoros et al., 2017; Wang et al., 2018)"},"properties":{"noteIndex":0},"schema":"https://github.com/citation-style-language/schema/raw/master/csl-citation.json"}</w:instrText>
      </w:r>
      <w:r>
        <w:rPr>
          <w:rFonts w:cs="Times New Roman"/>
          <w:color w:val="000000" w:themeColor="text1"/>
        </w:rPr>
        <w:fldChar w:fldCharType="separate"/>
      </w:r>
      <w:r w:rsidRPr="00675ACF">
        <w:rPr>
          <w:rFonts w:cs="Times New Roman"/>
          <w:noProof/>
          <w:color w:val="000000" w:themeColor="text1"/>
        </w:rPr>
        <w:t>Keenan et al., 2013; Mastrotheodoros et al., 2017; Wang et al., 2018)</w:t>
      </w:r>
      <w:r>
        <w:rPr>
          <w:rFonts w:cs="Times New Roman"/>
          <w:color w:val="000000" w:themeColor="text1"/>
        </w:rPr>
        <w:fldChar w:fldCharType="end"/>
      </w:r>
      <w:r>
        <w:rPr>
          <w:rFonts w:cs="Times New Roman"/>
          <w:color w:val="000000" w:themeColor="text1"/>
        </w:rPr>
        <w:t xml:space="preserve">. </w:t>
      </w:r>
      <w:r w:rsidR="00237913">
        <w:rPr>
          <w:rFonts w:cs="Times New Roman"/>
          <w:color w:val="000000" w:themeColor="text1"/>
        </w:rPr>
        <w:t xml:space="preserve">Of the 212 sites available in the FLUXNET-2015 (Tier 1) </w:t>
      </w:r>
      <w:r w:rsidR="00B46E00">
        <w:rPr>
          <w:rFonts w:cs="Times New Roman"/>
          <w:color w:val="000000" w:themeColor="text1"/>
        </w:rPr>
        <w:t xml:space="preserve">network, </w:t>
      </w:r>
      <w:r w:rsidR="00237913">
        <w:rPr>
          <w:rFonts w:cs="Times New Roman"/>
          <w:color w:val="000000" w:themeColor="text1"/>
        </w:rPr>
        <w:t xml:space="preserve">only 39 stations representing DBF, ENF, evergreen broadleaved (EBF) or mixed (MF) forests have seven or more years of </w:t>
      </w:r>
      <w:r w:rsidR="000C484E">
        <w:rPr>
          <w:rFonts w:cs="Times New Roman"/>
          <w:color w:val="000000" w:themeColor="text1"/>
        </w:rPr>
        <w:t xml:space="preserve">available </w:t>
      </w:r>
      <w:r w:rsidR="00237913">
        <w:rPr>
          <w:rFonts w:cs="Times New Roman"/>
          <w:color w:val="000000" w:themeColor="text1"/>
        </w:rPr>
        <w:t>flux measurements (</w:t>
      </w:r>
      <w:r w:rsidR="000C484E">
        <w:rPr>
          <w:rFonts w:cs="Times New Roman"/>
          <w:color w:val="000000" w:themeColor="text1"/>
        </w:rPr>
        <w:t xml:space="preserve">i.e. </w:t>
      </w:r>
      <w:r w:rsidR="00237913">
        <w:rPr>
          <w:rFonts w:cs="Times New Roman"/>
          <w:color w:val="000000" w:themeColor="text1"/>
        </w:rPr>
        <w:t xml:space="preserve">less than </w:t>
      </w:r>
      <w:r w:rsidR="000C484E">
        <w:rPr>
          <w:rFonts w:cs="Times New Roman"/>
          <w:color w:val="000000" w:themeColor="text1"/>
        </w:rPr>
        <w:t>a fifth</w:t>
      </w:r>
      <w:r w:rsidR="00237913">
        <w:rPr>
          <w:rFonts w:cs="Times New Roman"/>
          <w:color w:val="000000" w:themeColor="text1"/>
        </w:rPr>
        <w:t xml:space="preserve"> of the total network). </w:t>
      </w:r>
      <w:r w:rsidR="000C484E">
        <w:rPr>
          <w:rFonts w:cs="Times New Roman"/>
          <w:color w:val="000000" w:themeColor="text1"/>
        </w:rPr>
        <w:t xml:space="preserve">Of </w:t>
      </w:r>
      <w:r w:rsidR="00237913">
        <w:rPr>
          <w:rFonts w:cs="Times New Roman"/>
          <w:color w:val="000000" w:themeColor="text1"/>
        </w:rPr>
        <w:t>these 39 stations, 36 are located in North America</w:t>
      </w:r>
      <w:r w:rsidR="000C484E">
        <w:rPr>
          <w:rFonts w:cs="Times New Roman"/>
          <w:color w:val="000000" w:themeColor="text1"/>
        </w:rPr>
        <w:t xml:space="preserve"> and </w:t>
      </w:r>
      <w:r w:rsidR="00237913">
        <w:rPr>
          <w:rFonts w:cs="Times New Roman"/>
          <w:color w:val="000000" w:themeColor="text1"/>
        </w:rPr>
        <w:t>Europe</w:t>
      </w:r>
      <w:r w:rsidR="000C484E">
        <w:rPr>
          <w:rFonts w:cs="Times New Roman"/>
          <w:color w:val="000000" w:themeColor="text1"/>
        </w:rPr>
        <w:t>, so</w:t>
      </w:r>
      <w:r w:rsidR="006C575B">
        <w:rPr>
          <w:rFonts w:cs="Times New Roman"/>
          <w:color w:val="000000" w:themeColor="text1"/>
        </w:rPr>
        <w:t xml:space="preserve"> </w:t>
      </w:r>
      <w:r w:rsidR="005D6113">
        <w:rPr>
          <w:rFonts w:cs="Times New Roman"/>
          <w:color w:val="000000" w:themeColor="text1"/>
        </w:rPr>
        <w:t xml:space="preserve">changes in </w:t>
      </w:r>
      <w:r w:rsidR="006C575B">
        <w:rPr>
          <w:rFonts w:cs="Times New Roman"/>
          <w:color w:val="000000" w:themeColor="text1"/>
        </w:rPr>
        <w:t>e</w:t>
      </w:r>
      <w:r w:rsidR="00475FFA">
        <w:rPr>
          <w:rFonts w:cs="Times New Roman"/>
          <w:color w:val="000000" w:themeColor="text1"/>
        </w:rPr>
        <w:t xml:space="preserve">cosystem </w:t>
      </w:r>
      <w:r w:rsidR="006C575B">
        <w:rPr>
          <w:rFonts w:cs="Times New Roman"/>
          <w:color w:val="000000" w:themeColor="text1"/>
        </w:rPr>
        <w:t xml:space="preserve">WUE </w:t>
      </w:r>
      <w:r w:rsidR="0034520C">
        <w:rPr>
          <w:rFonts w:cs="Times New Roman"/>
          <w:color w:val="000000" w:themeColor="text1"/>
        </w:rPr>
        <w:t xml:space="preserve">in </w:t>
      </w:r>
      <w:r w:rsidR="006C575B">
        <w:rPr>
          <w:rFonts w:cs="Times New Roman"/>
          <w:color w:val="000000" w:themeColor="text1"/>
        </w:rPr>
        <w:t>other regions</w:t>
      </w:r>
      <w:r w:rsidR="000C484E">
        <w:rPr>
          <w:rFonts w:cs="Times New Roman"/>
          <w:color w:val="000000" w:themeColor="text1"/>
        </w:rPr>
        <w:t xml:space="preserve"> </w:t>
      </w:r>
      <w:r w:rsidR="0034520C">
        <w:rPr>
          <w:rFonts w:cs="Times New Roman"/>
          <w:color w:val="000000" w:themeColor="text1"/>
        </w:rPr>
        <w:t>are not open to investigation</w:t>
      </w:r>
      <w:r w:rsidR="000C484E">
        <w:rPr>
          <w:rFonts w:cs="Times New Roman"/>
          <w:color w:val="000000" w:themeColor="text1"/>
        </w:rPr>
        <w:t xml:space="preserve"> using available data</w:t>
      </w:r>
      <w:r w:rsidR="00237913">
        <w:rPr>
          <w:rFonts w:cs="Times New Roman"/>
          <w:color w:val="000000" w:themeColor="text1"/>
        </w:rPr>
        <w:t xml:space="preserve">. </w:t>
      </w:r>
      <w:r w:rsidR="0034520C">
        <w:rPr>
          <w:rFonts w:cs="Times New Roman"/>
          <w:color w:val="000000" w:themeColor="text1"/>
        </w:rPr>
        <w:t>It will be scientifically important to</w:t>
      </w:r>
      <w:r w:rsidR="00010768">
        <w:rPr>
          <w:rFonts w:cs="Times New Roman"/>
          <w:color w:val="000000" w:themeColor="text1"/>
        </w:rPr>
        <w:t xml:space="preserve"> incre</w:t>
      </w:r>
      <w:r w:rsidR="0034520C">
        <w:rPr>
          <w:rFonts w:cs="Times New Roman"/>
          <w:color w:val="000000" w:themeColor="text1"/>
        </w:rPr>
        <w:t>ase</w:t>
      </w:r>
      <w:r w:rsidR="00010768">
        <w:rPr>
          <w:rFonts w:cs="Times New Roman"/>
          <w:color w:val="000000" w:themeColor="text1"/>
        </w:rPr>
        <w:t xml:space="preserve"> the number of </w:t>
      </w:r>
      <w:r w:rsidR="006F71F4">
        <w:rPr>
          <w:rFonts w:cs="Times New Roman"/>
          <w:color w:val="000000" w:themeColor="text1"/>
        </w:rPr>
        <w:t>eddy-covariance</w:t>
      </w:r>
      <w:r w:rsidR="00010768">
        <w:rPr>
          <w:rFonts w:cs="Times New Roman"/>
          <w:color w:val="000000" w:themeColor="text1"/>
        </w:rPr>
        <w:t xml:space="preserve"> stations in remote regions</w:t>
      </w:r>
      <w:r w:rsidR="0034520C">
        <w:rPr>
          <w:rFonts w:cs="Times New Roman"/>
          <w:color w:val="000000" w:themeColor="text1"/>
        </w:rPr>
        <w:t>;</w:t>
      </w:r>
      <w:r w:rsidR="007E72E0">
        <w:rPr>
          <w:rFonts w:cs="Times New Roman"/>
          <w:color w:val="000000" w:themeColor="text1"/>
        </w:rPr>
        <w:t xml:space="preserve"> continue support for stations in those regions that have long data records</w:t>
      </w:r>
      <w:r w:rsidR="0034520C">
        <w:rPr>
          <w:rFonts w:cs="Times New Roman"/>
          <w:color w:val="000000" w:themeColor="text1"/>
        </w:rPr>
        <w:t>; and to make existing data records available from flux towers in other parts of the world.</w:t>
      </w:r>
    </w:p>
    <w:p w14:paraId="51380BA4" w14:textId="54C7E941" w:rsidR="001B1E61" w:rsidRPr="00682B65" w:rsidRDefault="00CE2629" w:rsidP="00E42B07">
      <w:pPr>
        <w:pStyle w:val="Body"/>
        <w:spacing w:before="240" w:line="360" w:lineRule="auto"/>
        <w:jc w:val="both"/>
        <w:rPr>
          <w:color w:val="000000" w:themeColor="text1"/>
          <w:lang w:val="en-GB"/>
        </w:rPr>
      </w:pPr>
      <w:r>
        <w:rPr>
          <w:rFonts w:cs="Times New Roman"/>
          <w:color w:val="000000" w:themeColor="text1"/>
        </w:rPr>
        <w:t>In contrast</w:t>
      </w:r>
      <w:r w:rsidR="00E56602">
        <w:rPr>
          <w:rFonts w:cs="Times New Roman"/>
          <w:color w:val="000000" w:themeColor="text1"/>
        </w:rPr>
        <w:t xml:space="preserve"> to </w:t>
      </w:r>
      <w:r w:rsidR="001C0465">
        <w:rPr>
          <w:rFonts w:cs="Times New Roman"/>
          <w:color w:val="000000" w:themeColor="text1"/>
        </w:rPr>
        <w:t>tree-ring</w:t>
      </w:r>
      <w:r w:rsidR="00E56602">
        <w:rPr>
          <w:rFonts w:cs="Times New Roman"/>
          <w:color w:val="000000" w:themeColor="text1"/>
        </w:rPr>
        <w:t xml:space="preserve"> studies</w:t>
      </w:r>
      <w:r w:rsidR="0034520C">
        <w:rPr>
          <w:rFonts w:cs="Times New Roman"/>
          <w:color w:val="000000" w:themeColor="text1"/>
        </w:rPr>
        <w:t>, which have used</w:t>
      </w:r>
      <w:r w:rsidR="00E56602">
        <w:rPr>
          <w:rFonts w:cs="Times New Roman"/>
          <w:color w:val="000000" w:themeColor="text1"/>
        </w:rPr>
        <w:t xml:space="preserve"> </w:t>
      </w:r>
      <w:r w:rsidR="0034520C">
        <w:rPr>
          <w:rFonts w:cs="Times New Roman"/>
          <w:color w:val="000000" w:themeColor="text1"/>
        </w:rPr>
        <w:t>a common</w:t>
      </w:r>
      <w:r w:rsidR="00E56602">
        <w:rPr>
          <w:rFonts w:cs="Times New Roman"/>
          <w:color w:val="000000" w:themeColor="text1"/>
        </w:rPr>
        <w:t xml:space="preserve"> definition for WUE, </w:t>
      </w:r>
      <w:r w:rsidR="00E430E3">
        <w:rPr>
          <w:rFonts w:cs="Times New Roman"/>
          <w:color w:val="000000" w:themeColor="text1"/>
        </w:rPr>
        <w:t>eddy-covariance</w:t>
      </w:r>
      <w:r w:rsidR="00E56602">
        <w:rPr>
          <w:rFonts w:cs="Times New Roman"/>
          <w:color w:val="000000" w:themeColor="text1"/>
        </w:rPr>
        <w:t xml:space="preserve"> studies have </w:t>
      </w:r>
      <w:r w:rsidR="0031364B">
        <w:rPr>
          <w:rFonts w:cs="Times New Roman"/>
          <w:color w:val="000000" w:themeColor="text1"/>
        </w:rPr>
        <w:t>appli</w:t>
      </w:r>
      <w:r w:rsidR="00E56602">
        <w:rPr>
          <w:rFonts w:cs="Times New Roman"/>
          <w:color w:val="000000" w:themeColor="text1"/>
        </w:rPr>
        <w:t xml:space="preserve">ed </w:t>
      </w:r>
      <w:r w:rsidR="0034520C">
        <w:rPr>
          <w:rFonts w:cs="Times New Roman"/>
          <w:color w:val="000000" w:themeColor="text1"/>
        </w:rPr>
        <w:t xml:space="preserve">several </w:t>
      </w:r>
      <w:r w:rsidR="00E56602">
        <w:rPr>
          <w:rFonts w:cs="Times New Roman"/>
          <w:color w:val="000000" w:themeColor="text1"/>
        </w:rPr>
        <w:t>different formulations for ecosystem WUE</w:t>
      </w:r>
      <w:r w:rsidR="0034520C">
        <w:rPr>
          <w:rFonts w:cs="Times New Roman"/>
          <w:color w:val="000000" w:themeColor="text1"/>
        </w:rPr>
        <w:t xml:space="preserve"> –</w:t>
      </w:r>
      <w:r w:rsidR="00E56602">
        <w:rPr>
          <w:rFonts w:cs="Times New Roman"/>
          <w:color w:val="000000" w:themeColor="text1"/>
        </w:rPr>
        <w:t xml:space="preserve"> resulting in different </w:t>
      </w:r>
      <w:r w:rsidR="0034520C">
        <w:rPr>
          <w:rFonts w:cs="Times New Roman"/>
          <w:color w:val="000000" w:themeColor="text1"/>
        </w:rPr>
        <w:t xml:space="preserve">reported </w:t>
      </w:r>
      <w:r w:rsidR="00F32546">
        <w:rPr>
          <w:rFonts w:cs="Times New Roman"/>
          <w:color w:val="000000" w:themeColor="text1"/>
        </w:rPr>
        <w:t xml:space="preserve">WUE </w:t>
      </w:r>
      <w:r w:rsidR="0034520C">
        <w:rPr>
          <w:rFonts w:cs="Times New Roman"/>
          <w:color w:val="000000" w:themeColor="text1"/>
        </w:rPr>
        <w:t>trends from</w:t>
      </w:r>
      <w:r w:rsidR="00E56602">
        <w:rPr>
          <w:rFonts w:cs="Times New Roman"/>
          <w:color w:val="000000" w:themeColor="text1"/>
        </w:rPr>
        <w:t xml:space="preserve"> the same sites (Fig</w:t>
      </w:r>
      <w:r w:rsidR="007559CB">
        <w:rPr>
          <w:rFonts w:cs="Times New Roman"/>
          <w:color w:val="000000" w:themeColor="text1"/>
        </w:rPr>
        <w:t>.</w:t>
      </w:r>
      <w:r w:rsidR="00E56602">
        <w:rPr>
          <w:rFonts w:cs="Times New Roman"/>
          <w:color w:val="000000" w:themeColor="text1"/>
        </w:rPr>
        <w:t xml:space="preserve"> 1). Here, </w:t>
      </w:r>
      <w:r w:rsidR="00685721">
        <w:rPr>
          <w:rFonts w:cs="Times New Roman"/>
          <w:color w:val="000000" w:themeColor="text1"/>
        </w:rPr>
        <w:t xml:space="preserve">we calculated changes in </w:t>
      </w:r>
      <w:r w:rsidR="00D16C3C">
        <w:rPr>
          <w:rFonts w:cs="Times New Roman"/>
          <w:color w:val="000000" w:themeColor="text1"/>
        </w:rPr>
        <w:t>WUE</w:t>
      </w:r>
      <w:r w:rsidR="00126FFF" w:rsidRPr="00126FFF">
        <w:rPr>
          <w:rFonts w:cs="Times New Roman"/>
          <w:color w:val="000000" w:themeColor="text1"/>
          <w:vertAlign w:val="superscript"/>
        </w:rPr>
        <w:t>e</w:t>
      </w:r>
      <w:r w:rsidR="00AF77A2">
        <w:rPr>
          <w:rFonts w:cs="Times New Roman"/>
          <w:color w:val="000000" w:themeColor="text1"/>
          <w:vertAlign w:val="superscript"/>
        </w:rPr>
        <w:t>co</w:t>
      </w:r>
      <w:r w:rsidR="00D16C3C">
        <w:rPr>
          <w:rFonts w:cs="Times New Roman"/>
          <w:color w:val="000000" w:themeColor="text1"/>
        </w:rPr>
        <w:t>, iWUE</w:t>
      </w:r>
      <w:r w:rsidR="00126FFF" w:rsidRPr="00126FFF">
        <w:rPr>
          <w:rFonts w:cs="Times New Roman"/>
          <w:color w:val="000000" w:themeColor="text1"/>
          <w:vertAlign w:val="superscript"/>
        </w:rPr>
        <w:t>e</w:t>
      </w:r>
      <w:r w:rsidR="00AF77A2">
        <w:rPr>
          <w:rFonts w:cs="Times New Roman"/>
          <w:color w:val="000000" w:themeColor="text1"/>
          <w:vertAlign w:val="superscript"/>
        </w:rPr>
        <w:t>co</w:t>
      </w:r>
      <w:r w:rsidR="00D16C3C">
        <w:rPr>
          <w:rFonts w:cs="Times New Roman"/>
          <w:color w:val="000000" w:themeColor="text1"/>
        </w:rPr>
        <w:t xml:space="preserve"> and IWUE</w:t>
      </w:r>
      <w:r w:rsidR="00126FFF" w:rsidRPr="00126FFF">
        <w:rPr>
          <w:rFonts w:cs="Times New Roman"/>
          <w:color w:val="000000" w:themeColor="text1"/>
          <w:vertAlign w:val="superscript"/>
        </w:rPr>
        <w:t>e</w:t>
      </w:r>
      <w:r w:rsidR="00AF77A2">
        <w:rPr>
          <w:rFonts w:cs="Times New Roman"/>
          <w:color w:val="000000" w:themeColor="text1"/>
          <w:vertAlign w:val="superscript"/>
        </w:rPr>
        <w:t>co</w:t>
      </w:r>
      <w:r w:rsidR="00D16C3C">
        <w:rPr>
          <w:rFonts w:cs="Times New Roman"/>
          <w:color w:val="000000" w:themeColor="text1"/>
        </w:rPr>
        <w:t xml:space="preserve"> </w:t>
      </w:r>
      <w:r w:rsidR="00062C0E">
        <w:rPr>
          <w:rFonts w:cs="Times New Roman"/>
          <w:color w:val="000000" w:themeColor="text1"/>
        </w:rPr>
        <w:t xml:space="preserve">over 1992-2011 </w:t>
      </w:r>
      <w:r w:rsidR="00D16C3C">
        <w:rPr>
          <w:rFonts w:cs="Times New Roman"/>
          <w:color w:val="000000" w:themeColor="text1"/>
        </w:rPr>
        <w:t>for</w:t>
      </w:r>
      <w:r w:rsidR="00E56602">
        <w:rPr>
          <w:rFonts w:cs="Times New Roman"/>
          <w:color w:val="000000" w:themeColor="text1"/>
        </w:rPr>
        <w:t xml:space="preserve"> </w:t>
      </w:r>
      <w:r w:rsidR="00204782">
        <w:rPr>
          <w:rFonts w:cs="Times New Roman"/>
          <w:color w:val="000000" w:themeColor="text1"/>
        </w:rPr>
        <w:t>2</w:t>
      </w:r>
      <w:r w:rsidR="00870F0C">
        <w:rPr>
          <w:rFonts w:cs="Times New Roman"/>
          <w:color w:val="000000" w:themeColor="text1"/>
        </w:rPr>
        <w:t>5</w:t>
      </w:r>
      <w:r w:rsidR="00204782">
        <w:rPr>
          <w:rFonts w:cs="Times New Roman"/>
          <w:color w:val="000000" w:themeColor="text1"/>
        </w:rPr>
        <w:t xml:space="preserve"> </w:t>
      </w:r>
      <w:r w:rsidR="00126FFF">
        <w:rPr>
          <w:rFonts w:cs="Times New Roman"/>
          <w:color w:val="000000" w:themeColor="text1"/>
        </w:rPr>
        <w:t>eddy-covariance</w:t>
      </w:r>
      <w:r w:rsidR="00204782">
        <w:rPr>
          <w:rFonts w:cs="Times New Roman"/>
          <w:color w:val="000000" w:themeColor="text1"/>
        </w:rPr>
        <w:t xml:space="preserve"> stations from the FLUXNET-2015 </w:t>
      </w:r>
      <w:r w:rsidR="00B35360">
        <w:rPr>
          <w:rFonts w:cs="Times New Roman"/>
          <w:color w:val="000000" w:themeColor="text1"/>
        </w:rPr>
        <w:t>(</w:t>
      </w:r>
      <w:r w:rsidR="00204782">
        <w:rPr>
          <w:rFonts w:cs="Times New Roman"/>
          <w:color w:val="000000" w:themeColor="text1"/>
        </w:rPr>
        <w:t>Tier 1</w:t>
      </w:r>
      <w:r w:rsidR="00B35360">
        <w:rPr>
          <w:rFonts w:cs="Times New Roman"/>
          <w:color w:val="000000" w:themeColor="text1"/>
        </w:rPr>
        <w:t>)</w:t>
      </w:r>
      <w:r w:rsidR="00204782">
        <w:rPr>
          <w:rFonts w:cs="Times New Roman"/>
          <w:color w:val="000000" w:themeColor="text1"/>
        </w:rPr>
        <w:t xml:space="preserve"> product representing ENFs (</w:t>
      </w:r>
      <w:r w:rsidR="0097162C">
        <w:rPr>
          <w:rFonts w:cs="Times New Roman"/>
          <w:color w:val="000000" w:themeColor="text1"/>
        </w:rPr>
        <w:t>1</w:t>
      </w:r>
      <w:r w:rsidR="00522F1F">
        <w:rPr>
          <w:rFonts w:cs="Times New Roman"/>
          <w:color w:val="000000" w:themeColor="text1"/>
        </w:rPr>
        <w:t>5</w:t>
      </w:r>
      <w:r w:rsidR="00204782">
        <w:rPr>
          <w:rFonts w:cs="Times New Roman"/>
          <w:color w:val="000000" w:themeColor="text1"/>
        </w:rPr>
        <w:t xml:space="preserve"> stations) and DBFs (</w:t>
      </w:r>
      <w:r w:rsidR="00522F1F">
        <w:rPr>
          <w:rFonts w:cs="Times New Roman"/>
          <w:color w:val="000000" w:themeColor="text1"/>
        </w:rPr>
        <w:t>10</w:t>
      </w:r>
      <w:r w:rsidR="00204782">
        <w:rPr>
          <w:rFonts w:cs="Times New Roman"/>
          <w:color w:val="000000" w:themeColor="text1"/>
        </w:rPr>
        <w:t xml:space="preserve"> stations)</w:t>
      </w:r>
      <w:r w:rsidR="00F46AD6">
        <w:rPr>
          <w:rFonts w:cs="Times New Roman"/>
          <w:color w:val="000000" w:themeColor="text1"/>
        </w:rPr>
        <w:t>, after further data screening</w:t>
      </w:r>
      <w:r w:rsidR="00336315">
        <w:rPr>
          <w:rFonts w:cs="Times New Roman"/>
          <w:color w:val="000000" w:themeColor="text1"/>
        </w:rPr>
        <w:t xml:space="preserve">, </w:t>
      </w:r>
      <w:r w:rsidR="00F46AD6">
        <w:rPr>
          <w:rFonts w:cs="Times New Roman"/>
          <w:color w:val="000000" w:themeColor="text1"/>
        </w:rPr>
        <w:t>quality checking</w:t>
      </w:r>
      <w:r w:rsidR="00E97C7D">
        <w:rPr>
          <w:rFonts w:cs="Times New Roman"/>
          <w:color w:val="000000" w:themeColor="text1"/>
        </w:rPr>
        <w:t xml:space="preserve"> and</w:t>
      </w:r>
      <w:r w:rsidR="006D23A6">
        <w:rPr>
          <w:rFonts w:cs="Times New Roman"/>
          <w:color w:val="000000" w:themeColor="text1"/>
        </w:rPr>
        <w:t xml:space="preserve"> </w:t>
      </w:r>
      <w:r w:rsidR="00FC42AF">
        <w:rPr>
          <w:rFonts w:cs="Times New Roman"/>
          <w:color w:val="000000" w:themeColor="text1"/>
        </w:rPr>
        <w:t xml:space="preserve">data </w:t>
      </w:r>
      <w:r w:rsidR="00E97C7D">
        <w:rPr>
          <w:rFonts w:cs="Times New Roman"/>
          <w:color w:val="000000" w:themeColor="text1"/>
        </w:rPr>
        <w:t xml:space="preserve">processing </w:t>
      </w:r>
      <w:r w:rsidR="00F32EAC">
        <w:rPr>
          <w:rFonts w:cs="Times New Roman"/>
          <w:color w:val="000000" w:themeColor="text1"/>
        </w:rPr>
        <w:t>(see Text S</w:t>
      </w:r>
      <w:r w:rsidR="00870F0C">
        <w:rPr>
          <w:rFonts w:cs="Times New Roman"/>
          <w:color w:val="000000" w:themeColor="text1"/>
        </w:rPr>
        <w:t>2</w:t>
      </w:r>
      <w:r w:rsidR="00C34F45">
        <w:rPr>
          <w:rFonts w:cs="Times New Roman"/>
          <w:color w:val="000000" w:themeColor="text1"/>
        </w:rPr>
        <w:t xml:space="preserve"> and Table S6</w:t>
      </w:r>
      <w:r w:rsidR="004B21FA">
        <w:rPr>
          <w:rFonts w:cs="Times New Roman"/>
          <w:color w:val="000000" w:themeColor="text1"/>
        </w:rPr>
        <w:t>)</w:t>
      </w:r>
      <w:r w:rsidR="00D16C3C">
        <w:rPr>
          <w:rFonts w:cs="Times New Roman"/>
          <w:color w:val="000000" w:themeColor="text1"/>
        </w:rPr>
        <w:t>.</w:t>
      </w:r>
      <w:r w:rsidR="0058011C">
        <w:rPr>
          <w:rFonts w:cs="Times New Roman"/>
          <w:color w:val="000000" w:themeColor="text1"/>
        </w:rPr>
        <w:t xml:space="preserve"> </w:t>
      </w:r>
      <w:r w:rsidR="00710727">
        <w:rPr>
          <w:color w:val="000000" w:themeColor="text1"/>
          <w:lang w:val="en-GB"/>
        </w:rPr>
        <w:t>A</w:t>
      </w:r>
      <w:r w:rsidR="0063693B">
        <w:rPr>
          <w:color w:val="000000" w:themeColor="text1"/>
          <w:lang w:val="en-GB"/>
        </w:rPr>
        <w:t xml:space="preserve">lthough the differences between trends estimates </w:t>
      </w:r>
      <w:r w:rsidR="000A1748">
        <w:rPr>
          <w:color w:val="000000" w:themeColor="text1"/>
          <w:lang w:val="en-GB"/>
        </w:rPr>
        <w:t>a</w:t>
      </w:r>
      <w:r w:rsidR="0063693B">
        <w:rPr>
          <w:color w:val="000000" w:themeColor="text1"/>
          <w:lang w:val="en-GB"/>
        </w:rPr>
        <w:t xml:space="preserve">re not significant, </w:t>
      </w:r>
      <w:r w:rsidR="00A05D5C">
        <w:rPr>
          <w:color w:val="000000" w:themeColor="text1"/>
          <w:lang w:val="en-GB"/>
        </w:rPr>
        <w:t xml:space="preserve">the strongest increasing trend </w:t>
      </w:r>
      <w:r w:rsidR="000A1748">
        <w:rPr>
          <w:color w:val="000000" w:themeColor="text1"/>
          <w:lang w:val="en-GB"/>
        </w:rPr>
        <w:t>i</w:t>
      </w:r>
      <w:r w:rsidR="004439D6">
        <w:rPr>
          <w:color w:val="000000" w:themeColor="text1"/>
          <w:lang w:val="en-GB"/>
        </w:rPr>
        <w:t>s</w:t>
      </w:r>
      <w:r w:rsidR="00A05D5C">
        <w:rPr>
          <w:color w:val="000000" w:themeColor="text1"/>
          <w:lang w:val="en-GB"/>
        </w:rPr>
        <w:t xml:space="preserve"> found </w:t>
      </w:r>
      <w:r w:rsidR="004439D6">
        <w:rPr>
          <w:color w:val="000000" w:themeColor="text1"/>
          <w:lang w:val="en-GB"/>
        </w:rPr>
        <w:t>for</w:t>
      </w:r>
      <w:r w:rsidR="00A05D5C">
        <w:rPr>
          <w:color w:val="000000" w:themeColor="text1"/>
          <w:lang w:val="en-GB"/>
        </w:rPr>
        <w:t xml:space="preserve"> IWUE</w:t>
      </w:r>
      <w:r w:rsidR="000D740A" w:rsidRPr="000D740A">
        <w:rPr>
          <w:color w:val="000000" w:themeColor="text1"/>
          <w:vertAlign w:val="superscript"/>
          <w:lang w:val="en-GB"/>
        </w:rPr>
        <w:t>e</w:t>
      </w:r>
      <w:r w:rsidR="00AF77A2">
        <w:rPr>
          <w:color w:val="000000" w:themeColor="text1"/>
          <w:vertAlign w:val="superscript"/>
          <w:lang w:val="en-GB"/>
        </w:rPr>
        <w:t>co</w:t>
      </w:r>
      <w:r w:rsidR="004439D6">
        <w:rPr>
          <w:color w:val="000000" w:themeColor="text1"/>
          <w:lang w:val="en-GB"/>
        </w:rPr>
        <w:t xml:space="preserve">, followed by </w:t>
      </w:r>
      <w:r w:rsidR="00A05D5C">
        <w:rPr>
          <w:color w:val="000000" w:themeColor="text1"/>
          <w:lang w:val="en-GB"/>
        </w:rPr>
        <w:t>iWUE</w:t>
      </w:r>
      <w:r w:rsidR="000D740A" w:rsidRPr="000D740A">
        <w:rPr>
          <w:color w:val="000000" w:themeColor="text1"/>
          <w:vertAlign w:val="superscript"/>
          <w:lang w:val="en-GB"/>
        </w:rPr>
        <w:t>e</w:t>
      </w:r>
      <w:r w:rsidR="00AF77A2">
        <w:rPr>
          <w:color w:val="000000" w:themeColor="text1"/>
          <w:vertAlign w:val="superscript"/>
          <w:lang w:val="en-GB"/>
        </w:rPr>
        <w:t>co</w:t>
      </w:r>
      <w:r w:rsidR="00A05D5C">
        <w:rPr>
          <w:color w:val="000000" w:themeColor="text1"/>
          <w:lang w:val="en-GB"/>
        </w:rPr>
        <w:t xml:space="preserve"> </w:t>
      </w:r>
      <w:r w:rsidR="004439D6">
        <w:rPr>
          <w:color w:val="000000" w:themeColor="text1"/>
          <w:lang w:val="en-GB"/>
        </w:rPr>
        <w:t>and WUE</w:t>
      </w:r>
      <w:r w:rsidR="004439D6" w:rsidRPr="000D740A">
        <w:rPr>
          <w:color w:val="000000" w:themeColor="text1"/>
          <w:vertAlign w:val="superscript"/>
          <w:lang w:val="en-GB"/>
        </w:rPr>
        <w:t>e</w:t>
      </w:r>
      <w:r w:rsidR="004439D6">
        <w:rPr>
          <w:color w:val="000000" w:themeColor="text1"/>
          <w:vertAlign w:val="superscript"/>
          <w:lang w:val="en-GB"/>
        </w:rPr>
        <w:t>co</w:t>
      </w:r>
      <w:r w:rsidR="00A05D5C">
        <w:rPr>
          <w:color w:val="000000" w:themeColor="text1"/>
          <w:lang w:val="en-GB"/>
        </w:rPr>
        <w:t xml:space="preserve"> (1.4</w:t>
      </w:r>
      <w:r w:rsidR="004439D6">
        <w:rPr>
          <w:color w:val="000000" w:themeColor="text1"/>
          <w:lang w:val="en-GB"/>
        </w:rPr>
        <w:t>4</w:t>
      </w:r>
      <w:r w:rsidR="00A05D5C">
        <w:rPr>
          <w:color w:val="000000" w:themeColor="text1"/>
          <w:lang w:val="en-GB"/>
        </w:rPr>
        <w:t xml:space="preserve"> </w:t>
      </w:r>
      <w:r w:rsidR="00A05D5C">
        <w:rPr>
          <w:color w:val="000000" w:themeColor="text1"/>
          <w:lang w:val="en-GB"/>
        </w:rPr>
        <w:sym w:font="Symbol" w:char="F0B1"/>
      </w:r>
      <w:r w:rsidR="00A05D5C">
        <w:rPr>
          <w:color w:val="000000" w:themeColor="text1"/>
          <w:lang w:val="en-GB"/>
        </w:rPr>
        <w:t xml:space="preserve"> 3.</w:t>
      </w:r>
      <w:r w:rsidR="00FC120C">
        <w:rPr>
          <w:color w:val="000000" w:themeColor="text1"/>
          <w:lang w:val="en-GB"/>
        </w:rPr>
        <w:t>94</w:t>
      </w:r>
      <w:r w:rsidR="004439D6">
        <w:rPr>
          <w:color w:val="000000" w:themeColor="text1"/>
          <w:lang w:val="en-GB"/>
        </w:rPr>
        <w:t>,</w:t>
      </w:r>
      <w:r w:rsidR="00A05D5C">
        <w:rPr>
          <w:color w:val="000000" w:themeColor="text1"/>
          <w:lang w:val="en-GB"/>
        </w:rPr>
        <w:t xml:space="preserve"> 1.</w:t>
      </w:r>
      <w:r w:rsidR="004439D6">
        <w:rPr>
          <w:color w:val="000000" w:themeColor="text1"/>
          <w:lang w:val="en-GB"/>
        </w:rPr>
        <w:t>17</w:t>
      </w:r>
      <w:r w:rsidR="00A05D5C">
        <w:rPr>
          <w:color w:val="000000" w:themeColor="text1"/>
          <w:lang w:val="en-GB"/>
        </w:rPr>
        <w:t xml:space="preserve"> </w:t>
      </w:r>
      <w:r w:rsidR="00A05D5C">
        <w:rPr>
          <w:color w:val="000000" w:themeColor="text1"/>
          <w:lang w:val="en-GB"/>
        </w:rPr>
        <w:sym w:font="Symbol" w:char="F0B1"/>
      </w:r>
      <w:r w:rsidR="00A05D5C">
        <w:rPr>
          <w:color w:val="000000" w:themeColor="text1"/>
          <w:lang w:val="en-GB"/>
        </w:rPr>
        <w:t xml:space="preserve"> </w:t>
      </w:r>
      <w:r w:rsidR="00FC120C">
        <w:rPr>
          <w:color w:val="000000" w:themeColor="text1"/>
          <w:lang w:val="en-GB"/>
        </w:rPr>
        <w:t>5</w:t>
      </w:r>
      <w:r w:rsidR="006F6C53">
        <w:rPr>
          <w:color w:val="000000" w:themeColor="text1"/>
          <w:lang w:val="en-GB"/>
        </w:rPr>
        <w:t>.</w:t>
      </w:r>
      <w:r w:rsidR="00FC120C">
        <w:rPr>
          <w:color w:val="000000" w:themeColor="text1"/>
          <w:lang w:val="en-GB"/>
        </w:rPr>
        <w:t>16</w:t>
      </w:r>
      <w:r w:rsidR="00A05D5C">
        <w:rPr>
          <w:color w:val="000000" w:themeColor="text1"/>
          <w:lang w:val="en-GB"/>
        </w:rPr>
        <w:t xml:space="preserve"> </w:t>
      </w:r>
      <w:r w:rsidR="00565DB5">
        <w:rPr>
          <w:color w:val="000000" w:themeColor="text1"/>
          <w:lang w:val="en-GB"/>
        </w:rPr>
        <w:t>and 0.</w:t>
      </w:r>
      <w:r w:rsidR="006D71E5">
        <w:rPr>
          <w:color w:val="000000" w:themeColor="text1"/>
          <w:lang w:val="en-GB"/>
        </w:rPr>
        <w:t>88</w:t>
      </w:r>
      <w:r w:rsidR="00565DB5">
        <w:rPr>
          <w:color w:val="000000" w:themeColor="text1"/>
          <w:lang w:val="en-GB"/>
        </w:rPr>
        <w:t xml:space="preserve"> </w:t>
      </w:r>
      <w:r w:rsidR="00565DB5">
        <w:rPr>
          <w:color w:val="000000" w:themeColor="text1"/>
          <w:lang w:val="en-GB"/>
        </w:rPr>
        <w:sym w:font="Symbol" w:char="F0B1"/>
      </w:r>
      <w:r w:rsidR="00565DB5">
        <w:rPr>
          <w:color w:val="000000" w:themeColor="text1"/>
          <w:lang w:val="en-GB"/>
        </w:rPr>
        <w:t xml:space="preserve"> 2.</w:t>
      </w:r>
      <w:r w:rsidR="008B0902">
        <w:rPr>
          <w:color w:val="000000" w:themeColor="text1"/>
          <w:lang w:val="en-GB"/>
        </w:rPr>
        <w:t>70</w:t>
      </w:r>
      <w:r w:rsidR="00565DB5">
        <w:rPr>
          <w:color w:val="000000" w:themeColor="text1"/>
          <w:lang w:val="en-GB"/>
        </w:rPr>
        <w:t xml:space="preserve"> </w:t>
      </w:r>
      <w:r w:rsidR="00A05D5C">
        <w:rPr>
          <w:color w:val="000000" w:themeColor="text1"/>
          <w:lang w:val="en-GB"/>
        </w:rPr>
        <w:t>% yr</w:t>
      </w:r>
      <w:r w:rsidR="00A05D5C" w:rsidRPr="00B65B5D">
        <w:rPr>
          <w:color w:val="000000" w:themeColor="text1"/>
          <w:vertAlign w:val="superscript"/>
          <w:lang w:val="en-GB"/>
        </w:rPr>
        <w:t>-1</w:t>
      </w:r>
      <w:r w:rsidR="00A05D5C">
        <w:rPr>
          <w:color w:val="000000" w:themeColor="text1"/>
          <w:lang w:val="en-GB"/>
        </w:rPr>
        <w:t xml:space="preserve">, respectively; </w:t>
      </w:r>
      <w:r w:rsidR="006F6C53">
        <w:rPr>
          <w:color w:val="000000" w:themeColor="text1"/>
          <w:lang w:val="en-GB"/>
        </w:rPr>
        <w:t xml:space="preserve">median </w:t>
      </w:r>
      <w:r w:rsidR="006F6C53">
        <w:rPr>
          <w:color w:val="000000" w:themeColor="text1"/>
          <w:lang w:val="en-GB"/>
        </w:rPr>
        <w:sym w:font="Symbol" w:char="F0B1"/>
      </w:r>
      <w:r w:rsidR="006F6C53">
        <w:rPr>
          <w:color w:val="000000" w:themeColor="text1"/>
          <w:lang w:val="en-GB"/>
        </w:rPr>
        <w:t xml:space="preserve"> </w:t>
      </w:r>
      <w:r w:rsidR="00B7527C">
        <w:rPr>
          <w:color w:val="000000" w:themeColor="text1"/>
          <w:lang w:val="en-GB"/>
        </w:rPr>
        <w:t>interquartile range</w:t>
      </w:r>
      <w:r w:rsidR="006F6C53">
        <w:rPr>
          <w:color w:val="000000" w:themeColor="text1"/>
          <w:lang w:val="en-GB"/>
        </w:rPr>
        <w:t xml:space="preserve">, </w:t>
      </w:r>
      <w:r w:rsidR="00A05D5C">
        <w:rPr>
          <w:color w:val="000000" w:themeColor="text1"/>
          <w:lang w:val="en-GB"/>
        </w:rPr>
        <w:t>Fig</w:t>
      </w:r>
      <w:r w:rsidR="007559CB">
        <w:rPr>
          <w:color w:val="000000" w:themeColor="text1"/>
          <w:lang w:val="en-GB"/>
        </w:rPr>
        <w:t>.</w:t>
      </w:r>
      <w:r w:rsidR="00A05D5C">
        <w:rPr>
          <w:color w:val="000000" w:themeColor="text1"/>
          <w:lang w:val="en-GB"/>
        </w:rPr>
        <w:t xml:space="preserve"> 4</w:t>
      </w:r>
      <w:r w:rsidR="007559CB">
        <w:rPr>
          <w:color w:val="000000" w:themeColor="text1"/>
          <w:lang w:val="en-GB"/>
        </w:rPr>
        <w:t>a</w:t>
      </w:r>
      <w:r w:rsidR="00A05D5C">
        <w:rPr>
          <w:color w:val="000000" w:themeColor="text1"/>
          <w:lang w:val="en-GB"/>
        </w:rPr>
        <w:t xml:space="preserve">), </w:t>
      </w:r>
      <w:r w:rsidR="00565DB5">
        <w:rPr>
          <w:color w:val="000000" w:themeColor="text1"/>
          <w:lang w:val="en-GB"/>
        </w:rPr>
        <w:t>broadly consistent</w:t>
      </w:r>
      <w:r w:rsidR="00A05D5C">
        <w:rPr>
          <w:color w:val="000000" w:themeColor="text1"/>
          <w:lang w:val="en-GB"/>
        </w:rPr>
        <w:t xml:space="preserve"> with estimates from recent studies </w:t>
      </w:r>
      <w:r w:rsidR="00617D05">
        <w:rPr>
          <w:color w:val="000000" w:themeColor="text1"/>
          <w:lang w:val="en-GB"/>
        </w:rPr>
        <w:fldChar w:fldCharType="begin" w:fldLock="1"/>
      </w:r>
      <w:r w:rsidR="00D34863">
        <w:rPr>
          <w:color w:val="000000" w:themeColor="text1"/>
          <w:lang w:val="en-GB"/>
        </w:rPr>
        <w:instrText>ADDIN CSL_CITATION {"citationItems":[{"id":"ITEM-1","itemData":{"DOI":"10.1029/2018GL079093","ISSN":"1944-8007","author":[{"dropping-particle":"","family":"Wang","given":"Mengjie","non-dropping-particle":"","parse-names":false,"suffix":""},{"dropping-particle":"","family":"Chen","given":"Yunhao","non-dropping-particle":"","parse-names":false,"suffix":""},{"dropping-particle":"","family":"Wu","given":"Xiuchen","non-dropping-particle":"","parse-names":false,"suffix":""},{"dropping-particle":"","family":"Bai</w:instrText>
      </w:r>
      <w:r w:rsidR="00D34863">
        <w:rPr>
          <w:rFonts w:hint="eastAsia"/>
          <w:color w:val="000000" w:themeColor="text1"/>
          <w:lang w:val="en-GB"/>
        </w:rPr>
        <w:instrText>","given":"Yan","non-dropping-particle":"","parse-names":false,"suffix":""}],"container-title":"Geophysical Research Letters","id":"ITEM-1","issued":{"date-parts":[["2018"]]},"title":"Forest</w:instrText>
      </w:r>
      <w:r w:rsidR="00D34863">
        <w:rPr>
          <w:rFonts w:hint="eastAsia"/>
          <w:color w:val="000000" w:themeColor="text1"/>
          <w:lang w:val="en-GB"/>
        </w:rPr>
        <w:instrText>‐</w:instrText>
      </w:r>
      <w:r w:rsidR="00D34863">
        <w:rPr>
          <w:rFonts w:hint="eastAsia"/>
          <w:color w:val="000000" w:themeColor="text1"/>
          <w:lang w:val="en-GB"/>
        </w:rPr>
        <w:instrText>type</w:instrText>
      </w:r>
      <w:r w:rsidR="00D34863">
        <w:rPr>
          <w:rFonts w:hint="eastAsia"/>
          <w:color w:val="000000" w:themeColor="text1"/>
          <w:lang w:val="en-GB"/>
        </w:rPr>
        <w:instrText>‐</w:instrText>
      </w:r>
      <w:r w:rsidR="00D34863">
        <w:rPr>
          <w:rFonts w:hint="eastAsia"/>
          <w:color w:val="000000" w:themeColor="text1"/>
          <w:lang w:val="en-GB"/>
        </w:rPr>
        <w:instrText>dependent water use efficiency trends across the Northern H</w:instrText>
      </w:r>
      <w:r w:rsidR="00D34863">
        <w:rPr>
          <w:color w:val="000000" w:themeColor="text1"/>
          <w:lang w:val="en-GB"/>
        </w:rPr>
        <w:instrText>emisphere","type":"article-journal"},"uris":["http://www.mendeley.com/documents/?uuid=2c2ce213-132f-4cd5-977b-498ef8c07e2d"]},{"id":"ITEM-2","itemData":{"DOI":"10.1002/2017JG003890","ISBN":"2169-8953","ISSN":"21698961","PMID":"26213675","abstract":"©2017. American Geophysical Union. Elevated atmospheric CO 2  concentrations are expected to enhance photosynthesis and reduce stomatal conductance, thus increasing plant water use efficiency. A recent study based on eddy covariance flux observations from Northern Hemisphere forests showed a large increase in inherent water use efficiency (IWUE). Here we used an updated version of the same data set and robust uncertainty quantification to revisit these contemporary IWUE trends. We tested the hypothesis that the observed IWUE increase could be attributed to interannual trends in plant functional traits, potentially triggered by environmental change. We found that IWUE increased by ~1.3% yr -1 , which is less than previously reported but still larger than theoretical expectations. Numerical simulations with the Tethys-Chloris ecosystem model using temporally static plant functional traits cannot explain this increase. Simulations with plant functional trait plasticity, i.e., temporal changes in model parameters such as specific leaf area and maximum Rubisco capacity, match the observed trends in IWUE. Our results show that trends in plant functional traits, equal to 1.0% yr -1 , can explain the observed IWUE trends. Thus, at decadal or longer time scales, trait plasticity could potentially influence forest water, carbon, and energy fluxes with profound implications for both the monitoring of temporal changes in plant functional traits and their representation in Earth system models.","author":[{"dropping-particle":"","family":"Mastrotheodoros","given":"Theodoros","non-dropping-particle":"","parse-names":false,"suffix":""},{"dropping-particle":"","family":"Pappas","given":"Christoforos","non-dropping-particle":"","parse-names":false,"suffix":""},{"dropping-particle":"","family":"Molnar","given":"Peter","non-dropping-particle":"","parse-names":false,"suffix":""},{"dropping-particle":"","family":"Burlando","given":"Paolo","non-dropping-particle":"","parse-names":false,"suffix":""},{"dropping-particle":"","family":"Keenan","given":"Trevor F.","non-dropping-particle":"","parse-names":false,"suffix":""},{"dropping-particle":"","family":"Gentine","given":"Pierre","non-dropping-particle":"","parse-names":false,"suffix":""},{"dropping-particle":"","family":"Gough","given":"Christopher M.","non-dropping-particle":"","parse-names":false,"suffix":""},{"dropping-particle":"","family":"Fatichi","given":"Simone","non-dropping-particle":"","parse-names":false,"suffix":""}],"container-title":"Journal of Geophysical Research: Biogeosciences","id":"ITEM-2","issue":"9","issued":{"date-parts":[["2017"]]},"page":"2393-2408","title":"Linking plant functional trait plasticity and the large increase in forest water use efficiency","type":"article-journal","volume":"122"},"uris":["http://www.mendeley.com/documents/?uuid=025d7927-3672-409f-9e40-3c6d2953e58c"]}],"mendeley":{"formattedCitation":"(Mastrotheodoros et al., 2017; Wang et al., 2018)","manualFormatting":"(Mastrotheodoros et al., 2017; Wang et al., 2018)","plainTextFormattedCitation":"(Mastrotheodoros et al., 2017; Wang et al., 2018)","previouslyFormattedCitation":"(Mastrotheodoros et al., 2017; Wang et al., 2018)"},"properties":{"noteIndex":0},"schema":"https://github.com/citation-style-language/schema/raw/master/csl-citation.json"}</w:instrText>
      </w:r>
      <w:r w:rsidR="00617D05">
        <w:rPr>
          <w:color w:val="000000" w:themeColor="text1"/>
          <w:lang w:val="en-GB"/>
        </w:rPr>
        <w:fldChar w:fldCharType="separate"/>
      </w:r>
      <w:r w:rsidR="00617D05" w:rsidRPr="00617D05">
        <w:rPr>
          <w:noProof/>
          <w:color w:val="000000" w:themeColor="text1"/>
          <w:lang w:val="en-GB"/>
        </w:rPr>
        <w:t>(Mastrotheodoros et al., 2017; Wang et al., 2018)</w:t>
      </w:r>
      <w:r w:rsidR="00617D05">
        <w:rPr>
          <w:color w:val="000000" w:themeColor="text1"/>
          <w:lang w:val="en-GB"/>
        </w:rPr>
        <w:fldChar w:fldCharType="end"/>
      </w:r>
      <w:r w:rsidR="00EB0CAF">
        <w:rPr>
          <w:color w:val="000000" w:themeColor="text1"/>
          <w:lang w:val="en-GB"/>
        </w:rPr>
        <w:t xml:space="preserve">. </w:t>
      </w:r>
    </w:p>
    <w:p w14:paraId="6A6A2B91" w14:textId="105DBF50" w:rsidR="004C3725" w:rsidRDefault="00601145" w:rsidP="00E42B07">
      <w:pPr>
        <w:pStyle w:val="Body"/>
        <w:spacing w:before="240" w:line="360" w:lineRule="auto"/>
        <w:jc w:val="both"/>
        <w:rPr>
          <w:color w:val="000000" w:themeColor="text1"/>
          <w:lang w:val="en-GB"/>
        </w:rPr>
      </w:pPr>
      <w:r>
        <w:rPr>
          <w:color w:val="000000" w:themeColor="text1"/>
          <w:lang w:val="en-GB"/>
        </w:rPr>
        <w:t>D</w:t>
      </w:r>
      <w:r w:rsidR="007D5B41">
        <w:rPr>
          <w:color w:val="000000" w:themeColor="text1"/>
          <w:lang w:val="en-GB"/>
        </w:rPr>
        <w:t xml:space="preserve">ata processing choices could potentially affect the estimates of ecosystem WUE trends, and thus must be made carefully with a full assessment of the uncertainty involved. </w:t>
      </w:r>
      <w:r w:rsidR="00AF79F4">
        <w:rPr>
          <w:color w:val="000000" w:themeColor="text1"/>
          <w:lang w:val="en-GB"/>
        </w:rPr>
        <w:t>Such choices include the flux partitioning method selected to infer GPP (daytime v</w:t>
      </w:r>
      <w:r>
        <w:rPr>
          <w:color w:val="000000" w:themeColor="text1"/>
          <w:lang w:val="en-GB"/>
        </w:rPr>
        <w:t>er</w:t>
      </w:r>
      <w:r w:rsidR="00AF79F4">
        <w:rPr>
          <w:color w:val="000000" w:themeColor="text1"/>
          <w:lang w:val="en-GB"/>
        </w:rPr>
        <w:t>s</w:t>
      </w:r>
      <w:r>
        <w:rPr>
          <w:color w:val="000000" w:themeColor="text1"/>
          <w:lang w:val="en-GB"/>
        </w:rPr>
        <w:t>us</w:t>
      </w:r>
      <w:r w:rsidR="00AF79F4">
        <w:rPr>
          <w:color w:val="000000" w:themeColor="text1"/>
          <w:lang w:val="en-GB"/>
        </w:rPr>
        <w:t xml:space="preserve"> nighttime methods), the assumptions made </w:t>
      </w:r>
      <w:r>
        <w:rPr>
          <w:color w:val="000000" w:themeColor="text1"/>
          <w:lang w:val="en-GB"/>
        </w:rPr>
        <w:t xml:space="preserve">when </w:t>
      </w:r>
      <w:r w:rsidR="002563DD">
        <w:rPr>
          <w:color w:val="000000" w:themeColor="text1"/>
          <w:lang w:val="en-GB"/>
        </w:rPr>
        <w:t>isolat</w:t>
      </w:r>
      <w:r w:rsidR="000A30AD">
        <w:rPr>
          <w:color w:val="000000" w:themeColor="text1"/>
          <w:lang w:val="en-GB"/>
        </w:rPr>
        <w:t>ing</w:t>
      </w:r>
      <w:r w:rsidR="002563DD">
        <w:rPr>
          <w:color w:val="000000" w:themeColor="text1"/>
          <w:lang w:val="en-GB"/>
        </w:rPr>
        <w:t xml:space="preserve"> the transpiration flux </w:t>
      </w:r>
      <w:r w:rsidR="00AF79F4">
        <w:rPr>
          <w:color w:val="000000" w:themeColor="text1"/>
          <w:lang w:val="en-GB"/>
        </w:rPr>
        <w:t>(exclusion of rainy days and the following 24 or 48</w:t>
      </w:r>
      <w:r>
        <w:rPr>
          <w:color w:val="000000" w:themeColor="text1"/>
          <w:lang w:val="en-GB"/>
        </w:rPr>
        <w:t xml:space="preserve"> </w:t>
      </w:r>
      <w:r w:rsidR="00AF79F4">
        <w:rPr>
          <w:color w:val="000000" w:themeColor="text1"/>
          <w:lang w:val="en-GB"/>
        </w:rPr>
        <w:t>h</w:t>
      </w:r>
      <w:r>
        <w:rPr>
          <w:color w:val="000000" w:themeColor="text1"/>
          <w:lang w:val="en-GB"/>
        </w:rPr>
        <w:t>ours</w:t>
      </w:r>
      <w:r w:rsidR="00AF79F4">
        <w:rPr>
          <w:color w:val="000000" w:themeColor="text1"/>
          <w:lang w:val="en-GB"/>
        </w:rPr>
        <w:t xml:space="preserve">), the definition for the growing season (pre-defined summer months versus GPP filter), </w:t>
      </w:r>
      <w:r>
        <w:rPr>
          <w:color w:val="000000" w:themeColor="text1"/>
          <w:lang w:val="en-GB"/>
        </w:rPr>
        <w:t>and</w:t>
      </w:r>
      <w:r w:rsidR="00AF79F4">
        <w:rPr>
          <w:color w:val="000000" w:themeColor="text1"/>
          <w:lang w:val="en-GB"/>
        </w:rPr>
        <w:t xml:space="preserve"> the procedure to aggregate </w:t>
      </w:r>
      <w:r>
        <w:rPr>
          <w:color w:val="000000" w:themeColor="text1"/>
          <w:lang w:val="en-GB"/>
        </w:rPr>
        <w:t>observations</w:t>
      </w:r>
      <w:r w:rsidR="00AF79F4">
        <w:rPr>
          <w:color w:val="000000" w:themeColor="text1"/>
          <w:lang w:val="en-GB"/>
        </w:rPr>
        <w:t xml:space="preserve"> in time (average, median or sum). </w:t>
      </w:r>
      <w:r>
        <w:rPr>
          <w:color w:val="000000" w:themeColor="text1"/>
          <w:lang w:val="en-GB"/>
        </w:rPr>
        <w:t>U</w:t>
      </w:r>
      <w:r w:rsidR="0032327F">
        <w:rPr>
          <w:color w:val="000000" w:themeColor="text1"/>
          <w:lang w:val="en-GB"/>
        </w:rPr>
        <w:t xml:space="preserve">sing the median ecosystem WUE value per year and site is recommended because </w:t>
      </w:r>
      <w:r>
        <w:rPr>
          <w:color w:val="000000" w:themeColor="text1"/>
          <w:lang w:val="en-GB"/>
        </w:rPr>
        <w:t xml:space="preserve">this metric </w:t>
      </w:r>
      <w:r w:rsidR="0032327F">
        <w:rPr>
          <w:color w:val="000000" w:themeColor="text1"/>
          <w:lang w:val="en-GB"/>
        </w:rPr>
        <w:t>is less sensitive to very small or large values for the variables at the half-hourly or hourly scale</w:t>
      </w:r>
      <w:r>
        <w:rPr>
          <w:color w:val="000000" w:themeColor="text1"/>
          <w:lang w:val="en-GB"/>
        </w:rPr>
        <w:t>,</w:t>
      </w:r>
      <w:r w:rsidR="0032327F">
        <w:rPr>
          <w:color w:val="000000" w:themeColor="text1"/>
          <w:lang w:val="en-GB"/>
        </w:rPr>
        <w:t xml:space="preserve"> and less sensitive to outliers </w:t>
      </w:r>
      <w:r w:rsidR="0032327F">
        <w:rPr>
          <w:color w:val="000000" w:themeColor="text1"/>
          <w:lang w:val="en-GB"/>
        </w:rPr>
        <w:fldChar w:fldCharType="begin" w:fldLock="1"/>
      </w:r>
      <w:r w:rsidR="0032327F">
        <w:rPr>
          <w:color w:val="000000" w:themeColor="text1"/>
          <w:lang w:val="en-GB"/>
        </w:rPr>
        <w:instrText>ADDIN CSL_CITATION {"citationItems":[{"id":"ITEM-1","itemData":{"DOI":"10.1002/2017JG003890","ISBN":"2169-8953","ISSN":"21698961","PMID":"26213675","abstract":"©2017. American Geophysical Union. Elevated atmospheric CO 2  concentrations are expected to enhance photosynthesis and reduce stomatal conductance, thus increasing plant water use efficiency. A recent study based on eddy covariance flux observations from Northern Hemisphere forests showed a large increase in inherent water use efficiency (IWUE). Here we used an updated version of the same data set and robust uncertainty quantification to revisit these contemporary IWUE trends. We tested the hypothesis that the observed IWUE increase could be attributed to interannual trends in plant functional traits, potentially triggered by environmental change. We found that IWUE increased by ~1.3% yr -1 , which is less than previously reported but still larger than theoretical expectations. Numerical simulations with the Tethys-Chloris ecosystem model using temporally static plant functional traits cannot explain this increase. Simulations with plant functional trait plasticity, i.e., temporal changes in model parameters such as specific leaf area and maximum Rubisco capacity, match the observed trends in IWUE. Our results show that trends in plant functional traits, equal to 1.0% yr -1 , can explain the observed IWUE trends. Thus, at decadal or longer time scales, trait plasticity could potentially influence forest water, carbon, and energy fluxes with profound implications for both the monitoring of temporal changes in plant functional traits and their representation in Earth system models.","author":[{"dropping-particle":"","family":"Mastrotheodoros","given":"Theodoros","non-dropping-particle":"","parse-names":false,"suffix":""},{"dropping-particle":"","family":"Pappas","given":"Christoforos","non-dropping-particle":"","parse-names":false,"suffix":""},{"dropping-particle":"","family":"Molnar","given":"Peter","non-dropping-particle":"","parse-names":false,"suffix":""},{"dropping-particle":"","family":"Burlando","given":"Paolo","non-dropping-particle":"","parse-names":false,"suffix":""},{"dropping-particle":"","family":"Keenan","given":"Trevor F.","non-dropping-particle":"","parse-names":false,"suffix":""},{"dropping-particle":"","family":"Gentine","given":"Pierre","non-dropping-particle":"","parse-names":false,"suffix":""},{"dropping-particle":"","family":"Gough","given":"Christopher M.","non-dropping-particle":"","parse-names":false,"suffix":""},{"dropping-particle":"","family":"Fatichi","given":"Simone","non-dropping-particle":"","parse-names":false,"suffix":""}],"container-title":"Journal of Geophysical Research: Biogeosciences","id":"ITEM-1","issue":"9","issued":{"date-parts":[["2017"]]},"page":"2393-2408","title":"Linking plant functional trait plasticity and the large increase in forest water use efficiency","type":"article-journal","volume":"122"},"uris":["http://www.mendeley.com/documents/?uuid=025d7927-3672-409f-9e40-3c6d2953e58c"]}],"mendeley":{"formattedCitation":"(Mastrotheodoros et al., 2017)","plainTextFormattedCitation":"(Mastrotheodoros et al., 2017)","previouslyFormattedCitation":"(Mastrotheodoros et al., 2017)"},"properties":{"noteIndex":0},"schema":"https://github.com/citation-style-language/schema/raw/master/csl-citation.json"}</w:instrText>
      </w:r>
      <w:r w:rsidR="0032327F">
        <w:rPr>
          <w:color w:val="000000" w:themeColor="text1"/>
          <w:lang w:val="en-GB"/>
        </w:rPr>
        <w:fldChar w:fldCharType="separate"/>
      </w:r>
      <w:r w:rsidR="0032327F" w:rsidRPr="00974801">
        <w:rPr>
          <w:noProof/>
          <w:color w:val="000000" w:themeColor="text1"/>
          <w:lang w:val="en-GB"/>
        </w:rPr>
        <w:t>(Mastrotheodoros et al., 2017)</w:t>
      </w:r>
      <w:r w:rsidR="0032327F">
        <w:rPr>
          <w:color w:val="000000" w:themeColor="text1"/>
          <w:lang w:val="en-GB"/>
        </w:rPr>
        <w:fldChar w:fldCharType="end"/>
      </w:r>
      <w:r w:rsidR="0032327F">
        <w:rPr>
          <w:color w:val="000000" w:themeColor="text1"/>
          <w:lang w:val="en-GB"/>
        </w:rPr>
        <w:t>.</w:t>
      </w:r>
      <w:r w:rsidR="00A66468">
        <w:rPr>
          <w:color w:val="000000" w:themeColor="text1"/>
          <w:lang w:val="en-GB"/>
        </w:rPr>
        <w:t xml:space="preserve"> </w:t>
      </w:r>
      <w:r w:rsidR="00B61544">
        <w:rPr>
          <w:color w:val="000000" w:themeColor="text1"/>
          <w:lang w:val="en-GB"/>
        </w:rPr>
        <w:t xml:space="preserve">Also, </w:t>
      </w:r>
      <w:r w:rsidR="0053389B">
        <w:rPr>
          <w:color w:val="000000" w:themeColor="text1"/>
          <w:lang w:val="en-GB"/>
        </w:rPr>
        <w:t>given the</w:t>
      </w:r>
      <w:r w:rsidR="00B61544">
        <w:rPr>
          <w:color w:val="000000" w:themeColor="text1"/>
          <w:lang w:val="en-GB"/>
        </w:rPr>
        <w:t xml:space="preserve"> large variations </w:t>
      </w:r>
      <w:r w:rsidR="00B61544">
        <w:rPr>
          <w:rFonts w:cs="Times New Roman"/>
          <w:color w:val="000000" w:themeColor="text1"/>
        </w:rPr>
        <w:t xml:space="preserve">in ecosystem WUE trends </w:t>
      </w:r>
      <w:r w:rsidR="0053389B">
        <w:rPr>
          <w:rFonts w:cs="Times New Roman"/>
          <w:color w:val="000000" w:themeColor="text1"/>
        </w:rPr>
        <w:t>between</w:t>
      </w:r>
      <w:r w:rsidR="00B61544">
        <w:rPr>
          <w:rFonts w:cs="Times New Roman"/>
          <w:color w:val="000000" w:themeColor="text1"/>
        </w:rPr>
        <w:t xml:space="preserve"> sites,</w:t>
      </w:r>
      <w:r w:rsidR="00B61544">
        <w:rPr>
          <w:color w:val="000000" w:themeColor="text1"/>
          <w:lang w:val="en-GB"/>
        </w:rPr>
        <w:t xml:space="preserve"> </w:t>
      </w:r>
      <w:r w:rsidR="00D6342D">
        <w:rPr>
          <w:color w:val="000000" w:themeColor="text1"/>
          <w:lang w:val="en-GB"/>
        </w:rPr>
        <w:t xml:space="preserve">the </w:t>
      </w:r>
      <w:r w:rsidR="00496421">
        <w:rPr>
          <w:color w:val="000000" w:themeColor="text1"/>
          <w:lang w:val="en-GB"/>
        </w:rPr>
        <w:t>selection</w:t>
      </w:r>
      <w:r w:rsidR="00D6342D">
        <w:rPr>
          <w:color w:val="000000" w:themeColor="text1"/>
          <w:lang w:val="en-GB"/>
        </w:rPr>
        <w:t xml:space="preserve"> of stations </w:t>
      </w:r>
      <w:r w:rsidR="004124A2">
        <w:rPr>
          <w:color w:val="000000" w:themeColor="text1"/>
          <w:lang w:val="en-GB"/>
        </w:rPr>
        <w:t>to include in the estimat</w:t>
      </w:r>
      <w:r w:rsidR="009D7729">
        <w:rPr>
          <w:color w:val="000000" w:themeColor="text1"/>
          <w:lang w:val="en-GB"/>
        </w:rPr>
        <w:t>e</w:t>
      </w:r>
      <w:r w:rsidR="004124A2">
        <w:rPr>
          <w:color w:val="000000" w:themeColor="text1"/>
          <w:lang w:val="en-GB"/>
        </w:rPr>
        <w:t xml:space="preserve">s </w:t>
      </w:r>
      <w:r w:rsidR="00AF45B7">
        <w:rPr>
          <w:color w:val="000000" w:themeColor="text1"/>
          <w:lang w:val="en-GB"/>
        </w:rPr>
        <w:t>may</w:t>
      </w:r>
      <w:r w:rsidR="004124A2">
        <w:rPr>
          <w:color w:val="000000" w:themeColor="text1"/>
          <w:lang w:val="en-GB"/>
        </w:rPr>
        <w:t xml:space="preserve"> </w:t>
      </w:r>
      <w:r w:rsidR="006E311F">
        <w:rPr>
          <w:color w:val="000000" w:themeColor="text1"/>
          <w:lang w:val="en-GB"/>
        </w:rPr>
        <w:t>also</w:t>
      </w:r>
      <w:r w:rsidR="00D6342D">
        <w:rPr>
          <w:color w:val="000000" w:themeColor="text1"/>
          <w:lang w:val="en-GB"/>
        </w:rPr>
        <w:t xml:space="preserve"> influence the final result.</w:t>
      </w:r>
      <w:r w:rsidR="00BF22F7">
        <w:rPr>
          <w:color w:val="000000" w:themeColor="text1"/>
          <w:lang w:val="en-GB"/>
        </w:rPr>
        <w:t xml:space="preserve"> </w:t>
      </w:r>
      <w:r w:rsidR="00285362" w:rsidRPr="00285362">
        <w:rPr>
          <w:color w:val="000000" w:themeColor="text1"/>
          <w:lang w:val="en-GB"/>
        </w:rPr>
        <w:t>Assuming that longer records are more reliable in the slope estimations, weighting the slopes by the time series length may provide more accurate estimates of WUE trends.</w:t>
      </w:r>
      <w:r w:rsidR="007233A7">
        <w:rPr>
          <w:color w:val="000000" w:themeColor="text1"/>
          <w:lang w:val="en-GB"/>
        </w:rPr>
        <w:t xml:space="preserve"> </w:t>
      </w:r>
      <w:r w:rsidR="00285362" w:rsidRPr="00285362">
        <w:rPr>
          <w:color w:val="000000" w:themeColor="text1"/>
          <w:lang w:val="en-GB"/>
        </w:rPr>
        <w:t xml:space="preserve">In the example here, this would lead to slightly lower increases of </w:t>
      </w:r>
      <w:r w:rsidR="00285362">
        <w:rPr>
          <w:color w:val="000000" w:themeColor="text1"/>
          <w:lang w:val="en-GB"/>
        </w:rPr>
        <w:t xml:space="preserve">ecosystem </w:t>
      </w:r>
      <w:r w:rsidR="00285362" w:rsidRPr="00285362">
        <w:rPr>
          <w:color w:val="000000" w:themeColor="text1"/>
          <w:lang w:val="en-GB"/>
        </w:rPr>
        <w:t xml:space="preserve">WUE with lower inter-site variability </w:t>
      </w:r>
      <w:r w:rsidR="00285362">
        <w:rPr>
          <w:color w:val="000000" w:themeColor="text1"/>
          <w:lang w:val="en-GB"/>
        </w:rPr>
        <w:t>(</w:t>
      </w:r>
      <w:r w:rsidR="009F64F0">
        <w:rPr>
          <w:color w:val="000000" w:themeColor="text1"/>
          <w:lang w:val="en-GB"/>
        </w:rPr>
        <w:t xml:space="preserve">1.36 </w:t>
      </w:r>
      <w:r w:rsidR="009F64F0">
        <w:rPr>
          <w:color w:val="000000" w:themeColor="text1"/>
          <w:lang w:val="en-GB"/>
        </w:rPr>
        <w:sym w:font="Symbol" w:char="F0B1"/>
      </w:r>
      <w:r w:rsidR="009F64F0">
        <w:rPr>
          <w:color w:val="000000" w:themeColor="text1"/>
          <w:lang w:val="en-GB"/>
        </w:rPr>
        <w:t xml:space="preserve"> </w:t>
      </w:r>
      <w:r w:rsidR="001C5C37">
        <w:rPr>
          <w:color w:val="000000" w:themeColor="text1"/>
          <w:lang w:val="en-GB"/>
        </w:rPr>
        <w:t>3</w:t>
      </w:r>
      <w:r w:rsidR="009F64F0">
        <w:rPr>
          <w:color w:val="000000" w:themeColor="text1"/>
          <w:lang w:val="en-GB"/>
        </w:rPr>
        <w:t>.</w:t>
      </w:r>
      <w:r w:rsidR="001C5C37">
        <w:rPr>
          <w:color w:val="000000" w:themeColor="text1"/>
          <w:lang w:val="en-GB"/>
        </w:rPr>
        <w:t>73</w:t>
      </w:r>
      <w:r w:rsidR="009F64F0">
        <w:rPr>
          <w:color w:val="000000" w:themeColor="text1"/>
          <w:lang w:val="en-GB"/>
        </w:rPr>
        <w:t xml:space="preserve">, 1.17 </w:t>
      </w:r>
      <w:r w:rsidR="009F64F0">
        <w:rPr>
          <w:color w:val="000000" w:themeColor="text1"/>
          <w:lang w:val="en-GB"/>
        </w:rPr>
        <w:sym w:font="Symbol" w:char="F0B1"/>
      </w:r>
      <w:r w:rsidR="009F64F0">
        <w:rPr>
          <w:color w:val="000000" w:themeColor="text1"/>
          <w:lang w:val="en-GB"/>
        </w:rPr>
        <w:t xml:space="preserve"> </w:t>
      </w:r>
      <w:r w:rsidR="005C6B74">
        <w:rPr>
          <w:color w:val="000000" w:themeColor="text1"/>
          <w:lang w:val="en-GB"/>
        </w:rPr>
        <w:t>4.79</w:t>
      </w:r>
      <w:r w:rsidR="009F64F0">
        <w:rPr>
          <w:color w:val="000000" w:themeColor="text1"/>
          <w:lang w:val="en-GB"/>
        </w:rPr>
        <w:t xml:space="preserve"> and 0.36 </w:t>
      </w:r>
      <w:r w:rsidR="009F64F0">
        <w:rPr>
          <w:color w:val="000000" w:themeColor="text1"/>
          <w:lang w:val="en-GB"/>
        </w:rPr>
        <w:sym w:font="Symbol" w:char="F0B1"/>
      </w:r>
      <w:r w:rsidR="009F64F0">
        <w:rPr>
          <w:color w:val="000000" w:themeColor="text1"/>
          <w:lang w:val="en-GB"/>
        </w:rPr>
        <w:t xml:space="preserve"> 2.</w:t>
      </w:r>
      <w:r w:rsidR="001C5C37">
        <w:rPr>
          <w:color w:val="000000" w:themeColor="text1"/>
          <w:lang w:val="en-GB"/>
        </w:rPr>
        <w:t>66</w:t>
      </w:r>
      <w:r w:rsidR="009F64F0">
        <w:rPr>
          <w:color w:val="000000" w:themeColor="text1"/>
          <w:lang w:val="en-GB"/>
        </w:rPr>
        <w:t xml:space="preserve"> % yr</w:t>
      </w:r>
      <w:r w:rsidR="009F64F0" w:rsidRPr="00B65B5D">
        <w:rPr>
          <w:color w:val="000000" w:themeColor="text1"/>
          <w:vertAlign w:val="superscript"/>
          <w:lang w:val="en-GB"/>
        </w:rPr>
        <w:t>-1</w:t>
      </w:r>
      <w:r w:rsidR="00881AD0">
        <w:rPr>
          <w:color w:val="000000" w:themeColor="text1"/>
          <w:lang w:val="en-GB"/>
        </w:rPr>
        <w:t>, respectively for IWUE</w:t>
      </w:r>
      <w:r w:rsidR="00881AD0" w:rsidRPr="000D740A">
        <w:rPr>
          <w:color w:val="000000" w:themeColor="text1"/>
          <w:vertAlign w:val="superscript"/>
          <w:lang w:val="en-GB"/>
        </w:rPr>
        <w:t>e</w:t>
      </w:r>
      <w:r w:rsidR="00881AD0">
        <w:rPr>
          <w:color w:val="000000" w:themeColor="text1"/>
          <w:vertAlign w:val="superscript"/>
          <w:lang w:val="en-GB"/>
        </w:rPr>
        <w:t>co</w:t>
      </w:r>
      <w:r w:rsidR="00881AD0">
        <w:rPr>
          <w:color w:val="000000" w:themeColor="text1"/>
          <w:lang w:val="en-GB"/>
        </w:rPr>
        <w:t>, iWUE</w:t>
      </w:r>
      <w:r w:rsidR="00881AD0" w:rsidRPr="000D740A">
        <w:rPr>
          <w:color w:val="000000" w:themeColor="text1"/>
          <w:vertAlign w:val="superscript"/>
          <w:lang w:val="en-GB"/>
        </w:rPr>
        <w:t>e</w:t>
      </w:r>
      <w:r w:rsidR="00881AD0">
        <w:rPr>
          <w:color w:val="000000" w:themeColor="text1"/>
          <w:vertAlign w:val="superscript"/>
          <w:lang w:val="en-GB"/>
        </w:rPr>
        <w:t>co</w:t>
      </w:r>
      <w:r w:rsidR="00881AD0">
        <w:rPr>
          <w:color w:val="000000" w:themeColor="text1"/>
          <w:lang w:val="en-GB"/>
        </w:rPr>
        <w:t xml:space="preserve"> and WUE</w:t>
      </w:r>
      <w:r w:rsidR="00881AD0" w:rsidRPr="000D740A">
        <w:rPr>
          <w:color w:val="000000" w:themeColor="text1"/>
          <w:vertAlign w:val="superscript"/>
          <w:lang w:val="en-GB"/>
        </w:rPr>
        <w:t>e</w:t>
      </w:r>
      <w:r w:rsidR="00881AD0">
        <w:rPr>
          <w:color w:val="000000" w:themeColor="text1"/>
          <w:vertAlign w:val="superscript"/>
          <w:lang w:val="en-GB"/>
        </w:rPr>
        <w:t>co</w:t>
      </w:r>
      <w:r w:rsidR="00285362">
        <w:rPr>
          <w:color w:val="000000" w:themeColor="text1"/>
          <w:lang w:val="en-GB"/>
        </w:rPr>
        <w:t>)</w:t>
      </w:r>
      <w:r w:rsidR="007E5951">
        <w:rPr>
          <w:color w:val="000000" w:themeColor="text1"/>
          <w:lang w:val="en-GB"/>
        </w:rPr>
        <w:t>.</w:t>
      </w:r>
      <w:r w:rsidR="00881AD0">
        <w:rPr>
          <w:color w:val="000000" w:themeColor="text1"/>
          <w:lang w:val="en-GB"/>
        </w:rPr>
        <w:t xml:space="preserve"> </w:t>
      </w:r>
    </w:p>
    <w:p w14:paraId="68D1991E" w14:textId="7D752409" w:rsidR="00F94B3C" w:rsidRPr="0027441C" w:rsidRDefault="00A179C6" w:rsidP="0027441C">
      <w:pPr>
        <w:pStyle w:val="Body"/>
        <w:spacing w:before="240" w:line="360" w:lineRule="auto"/>
        <w:jc w:val="both"/>
        <w:rPr>
          <w:color w:val="000000" w:themeColor="text1"/>
          <w:lang w:val="en-GB"/>
        </w:rPr>
      </w:pPr>
      <w:r>
        <w:rPr>
          <w:color w:val="000000" w:themeColor="text1"/>
          <w:lang w:val="en-GB"/>
        </w:rPr>
        <w:t xml:space="preserve">Consistent with </w:t>
      </w:r>
      <w:r w:rsidR="008C28FE">
        <w:rPr>
          <w:color w:val="000000" w:themeColor="text1"/>
          <w:lang w:val="en-GB"/>
        </w:rPr>
        <w:t>previous</w:t>
      </w:r>
      <w:r w:rsidR="00A912FC">
        <w:rPr>
          <w:color w:val="000000" w:themeColor="text1"/>
          <w:lang w:val="en-GB"/>
        </w:rPr>
        <w:t xml:space="preserve"> </w:t>
      </w:r>
      <w:r>
        <w:rPr>
          <w:color w:val="000000" w:themeColor="text1"/>
          <w:lang w:val="en-GB"/>
        </w:rPr>
        <w:t xml:space="preserve">studies, </w:t>
      </w:r>
      <w:r w:rsidR="00974801">
        <w:rPr>
          <w:color w:val="000000" w:themeColor="text1"/>
          <w:lang w:val="en-GB"/>
        </w:rPr>
        <w:t>F</w:t>
      </w:r>
      <w:r w:rsidR="002F520A">
        <w:rPr>
          <w:color w:val="000000" w:themeColor="text1"/>
          <w:lang w:val="en-GB"/>
        </w:rPr>
        <w:t>ig</w:t>
      </w:r>
      <w:r w:rsidR="000D133D">
        <w:rPr>
          <w:color w:val="000000" w:themeColor="text1"/>
          <w:lang w:val="en-GB"/>
        </w:rPr>
        <w:t>.</w:t>
      </w:r>
      <w:r w:rsidR="002F520A">
        <w:rPr>
          <w:color w:val="000000" w:themeColor="text1"/>
          <w:lang w:val="en-GB"/>
        </w:rPr>
        <w:t xml:space="preserve"> 4</w:t>
      </w:r>
      <w:r w:rsidR="000D133D">
        <w:rPr>
          <w:color w:val="000000" w:themeColor="text1"/>
          <w:lang w:val="en-GB"/>
        </w:rPr>
        <w:t>b</w:t>
      </w:r>
      <w:r w:rsidR="002F520A">
        <w:rPr>
          <w:color w:val="000000" w:themeColor="text1"/>
          <w:lang w:val="en-GB"/>
        </w:rPr>
        <w:t xml:space="preserve"> </w:t>
      </w:r>
      <w:r w:rsidR="009B29DE">
        <w:rPr>
          <w:color w:val="000000" w:themeColor="text1"/>
          <w:lang w:val="en-GB"/>
        </w:rPr>
        <w:t>suggest</w:t>
      </w:r>
      <w:r w:rsidR="00076FA4">
        <w:rPr>
          <w:color w:val="000000" w:themeColor="text1"/>
          <w:lang w:val="en-GB"/>
        </w:rPr>
        <w:t>s</w:t>
      </w:r>
      <w:r w:rsidR="002F520A">
        <w:rPr>
          <w:color w:val="000000" w:themeColor="text1"/>
          <w:lang w:val="en-GB"/>
        </w:rPr>
        <w:t xml:space="preserve"> that DBFs tend to </w:t>
      </w:r>
      <w:r w:rsidR="00601145">
        <w:rPr>
          <w:color w:val="000000" w:themeColor="text1"/>
          <w:lang w:val="en-GB"/>
        </w:rPr>
        <w:t xml:space="preserve">show </w:t>
      </w:r>
      <w:r w:rsidR="002F520A">
        <w:rPr>
          <w:color w:val="000000" w:themeColor="text1"/>
          <w:lang w:val="en-GB"/>
        </w:rPr>
        <w:t>large</w:t>
      </w:r>
      <w:r w:rsidR="00076FA4">
        <w:rPr>
          <w:color w:val="000000" w:themeColor="text1"/>
          <w:lang w:val="en-GB"/>
        </w:rPr>
        <w:t>r</w:t>
      </w:r>
      <w:r w:rsidR="002F520A">
        <w:rPr>
          <w:color w:val="000000" w:themeColor="text1"/>
          <w:lang w:val="en-GB"/>
        </w:rPr>
        <w:t xml:space="preserve"> increase</w:t>
      </w:r>
      <w:r w:rsidR="00601145">
        <w:rPr>
          <w:color w:val="000000" w:themeColor="text1"/>
          <w:lang w:val="en-GB"/>
        </w:rPr>
        <w:t>s</w:t>
      </w:r>
      <w:r w:rsidR="002F520A">
        <w:rPr>
          <w:color w:val="000000" w:themeColor="text1"/>
          <w:lang w:val="en-GB"/>
        </w:rPr>
        <w:t xml:space="preserve"> in </w:t>
      </w:r>
      <w:r w:rsidR="00F94480">
        <w:rPr>
          <w:color w:val="000000" w:themeColor="text1"/>
          <w:lang w:val="en-GB"/>
        </w:rPr>
        <w:t xml:space="preserve">ecosystem </w:t>
      </w:r>
      <w:r w:rsidR="002F520A">
        <w:rPr>
          <w:color w:val="000000" w:themeColor="text1"/>
          <w:lang w:val="en-GB"/>
        </w:rPr>
        <w:t>WUE than ENFs</w:t>
      </w:r>
      <w:r w:rsidR="009B29DE">
        <w:rPr>
          <w:color w:val="000000" w:themeColor="text1"/>
          <w:lang w:val="en-GB"/>
        </w:rPr>
        <w:t xml:space="preserve">, mainly due to the </w:t>
      </w:r>
      <w:r w:rsidR="00987476">
        <w:rPr>
          <w:color w:val="000000" w:themeColor="text1"/>
          <w:lang w:val="en-GB"/>
        </w:rPr>
        <w:t xml:space="preserve">larger </w:t>
      </w:r>
      <w:r w:rsidR="009B29DE">
        <w:rPr>
          <w:color w:val="000000" w:themeColor="text1"/>
          <w:lang w:val="en-GB"/>
        </w:rPr>
        <w:t xml:space="preserve">decrease of </w:t>
      </w:r>
      <w:r w:rsidR="009B29DE" w:rsidRPr="009B29DE">
        <w:rPr>
          <w:i/>
          <w:color w:val="000000" w:themeColor="text1"/>
          <w:lang w:val="en-GB"/>
        </w:rPr>
        <w:t>G</w:t>
      </w:r>
      <w:r w:rsidR="009B29DE" w:rsidRPr="009B29DE">
        <w:rPr>
          <w:color w:val="000000" w:themeColor="text1"/>
          <w:vertAlign w:val="subscript"/>
          <w:lang w:val="en-GB"/>
        </w:rPr>
        <w:t>s</w:t>
      </w:r>
      <w:r w:rsidR="009B29DE">
        <w:rPr>
          <w:color w:val="000000" w:themeColor="text1"/>
          <w:lang w:val="en-GB"/>
        </w:rPr>
        <w:t xml:space="preserve"> or ET</w:t>
      </w:r>
      <w:r w:rsidR="009E4E6C">
        <w:rPr>
          <w:color w:val="000000" w:themeColor="text1"/>
          <w:lang w:val="en-GB"/>
        </w:rPr>
        <w:t xml:space="preserve"> and increase of VPD</w:t>
      </w:r>
      <w:r w:rsidR="009B29DE">
        <w:rPr>
          <w:color w:val="000000" w:themeColor="text1"/>
          <w:lang w:val="en-GB"/>
        </w:rPr>
        <w:t xml:space="preserve"> in DBFs </w:t>
      </w:r>
      <w:r w:rsidR="00601145">
        <w:rPr>
          <w:color w:val="000000" w:themeColor="text1"/>
          <w:lang w:val="en-GB"/>
        </w:rPr>
        <w:t>compared to</w:t>
      </w:r>
      <w:r w:rsidR="009B29DE">
        <w:rPr>
          <w:color w:val="000000" w:themeColor="text1"/>
          <w:lang w:val="en-GB"/>
        </w:rPr>
        <w:t xml:space="preserve"> ENFs</w:t>
      </w:r>
      <w:r w:rsidR="00A420FB">
        <w:rPr>
          <w:color w:val="000000" w:themeColor="text1"/>
          <w:lang w:val="en-GB"/>
        </w:rPr>
        <w:t>.</w:t>
      </w:r>
      <w:r w:rsidR="008C28FE">
        <w:rPr>
          <w:color w:val="000000" w:themeColor="text1"/>
          <w:lang w:val="en-GB"/>
        </w:rPr>
        <w:t xml:space="preserve"> </w:t>
      </w:r>
      <w:r w:rsidR="000A1748">
        <w:rPr>
          <w:rFonts w:cs="Times New Roman"/>
          <w:color w:val="000000" w:themeColor="text1"/>
        </w:rPr>
        <w:t xml:space="preserve">Note, however, </w:t>
      </w:r>
      <w:r w:rsidR="008B71F4">
        <w:rPr>
          <w:rFonts w:cs="Times New Roman"/>
          <w:color w:val="000000" w:themeColor="text1"/>
        </w:rPr>
        <w:t xml:space="preserve">that </w:t>
      </w:r>
      <w:r w:rsidR="000A1748">
        <w:rPr>
          <w:rFonts w:cs="Times New Roman"/>
          <w:color w:val="000000" w:themeColor="text1"/>
        </w:rPr>
        <w:t xml:space="preserve">the differences in ecosystem WUE trends between PFTs </w:t>
      </w:r>
      <w:r w:rsidR="00064C53">
        <w:rPr>
          <w:rFonts w:cs="Times New Roman"/>
          <w:color w:val="000000" w:themeColor="text1"/>
        </w:rPr>
        <w:t>are</w:t>
      </w:r>
      <w:r w:rsidR="000A1748">
        <w:rPr>
          <w:rFonts w:cs="Times New Roman"/>
          <w:color w:val="000000" w:themeColor="text1"/>
        </w:rPr>
        <w:t xml:space="preserve"> not significant. </w:t>
      </w:r>
      <w:r w:rsidR="000A1748">
        <w:rPr>
          <w:color w:val="000000" w:themeColor="text1"/>
          <w:lang w:val="en-GB"/>
        </w:rPr>
        <w:t>Nevertheless</w:t>
      </w:r>
      <w:r w:rsidR="00A420FB">
        <w:rPr>
          <w:color w:val="000000" w:themeColor="text1"/>
          <w:lang w:val="en-GB"/>
        </w:rPr>
        <w:t>,</w:t>
      </w:r>
      <w:r w:rsidR="00FA1E7E">
        <w:rPr>
          <w:rFonts w:cs="Times New Roman"/>
          <w:color w:val="000000" w:themeColor="text1"/>
        </w:rPr>
        <w:t xml:space="preserve"> the strong increasing trends in ecosystem WUE </w:t>
      </w:r>
      <w:r w:rsidR="00601145">
        <w:rPr>
          <w:rFonts w:cs="Times New Roman"/>
          <w:color w:val="000000" w:themeColor="text1"/>
        </w:rPr>
        <w:t xml:space="preserve">appear to </w:t>
      </w:r>
      <w:r w:rsidR="00A420FB">
        <w:rPr>
          <w:rFonts w:cs="Times New Roman"/>
          <w:color w:val="000000" w:themeColor="text1"/>
        </w:rPr>
        <w:t>be mainly</w:t>
      </w:r>
      <w:r w:rsidR="00FA1E7E">
        <w:rPr>
          <w:rFonts w:cs="Times New Roman"/>
          <w:color w:val="000000" w:themeColor="text1"/>
        </w:rPr>
        <w:t xml:space="preserve"> driven by </w:t>
      </w:r>
      <w:r w:rsidR="0043277E">
        <w:rPr>
          <w:rFonts w:cs="Times New Roman"/>
          <w:color w:val="000000" w:themeColor="text1"/>
        </w:rPr>
        <w:t>DBFs</w:t>
      </w:r>
      <w:r w:rsidR="00FA1E7E">
        <w:rPr>
          <w:rFonts w:cs="Times New Roman"/>
          <w:color w:val="000000" w:themeColor="text1"/>
        </w:rPr>
        <w:t xml:space="preserve">. </w:t>
      </w:r>
      <w:r w:rsidR="00D5752E">
        <w:rPr>
          <w:rFonts w:cs="Times New Roman"/>
          <w:color w:val="000000" w:themeColor="text1"/>
        </w:rPr>
        <w:t xml:space="preserve">We acknowledge that the relatively short length of the current </w:t>
      </w:r>
      <w:r w:rsidR="00E430E3">
        <w:rPr>
          <w:rFonts w:cs="Times New Roman"/>
          <w:color w:val="000000" w:themeColor="text1"/>
        </w:rPr>
        <w:t>eddy-covariance</w:t>
      </w:r>
      <w:r w:rsidR="00D5752E">
        <w:rPr>
          <w:rFonts w:cs="Times New Roman"/>
          <w:color w:val="000000" w:themeColor="text1"/>
        </w:rPr>
        <w:t xml:space="preserve"> records </w:t>
      </w:r>
      <w:r w:rsidR="00981F4A">
        <w:rPr>
          <w:rFonts w:cs="Times New Roman"/>
          <w:color w:val="000000" w:themeColor="text1"/>
        </w:rPr>
        <w:t xml:space="preserve">is a major limitation for long-term studies, nevertheless, </w:t>
      </w:r>
      <w:r w:rsidR="00BC62AD">
        <w:rPr>
          <w:rFonts w:cs="Times New Roman"/>
          <w:color w:val="000000" w:themeColor="text1"/>
        </w:rPr>
        <w:t xml:space="preserve">this </w:t>
      </w:r>
      <w:r w:rsidR="00E42B07">
        <w:rPr>
          <w:rFonts w:cs="Times New Roman"/>
          <w:color w:val="000000" w:themeColor="text1"/>
        </w:rPr>
        <w:t>demonstrates that</w:t>
      </w:r>
      <w:r w:rsidR="00E42B07" w:rsidRPr="00BA1610">
        <w:rPr>
          <w:rFonts w:cs="Times New Roman"/>
          <w:color w:val="000000" w:themeColor="text1"/>
        </w:rPr>
        <w:t xml:space="preserve"> </w:t>
      </w:r>
      <w:r w:rsidR="00E42B07">
        <w:rPr>
          <w:rFonts w:cs="Times New Roman"/>
          <w:color w:val="000000" w:themeColor="text1"/>
        </w:rPr>
        <w:t xml:space="preserve">the trend estimates are likely not representative of processes occurring at the global scale </w:t>
      </w:r>
      <w:r w:rsidR="00E42B07">
        <w:rPr>
          <w:rFonts w:cs="Times New Roman"/>
          <w:color w:val="000000" w:themeColor="text1"/>
        </w:rPr>
        <w:fldChar w:fldCharType="begin" w:fldLock="1"/>
      </w:r>
      <w:r w:rsidR="00E42B07">
        <w:rPr>
          <w:rFonts w:cs="Times New Roman"/>
          <w:color w:val="000000" w:themeColor="text1"/>
        </w:rPr>
        <w:instrText>ADDIN CSL_CITATION {"citationItems":[{"id":"ITEM-1","itemData":{"DOI":"10.1111/nph.14288","ISBN":"1469-8137","ISSN":"14698137","PMID":"28164338","abstract":"* Ecosystem water-use efficiency (WUE) is an important metric linking the global land carbon and water cycles. Eddy covariance-based estimates of WUE in temperate/boreal forests have recently been found to show a strong and unexpected increase over the 1992–2010 period, which has been attributed to the effects of rising atmospheric CO2 concentrations on plant physiology.\\n\\n\\n* To test this hypothesis, we forced the observed trend in the process-based land surface model JSBACH by increasing the sensitivity of stomatal conductance (gs) to atmospheric CO2 concentration. We compared the simulated continental discharge, evapotranspiration (ET), and the seasonal CO2 exchange with observations across the extratropical northern hemisphere.\\n\\n\\n* The increased simulated WUE led to substantial changes in surface hydrology at the continental scale, including a significant decrease in ET and a significant increase in continental runoff, both of which are inconsistent with large-scale observations. The simulated seasonal amplitude of atmospheric CO2 decreased over time, in contrast to the observed upward trend across ground-based measurement sites.\\n\\n\\n* Our results provide strong indications that the recent, large-scale WUE trend is considerably smaller than that estimated for these forest ecosystems. They emphasize the decreasing CO2 sensitivity of WUE with increasing scale, which affects the physiological interpretation of changes in ecosystem WUE.","author":[{"dropping-particle":"","family":"Knauer","given":"Jürgen","non-dropping-particle":"","parse-names":false,"suffix":""},{"dropping-particle":"","family":"Zaehle","given":"Sönke","non-dropping-particle":"","parse-names":false,"suffix":""},{"dropping-particle":"","family":"Reichstein","given":"Markus","non-dropping-particle":"","parse-names":false,"suffix":""},{"dropping-particle":"","family":"Medlyn","given":"Belinda E.","non-dropping-particle":"","parse-names":false,"suffix":""},{"dropping-particle":"","family":"Forkel","given":"Matthias","non-dropping-particle":"","parse-names":false,"suffix":""},{"dropping-particle":"","family":"Hagemann","given":"Stefan","non-dropping-particle":"","parse-names":false,"suffix":""},{"dropping-particle":"","family":"Werner","given":"Christiane","non-dropping-particle":"","parse-names":false,"suffix":""}],"container-title":"New Phytologist","id":"ITEM-1","issue":"4","issued":{"date-parts":[["2017"]]},"page":"1654-1666","title":"The response of ecosystem water-use efficiency to rising atmospheric CO2 concentrations: sensitivity and large-scale biogeochemical implications","type":"article-journal","volume":"213"},"uris":["http://www.mendeley.com/documents/?uuid=52f53dca-1734-4616-88f8-4769a110f02a"]}],"mendeley":{"formattedCitation":"(Knauer et al., 2017)","plainTextFormattedCitation":"(Knauer et al., 2017)","previouslyFormattedCitation":"(Knauer et al., 2017)"},"properties":{"noteIndex":0},"schema":"https://github.com/citation-style-language/schema/raw/master/csl-citation.json"}</w:instrText>
      </w:r>
      <w:r w:rsidR="00E42B07">
        <w:rPr>
          <w:rFonts w:cs="Times New Roman"/>
          <w:color w:val="000000" w:themeColor="text1"/>
        </w:rPr>
        <w:fldChar w:fldCharType="separate"/>
      </w:r>
      <w:r w:rsidR="00E42B07" w:rsidRPr="00AB311E">
        <w:rPr>
          <w:rFonts w:cs="Times New Roman"/>
          <w:noProof/>
          <w:color w:val="000000" w:themeColor="text1"/>
        </w:rPr>
        <w:t>(Knauer et al., 2017)</w:t>
      </w:r>
      <w:r w:rsidR="00E42B07">
        <w:rPr>
          <w:rFonts w:cs="Times New Roman"/>
          <w:color w:val="000000" w:themeColor="text1"/>
        </w:rPr>
        <w:fldChar w:fldCharType="end"/>
      </w:r>
      <w:r w:rsidR="001934A8">
        <w:rPr>
          <w:rFonts w:cs="Times New Roman"/>
          <w:color w:val="000000" w:themeColor="text1"/>
        </w:rPr>
        <w:t xml:space="preserve"> and caution should be </w:t>
      </w:r>
      <w:r w:rsidR="00B13C08">
        <w:rPr>
          <w:rFonts w:cs="Times New Roman"/>
          <w:color w:val="000000" w:themeColor="text1"/>
        </w:rPr>
        <w:t xml:space="preserve">used </w:t>
      </w:r>
      <w:r w:rsidR="001934A8">
        <w:rPr>
          <w:rFonts w:cs="Times New Roman"/>
          <w:color w:val="000000" w:themeColor="text1"/>
        </w:rPr>
        <w:t xml:space="preserve">when interpreting trends using </w:t>
      </w:r>
      <w:r w:rsidR="00E430E3">
        <w:rPr>
          <w:rFonts w:cs="Times New Roman"/>
          <w:color w:val="000000" w:themeColor="text1"/>
        </w:rPr>
        <w:t>eddy-covariance</w:t>
      </w:r>
      <w:r w:rsidR="001934A8">
        <w:rPr>
          <w:rFonts w:cs="Times New Roman"/>
          <w:color w:val="000000" w:themeColor="text1"/>
        </w:rPr>
        <w:t xml:space="preserve"> flux measurements </w:t>
      </w:r>
      <w:r w:rsidR="00237FA1">
        <w:rPr>
          <w:rFonts w:cs="Times New Roman"/>
          <w:color w:val="000000" w:themeColor="text1"/>
        </w:rPr>
        <w:t>for a given selection of sites</w:t>
      </w:r>
      <w:r w:rsidR="00E42B07">
        <w:rPr>
          <w:rFonts w:cs="Times New Roman"/>
          <w:color w:val="000000" w:themeColor="text1"/>
        </w:rPr>
        <w:t>.</w:t>
      </w:r>
      <w:r w:rsidR="00FA1E7E">
        <w:rPr>
          <w:rFonts w:cs="Times New Roman"/>
          <w:color w:val="000000" w:themeColor="text1"/>
        </w:rPr>
        <w:t xml:space="preserve"> </w:t>
      </w:r>
    </w:p>
    <w:p w14:paraId="6CB52683" w14:textId="77777777" w:rsidR="006B4FEA" w:rsidRDefault="006B4FEA" w:rsidP="00116E3B">
      <w:pPr>
        <w:pStyle w:val="Body"/>
        <w:spacing w:line="360" w:lineRule="auto"/>
        <w:jc w:val="both"/>
        <w:rPr>
          <w:rFonts w:cs="Times New Roman"/>
          <w:color w:val="000000" w:themeColor="text1"/>
        </w:rPr>
      </w:pPr>
    </w:p>
    <w:p w14:paraId="5B41C9C4" w14:textId="335A046B" w:rsidR="00FB5C23" w:rsidRPr="00FB5C23" w:rsidRDefault="0006179F" w:rsidP="00A210BB">
      <w:pPr>
        <w:pStyle w:val="Body"/>
        <w:numPr>
          <w:ilvl w:val="2"/>
          <w:numId w:val="29"/>
        </w:numPr>
        <w:spacing w:line="360" w:lineRule="auto"/>
        <w:jc w:val="both"/>
        <w:rPr>
          <w:rFonts w:cs="Times New Roman"/>
          <w:b/>
          <w:color w:val="000000" w:themeColor="text1"/>
        </w:rPr>
      </w:pPr>
      <w:r>
        <w:rPr>
          <w:rFonts w:cs="Times New Roman"/>
          <w:b/>
          <w:color w:val="000000" w:themeColor="text1"/>
        </w:rPr>
        <w:t>Impact</w:t>
      </w:r>
      <w:r w:rsidR="00385D18">
        <w:rPr>
          <w:rFonts w:cs="Times New Roman"/>
          <w:b/>
          <w:color w:val="000000" w:themeColor="text1"/>
        </w:rPr>
        <w:t>s</w:t>
      </w:r>
      <w:r>
        <w:rPr>
          <w:rFonts w:cs="Times New Roman"/>
          <w:b/>
          <w:color w:val="000000" w:themeColor="text1"/>
        </w:rPr>
        <w:t xml:space="preserve"> of the different sources of u</w:t>
      </w:r>
      <w:r w:rsidR="00CA3BC2">
        <w:rPr>
          <w:rFonts w:cs="Times New Roman"/>
          <w:b/>
          <w:color w:val="000000" w:themeColor="text1"/>
        </w:rPr>
        <w:t>ncertaint</w:t>
      </w:r>
      <w:r w:rsidR="003D2BDF">
        <w:rPr>
          <w:rFonts w:cs="Times New Roman"/>
          <w:b/>
          <w:color w:val="000000" w:themeColor="text1"/>
        </w:rPr>
        <w:t>y</w:t>
      </w:r>
      <w:r w:rsidR="00CA3BC2">
        <w:rPr>
          <w:rFonts w:cs="Times New Roman"/>
          <w:b/>
          <w:color w:val="000000" w:themeColor="text1"/>
        </w:rPr>
        <w:t xml:space="preserve"> </w:t>
      </w:r>
      <w:r w:rsidR="00385D18">
        <w:rPr>
          <w:rFonts w:cs="Times New Roman"/>
          <w:b/>
          <w:color w:val="000000" w:themeColor="text1"/>
        </w:rPr>
        <w:t>o</w:t>
      </w:r>
      <w:r>
        <w:rPr>
          <w:rFonts w:cs="Times New Roman"/>
          <w:b/>
          <w:color w:val="000000" w:themeColor="text1"/>
        </w:rPr>
        <w:t>n the trend estimates</w:t>
      </w:r>
    </w:p>
    <w:p w14:paraId="3D08FA09" w14:textId="783495B5" w:rsidR="00DD322E" w:rsidRDefault="00BC0407" w:rsidP="006249E5">
      <w:pPr>
        <w:pStyle w:val="Body"/>
        <w:spacing w:before="240" w:line="360" w:lineRule="auto"/>
        <w:jc w:val="both"/>
        <w:rPr>
          <w:color w:val="000000" w:themeColor="text1"/>
          <w:lang w:val="en-GB"/>
        </w:rPr>
      </w:pPr>
      <w:r>
        <w:rPr>
          <w:color w:val="000000" w:themeColor="text1"/>
        </w:rPr>
        <w:t xml:space="preserve">From the foregoing discussion, it </w:t>
      </w:r>
      <w:r w:rsidR="00601145">
        <w:rPr>
          <w:color w:val="000000" w:themeColor="text1"/>
        </w:rPr>
        <w:t xml:space="preserve">should be </w:t>
      </w:r>
      <w:r>
        <w:rPr>
          <w:color w:val="000000" w:themeColor="text1"/>
        </w:rPr>
        <w:t xml:space="preserve">clear that methodological approaches and assumptions have </w:t>
      </w:r>
      <w:r w:rsidR="00601145">
        <w:rPr>
          <w:color w:val="000000" w:themeColor="text1"/>
        </w:rPr>
        <w:t xml:space="preserve">significant </w:t>
      </w:r>
      <w:r>
        <w:rPr>
          <w:color w:val="000000" w:themeColor="text1"/>
        </w:rPr>
        <w:t>impact</w:t>
      </w:r>
      <w:r w:rsidR="00FE20D5">
        <w:rPr>
          <w:color w:val="000000" w:themeColor="text1"/>
        </w:rPr>
        <w:t>s</w:t>
      </w:r>
      <w:r>
        <w:rPr>
          <w:color w:val="000000" w:themeColor="text1"/>
        </w:rPr>
        <w:t xml:space="preserve"> on estimat</w:t>
      </w:r>
      <w:r w:rsidR="00A7181C">
        <w:rPr>
          <w:color w:val="000000" w:themeColor="text1"/>
        </w:rPr>
        <w:t>e</w:t>
      </w:r>
      <w:r w:rsidR="00601145">
        <w:rPr>
          <w:color w:val="000000" w:themeColor="text1"/>
        </w:rPr>
        <w:t>d WUE trends.</w:t>
      </w:r>
      <w:r>
        <w:rPr>
          <w:color w:val="000000" w:themeColor="text1"/>
        </w:rPr>
        <w:t xml:space="preserve"> </w:t>
      </w:r>
      <w:r w:rsidR="00601145">
        <w:rPr>
          <w:color w:val="000000" w:themeColor="text1"/>
        </w:rPr>
        <w:t>S</w:t>
      </w:r>
      <w:r>
        <w:rPr>
          <w:color w:val="000000" w:themeColor="text1"/>
        </w:rPr>
        <w:t xml:space="preserve">ystematic quantification of uncertainties is required. </w:t>
      </w:r>
      <w:r w:rsidR="00D159FC">
        <w:rPr>
          <w:color w:val="000000" w:themeColor="text1"/>
          <w:lang w:val="en-GB"/>
        </w:rPr>
        <w:t>Here</w:t>
      </w:r>
      <w:r w:rsidR="00581B8E">
        <w:rPr>
          <w:color w:val="000000" w:themeColor="text1"/>
          <w:lang w:val="en-GB"/>
        </w:rPr>
        <w:t>, iWUE</w:t>
      </w:r>
      <w:r w:rsidR="00D159FC" w:rsidRPr="00D159FC">
        <w:rPr>
          <w:color w:val="000000" w:themeColor="text1"/>
          <w:vertAlign w:val="superscript"/>
          <w:lang w:val="en-GB"/>
        </w:rPr>
        <w:t>leaf</w:t>
      </w:r>
      <w:r w:rsidR="00581B8E">
        <w:rPr>
          <w:color w:val="000000" w:themeColor="text1"/>
          <w:lang w:val="en-GB"/>
        </w:rPr>
        <w:t xml:space="preserve"> inferred from </w:t>
      </w:r>
      <w:r w:rsidR="00892CFC">
        <w:rPr>
          <w:color w:val="000000" w:themeColor="text1"/>
          <w:lang w:val="en-GB"/>
        </w:rPr>
        <w:t>carbon isotopes</w:t>
      </w:r>
      <w:r w:rsidR="00581B8E">
        <w:rPr>
          <w:color w:val="000000" w:themeColor="text1"/>
          <w:lang w:val="en-GB"/>
        </w:rPr>
        <w:t xml:space="preserve"> </w:t>
      </w:r>
      <w:r w:rsidR="00C860C9">
        <w:rPr>
          <w:color w:val="000000" w:themeColor="text1"/>
          <w:lang w:val="en-GB"/>
        </w:rPr>
        <w:t xml:space="preserve">in tree-rings </w:t>
      </w:r>
      <w:r w:rsidR="00D159FC">
        <w:rPr>
          <w:color w:val="000000" w:themeColor="text1"/>
          <w:lang w:val="en-GB"/>
        </w:rPr>
        <w:t>over 1992-2011</w:t>
      </w:r>
      <w:r w:rsidR="00581B8E">
        <w:rPr>
          <w:color w:val="000000" w:themeColor="text1"/>
          <w:lang w:val="en-GB"/>
        </w:rPr>
        <w:t xml:space="preserve"> increase</w:t>
      </w:r>
      <w:r w:rsidR="00601145">
        <w:rPr>
          <w:color w:val="000000" w:themeColor="text1"/>
          <w:lang w:val="en-GB"/>
        </w:rPr>
        <w:t>d</w:t>
      </w:r>
      <w:r w:rsidR="00581B8E">
        <w:rPr>
          <w:color w:val="000000" w:themeColor="text1"/>
          <w:lang w:val="en-GB"/>
        </w:rPr>
        <w:t xml:space="preserve"> by </w:t>
      </w:r>
      <w:r w:rsidR="00BC697B">
        <w:rPr>
          <w:color w:val="000000" w:themeColor="text1"/>
          <w:lang w:val="en-GB"/>
        </w:rPr>
        <w:t>around</w:t>
      </w:r>
      <w:r w:rsidR="00A9230E">
        <w:rPr>
          <w:color w:val="000000" w:themeColor="text1"/>
          <w:lang w:val="en-GB"/>
        </w:rPr>
        <w:t xml:space="preserve"> </w:t>
      </w:r>
      <w:r w:rsidR="00BF1C42" w:rsidRPr="00FF5082">
        <w:rPr>
          <w:color w:val="000000" w:themeColor="text1"/>
        </w:rPr>
        <w:t>0.</w:t>
      </w:r>
      <w:r w:rsidR="0017159F">
        <w:rPr>
          <w:color w:val="000000" w:themeColor="text1"/>
        </w:rPr>
        <w:t>5</w:t>
      </w:r>
      <w:r w:rsidR="00BF1C42" w:rsidRPr="00FF5082">
        <w:rPr>
          <w:color w:val="000000" w:themeColor="text1"/>
        </w:rPr>
        <w:t xml:space="preserve"> </w:t>
      </w:r>
      <w:r w:rsidR="00BF1C42" w:rsidRPr="00FF5082">
        <w:rPr>
          <w:color w:val="000000" w:themeColor="text1"/>
        </w:rPr>
        <w:sym w:font="Symbol" w:char="F0B1"/>
      </w:r>
      <w:r w:rsidR="00BF1C42" w:rsidRPr="00FF5082">
        <w:rPr>
          <w:color w:val="000000" w:themeColor="text1"/>
        </w:rPr>
        <w:t xml:space="preserve"> 0.</w:t>
      </w:r>
      <w:r w:rsidR="0017159F">
        <w:rPr>
          <w:color w:val="000000" w:themeColor="text1"/>
        </w:rPr>
        <w:t>3</w:t>
      </w:r>
      <w:r w:rsidR="00581B8E" w:rsidRPr="00724197">
        <w:rPr>
          <w:color w:val="000000" w:themeColor="text1"/>
        </w:rPr>
        <w:t>% yr</w:t>
      </w:r>
      <w:r w:rsidR="00581B8E" w:rsidRPr="00724197">
        <w:rPr>
          <w:color w:val="000000" w:themeColor="text1"/>
          <w:vertAlign w:val="superscript"/>
        </w:rPr>
        <w:t>-1</w:t>
      </w:r>
      <w:r w:rsidR="00952D47">
        <w:rPr>
          <w:color w:val="000000" w:themeColor="text1"/>
        </w:rPr>
        <w:t>,</w:t>
      </w:r>
      <w:r w:rsidR="00581B8E" w:rsidRPr="00055189">
        <w:rPr>
          <w:color w:val="000000" w:themeColor="text1"/>
        </w:rPr>
        <w:t xml:space="preserve"> while</w:t>
      </w:r>
      <w:r w:rsidR="00581B8E">
        <w:rPr>
          <w:color w:val="000000" w:themeColor="text1"/>
        </w:rPr>
        <w:t xml:space="preserve"> </w:t>
      </w:r>
      <w:r w:rsidR="00892CFC">
        <w:rPr>
          <w:color w:val="000000" w:themeColor="text1"/>
        </w:rPr>
        <w:t>iWUE</w:t>
      </w:r>
      <w:r w:rsidR="00B05A9C" w:rsidRPr="00B05A9C">
        <w:rPr>
          <w:color w:val="000000" w:themeColor="text1"/>
          <w:vertAlign w:val="superscript"/>
        </w:rPr>
        <w:t>eco</w:t>
      </w:r>
      <w:r w:rsidR="00892CFC">
        <w:rPr>
          <w:color w:val="000000" w:themeColor="text1"/>
        </w:rPr>
        <w:t xml:space="preserve"> inferred </w:t>
      </w:r>
      <w:r w:rsidR="00361444">
        <w:rPr>
          <w:color w:val="000000" w:themeColor="text1"/>
        </w:rPr>
        <w:t xml:space="preserve">from </w:t>
      </w:r>
      <w:r w:rsidR="00BE79E6">
        <w:rPr>
          <w:color w:val="000000" w:themeColor="text1"/>
        </w:rPr>
        <w:t>eddy-covariance</w:t>
      </w:r>
      <w:r w:rsidR="00361444">
        <w:rPr>
          <w:color w:val="000000" w:themeColor="text1"/>
        </w:rPr>
        <w:t xml:space="preserve"> </w:t>
      </w:r>
      <w:r w:rsidR="00D159FC">
        <w:rPr>
          <w:color w:val="000000" w:themeColor="text1"/>
        </w:rPr>
        <w:t>measurement</w:t>
      </w:r>
      <w:r w:rsidR="00361444">
        <w:rPr>
          <w:color w:val="000000" w:themeColor="text1"/>
        </w:rPr>
        <w:t xml:space="preserve">s </w:t>
      </w:r>
      <w:r w:rsidR="00581B8E">
        <w:rPr>
          <w:color w:val="000000" w:themeColor="text1"/>
        </w:rPr>
        <w:t>increase</w:t>
      </w:r>
      <w:r w:rsidR="00D159FC">
        <w:rPr>
          <w:color w:val="000000" w:themeColor="text1"/>
        </w:rPr>
        <w:t>d</w:t>
      </w:r>
      <w:r w:rsidR="00581B8E">
        <w:rPr>
          <w:color w:val="000000" w:themeColor="text1"/>
        </w:rPr>
        <w:t xml:space="preserve"> by </w:t>
      </w:r>
      <w:r w:rsidR="00BC697B">
        <w:rPr>
          <w:color w:val="000000" w:themeColor="text1"/>
        </w:rPr>
        <w:t>around</w:t>
      </w:r>
      <w:r w:rsidR="00581B8E">
        <w:rPr>
          <w:color w:val="000000" w:themeColor="text1"/>
        </w:rPr>
        <w:t xml:space="preserve"> </w:t>
      </w:r>
      <w:r w:rsidR="004A515B">
        <w:rPr>
          <w:color w:val="000000" w:themeColor="text1"/>
          <w:lang w:val="en-GB"/>
        </w:rPr>
        <w:t>1.</w:t>
      </w:r>
      <w:r w:rsidR="00BC697B">
        <w:rPr>
          <w:color w:val="000000" w:themeColor="text1"/>
          <w:lang w:val="en-GB"/>
        </w:rPr>
        <w:t>2</w:t>
      </w:r>
      <w:r w:rsidR="004A515B">
        <w:rPr>
          <w:color w:val="000000" w:themeColor="text1"/>
          <w:lang w:val="en-GB"/>
        </w:rPr>
        <w:t xml:space="preserve"> </w:t>
      </w:r>
      <w:r w:rsidR="004A515B">
        <w:rPr>
          <w:color w:val="000000" w:themeColor="text1"/>
          <w:lang w:val="en-GB"/>
        </w:rPr>
        <w:sym w:font="Symbol" w:char="F0B1"/>
      </w:r>
      <w:r w:rsidR="004A515B">
        <w:rPr>
          <w:color w:val="000000" w:themeColor="text1"/>
          <w:lang w:val="en-GB"/>
        </w:rPr>
        <w:t xml:space="preserve"> </w:t>
      </w:r>
      <w:r w:rsidR="00BC697B">
        <w:rPr>
          <w:color w:val="000000" w:themeColor="text1"/>
          <w:lang w:val="en-GB"/>
        </w:rPr>
        <w:t>5</w:t>
      </w:r>
      <w:r w:rsidR="00581B8E">
        <w:rPr>
          <w:color w:val="000000" w:themeColor="text1"/>
          <w:lang w:val="en-GB"/>
        </w:rPr>
        <w:t>% yr</w:t>
      </w:r>
      <w:r w:rsidR="00581B8E" w:rsidRPr="00B65B5D">
        <w:rPr>
          <w:color w:val="000000" w:themeColor="text1"/>
          <w:vertAlign w:val="superscript"/>
          <w:lang w:val="en-GB"/>
        </w:rPr>
        <w:t>-1</w:t>
      </w:r>
      <w:r w:rsidR="00581B8E">
        <w:rPr>
          <w:color w:val="000000" w:themeColor="text1"/>
        </w:rPr>
        <w:t xml:space="preserve"> </w:t>
      </w:r>
      <w:r w:rsidR="00581B8E">
        <w:rPr>
          <w:color w:val="000000" w:themeColor="text1"/>
          <w:lang w:val="en-GB"/>
        </w:rPr>
        <w:t xml:space="preserve">over the same period. </w:t>
      </w:r>
      <w:r w:rsidR="007243E1">
        <w:rPr>
          <w:color w:val="000000" w:themeColor="text1"/>
          <w:lang w:val="en-GB"/>
        </w:rPr>
        <w:t>Because</w:t>
      </w:r>
      <w:r w:rsidR="006249E5">
        <w:rPr>
          <w:color w:val="000000" w:themeColor="text1"/>
          <w:lang w:val="en-GB"/>
        </w:rPr>
        <w:t xml:space="preserve"> the range of</w:t>
      </w:r>
      <w:r w:rsidR="00581B8E">
        <w:rPr>
          <w:color w:val="000000" w:themeColor="text1"/>
          <w:lang w:val="en-GB"/>
        </w:rPr>
        <w:t xml:space="preserve"> </w:t>
      </w:r>
      <w:r w:rsidR="004C6234">
        <w:rPr>
          <w:color w:val="000000" w:themeColor="text1"/>
        </w:rPr>
        <w:t xml:space="preserve">inter-site variability of the </w:t>
      </w:r>
      <w:r w:rsidR="00743637">
        <w:rPr>
          <w:color w:val="000000" w:themeColor="text1"/>
        </w:rPr>
        <w:t>tree ring</w:t>
      </w:r>
      <w:r w:rsidR="004C6234">
        <w:rPr>
          <w:color w:val="000000" w:themeColor="text1"/>
        </w:rPr>
        <w:t>-based estimat</w:t>
      </w:r>
      <w:r w:rsidR="009D7729">
        <w:rPr>
          <w:color w:val="000000" w:themeColor="text1"/>
        </w:rPr>
        <w:t>e</w:t>
      </w:r>
      <w:r w:rsidR="004C6234">
        <w:rPr>
          <w:color w:val="000000" w:themeColor="text1"/>
        </w:rPr>
        <w:t>s</w:t>
      </w:r>
      <w:r w:rsidR="004C6234">
        <w:rPr>
          <w:color w:val="000000" w:themeColor="text1"/>
          <w:lang w:val="en-GB"/>
        </w:rPr>
        <w:t xml:space="preserve"> </w:t>
      </w:r>
      <w:r w:rsidR="006249E5">
        <w:rPr>
          <w:color w:val="000000" w:themeColor="text1"/>
          <w:lang w:val="en-GB"/>
        </w:rPr>
        <w:t xml:space="preserve">fall within that </w:t>
      </w:r>
      <w:r w:rsidR="00FB0C77">
        <w:rPr>
          <w:color w:val="000000" w:themeColor="text1"/>
          <w:lang w:val="en-GB"/>
        </w:rPr>
        <w:t>of</w:t>
      </w:r>
      <w:r w:rsidR="006249E5">
        <w:rPr>
          <w:color w:val="000000" w:themeColor="text1"/>
          <w:lang w:val="en-GB"/>
        </w:rPr>
        <w:t xml:space="preserve"> </w:t>
      </w:r>
      <w:r w:rsidR="00BE79E6">
        <w:rPr>
          <w:color w:val="000000" w:themeColor="text1"/>
          <w:lang w:val="en-GB"/>
        </w:rPr>
        <w:t>eddy-covariance</w:t>
      </w:r>
      <w:r w:rsidR="00581B8E">
        <w:rPr>
          <w:color w:val="000000" w:themeColor="text1"/>
          <w:lang w:val="en-GB"/>
        </w:rPr>
        <w:t xml:space="preserve"> </w:t>
      </w:r>
      <w:r w:rsidR="006249E5">
        <w:rPr>
          <w:color w:val="000000" w:themeColor="text1"/>
          <w:lang w:val="en-GB"/>
        </w:rPr>
        <w:t>records, no conclusion can be drawn on whether</w:t>
      </w:r>
      <w:r w:rsidR="00062A7C">
        <w:rPr>
          <w:color w:val="000000" w:themeColor="text1"/>
          <w:lang w:val="en-GB"/>
        </w:rPr>
        <w:t xml:space="preserve"> the differences between the two types of datasets</w:t>
      </w:r>
      <w:r w:rsidR="001B6310">
        <w:rPr>
          <w:color w:val="000000" w:themeColor="text1"/>
          <w:lang w:val="en-GB"/>
        </w:rPr>
        <w:t xml:space="preserve"> are </w:t>
      </w:r>
      <w:r w:rsidR="00FA7A2C">
        <w:rPr>
          <w:color w:val="000000" w:themeColor="text1"/>
          <w:lang w:val="en-GB"/>
        </w:rPr>
        <w:t>universal</w:t>
      </w:r>
      <w:r w:rsidR="00062A7C">
        <w:rPr>
          <w:color w:val="000000" w:themeColor="text1"/>
          <w:lang w:val="en-GB"/>
        </w:rPr>
        <w:t xml:space="preserve">. These </w:t>
      </w:r>
      <w:r w:rsidR="005C119B">
        <w:rPr>
          <w:color w:val="000000" w:themeColor="text1"/>
          <w:lang w:val="en-GB"/>
        </w:rPr>
        <w:t xml:space="preserve">findings </w:t>
      </w:r>
      <w:r w:rsidR="00062A7C">
        <w:rPr>
          <w:color w:val="000000" w:themeColor="text1"/>
          <w:lang w:val="en-GB"/>
        </w:rPr>
        <w:t>have, however, some limitations because the sites considered</w:t>
      </w:r>
      <w:r w:rsidR="00E02E2F">
        <w:rPr>
          <w:color w:val="000000" w:themeColor="text1"/>
          <w:lang w:val="en-GB"/>
        </w:rPr>
        <w:t xml:space="preserve"> for the</w:t>
      </w:r>
      <w:r w:rsidR="00062A7C">
        <w:rPr>
          <w:color w:val="000000" w:themeColor="text1"/>
          <w:lang w:val="en-GB"/>
        </w:rPr>
        <w:t xml:space="preserve"> </w:t>
      </w:r>
      <w:r w:rsidR="00E02E2F">
        <w:rPr>
          <w:color w:val="000000" w:themeColor="text1"/>
          <w:lang w:val="en-GB"/>
        </w:rPr>
        <w:t xml:space="preserve">calculations </w:t>
      </w:r>
      <w:r w:rsidR="00062A7C">
        <w:rPr>
          <w:color w:val="000000" w:themeColor="text1"/>
          <w:lang w:val="en-GB"/>
        </w:rPr>
        <w:t xml:space="preserve">were different for the </w:t>
      </w:r>
      <w:r w:rsidR="00743637">
        <w:rPr>
          <w:color w:val="000000" w:themeColor="text1"/>
          <w:lang w:val="en-GB"/>
        </w:rPr>
        <w:t>tree-ring</w:t>
      </w:r>
      <w:r w:rsidR="00062A7C">
        <w:rPr>
          <w:color w:val="000000" w:themeColor="text1"/>
          <w:lang w:val="en-GB"/>
        </w:rPr>
        <w:t xml:space="preserve"> or </w:t>
      </w:r>
      <w:r w:rsidR="00743637">
        <w:rPr>
          <w:color w:val="000000" w:themeColor="text1"/>
          <w:lang w:val="en-GB"/>
        </w:rPr>
        <w:t>eddy-covariance</w:t>
      </w:r>
      <w:r w:rsidR="00062A7C">
        <w:rPr>
          <w:color w:val="000000" w:themeColor="text1"/>
          <w:lang w:val="en-GB"/>
        </w:rPr>
        <w:t xml:space="preserve"> data. Nevertheless, this is an important result as it suggest</w:t>
      </w:r>
      <w:r w:rsidR="00D23422">
        <w:rPr>
          <w:color w:val="000000" w:themeColor="text1"/>
          <w:lang w:val="en-GB"/>
        </w:rPr>
        <w:t>s</w:t>
      </w:r>
      <w:r w:rsidR="00062A7C">
        <w:rPr>
          <w:color w:val="000000" w:themeColor="text1"/>
          <w:lang w:val="en-GB"/>
        </w:rPr>
        <w:t xml:space="preserve"> that the </w:t>
      </w:r>
      <w:r w:rsidR="00B60679">
        <w:rPr>
          <w:color w:val="000000" w:themeColor="text1"/>
          <w:lang w:val="en-GB"/>
        </w:rPr>
        <w:t xml:space="preserve">trend </w:t>
      </w:r>
      <w:r w:rsidR="00350599">
        <w:rPr>
          <w:color w:val="000000" w:themeColor="text1"/>
          <w:lang w:val="en-GB"/>
        </w:rPr>
        <w:t>estimat</w:t>
      </w:r>
      <w:r w:rsidR="009D7729">
        <w:rPr>
          <w:color w:val="000000" w:themeColor="text1"/>
          <w:lang w:val="en-GB"/>
        </w:rPr>
        <w:t>e</w:t>
      </w:r>
      <w:r w:rsidR="00350599">
        <w:rPr>
          <w:color w:val="000000" w:themeColor="text1"/>
          <w:lang w:val="en-GB"/>
        </w:rPr>
        <w:t xml:space="preserve">s have large </w:t>
      </w:r>
      <w:r w:rsidR="00062A7C">
        <w:rPr>
          <w:color w:val="000000" w:themeColor="text1"/>
          <w:lang w:val="en-GB"/>
        </w:rPr>
        <w:t>uncertain</w:t>
      </w:r>
      <w:r w:rsidR="007856D5">
        <w:rPr>
          <w:color w:val="000000" w:themeColor="text1"/>
          <w:lang w:val="en-GB"/>
        </w:rPr>
        <w:t>ties</w:t>
      </w:r>
      <w:r w:rsidR="00601145">
        <w:rPr>
          <w:color w:val="000000" w:themeColor="text1"/>
          <w:lang w:val="en-GB"/>
        </w:rPr>
        <w:t xml:space="preserve"> simply based on the large variations among sites</w:t>
      </w:r>
      <w:r w:rsidR="00062A7C">
        <w:rPr>
          <w:color w:val="000000" w:themeColor="text1"/>
          <w:lang w:val="en-GB"/>
        </w:rPr>
        <w:t>.</w:t>
      </w:r>
      <w:r w:rsidR="006249E5">
        <w:rPr>
          <w:color w:val="000000" w:themeColor="text1"/>
          <w:lang w:val="en-GB"/>
        </w:rPr>
        <w:t xml:space="preserve"> </w:t>
      </w:r>
    </w:p>
    <w:p w14:paraId="57B068C8" w14:textId="3BB39E3C" w:rsidR="006939A0" w:rsidRPr="00847805" w:rsidRDefault="00667A27" w:rsidP="006939A0">
      <w:pPr>
        <w:pStyle w:val="Body"/>
        <w:spacing w:before="240" w:line="360" w:lineRule="auto"/>
        <w:jc w:val="both"/>
        <w:rPr>
          <w:color w:val="000000" w:themeColor="text1"/>
        </w:rPr>
      </w:pPr>
      <w:r>
        <w:rPr>
          <w:color w:val="000000" w:themeColor="text1"/>
        </w:rPr>
        <w:t>Other</w:t>
      </w:r>
      <w:r w:rsidR="00B60679">
        <w:rPr>
          <w:color w:val="000000" w:themeColor="text1"/>
        </w:rPr>
        <w:t xml:space="preserve"> sources</w:t>
      </w:r>
      <w:r w:rsidR="007856D5">
        <w:rPr>
          <w:color w:val="000000" w:themeColor="text1"/>
        </w:rPr>
        <w:t xml:space="preserve"> of uncertaint</w:t>
      </w:r>
      <w:r w:rsidR="00B60679">
        <w:rPr>
          <w:color w:val="000000" w:themeColor="text1"/>
        </w:rPr>
        <w:t xml:space="preserve">y </w:t>
      </w:r>
      <w:r>
        <w:rPr>
          <w:color w:val="000000" w:themeColor="text1"/>
        </w:rPr>
        <w:t>may affect estimates of WUE</w:t>
      </w:r>
      <w:r w:rsidR="007856D5">
        <w:rPr>
          <w:color w:val="000000" w:themeColor="text1"/>
        </w:rPr>
        <w:t xml:space="preserve">, </w:t>
      </w:r>
      <w:r w:rsidR="002707B7">
        <w:rPr>
          <w:color w:val="000000" w:themeColor="text1"/>
        </w:rPr>
        <w:t>including</w:t>
      </w:r>
      <w:r w:rsidR="007856D5">
        <w:rPr>
          <w:color w:val="000000" w:themeColor="text1"/>
        </w:rPr>
        <w:t xml:space="preserve"> </w:t>
      </w:r>
      <w:r w:rsidR="00610DF4">
        <w:rPr>
          <w:color w:val="000000" w:themeColor="text1"/>
        </w:rPr>
        <w:t xml:space="preserve">random and systematic errors </w:t>
      </w:r>
      <w:r w:rsidR="00F73F8A">
        <w:rPr>
          <w:color w:val="000000" w:themeColor="text1"/>
        </w:rPr>
        <w:t>for</w:t>
      </w:r>
      <w:r w:rsidR="00610DF4">
        <w:rPr>
          <w:color w:val="000000" w:themeColor="text1"/>
        </w:rPr>
        <w:t xml:space="preserve"> the </w:t>
      </w:r>
      <w:r w:rsidR="00304E81">
        <w:rPr>
          <w:color w:val="000000" w:themeColor="text1"/>
        </w:rPr>
        <w:t>eddy-covariance</w:t>
      </w:r>
      <w:r w:rsidR="00610DF4">
        <w:rPr>
          <w:color w:val="000000" w:themeColor="text1"/>
        </w:rPr>
        <w:t xml:space="preserve"> flux measurements</w:t>
      </w:r>
      <w:r w:rsidR="008F086B">
        <w:rPr>
          <w:color w:val="000000" w:themeColor="text1"/>
        </w:rPr>
        <w:t xml:space="preserve"> </w:t>
      </w:r>
      <w:r w:rsidR="009027BA">
        <w:rPr>
          <w:color w:val="000000" w:themeColor="text1"/>
        </w:rPr>
        <w:fldChar w:fldCharType="begin" w:fldLock="1"/>
      </w:r>
      <w:r w:rsidR="006B4EE2">
        <w:rPr>
          <w:color w:val="000000" w:themeColor="text1"/>
        </w:rPr>
        <w:instrText>ADDIN CSL_CITATION {"citationItems":[{"id":"ITEM-1","itemData":{"author":[{"dropping-particle":"","family":"Richardson","given":"AD","non-dropping-particle":"","parse-names":false,"suffix":""},{"dropping-particle":"","family":"Aubinet","given":"M","non-dropping-particle":"","parse-names":false,"suffix":""},{"dropping-particle":"","family":"Barr","given":"AG","non-dropping-particle":"","parse-names":false,"suffix":""},{"dropping-particle":"","family":"Hollinger","given":"DY","non-dropping-particle":"","parse-names":false,"suffix":""},{"dropping-particle":"","family":"Ibrom","given":"A","non-dropping-particle":"","parse-names":false,"suffix":""},{"dropping-particle":"","family":"Lasslop","given":"G","non-dropping-particle":"","parse-names":false,"suffix":""},{"dropping-particle":"","family":"Al.","given":"Et","non-dropping-particle":"","parse-names":false,"suffix":""}],"container-title":"Eddy Covariance","id":"ITEM-1","issued":{"date-parts":[["2012"]]},"page":"173–209","publisher":"Springer","title":"Uncertainty quantification","type":"chapter"},"uris":["http://www.mendeley.com/documents/?uuid=7ebc85d8-cd47-4730-91e0-c4bf873d5455"]},{"id":"ITEM-2","itemData":{"DOI":"10.1111/gcb.13893","ISBN":"4955139574","ISSN":"13541013","PMID":"28199780","abstract":"Intrinsic water-use efficiency (iWUE) characterizes the physiological control on the simultaneous exchange of water and carbon dioxide in terrestrial ecosystems. Knowl- edge of iWUE is commonly gained from leaf-level gas exchange measurements, which are inevitably restricted in their spatial and temporal coverage. Flux measurements based on the eddy covariance (EC) technique can overcome these limitations, as they provide continuous and long-term records of carbon and water fluxes at the ecosys- tem scale. However, vegetation gas exchange parameters derived from EC data are subject to scale-dependent and method-specific uncertainties that compromise their ecophysiological interpretation as well as their comparability among ecosystems and across spatial scales. Here, we use estimates of canopy conductance and gross primary productivity (GPP) derived from EC data to calculate a measure of iWUE (G1, “stomatal slope”) at the ecosystem level at six sites comprising tropical, Mediterranean, temper- ate, and boreal forests. We assess the following six mechanisms potentially causing discrepancies between leaf and ecosystem-level estimates of G1: (i) non-transpira- tional water fluxes; (ii) aerodynamic conductance; (iii) meteorological deviations between measurement height and canopy surface; (iv) energy balance non-closure; (v) uncertainties in net ecosystem exchange partitioning; and (vi) physiological within- canopy gradients. Our results demonstrate that an unclosed energy balance caused the largest uncertainties, in particular if it was associated with erroneous latent heat flux estimates. The effect of aerodynamic conductance on G1 was sufficiently cap- tured with a simple representation. G1 was found to be less sensitive to meteorological deviations between canopy surface and measurement height and, given that data are appropriately filtered, to non-transpirational water fluxes. Uncertainties in the derived GPP and physiological within-canopy gradients and their implications for parameter estimates at leaf and ecosystem level are discussed. Our results highlight the impor- tance of adequately considering the sources of uncertainty outlined here when EC- derived water-use efficiency is interpreted in an ecophysiological context.","author":[{"dropping-particle":"","family":"Knauer","given":"Jürgen","non-dropping-particle":"","parse-names":false,"suffix":""},{"dropping-particle":"","family":"Zaehle","given":"Sönke","non-dropping-particle":"","parse-names":false,"suffix":""},{"dropping-particle":"","family":"Medlyn","given":"Belinda E.","non-dropping-particle":"","parse-names":false,"suffix":""},{"dropping-particle":"","family":"Reichstein","given":"Markus","non-dropping-particle":"","parse-names":false,"suffix":""},{"dropping-particle":"","family":"Williams","given":"Christopher A.","non-dropping-particle":"","parse-names":false,"suffix":""},{"dropping-particle":"","family":"Migliavacca","given":"Mirco","non-dropping-particle":"","parse-names":false,"suffix":""},{"dropping-particle":"","family":"Kauwe","given":"Martin G.","non-dropping-particle":"De","parse-names":false,"suffix":""},{"dropping-particle":"","family":"Werner","given":"Christiane","non-dropping-particle":"","parse-names":false,"suffix":""},{"dropping-particle":"","family":"Keitel","given":"Claudia","non-dropping-particle":"","parse-names":false,"suffix":""},{"dropping-particle":"","family":"Kolari","given":"Pasi","non-dropping-particle":"","parse-names":false,"suffix":""},{"dropping-particle":"","family":"Limousin","given":"Jean-Marc","non-dropping-particle":"","parse-names":false,"suffix":""},{"dropping-particle":"","family":"Linderson","given":"Maj-Lena","non-dropping-particle":"","parse-names":false,"suffix":""}],"container-title":"Global Change Biology","id":"ITEM-2","issued":{"date-parts":[["2018"]]},"page":"694-710","title":"Towards physiologically meaningful water-use efficiency estimates from eddy covariance data","type":"article-journal","volume":"24"},"uris":["http://www.mendeley.com/documents/?uuid=c27b4605-2619-4ea3-8d61-098515d64e8e"]}],"mendeley":{"formattedCitation":"(Knauer, Zaehle, et al., 2018; Richardson et al., 2012)","plainTextFormattedCitation":"(Knauer, Zaehle, et al., 2018; Richardson et al., 2012)","previouslyFormattedCitation":"(Knauer, Zaehle, et al., 2018; Richardson et al., 2012)"},"properties":{"noteIndex":0},"schema":"https://github.com/citation-style-language/schema/raw/master/csl-citation.json"}</w:instrText>
      </w:r>
      <w:r w:rsidR="009027BA">
        <w:rPr>
          <w:color w:val="000000" w:themeColor="text1"/>
        </w:rPr>
        <w:fldChar w:fldCharType="separate"/>
      </w:r>
      <w:r w:rsidR="004A2285" w:rsidRPr="004A2285">
        <w:rPr>
          <w:noProof/>
          <w:color w:val="000000" w:themeColor="text1"/>
        </w:rPr>
        <w:t>(Knauer, Zaehle, et al., 2018; Richardson et al., 2012)</w:t>
      </w:r>
      <w:r w:rsidR="009027BA">
        <w:rPr>
          <w:color w:val="000000" w:themeColor="text1"/>
        </w:rPr>
        <w:fldChar w:fldCharType="end"/>
      </w:r>
      <w:r w:rsidR="002E6C47">
        <w:rPr>
          <w:color w:val="000000" w:themeColor="text1"/>
        </w:rPr>
        <w:t>,</w:t>
      </w:r>
      <w:r w:rsidR="00412648">
        <w:rPr>
          <w:color w:val="000000" w:themeColor="text1"/>
        </w:rPr>
        <w:t xml:space="preserve"> </w:t>
      </w:r>
      <w:r w:rsidR="002707B7">
        <w:rPr>
          <w:color w:val="000000" w:themeColor="text1"/>
        </w:rPr>
        <w:t xml:space="preserve">and </w:t>
      </w:r>
      <w:r w:rsidR="002E6C47">
        <w:rPr>
          <w:color w:val="000000" w:themeColor="text1"/>
        </w:rPr>
        <w:t xml:space="preserve">analytical </w:t>
      </w:r>
      <w:r w:rsidR="00BF0F36">
        <w:rPr>
          <w:color w:val="000000" w:themeColor="text1"/>
        </w:rPr>
        <w:t>error</w:t>
      </w:r>
      <w:r w:rsidR="002E6C47">
        <w:rPr>
          <w:color w:val="000000" w:themeColor="text1"/>
        </w:rPr>
        <w:t xml:space="preserve"> </w:t>
      </w:r>
      <w:r w:rsidR="00A36EAE">
        <w:rPr>
          <w:color w:val="000000" w:themeColor="text1"/>
        </w:rPr>
        <w:t xml:space="preserve">and </w:t>
      </w:r>
      <w:r w:rsidR="00412648">
        <w:rPr>
          <w:color w:val="000000" w:themeColor="text1"/>
        </w:rPr>
        <w:t>sampling bias</w:t>
      </w:r>
      <w:r w:rsidR="00A36EAE">
        <w:rPr>
          <w:color w:val="000000" w:themeColor="text1"/>
        </w:rPr>
        <w:t xml:space="preserve"> </w:t>
      </w:r>
      <w:r w:rsidR="002E6C47">
        <w:rPr>
          <w:color w:val="000000" w:themeColor="text1"/>
        </w:rPr>
        <w:t xml:space="preserve">for </w:t>
      </w:r>
      <w:r w:rsidR="00B03746">
        <w:rPr>
          <w:color w:val="000000" w:themeColor="text1"/>
        </w:rPr>
        <w:t xml:space="preserve">stable </w:t>
      </w:r>
      <w:r w:rsidR="002E6C47">
        <w:rPr>
          <w:color w:val="000000" w:themeColor="text1"/>
        </w:rPr>
        <w:t xml:space="preserve">carbon isotopes </w:t>
      </w:r>
      <w:r w:rsidR="00B03746">
        <w:rPr>
          <w:color w:val="000000" w:themeColor="text1"/>
        </w:rPr>
        <w:t>in tree-rings</w:t>
      </w:r>
      <w:r w:rsidR="00A36EAE">
        <w:rPr>
          <w:color w:val="000000" w:themeColor="text1"/>
        </w:rPr>
        <w:t xml:space="preserve"> </w:t>
      </w:r>
      <w:r w:rsidR="00DE11C8">
        <w:rPr>
          <w:color w:val="000000" w:themeColor="text1"/>
        </w:rPr>
        <w:fldChar w:fldCharType="begin" w:fldLock="1"/>
      </w:r>
      <w:r w:rsidR="00E84F0F">
        <w:rPr>
          <w:color w:val="000000" w:themeColor="text1"/>
        </w:rPr>
        <w:instrText>ADDIN CSL_CITATION {"citationItems":[{"id":"ITEM-1","itemData":{"DOI":"10.1002/2017JG004203","ISSN":"21698961","abstract":"©2018. American Geophysical Union. All Rights Reserved. Climate reconstructions in temperate Europe have been widely based on oak species. However, other co-occurring species, largely distributed in Europe, may be used for recording climate variability. In this paper, we documented the intertrees and interspecies variations over 1960–2007 of oxygen and carbon isotopic compositions in ring cellulose of Fagus sylvatica, Pinus sylvestris, and Quercus petraea co-occurring in the Fontainebleau forest (France). Our results indicated that large levels of series replication (11 trees on average) were required to generate isotopic mean series representative of the populations. We calculated mean isotopic ratios higher in pine than in the deciduous species and hypothesized that these contrasts resulted from differences in stomatal conductance, phenology, and canopy structure and, for oxygen, also in water uptake depth and isotopic exchange rate. We found that δ 18 O and δ 13 C chronologies were significantly correlated to one another in the three species and responded primarily to air moisture and T max , which indicated that stomatal conductance was an important driver of changes in both types of records. We determined that the correlations were strong with the May to July climate variables in F. sylvatica and with the July and August ones in Q. petraea and P. sylvestris. We showed that the oxygen records were systematically more coherent than those of carbon. This study demonstrated that δ 18 O, and to a lesser extent δ 13 C, from the three different species are reliable proxies for reconstructing past hydroclimatic variations in Europe.","author":[{"dropping-particle":"","family":"Daux","given":"V.","non-dropping-particle":"","parse-names":false,"suffix":""},{"dropping-particle":"","family":"Michelot-Antalik","given":"A.","non-dropping-particle":"","parse-names":false,"suffix":""},{"dropping-particle":"","family":"Lavergne","given":"A.","non-dropping-particle":"","parse-names":false,"suffix":""},{"dropping-particle":"","family":"Pierre","given":"M.","non-dropping-particle":"","parse-names":false,"suffix":""},{"dropping-particle":"","family":"Stievenard","given":"M.","non-dropping-particle":"","parse-names":false,"suffix":""},{"dropping-particle":"","family":"Bréda","given":"N.","non-dropping-particle":"","parse-names":false,"suffix":""},{"dropping-particle":"","family":"Damesin","given":"C.","non-dropping-particle":"","parse-names":false,"suffix":""}],"container-title":"Journal of Geophysical Research: Biogeosciences","id":"ITEM-1","issue":"4","issued":{"date-parts":[["2018"]]},"title":"Comparisons of the Performance of δ&lt;sup&gt;13&lt;/sup&gt;C and δ&lt;sup&gt;18&lt;/sup&gt;O of Fagus sylvatica, Pinus sylvestris, and Quercus petraea in the Record of Past Climate Variations","type":"article-journal","volume":"123"},"uris":["http://www.mendeley.com/documents/?uuid=196af123-a6b1-327f-a779-4a35ca0febdf"]},{"id":"ITEM-2","itemData":{"DOI":"10.1093/treephys/tpu040","ISBN":"1758-4469 (Electronic) 0829-318X (Linking)","ISSN":"0829-318X","PMID":"24907466","abstract":"The mechanistic understanding of isotope fractionation processes is increasing but we still lack detailed knowledge of the processes that determine the isotopic composition of the tree-ring archive over the long term. Especially with regard to the path from leaf photosynthate production to wood formation, post-assimilation fractionations/processes might cause at least a partial decoupling between the leaf isotope signals that record processes such as stomatal conductance, transpiration and photosynthesis, and the wood or cellulose signals that are stored in the paleophysiological record. In this review, we start from the rather well understood processes at the leaf level such as photosynthetic carbon isotope fractionation, leaf water evaporative isotope enrichment and the issue of the isotopic composition of inorganic sources (CO2 and H2O), though we focus on the less explored 'downstream' processes related to metabolism and transport. We further summarize the roles of cellulose and lignin as important chemical constituents of wood, and the processes that determine the transfer of photosynthate (sucrose) and associated isotopic signals to wood production. We cover the broad topics of post-carboxylation carbon isotope fractionation and of the exchange of organic oxygen with water within the tree. In two case studies, we assess the transfer of carbon and oxygen isotopic signals from leaves to tree rings. Finally we address the issue of different temporal scales and link isotope fractionation at the shorter time scale for processes in the leaf to the isotopic ratio as recorded across longer time scales of the tree-ring archive.","author":[{"dropping-particle":"","family":"Gessler","given":"Arthur","non-dropping-particle":"","parse-names":false,"suffix":""},{"dropping-particle":"","family":"Ferrio","given":"Juan Pedro","non-dropping-particle":"","parse-names":false,"suffix":""},{"dropping-particle":"","family":"Hommel","given":"Robert","non-dropping-particle":"","parse-names":false,"suffix":""},{"dropping-particle":"","family":"Treydte","given":"Kerstin","non-dropping-particle":"","parse-names":false,"suffix":""},{"dropping-particle":"","family":"Werner","given":"Roland A","non-dropping-particle":"","parse-names":false,"suffix":""},{"dropping-particle":"","family":"Monson","given":"Russell K","non-dropping-particle":"","parse-names":false,"suffix":""}],"container-title":"Tree Physiology","id":"ITEM-2","issue":"8","issued":{"date-parts":[["2014","8","1"]]},"page":"796-818","title":"Stable isotopes in tree rings: towards a mechanistic understanding of isotope fractionation and mixing processes from the leaves to the wood","type":"article-journal","volume":"34"},"uris":["http://www.mendeley.com/documents/?uuid=d210caf4-11a1-4a41-97ee-7444b5e2f9e3"]}],"mendeley":{"formattedCitation":"(Daux et al., 2018; Gessler et al., 2014)","plainTextFormattedCitation":"(Daux et al., 2018; Gessler et al., 2014)","previouslyFormattedCitation":"(Daux et al., 2018; Gessler et al., 2014)"},"properties":{"noteIndex":0},"schema":"https://github.com/citation-style-language/schema/raw/master/csl-citation.json"}</w:instrText>
      </w:r>
      <w:r w:rsidR="00DE11C8">
        <w:rPr>
          <w:color w:val="000000" w:themeColor="text1"/>
        </w:rPr>
        <w:fldChar w:fldCharType="separate"/>
      </w:r>
      <w:r w:rsidR="004A2285" w:rsidRPr="004A2285">
        <w:rPr>
          <w:noProof/>
          <w:color w:val="000000" w:themeColor="text1"/>
        </w:rPr>
        <w:t>(Daux et al., 2018; Gessler et al., 2014)</w:t>
      </w:r>
      <w:r w:rsidR="00DE11C8">
        <w:rPr>
          <w:color w:val="000000" w:themeColor="text1"/>
        </w:rPr>
        <w:fldChar w:fldCharType="end"/>
      </w:r>
      <w:r w:rsidR="00304E81">
        <w:rPr>
          <w:color w:val="000000" w:themeColor="text1"/>
        </w:rPr>
        <w:t>.</w:t>
      </w:r>
      <w:r>
        <w:rPr>
          <w:color w:val="000000" w:themeColor="text1"/>
        </w:rPr>
        <w:t xml:space="preserve"> </w:t>
      </w:r>
      <w:r w:rsidR="00304E81" w:rsidRPr="0077373F">
        <w:rPr>
          <w:color w:val="000000" w:themeColor="text1"/>
        </w:rPr>
        <w:t>H</w:t>
      </w:r>
      <w:r w:rsidRPr="0077373F">
        <w:rPr>
          <w:color w:val="000000" w:themeColor="text1"/>
        </w:rPr>
        <w:t>owever</w:t>
      </w:r>
      <w:r w:rsidR="00304E81" w:rsidRPr="0077373F">
        <w:rPr>
          <w:color w:val="000000" w:themeColor="text1"/>
        </w:rPr>
        <w:t>,</w:t>
      </w:r>
      <w:r w:rsidRPr="0077373F">
        <w:rPr>
          <w:color w:val="000000" w:themeColor="text1"/>
        </w:rPr>
        <w:t xml:space="preserve"> the</w:t>
      </w:r>
      <w:r w:rsidR="002707B7">
        <w:rPr>
          <w:color w:val="000000" w:themeColor="text1"/>
        </w:rPr>
        <w:t>se sources of uncertainty</w:t>
      </w:r>
      <w:r w:rsidRPr="0077373F">
        <w:rPr>
          <w:color w:val="000000" w:themeColor="text1"/>
        </w:rPr>
        <w:t xml:space="preserve"> do not necessar</w:t>
      </w:r>
      <w:r w:rsidR="002707B7">
        <w:rPr>
          <w:color w:val="000000" w:themeColor="text1"/>
        </w:rPr>
        <w:t>il</w:t>
      </w:r>
      <w:r w:rsidRPr="0077373F">
        <w:rPr>
          <w:color w:val="000000" w:themeColor="text1"/>
        </w:rPr>
        <w:t>y have an impact on trends</w:t>
      </w:r>
      <w:r w:rsidR="00B453B3">
        <w:rPr>
          <w:color w:val="000000" w:themeColor="text1"/>
        </w:rPr>
        <w:t xml:space="preserve"> (see Table 2)</w:t>
      </w:r>
      <w:r w:rsidR="008F086B" w:rsidRPr="0077373F">
        <w:rPr>
          <w:color w:val="000000" w:themeColor="text1"/>
        </w:rPr>
        <w:t xml:space="preserve">. </w:t>
      </w:r>
      <w:r w:rsidR="002707B7">
        <w:rPr>
          <w:color w:val="000000" w:themeColor="text1"/>
        </w:rPr>
        <w:t>R</w:t>
      </w:r>
      <w:r w:rsidR="00B271CA" w:rsidRPr="0077373F">
        <w:rPr>
          <w:color w:val="000000" w:themeColor="text1"/>
          <w:lang w:val="en-GB"/>
        </w:rPr>
        <w:t>andom</w:t>
      </w:r>
      <w:r w:rsidR="004A6825" w:rsidRPr="0077373F">
        <w:rPr>
          <w:color w:val="000000" w:themeColor="text1"/>
          <w:lang w:val="en-GB"/>
        </w:rPr>
        <w:t xml:space="preserve"> </w:t>
      </w:r>
      <w:r w:rsidR="00193496">
        <w:rPr>
          <w:color w:val="000000" w:themeColor="text1"/>
          <w:lang w:val="en-GB"/>
        </w:rPr>
        <w:t xml:space="preserve">and analytical </w:t>
      </w:r>
      <w:r w:rsidR="004A6825" w:rsidRPr="0077373F">
        <w:rPr>
          <w:color w:val="000000" w:themeColor="text1"/>
          <w:lang w:val="en-GB"/>
        </w:rPr>
        <w:t xml:space="preserve">errors </w:t>
      </w:r>
      <w:r w:rsidR="00B271CA" w:rsidRPr="0077373F">
        <w:rPr>
          <w:color w:val="000000" w:themeColor="text1"/>
          <w:lang w:val="en-GB"/>
        </w:rPr>
        <w:t>should not affect trends, unless their characteristics change over time.</w:t>
      </w:r>
      <w:r w:rsidR="0061193D" w:rsidRPr="0077373F">
        <w:rPr>
          <w:color w:val="000000" w:themeColor="text1"/>
          <w:lang w:val="en-GB"/>
        </w:rPr>
        <w:t xml:space="preserve"> </w:t>
      </w:r>
      <w:r w:rsidR="002707B7">
        <w:rPr>
          <w:color w:val="000000" w:themeColor="text1"/>
          <w:lang w:val="en-GB"/>
        </w:rPr>
        <w:t>B</w:t>
      </w:r>
      <w:r w:rsidR="00B271CA" w:rsidRPr="0077373F">
        <w:rPr>
          <w:color w:val="000000" w:themeColor="text1"/>
          <w:lang w:val="en-GB"/>
        </w:rPr>
        <w:t xml:space="preserve">iases due to </w:t>
      </w:r>
      <w:r w:rsidR="003D072F" w:rsidRPr="0077373F">
        <w:rPr>
          <w:color w:val="000000" w:themeColor="text1"/>
          <w:lang w:val="en-GB"/>
        </w:rPr>
        <w:t xml:space="preserve">flux </w:t>
      </w:r>
      <w:r w:rsidR="00B271CA" w:rsidRPr="0077373F">
        <w:rPr>
          <w:color w:val="000000" w:themeColor="text1"/>
          <w:lang w:val="en-GB"/>
        </w:rPr>
        <w:t xml:space="preserve">partitioning </w:t>
      </w:r>
      <w:r w:rsidR="001710D0">
        <w:rPr>
          <w:color w:val="000000" w:themeColor="text1"/>
          <w:lang w:val="en-GB"/>
        </w:rPr>
        <w:t xml:space="preserve">methods applied </w:t>
      </w:r>
      <w:r w:rsidR="00B271CA" w:rsidRPr="0077373F">
        <w:rPr>
          <w:color w:val="000000" w:themeColor="text1"/>
          <w:lang w:val="en-GB"/>
        </w:rPr>
        <w:t>are typically site</w:t>
      </w:r>
      <w:r w:rsidR="002707B7">
        <w:rPr>
          <w:color w:val="000000" w:themeColor="text1"/>
          <w:lang w:val="en-GB"/>
        </w:rPr>
        <w:t>-</w:t>
      </w:r>
      <w:r w:rsidR="00B271CA" w:rsidRPr="0077373F">
        <w:rPr>
          <w:color w:val="000000" w:themeColor="text1"/>
          <w:lang w:val="en-GB"/>
        </w:rPr>
        <w:t xml:space="preserve">specific and </w:t>
      </w:r>
      <w:r w:rsidR="002707B7">
        <w:rPr>
          <w:color w:val="000000" w:themeColor="text1"/>
          <w:lang w:val="en-GB"/>
        </w:rPr>
        <w:t xml:space="preserve">expected to be </w:t>
      </w:r>
      <w:r w:rsidR="00B271CA" w:rsidRPr="0077373F">
        <w:rPr>
          <w:color w:val="000000" w:themeColor="text1"/>
          <w:lang w:val="en-GB"/>
        </w:rPr>
        <w:t xml:space="preserve">temporally stationary. </w:t>
      </w:r>
      <w:r w:rsidR="003D072F" w:rsidRPr="0077373F">
        <w:rPr>
          <w:color w:val="000000" w:themeColor="text1"/>
        </w:rPr>
        <w:t xml:space="preserve">A site mean </w:t>
      </w:r>
      <w:r w:rsidR="00B271CA" w:rsidRPr="0077373F">
        <w:rPr>
          <w:color w:val="000000" w:themeColor="text1"/>
          <w:lang w:val="en-GB"/>
        </w:rPr>
        <w:t xml:space="preserve">GPP </w:t>
      </w:r>
      <w:r w:rsidR="003D072F" w:rsidRPr="0077373F">
        <w:rPr>
          <w:color w:val="000000" w:themeColor="text1"/>
          <w:lang w:val="en-GB"/>
        </w:rPr>
        <w:t xml:space="preserve">could be artificially low or high </w:t>
      </w:r>
      <w:r w:rsidR="00B271CA" w:rsidRPr="0077373F">
        <w:rPr>
          <w:color w:val="000000" w:themeColor="text1"/>
          <w:lang w:val="en-GB"/>
        </w:rPr>
        <w:fldChar w:fldCharType="begin" w:fldLock="1"/>
      </w:r>
      <w:r w:rsidR="00B271CA" w:rsidRPr="0077373F">
        <w:rPr>
          <w:color w:val="000000" w:themeColor="text1"/>
          <w:lang w:val="en-GB"/>
        </w:rPr>
        <w:instrText>ADDIN CSL_CITATION {"citationItems":[{"id":"ITEM-1","itemData":{"DOI":"10.1038/nature17966","ISBN":"1476-4687 (Electronic)\\r0028-0836 (Linking)","ISSN":"14764687","PMID":"27357794","abstract":"Terrestrial ecosystems currently offset one-quarter of anthropogenic carbon dioxide (CO2) emissions because of a slight imbalance between global terrestrial photosynthesis and respiration. Understanding what controls these two biological fluxes is therefore crucial to predicting climate change. Yet there is no way of directly measuring the photosynthesis or daytime respiration of a whole ecosystem of interacting organisms; instead, these fluxes are generally inferred from measurements of net ecosystem-atmosphere CO2 exchange (NEE), in a way that is based on assumed ecosystem-scale responses to the environment. The consequent view of temperate deciduous forests (an important CO2 sink) is that, first, ecosystem respiration is greater during the day than at night; and second, ecosystem photosynthetic light-use efficiency peaks after leaf expansion in spring and then declines, presumably because of leaf ageing or water stress. This view has underlain the development of terrestrial biosphere models used in climate prediction and of remote sensing indices of global biosphere productivity. Here, we use new isotopic instrumentation to determine ecosystem photosynthesis and daytime respiration in a temperate deciduous forest over a three-year period. We find that ecosystem respiration is lower during the day than at night-the first robust evidence of the inhibition of leaf respiration by light at the ecosystem scale. Because they do not capture this effect, standard approaches overestimate ecosystem photosynthesis and daytime respiration in the first half of the growing season at our site, and inaccurately portray ecosystem photosynthetic light-use efficiency. These findings revise our understanding of forest-atmosphere carbon exchange, and provide a basis for investigating how leaf-level physiological dynamics manifest at the canopy scale in other ecosystems.","author":[{"dropping-particle":"","family":"Wehr","given":"R.","non-dropping-particle":"","parse-names":false,"suffix":""},{"dropping-particle":"","family":"Munger","given":"J. W.","non-dropping-particle":"","parse-names":false,"suffix":""},{"dropping-particle":"","family":"McManus","given":"J. B.","non-dropping-particle":"","parse-names":false,"suffix":""},{"dropping-particle":"","family":"Nelson","given":"D. D.","non-dropping-particle":"","parse-names":false,"suffix":""},{"dropping-particle":"","family":"Zahniser","given":"M. S.","non-dropping-particle":"","parse-names":false,"suffix":""},{"dropping-particle":"","family":"Davidson","given":"E. A.","non-dropping-particle":"","parse-names":false,"suffix":""},{"dropping-particle":"","family":"Wofsy","given":"S. C.","non-dropping-particle":"","parse-names":false,"suffix":""},{"dropping-particle":"","family":"Saleska","given":"S. R.","non-dropping-particle":"","parse-names":false,"suffix":""}],"container-title":"Nature","id":"ITEM-1","issue":"7609","issued":{"date-parts":[["2016"]]},"page":"680-683","title":"Seasonality of temperate forest photosynthesis and daytime respiration","type":"article-journal","volume":"534"},"uris":["http://www.mendeley.com/documents/?uuid=6c6724cd-2655-48ec-a33a-7fd9867cd181"]}],"mendeley":{"formattedCitation":"(Wehr et al., 2016)","plainTextFormattedCitation":"(Wehr et al., 2016)","previouslyFormattedCitation":"(Wehr et al., 2016)"},"properties":{"noteIndex":0},"schema":"https://github.com/citation-style-language/schema/raw/master/csl-citation.json"}</w:instrText>
      </w:r>
      <w:r w:rsidR="00B271CA" w:rsidRPr="0077373F">
        <w:rPr>
          <w:color w:val="000000" w:themeColor="text1"/>
          <w:lang w:val="en-GB"/>
        </w:rPr>
        <w:fldChar w:fldCharType="separate"/>
      </w:r>
      <w:r w:rsidR="00B271CA" w:rsidRPr="0077373F">
        <w:rPr>
          <w:noProof/>
          <w:color w:val="000000" w:themeColor="text1"/>
          <w:lang w:val="en-GB"/>
        </w:rPr>
        <w:t>(Wehr et al., 2016)</w:t>
      </w:r>
      <w:r w:rsidR="00B271CA" w:rsidRPr="0077373F">
        <w:rPr>
          <w:color w:val="000000" w:themeColor="text1"/>
          <w:lang w:val="en-GB"/>
        </w:rPr>
        <w:fldChar w:fldCharType="end"/>
      </w:r>
      <w:r w:rsidR="00B271CA" w:rsidRPr="0077373F">
        <w:rPr>
          <w:color w:val="000000" w:themeColor="text1"/>
          <w:lang w:val="en-GB"/>
        </w:rPr>
        <w:t xml:space="preserve">, </w:t>
      </w:r>
      <w:r w:rsidR="003D072F" w:rsidRPr="0077373F">
        <w:rPr>
          <w:color w:val="000000" w:themeColor="text1"/>
          <w:lang w:val="en-GB"/>
        </w:rPr>
        <w:t>but there is no evidence for a temporal trend in partitioning bias.</w:t>
      </w:r>
      <w:r w:rsidR="007B6572">
        <w:rPr>
          <w:color w:val="000000" w:themeColor="text1"/>
          <w:lang w:val="en-GB"/>
        </w:rPr>
        <w:t xml:space="preserve"> </w:t>
      </w:r>
      <w:r w:rsidR="00480337">
        <w:rPr>
          <w:color w:val="000000" w:themeColor="text1"/>
        </w:rPr>
        <w:fldChar w:fldCharType="begin" w:fldLock="1"/>
      </w:r>
      <w:r w:rsidR="00480337">
        <w:rPr>
          <w:color w:val="000000" w:themeColor="text1"/>
        </w:rPr>
        <w:instrText>ADDIN CSL_CITATION {"citationItems":[{"id":"ITEM-1","itemData":{"DOI":"10.1111/gcb.13893","ISBN":"4955139574","ISSN":"13541013","PMID":"28199780","abstract":"Intrinsic water-use efficiency (iWUE) characterizes the physiological control on the simultaneous exchange of water and carbon dioxide in terrestrial ecosystems. Knowl- edge of iWUE is commonly gained from leaf-level gas exchange measurements, which are inevitably restricted in their spatial and temporal coverage. Flux measurements based on the eddy covariance (EC) technique can overcome these limitations, as they provide continuous and long-term records of carbon and water fluxes at the ecosys- tem scale. However, vegetation gas exchange parameters derived from EC data are subject to scale-dependent and method-specific uncertainties that compromise their ecophysiological interpretation as well as their comparability among ecosystems and across spatial scales. Here, we use estimates of canopy conductance and gross primary productivity (GPP) derived from EC data to calculate a measure of iWUE (G1, “stomatal slope”) at the ecosystem level at six sites comprising tropical, Mediterranean, temper- ate, and boreal forests. We assess the following six mechanisms potentially causing discrepancies between leaf and ecosystem-level estimates of G1: (i) non-transpira- tional water fluxes; (ii) aerodynamic conductance; (iii) meteorological deviations between measurement height and canopy surface; (iv) energy balance non-closure; (v) uncertainties in net ecosystem exchange partitioning; and (vi) physiological within- canopy gradients. Our results demonstrate that an unclosed energy balance caused the largest uncertainties, in particular if it was associated with erroneous latent heat flux estimates. The effect of aerodynamic conductance on G1 was sufficiently cap- tured with a simple representation. G1 was found to be less sensitive to meteorological deviations between canopy surface and measurement height and, given that data are appropriately filtered, to non-transpirational water fluxes. Uncertainties in the derived GPP and physiological within-canopy gradients and their implications for parameter estimates at leaf and ecosystem level are discussed. Our results highlight the impor- tance of adequately considering the sources of uncertainty outlined here when EC- derived water-use efficiency is interpreted in an ecophysiological context.","author":[{"dropping-particle":"","family":"Knauer","given":"Jürgen","non-dropping-particle":"","parse-names":false,"suffix":""},{"dropping-particle":"","family":"Zaehle","given":"Sönke","non-dropping-particle":"","parse-names":false,"suffix":""},{"dropping-particle":"","family":"Medlyn","given":"Belinda E.","non-dropping-particle":"","parse-names":false,"suffix":""},{"dropping-particle":"","family":"Reichstein","given":"Markus","non-dropping-particle":"","parse-names":false,"suffix":""},{"dropping-particle":"","family":"Williams","given":"Christopher A.","non-dropping-particle":"","parse-names":false,"suffix":""},{"dropping-particle":"","family":"Migliavacca","given":"Mirco","non-dropping-particle":"","parse-names":false,"suffix":""},{"dropping-particle":"","family":"Kauwe","given":"Martin G.","non-dropping-particle":"De","parse-names":false,"suffix":""},{"dropping-particle":"","family":"Werner","given":"Christiane","non-dropping-particle":"","parse-names":false,"suffix":""},{"dropping-particle":"","family":"Keitel","given":"Claudia","non-dropping-particle":"","parse-names":false,"suffix":""},{"dropping-particle":"","family":"Kolari","given":"Pasi","non-dropping-particle":"","parse-names":false,"suffix":""},{"dropping-particle":"","family":"Limousin","given":"Jean-Marc","non-dropping-particle":"","parse-names":false,"suffix":""},{"dropping-particle":"","family":"Linderson","given":"Maj-Lena","non-dropping-particle":"","parse-names":false,"suffix":""}],"container-title":"Global Change Biology","id":"ITEM-1","issued":{"date-parts":[["2018"]]},"page":"694-710","title":"Towards physiologically meaningful water-use efficiency estimates from eddy covariance data","type":"article-journal","volume":"24"},"uris":["http://www.mendeley.com/documents/?uuid=c27b4605-2619-4ea3-8d61-098515d64e8e"]}],"mendeley":{"formattedCitation":"(Knauer, Zaehle, et al., 2018)","manualFormatting":"Knauer, Zaehle, et al. (2018)","plainTextFormattedCitation":"(Knauer, Zaehle, et al., 2018)","previouslyFormattedCitation":"(Knauer, Zaehle, et al., 2018)"},"properties":{"noteIndex":0},"schema":"https://github.com/citation-style-language/schema/raw/master/csl-citation.json"}</w:instrText>
      </w:r>
      <w:r w:rsidR="00480337">
        <w:rPr>
          <w:color w:val="000000" w:themeColor="text1"/>
        </w:rPr>
        <w:fldChar w:fldCharType="separate"/>
      </w:r>
      <w:r w:rsidR="00480337" w:rsidRPr="002F3ACF">
        <w:rPr>
          <w:noProof/>
          <w:color w:val="000000" w:themeColor="text1"/>
        </w:rPr>
        <w:t xml:space="preserve">Knauer, Zaehle, et al. </w:t>
      </w:r>
      <w:r w:rsidR="00480337">
        <w:rPr>
          <w:noProof/>
          <w:color w:val="000000" w:themeColor="text1"/>
        </w:rPr>
        <w:t>(</w:t>
      </w:r>
      <w:r w:rsidR="00480337" w:rsidRPr="002F3ACF">
        <w:rPr>
          <w:noProof/>
          <w:color w:val="000000" w:themeColor="text1"/>
        </w:rPr>
        <w:t>2018)</w:t>
      </w:r>
      <w:r w:rsidR="00480337">
        <w:rPr>
          <w:color w:val="000000" w:themeColor="text1"/>
        </w:rPr>
        <w:fldChar w:fldCharType="end"/>
      </w:r>
      <w:r w:rsidR="00480337">
        <w:rPr>
          <w:color w:val="000000" w:themeColor="text1"/>
        </w:rPr>
        <w:t xml:space="preserve"> </w:t>
      </w:r>
      <w:r w:rsidR="00F81785">
        <w:rPr>
          <w:color w:val="000000" w:themeColor="text1"/>
        </w:rPr>
        <w:t>show</w:t>
      </w:r>
      <w:r w:rsidR="00480337">
        <w:rPr>
          <w:color w:val="000000" w:themeColor="text1"/>
        </w:rPr>
        <w:t xml:space="preserve">ed that systematic errors related to energy balance non-closure or assumption of a full aerodynamic coupling between the vegetation and the atmosphere (i.e. infinite </w:t>
      </w:r>
      <w:r w:rsidR="00480337" w:rsidRPr="00AE38CC">
        <w:rPr>
          <w:i/>
          <w:color w:val="000000" w:themeColor="text1"/>
        </w:rPr>
        <w:t>G</w:t>
      </w:r>
      <w:r w:rsidR="00480337" w:rsidRPr="00AE38CC">
        <w:rPr>
          <w:color w:val="000000" w:themeColor="text1"/>
          <w:vertAlign w:val="subscript"/>
        </w:rPr>
        <w:t>a</w:t>
      </w:r>
      <w:r w:rsidR="00480337">
        <w:rPr>
          <w:color w:val="000000" w:themeColor="text1"/>
        </w:rPr>
        <w:t xml:space="preserve">) may be more critical for the accurate estimation of </w:t>
      </w:r>
      <w:r w:rsidR="00BE0B1C">
        <w:rPr>
          <w:color w:val="000000" w:themeColor="text1"/>
        </w:rPr>
        <w:t xml:space="preserve">ecosystem </w:t>
      </w:r>
      <w:r w:rsidR="00480337">
        <w:rPr>
          <w:color w:val="000000" w:themeColor="text1"/>
        </w:rPr>
        <w:t xml:space="preserve">WUE than those related to the selection of flux partitioning algorithm or the contribution from non-transpirational water fluxes (i.e. </w:t>
      </w:r>
      <w:r w:rsidR="00480337" w:rsidRPr="006D158C">
        <w:rPr>
          <w:i/>
          <w:color w:val="000000" w:themeColor="text1"/>
        </w:rPr>
        <w:t>E</w:t>
      </w:r>
      <w:r w:rsidR="00480337" w:rsidRPr="006D158C">
        <w:rPr>
          <w:color w:val="000000" w:themeColor="text1"/>
          <w:vertAlign w:val="subscript"/>
        </w:rPr>
        <w:t>v</w:t>
      </w:r>
      <w:r w:rsidR="00480337">
        <w:rPr>
          <w:color w:val="000000" w:themeColor="text1"/>
        </w:rPr>
        <w:t xml:space="preserve"> or </w:t>
      </w:r>
      <w:r w:rsidR="00480337" w:rsidRPr="006D158C">
        <w:rPr>
          <w:i/>
          <w:color w:val="000000" w:themeColor="text1"/>
        </w:rPr>
        <w:t>I</w:t>
      </w:r>
      <w:r w:rsidR="00480337" w:rsidRPr="006D158C">
        <w:rPr>
          <w:color w:val="000000" w:themeColor="text1"/>
          <w:vertAlign w:val="subscript"/>
        </w:rPr>
        <w:t>n</w:t>
      </w:r>
      <w:r w:rsidR="00480337">
        <w:rPr>
          <w:color w:val="000000" w:themeColor="text1"/>
        </w:rPr>
        <w:t>) to ET.</w:t>
      </w:r>
      <w:r w:rsidR="00E04321">
        <w:rPr>
          <w:color w:val="000000" w:themeColor="text1"/>
        </w:rPr>
        <w:t xml:space="preserve"> </w:t>
      </w:r>
      <w:r w:rsidR="002707B7">
        <w:rPr>
          <w:color w:val="000000" w:themeColor="text1"/>
        </w:rPr>
        <w:t>W</w:t>
      </w:r>
      <w:r w:rsidR="00E04321">
        <w:rPr>
          <w:color w:val="000000" w:themeColor="text1"/>
        </w:rPr>
        <w:t xml:space="preserve">e </w:t>
      </w:r>
      <w:r w:rsidR="006D67A8">
        <w:rPr>
          <w:color w:val="000000" w:themeColor="text1"/>
        </w:rPr>
        <w:t>investigat</w:t>
      </w:r>
      <w:r w:rsidR="00E04321">
        <w:rPr>
          <w:color w:val="000000" w:themeColor="text1"/>
        </w:rPr>
        <w:t xml:space="preserve">ed </w:t>
      </w:r>
      <w:r w:rsidR="0029285E">
        <w:rPr>
          <w:color w:val="000000" w:themeColor="text1"/>
        </w:rPr>
        <w:t xml:space="preserve">whether </w:t>
      </w:r>
      <w:r w:rsidR="006D67A8">
        <w:rPr>
          <w:color w:val="000000" w:themeColor="text1"/>
        </w:rPr>
        <w:t>the magnitude of the energy balance non</w:t>
      </w:r>
      <w:r w:rsidR="00CF761E">
        <w:rPr>
          <w:color w:val="000000" w:themeColor="text1"/>
        </w:rPr>
        <w:t>-</w:t>
      </w:r>
      <w:r w:rsidR="006D67A8">
        <w:rPr>
          <w:color w:val="000000" w:themeColor="text1"/>
        </w:rPr>
        <w:t xml:space="preserve">closure </w:t>
      </w:r>
      <w:r w:rsidR="0029285E">
        <w:rPr>
          <w:color w:val="000000" w:themeColor="text1"/>
        </w:rPr>
        <w:t xml:space="preserve">(i.e. </w:t>
      </w:r>
      <w:r w:rsidR="004126B8">
        <w:rPr>
          <w:color w:val="000000" w:themeColor="text1"/>
        </w:rPr>
        <w:t>r</w:t>
      </w:r>
      <w:r w:rsidR="00C20B58">
        <w:rPr>
          <w:color w:val="000000" w:themeColor="text1"/>
        </w:rPr>
        <w:t xml:space="preserve">esidual = </w:t>
      </w:r>
      <w:r w:rsidR="0029285E">
        <w:rPr>
          <w:color w:val="000000" w:themeColor="text1"/>
        </w:rPr>
        <w:t>R</w:t>
      </w:r>
      <w:r w:rsidR="0029285E" w:rsidRPr="0029285E">
        <w:rPr>
          <w:color w:val="000000" w:themeColor="text1"/>
          <w:vertAlign w:val="subscript"/>
        </w:rPr>
        <w:t>n</w:t>
      </w:r>
      <w:r w:rsidR="0029285E">
        <w:rPr>
          <w:color w:val="000000" w:themeColor="text1"/>
        </w:rPr>
        <w:t xml:space="preserve"> – (LE +H)) chang</w:t>
      </w:r>
      <w:r w:rsidR="002707B7">
        <w:rPr>
          <w:color w:val="000000" w:themeColor="text1"/>
        </w:rPr>
        <w:t>ed</w:t>
      </w:r>
      <w:r w:rsidR="0029285E">
        <w:rPr>
          <w:color w:val="000000" w:themeColor="text1"/>
        </w:rPr>
        <w:t xml:space="preserve"> </w:t>
      </w:r>
      <w:r w:rsidR="006D67A8">
        <w:rPr>
          <w:color w:val="000000" w:themeColor="text1"/>
        </w:rPr>
        <w:t xml:space="preserve">over time </w:t>
      </w:r>
      <w:r w:rsidR="002707B7">
        <w:rPr>
          <w:color w:val="000000" w:themeColor="text1"/>
        </w:rPr>
        <w:t xml:space="preserve">at </w:t>
      </w:r>
      <w:r w:rsidR="006D67A8">
        <w:rPr>
          <w:color w:val="000000" w:themeColor="text1"/>
        </w:rPr>
        <w:t xml:space="preserve">each </w:t>
      </w:r>
      <w:r w:rsidR="00D25BB2">
        <w:rPr>
          <w:color w:val="000000" w:themeColor="text1"/>
        </w:rPr>
        <w:t xml:space="preserve">eddy-covariance </w:t>
      </w:r>
      <w:r w:rsidR="006D67A8">
        <w:rPr>
          <w:color w:val="000000" w:themeColor="text1"/>
        </w:rPr>
        <w:t>site</w:t>
      </w:r>
      <w:r w:rsidR="0029285E">
        <w:rPr>
          <w:color w:val="000000" w:themeColor="text1"/>
        </w:rPr>
        <w:t xml:space="preserve">. </w:t>
      </w:r>
      <w:r w:rsidR="002707B7">
        <w:rPr>
          <w:color w:val="000000" w:themeColor="text1"/>
        </w:rPr>
        <w:t>D</w:t>
      </w:r>
      <w:r w:rsidR="00EF311B" w:rsidRPr="00EF311B">
        <w:rPr>
          <w:color w:val="000000" w:themeColor="text1"/>
        </w:rPr>
        <w:t xml:space="preserve">espite year-to-year </w:t>
      </w:r>
      <w:r w:rsidR="00CF761E">
        <w:rPr>
          <w:color w:val="000000" w:themeColor="text1"/>
        </w:rPr>
        <w:t>variability</w:t>
      </w:r>
      <w:r w:rsidR="00EF311B" w:rsidRPr="00EF311B">
        <w:rPr>
          <w:color w:val="000000" w:themeColor="text1"/>
        </w:rPr>
        <w:t xml:space="preserve"> in the residuals, the trends in the residual</w:t>
      </w:r>
      <w:r w:rsidR="00CF761E">
        <w:rPr>
          <w:color w:val="000000" w:themeColor="text1"/>
        </w:rPr>
        <w:t>s</w:t>
      </w:r>
      <w:r w:rsidR="00EF311B" w:rsidRPr="00EF311B">
        <w:rPr>
          <w:color w:val="000000" w:themeColor="text1"/>
        </w:rPr>
        <w:t xml:space="preserve"> were not significant </w:t>
      </w:r>
      <w:r w:rsidR="00652308" w:rsidRPr="00EF311B">
        <w:rPr>
          <w:color w:val="000000" w:themeColor="text1"/>
        </w:rPr>
        <w:t xml:space="preserve">for most sites </w:t>
      </w:r>
      <w:r w:rsidR="00EF311B" w:rsidRPr="00EF311B">
        <w:rPr>
          <w:color w:val="000000" w:themeColor="text1"/>
        </w:rPr>
        <w:t>(</w:t>
      </w:r>
      <w:r w:rsidR="0041471B">
        <w:rPr>
          <w:color w:val="000000" w:themeColor="text1"/>
        </w:rPr>
        <w:t>not shown</w:t>
      </w:r>
      <w:r w:rsidR="00EF311B" w:rsidRPr="00EF311B">
        <w:rPr>
          <w:color w:val="000000" w:themeColor="text1"/>
        </w:rPr>
        <w:t>), suggesting that energy balance non</w:t>
      </w:r>
      <w:r w:rsidR="00CF761E">
        <w:rPr>
          <w:color w:val="000000" w:themeColor="text1"/>
        </w:rPr>
        <w:t>-</w:t>
      </w:r>
      <w:r w:rsidR="00EF311B" w:rsidRPr="00EF311B">
        <w:rPr>
          <w:color w:val="000000" w:themeColor="text1"/>
        </w:rPr>
        <w:t xml:space="preserve">closure </w:t>
      </w:r>
      <w:r w:rsidR="002707B7">
        <w:rPr>
          <w:color w:val="000000" w:themeColor="text1"/>
        </w:rPr>
        <w:t>probably does</w:t>
      </w:r>
      <w:r w:rsidR="002707B7" w:rsidRPr="00EF311B">
        <w:rPr>
          <w:color w:val="000000" w:themeColor="text1"/>
        </w:rPr>
        <w:t xml:space="preserve"> </w:t>
      </w:r>
      <w:r w:rsidR="00EF311B" w:rsidRPr="00EF311B">
        <w:rPr>
          <w:color w:val="000000" w:themeColor="text1"/>
        </w:rPr>
        <w:t xml:space="preserve">not </w:t>
      </w:r>
      <w:r w:rsidR="0083741C">
        <w:rPr>
          <w:color w:val="000000" w:themeColor="text1"/>
        </w:rPr>
        <w:t xml:space="preserve">significantly </w:t>
      </w:r>
      <w:r w:rsidR="00EF311B" w:rsidRPr="00EF311B">
        <w:rPr>
          <w:color w:val="000000" w:themeColor="text1"/>
        </w:rPr>
        <w:t xml:space="preserve">affect </w:t>
      </w:r>
      <w:r w:rsidR="002707B7">
        <w:rPr>
          <w:color w:val="000000" w:themeColor="text1"/>
        </w:rPr>
        <w:t xml:space="preserve">estimated </w:t>
      </w:r>
      <w:r w:rsidR="00EF311B" w:rsidRPr="00EF311B">
        <w:rPr>
          <w:color w:val="000000" w:themeColor="text1"/>
        </w:rPr>
        <w:t xml:space="preserve">WUE trends. </w:t>
      </w:r>
      <w:r w:rsidR="003E43B6" w:rsidRPr="00EF311B">
        <w:rPr>
          <w:color w:val="000000" w:themeColor="text1"/>
        </w:rPr>
        <w:t>Nevertheless, the different magnitudes of change in</w:t>
      </w:r>
      <w:r w:rsidR="003E43B6">
        <w:rPr>
          <w:color w:val="000000" w:themeColor="text1"/>
        </w:rPr>
        <w:t xml:space="preserve"> IWUE</w:t>
      </w:r>
      <w:r w:rsidR="003E43B6" w:rsidRPr="00FF30B3">
        <w:rPr>
          <w:color w:val="000000" w:themeColor="text1"/>
          <w:vertAlign w:val="superscript"/>
        </w:rPr>
        <w:t>eco</w:t>
      </w:r>
      <w:r w:rsidR="003E43B6">
        <w:rPr>
          <w:color w:val="000000" w:themeColor="text1"/>
        </w:rPr>
        <w:t xml:space="preserve"> and iWUE</w:t>
      </w:r>
      <w:r w:rsidR="003E43B6" w:rsidRPr="00FF30B3">
        <w:rPr>
          <w:color w:val="000000" w:themeColor="text1"/>
          <w:vertAlign w:val="superscript"/>
        </w:rPr>
        <w:t>eco</w:t>
      </w:r>
      <w:r w:rsidR="003E43B6">
        <w:rPr>
          <w:color w:val="000000" w:themeColor="text1"/>
        </w:rPr>
        <w:t xml:space="preserve"> </w:t>
      </w:r>
      <w:r w:rsidR="003E43B6" w:rsidRPr="00EF311B">
        <w:rPr>
          <w:color w:val="000000" w:themeColor="text1"/>
        </w:rPr>
        <w:t>found here</w:t>
      </w:r>
      <w:r w:rsidR="003E43B6">
        <w:rPr>
          <w:color w:val="000000" w:themeColor="text1"/>
        </w:rPr>
        <w:t xml:space="preserve"> suggest that</w:t>
      </w:r>
      <w:r w:rsidR="003E43B6" w:rsidRPr="00EF311B">
        <w:rPr>
          <w:color w:val="000000" w:themeColor="text1"/>
        </w:rPr>
        <w:t xml:space="preserve"> assumptions </w:t>
      </w:r>
      <w:r w:rsidR="002707B7">
        <w:rPr>
          <w:color w:val="000000" w:themeColor="text1"/>
        </w:rPr>
        <w:t>about</w:t>
      </w:r>
      <w:r w:rsidR="002707B7" w:rsidRPr="00EF311B">
        <w:rPr>
          <w:color w:val="000000" w:themeColor="text1"/>
        </w:rPr>
        <w:t xml:space="preserve"> </w:t>
      </w:r>
      <w:r w:rsidR="003E43B6" w:rsidRPr="00EF311B">
        <w:rPr>
          <w:color w:val="000000" w:themeColor="text1"/>
        </w:rPr>
        <w:t xml:space="preserve">the aerodynamic conductance </w:t>
      </w:r>
      <w:r w:rsidR="002707B7">
        <w:rPr>
          <w:color w:val="000000" w:themeColor="text1"/>
        </w:rPr>
        <w:t xml:space="preserve">may be </w:t>
      </w:r>
      <w:r w:rsidR="00AC2C15">
        <w:rPr>
          <w:color w:val="000000" w:themeColor="text1"/>
        </w:rPr>
        <w:t>important</w:t>
      </w:r>
      <w:r w:rsidR="003E43B6">
        <w:rPr>
          <w:color w:val="000000" w:themeColor="text1"/>
        </w:rPr>
        <w:t>.</w:t>
      </w:r>
      <w:r w:rsidR="00847805">
        <w:rPr>
          <w:color w:val="000000" w:themeColor="text1"/>
        </w:rPr>
        <w:t xml:space="preserve"> </w:t>
      </w:r>
      <w:r w:rsidR="00847805">
        <w:rPr>
          <w:color w:val="000000" w:themeColor="text1"/>
          <w:lang w:val="en-GB"/>
        </w:rPr>
        <w:t>Note that m</w:t>
      </w:r>
      <w:r w:rsidR="003D072F" w:rsidRPr="0077373F">
        <w:rPr>
          <w:color w:val="000000" w:themeColor="text1"/>
          <w:lang w:val="en-GB"/>
        </w:rPr>
        <w:t xml:space="preserve">any </w:t>
      </w:r>
      <w:r w:rsidR="00455D2B">
        <w:rPr>
          <w:color w:val="000000" w:themeColor="text1"/>
          <w:lang w:val="en-GB"/>
        </w:rPr>
        <w:t>uncertainties</w:t>
      </w:r>
      <w:r w:rsidR="003D072F" w:rsidRPr="0077373F">
        <w:rPr>
          <w:color w:val="000000" w:themeColor="text1"/>
          <w:lang w:val="en-GB"/>
        </w:rPr>
        <w:t xml:space="preserve"> affect both LE and GPP, but because the two are coupled (when excluding non-transpirational fluxes</w:t>
      </w:r>
      <w:r w:rsidR="002707B7">
        <w:rPr>
          <w:color w:val="000000" w:themeColor="text1"/>
          <w:lang w:val="en-GB"/>
        </w:rPr>
        <w:t xml:space="preserve"> </w:t>
      </w:r>
      <w:r w:rsidR="002707B7" w:rsidRPr="0077373F">
        <w:rPr>
          <w:color w:val="000000" w:themeColor="text1"/>
          <w:lang w:val="en-GB"/>
        </w:rPr>
        <w:t xml:space="preserve">as </w:t>
      </w:r>
      <w:r w:rsidR="002707B7">
        <w:rPr>
          <w:color w:val="000000" w:themeColor="text1"/>
          <w:lang w:val="en-GB"/>
        </w:rPr>
        <w:t xml:space="preserve">far </w:t>
      </w:r>
      <w:r w:rsidR="002707B7" w:rsidRPr="0077373F">
        <w:rPr>
          <w:color w:val="000000" w:themeColor="text1"/>
          <w:lang w:val="en-GB"/>
        </w:rPr>
        <w:t>as possible</w:t>
      </w:r>
      <w:r w:rsidR="003D072F" w:rsidRPr="0077373F">
        <w:rPr>
          <w:color w:val="000000" w:themeColor="text1"/>
          <w:lang w:val="en-GB"/>
        </w:rPr>
        <w:t>), the variability in GPP/LE is much lower than that of either. Thus, year-to-year variability in ecosystem WUE is relatively low compared to that in GPP and LE, gi</w:t>
      </w:r>
      <w:r w:rsidR="002D215F" w:rsidRPr="0077373F">
        <w:rPr>
          <w:color w:val="000000" w:themeColor="text1"/>
          <w:lang w:val="en-GB"/>
        </w:rPr>
        <w:t>v</w:t>
      </w:r>
      <w:r w:rsidR="003D072F" w:rsidRPr="0077373F">
        <w:rPr>
          <w:color w:val="000000" w:themeColor="text1"/>
          <w:lang w:val="en-GB"/>
        </w:rPr>
        <w:t xml:space="preserve">ing </w:t>
      </w:r>
      <w:r w:rsidR="002707B7">
        <w:rPr>
          <w:color w:val="000000" w:themeColor="text1"/>
          <w:lang w:val="en-GB"/>
        </w:rPr>
        <w:t xml:space="preserve">a </w:t>
      </w:r>
      <w:r w:rsidR="003D072F" w:rsidRPr="0077373F">
        <w:rPr>
          <w:color w:val="000000" w:themeColor="text1"/>
          <w:lang w:val="en-GB"/>
        </w:rPr>
        <w:t xml:space="preserve">higher signal to </w:t>
      </w:r>
      <w:r w:rsidR="002D215F" w:rsidRPr="0077373F">
        <w:rPr>
          <w:color w:val="000000" w:themeColor="text1"/>
          <w:lang w:val="en-GB"/>
        </w:rPr>
        <w:t>n</w:t>
      </w:r>
      <w:r w:rsidR="003D072F" w:rsidRPr="0077373F">
        <w:rPr>
          <w:color w:val="000000" w:themeColor="text1"/>
          <w:lang w:val="en-GB"/>
        </w:rPr>
        <w:t>oise ratio.</w:t>
      </w:r>
      <w:r w:rsidR="003D072F">
        <w:rPr>
          <w:color w:val="FF0000"/>
          <w:lang w:val="en-GB"/>
        </w:rPr>
        <w:t xml:space="preserve"> </w:t>
      </w:r>
    </w:p>
    <w:p w14:paraId="1589E320" w14:textId="77777777" w:rsidR="006939A0" w:rsidRDefault="006939A0" w:rsidP="006939A0">
      <w:pPr>
        <w:pStyle w:val="Body"/>
        <w:spacing w:before="240" w:line="360" w:lineRule="auto"/>
        <w:jc w:val="both"/>
        <w:rPr>
          <w:b/>
          <w:color w:val="535353" w:themeColor="background2"/>
        </w:rPr>
      </w:pPr>
    </w:p>
    <w:p w14:paraId="64AFDC8E" w14:textId="3B4AD280" w:rsidR="00765615" w:rsidRPr="00EB0F5E" w:rsidRDefault="00C50FCE" w:rsidP="00EB0F5E">
      <w:pPr>
        <w:pStyle w:val="ListParagraph"/>
        <w:keepNext/>
        <w:numPr>
          <w:ilvl w:val="0"/>
          <w:numId w:val="29"/>
        </w:numPr>
        <w:spacing w:line="360" w:lineRule="auto"/>
        <w:jc w:val="both"/>
        <w:rPr>
          <w:rFonts w:ascii="Times New Roman" w:hAnsi="Times New Roman" w:cs="Times New Roman"/>
          <w:b/>
          <w:bCs/>
        </w:rPr>
      </w:pPr>
      <w:r w:rsidRPr="00EB0F5E">
        <w:rPr>
          <w:rFonts w:ascii="Times New Roman" w:hAnsi="Times New Roman" w:cs="Times New Roman"/>
          <w:b/>
          <w:bCs/>
          <w:iCs/>
          <w:color w:val="000000" w:themeColor="text1"/>
        </w:rPr>
        <w:t>WUE t</w:t>
      </w:r>
      <w:r w:rsidR="00765615" w:rsidRPr="00EB0F5E">
        <w:rPr>
          <w:rFonts w:ascii="Times New Roman" w:hAnsi="Times New Roman" w:cs="Times New Roman"/>
          <w:b/>
          <w:bCs/>
          <w:iCs/>
          <w:color w:val="000000" w:themeColor="text1"/>
        </w:rPr>
        <w:t xml:space="preserve">rends predicted by </w:t>
      </w:r>
      <w:r w:rsidR="002461EB">
        <w:rPr>
          <w:rFonts w:ascii="Times New Roman" w:hAnsi="Times New Roman" w:cs="Times New Roman"/>
          <w:b/>
          <w:color w:val="000000" w:themeColor="text1"/>
        </w:rPr>
        <w:t>vegetation models</w:t>
      </w:r>
      <w:r w:rsidR="00765615" w:rsidRPr="00EB0F5E">
        <w:rPr>
          <w:rFonts w:ascii="Times New Roman" w:hAnsi="Times New Roman" w:cs="Times New Roman"/>
          <w:b/>
          <w:bCs/>
          <w:iCs/>
          <w:color w:val="000000" w:themeColor="text1"/>
        </w:rPr>
        <w:t xml:space="preserve"> and </w:t>
      </w:r>
      <w:r w:rsidR="007B579D" w:rsidRPr="00EB0F5E">
        <w:rPr>
          <w:rFonts w:ascii="Times New Roman" w:hAnsi="Times New Roman" w:cs="Times New Roman"/>
          <w:b/>
          <w:bCs/>
          <w:iCs/>
          <w:color w:val="000000" w:themeColor="text1"/>
        </w:rPr>
        <w:t>agreement</w:t>
      </w:r>
      <w:r w:rsidR="00EA78AF" w:rsidRPr="00EB0F5E">
        <w:rPr>
          <w:rFonts w:ascii="Times New Roman" w:hAnsi="Times New Roman" w:cs="Times New Roman"/>
          <w:b/>
          <w:bCs/>
          <w:iCs/>
          <w:color w:val="000000" w:themeColor="text1"/>
        </w:rPr>
        <w:t>s</w:t>
      </w:r>
      <w:r w:rsidR="00765615" w:rsidRPr="00EB0F5E">
        <w:rPr>
          <w:rFonts w:ascii="Times New Roman" w:hAnsi="Times New Roman" w:cs="Times New Roman"/>
          <w:b/>
          <w:bCs/>
          <w:iCs/>
          <w:color w:val="000000" w:themeColor="text1"/>
        </w:rPr>
        <w:t xml:space="preserve"> with </w:t>
      </w:r>
      <w:r w:rsidR="007B579D" w:rsidRPr="00EB0F5E">
        <w:rPr>
          <w:rFonts w:ascii="Times New Roman" w:hAnsi="Times New Roman" w:cs="Times New Roman"/>
          <w:b/>
          <w:bCs/>
          <w:iCs/>
          <w:color w:val="000000" w:themeColor="text1"/>
        </w:rPr>
        <w:t>observations</w:t>
      </w:r>
    </w:p>
    <w:p w14:paraId="4995F499" w14:textId="2D56E12A" w:rsidR="006E05D1" w:rsidRDefault="00FE4631">
      <w:pPr>
        <w:pStyle w:val="Body"/>
        <w:spacing w:before="240" w:line="360" w:lineRule="auto"/>
        <w:jc w:val="both"/>
        <w:rPr>
          <w:rFonts w:cs="Times New Roman"/>
          <w:color w:val="000000" w:themeColor="text1"/>
        </w:rPr>
      </w:pPr>
      <w:r w:rsidRPr="00423768">
        <w:rPr>
          <w:rFonts w:cs="Times New Roman"/>
        </w:rPr>
        <w:t>Several attempts have been made to simulate WUE</w:t>
      </w:r>
      <w:r w:rsidRPr="00BD2160">
        <w:rPr>
          <w:rFonts w:cs="Times New Roman"/>
        </w:rPr>
        <w:t xml:space="preserve"> trends over the past century with different </w:t>
      </w:r>
      <w:r w:rsidR="00CA409C">
        <w:rPr>
          <w:rFonts w:cs="Times New Roman"/>
        </w:rPr>
        <w:t>vegetation models</w:t>
      </w:r>
      <w:r w:rsidRPr="00BD2160">
        <w:rPr>
          <w:rFonts w:cs="Times New Roman"/>
        </w:rPr>
        <w:t xml:space="preserve"> and to compare the resulting trends with observations from </w:t>
      </w:r>
      <w:r w:rsidR="00344789">
        <w:rPr>
          <w:rFonts w:cs="Times New Roman"/>
        </w:rPr>
        <w:t>tree-rings</w:t>
      </w:r>
      <w:r w:rsidR="0087658D">
        <w:rPr>
          <w:rFonts w:cs="Times New Roman"/>
        </w:rPr>
        <w:t xml:space="preserve"> an</w:t>
      </w:r>
      <w:r w:rsidR="00921373">
        <w:rPr>
          <w:rFonts w:cs="Times New Roman"/>
        </w:rPr>
        <w:t>d</w:t>
      </w:r>
      <w:r w:rsidR="0087658D" w:rsidRPr="00BD2160">
        <w:rPr>
          <w:rFonts w:cs="Times New Roman"/>
        </w:rPr>
        <w:t xml:space="preserve"> </w:t>
      </w:r>
      <w:r w:rsidR="00344789">
        <w:rPr>
          <w:rFonts w:cs="Times New Roman"/>
        </w:rPr>
        <w:t>eddy-covariance</w:t>
      </w:r>
      <w:r w:rsidR="009C04FB">
        <w:rPr>
          <w:rFonts w:cs="Times New Roman"/>
        </w:rPr>
        <w:t xml:space="preserve"> </w:t>
      </w:r>
      <w:r w:rsidR="00051626">
        <w:rPr>
          <w:rFonts w:cs="Times New Roman"/>
        </w:rPr>
        <w:t xml:space="preserve">flux towers </w:t>
      </w:r>
      <w:r w:rsidR="008E1D4B" w:rsidRPr="00E328E8">
        <w:rPr>
          <w:rFonts w:cs="Times New Roman"/>
          <w:color w:val="000000" w:themeColor="text1"/>
        </w:rPr>
        <w:t>(</w:t>
      </w:r>
      <w:r w:rsidR="008E1D4B">
        <w:rPr>
          <w:rFonts w:cs="Times New Roman"/>
          <w:color w:val="000000" w:themeColor="text1"/>
        </w:rPr>
        <w:t>Fig</w:t>
      </w:r>
      <w:r w:rsidR="00526431">
        <w:rPr>
          <w:rFonts w:cs="Times New Roman"/>
          <w:color w:val="000000" w:themeColor="text1"/>
        </w:rPr>
        <w:t>.</w:t>
      </w:r>
      <w:r w:rsidR="008E1D4B">
        <w:rPr>
          <w:rFonts w:cs="Times New Roman"/>
          <w:color w:val="000000" w:themeColor="text1"/>
        </w:rPr>
        <w:t xml:space="preserve"> 1</w:t>
      </w:r>
      <w:r w:rsidR="00B24DFC">
        <w:rPr>
          <w:rFonts w:cs="Times New Roman"/>
          <w:color w:val="000000" w:themeColor="text1"/>
        </w:rPr>
        <w:t>; Tables S1-</w:t>
      </w:r>
      <w:r w:rsidR="0087658D">
        <w:rPr>
          <w:rFonts w:cs="Times New Roman"/>
          <w:color w:val="000000" w:themeColor="text1"/>
        </w:rPr>
        <w:t>S</w:t>
      </w:r>
      <w:r w:rsidR="00E9793E">
        <w:rPr>
          <w:rFonts w:cs="Times New Roman"/>
          <w:color w:val="000000" w:themeColor="text1"/>
        </w:rPr>
        <w:t>4</w:t>
      </w:r>
      <w:r w:rsidR="008E1D4B" w:rsidRPr="00E328E8">
        <w:rPr>
          <w:rFonts w:cs="Times New Roman"/>
          <w:color w:val="000000" w:themeColor="text1"/>
        </w:rPr>
        <w:t>)</w:t>
      </w:r>
      <w:r w:rsidRPr="00BD2160">
        <w:rPr>
          <w:rFonts w:cs="Times New Roman"/>
        </w:rPr>
        <w:t xml:space="preserve">. </w:t>
      </w:r>
      <w:r w:rsidR="00DA01D7">
        <w:rPr>
          <w:rFonts w:cs="Times New Roman"/>
        </w:rPr>
        <w:fldChar w:fldCharType="begin" w:fldLock="1"/>
      </w:r>
      <w:r w:rsidR="00BB788A">
        <w:rPr>
          <w:rFonts w:cs="Times New Roman"/>
        </w:rPr>
        <w:instrText>ADDIN CSL_CITATION {"citationItems":[{"id":"ITEM-1","itemData":{"DOI":"10.1111/gcb.12717","ISBN":"1365-2486","ISSN":"1365-2486","PMID":"25156251","abstract":"The increasing carbon dioxide (CO2) concentration in the atmosphere in combination with climatic changes throughout the last century are likely to have had a profound effect on the physiology of trees: altering the carbon and water fluxes passing through the stomatal pores. However, the magnitude and spatial patterns of such changes in natural forests remain highly uncertain. Here, stable carbon isotope ratios from a network of 35 tree-ring sites located across Europe are investigated to determine the intrinsic water-use efficiency (iWUE), the ratio of photosynthesis to stomatal conductance from 1901 to 2000. The results were compared with simulations of a dynamic vegetation model (LPX-Bern 1.0) that integrates numerous ecosystem and land–atmosphere exchange processes in a theoretical framework. The spatial pattern of tree-ring derived iWUE of the investigated coniferous and deciduous species and the model results agreed significantly with a clear south-to-north gradient, as well as a general increase in iWUE over the 20th century. The magnitude of the iWUE increase was not spatially uniform, with the strongest increase observed and modelled for temperate forests in Central Europe, a region where summer soil-water availability decreased over the last century. We were able to demonstrate that the combined effects of increasing CO2 and climate change leading to soil drying have resulted in an accelerated increase in iWUE. These findings will help to reduce uncertainties in the land surface schemes of global climate models, where vegetation–climate feedbacks are currently still poorly constrained by observational data.","author":[{"dropping-particle":"","family":"Saurer","given":"M.","non-dropping-particle":"","parse-names":false,"suffix":""},{"dropping-particle":"","family":"Spahni","given":"R.","non-dropping-particle":"","parse-names":false,"suffix":""},{"dropping-particle":"","family":"Frank","given":"D. C.","non-dropping-particle":"","parse-names":false,"suffix":""},{"dropping-particle":"","family":"Joos","given":"Fortunat","non-dropping-particle":"","parse-names":false,"suffix":""},{"dropping-particle":"","family":"Leuenberger","given":"Markus","non-dropping-particle":"","parse-names":false,"suffix":""},{"dropping-particle":"","family":"Loader","given":"Neil J.","non-dropping-particle":"","parse-names":false,"suffix":""},{"dropping-particle":"","family":"McCarroll","given":"Danny","non-dropping-particle":"","parse-names":false,"suffix":""},{"dropping-particle":"","family":"Gagen","given":"Mary","non-dropping-particle":"","parse-names":false,"suffix":""},{"dropping-particle":"","family":"Poulter","given":"Ben","non-dropping-particle":"","parse-names":false,"suffix":""},{"dropping-particle":"","family":"Siegwolf","given":"Rolf T.W.","non-dropping-particle":"","parse-names":false,"suffix":""},{"dropping-particle":"","family":"Andreu-Hayles","given":"Laia","non-dropping-particle":"","parse-names":false,"suffix":""},{"dropping-particle":"","family":"Boettger","given":"Tatjana","non-dropping-particle":"","parse-names":false,"suffix":""},{"dropping-particle":"","family":"Dorado Liñán","given":"Isabel","non-dropping-particle":"","parse-names":false,"suffix":""},{"dropping-particle":"","family":"Fairchild","given":"Ian J.","non-dropping-particle":"","parse-names":false,"suffix":""},{"dropping-particle":"","family":"Friedrich","given":"Michael","non-dropping-particle":"","parse-names":false,"suffix":""},{"dropping-particle":"","family":"Gutierrez","given":"Emilia","non-dropping-particle":"","parse-names":false,"suffix":""},{"dropping-particle":"","family":"Haupt","given":"Marika","non-dropping-particle":"","parse-names":false,"suffix":""},{"dropping-particle":"","family":"Hilasvuori","given":"Emmi","non-dropping-particle":"","parse-names":false,"suffix":""},{"dropping-particle":"","family":"Heinrich","given":"Ingo","non-dropping-particle":"","parse-names":false,"suffix":""},{"dropping-particle":"","family":"Helle","given":"Gerd","non-dropping-particle":"","parse-names":false,"suffix":""},{"dropping-particle":"","family":"Grudd","given":"Håkan","non-dropping-particle":"","parse-names":false,"suffix":""},{"dropping-particle":"","family":"Jalkanen","given":"Risto","non-dropping-particle":"","parse-names":false,"suffix":""},{"dropping-particle":"","family":"Levanič","given":"Tom","non-dropping-particle":"","parse-names":false,"suffix":""},{"dropping-particle":"","family":"Linderholm","given":"Hans W.","non-dropping-particle":"","parse-names":false,"suffix":""},{"dropping-particle":"","family":"Robertson","given":"Iain","non-dropping-particle":"","parse-names":false,"suffix":""},{"dropping-particle":"","family":"Sonninen","given":"Eloni","non-dropping-particle":"","parse-names":false,"suffix":""},{"dropping-particle":"","family":"Treydte","given":"Kerstin","non-dropping-particle":"","parse-names":false,"suffix":""},{"dropping-particle":"","family":"Waterhouse","given":"John S.","non-dropping-particle":"","parse-names":false,"suffix":""},{"dropping-particle":"","family":"Woodley","given":"Ewan J.","non-dropping-particle":"","parse-names":false,"suffix":""},{"dropping-particle":"","family":"Wynn","given":"Peter M.","non-dropping-particle":"","parse-names":false,"suffix":""},{"dropping-particle":"","family":"Young","given":"Giles H.F.","non-dropping-particle":"","parse-names":false,"suffix":""}],"container-title":"Global Change Biology","id":"ITEM-1","issue":"12","issued":{"date-parts":[["2014"]]},"page":"3700-3712","title":"Spatial variability and temporal trends in water-use efficiency of European forests","type":"article-journal","volume":"20"},"uris":["http://www.mendeley.com/documents/?uuid=7fb86c9a-e8f9-4c93-bc58-f23d0df4e627"]}],"mendeley":{"formattedCitation":"(Saurer et al., 2014)","manualFormatting":"Saurer et al. (2014)","plainTextFormattedCitation":"(Saurer et al., 2014)","previouslyFormattedCitation":"(Saurer et al., 2014)"},"properties":{"noteIndex":0},"schema":"https://github.com/citation-style-language/schema/raw/master/csl-citation.json"}</w:instrText>
      </w:r>
      <w:r w:rsidR="00DA01D7">
        <w:rPr>
          <w:rFonts w:cs="Times New Roman"/>
        </w:rPr>
        <w:fldChar w:fldCharType="separate"/>
      </w:r>
      <w:r w:rsidR="00DA01D7" w:rsidRPr="00DA01D7">
        <w:rPr>
          <w:rFonts w:cs="Times New Roman"/>
          <w:noProof/>
        </w:rPr>
        <w:t>Saurer et al. (2014)</w:t>
      </w:r>
      <w:r w:rsidR="00DA01D7">
        <w:rPr>
          <w:rFonts w:cs="Times New Roman"/>
        </w:rPr>
        <w:fldChar w:fldCharType="end"/>
      </w:r>
      <w:r w:rsidRPr="00BD2160">
        <w:rPr>
          <w:rFonts w:cs="Times New Roman"/>
        </w:rPr>
        <w:t xml:space="preserve"> </w:t>
      </w:r>
      <w:r w:rsidR="00756F65">
        <w:rPr>
          <w:rFonts w:cs="Times New Roman"/>
        </w:rPr>
        <w:t>indicated</w:t>
      </w:r>
      <w:r w:rsidR="00756F65" w:rsidRPr="00BD2160">
        <w:rPr>
          <w:rFonts w:cs="Times New Roman"/>
        </w:rPr>
        <w:t xml:space="preserve"> </w:t>
      </w:r>
      <w:r w:rsidRPr="00BD2160">
        <w:rPr>
          <w:rFonts w:cs="Times New Roman"/>
        </w:rPr>
        <w:t xml:space="preserve">a weaker magnitude of </w:t>
      </w:r>
      <w:r w:rsidR="000D5462" w:rsidRPr="00BD2160">
        <w:rPr>
          <w:rFonts w:cs="Times New Roman"/>
        </w:rPr>
        <w:t>iWUE</w:t>
      </w:r>
      <w:r w:rsidR="000D5462" w:rsidRPr="001B08EE">
        <w:rPr>
          <w:rFonts w:cs="Times New Roman"/>
          <w:vertAlign w:val="superscript"/>
        </w:rPr>
        <w:t>l</w:t>
      </w:r>
      <w:r w:rsidR="000D5462">
        <w:rPr>
          <w:rFonts w:cs="Times New Roman"/>
          <w:vertAlign w:val="superscript"/>
        </w:rPr>
        <w:t>eaf</w:t>
      </w:r>
      <w:r w:rsidRPr="00BD2160">
        <w:rPr>
          <w:rFonts w:cs="Times New Roman"/>
        </w:rPr>
        <w:t xml:space="preserve"> increase in simulations from the </w:t>
      </w:r>
      <w:r w:rsidRPr="00BD2160">
        <w:rPr>
          <w:rFonts w:cs="Times New Roman"/>
          <w:color w:val="000000" w:themeColor="text1"/>
        </w:rPr>
        <w:t xml:space="preserve">Land Surface Processes and Exchanges version 1.0 (LPX-Bern1.0) model </w:t>
      </w:r>
      <w:r w:rsidRPr="00BD2160">
        <w:rPr>
          <w:rFonts w:cs="Times New Roman"/>
        </w:rPr>
        <w:t xml:space="preserve">than in the </w:t>
      </w:r>
      <w:r w:rsidR="00A91FF7">
        <w:rPr>
          <w:rFonts w:cs="Times New Roman"/>
        </w:rPr>
        <w:t>tree-ring</w:t>
      </w:r>
      <w:r w:rsidRPr="00BD2160">
        <w:rPr>
          <w:rFonts w:cs="Times New Roman"/>
        </w:rPr>
        <w:t xml:space="preserve"> inferred trends</w:t>
      </w:r>
      <w:r w:rsidRPr="00E328E8">
        <w:rPr>
          <w:rFonts w:cs="Times New Roman"/>
          <w:color w:val="000000" w:themeColor="text1"/>
        </w:rPr>
        <w:t xml:space="preserve">. </w:t>
      </w:r>
      <w:r w:rsidRPr="00BD2160">
        <w:rPr>
          <w:rFonts w:cs="Times New Roman"/>
        </w:rPr>
        <w:t xml:space="preserve">Similarly, </w:t>
      </w:r>
      <w:r w:rsidRPr="00BD2160">
        <w:rPr>
          <w:rFonts w:cs="Times New Roman"/>
          <w:color w:val="000000" w:themeColor="text1"/>
        </w:rPr>
        <w:t xml:space="preserve">different </w:t>
      </w:r>
      <w:r w:rsidR="00BE7AC1">
        <w:rPr>
          <w:rFonts w:cs="Times New Roman"/>
          <w:color w:val="000000" w:themeColor="text1"/>
        </w:rPr>
        <w:t xml:space="preserve">model </w:t>
      </w:r>
      <w:r w:rsidR="00BE7AC1" w:rsidRPr="00BD2160">
        <w:rPr>
          <w:rFonts w:cs="Times New Roman"/>
          <w:color w:val="000000" w:themeColor="text1"/>
        </w:rPr>
        <w:t xml:space="preserve">simulations </w:t>
      </w:r>
      <w:r w:rsidR="00BE7AC1">
        <w:rPr>
          <w:rFonts w:cs="Times New Roman"/>
          <w:color w:val="000000" w:themeColor="text1"/>
        </w:rPr>
        <w:t xml:space="preserve">from the </w:t>
      </w:r>
      <w:r w:rsidR="00BE7AC1" w:rsidRPr="00BD2160">
        <w:rPr>
          <w:rFonts w:cs="Times New Roman"/>
        </w:rPr>
        <w:t xml:space="preserve">Coupled Model Intercomparison Project phase </w:t>
      </w:r>
      <w:r w:rsidR="00BE7AC1">
        <w:rPr>
          <w:rFonts w:cs="Times New Roman"/>
        </w:rPr>
        <w:t>5</w:t>
      </w:r>
      <w:r w:rsidRPr="00BD2160">
        <w:rPr>
          <w:rFonts w:cs="Times New Roman"/>
          <w:color w:val="000000" w:themeColor="text1"/>
        </w:rPr>
        <w:t xml:space="preserve"> </w:t>
      </w:r>
      <w:r w:rsidR="002500FD">
        <w:rPr>
          <w:rFonts w:cs="Times New Roman"/>
          <w:color w:val="000000" w:themeColor="text1"/>
        </w:rPr>
        <w:t xml:space="preserve">(CMIP5) </w:t>
      </w:r>
      <w:r w:rsidRPr="00BD2160">
        <w:rPr>
          <w:rFonts w:cs="Times New Roman"/>
          <w:color w:val="000000" w:themeColor="text1"/>
        </w:rPr>
        <w:t>reported an increase of WUE</w:t>
      </w:r>
      <w:r w:rsidR="00E551B5" w:rsidRPr="00E551B5">
        <w:rPr>
          <w:rFonts w:cs="Times New Roman"/>
          <w:color w:val="000000" w:themeColor="text1"/>
          <w:vertAlign w:val="superscript"/>
        </w:rPr>
        <w:t>e</w:t>
      </w:r>
      <w:r w:rsidR="00AF77A2">
        <w:rPr>
          <w:rFonts w:cs="Times New Roman"/>
          <w:color w:val="000000" w:themeColor="text1"/>
          <w:vertAlign w:val="superscript"/>
        </w:rPr>
        <w:t>co</w:t>
      </w:r>
      <w:r w:rsidRPr="00BD2160">
        <w:rPr>
          <w:rFonts w:cs="Times New Roman"/>
          <w:color w:val="000000" w:themeColor="text1"/>
        </w:rPr>
        <w:t xml:space="preserve"> of 14</w:t>
      </w:r>
      <w:r w:rsidR="00756F65">
        <w:rPr>
          <w:rFonts w:cs="Times New Roman"/>
          <w:color w:val="000000" w:themeColor="text1"/>
        </w:rPr>
        <w:t xml:space="preserve"> </w:t>
      </w:r>
      <w:r w:rsidRPr="00BD2160">
        <w:rPr>
          <w:rFonts w:cs="Times New Roman"/>
          <w:color w:val="000000" w:themeColor="text1"/>
        </w:rPr>
        <w:sym w:font="Symbol" w:char="F0B1"/>
      </w:r>
      <w:r w:rsidR="00756F65">
        <w:rPr>
          <w:rFonts w:cs="Times New Roman"/>
          <w:color w:val="000000" w:themeColor="text1"/>
        </w:rPr>
        <w:t xml:space="preserve"> </w:t>
      </w:r>
      <w:r w:rsidRPr="00BD2160">
        <w:rPr>
          <w:rFonts w:cs="Times New Roman"/>
          <w:color w:val="000000" w:themeColor="text1"/>
        </w:rPr>
        <w:t>12% between 1860 and 2005</w:t>
      </w:r>
      <w:r w:rsidR="00756F65">
        <w:rPr>
          <w:rFonts w:cs="Times New Roman"/>
          <w:color w:val="000000" w:themeColor="text1"/>
        </w:rPr>
        <w:t>,</w:t>
      </w:r>
      <w:r w:rsidRPr="00BD2160">
        <w:rPr>
          <w:rFonts w:cs="Times New Roman"/>
          <w:color w:val="000000" w:themeColor="text1"/>
        </w:rPr>
        <w:t xml:space="preserve"> </w:t>
      </w:r>
      <w:r w:rsidR="00756F65">
        <w:rPr>
          <w:rFonts w:cs="Times New Roman"/>
          <w:color w:val="000000" w:themeColor="text1"/>
        </w:rPr>
        <w:t>a</w:t>
      </w:r>
      <w:r w:rsidR="00685AAB" w:rsidRPr="00BD2160">
        <w:rPr>
          <w:rFonts w:cs="Times New Roman"/>
          <w:color w:val="000000" w:themeColor="text1"/>
        </w:rPr>
        <w:t xml:space="preserve"> </w:t>
      </w:r>
      <w:r w:rsidRPr="00BD2160">
        <w:rPr>
          <w:rFonts w:cs="Times New Roman"/>
          <w:color w:val="000000" w:themeColor="text1"/>
        </w:rPr>
        <w:t>large underestimat</w:t>
      </w:r>
      <w:r w:rsidR="0046366D">
        <w:rPr>
          <w:rFonts w:cs="Times New Roman"/>
          <w:color w:val="000000" w:themeColor="text1"/>
        </w:rPr>
        <w:t>e</w:t>
      </w:r>
      <w:r w:rsidRPr="00BD2160">
        <w:rPr>
          <w:rFonts w:cs="Times New Roman"/>
          <w:color w:val="000000" w:themeColor="text1"/>
        </w:rPr>
        <w:t xml:space="preserve"> compared to the increase of around 40% inferred from a combination of </w:t>
      </w:r>
      <w:r w:rsidR="00E551B5">
        <w:rPr>
          <w:rFonts w:cs="Times New Roman"/>
          <w:color w:val="000000" w:themeColor="text1"/>
        </w:rPr>
        <w:t>tree-ring</w:t>
      </w:r>
      <w:r w:rsidRPr="00BD2160">
        <w:rPr>
          <w:rFonts w:cs="Times New Roman"/>
          <w:color w:val="000000" w:themeColor="text1"/>
        </w:rPr>
        <w:t xml:space="preserve"> and </w:t>
      </w:r>
      <w:r w:rsidR="00E551B5">
        <w:rPr>
          <w:rFonts w:cs="Times New Roman"/>
          <w:color w:val="000000" w:themeColor="text1"/>
        </w:rPr>
        <w:t>eddy-covariance</w:t>
      </w:r>
      <w:r w:rsidRPr="00BD2160">
        <w:rPr>
          <w:rFonts w:cs="Times New Roman"/>
          <w:color w:val="000000" w:themeColor="text1"/>
        </w:rPr>
        <w:t xml:space="preserve"> data over the same </w:t>
      </w:r>
      <w:r w:rsidRPr="00E46438">
        <w:rPr>
          <w:rFonts w:cs="Times New Roman"/>
          <w:color w:val="000000" w:themeColor="text1"/>
        </w:rPr>
        <w:t>period</w:t>
      </w:r>
      <w:r w:rsidR="00E46438" w:rsidRPr="00E46438">
        <w:rPr>
          <w:rFonts w:cs="Times New Roman"/>
          <w:color w:val="000000" w:themeColor="text1"/>
        </w:rPr>
        <w:t xml:space="preserve"> </w:t>
      </w:r>
      <w:r w:rsidR="00E46438" w:rsidRPr="00E46438">
        <w:rPr>
          <w:rFonts w:cs="Times New Roman"/>
          <w:color w:val="000000" w:themeColor="text1"/>
        </w:rPr>
        <w:fldChar w:fldCharType="begin" w:fldLock="1"/>
      </w:r>
      <w:r w:rsidR="007B0251">
        <w:rPr>
          <w:rFonts w:cs="Times New Roman"/>
          <w:color w:val="000000" w:themeColor="text1"/>
        </w:rPr>
        <w:instrText>ADDIN CSL_CITATION {"citationItems":[{"id":"ITEM-1","itemData":{"DOI":"10.5194/esd-7-525-2016","ISBN":"9788578110796","ISSN":"21904987","PMID":"25246403","abstract":"&lt;p&gt;Plant Water Use Efficiency (&lt;i&gt;WUE&lt;/i&gt;), which is the ratio of the uptake of carbon dioxide through photosynthesis to the loss of water through transpiration, is a very useful metric of the functioning of the land biosphere. &lt;i&gt;WUE&lt;/i&gt; is expected to increase with atmospheric CO&lt;sub&gt;2&lt;/sub&gt;, but to decline with increasing atmospheric evaporative demand – which can arise from increases in near-surface temperature or decreases in relative humidity. We have used Δ&lt;sup&gt;13&lt;/sup&gt;C measurements from tree-rings, along with eddy-covariance measurements from Fluxnet sites, to estimate the sensitivities of &lt;i&gt;WUE&lt;/i&gt; to changes in CO&lt;sub&gt;2&lt;/sub&gt; and atmospheric humidity deficit. This enables us to reconstruct fractional changes in &lt;i&gt;WUE&lt;/i&gt;, based on changes in atmospheric climate and CO&lt;sub&gt;2&lt;/sub&gt;, for the entire period of the instrumental global climate record. We estimate that overall &lt;i&gt;WUE&lt;/i&gt; increased from 1900 to 2010 by 48 ± 22 %, which is more than double that simulated by the latest Earth System Models. This long-term trend is largely driven by increases in CO&lt;sub&gt;2&lt;/sub&gt;, but significant inter-annual variability and regional differences are evident due to variations in temperature and relative humidity. There are several highly populated regions, such as Western Europe and East Asia, where the rate of increase of &lt;i&gt;WUE&lt;/i&gt; has declined sharply in the last two decades.&lt;/p&gt;","author":[{"dropping-particle":"","family":"Dekker","given":"Stefan C.","non-dropping-particle":"","parse-names":false,"suffix":""},{"dropping-particle":"","family":"Groenendijk","given":"Margriet","non-dropping-particle":"","parse-names":false,"suffix":""},{"dropping-particle":"","family":"Booth","given":"Ben B.B.","non-dropping-particle":"","parse-names":false,"suffix":""},{"dropping-particle":"","family":"Huntingford","given":"Chris","non-dropping-particle":"","parse-names":false,"suffix":""},{"dropping-particle":"","family":"Cox","given":"Peter M.","non-dropping-particle":"","parse-names":false,"suffix":""}],"container-title":"Earth System Dynamics","id":"ITEM-1","issue":"2","issued":{"date-parts":[["2016"]]},"page":"525-533","title":"Spatial and temporal variations in plant water-use efficiency inferred from tree-ring, eddy covariance and atmospheric observations","type":"article-journal","volume":"7"},"uris":["http://www.mendeley.com/documents/?uuid=00833f11-9b0e-47a1-82d0-870fcef8cd1f"]}],"mendeley":{"formattedCitation":"(Dekker et al., 2016)","plainTextFormattedCitation":"(Dekker et al., 2016)","previouslyFormattedCitation":"(Dekker et al., 2016)"},"properties":{"noteIndex":0},"schema":"https://github.com/citation-style-language/schema/raw/master/csl-citation.json"}</w:instrText>
      </w:r>
      <w:r w:rsidR="00E46438" w:rsidRPr="00E46438">
        <w:rPr>
          <w:rFonts w:cs="Times New Roman"/>
          <w:color w:val="000000" w:themeColor="text1"/>
        </w:rPr>
        <w:fldChar w:fldCharType="separate"/>
      </w:r>
      <w:r w:rsidR="007B0251" w:rsidRPr="007B0251">
        <w:rPr>
          <w:rFonts w:cs="Times New Roman"/>
          <w:noProof/>
          <w:color w:val="000000" w:themeColor="text1"/>
        </w:rPr>
        <w:t>(Dekker et al., 2016)</w:t>
      </w:r>
      <w:r w:rsidR="00E46438" w:rsidRPr="00E46438">
        <w:rPr>
          <w:rFonts w:cs="Times New Roman"/>
          <w:color w:val="000000" w:themeColor="text1"/>
        </w:rPr>
        <w:fldChar w:fldCharType="end"/>
      </w:r>
      <w:r w:rsidRPr="00BD2160">
        <w:rPr>
          <w:rFonts w:cs="Times New Roman"/>
          <w:color w:val="000000" w:themeColor="text1"/>
        </w:rPr>
        <w:t xml:space="preserve">. </w:t>
      </w:r>
      <w:r w:rsidR="00FC301B">
        <w:rPr>
          <w:rFonts w:cs="Times New Roman"/>
          <w:color w:val="000000" w:themeColor="text1"/>
        </w:rPr>
        <w:fldChar w:fldCharType="begin" w:fldLock="1"/>
      </w:r>
      <w:r w:rsidR="00C24C64">
        <w:rPr>
          <w:rFonts w:cs="Times New Roman"/>
          <w:color w:val="000000" w:themeColor="text1"/>
        </w:rPr>
        <w:instrText>ADDIN CSL_CITATION {"citationItems":[{"id":"ITEM-1","itemData":{"DOI":"10.1038/nclimate2614","ISBN":"1758-6798","ISSN":"1758-678X","abstract":"The Earth’s carbon and hydrologic cycles are intimately coupled by gas exchange through plant stomata. However, uncertainties in the magnitude and consequences of the physiological responses of plants to elevated CO2 in natural environments hinders modelling of terrestrial water cycling and carbon storage. Here we use annually resolved long-term δ13C tree-ring measurements across a European forest network to reconstruct the physiologically driven response of intercellular CO2 (Ci) caused by atmospheric CO2 (Ca) trends. When removing meteorological signals from the δ13C measurements, we find that trees across Europe regulated gas exchange so that for one ppmv atmospheric CO2 increase, Ci increased by ~0.76 ppmv, most consistent with moderate control towards a constant Ci/Ca ratio. This response corresponds to twentieth-century intrinsic water-use efficiency (iWUE) increases of 14 ± 10 and 22 ± 6% at broadleaf and coniferous sites, respectively. An ensemble of process-based global vegetation models shows similar CO2 effects on iWUE trends. Yet, when operating these models with climate drivers reintroduced, despite decreased stomatal opening, 5% increases in European forest transpiration are calculated over the twentieth century. This counterintuitive result arises from lengthened growing seasons, enhanced evaporative demand in a warming climate, and increased leaf area, which together oppose effects of CO2-induced stomatal closure. Our study questions changes to the hydrological cycle, such as reductions in transpiration and air humidity, hypothesized to result from plant responses to anthropogenic emissions.","author":[{"dropping-particle":"","family":"Frank","given":"D. C.","non-dropping-particle":"","parse-names":false,"suffix":""},{"dropping-particle":"","family":"Poulter","given":"B.","non-dropping-particle":"","parse-names":false,"suffix":""},{"dropping-particle":"","family":"Saurer","given":"M.","non-dropping-particle":"","parse-names":false,"suffix":""},{"dropping-particle":"","family":"Esper","given":"J.","non-dropping-particle":"","parse-names":false,"suffix":""},{"dropping-particle":"","family":"Huntingford","given":"C.","non-dropping-particle":"","parse-names":false,"suffix":""},{"dropping-particle":"","family":"Helle","given":"G.","non-dropping-particle":"","parse-names":false,"suffix":""},{"dropping-particle":"","family":"Treydte","given":"K.","non-dropping-particle":"","parse-names":false,"suffix":""},{"dropping-particle":"","family":"Zimmermann","given":"N. E.","non-dropping-particle":"","parse-names":false,"suffix":""},{"dropping-particle":"","family":"Schleser","given":"G. H.","non-dropping-particle":"","parse-names":false,"suffix":""},{"dropping-particle":"","family":"Ahlström","given":"A.","non-dropping-particle":"","parse-names":false,"suffix":""},{"dropping-particle":"","family":"Ciais","given":"P.","non-dropping-particle":"","parse-names":false,"suffix":""},{"dropping-particle":"","family":"Friedlingstein","given":"P.","non-dropping-particle":"","parse-names":false,"suffix":""},{"dropping-particle":"","family":"Levis","given":"S.","non-dropping-particle":"","parse-names":false,"suffix":""},{"dropping-particle":"","family":"Lomas","given":"M.","non-dropping-particle":"","parse-names":false,"suffix":""},{"dropping-particle":"","family":"Sitch","given":"S.","non-dropping-particle":"","parse-names":false,"suffix":""},{"dropping-particle":"","family":"Viovy","given":"N.","non-dropping-particle":"","parse-names":false,"suffix":""},{"dropping-particle":"","family":"Andreu-Hayles","given":"L.","non-dropping-particle":"","parse-names":false,"suffix":""},{"dropping-particle":"","family":"Bednarz","given":"Z.","non-dropping-particle":"","parse-names":false,"suffix":""},{"dropping-particle":"","family":"Berninger","given":"F.","non-dropping-particle":"","parse-names":false,"suffix":""},{"dropping-particle":"","family":"Boettger","given":"T.","non-dropping-particle":"","parse-names":false,"suffix":""},{"dropping-particle":"","family":"D'Alessandro","given":"C. M.","non-dropping-particle":"","parse-names":false,"suffix":""},{"dropping-particle":"","family":"Daux","given":"V.","non-dropping-particle":"","parse-names":false,"suffix":""},{"dropping-particle":"","family":"Filot","given":"M.","non-dropping-particle":"","parse-names":false,"suffix":""},{"dropping-particle":"","family":"Grabner","given":"M.","non-dropping-particle":"","parse-names":false,"suffix":""},{"dropping-particle":"","family":"Gutierrez","given":"E.","non-dropping-particle":"","parse-names":false,"suffix":""},{"dropping-particle":"","family":"Haupt","given":"M.","non-dropping-particle":"","parse-names":false,"suffix":""},{"dropping-particle":"","family":"Hilasvuori","given":"E.","non-dropping-particle":"","parse-names":false,"suffix":""},{"dropping-particle":"","family":"Jungner","given":"H.","non-dropping-particle":"","parse-names":false,"suffix":""},{"dropping-particle":"","family":"Kalela-Brundin","given":"M.","non-dropping-particle":"","parse-names":false,"suffix":""},{"dropping-particle":"","family":"Krapiec","given":"M.","non-dropping-particle":"","parse-names":false,"suffix":""},{"dropping-particle":"","family":"Leuenberger","given":"M.","non-dropping-particle":"","parse-names":false,"suffix":""},{"dropping-particle":"","family":"Loader","given":"N. J.","non-dropping-particle":"","parse-names":false,"suffix":""},{"dropping-particle":"","family":"Marah","given":"H.","non-dropping-particle":"","parse-names":false,"suffix":""},{"dropping-particle":"","family":"Masson-Delmotte","given":"V.","non-dropping-particle":"","parse-names":false,"suffix":""},{"dropping-particle":"","family":"Pazdur","given":"A.","non-dropping-particle":"","parse-names":false,"suffix":""},{"dropping-particle":"","family":"Pawelczyk","given":"S.","non-dropping-particle":"","parse-names":false,"suffix":""},{"dropping-particle":"","family":"Pierre","given":"M.","non-dropping-particle":"","parse-names":false,"suffix":""},{"dropping-particle":"","family":"Planells","given":"O.","non-dropping-particle":"","parse-names":false,"suffix":""},{"dropping-particle":"","family":"Pukiene","given":"R.","non-dropping-particle":"","parse-names":false,"suffix":""},{"dropping-particle":"","family":"Reynolds-Henne","given":"C. E.","non-dropping-particle":"","parse-names":false,"suffix":""},{"dropping-particle":"","family":"Rinne","given":"K. T.","non-dropping-particle":"","parse-names":false,"suffix":""},{"dropping-particle":"","family":"Saracino","given":"A.","non-dropping-particle":"","parse-names":false,"suffix":""},{"dropping-particle":"","family":"Sonninen","given":"E.","non-dropping-particle":"","parse-names":false,"suffix":""},{"dropping-particle":"","family":"Stievenard","given":"M.","non-dropping-particle":"","parse-names":false,"suffix":""},{"dropping-particle":"","family":"Switsur","given":"V. R.","non-dropping-particle":"","parse-names":false,"suffix":""},{"dropping-particle":"","family":"Szczepanek","given":"M.","non-dropping-particle":"","parse-names":false,"suffix":""},{"dropping-particle":"","family":"Szychowska-Krapiec","given":"E.","non-dropping-particle":"","parse-names":false,"suffix":""},{"dropping-particle":"","family":"Todaro","given":"L.","non-dropping-particle":"","parse-names":false,"suffix":""},{"dropping-particle":"","family":"Waterhouse","given":"J. S.","non-dropping-particle":"","parse-names":false,"suffix":""},{"dropping-particle":"","family":"Weigl","given":"M.","non-dropping-particle":"","parse-names":false,"suffix":""}],"container-title":"Nature Climate Change","id":"ITEM-1","issue":"6","issued":{"date-parts":[["2015"]]},"page":"579-583","title":"Water-use efficiency and transpiration across European forests during the Anthropocene","type":"article-journal","volume":"5"},"uris":["http://www.mendeley.com/documents/?uuid=ac469d75-cf10-4cf2-85ca-b5f93e6eab8e"]}],"mendeley":{"formattedCitation":"(Frank et al., 2015)","manualFormatting":"Frank et al. (2015)","plainTextFormattedCitation":"(Frank et al., 2015)","previouslyFormattedCitation":"(Frank et al., 2015)"},"properties":{"noteIndex":0},"schema":"https://github.com/citation-style-language/schema/raw/master/csl-citation.json"}</w:instrText>
      </w:r>
      <w:r w:rsidR="00FC301B">
        <w:rPr>
          <w:rFonts w:cs="Times New Roman"/>
          <w:color w:val="000000" w:themeColor="text1"/>
        </w:rPr>
        <w:fldChar w:fldCharType="separate"/>
      </w:r>
      <w:r w:rsidR="00FC301B">
        <w:rPr>
          <w:rFonts w:cs="Times New Roman"/>
          <w:noProof/>
          <w:color w:val="000000" w:themeColor="text1"/>
        </w:rPr>
        <w:t>Frank et al.</w:t>
      </w:r>
      <w:r w:rsidR="00FC301B" w:rsidRPr="00FC301B">
        <w:rPr>
          <w:rFonts w:cs="Times New Roman"/>
          <w:noProof/>
          <w:color w:val="000000" w:themeColor="text1"/>
        </w:rPr>
        <w:t xml:space="preserve"> </w:t>
      </w:r>
      <w:r w:rsidR="00FC301B">
        <w:rPr>
          <w:rFonts w:cs="Times New Roman"/>
          <w:noProof/>
          <w:color w:val="000000" w:themeColor="text1"/>
        </w:rPr>
        <w:t>(</w:t>
      </w:r>
      <w:r w:rsidR="00FC301B" w:rsidRPr="00FC301B">
        <w:rPr>
          <w:rFonts w:cs="Times New Roman"/>
          <w:noProof/>
          <w:color w:val="000000" w:themeColor="text1"/>
        </w:rPr>
        <w:t>2015)</w:t>
      </w:r>
      <w:r w:rsidR="00FC301B">
        <w:rPr>
          <w:rFonts w:cs="Times New Roman"/>
          <w:color w:val="000000" w:themeColor="text1"/>
        </w:rPr>
        <w:fldChar w:fldCharType="end"/>
      </w:r>
      <w:r w:rsidRPr="00BD2160">
        <w:rPr>
          <w:rFonts w:cs="Times New Roman"/>
        </w:rPr>
        <w:t xml:space="preserve"> did not </w:t>
      </w:r>
      <w:r w:rsidR="00756F65" w:rsidRPr="00BD2160">
        <w:rPr>
          <w:rFonts w:cs="Times New Roman"/>
        </w:rPr>
        <w:t>f</w:t>
      </w:r>
      <w:r w:rsidR="00756F65">
        <w:rPr>
          <w:rFonts w:cs="Times New Roman"/>
        </w:rPr>
        <w:t>i</w:t>
      </w:r>
      <w:r w:rsidR="00756F65" w:rsidRPr="00BD2160">
        <w:rPr>
          <w:rFonts w:cs="Times New Roman"/>
        </w:rPr>
        <w:t xml:space="preserve">nd </w:t>
      </w:r>
      <w:r w:rsidRPr="00BD2160">
        <w:rPr>
          <w:rFonts w:cs="Times New Roman"/>
        </w:rPr>
        <w:t xml:space="preserve">statistically different </w:t>
      </w:r>
      <w:r w:rsidR="000D5462" w:rsidRPr="00BD2160">
        <w:rPr>
          <w:rFonts w:cs="Times New Roman"/>
        </w:rPr>
        <w:t>iWUE</w:t>
      </w:r>
      <w:r w:rsidR="000D5462" w:rsidRPr="001B08EE">
        <w:rPr>
          <w:rFonts w:cs="Times New Roman"/>
          <w:vertAlign w:val="superscript"/>
        </w:rPr>
        <w:t>l</w:t>
      </w:r>
      <w:r w:rsidR="000D5462">
        <w:rPr>
          <w:rFonts w:cs="Times New Roman"/>
          <w:vertAlign w:val="superscript"/>
        </w:rPr>
        <w:t>eaf</w:t>
      </w:r>
      <w:r w:rsidRPr="00BD2160">
        <w:rPr>
          <w:rFonts w:cs="Times New Roman"/>
        </w:rPr>
        <w:t xml:space="preserve"> values and trends between </w:t>
      </w:r>
      <w:r w:rsidR="00E9793E">
        <w:rPr>
          <w:rFonts w:cs="Times New Roman"/>
        </w:rPr>
        <w:t>DBF and ENF</w:t>
      </w:r>
      <w:r w:rsidRPr="00BD2160">
        <w:rPr>
          <w:rFonts w:cs="Times New Roman"/>
        </w:rPr>
        <w:t xml:space="preserve"> in simulations </w:t>
      </w:r>
      <w:r w:rsidR="00756F65">
        <w:rPr>
          <w:rFonts w:cs="Times New Roman"/>
        </w:rPr>
        <w:t>by</w:t>
      </w:r>
      <w:r w:rsidR="00756F65" w:rsidRPr="00BD2160">
        <w:rPr>
          <w:rFonts w:cs="Times New Roman"/>
        </w:rPr>
        <w:t xml:space="preserve"> </w:t>
      </w:r>
      <w:r w:rsidR="00756F65">
        <w:rPr>
          <w:rFonts w:cs="Times New Roman"/>
        </w:rPr>
        <w:t>several</w:t>
      </w:r>
      <w:r w:rsidR="00756F65" w:rsidRPr="00BD2160">
        <w:rPr>
          <w:rFonts w:cs="Times New Roman"/>
        </w:rPr>
        <w:t xml:space="preserve"> </w:t>
      </w:r>
      <w:r w:rsidR="0054273A">
        <w:rPr>
          <w:rFonts w:cs="Times New Roman"/>
        </w:rPr>
        <w:t>vegetation models</w:t>
      </w:r>
      <w:r w:rsidR="00756F65">
        <w:rPr>
          <w:rFonts w:cs="Times New Roman"/>
        </w:rPr>
        <w:t xml:space="preserve">, although </w:t>
      </w:r>
      <w:r w:rsidR="00E9793E">
        <w:rPr>
          <w:rFonts w:cs="Times New Roman"/>
        </w:rPr>
        <w:t xml:space="preserve">slight </w:t>
      </w:r>
      <w:r w:rsidR="00756F65">
        <w:rPr>
          <w:rFonts w:cs="Times New Roman"/>
        </w:rPr>
        <w:t>differences</w:t>
      </w:r>
      <w:r w:rsidRPr="00BD2160">
        <w:rPr>
          <w:rFonts w:cs="Times New Roman"/>
          <w:color w:val="FF0000"/>
        </w:rPr>
        <w:t xml:space="preserve"> </w:t>
      </w:r>
      <w:r w:rsidR="00756F65">
        <w:rPr>
          <w:rFonts w:cs="Times New Roman"/>
        </w:rPr>
        <w:t>were</w:t>
      </w:r>
      <w:r w:rsidRPr="00BD2160">
        <w:rPr>
          <w:rFonts w:cs="Times New Roman"/>
        </w:rPr>
        <w:t xml:space="preserve"> observed in their </w:t>
      </w:r>
      <w:r w:rsidR="00E551B5">
        <w:rPr>
          <w:rFonts w:cs="Times New Roman"/>
        </w:rPr>
        <w:t>tree-ring</w:t>
      </w:r>
      <w:r w:rsidRPr="00BD2160">
        <w:rPr>
          <w:rFonts w:cs="Times New Roman"/>
        </w:rPr>
        <w:t xml:space="preserve"> based estimat</w:t>
      </w:r>
      <w:r w:rsidR="00756F65">
        <w:rPr>
          <w:rFonts w:cs="Times New Roman"/>
        </w:rPr>
        <w:t>es</w:t>
      </w:r>
      <w:r w:rsidRPr="00BD2160">
        <w:rPr>
          <w:rFonts w:cs="Times New Roman"/>
          <w:color w:val="000000" w:themeColor="text1"/>
        </w:rPr>
        <w:t xml:space="preserve">. </w:t>
      </w:r>
      <w:r w:rsidR="00C24C64">
        <w:rPr>
          <w:rFonts w:cs="Times New Roman"/>
          <w:color w:val="000000" w:themeColor="text1"/>
        </w:rPr>
        <w:fldChar w:fldCharType="begin" w:fldLock="1"/>
      </w:r>
      <w:r w:rsidR="00903340">
        <w:rPr>
          <w:rFonts w:cs="Times New Roman"/>
          <w:color w:val="000000" w:themeColor="text1"/>
        </w:rPr>
        <w:instrText>ADDIN CSL_CITATION {"citationItems":[{"id":"ITEM-1","itemData":{"DOI":"10.5194/bg-14-2641-2017","ISBN":"1720130019","ISSN":"17264189","abstract":"Measurements of the stable carbon isotope ratio (δ13C) on annual tree rings offer new opportunities to evaluate mechanisms of variations in photosynthesis and stomatal conductance under changing CO2 and climate conditions, especially in conjunction with process-based biogeochemical model simulations. The isotopic discrimination is indicative of the ratio between</w:instrText>
      </w:r>
      <w:r w:rsidR="00903340">
        <w:rPr>
          <w:rFonts w:cs="Times New Roman" w:hint="eastAsia"/>
          <w:color w:val="000000" w:themeColor="text1"/>
        </w:rPr>
        <w:instrText xml:space="preserve"> the CO2 partial pressure in the intercellular cavities and the atmosphere (ci</w:instrText>
      </w:r>
      <w:r w:rsidR="00903340">
        <w:rPr>
          <w:rFonts w:cs="Times New Roman" w:hint="eastAsia"/>
          <w:color w:val="000000" w:themeColor="text1"/>
        </w:rPr>
        <w:instrText>∕</w:instrText>
      </w:r>
      <w:r w:rsidR="00903340">
        <w:rPr>
          <w:rFonts w:cs="Times New Roman" w:hint="eastAsia"/>
          <w:color w:val="000000" w:themeColor="text1"/>
        </w:rPr>
        <w:instrText xml:space="preserve">ca) and of the ratio of assimilation to stomatal conductance, termed intrinsic water-use efficiency (iWUE). We performed isotope-enabled simulations over the industrial period </w:instrText>
      </w:r>
      <w:r w:rsidR="00903340">
        <w:rPr>
          <w:rFonts w:cs="Times New Roman"/>
          <w:color w:val="000000" w:themeColor="text1"/>
        </w:rPr>
        <w:instrText>with the land biosphere module (CLM4.5) of the Community Earth System Model and the Land Surface Processes and Exchanges (LPX-Bern) dynamic global vegetation model. Results for C3 tree species show good agreement with a global compilation of δ13C measurements on leaves, though modeled 13C discrimination by C3 trees is smaller in arid regions than measured. A compilation of 76 tree-ring records, mainly from Europe, boreal Asia, and western North America, suggests on average small 20th century changes in is</w:instrText>
      </w:r>
      <w:r w:rsidR="00903340">
        <w:rPr>
          <w:rFonts w:cs="Times New Roman" w:hint="eastAsia"/>
          <w:color w:val="000000" w:themeColor="text1"/>
        </w:rPr>
        <w:instrText>otopic discrimination and in ci</w:instrText>
      </w:r>
      <w:r w:rsidR="00903340">
        <w:rPr>
          <w:rFonts w:cs="Times New Roman" w:hint="eastAsia"/>
          <w:color w:val="000000" w:themeColor="text1"/>
        </w:rPr>
        <w:instrText>∕</w:instrText>
      </w:r>
      <w:r w:rsidR="00903340">
        <w:rPr>
          <w:rFonts w:cs="Times New Roman" w:hint="eastAsia"/>
          <w:color w:val="000000" w:themeColor="text1"/>
        </w:rPr>
        <w:instrText>ca and an increase in iWUE of about 27 % since 1900. LPX-Bern results match these century-scale reconstructions, supporting the idea that the physiology of stomata has evolved to optimize trade-offs between carbon gain by a</w:instrText>
      </w:r>
      <w:r w:rsidR="00903340">
        <w:rPr>
          <w:rFonts w:cs="Times New Roman"/>
          <w:color w:val="000000" w:themeColor="text1"/>
        </w:rPr>
        <w:instrText>ssimilation and water loss by transpiration. In contrast, CLM4.5 simulates an increase in discrimination and in turn a change in iWUE that is almost twice as large as that revealed by the tree-ring data. Factorial simulations show that these changes are m</w:instrText>
      </w:r>
      <w:r w:rsidR="00903340">
        <w:rPr>
          <w:rFonts w:cs="Times New Roman" w:hint="eastAsia"/>
          <w:color w:val="000000" w:themeColor="text1"/>
        </w:rPr>
        <w:instrText>ainly in response to rising atmospheric CO2. The results suggest that the downregulation of ci</w:instrText>
      </w:r>
      <w:r w:rsidR="00903340">
        <w:rPr>
          <w:rFonts w:cs="Times New Roman" w:hint="eastAsia"/>
          <w:color w:val="000000" w:themeColor="text1"/>
        </w:rPr>
        <w:instrText>∕</w:instrText>
      </w:r>
      <w:r w:rsidR="00903340">
        <w:rPr>
          <w:rFonts w:cs="Times New Roman" w:hint="eastAsia"/>
          <w:color w:val="000000" w:themeColor="text1"/>
        </w:rPr>
        <w:instrText>ca and of photosynthesis by nitrogen limitation is possibly too strong in the standard setup of CLM4.5 or that there may be problems associated with the impleme</w:instrText>
      </w:r>
      <w:r w:rsidR="00903340">
        <w:rPr>
          <w:rFonts w:cs="Times New Roman"/>
          <w:color w:val="000000" w:themeColor="text1"/>
        </w:rPr>
        <w:instrText>ntation of conductance, assimilation, and related adjustment processes on long-term environmental changes.","author":[{"dropping-particle":"","family":"Keller","given":"Kathrin M.","non-dropping-particle":"","parse-names":false,"suffix":""},{"dropping-particle":"","family":"Lienert","given":"Sebastian","non-dropping-particle":"","parse-names":false,"suffix":""},{"dropping-particle":"","family":"Bozbiyik","given":"Anil","non-dropping-particle":"","parse-names":false,"suffix":""},{"dropping-particle":"","family":"Stocker","given":"Thomas F.","non-dropping-particle":"","parse-names":false,"suffix":""},{"dropping-particle":"V.","family":"Churakova Sidorova","given":"Olga","non-dropping-particle":"","parse-names":false,"suffix":""},{"dropping-particle":"","family":"Frank","given":"David C.","non-dropping-particle":"","parse-names":false,"suffix":""},{"dropping-particle":"","family":"Klesse","given":"Stefan","non-dropping-particle":"","parse-names":false,"suffix":""},{"dropping-particle":"","family":"Koven","given":"Charles D.","non-dropping-particle":"","parse-names":false,"suffix":""},{"dropping-particle":"","family":"Leuenberger","given":"Markus","non-dropping-particle":"","parse-names":false,"suffix":""},{"dropping-particle":"","family":"Riley","given":"William J.","non-dropping-particle":"","parse-names":false,"suffix":""},{"dropping-particle":"","family":"Saurer","given":"Matthias","non-dropping-particle":"","parse-names":false,"suffix":""},{"dropping-particle":"","family":"Siegwolf","given":"Rolf","non-dropping-particle":"","parse-names":false,"suffix":""},{"dropping-particle":"","family":"Weigt","given":"Rosemarie B.","non-dropping-particle":"","parse-names":false,"suffix":""},{"dropping-particle":"","family":"Joos","given":"Fortunat","non-dropping-particle":"","parse-names":false,"suffix":""}],"container-title":"Biogeosciences","id":"ITEM-1","issue":"10","issued":{"date-parts":[["2017"]]},"page":"2641-2673","title":"20th century changes in carbon isotopes and water-use efficiency: Tree-ring-based evaluation of the CLM4.5 and LPX-Bern models","type":"article-journal","volume":"14"},"uris":["http://www.mendeley.com/documents/?uuid=78529c25-cf9c-4688-ab34-630d9dbe798d"]}],"mendeley":{"formattedCitation":"(Keller et al., 2017)","manualFormatting":"Keller et al. (2017)","plainTextFormattedCitation":"(Keller et al., 2017)","previouslyFormattedCitation":"(Keller et al., 2017)"},"properties":{"noteIndex":0},"schema":"https://github.com/citation-style-language/schema/raw/master/csl-citation.json"}</w:instrText>
      </w:r>
      <w:r w:rsidR="00C24C64">
        <w:rPr>
          <w:rFonts w:cs="Times New Roman"/>
          <w:color w:val="000000" w:themeColor="text1"/>
        </w:rPr>
        <w:fldChar w:fldCharType="separate"/>
      </w:r>
      <w:r w:rsidR="00C24C64" w:rsidRPr="00C24C64">
        <w:rPr>
          <w:rFonts w:cs="Times New Roman"/>
          <w:noProof/>
          <w:color w:val="000000" w:themeColor="text1"/>
        </w:rPr>
        <w:t>Keller et al. (2017)</w:t>
      </w:r>
      <w:r w:rsidR="00C24C64">
        <w:rPr>
          <w:rFonts w:cs="Times New Roman"/>
          <w:color w:val="000000" w:themeColor="text1"/>
        </w:rPr>
        <w:fldChar w:fldCharType="end"/>
      </w:r>
      <w:r w:rsidRPr="00BD2160">
        <w:rPr>
          <w:rFonts w:cs="Times New Roman"/>
          <w:color w:val="000000" w:themeColor="text1"/>
        </w:rPr>
        <w:t xml:space="preserve"> showed that while the LPX-Bern1.3 model, an updated version </w:t>
      </w:r>
      <w:r w:rsidR="00CA65BC">
        <w:rPr>
          <w:rFonts w:cs="Times New Roman"/>
          <w:color w:val="000000" w:themeColor="text1"/>
        </w:rPr>
        <w:t>of the model</w:t>
      </w:r>
      <w:r w:rsidRPr="00BD2160">
        <w:rPr>
          <w:rFonts w:cs="Times New Roman"/>
          <w:color w:val="000000" w:themeColor="text1"/>
        </w:rPr>
        <w:t xml:space="preserve"> used by </w:t>
      </w:r>
      <w:r w:rsidR="00903340">
        <w:rPr>
          <w:rFonts w:cs="Times New Roman"/>
        </w:rPr>
        <w:fldChar w:fldCharType="begin" w:fldLock="1"/>
      </w:r>
      <w:r w:rsidR="00903340">
        <w:rPr>
          <w:rFonts w:cs="Times New Roman"/>
        </w:rPr>
        <w:instrText>ADDIN CSL_CITATION {"citationItems":[{"id":"ITEM-1","itemData":{"DOI":"10.1111/gcb.12717","ISBN":"1365-2486","ISSN":"1365-2486","PMID":"25156251","abstract":"The increasing carbon dioxide (CO2) concentration in the atmosphere in combination with climatic changes throughout the last century are likely to have had a profound effect on the physiology of trees: altering the carbon and water fluxes passing through the stomatal pores. However, the magnitude and spatial patterns of such changes in natural forests remain highly uncertain. Here, stable carbon isotope ratios from a network of 35 tree-ring sites located across Europe are investigated to determine the intrinsic water-use efficiency (iWUE), the ratio of photosynthesis to stomatal conductance from 1901 to 2000. The results were compared with simulations of a dynamic vegetation model (LPX-Bern 1.0) that integrates numerous ecosystem and land–atmosphere exchange processes in a theoretical framework. The spatial pattern of tree-ring derived iWUE of the investigated coniferous and deciduous species and the model results agreed significantly with a clear south-to-north gradient, as well as a general increase in iWUE over the 20th century. The magnitude of the iWUE increase was not spatially uniform, with the strongest increase observed and modelled for temperate forests in Central Europe, a region where summer soil-water availability decreased over the last century. We were able to demonstrate that the combined effects of increasing CO2 and climate change leading to soil drying have resulted in an accelerated increase in iWUE. These findings will help to reduce uncertainties in the land surface schemes of global climate models, where vegetation–climate feedbacks are currently still poorly constrained by observational data.","author":[{"dropping-particle":"","family":"Saurer","given":"M.","non-dropping-particle":"","parse-names":false,"suffix":""},{"dropping-particle":"","family":"Spahni","given":"R.","non-dropping-particle":"","parse-names":false,"suffix":""},{"dropping-particle":"","family":"Frank","given":"D. C.","non-dropping-particle":"","parse-names":false,"suffix":""},{"dropping-particle":"","family":"Joos","given":"Fortunat","non-dropping-particle":"","parse-names":false,"suffix":""},{"dropping-particle":"","family":"Leuenberger","given":"Markus","non-dropping-particle":"","parse-names":false,"suffix":""},{"dropping-particle":"","family":"Loader","given":"Neil J.","non-dropping-particle":"","parse-names":false,"suffix":""},{"dropping-particle":"","family":"McCarroll","given":"Danny","non-dropping-particle":"","parse-names":false,"suffix":""},{"dropping-particle":"","family":"Gagen","given":"Mary","non-dropping-particle":"","parse-names":false,"suffix":""},{"dropping-particle":"","family":"Poulter","given":"Ben","non-dropping-particle":"","parse-names":false,"suffix":""},{"dropping-particle":"","family":"Siegwolf","given":"Rolf T.W.","non-dropping-particle":"","parse-names":false,"suffix":""},{"dropping-particle":"","family":"Andreu-Hayles","given":"Laia","non-dropping-particle":"","parse-names":false,"suffix":""},{"dropping-particle":"","family":"Boettger","given":"Tatjana","non-dropping-particle":"","parse-names":false,"suffix":""},{"dropping-particle":"","family":"Dorado Liñán","given":"Isabel","non-dropping-particle":"","parse-names":false,"suffix":""},{"dropping-particle":"","family":"Fairchild","given":"Ian J.","non-dropping-particle":"","parse-names":false,"suffix":""},{"dropping-particle":"","family":"Friedrich","given":"Michael","non-dropping-particle":"","parse-names":false,"suffix":""},{"dropping-particle":"","family":"Gutierrez","given":"Emilia","non-dropping-particle":"","parse-names":false,"suffix":""},{"dropping-particle":"","family":"Haupt","given":"Marika","non-dropping-particle":"","parse-names":false,"suffix":""},{"dropping-particle":"","family":"Hilasvuori","given":"Emmi","non-dropping-particle":"","parse-names":false,"suffix":""},{"dropping-particle":"","family":"Heinrich","given":"Ingo","non-dropping-particle":"","parse-names":false,"suffix":""},{"dropping-particle":"","family":"Helle","given":"Gerd","non-dropping-particle":"","parse-names":false,"suffix":""},{"dropping-particle":"","family":"Grudd","given":"Håkan","non-dropping-particle":"","parse-names":false,"suffix":""},{"dropping-particle":"","family":"Jalkanen","given":"Risto","non-dropping-particle":"","parse-names":false,"suffix":""},{"dropping-particle":"","family":"Levanič","given":"Tom","non-dropping-particle":"","parse-names":false,"suffix":""},{"dropping-particle":"","family":"Linderholm","given":"Hans W.","non-dropping-particle":"","parse-names":false,"suffix":""},{"dropping-particle":"","family":"Robertson","given":"Iain","non-dropping-particle":"","parse-names":false,"suffix":""},{"dropping-particle":"","family":"Sonninen","given":"Eloni","non-dropping-particle":"","parse-names":false,"suffix":""},{"dropping-particle":"","family":"Treydte","given":"Kerstin","non-dropping-particle":"","parse-names":false,"suffix":""},{"dropping-particle":"","family":"Waterhouse","given":"John S.","non-dropping-particle":"","parse-names":false,"suffix":""},{"dropping-particle":"","family":"Woodley","given":"Ewan J.","non-dropping-particle":"","parse-names":false,"suffix":""},{"dropping-particle":"","family":"Wynn","given":"Peter M.","non-dropping-particle":"","parse-names":false,"suffix":""},{"dropping-particle":"","family":"Young","given":"Giles H.F.","non-dropping-particle":"","parse-names":false,"suffix":""}],"container-title":"Global Change Biology","id":"ITEM-1","issue":"12","issued":{"date-parts":[["2014"]]},"page":"3700-3712","title":"Spatial variability and temporal trends in water-use efficiency of European forests","type":"article-journal","volume":"20"},"uris":["http://www.mendeley.com/documents/?uuid=7fb86c9a-e8f9-4c93-bc58-f23d0df4e627"]}],"mendeley":{"formattedCitation":"(Saurer et al., 2014)","manualFormatting":"Saurer et al. (2014)","plainTextFormattedCitation":"(Saurer et al., 2014)","previouslyFormattedCitation":"(Saurer et al., 2014)"},"properties":{"noteIndex":0},"schema":"https://github.com/citation-style-language/schema/raw/master/csl-citation.json"}</w:instrText>
      </w:r>
      <w:r w:rsidR="00903340">
        <w:rPr>
          <w:rFonts w:cs="Times New Roman"/>
        </w:rPr>
        <w:fldChar w:fldCharType="separate"/>
      </w:r>
      <w:r w:rsidR="00903340" w:rsidRPr="00DA01D7">
        <w:rPr>
          <w:rFonts w:cs="Times New Roman"/>
          <w:noProof/>
        </w:rPr>
        <w:t>Saurer et al. (2014)</w:t>
      </w:r>
      <w:r w:rsidR="00903340">
        <w:rPr>
          <w:rFonts w:cs="Times New Roman"/>
        </w:rPr>
        <w:fldChar w:fldCharType="end"/>
      </w:r>
      <w:r w:rsidRPr="00BD2160">
        <w:rPr>
          <w:rFonts w:cs="Times New Roman"/>
          <w:color w:val="000000" w:themeColor="text1"/>
        </w:rPr>
        <w:t xml:space="preserve">, simulated an increase of </w:t>
      </w:r>
      <w:r w:rsidR="000D5462" w:rsidRPr="00BD2160">
        <w:rPr>
          <w:rFonts w:cs="Times New Roman"/>
        </w:rPr>
        <w:t>iWUE</w:t>
      </w:r>
      <w:r w:rsidR="000D5462" w:rsidRPr="001B08EE">
        <w:rPr>
          <w:rFonts w:cs="Times New Roman"/>
          <w:vertAlign w:val="superscript"/>
        </w:rPr>
        <w:t>l</w:t>
      </w:r>
      <w:r w:rsidR="000D5462">
        <w:rPr>
          <w:rFonts w:cs="Times New Roman"/>
          <w:vertAlign w:val="superscript"/>
        </w:rPr>
        <w:t>eaf</w:t>
      </w:r>
      <w:r w:rsidRPr="00BD2160">
        <w:rPr>
          <w:rFonts w:cs="Times New Roman"/>
          <w:color w:val="000000" w:themeColor="text1"/>
        </w:rPr>
        <w:t xml:space="preserve"> of around 25% for the 20</w:t>
      </w:r>
      <w:r w:rsidRPr="00BD2160">
        <w:rPr>
          <w:rFonts w:cs="Times New Roman"/>
          <w:color w:val="000000" w:themeColor="text1"/>
          <w:vertAlign w:val="superscript"/>
        </w:rPr>
        <w:t>th</w:t>
      </w:r>
      <w:r w:rsidRPr="00BD2160">
        <w:rPr>
          <w:rFonts w:cs="Times New Roman"/>
          <w:color w:val="000000" w:themeColor="text1"/>
        </w:rPr>
        <w:t xml:space="preserve"> century </w:t>
      </w:r>
      <w:r w:rsidR="00756F65">
        <w:rPr>
          <w:rFonts w:cs="Times New Roman"/>
          <w:color w:val="000000" w:themeColor="text1"/>
        </w:rPr>
        <w:t>(</w:t>
      </w:r>
      <w:r w:rsidRPr="00BD2160">
        <w:rPr>
          <w:rFonts w:cs="Times New Roman"/>
          <w:color w:val="000000" w:themeColor="text1"/>
        </w:rPr>
        <w:t xml:space="preserve">similar to that observed in a global </w:t>
      </w:r>
      <w:r w:rsidR="00E551B5">
        <w:rPr>
          <w:rFonts w:cs="Times New Roman"/>
          <w:color w:val="000000" w:themeColor="text1"/>
        </w:rPr>
        <w:t>tree-ring</w:t>
      </w:r>
      <w:r w:rsidRPr="00BD2160">
        <w:rPr>
          <w:rFonts w:cs="Times New Roman"/>
          <w:color w:val="000000" w:themeColor="text1"/>
        </w:rPr>
        <w:t xml:space="preserve"> dataset</w:t>
      </w:r>
      <w:r w:rsidR="00756F65">
        <w:rPr>
          <w:rFonts w:cs="Times New Roman"/>
          <w:color w:val="000000" w:themeColor="text1"/>
        </w:rPr>
        <w:t>)</w:t>
      </w:r>
      <w:r w:rsidRPr="00BD2160">
        <w:rPr>
          <w:rFonts w:cs="Times New Roman"/>
          <w:color w:val="000000" w:themeColor="text1"/>
        </w:rPr>
        <w:t xml:space="preserve">, the </w:t>
      </w:r>
      <w:r w:rsidRPr="00BD2160">
        <w:rPr>
          <w:rFonts w:cs="Times New Roman"/>
        </w:rPr>
        <w:t>Community Land Model version 4.5 (</w:t>
      </w:r>
      <w:r w:rsidRPr="00BD2160">
        <w:rPr>
          <w:rFonts w:cs="Times New Roman"/>
          <w:color w:val="000000" w:themeColor="text1"/>
        </w:rPr>
        <w:t xml:space="preserve">CLM4.5) model </w:t>
      </w:r>
      <w:r w:rsidRPr="00BD2160">
        <w:rPr>
          <w:rFonts w:cs="Times New Roman"/>
          <w:color w:val="000000" w:themeColor="text1"/>
        </w:rPr>
        <w:fldChar w:fldCharType="begin" w:fldLock="1"/>
      </w:r>
      <w:r w:rsidR="00263739">
        <w:rPr>
          <w:rFonts w:cs="Times New Roman"/>
          <w:color w:val="000000" w:themeColor="text1"/>
        </w:rPr>
        <w:instrText>ADDIN CSL_CITATION {"citationItems":[{"id":"ITEM-1","itemData":{"DOI":"10.5194/bg-13-5183-2016","ISBN":"1810-6285","ISSN":"17264189","abstract":"Land surface models are useful tools to quantify contemporary and future climate impact on terrestrial car-bon cycle processes, provided they can be appropriately con-strained and tested with observations. Stable carbon isotopes of CO 2 offer the potential to improve model representation of the coupled carbon and water cycles because they are strongly influenced by stomatal function. Recently, a rep-resentation of stable carbon isotope discrimination was in-corporated into the Community Land Model component of the Community Earth System Model. Here, we tested the model's capability to simulate whole-forest isotope discrim-ination in a subalpine conifer forest at Niwot Ridge, Col-orado, USA. We distinguished between isotopic behavior in response to a decrease of δ 13 C within atmospheric CO 2 (Suess effect) vs. photosynthetic discrimination (canopy), by creating a site-customized atmospheric CO 2 and δ 13 C of CO 2 time series. We implemented a seasonally varying V cmax model calibration that best matched site observations of net CO 2 carbon exchange, latent heat exchange, and biomass. The model accurately simulated observed δ 13 C of needle and stem tissue, but underestimated the δ 13 C of bulk soil carbon by 1–2 ‰. The model overestimated the multiyear (2006–2012) average canopy relative to prior data-based es-timates by 2–4 ‰. The amplitude of the average seasonal cy-cle of canopy (i.e., higher in spring/fall as compared to sum-mer) was correctly modeled but only when using a revised, fully coupled A n −g s (net assimilation rate, stomatal conduc-tance) version of the model in contrast to the partially cou-pled A n − g s version used in the default model. The model attributed most of the seasonal variation in discrimination to A n , whereas interannual variation in simulated canopy dur-ing the summer months was driven by stomatal response to vapor pressure deficit (VPD). The model simulated a 10 % increase in both photosynthetic discrimination and water-use efficiency (WUE) since 1850 which is counter to established relationships between discrimination and WUE. The isotope observations used here to constrain CLM suggest (1) the model overestimated stomatal conductance and (2) the de-fault CLM approach to representing nitrogen limitation (par-tially coupled model) was not capable of reproducing ob-served trends in discrimination. These findings demonstrate that isotope observations can provide important information related to stomatal function driven b…","author":[{"dropping-particle":"","family":"Raczka","given":"Brett","non-dropping-particle":"","parse-names":false,"suffix":""},{"dropping-particle":"","family":"Duarte","given":"Henrique F.","non-dropping-particle":"","parse-names":false,"suffix":""},{"dropping-particle":"","family":"Koven","given":"Charles D.","non-dropping-particle":"","parse-names":false,"suffix":""},{"dropping-particle":"","family":"Ricciuto","given":"Daniel","non-dropping-particle":"","parse-names":false,"suffix":""},{"dropping-particle":"","family":"Thornton","given":"Peter E.","non-dropping-particle":"","parse-names":false,"suffix":""},{"dropping-particle":"","family":"Lin","given":"John C.","non-dropping-particle":"","parse-names":false,"suffix":""},{"dropping-particle":"","family":"Bowling","given":"David R.","non-dropping-particle":"","parse-names":false,"suffix":""}],"container-title":"Biogeosciences","id":"ITEM-1","issue":"18","issued":{"date-parts":[["2016"]]},"page":"5183-5204","title":"An observational constraint on stomatal function in forests: Evaluating coupled carbon and water vapor exchange with carbon isotopes in the Community Land Model (CLM4.5)","type":"article-journal","volume":"13"},"uris":["http://www.mendeley.com/documents/?uuid=85af5bbd-d3cf-4a0b-a58e-ee41f711bbe5"]}],"mendeley":{"formattedCitation":"(Raczka et al., 2016)","plainTextFormattedCitation":"(Raczka et al., 2016)","previouslyFormattedCitation":"(Raczka et al., 2016)"},"properties":{"noteIndex":0},"schema":"https://github.com/citation-style-language/schema/raw/master/csl-citation.json"}</w:instrText>
      </w:r>
      <w:r w:rsidRPr="00BD2160">
        <w:rPr>
          <w:rFonts w:cs="Times New Roman"/>
          <w:color w:val="000000" w:themeColor="text1"/>
        </w:rPr>
        <w:fldChar w:fldCharType="separate"/>
      </w:r>
      <w:r w:rsidRPr="002B024A">
        <w:rPr>
          <w:rFonts w:cs="Times New Roman"/>
          <w:noProof/>
          <w:color w:val="000000" w:themeColor="text1"/>
        </w:rPr>
        <w:t>(Raczka et al., 2016)</w:t>
      </w:r>
      <w:r w:rsidRPr="00BD2160">
        <w:rPr>
          <w:rFonts w:cs="Times New Roman"/>
          <w:color w:val="000000" w:themeColor="text1"/>
        </w:rPr>
        <w:fldChar w:fldCharType="end"/>
      </w:r>
      <w:r w:rsidRPr="00BD2160">
        <w:rPr>
          <w:rFonts w:cs="Times New Roman"/>
          <w:color w:val="000000" w:themeColor="text1"/>
        </w:rPr>
        <w:t xml:space="preserve"> simulated much stronger increases in </w:t>
      </w:r>
      <w:r w:rsidR="000D5462" w:rsidRPr="00BD2160">
        <w:rPr>
          <w:rFonts w:cs="Times New Roman"/>
        </w:rPr>
        <w:t>iWUE</w:t>
      </w:r>
      <w:r w:rsidR="000D5462" w:rsidRPr="001B08EE">
        <w:rPr>
          <w:rFonts w:cs="Times New Roman"/>
          <w:vertAlign w:val="superscript"/>
        </w:rPr>
        <w:t>l</w:t>
      </w:r>
      <w:r w:rsidR="000D5462">
        <w:rPr>
          <w:rFonts w:cs="Times New Roman"/>
          <w:vertAlign w:val="superscript"/>
        </w:rPr>
        <w:t>eaf</w:t>
      </w:r>
      <w:r w:rsidRPr="00BD2160">
        <w:rPr>
          <w:rFonts w:cs="Times New Roman"/>
          <w:color w:val="000000" w:themeColor="text1"/>
        </w:rPr>
        <w:t xml:space="preserve"> than are </w:t>
      </w:r>
      <w:r w:rsidR="00CA65BC">
        <w:rPr>
          <w:rFonts w:cs="Times New Roman"/>
          <w:color w:val="000000" w:themeColor="text1"/>
        </w:rPr>
        <w:t>compatible with the</w:t>
      </w:r>
      <w:r w:rsidRPr="00BD2160">
        <w:rPr>
          <w:rFonts w:cs="Times New Roman"/>
          <w:color w:val="000000" w:themeColor="text1"/>
        </w:rPr>
        <w:t xml:space="preserve"> </w:t>
      </w:r>
      <w:r w:rsidR="00C6528B">
        <w:rPr>
          <w:rFonts w:cs="Times New Roman"/>
          <w:color w:val="000000" w:themeColor="text1"/>
        </w:rPr>
        <w:t>tree-ring</w:t>
      </w:r>
      <w:r w:rsidRPr="00BD2160">
        <w:rPr>
          <w:rFonts w:cs="Times New Roman"/>
          <w:color w:val="000000" w:themeColor="text1"/>
        </w:rPr>
        <w:t xml:space="preserve"> data. </w:t>
      </w:r>
      <w:r w:rsidR="00903340">
        <w:rPr>
          <w:rFonts w:cs="Times New Roman"/>
          <w:color w:val="000000" w:themeColor="text1"/>
        </w:rPr>
        <w:fldChar w:fldCharType="begin" w:fldLock="1"/>
      </w:r>
      <w:r w:rsidR="00EA127E">
        <w:rPr>
          <w:rFonts w:cs="Times New Roman"/>
          <w:color w:val="000000" w:themeColor="text1"/>
        </w:rPr>
        <w:instrText>ADDIN CSL_CITATION {"citationItems":[{"id":"ITEM-1","itemData":{"DOI":"10.1038/srep13799","ISBN":"2045-2322 (Electronic)\\r2045-2322 (Linking)","ISSN":"2045-2322","PMID":"26347998","abstract":"Water use efficiency (WUE) measures the trade-off between carbon gain and water loss of terrestrial ecosystems, and better understanding its dynamics and controlling factors is essential for predicting ecosystem responses to climate change. We assessed the magnitude, spatial patterns, and trends of WUE of China’s terrestrial ecosystems and its responses to drought using a process-based ecosystem model. During the period from 2000 to 2011, the national average annual WUE (net primary productivity (NPP)/evapotranspiration (ET)) of China was 0.79 g C kg−1 H2O. Annual WUE decreased in the southern regions because of the decrease in NPP and the increase in ET and increased in most northern regions mainly because of the increase in NPP. Droughts usually increased annual WUE in Northeast China and central Inner Mongolia but decreased annual WUE in central China. “Turning-points” were observed for southern China where moderate and extreme droughts reduced annual WUE and severe drought slightly increased annual WUE. The cumulative lagged effect of drought on monthly WUE varied by region. Our findings have implications for ecosystem management and climate policy making. WUE is expected to continue to change under future climate change particularly as drought is projected to increase in both frequency and severity.","author":[{"dropping-particle":"","family":"Liu","given":"Yibo","non-dropping-particle":"","parse-names":false,"suffix":""},{"dropping-particle":"","family":"Xiao","given":"Jingfeng","non-dropping-particle":"","parse-names":false,"suffix":""},{"dropping-particle":"","family":"Ju","given":"Weimin","non-dropping-particle":"","parse-names":false,"suffix":""},{"dropping-particle":"","family":"Zhou","given":"Yanlian","non-dropping-particle":"","parse-names":false,"suffix":""},{"dropping-particle":"","family":"Wang","given":"Shaoqiang","non-dropping-particle":"","parse-names":false,"suffix":""},{"dropping-particle":"","family":"Wu","given":"Xiaocui","non-dropping-particle":"","parse-names":false,"suffix":""}],"container-title":"Scientific Reports","id":"ITEM-1","issue":"1","issued":{"date-parts":[["2015","11","8"]]},"page":"13799","title":"Water use efficiency of China’s terrestrial ecosystems and responses to drought","type":"article-journal","volume":"5"},"uris":["http://www.mendeley.com/documents/?uuid=6fcdcc8d-b819-4f5a-9db2-17290a62d43b"]}],"mendeley":{"formattedCitation":"(Liu et al., 2015)","manualFormatting":"Liu et al. (2015)","plainTextFormattedCitation":"(Liu et al., 2015)","previouslyFormattedCitation":"(Liu et al., 2015)"},"properties":{"noteIndex":0},"schema":"https://github.com/citation-style-language/schema/raw/master/csl-citation.json"}</w:instrText>
      </w:r>
      <w:r w:rsidR="00903340">
        <w:rPr>
          <w:rFonts w:cs="Times New Roman"/>
          <w:color w:val="000000" w:themeColor="text1"/>
        </w:rPr>
        <w:fldChar w:fldCharType="separate"/>
      </w:r>
      <w:r w:rsidR="00903340">
        <w:rPr>
          <w:rFonts w:cs="Times New Roman"/>
          <w:noProof/>
          <w:color w:val="000000" w:themeColor="text1"/>
        </w:rPr>
        <w:t>Liu et al.</w:t>
      </w:r>
      <w:r w:rsidR="00903340" w:rsidRPr="00903340">
        <w:rPr>
          <w:rFonts w:cs="Times New Roman"/>
          <w:noProof/>
          <w:color w:val="000000" w:themeColor="text1"/>
        </w:rPr>
        <w:t xml:space="preserve"> </w:t>
      </w:r>
      <w:r w:rsidR="00903340">
        <w:rPr>
          <w:rFonts w:cs="Times New Roman"/>
          <w:noProof/>
          <w:color w:val="000000" w:themeColor="text1"/>
        </w:rPr>
        <w:t>(</w:t>
      </w:r>
      <w:r w:rsidR="00903340" w:rsidRPr="00903340">
        <w:rPr>
          <w:rFonts w:cs="Times New Roman"/>
          <w:noProof/>
          <w:color w:val="000000" w:themeColor="text1"/>
        </w:rPr>
        <w:t>2015)</w:t>
      </w:r>
      <w:r w:rsidR="00903340">
        <w:rPr>
          <w:rFonts w:cs="Times New Roman"/>
          <w:color w:val="000000" w:themeColor="text1"/>
        </w:rPr>
        <w:fldChar w:fldCharType="end"/>
      </w:r>
      <w:r w:rsidRPr="00BD2160">
        <w:rPr>
          <w:rFonts w:cs="Times New Roman"/>
          <w:color w:val="000000" w:themeColor="text1"/>
        </w:rPr>
        <w:t xml:space="preserve"> found good agreement between simulations </w:t>
      </w:r>
      <w:r w:rsidR="00B330B3">
        <w:rPr>
          <w:rFonts w:cs="Times New Roman"/>
          <w:color w:val="000000" w:themeColor="text1"/>
        </w:rPr>
        <w:t xml:space="preserve">of </w:t>
      </w:r>
      <w:r w:rsidR="00B330B3" w:rsidRPr="00BD2160">
        <w:rPr>
          <w:rFonts w:cs="Times New Roman"/>
          <w:color w:val="000000" w:themeColor="text1"/>
        </w:rPr>
        <w:t>WUE</w:t>
      </w:r>
      <w:r w:rsidR="00C6528B" w:rsidRPr="00C6528B">
        <w:rPr>
          <w:rFonts w:cs="Times New Roman"/>
          <w:color w:val="000000" w:themeColor="text1"/>
          <w:vertAlign w:val="superscript"/>
        </w:rPr>
        <w:t>e</w:t>
      </w:r>
      <w:r w:rsidR="00AF77A2">
        <w:rPr>
          <w:rFonts w:cs="Times New Roman"/>
          <w:color w:val="000000" w:themeColor="text1"/>
          <w:vertAlign w:val="superscript"/>
        </w:rPr>
        <w:t>co</w:t>
      </w:r>
      <w:r w:rsidR="00B330B3" w:rsidRPr="00BD2160">
        <w:rPr>
          <w:rFonts w:cs="Times New Roman"/>
          <w:color w:val="000000" w:themeColor="text1"/>
        </w:rPr>
        <w:t xml:space="preserve"> </w:t>
      </w:r>
      <w:r w:rsidRPr="00BD2160">
        <w:rPr>
          <w:rFonts w:cs="Times New Roman"/>
          <w:color w:val="000000" w:themeColor="text1"/>
        </w:rPr>
        <w:t xml:space="preserve">from the Boreal Ecosystem Productivity Simulator (BEPS) model and </w:t>
      </w:r>
      <w:r w:rsidR="00C6528B">
        <w:rPr>
          <w:rFonts w:cs="Times New Roman"/>
          <w:color w:val="000000" w:themeColor="text1"/>
        </w:rPr>
        <w:t>eddy-covariance</w:t>
      </w:r>
      <w:r w:rsidRPr="00BD2160">
        <w:rPr>
          <w:rFonts w:cs="Times New Roman"/>
          <w:color w:val="000000" w:themeColor="text1"/>
        </w:rPr>
        <w:t xml:space="preserve"> measurements</w:t>
      </w:r>
      <w:r w:rsidR="00D20260" w:rsidRPr="00BD2160">
        <w:rPr>
          <w:rFonts w:cs="Times New Roman"/>
          <w:color w:val="000000" w:themeColor="text1"/>
        </w:rPr>
        <w:t>,</w:t>
      </w:r>
      <w:r w:rsidRPr="00BD2160">
        <w:rPr>
          <w:rFonts w:cs="Times New Roman"/>
          <w:color w:val="000000" w:themeColor="text1"/>
        </w:rPr>
        <w:t xml:space="preserve"> </w:t>
      </w:r>
      <w:r w:rsidR="003F6BA4">
        <w:rPr>
          <w:rFonts w:cs="Times New Roman"/>
          <w:color w:val="000000" w:themeColor="text1"/>
        </w:rPr>
        <w:t>but</w:t>
      </w:r>
      <w:r w:rsidRPr="00BD2160">
        <w:rPr>
          <w:rFonts w:cs="Times New Roman"/>
          <w:color w:val="000000" w:themeColor="text1"/>
        </w:rPr>
        <w:t xml:space="preserve"> the model underestimated the highest </w:t>
      </w:r>
      <w:r w:rsidR="00F17E59" w:rsidRPr="00BD2160">
        <w:rPr>
          <w:rFonts w:cs="Times New Roman"/>
        </w:rPr>
        <w:t>WUE</w:t>
      </w:r>
      <w:r w:rsidR="00F17E59">
        <w:rPr>
          <w:rFonts w:cs="Times New Roman"/>
          <w:vertAlign w:val="superscript"/>
        </w:rPr>
        <w:t>e</w:t>
      </w:r>
      <w:r w:rsidR="00AF77A2">
        <w:rPr>
          <w:rFonts w:cs="Times New Roman"/>
          <w:vertAlign w:val="superscript"/>
        </w:rPr>
        <w:t>co</w:t>
      </w:r>
      <w:r w:rsidRPr="00BD2160">
        <w:rPr>
          <w:rFonts w:cs="Times New Roman"/>
          <w:color w:val="000000" w:themeColor="text1"/>
        </w:rPr>
        <w:t xml:space="preserve"> values. Thus, </w:t>
      </w:r>
      <w:r w:rsidR="00391BEE">
        <w:rPr>
          <w:rFonts w:cs="Times New Roman"/>
          <w:color w:val="000000" w:themeColor="text1"/>
        </w:rPr>
        <w:t xml:space="preserve">it appears that </w:t>
      </w:r>
      <w:r w:rsidR="00B87F19">
        <w:rPr>
          <w:rFonts w:cs="Times New Roman"/>
          <w:color w:val="000000" w:themeColor="text1"/>
        </w:rPr>
        <w:t>vegetation models</w:t>
      </w:r>
      <w:r w:rsidR="00A07119">
        <w:rPr>
          <w:rFonts w:cs="Times New Roman"/>
          <w:color w:val="000000" w:themeColor="text1"/>
        </w:rPr>
        <w:t xml:space="preserve"> </w:t>
      </w:r>
      <w:r w:rsidR="00321D01">
        <w:rPr>
          <w:rFonts w:cs="Times New Roman"/>
          <w:color w:val="000000" w:themeColor="text1"/>
        </w:rPr>
        <w:t xml:space="preserve">disagree </w:t>
      </w:r>
      <w:r w:rsidR="00CA65BC">
        <w:rPr>
          <w:rFonts w:cs="Times New Roman"/>
          <w:color w:val="000000" w:themeColor="text1"/>
        </w:rPr>
        <w:t xml:space="preserve">with one another </w:t>
      </w:r>
      <w:r w:rsidR="00321D01">
        <w:rPr>
          <w:rFonts w:cs="Times New Roman"/>
          <w:color w:val="000000" w:themeColor="text1"/>
        </w:rPr>
        <w:t xml:space="preserve">in </w:t>
      </w:r>
      <w:r w:rsidR="00391BEE">
        <w:rPr>
          <w:rFonts w:cs="Times New Roman"/>
          <w:color w:val="000000" w:themeColor="text1"/>
        </w:rPr>
        <w:t xml:space="preserve">their </w:t>
      </w:r>
      <w:r w:rsidRPr="00BD2160">
        <w:rPr>
          <w:rFonts w:cs="Times New Roman"/>
          <w:color w:val="000000" w:themeColor="text1"/>
        </w:rPr>
        <w:t>simulati</w:t>
      </w:r>
      <w:r w:rsidR="00391BEE">
        <w:rPr>
          <w:rFonts w:cs="Times New Roman"/>
          <w:color w:val="000000" w:themeColor="text1"/>
        </w:rPr>
        <w:t>ons of</w:t>
      </w:r>
      <w:r w:rsidRPr="00BD2160">
        <w:rPr>
          <w:rFonts w:cs="Times New Roman"/>
          <w:color w:val="000000" w:themeColor="text1"/>
        </w:rPr>
        <w:t xml:space="preserve"> </w:t>
      </w:r>
      <w:r w:rsidR="00CF26F5" w:rsidRPr="00BD2160">
        <w:rPr>
          <w:rFonts w:cs="Times New Roman"/>
          <w:color w:val="000000" w:themeColor="text1"/>
        </w:rPr>
        <w:t>WUE</w:t>
      </w:r>
      <w:r w:rsidRPr="00BD2160">
        <w:rPr>
          <w:rFonts w:cs="Times New Roman"/>
          <w:color w:val="000000" w:themeColor="text1"/>
        </w:rPr>
        <w:t xml:space="preserve"> change</w:t>
      </w:r>
      <w:r w:rsidR="00AB68CF" w:rsidRPr="00BD2160">
        <w:rPr>
          <w:rFonts w:cs="Times New Roman"/>
          <w:color w:val="000000" w:themeColor="text1"/>
        </w:rPr>
        <w:t>s</w:t>
      </w:r>
      <w:r w:rsidR="00505D33" w:rsidRPr="00BD2160">
        <w:rPr>
          <w:rFonts w:cs="Times New Roman"/>
          <w:color w:val="000000" w:themeColor="text1"/>
        </w:rPr>
        <w:t xml:space="preserve">, but </w:t>
      </w:r>
      <w:r w:rsidR="00CA65BC">
        <w:rPr>
          <w:rFonts w:cs="Times New Roman"/>
          <w:color w:val="000000" w:themeColor="text1"/>
        </w:rPr>
        <w:t>share a tendency</w:t>
      </w:r>
      <w:r w:rsidR="00391BEE">
        <w:rPr>
          <w:rFonts w:cs="Times New Roman"/>
          <w:color w:val="000000" w:themeColor="text1"/>
        </w:rPr>
        <w:t xml:space="preserve"> </w:t>
      </w:r>
      <w:r w:rsidR="00505D33" w:rsidRPr="00BD2160">
        <w:rPr>
          <w:rFonts w:cs="Times New Roman"/>
          <w:color w:val="000000" w:themeColor="text1"/>
        </w:rPr>
        <w:t xml:space="preserve">to underestimate </w:t>
      </w:r>
      <w:r w:rsidR="00391BEE">
        <w:rPr>
          <w:rFonts w:cs="Times New Roman"/>
          <w:color w:val="000000" w:themeColor="text1"/>
        </w:rPr>
        <w:t xml:space="preserve">observed WUE </w:t>
      </w:r>
      <w:r w:rsidR="00505D33" w:rsidRPr="00BD2160">
        <w:rPr>
          <w:rFonts w:cs="Times New Roman"/>
          <w:color w:val="000000" w:themeColor="text1"/>
        </w:rPr>
        <w:t>trends</w:t>
      </w:r>
      <w:r w:rsidR="00B55A34">
        <w:rPr>
          <w:rFonts w:cs="Times New Roman"/>
          <w:color w:val="000000" w:themeColor="text1"/>
        </w:rPr>
        <w:t xml:space="preserve"> (Fig. 1b)</w:t>
      </w:r>
      <w:r w:rsidRPr="00BD2160">
        <w:rPr>
          <w:rFonts w:cs="Times New Roman"/>
          <w:color w:val="000000" w:themeColor="text1"/>
        </w:rPr>
        <w:t>.</w:t>
      </w:r>
    </w:p>
    <w:p w14:paraId="1D10AA68" w14:textId="537B2D94" w:rsidR="00AF2BFB" w:rsidRDefault="00520D5B" w:rsidP="00C95B18">
      <w:pPr>
        <w:pStyle w:val="Body"/>
        <w:spacing w:before="240" w:line="360" w:lineRule="auto"/>
        <w:jc w:val="both"/>
        <w:rPr>
          <w:rFonts w:cs="Times New Roman"/>
        </w:rPr>
      </w:pPr>
      <w:r>
        <w:rPr>
          <w:rFonts w:cs="Times New Roman"/>
        </w:rPr>
        <w:t>D</w:t>
      </w:r>
      <w:r w:rsidRPr="00BD2160">
        <w:rPr>
          <w:rFonts w:cs="Times New Roman"/>
        </w:rPr>
        <w:t xml:space="preserve">ifferences </w:t>
      </w:r>
      <w:r>
        <w:rPr>
          <w:rFonts w:cs="Times New Roman"/>
        </w:rPr>
        <w:t>among</w:t>
      </w:r>
      <w:r w:rsidRPr="00BD2160">
        <w:rPr>
          <w:rFonts w:cs="Times New Roman"/>
        </w:rPr>
        <w:t xml:space="preserve"> simulations of WUE trends are </w:t>
      </w:r>
      <w:r>
        <w:rPr>
          <w:rFonts w:cs="Times New Roman"/>
        </w:rPr>
        <w:t>very</w:t>
      </w:r>
      <w:r w:rsidRPr="00BD2160">
        <w:rPr>
          <w:rFonts w:cs="Times New Roman"/>
        </w:rPr>
        <w:t xml:space="preserve"> likely due to the different structures of the models</w:t>
      </w:r>
      <w:r w:rsidR="00FA173B">
        <w:rPr>
          <w:rFonts w:cs="Times New Roman"/>
        </w:rPr>
        <w:t xml:space="preserve"> (see </w:t>
      </w:r>
      <w:r w:rsidR="002329B1">
        <w:rPr>
          <w:rFonts w:cs="Times New Roman"/>
        </w:rPr>
        <w:t xml:space="preserve">also </w:t>
      </w:r>
      <w:r w:rsidR="00FA173B">
        <w:rPr>
          <w:rFonts w:cs="Times New Roman"/>
        </w:rPr>
        <w:t>Text S</w:t>
      </w:r>
      <w:r w:rsidR="00F24ED6">
        <w:rPr>
          <w:rFonts w:cs="Times New Roman"/>
        </w:rPr>
        <w:t>5</w:t>
      </w:r>
      <w:r w:rsidR="00FA173B">
        <w:rPr>
          <w:rFonts w:cs="Times New Roman"/>
        </w:rPr>
        <w:t>)</w:t>
      </w:r>
      <w:r w:rsidRPr="00BD2160">
        <w:rPr>
          <w:rFonts w:cs="Times New Roman"/>
        </w:rPr>
        <w:t xml:space="preserve">. </w:t>
      </w:r>
      <w:r w:rsidR="00821B46">
        <w:rPr>
          <w:rFonts w:cs="Times New Roman"/>
        </w:rPr>
        <w:t>Vegetation models</w:t>
      </w:r>
      <w:r w:rsidRPr="00BD2160">
        <w:rPr>
          <w:rFonts w:cs="Times New Roman"/>
        </w:rPr>
        <w:t xml:space="preserve"> make a variety of different assumptions about the processes influencing WUE, including </w:t>
      </w:r>
      <w:r>
        <w:rPr>
          <w:rFonts w:cs="Times New Roman"/>
        </w:rPr>
        <w:t xml:space="preserve">the fundamental </w:t>
      </w:r>
      <w:r w:rsidRPr="00BD2160">
        <w:rPr>
          <w:rFonts w:cs="Times New Roman"/>
        </w:rPr>
        <w:t xml:space="preserve">leaf-level gas-exchange responses to varying </w:t>
      </w:r>
      <w:r w:rsidRPr="00BD2160">
        <w:rPr>
          <w:rFonts w:cs="Times New Roman"/>
          <w:i/>
        </w:rPr>
        <w:t>c</w:t>
      </w:r>
      <w:r w:rsidRPr="00BD2160">
        <w:rPr>
          <w:rFonts w:cs="Times New Roman"/>
          <w:vertAlign w:val="subscript"/>
        </w:rPr>
        <w:t>a</w:t>
      </w:r>
      <w:r w:rsidR="00FA173B">
        <w:rPr>
          <w:rFonts w:cs="Times New Roman"/>
        </w:rPr>
        <w:t xml:space="preserve">, </w:t>
      </w:r>
      <w:r w:rsidR="00FA173B" w:rsidRPr="00BD2160">
        <w:rPr>
          <w:rFonts w:cs="Times New Roman"/>
        </w:rPr>
        <w:t>the degree of coupling to the leaf/atmospheric boundary layer</w:t>
      </w:r>
      <w:r w:rsidR="00FA173B">
        <w:rPr>
          <w:rFonts w:cs="Times New Roman"/>
        </w:rPr>
        <w:t>,</w:t>
      </w:r>
      <w:r w:rsidR="00FA173B" w:rsidRPr="00BD2160">
        <w:rPr>
          <w:rFonts w:cs="Times New Roman"/>
        </w:rPr>
        <w:t xml:space="preserve"> the treatment of canopy </w:t>
      </w:r>
      <w:r w:rsidR="00FA173B">
        <w:rPr>
          <w:rFonts w:cs="Times New Roman"/>
        </w:rPr>
        <w:t xml:space="preserve">water </w:t>
      </w:r>
      <w:r w:rsidR="00FA173B" w:rsidRPr="00BD2160">
        <w:rPr>
          <w:rFonts w:cs="Times New Roman"/>
        </w:rPr>
        <w:t>interception</w:t>
      </w:r>
      <w:r w:rsidR="00FA173B">
        <w:rPr>
          <w:rFonts w:cs="Times New Roman"/>
        </w:rPr>
        <w:t xml:space="preserve">, </w:t>
      </w:r>
      <w:r w:rsidR="00FA173B" w:rsidRPr="00BD2160">
        <w:rPr>
          <w:rFonts w:cs="Times New Roman"/>
        </w:rPr>
        <w:t xml:space="preserve">and the impact of soil moisture stress </w:t>
      </w:r>
      <w:r w:rsidR="00FA173B">
        <w:rPr>
          <w:rFonts w:cs="Times New Roman"/>
        </w:rPr>
        <w:t xml:space="preserve">on </w:t>
      </w:r>
      <w:r w:rsidR="00FA173B" w:rsidRPr="001B58F3">
        <w:rPr>
          <w:rFonts w:cs="Times New Roman"/>
          <w:i/>
        </w:rPr>
        <w:t>A</w:t>
      </w:r>
      <w:r w:rsidR="00FA173B">
        <w:rPr>
          <w:rFonts w:cs="Times New Roman"/>
        </w:rPr>
        <w:t xml:space="preserve"> and </w:t>
      </w:r>
      <w:r w:rsidR="00FA173B" w:rsidRPr="00295F29">
        <w:rPr>
          <w:rFonts w:cs="Times New Roman"/>
          <w:i/>
        </w:rPr>
        <w:t>g</w:t>
      </w:r>
      <w:r w:rsidR="00FA173B" w:rsidRPr="00295F29">
        <w:rPr>
          <w:rFonts w:cs="Times New Roman"/>
          <w:vertAlign w:val="subscript"/>
        </w:rPr>
        <w:t>s</w:t>
      </w:r>
      <w:r w:rsidR="00FA173B">
        <w:rPr>
          <w:rFonts w:cs="Times New Roman"/>
        </w:rPr>
        <w:t xml:space="preserve"> </w:t>
      </w:r>
      <w:r w:rsidR="00FA173B">
        <w:rPr>
          <w:rFonts w:cs="Times New Roman"/>
        </w:rPr>
        <w:fldChar w:fldCharType="begin" w:fldLock="1"/>
      </w:r>
      <w:r w:rsidR="006D48D4">
        <w:rPr>
          <w:rFonts w:cs="Times New Roman"/>
        </w:rPr>
        <w:instrText>ADDIN CSL_CITATION {"citationItems":[{"id":"ITEM-1","itemData":{"DOI":"10.1111/gcb.12164","ISBN":"1354-1013 (Print)\\r1354-1013 (Linking)","ISSN":"13541013","PMID":"23504858","abstract":"Predicted responses of transpiration to elevated atmospheric CO2 concentration (eCO2 ) are highly variable amongst process-based models. To better understand and constrain this variability amongst models, we conducted an intercomparison of 11 ecosystem models applied to data from two forest free-air CO2 enrichment (FACE) experiments at Duke University and Oak Ridge National Laboratory. We analysed model structures to identify the key underlying assumptions causing differences in model predictions of transpiration and canopy water use efficiency. We then compared the models against data to identify model assumptions that are incorrect or are large sources of uncertainty. We found that model-to-model and model-to-observations differences resulted from four key sets of assumptions, namely (i) the nature of the stomatal response to elevated CO2 (coupling between photosynthesis and stomata was supported by the data); (ii) the roles of the leaf and atmospheric boundary layer (models which assumed multiple conductance terms in series predicted more decoupled fluxes than observed at the broadleaf site); (iii) the treatment of canopy interception (large intermodel variability, 2-15%); and (iv) the impact of soil moisture stress (process uncertainty in how models limit carbon and water fluxes during moisture stress). Overall, model predictions of the CO2 effect on WUE were reasonable (intermodel mu = approximately 28% +/- 10%) compared to the observations (mu = approximately 30% +/- 13%) at the well-coupled coniferous site (Duke), but poor (intermodel mu = approximately 24% +/- 6%; observations mu = approximately 38% +/- 7%) at the broadleaf site (Oak Ridge). The study yields a framework for analysing and interpreting model predictions of transpiration responses to eCO2 , and highlights key improvements to these types of models.","author":[{"dropping-particle":"","family":"Kauwe","given":"M. G.","non-dropping-particle":"De","parse-names":false,"suffix":""},{"dropping-particle":"","family":"Medlyn","given":"B. E.","non-dropping-particle":"","parse-names":false,"suffix":""},{"dropping-particle":"","family":"Zaehle","given":"Sönke","non-dropping-particle":"","parse-names":false,"suffix":""},{"dropping-particle":"","family":"Walker","given":"Anthony P.","non-dropping-particle":"","parse-names":false,"suffix":""},{"dropping-particle":"","family":"Dietze","given":"Michael C.","non-dropping-particle":"","parse-names":false,"suffix":""},{"dropping-particle":"","family":"Hickler","given":"Thomas","non-dropping-particle":"","parse-names":false,"suffix":""},{"dropping-particle":"","family":"Jain","given":"Atul K.","non-dropping-particle":"","parse-names":false,"suffix":""},{"dropping-particle":"","family":"Luo","given":"Yiqi","non-dropping-particle":"","parse-names":false,"suffix":""},{"dropping-particle":"","family":"Parton","given":"William J.","non-dropping-particle":"","parse-names":false,"suffix":""},{"dropping-particle":"","family":"Prentice","given":"I. Colin","non-dropping-particle":"","parse-names":false,"suffix":""},{"dropping-particle":"","family":"Smith","given":"Benjamin","non-dropping-particle":"","parse-names":false,"suffix":""},{"dropping-particle":"","family":"Thornton","given":"Peter E.","non-dropping-particle":"","parse-names":false,"suffix":""},{"dropping-particle":"","family":"Wang","given":"Shusen","non-dropping-particle":"","parse-names":false,"suffix":""},{"dropping-particle":"","family":"Wang","given":"Ying Ping","non-dropping-particle":"","parse-names":false,"suffix":""},{"dropping-particle":"","family":"Wårlind","given":"David","non-dropping-particle":"","parse-names":false,"suffix":""},{"dropping-particle":"","family":"Weng","given":"Ensheng","non-dropping-particle":"","parse-names":false,"suffix":""},{"dropping-particle":"","family":"Crous","given":"Kristine Y.","non-dropping-particle":"","parse-names":false,"suffix":""},{"dropping-particle":"","family":"Ellsworth","given":"David S.","non-dropping-particle":"","parse-names":false,"suffix":""},{"dropping-particle":"","family":"Hanson","given":"Paul J.","non-dropping-particle":"","parse-names":false,"suffix":""},{"dropping-particle":"","family":"Seok Kim","given":"Hyun","non-dropping-particle":"","parse-names":false,"suffix":""},{"dropping-particle":"","family":"Warren","given":"Jeffrey M.","non-dropping-particle":"","parse-names":false,"suffix":""},{"dropping-particle":"","family":"Oren","given":"Ram","non-dropping-particle":"","parse-names":false,"suffix":""},{"dropping-particle":"","family":"Norby","given":"Richard J.","non-dropping-particle":"","parse-names":false,"suffix":""}],"container-title":"Global Change Biology","id":"ITEM-1","issue":"6","issued":{"date-parts":[["2013"]]},"page":"1759-1779","title":"Forest water use and water use efficiency at elevated CO2: A model-data intercomparison at two contrasting temperate forest FACE sites","type":"article-journal","volume":"19"},"uris":["http://www.mendeley.com/documents/?uuid=1706da95-4cc2-48e6-a705-d0bf6a9d72b2"]}],"mendeley":{"formattedCitation":"(De Kauwe et al., 2013)","manualFormatting":"(see review from De Kauwe et al., 2013)","plainTextFormattedCitation":"(De Kauwe et al., 2013)","previouslyFormattedCitation":"(De Kauwe et al., 2013)"},"properties":{"noteIndex":0},"schema":"https://github.com/citation-style-language/schema/raw/master/csl-citation.json"}</w:instrText>
      </w:r>
      <w:r w:rsidR="00FA173B">
        <w:rPr>
          <w:rFonts w:cs="Times New Roman"/>
        </w:rPr>
        <w:fldChar w:fldCharType="separate"/>
      </w:r>
      <w:r w:rsidR="00FA173B" w:rsidRPr="00FA173B">
        <w:rPr>
          <w:rFonts w:cs="Times New Roman"/>
          <w:noProof/>
        </w:rPr>
        <w:t>(</w:t>
      </w:r>
      <w:r w:rsidR="00FA173B">
        <w:rPr>
          <w:rFonts w:cs="Times New Roman"/>
          <w:noProof/>
        </w:rPr>
        <w:t xml:space="preserve">see review from </w:t>
      </w:r>
      <w:r w:rsidR="00FA173B" w:rsidRPr="00FA173B">
        <w:rPr>
          <w:rFonts w:cs="Times New Roman"/>
          <w:noProof/>
        </w:rPr>
        <w:t>De Kauwe et al., 2013)</w:t>
      </w:r>
      <w:r w:rsidR="00FA173B">
        <w:rPr>
          <w:rFonts w:cs="Times New Roman"/>
        </w:rPr>
        <w:fldChar w:fldCharType="end"/>
      </w:r>
      <w:r w:rsidR="00CE2E1B">
        <w:rPr>
          <w:rFonts w:cs="Times New Roman"/>
        </w:rPr>
        <w:t>.</w:t>
      </w:r>
      <w:r w:rsidR="00C0647A">
        <w:rPr>
          <w:rFonts w:cs="Times New Roman"/>
        </w:rPr>
        <w:t xml:space="preserve"> </w:t>
      </w:r>
      <w:r w:rsidR="001C2B1B">
        <w:rPr>
          <w:rFonts w:cs="Times New Roman"/>
        </w:rPr>
        <w:t>As a result, t</w:t>
      </w:r>
      <w:r w:rsidR="001C2B1B" w:rsidRPr="00BD2160">
        <w:rPr>
          <w:rFonts w:cs="Times New Roman"/>
        </w:rPr>
        <w:t xml:space="preserve">he sensitivity of models to rising </w:t>
      </w:r>
      <w:r w:rsidR="001C2B1B" w:rsidRPr="00BD2160">
        <w:rPr>
          <w:rFonts w:cs="Times New Roman"/>
          <w:i/>
        </w:rPr>
        <w:t>c</w:t>
      </w:r>
      <w:r w:rsidR="001C2B1B" w:rsidRPr="00BD2160">
        <w:rPr>
          <w:rFonts w:cs="Times New Roman"/>
          <w:vertAlign w:val="subscript"/>
        </w:rPr>
        <w:t>a</w:t>
      </w:r>
      <w:r w:rsidR="001C2B1B">
        <w:rPr>
          <w:rFonts w:cs="Times New Roman"/>
        </w:rPr>
        <w:t xml:space="preserve"> </w:t>
      </w:r>
      <w:r w:rsidR="001C2B1B" w:rsidRPr="00BD2160">
        <w:rPr>
          <w:rFonts w:cs="Times New Roman"/>
        </w:rPr>
        <w:t xml:space="preserve">differs greatly between </w:t>
      </w:r>
      <w:r w:rsidR="006B2B76">
        <w:rPr>
          <w:rFonts w:cs="Times New Roman"/>
        </w:rPr>
        <w:t>models</w:t>
      </w:r>
      <w:r w:rsidR="001C2B1B" w:rsidRPr="004571E1">
        <w:rPr>
          <w:rFonts w:cs="Times New Roman"/>
        </w:rPr>
        <w:t xml:space="preserve">, although all of them </w:t>
      </w:r>
      <w:r w:rsidR="001C2B1B">
        <w:rPr>
          <w:rFonts w:cs="Times New Roman"/>
        </w:rPr>
        <w:t>predict</w:t>
      </w:r>
      <w:r w:rsidR="001C2B1B" w:rsidRPr="004571E1">
        <w:rPr>
          <w:rFonts w:cs="Times New Roman"/>
        </w:rPr>
        <w:t xml:space="preserve"> </w:t>
      </w:r>
      <w:r w:rsidR="001C2B1B">
        <w:rPr>
          <w:rFonts w:cs="Times New Roman"/>
        </w:rPr>
        <w:t xml:space="preserve">an </w:t>
      </w:r>
      <w:r w:rsidR="001C2B1B" w:rsidRPr="004571E1">
        <w:rPr>
          <w:rFonts w:cs="Times New Roman"/>
        </w:rPr>
        <w:t xml:space="preserve">increase </w:t>
      </w:r>
      <w:r w:rsidR="001C2B1B">
        <w:rPr>
          <w:rFonts w:cs="Times New Roman"/>
        </w:rPr>
        <w:t>in</w:t>
      </w:r>
      <w:r w:rsidR="001C2B1B" w:rsidRPr="004571E1">
        <w:rPr>
          <w:rFonts w:cs="Times New Roman"/>
        </w:rPr>
        <w:t xml:space="preserve"> WUE </w:t>
      </w:r>
      <w:r w:rsidR="001C2B1B">
        <w:rPr>
          <w:rFonts w:cs="Times New Roman"/>
        </w:rPr>
        <w:t>that is</w:t>
      </w:r>
      <w:r w:rsidR="001C2B1B" w:rsidRPr="004571E1">
        <w:rPr>
          <w:rFonts w:cs="Times New Roman"/>
        </w:rPr>
        <w:t xml:space="preserve"> less than proportional to</w:t>
      </w:r>
      <w:r w:rsidR="001C2B1B">
        <w:rPr>
          <w:rFonts w:cs="Times New Roman"/>
        </w:rPr>
        <w:t xml:space="preserve"> </w:t>
      </w:r>
      <w:r w:rsidR="001B1CBA">
        <w:rPr>
          <w:rFonts w:cs="Times New Roman"/>
        </w:rPr>
        <w:t xml:space="preserve">the </w:t>
      </w:r>
      <w:r w:rsidR="001C2B1B" w:rsidRPr="00126B10">
        <w:rPr>
          <w:rFonts w:cs="Times New Roman"/>
          <w:i/>
        </w:rPr>
        <w:t>c</w:t>
      </w:r>
      <w:r w:rsidR="001C2B1B" w:rsidRPr="00126B10">
        <w:rPr>
          <w:rFonts w:cs="Times New Roman"/>
          <w:vertAlign w:val="subscript"/>
        </w:rPr>
        <w:t>a</w:t>
      </w:r>
      <w:r w:rsidR="001C2B1B">
        <w:rPr>
          <w:rFonts w:cs="Times New Roman"/>
        </w:rPr>
        <w:t xml:space="preserve"> </w:t>
      </w:r>
      <w:r w:rsidR="001B1CBA">
        <w:rPr>
          <w:rFonts w:cs="Times New Roman"/>
        </w:rPr>
        <w:t>increase</w:t>
      </w:r>
      <w:r w:rsidR="007F1C61">
        <w:rPr>
          <w:rFonts w:cs="Times New Roman"/>
        </w:rPr>
        <w:t xml:space="preserve"> (Fig. 1b)</w:t>
      </w:r>
      <w:r w:rsidR="001C2B1B" w:rsidRPr="00BD2160">
        <w:rPr>
          <w:rFonts w:cs="Times New Roman"/>
        </w:rPr>
        <w:t>.</w:t>
      </w:r>
      <w:r w:rsidR="001C2B1B">
        <w:rPr>
          <w:rFonts w:cs="Times New Roman"/>
        </w:rPr>
        <w:t xml:space="preserve"> </w:t>
      </w:r>
      <w:r w:rsidR="001E4050">
        <w:rPr>
          <w:rFonts w:cs="Times New Roman"/>
        </w:rPr>
        <w:t>Vegetation model</w:t>
      </w:r>
      <w:r w:rsidR="00C0647A" w:rsidRPr="00BD2160">
        <w:rPr>
          <w:rFonts w:cs="Times New Roman"/>
        </w:rPr>
        <w:t>s</w:t>
      </w:r>
      <w:r w:rsidR="00C0647A">
        <w:rPr>
          <w:rFonts w:cs="Times New Roman"/>
        </w:rPr>
        <w:t xml:space="preserve"> also </w:t>
      </w:r>
      <w:r w:rsidR="00C0647A" w:rsidRPr="00BD2160">
        <w:rPr>
          <w:rFonts w:cs="Times New Roman"/>
        </w:rPr>
        <w:t xml:space="preserve">incorporate different water stress functions </w:t>
      </w:r>
      <w:r w:rsidR="00C0647A" w:rsidRPr="00BD2160">
        <w:rPr>
          <w:rFonts w:cs="Times New Roman"/>
        </w:rPr>
        <w:fldChar w:fldCharType="begin" w:fldLock="1"/>
      </w:r>
      <w:r w:rsidR="00C0647A">
        <w:rPr>
          <w:rFonts w:cs="Times New Roman"/>
        </w:rPr>
        <w:instrText>ADDIN CSL_CITATION {"citationItems":[{"id":"ITEM-1","itemData":{"DOI":"10.1111/gcb.13268","ISBN":"7034894671","ISSN":"13652486","PMID":"26946185","abstract":"The response of terrestrial ecosystems to rising atmospheric CO2 concentration (Ca ), particularly under nutrient limited conditions, is a major uncertainty in Earth System models. The Eucalyptus Free-Air CO2 Enrichment (EucFACE) experiment, recently established in a nutrient-and water-limited woodland, presents a unique opportunity to address this uncertainty, but can best do so if key model uncertainties have been identified in advance. We applied seven vegetation models, which have previously been comprehensively assessed against earlier forest FACE experiments, to simulate a priori possible outcomes from EucFACE. Our goals were to provide quantitative projections against which to evaluate data as they are collected, and to identify key measurements that should be made in the experiment to allow discrimination among alternative model assumptions in a post-experiment model intercomparison. Simulated responses of annual net primary productivity (NPP) to elevated Ca ranged from 0.5 to 25% across models. The simulated reduction of NPP during a low rainfall year also varied widely, from 24% to 70%. Key processes where assumptions caused disagreement among models included nutrient limitations to growth; feedbacks to nutrient uptake; autotrophic respiration; and the impact of low soil moisture availability on plant processes. Knowledge of the causes of variation among models is now guiding data collection in the experiment, with the expectation that the experimental data can optimally inform future model improvements. This article is protected by copyright. All rights reserved.","author":[{"dropping-particle":"","family":"Medlyn","given":"B. E.","non-dropping-particle":"","parse-names":false,"suffix":""},{"dropping-particle":"","family":"Kauwe","given":"M. G.","non-dropping-particle":"De","parse-names":false,"suffix":""},{"dropping-particle":"","family":"Zaehle","given":"Sönke","non-dropping-particle":"","parse-names":false,"suffix":""},{"dropping-particle":"","family":"Walker","given":"Anthony P.","non-dropping-particle":"","parse-names":false,"suffix":""},{"dropping-particle":"","family":"Duursma","given":"Remko A.","non-dropping-particle":"","parse-names":false,"suffix":""},{"dropping-particle":"","family":"Luus","given":"Kristina","non-dropping-particle":"","parse-names":false,"suffix":""},{"dropping-particle":"","family":"Mishurov","given":"Mikhail","non-dropping-particle":"","parse-names":false,"suffix":""},{"dropping-particle":"","family":"Pak","given":"Bernard","non-dropping-particle":"","parse-names":false,"suffix":""},{"dropping-particle":"","family":"Smith","given":"Benjamin","non-dropping-particle":"","parse-names":false,"suffix":""},{"dropping-particle":"","family":"Wang","given":"Ying Ping","non-dropping-particle":"","parse-names":false,"suffix":""},{"dropping-particle":"","family":"Yang","given":"Xiaojuan","non-dropping-particle":"","parse-names":false,"suffix":""},{"dropping-particle":"","family":"Crous","given":"Kristine Y.","non-dropping-particle":"","parse-names":false,"suffix":""},{"dropping-particle":"","family":"Drake","given":"John E.","non-dropping-particle":"","parse-names":false,"suffix":""},{"dropping-particle":"","family":"Gimeno","given":"Teresa E.","non-dropping-particle":"","parse-names":false,"suffix":""},{"dropping-particle":"","family":"Macdonald","given":"Catriona A.","non-dropping-particle":"","parse-names":false,"suffix":""},{"dropping-particle":"","family":"Norby","given":"Richard J.","non-dropping-particle":"","parse-names":false,"suffix":""},{"dropping-particle":"","family":"Power","given":"Sally A.","non-dropping-particle":"","parse-names":false,"suffix":""},{"dropping-particle":"","family":"Tjoelker","given":"Mark G.","non-dropping-particle":"","parse-names":false,"suffix":""},{"dropping-particle":"","family":"Ellsworth","given":"David S.","non-dropping-particle":"","parse-names":false,"suffix":""}],"container-title":"Global change biology","id":"ITEM-1","issue":"8","issued":{"date-parts":[["2016"]]},"page":"2834-2851","title":"Using models to guide field experiments: a priori predictions for the CO2 response of a nutrient- and water-limited native Eucalypt woodland","type":"article-journal","volume":"22"},"uris":["http://www.mendeley.com/documents/?uuid=bbf2a437-ea85-44c4-a050-bd7c693666ec","http://www.mendeley.com/documents/?uuid=129956a1-d45a-4cca-89e3-a28962685ef2"]}],"mendeley":{"formattedCitation":"(Medlyn et al., 2016)","manualFormatting":"(Medlyn et al., 2016)","plainTextFormattedCitation":"(Medlyn et al., 2016)","previouslyFormattedCitation":"(Medlyn et al., 2016)"},"properties":{"noteIndex":0},"schema":"https://github.com/citation-style-language/schema/raw/master/csl-citation.json"}</w:instrText>
      </w:r>
      <w:r w:rsidR="00C0647A" w:rsidRPr="00BD2160">
        <w:rPr>
          <w:rFonts w:cs="Times New Roman"/>
        </w:rPr>
        <w:fldChar w:fldCharType="separate"/>
      </w:r>
      <w:r w:rsidR="00C0647A" w:rsidRPr="006F6170">
        <w:rPr>
          <w:rFonts w:cs="Times New Roman"/>
          <w:noProof/>
        </w:rPr>
        <w:t>(Medlyn et al., 2016)</w:t>
      </w:r>
      <w:r w:rsidR="00C0647A" w:rsidRPr="00BD2160">
        <w:rPr>
          <w:rFonts w:cs="Times New Roman"/>
        </w:rPr>
        <w:fldChar w:fldCharType="end"/>
      </w:r>
      <w:r w:rsidR="00C0647A" w:rsidRPr="00BD2160">
        <w:rPr>
          <w:rFonts w:cs="Times New Roman"/>
        </w:rPr>
        <w:t xml:space="preserve"> and so interpreting simulated WUE trends may depend on the relative stress levels </w:t>
      </w:r>
      <w:r w:rsidR="00C0647A">
        <w:rPr>
          <w:rFonts w:cs="Times New Roman"/>
        </w:rPr>
        <w:t xml:space="preserve">simulated </w:t>
      </w:r>
      <w:r w:rsidR="00C0647A" w:rsidRPr="00BD2160">
        <w:rPr>
          <w:rFonts w:cs="Times New Roman"/>
        </w:rPr>
        <w:t>across models.</w:t>
      </w:r>
      <w:r w:rsidR="00284D25">
        <w:rPr>
          <w:rFonts w:cs="Times New Roman"/>
        </w:rPr>
        <w:t xml:space="preserve"> However, </w:t>
      </w:r>
      <w:r w:rsidR="006B457D">
        <w:rPr>
          <w:rFonts w:cs="Times New Roman"/>
        </w:rPr>
        <w:t>many parameter values for these ‘mechanistic’ models are not easily determined, increasing the uncertainties in the estimat</w:t>
      </w:r>
      <w:r w:rsidR="009D7729">
        <w:rPr>
          <w:rFonts w:cs="Times New Roman"/>
        </w:rPr>
        <w:t>e</w:t>
      </w:r>
      <w:r w:rsidR="006B457D">
        <w:rPr>
          <w:rFonts w:cs="Times New Roman"/>
        </w:rPr>
        <w:t>s.</w:t>
      </w:r>
      <w:r w:rsidR="00284D25">
        <w:rPr>
          <w:rFonts w:cs="Times New Roman"/>
        </w:rPr>
        <w:t xml:space="preserve"> </w:t>
      </w:r>
    </w:p>
    <w:p w14:paraId="56A8E4F0" w14:textId="3C1CADB3" w:rsidR="00BD2160" w:rsidRPr="0035595F" w:rsidRDefault="00BD2160">
      <w:pPr>
        <w:pStyle w:val="Body"/>
        <w:spacing w:before="240" w:line="360" w:lineRule="auto"/>
        <w:jc w:val="both"/>
        <w:rPr>
          <w:rFonts w:cs="Times New Roman"/>
        </w:rPr>
      </w:pPr>
      <w:r w:rsidRPr="00BD2160">
        <w:rPr>
          <w:rFonts w:cs="Times New Roman"/>
        </w:rPr>
        <w:t>Given the mismatch between observations and simulations</w:t>
      </w:r>
      <w:r w:rsidR="00F14EDB">
        <w:rPr>
          <w:rFonts w:cs="Times New Roman"/>
        </w:rPr>
        <w:t xml:space="preserve"> and the discrepancies between different data sources and different </w:t>
      </w:r>
      <w:r w:rsidR="000E5C74">
        <w:rPr>
          <w:rFonts w:cs="Times New Roman"/>
        </w:rPr>
        <w:t>vegetation model</w:t>
      </w:r>
      <w:r w:rsidR="00F14EDB">
        <w:rPr>
          <w:rFonts w:cs="Times New Roman"/>
        </w:rPr>
        <w:t>s,</w:t>
      </w:r>
      <w:r w:rsidRPr="00BD2160">
        <w:rPr>
          <w:rFonts w:cs="Times New Roman"/>
        </w:rPr>
        <w:t xml:space="preserve"> </w:t>
      </w:r>
      <w:r w:rsidR="00280BA7">
        <w:rPr>
          <w:rFonts w:cs="Times New Roman"/>
        </w:rPr>
        <w:t xml:space="preserve">new </w:t>
      </w:r>
      <w:r w:rsidR="00F14EDB">
        <w:rPr>
          <w:rFonts w:cs="Times New Roman"/>
        </w:rPr>
        <w:t xml:space="preserve">approaches </w:t>
      </w:r>
      <w:r w:rsidR="00280BA7">
        <w:rPr>
          <w:rFonts w:cs="Times New Roman"/>
        </w:rPr>
        <w:t xml:space="preserve">are </w:t>
      </w:r>
      <w:r w:rsidR="00F14EDB">
        <w:rPr>
          <w:rFonts w:cs="Times New Roman"/>
        </w:rPr>
        <w:t xml:space="preserve">evidently </w:t>
      </w:r>
      <w:r w:rsidR="00280BA7">
        <w:rPr>
          <w:rFonts w:cs="Times New Roman"/>
        </w:rPr>
        <w:t>needed</w:t>
      </w:r>
      <w:r w:rsidRPr="00BD2160">
        <w:rPr>
          <w:rFonts w:cs="Times New Roman"/>
        </w:rPr>
        <w:t xml:space="preserve">. </w:t>
      </w:r>
      <w:r w:rsidR="002500FD">
        <w:rPr>
          <w:rFonts w:cs="Times New Roman"/>
        </w:rPr>
        <w:t>CMIP</w:t>
      </w:r>
      <w:r w:rsidRPr="00BD2160">
        <w:rPr>
          <w:rFonts w:cs="Times New Roman"/>
        </w:rPr>
        <w:t xml:space="preserve"> </w:t>
      </w:r>
      <w:r w:rsidR="002500FD">
        <w:rPr>
          <w:rFonts w:cs="Times New Roman"/>
        </w:rPr>
        <w:t xml:space="preserve">phase </w:t>
      </w:r>
      <w:r w:rsidRPr="00BD2160">
        <w:rPr>
          <w:rFonts w:cs="Times New Roman"/>
        </w:rPr>
        <w:t>6 (CMIP6</w:t>
      </w:r>
      <w:r w:rsidR="00417AD7">
        <w:rPr>
          <w:rFonts w:cs="Times New Roman"/>
        </w:rPr>
        <w:t>)</w:t>
      </w:r>
      <w:r w:rsidRPr="00BD2160">
        <w:rPr>
          <w:rFonts w:cs="Times New Roman"/>
        </w:rPr>
        <w:t xml:space="preserve"> </w:t>
      </w:r>
      <w:r w:rsidR="00F14EDB">
        <w:rPr>
          <w:rFonts w:cs="Times New Roman"/>
        </w:rPr>
        <w:t xml:space="preserve">has </w:t>
      </w:r>
      <w:r w:rsidRPr="00BD2160">
        <w:rPr>
          <w:rFonts w:cs="Times New Roman"/>
        </w:rPr>
        <w:t xml:space="preserve">strongly recommended </w:t>
      </w:r>
      <w:r w:rsidR="001B1CBA">
        <w:rPr>
          <w:rFonts w:cs="Times New Roman"/>
        </w:rPr>
        <w:t>the</w:t>
      </w:r>
      <w:r w:rsidR="001B1CBA" w:rsidRPr="00BD2160">
        <w:rPr>
          <w:rFonts w:cs="Times New Roman"/>
        </w:rPr>
        <w:t xml:space="preserve"> </w:t>
      </w:r>
      <w:r w:rsidR="00886CD9">
        <w:rPr>
          <w:rFonts w:cs="Times New Roman"/>
        </w:rPr>
        <w:t>implement</w:t>
      </w:r>
      <w:r w:rsidR="001B1CBA">
        <w:rPr>
          <w:rFonts w:cs="Times New Roman"/>
        </w:rPr>
        <w:t>ation of</w:t>
      </w:r>
      <w:r w:rsidRPr="00BD2160">
        <w:rPr>
          <w:rFonts w:cs="Times New Roman"/>
        </w:rPr>
        <w:t xml:space="preserve"> carbon isotope formulations in </w:t>
      </w:r>
      <w:r w:rsidR="004B215B">
        <w:rPr>
          <w:rFonts w:cs="Times New Roman"/>
        </w:rPr>
        <w:t>model</w:t>
      </w:r>
      <w:r w:rsidRPr="00BD2160">
        <w:rPr>
          <w:rFonts w:cs="Times New Roman"/>
        </w:rPr>
        <w:t>s</w:t>
      </w:r>
      <w:r w:rsidR="00417AD7">
        <w:rPr>
          <w:rFonts w:cs="Times New Roman"/>
        </w:rPr>
        <w:t xml:space="preserve"> (</w:t>
      </w:r>
      <w:r w:rsidR="00417AD7">
        <w:rPr>
          <w:rFonts w:cs="Times New Roman"/>
        </w:rPr>
        <w:fldChar w:fldCharType="begin" w:fldLock="1"/>
      </w:r>
      <w:r w:rsidR="00417AD7">
        <w:rPr>
          <w:rFonts w:cs="Times New Roman"/>
        </w:rPr>
        <w:instrText>ADDIN CSL_CITATION {"citationItems":[{"id":"ITEM-1","itemData":{"DOI":"10.5194/gmd-9-2853-2016","ISBN":"1991-9603","ISSN":"19919603","abstract":"Coordinated experimental design and implemen-tation has become a cornerstone of global climate modelling. Model Intercomparison Projects (MIPs) enable systematic and robust analysis of results across many models, by reduc-ing the influence of ad hoc differences in model set-up or ex-perimental boundary conditions. As it enters its 6th phase, the Coupled Model Intercomparison Project (CMIP6) has grown significantly in scope with the design and documenta-tion of individual simulations delegated to individual climate science communities. The Coupled Climate–Carbon Cycle Model Intercompar-ison Project (C4MIP) takes responsibility for design, docu-mentation, and analysis of carbon cycle feedbacks and in-teractions in climate simulations. These feedbacks are poten-tially large and play a leading-order contribution in determin-ing the atmospheric composition in response to human emis-sions of CO 2 and in the setting of emissions targets to sta-bilize climate or avoid dangerous climate change. For over a decade, C4MIP has coordinated coupled climate–carbon cycle simulations, and in this paper we describe the C4MIP simulations that will be formally part of CMIP6. While the climate–carbon cycle community has created this experimen-tal design, the simulations also fit within the wider CMIP ac-tivity, conform to some common standards including docu-mentation and diagnostic requests, and are designed to com-plement the CMIP core experiments known as the Diagnos-tic, Evaluation and Characterization of Klima (DECK). C4MIP has three key strands of scientific motivation and the requested simulations are designed to satisfy their needs: (1) pre-industrial and historical simulations (formally part of the common set of CMIP6 experiments) to enable model evaluation, (2) idealized coupled and partially coupled sim-ulations with 1 % per year increases in CO 2 to enable di-agnosis of feedback strength and its components, (3) future scenario simulations to project how the Earth system will re-Published by Copernicus Publications on behalf of the European Geosciences Union. 2854 C. D. Jones et al.: The Coupled Climate–Carbon Cycle Model Intercomparison Project spond to anthropogenic activity over the 21st century and be-yond. This paper documents in detail these simulations, explains their rationale and planned analysis, and describes how to set up and run the simulations. Particular attention is paid to boundary conditions, input data, and requested output diag-nostics. It is i…","author":[{"dropping-particle":"","family":"Jones","given":"Chris D.","non-dropping-particle":"","parse-names":false,"suffix":""},{"dropping-particle":"","family":"Arora","given":"Vivek","non-dropping-particle":"","parse-names":false,"suffix":""},{"dropping-particle":"","family":"Friedlingstein","given":"Pierre","non-dropping-particle":"","parse-names":false,"suffix":""},{"dropping-particle":"","family":"Bopp","given":"Laurent","non-dropping-particle":"","parse-names":false,"suffix":""},{"dropping-particle":"","family":"Brovkin","given":"Victor","non-dropping-particle":"","parse-names":false,"suffix":""},{"dropping-particle":"","family":"Dunne","given":"John","non-dropping-particle":"","parse-names":false,"suffix":""},{"dropping-particle":"","family":"Graven","given":"Heather","non-dropping-particle":"","parse-names":false,"suffix":""},{"dropping-particle":"","family":"Hoffman","given":"Forrest","non-dropping-particle":"","parse-names":false,"suffix":""},{"dropping-particle":"","family":"Ilyina","given":"Tatiana","non-dropping-particle":"","parse-names":false,"suffix":""},{"dropping-particle":"","family":"John","given":"Jasmin G.","non-dropping-particle":"","parse-names":false,"suffix":""},{"dropping-particle":"","family":"Jung","given":"Martin","non-dropping-particle":"","parse-names":false,"suffix":""},{"dropping-particle":"","family":"Kawamiya","given":"Michio","non-dropping-particle":"","parse-names":false,"suffix":""},{"dropping-particle":"","family":"Koven","given":"Charlie","non-dropping-particle":"","parse-names":false,"suffix":""},{"dropping-particle":"","family":"Pongratz","given":"Julia","non-dropping-particle":"","parse-names":false,"suffix":""},{"dropping-particle":"","family":"Raddatz","given":"Thomas","non-dropping-particle":"","parse-names":false,"suffix":""},{"dropping-particle":"","family":"Randerson","given":"James T.","non-dropping-particle":"","parse-names":false,"suffix":""},{"dropping-particle":"","family":"Zaehle","given":"Sönke","non-dropping-particle":"","parse-names":false,"suffix":""}],"container-title":"Geoscientific Model Development","id":"ITEM-1","issue":"8","issued":{"date-parts":[["2016"]]},"page":"2853-2880","title":"C4MIP-The Coupled Climate-Carbon Cycle Model Intercomparison Project: Experimental protocol for CMIP6","type":"article-journal","volume":"9"},"uris":["http://www.mendeley.com/documents/?uuid=0be32242-1c0f-47c2-ae0b-1456b7698b03"]},{"id":"ITEM-2","itemData":{"DOI":"10.5194/gmd-10-4405-2017","ISBN":"1991-962X","ISSN":"19919603","abstract":"&lt;p&gt;The isotopic composition of carbon (&amp;amp;Delta;&lt;sup&gt;14&lt;/sup&gt;C and &amp;amp;delta;&lt;sup&gt;13&lt;/sup&gt;C) in atmospheric CO&lt;sub&gt;2&lt;/sub&gt; and in oceanic and terrestrial carbon reservoirs is influenced by anthropogenic emissions and by natural carbon exchanges, which can respond to and drive changes in climate. Simulations of &lt;sup&gt;14&lt;/sup&gt;C and &lt;sup&gt;13&lt;/sup&gt;C in the ocean and terrestrial components of Earth System Models (ESMs) present opportunities for model evaluation and for investigation of carbon cycling, including anthropogenic CO&lt;sub&gt;2&lt;/sub&gt; emissions and uptake. The use of carbon isotopes in novel evaluation of the ESMs' component ocean and terrestrial biosphere models and in new analyses of historical changes may improve predictions of future changes in the carbon cycle and climate system. We compile existing data to produce records of &amp;amp;Delta;&lt;sup&gt;14&lt;/sup&gt;C and &amp;amp;delta;&lt;sup&gt;13&lt;/sup&gt;C in atmospheric CO&lt;sub&gt;2&lt;/sub&gt; for the historical period 1850&amp;amp;ndash;2015. The primary motivation for this compilation is to provide the atmospheric boundary condition for historical simulations in the Coupled Model Intercomparison Project 6 (CMIP6) for models simulating carbon isotopes in their ocean or terrestrial biosphere models. The data may also be useful for other carbon cycle modelling activities.&lt;/p&gt;","author":[{"dropping-particle":"","family":"Graven","given":"Heather","non-dropping-particle":"","parse-names":false,"suffix":""},{"dropping-particle":"","family":"Allison","given":"Colin E.","non-dropping-particle":"","parse-names":false,"suffix":""},{"dropping-particle":"","family":"Etheridge","given":"David M.","non-dropping-particle":"","parse-names":false,"suffix":""},{"dropping-particle":"","family":"Hammer","given":"Samuel","non-dropping-particle":"","parse-names":false,"suffix":""},{"dropping-particle":"","family":"Keeling","given":"Ralph F.","non-dropping-particle":"","parse-names":false,"suffix":""},{"dropping-particle":"","family":"Levin","given":"Ingeborg","non-dropping-particle":"","parse-names":false,"suffix":""},{"dropping-particle":"","family":"Meijer","given":"Harro A.J.","non-dropping-particle":"","parse-names":false,"suffix":""},{"dropping-particle":"","family":"Rubino","given":"Mauro","non-dropping-particle":"","parse-names":false,"suffix":""},{"dropping-particle":"","family":"Tans","given":"Pieter P.","non-dropping-particle":"","parse-names":false,"suffix":""},{"dropping-particle":"","family":"Trudinger","given":"Cathy M.","non-dropping-particle":"","parse-names":false,"suffix":""},{"dropping-particle":"","family":"Vaughn","given":"Bruce H.","non-dropping-particle":"","parse-names":false,"suffix":""},{"dropping-particle":"","family":"White","given":"James W.C.","non-dropping-particle":"","parse-names":false,"suffix":""}],"container-title":"Geoscientific Model Development","id":"ITEM-2","issue":"12","issued":{"date-parts":[["2017"]]},"page":"4405-4417","title":"Compiled records of carbon isotopes in atmospheric CO2 for historical simulations in CMIP6","type":"article-journal","volume":"10"},"uris":["http://www.mendeley.com/documents/?uuid=42ff21a0-63cd-46bd-838d-3846789efd35"]}],"mendeley":{"formattedCitation":"(Graven et al., 2017; Jones et al., 2016)","manualFormatting":"Jones et al., 2016)","plainTextFormattedCitation":"(Graven et al., 2017; Jones et al., 2016)","previouslyFormattedCitation":"(Graven et al., 2017; Jones et al., 2016)"},"properties":{"noteIndex":0},"schema":"https://github.com/citation-style-language/schema/raw/master/csl-citation.json"}</w:instrText>
      </w:r>
      <w:r w:rsidR="00417AD7">
        <w:rPr>
          <w:rFonts w:cs="Times New Roman"/>
        </w:rPr>
        <w:fldChar w:fldCharType="separate"/>
      </w:r>
      <w:r w:rsidR="00417AD7" w:rsidRPr="001231EE">
        <w:rPr>
          <w:rFonts w:cs="Times New Roman"/>
          <w:noProof/>
        </w:rPr>
        <w:t>Jones et al., 2016)</w:t>
      </w:r>
      <w:r w:rsidR="00417AD7">
        <w:rPr>
          <w:rFonts w:cs="Times New Roman"/>
        </w:rPr>
        <w:fldChar w:fldCharType="end"/>
      </w:r>
      <w:r w:rsidRPr="00BD2160">
        <w:rPr>
          <w:rFonts w:cs="Times New Roman"/>
          <w:color w:val="000000" w:themeColor="text1"/>
        </w:rPr>
        <w:t>.</w:t>
      </w:r>
      <w:r w:rsidR="002F1051">
        <w:rPr>
          <w:rFonts w:cs="Times New Roman"/>
        </w:rPr>
        <w:t xml:space="preserve"> </w:t>
      </w:r>
      <w:r w:rsidR="00F14EDB">
        <w:rPr>
          <w:rFonts w:cs="Times New Roman"/>
        </w:rPr>
        <w:t>C</w:t>
      </w:r>
      <w:r w:rsidRPr="00BD2160">
        <w:rPr>
          <w:rFonts w:cs="Times New Roman"/>
        </w:rPr>
        <w:t xml:space="preserve">arbon isotopes </w:t>
      </w:r>
      <w:r w:rsidR="00F102CE">
        <w:rPr>
          <w:rFonts w:cs="Times New Roman"/>
        </w:rPr>
        <w:t xml:space="preserve">have been </w:t>
      </w:r>
      <w:r w:rsidR="00CE358F">
        <w:rPr>
          <w:rFonts w:cs="Times New Roman"/>
        </w:rPr>
        <w:t>included</w:t>
      </w:r>
      <w:r w:rsidR="00F14EDB">
        <w:rPr>
          <w:rFonts w:cs="Times New Roman"/>
        </w:rPr>
        <w:t xml:space="preserve"> </w:t>
      </w:r>
      <w:r w:rsidRPr="00BD2160">
        <w:rPr>
          <w:rFonts w:cs="Times New Roman"/>
        </w:rPr>
        <w:t xml:space="preserve">in </w:t>
      </w:r>
      <w:r w:rsidR="00F14EDB">
        <w:rPr>
          <w:rFonts w:cs="Times New Roman"/>
        </w:rPr>
        <w:t xml:space="preserve">a </w:t>
      </w:r>
      <w:r w:rsidRPr="00BD2160">
        <w:rPr>
          <w:rFonts w:cs="Times New Roman"/>
        </w:rPr>
        <w:t xml:space="preserve">few </w:t>
      </w:r>
      <w:r w:rsidR="004B215B">
        <w:rPr>
          <w:rFonts w:cs="Times New Roman"/>
        </w:rPr>
        <w:t>model</w:t>
      </w:r>
      <w:r w:rsidRPr="00BD2160">
        <w:rPr>
          <w:rFonts w:cs="Times New Roman"/>
        </w:rPr>
        <w:t xml:space="preserve">s, including </w:t>
      </w:r>
      <w:r w:rsidR="00AE5231">
        <w:rPr>
          <w:rFonts w:cs="Times New Roman"/>
        </w:rPr>
        <w:t xml:space="preserve">LPJ </w:t>
      </w:r>
      <w:r w:rsidR="00AE5231">
        <w:rPr>
          <w:rFonts w:cs="Times New Roman"/>
        </w:rPr>
        <w:fldChar w:fldCharType="begin" w:fldLock="1"/>
      </w:r>
      <w:r w:rsidR="00263739">
        <w:rPr>
          <w:rFonts w:cs="Times New Roman"/>
        </w:rPr>
        <w:instrText>ADDIN CSL_CITATION {"citationItems":[{"id":"ITEM-1","itemData":{"DOI":"10.1029/2006GB002899","ISBN":"1944-9224","ISSN":"08866236","abstract":"The LPJ terrestrial carbon isotope model, which includes isotopic fractionation of 13C during assimilation and a full description of the isotopic terrestrial carbon cycle, has been used to calculate the atmosphere-biosphere exchange flux of CO2 and its d13C for the years 1901 to 1998. A transient, spatially explicit data set of C4 crops and tropical C4 pastures has been compiled. In combination with a land use scheme this allows the analysis of the impact of land use conversion of C3 ecosystems to C4 cultivation, besides climate, fire disturbances, atmospheric CO2 and the isotope ratio of atmospheric CO2, on the terrestrial carbon stable isotope composition. Globally averaged values of modeled leaf discrimination vary between 17.9% and 17.0% depending on the chosen land use scheme and also the year of the simulation. Results from the simulation experiment prescribing the conversion of C3 ecosystems into C4 crops and C4 pastures show the lowest leaf discrimination. Modeled values of isotopic disequilibrium flux, caused by the d13C difference between fixed CO2 and released CO2, similarly depend on the amount of prescribed C4 vegetation and vary between 37.9 Pg C% yr-1 and 23.9 Pg C% yr1 averaged over the years 1985 to 1995. In addition, the effect of fire on the isotopic disequilibrium has been diagnosed; generally wildfires lead to a disequilibrium reduction of ca. 10 Pg C% yr-1 because they shorten the turnover time of terrestrial carbon. If used in a global double deconvolution study, the differences in the results between the standard experiment without any C4 cultivation and the experiment including C4 crops and pastures could account for a shift of about 1 Pg C yr-1 from the inferred terrestrial sources to the ocean fluxes.","author":[{"dropping-particle":"","family":"Scholze","given":"Marko","non-dropping-particle":"","parse-names":false,"suffix":""},{"dropping-particle":"","family":"Ciais","given":"P.","non-dropping-particle":"","parse-names":false,"suffix":""},{"dropping-particle":"","family":"Heimann","given":"M.","non-dropping-particle":"","parse-names":false,"suffix":""}],"container-title":"Global Biogeochemical Cycles","id":"ITEM-1","issue":"1","issued":{"date-parts":[["2008"]]},"page":"1-13","title":"Modeling terrestrial 13C cycling: Climate, land use and fire","type":"article-journal","volume":"22"},"uris":["http://www.mendeley.com/documents/?uuid=08b637fd-4fcd-4c65-9f0a-aac06aaf524a"]}],"mendeley":{"formattedCitation":"(Scholze, Ciais, &amp; Heimann, 2008)","plainTextFormattedCitation":"(Scholze, Ciais, &amp; Heimann, 2008)","previouslyFormattedCitation":"(Scholze, Ciais, &amp; Heimann, 2008)"},"properties":{"noteIndex":0},"schema":"https://github.com/citation-style-language/schema/raw/master/csl-citation.json"}</w:instrText>
      </w:r>
      <w:r w:rsidR="00AE5231">
        <w:rPr>
          <w:rFonts w:cs="Times New Roman"/>
        </w:rPr>
        <w:fldChar w:fldCharType="separate"/>
      </w:r>
      <w:r w:rsidR="002B024A" w:rsidRPr="002B024A">
        <w:rPr>
          <w:rFonts w:cs="Times New Roman"/>
          <w:noProof/>
        </w:rPr>
        <w:t>(Scholze, Ciais, &amp; Heimann, 2008)</w:t>
      </w:r>
      <w:r w:rsidR="00AE5231">
        <w:rPr>
          <w:rFonts w:cs="Times New Roman"/>
        </w:rPr>
        <w:fldChar w:fldCharType="end"/>
      </w:r>
      <w:r w:rsidR="00AE5231">
        <w:rPr>
          <w:rFonts w:cs="Times New Roman"/>
        </w:rPr>
        <w:t xml:space="preserve">, </w:t>
      </w:r>
      <w:r w:rsidRPr="00BD2160">
        <w:rPr>
          <w:rFonts w:cs="Times New Roman"/>
          <w:color w:val="000000" w:themeColor="text1"/>
        </w:rPr>
        <w:t xml:space="preserve">LPX-Bern </w:t>
      </w:r>
      <w:r w:rsidRPr="00BD2160">
        <w:rPr>
          <w:rFonts w:cs="Times New Roman"/>
          <w:color w:val="000000" w:themeColor="text1"/>
        </w:rPr>
        <w:fldChar w:fldCharType="begin" w:fldLock="1"/>
      </w:r>
      <w:r w:rsidR="00B17B13">
        <w:rPr>
          <w:rFonts w:cs="Times New Roman"/>
          <w:color w:val="000000" w:themeColor="text1"/>
        </w:rPr>
        <w:instrText>ADDIN CSL_CITATION {"citationItems":[{"id":"ITEM-1","itemData":{"DOI":"10.5194/bg-14-2641-2017","ISBN":"1720130019","ISSN":"17264189","abstract":"Measurements of the stable carbon isotope ratio (δ13C) on annual tree rings offer new opportunities to evaluate mechanisms of variations in photosynthesis and stomatal conductance under changing CO2 and climate conditions, especially in conjunction with process-based biogeochemical model simulations. The isotopic discrimination is indicative of the ratio between</w:instrText>
      </w:r>
      <w:r w:rsidR="00B17B13">
        <w:rPr>
          <w:rFonts w:cs="Times New Roman" w:hint="eastAsia"/>
          <w:color w:val="000000" w:themeColor="text1"/>
        </w:rPr>
        <w:instrText xml:space="preserve"> the CO2 partial pressure in the intercellular cavities and the atmosphere (ci</w:instrText>
      </w:r>
      <w:r w:rsidR="00B17B13">
        <w:rPr>
          <w:rFonts w:cs="Times New Roman" w:hint="eastAsia"/>
          <w:color w:val="000000" w:themeColor="text1"/>
        </w:rPr>
        <w:instrText>∕</w:instrText>
      </w:r>
      <w:r w:rsidR="00B17B13">
        <w:rPr>
          <w:rFonts w:cs="Times New Roman" w:hint="eastAsia"/>
          <w:color w:val="000000" w:themeColor="text1"/>
        </w:rPr>
        <w:instrText xml:space="preserve">ca) and of the ratio of assimilation to stomatal conductance, termed intrinsic water-use efficiency (iWUE). We performed isotope-enabled simulations over the industrial period </w:instrText>
      </w:r>
      <w:r w:rsidR="00B17B13">
        <w:rPr>
          <w:rFonts w:cs="Times New Roman"/>
          <w:color w:val="000000" w:themeColor="text1"/>
        </w:rPr>
        <w:instrText>with the land biosphere module (CLM4.5) of the Community Earth System Model and the Land Surface Processes and Exchanges (LPX-Bern) dynamic global vegetation model. Results for C3 tree species show good agreement with a global compilation of δ13C measurements on leaves, though modeled 13C discrimination by C3 trees is smaller in arid regions than measured. A compilation of 76 tree-ring records, mainly from Europe, boreal Asia, and western North America, suggests on average small 20th century changes in is</w:instrText>
      </w:r>
      <w:r w:rsidR="00B17B13">
        <w:rPr>
          <w:rFonts w:cs="Times New Roman" w:hint="eastAsia"/>
          <w:color w:val="000000" w:themeColor="text1"/>
        </w:rPr>
        <w:instrText>otopic discrimination and in ci</w:instrText>
      </w:r>
      <w:r w:rsidR="00B17B13">
        <w:rPr>
          <w:rFonts w:cs="Times New Roman" w:hint="eastAsia"/>
          <w:color w:val="000000" w:themeColor="text1"/>
        </w:rPr>
        <w:instrText>∕</w:instrText>
      </w:r>
      <w:r w:rsidR="00B17B13">
        <w:rPr>
          <w:rFonts w:cs="Times New Roman" w:hint="eastAsia"/>
          <w:color w:val="000000" w:themeColor="text1"/>
        </w:rPr>
        <w:instrText>ca and an increase in iWUE of about 27 % since 1900. LPX-Bern results match these century-scale reconstructions, supporting the idea that the physiology of stomata has evolved to optimize trade-offs between carbon gain by a</w:instrText>
      </w:r>
      <w:r w:rsidR="00B17B13">
        <w:rPr>
          <w:rFonts w:cs="Times New Roman"/>
          <w:color w:val="000000" w:themeColor="text1"/>
        </w:rPr>
        <w:instrText>ssimilation and water loss by transpiration. In contrast, CLM4.5 simulates an increase in discrimination and in turn a change in iWUE that is almost twice as large as that revealed by the tree-ring data. Factorial simulations show that these changes are m</w:instrText>
      </w:r>
      <w:r w:rsidR="00B17B13">
        <w:rPr>
          <w:rFonts w:cs="Times New Roman" w:hint="eastAsia"/>
          <w:color w:val="000000" w:themeColor="text1"/>
        </w:rPr>
        <w:instrText>ainly in response to rising atmospheric CO2. The results suggest that the downregulation of ci</w:instrText>
      </w:r>
      <w:r w:rsidR="00B17B13">
        <w:rPr>
          <w:rFonts w:cs="Times New Roman" w:hint="eastAsia"/>
          <w:color w:val="000000" w:themeColor="text1"/>
        </w:rPr>
        <w:instrText>∕</w:instrText>
      </w:r>
      <w:r w:rsidR="00B17B13">
        <w:rPr>
          <w:rFonts w:cs="Times New Roman" w:hint="eastAsia"/>
          <w:color w:val="000000" w:themeColor="text1"/>
        </w:rPr>
        <w:instrText>ca and of photosynthesis by nitrogen limitation is possibly too strong in the standard setup of CLM4.5 or that there may be problems associated with the impleme</w:instrText>
      </w:r>
      <w:r w:rsidR="00B17B13">
        <w:rPr>
          <w:rFonts w:cs="Times New Roman"/>
          <w:color w:val="000000" w:themeColor="text1"/>
        </w:rPr>
        <w:instrText>ntation of conductance, assimilation, and related adjustment processes on long-term environmental changes.","author":[{"dropping-particle":"","family":"Keller","given":"Kathrin M.","non-dropping-particle":"","parse-names":false,"suffix":""},{"dropping-particle":"","family":"Lienert","given":"Sebastian","non-dropping-particle":"","parse-names":false,"suffix":""},{"dropping-particle":"","family":"Bozbiyik","given":"Anil","non-dropping-particle":"","parse-names":false,"suffix":""},{"dropping-particle":"","family":"Stocker","given":"Thomas F.","non-dropping-particle":"","parse-names":false,"suffix":""},{"dropping-particle":"V.","family":"Churakova Sidorova","given":"Olga","non-dropping-particle":"","parse-names":false,"suffix":""},{"dropping-particle":"","family":"Frank","given":"David C.","non-dropping-particle":"","parse-names":false,"suffix":""},{"dropping-particle":"","family":"Klesse","given":"Stefan","non-dropping-particle":"","parse-names":false,"suffix":""},{"dropping-particle":"","family":"Koven","given":"Charles D.","non-dropping-particle":"","parse-names":false,"suffix":""},{"dropping-particle":"","family":"Leuenberger","given":"Markus","non-dropping-particle":"","parse-names":false,"suffix":""},{"dropping-particle":"","family":"Riley","given":"William J.","non-dropping-particle":"","parse-names":false,"suffix":""},{"dropping-particle":"","family":"Saurer","given":"Matthias","non-dropping-particle":"","parse-names":false,"suffix":""},{"dropping-particle":"","family":"Siegwolf","given":"Rolf","non-dropping-particle":"","parse-names":false,"suffix":""},{"dropping-particle":"","family":"Weigt","given":"Rosemarie B.","non-dropping-particle":"","parse-names":false,"suffix":""},{"dropping-particle":"","family":"Joos","given":"Fortunat","non-dropping-particle":"","parse-names":false,"suffix":""}],"container-title":"Biogeosciences","id":"ITEM-1","issue":"10","issued":{"date-parts":[["2017"]]},"page":"2641-2673","title":"20th century changes in carbon isotopes and water-use efficiency: Tree-ring-based evaluation of the CLM4.5 and LPX-Bern models","type":"article-journal","volume":"14"},"uris":["http://www.mendeley.com/documents/?uuid=78529c25-cf9c-4688-ab34-630d9dbe798d"]},{"id":"ITEM-2","itemData":{"DOI":"10.1111/gcb.12717","ISBN":"1365-2486","ISSN":"1365-2486","PMID":"25156251","abstract":"The increasing carbon dioxide (CO2) concentration in the atmosphere in combination with climatic changes throughout the last century are likely to have had a profound effect on the physiology of trees: altering the carbon and water fluxes passing through the stomatal pores. However, the magnitude and spatial patterns of such changes in natural forests remain highly uncertain. Here, stable carbon isotope ratios from a network of 35 tree-ring sites located across Europe are investigated to determine the intrinsic water-use efficiency (iWUE), the ratio of photosynthesis to stomatal conductance from 1901 to 2000. The results were compared with simulations of a dynamic vegetation model (LPX-Bern 1.0) that integrates numerous ecosystem and land–atmosphere exchange processes in a theoretical framework. The spatial pattern of tree-ring derived iWUE of the investigated coniferous and deciduous species and the model results agreed significantly with a clear south-to-north gradient, as well as a general increase in iWUE over the 20th century. The magnitude of the iWUE increase was not spatially uniform, with the strongest increase observed and modelled for temperate forests in Central Europe, a region where summer soil-water availability decreased over the last century. We were able to demonstrate that the combined effects of increasing CO2 and climate change leading to soil drying have resulted in an accelerated increase in iWUE. These findings will help to reduce uncertainties in the land surface schemes of global climate models, where vegetation–climate feedbacks are currently still poorly constrained by observational data.","author":[{"dropping-particle":"","family":"Saurer","given":"M.","non-dropping-particle":"","parse-names":false,"suffix":""},{"dropping-particle":"","family":"Spahni","given":"R.","non-dropping-particle":"","parse-names":false,"suffix":""},{"dropping-particle":"","family":"Frank","given":"D. C.","non-dropping-particle":"","parse-names":false,"suffix":""},{"dropping-particle":"","family":"Joos","given":"Fortunat","non-dropping-particle":"","parse-names":false,"suffix":""},{"dropping-particle":"","family":"Leuenberger","given":"Markus","non-dropping-particle":"","parse-names":false,"suffix":""},{"dropping-particle":"","family":"Loader","given":"Neil J.","non-dropping-particle":"","parse-names":false,"suffix":""},{"dropping-particle":"","family":"McCarroll","given":"Danny","non-dropping-particle":"","parse-names":false,"suffix":""},{"dropping-particle":"","family":"Gagen","given":"Mary","non-dropping-particle":"","parse-names":false,"suffix":""},{"dropping-particle":"","family":"Poulter","given":"Ben","non-dropping-particle":"","parse-names":false,"suffix":""},{"dropping-particle":"","family":"Siegwolf","given":"Rolf T.W.","non-dropping-particle":"","parse-names":false,"suffix":""},{"dropping-particle":"","family":"Andreu-Hayles","given":"Laia","non-dropping-particle":"","parse-names":false,"suffix":""},{"dropping-particle":"","family":"Boettger","given":"Tatjana","non-dropping-particle":"","parse-names":false,"suffix":""},{"dropping-particle":"","family":"Dorado Liñán","given":"Isabel","non-dropping-particle":"","parse-names":false,"suffix":""},{"dropping-particle":"","family":"Fairchild","given":"Ian J.","non-dropping-particle":"","parse-names":false,"suffix":""},{"dropping-particle":"","family":"Friedrich","given":"Michael","non-dropping-particle":"","parse-names":false,"suffix":""},{"dropping-particle":"","family":"Gutierrez","given":"Emilia","non-dropping-particle":"","parse-names":false,"suffix":""},{"dropping-particle":"","family":"Haupt","given":"Marika","non-dropping-particle":"","parse-names":false,"suffix":""},{"dropping-particle":"","family":"Hilasvuori","given":"Emmi","non-dropping-particle":"","parse-names":false,"suffix":""},{"dropping-particle":"","family":"Heinrich","given":"Ingo","non-dropping-particle":"","parse-names":false,"suffix":""},{"dropping-particle":"","family":"Helle","given":"Gerd","non-dropping-particle":"","parse-names":false,"suffix":""},{"dropping-particle":"","family":"Grudd","given":"Håkan","non-dropping-particle":"","parse-names":false,"suffix":""},{"dropping-particle":"","family":"Jalkanen","given":"Risto","non-dropping-particle":"","parse-names":false,"suffix":""},{"dropping-particle":"","family":"Levanič","given":"Tom","non-dropping-particle":"","parse-names":false,"suffix":""},{"dropping-particle":"","family":"Linderholm","given":"Hans W.","non-dropping-particle":"","parse-names":false,"suffix":""},{"dropping-particle":"","family":"Robertson","given":"Iain","non-dropping-particle":"","parse-names":false,"suffix":""},{"dropping-particle":"","family":"Sonninen","given":"Eloni","non-dropping-particle":"","parse-names":false,"suffix":""},{"dropping-particle":"","family":"Treydte","given":"Kerstin","non-dropping-particle":"","parse-names":false,"suffix":""},{"dropping-particle":"","family":"Waterhouse","given":"John S.","non-dropping-particle":"","parse-names":false,"suffix":""},{"dropping-particle":"","family":"Woodley","given":"Ewan J.","non-dropping-particle":"","parse-names":false,"suffix":""},{"dropping-particle":"","family":"Wynn","given":"Peter M.","non-dropping-particle":"","parse-names":false,"suffix":""},{"dropping-particle":"","family":"Young","given":"Giles H.F.","non-dropping-particle":"","parse-names":false,"suffix":""}],"container-title":"Global Change Biology","id":"ITEM-2","issue":"12","issued":{"date-parts":[["2014"]]},"page":"3700-3712","title":"Spatial variability and temporal trends in water-use efficiency of European forests","type":"article-journal","volume":"20"},"uris":["http://www.mendeley.com/documents/?uuid=7fb86c9a-e8f9-4c93-bc58-f23d0df4e627"]}],"mendeley":{"formattedCitation":"(Keller et al., 2017; Saurer et al., 2014)","plainTextFormattedCitation":"(Keller et al., 2017; Saurer et al., 2014)","previouslyFormattedCitation":"(Keller et al., 2017; Saurer et al., 2014)"},"properties":{"noteIndex":0},"schema":"https://github.com/citation-style-language/schema/raw/master/csl-citation.json"}</w:instrText>
      </w:r>
      <w:r w:rsidRPr="00BD2160">
        <w:rPr>
          <w:rFonts w:cs="Times New Roman"/>
          <w:color w:val="000000" w:themeColor="text1"/>
        </w:rPr>
        <w:fldChar w:fldCharType="separate"/>
      </w:r>
      <w:r w:rsidR="009E1A48" w:rsidRPr="009E1A48">
        <w:rPr>
          <w:rFonts w:cs="Times New Roman"/>
          <w:noProof/>
          <w:color w:val="000000" w:themeColor="text1"/>
        </w:rPr>
        <w:t>(Keller et al., 2017; Saurer et al., 2014)</w:t>
      </w:r>
      <w:r w:rsidRPr="00BD2160">
        <w:rPr>
          <w:rFonts w:cs="Times New Roman"/>
          <w:color w:val="000000" w:themeColor="text1"/>
        </w:rPr>
        <w:fldChar w:fldCharType="end"/>
      </w:r>
      <w:r w:rsidR="00F14EDB">
        <w:rPr>
          <w:rFonts w:cs="Times New Roman"/>
          <w:color w:val="000000" w:themeColor="text1"/>
        </w:rPr>
        <w:t>,</w:t>
      </w:r>
      <w:r w:rsidRPr="00BD2160">
        <w:rPr>
          <w:rFonts w:cs="Times New Roman"/>
          <w:color w:val="000000" w:themeColor="text1"/>
        </w:rPr>
        <w:t xml:space="preserve"> </w:t>
      </w:r>
      <w:r w:rsidRPr="00BD2160">
        <w:rPr>
          <w:rFonts w:cs="Times New Roman"/>
        </w:rPr>
        <w:t xml:space="preserve">and </w:t>
      </w:r>
      <w:r w:rsidR="00AE5231" w:rsidRPr="00BD2160">
        <w:rPr>
          <w:rFonts w:cs="Times New Roman"/>
        </w:rPr>
        <w:t xml:space="preserve">CLM4.5 </w:t>
      </w:r>
      <w:r w:rsidR="00AE5231" w:rsidRPr="00BD2160">
        <w:rPr>
          <w:rFonts w:cs="Times New Roman"/>
        </w:rPr>
        <w:fldChar w:fldCharType="begin" w:fldLock="1"/>
      </w:r>
      <w:r w:rsidR="00AB6220">
        <w:rPr>
          <w:rFonts w:cs="Times New Roman"/>
        </w:rPr>
        <w:instrText>ADDIN CSL_CITATION {"citationItems":[{"id":"ITEM-1","itemData":{"DOI":"10.5194/bg-14-2641-2017","ISBN":"1720130019","ISSN":"17264189","abstract":"Measurements of the stable carbon isotope ratio (δ13C) on annual tree rings offer new opportunities to evaluate mechanisms of variations in photosynthesis and stomatal conductance under changing CO2 and climate conditions, especially in conjunction with process-based biogeochemical model simulations. The isotopic discrimination is indicative of the ratio between</w:instrText>
      </w:r>
      <w:r w:rsidR="00AB6220">
        <w:rPr>
          <w:rFonts w:cs="Times New Roman" w:hint="eastAsia"/>
        </w:rPr>
        <w:instrText xml:space="preserve"> the CO2 partial pressure in the intercellular cavities and the atmosphere (ci</w:instrText>
      </w:r>
      <w:r w:rsidR="00AB6220">
        <w:rPr>
          <w:rFonts w:cs="Times New Roman" w:hint="eastAsia"/>
        </w:rPr>
        <w:instrText>∕</w:instrText>
      </w:r>
      <w:r w:rsidR="00AB6220">
        <w:rPr>
          <w:rFonts w:cs="Times New Roman" w:hint="eastAsia"/>
        </w:rPr>
        <w:instrText xml:space="preserve">ca) and of the ratio of assimilation to stomatal conductance, termed intrinsic water-use efficiency (iWUE). We performed isotope-enabled simulations over the industrial period </w:instrText>
      </w:r>
      <w:r w:rsidR="00AB6220">
        <w:rPr>
          <w:rFonts w:cs="Times New Roman"/>
        </w:rPr>
        <w:instrText>with the land biosphere module (CLM4.5) of the Community Earth System Model and the Land Surface Processes and Exchanges (LPX-Bern) dynamic global vegetation model. Results for C3 tree species show good agreement with a global compilation of δ13C measurements on leaves, though modeled 13C discrimination by C3 trees is smaller in arid regions than measured. A compilation of 76 tree-ring records, mainly from Europe, boreal Asia, and western North America, suggests on average small 20th century changes in is</w:instrText>
      </w:r>
      <w:r w:rsidR="00AB6220">
        <w:rPr>
          <w:rFonts w:cs="Times New Roman" w:hint="eastAsia"/>
        </w:rPr>
        <w:instrText>otopic discrimination and in ci</w:instrText>
      </w:r>
      <w:r w:rsidR="00AB6220">
        <w:rPr>
          <w:rFonts w:cs="Times New Roman" w:hint="eastAsia"/>
        </w:rPr>
        <w:instrText>∕</w:instrText>
      </w:r>
      <w:r w:rsidR="00AB6220">
        <w:rPr>
          <w:rFonts w:cs="Times New Roman" w:hint="eastAsia"/>
        </w:rPr>
        <w:instrText>ca and an increase in iWUE of about 27 % since 1900. LPX-Bern results match these century-scale reconstructions, supporting the idea that the physiology of stomata has evolved to optimize trade-offs between carbon gain by a</w:instrText>
      </w:r>
      <w:r w:rsidR="00AB6220">
        <w:rPr>
          <w:rFonts w:cs="Times New Roman"/>
        </w:rPr>
        <w:instrText>ssimilation and water loss by transpiration. In contrast, CLM4.5 simulates an increase in discrimination and in turn a change in iWUE that is almost twice as large as that revealed by the tree-ring data. Factorial simulations show that these changes are m</w:instrText>
      </w:r>
      <w:r w:rsidR="00AB6220">
        <w:rPr>
          <w:rFonts w:cs="Times New Roman" w:hint="eastAsia"/>
        </w:rPr>
        <w:instrText>ainly in response to rising atmospheric CO2. The results suggest that the downregulation of ci</w:instrText>
      </w:r>
      <w:r w:rsidR="00AB6220">
        <w:rPr>
          <w:rFonts w:cs="Times New Roman" w:hint="eastAsia"/>
        </w:rPr>
        <w:instrText>∕</w:instrText>
      </w:r>
      <w:r w:rsidR="00AB6220">
        <w:rPr>
          <w:rFonts w:cs="Times New Roman" w:hint="eastAsia"/>
        </w:rPr>
        <w:instrText>ca and of photosynthesis by nitrogen limitation is possibly too strong in the standard setup of CLM4.5 or that there may be problems associated with the impleme</w:instrText>
      </w:r>
      <w:r w:rsidR="00AB6220">
        <w:rPr>
          <w:rFonts w:cs="Times New Roman"/>
        </w:rPr>
        <w:instrText>ntation of conductance, assimilation, and related adjustment processes on long-term environmental changes.","author":[{"dropping-particle":"","family":"Keller","given":"Kathrin M.","non-dropping-particle":"","parse-names":false,"suffix":""},{"dropping-particle":"","family":"Lienert","given":"Sebastian","non-dropping-particle":"","parse-names":false,"suffix":""},{"dropping-particle":"","family":"Bozbiyik","given":"Anil","non-dropping-particle":"","parse-names":false,"suffix":""},{"dropping-particle":"","family":"Stocker","given":"Thomas F.","non-dropping-particle":"","parse-names":false,"suffix":""},{"dropping-particle":"V.","family":"Churakova Sidorova","given":"Olga","non-dropping-particle":"","parse-names":false,"suffix":""},{"dropping-particle":"","family":"Frank","given":"David C.","non-dropping-particle":"","parse-names":false,"suffix":""},{"dropping-particle":"","family":"Klesse","given":"Stefan","non-dropping-particle":"","parse-names":false,"suffix":""},{"dropping-particle":"","family":"Koven","given":"Charles D.","non-dropping-particle":"","parse-names":false,"suffix":""},{"dropping-particle":"","family":"Leuenberger","given":"Markus","non-dropping-particle":"","parse-names":false,"suffix":""},{"dropping-particle":"","family":"Riley","given":"William J.","non-dropping-particle":"","parse-names":false,"suffix":""},{"dropping-particle":"","family":"Saurer","given":"Matthias","non-dropping-particle":"","parse-names":false,"suffix":""},{"dropping-particle":"","family":"Siegwolf","given":"Rolf","non-dropping-particle":"","parse-names":false,"suffix":""},{"dropping-particle":"","family":"Weigt","given":"Rosemarie B.","non-dropping-particle":"","parse-names":false,"suffix":""},{"dropping-particle":"","family":"Joos","given":"Fortunat","non-dropping-particle":"","parse-names":false,"suffix":""}],"container-title":"Biogeosciences","id":"ITEM-1","issue":"10","issued":{"date-parts":[["2017"]]},"page":"2641-2673","title":"20th century changes in carbon isotopes and water-use efficiency: Tree-ring-based evaluation of the CLM4.5 and LPX-Bern models","type":"article-journal","volume":"14"},"uris":["http://www.mendeley.com/documents/?uuid=78529c25-cf9c-4688-ab34-630d9dbe798d"]},{"id":"ITEM-2","itemData":{"DOI":"10.5194/bg-14-4315-2017","ISSN":"1726-4189","abstract":"Abstract. Droughts in the western United States are expected to intensify with climate change. Thus, an adequate representation of ecosystem response to water stress in land models is critical for predicting carbon dynamics. The goal of this study was to evaluate the performance of the Community Land Model (CLM) version 4.5 against observations at an old-growth coniferous forest site in the Pacific Northwest region of the United States (Wind River AmeriFlux site), characterized by a Mediterranean climate that subjects trees to water stress each summer. CLM was driven by site-observed meteorology and calibrated primarily using parameter values observed at the site or at similar stands in the region. Key model adjustments included parameters controlling specific leaf area and stomatal conductance. Default values of these parameters led to significant underestimation of gross primary production, overestimation of evapotranspiration, and consequently overestimation of photosynthetic 13C discrimination, reflected in reduced 13C:12C ratios of carbon fluxes and pools. Adjustments in soil hydraulic parameters within CLM were also critical, preventing significant underestimation of soil water content and unrealistic soil moisture stress during summer. After calibration, CLM was able to simulate energy and carbon fluxes, leaf area index, biomass stocks, and carbon isotope ratios of carbon fluxes and pools in reasonable agreement with site observations. Overall, the calibrated CLM was able to simulate the observed response of canopy conductance to atmospheric vapor pressure deficit (VPD) and soil water content, reasonably capturing the impact of water stress on ecosystem functioning. Both simulations and observations indicate that stomatal response from water stress at Wind River was primarily driven by VPD and not soil moisture. The calibration of the Ball–Berry stomatal conductance slope (mbb) at Wind River aligned with findings from recent CLM experiments at sites characterized by the same plant functional type (needleleaf evergreen temperate forest), despite significant differences in stand composition and age and climatology, suggesting that CLM could benefit from a revised mbb value of 6, rather than the default value of 9, for this plant functional type. Conversely, Wind River required a unique calibration of the hydrology submodel to simulate soil moisture, suggesting that the default hydrology has a more limited applicability. This study demonstrates that…","author":[{"dropping-particle":"","family":"Duarte","given":"Henrique F","non-dropping-particle":"","parse-names":false,"suffix":""},{"dropping-particle":"","family":"Raczka","given":"Brett M","non-dropping-particle":"","parse-names":false,"suffix":""},{"dropping-particle":"","family":"Ricciuto","given":"Daniel M","non-dropping-particle":"","parse-names":false,"suffix":""},{"dropping-particle":"","family":"Lin","given":"John C","non-dropping-particle":"","parse-names":false,"suffix":""},{"dropping-particle":"","family":"Koven","given":"Charles D","non-dropping-particle":"","parse-names":false,"suffix":""},{"dropping-particle":"","family":"Thornton","given":"Peter E","non-dropping-particle":"","parse-names":false,"suffix":""},{"dropping-particle":"","family":"Bowling","given":"David R","non-dropping-particle":"","parse-names":false,"suffix":""},{"dropping-particle":"","family":"Lai","given":"Chun-ta","non-dropping-particle":"","parse-names":false,"suffix":""},{"dropping-particle":"","family":"Bible","given":"Kenneth J","non-dropping-particle":"","parse-names":false,"suffix":""},{"dropping-particle":"","family":"Ehleringer","given":"James R","non-dropping-particle":"","parse-names":false,"suffix":""}],"container-title":"Biogeosciences","id":"ITEM-2","issue":"18","issued":{"date-parts":[["2017","9","28"]]},"page":"4315-4340","title":"Evaluating the Community Land Model (CLM4.5) at a coniferous forest site in northwestern United States using flux and carbon-isotope measurements","type":"article-journal","volume":"14"},"uris":["http://www.mendeley.com/documents/?uuid=202569b7-e571-482c-a4eb-deec60380cb6"]},{"id":"ITEM-3","itemData":{"DOI":"10.5194/bg-13-5183-2016","ISBN":"1810-6285","ISSN":"17264189","abstract":"Land surface models are useful tools to quantify contemporary and future climate impact on terrestrial car-bon cycle processes, provided they can be appropriately con-strained and tested with observations. Stable carbon isotopes of CO 2 offer the potential to improve model representation of the coupled carbon and water cycles because they are strongly influenced by stomatal function. Recently, a rep-resentation of stable carbon isotope discrimination was in-corporated into the Community Land Model component of the Community Earth System Model. Here, we tested the model's capability to simulate whole-forest isotope discrim-ination in a subalpine conifer forest at Niwot Ridge, Col-orado, USA. We distinguished between isotopic behavior in response to a decrease of δ 13 C within atmospheric CO 2 (Suess effect) vs. photosynthetic discrimination (canopy), by creating a site-customized atmospheric CO 2 and δ 13 C of CO 2 time series. We implemented a seasonally varying V cmax model calibration that best matched site observations of net CO 2 carbon exchange, latent heat exchange, and biomass. The model accurately simulated observed δ 13 C of needle and stem tissue, but underestimated the δ 13 C of bulk soil carbon by 1–2 ‰. The model overestimated the multiyear (2006–2012) average canopy relative to prior data-based es-timates by 2–4 ‰. The amplitude of the average seasonal cy-cle of canopy (i.e., higher in spring/fall as compared to sum-mer) was correctly modeled but only when using a revised, fully coupled A n −g s (net assimilation rate, stomatal conduc-tance) version of the model in contrast to the partially cou-pled A n − g s version used in the default model. The model attributed most of the seasonal variation in discrimination to A n , whereas interannual variation in simulated canopy dur-ing the summer months was driven by stomatal response to vapor pressure deficit (VPD). The model simulated a 10 % increase in both photosynthetic discrimination and water-use efficiency (WUE) since 1850 which is counter to established relationships between discrimination and WUE. The isotope observations used here to constrain CLM suggest (1) the model overestimated stomatal conductance and (2) the de-fault CLM approach to representing nitrogen limitation (par-tially coupled model) was not capable of reproducing ob-served trends in discrimination. These findings demonstrate that isotope observations can provide important information related to stomatal function driven b…","author":[{"dropping-particle":"","family":"Raczka","given":"Brett","non-dropping-particle":"","parse-names":false,"suffix":""},{"dropping-particle":"","family":"Duarte","given":"Henrique F.","non-dropping-particle":"","parse-names":false,"suffix":""},{"dropping-particle":"","family":"Koven","given":"Charles D.","non-dropping-particle":"","parse-names":false,"suffix":""},{"dropping-particle":"","family":"Ricciuto","given":"Daniel","non-dropping-particle":"","parse-names":false,"suffix":""},{"dropping-particle":"","family":"Thornton","given":"Peter E.","non-dropping-particle":"","parse-names":false,"suffix":""},{"dropping-particle":"","family":"Lin","given":"John C.","non-dropping-particle":"","parse-names":false,"suffix":""},{"dropping-particle":"","family":"Bowling","given":"David R.","non-dropping-particle":"","parse-names":false,"suffix":""}],"container-title":"Biogeosciences","id":"ITEM-3","issue":"18","issued":{"date-parts":[["2016"]]},"page":"5183-5204","title":"An observational constraint on stomatal function in forests: Evaluating coupled carbon and water vapor exchange with carbon isotopes in the Community Land Model (CLM4.5)","type":"article-journal","volume":"13"},"uris":["http://www.mendeley.com/documents/?uuid=85af5bbd-d3cf-4a0b-a58e-ee41f711bbe5"]}],"mendeley":{"formattedCitation":"(Duarte et al., 2017; Keller et al., 2017; Raczka et al., 2016)","plainTextFormattedCitation":"(Duarte et al., 2017; Keller et al., 2017; Raczka et al., 2016)","previouslyFormattedCitation":"(Duarte et al., 2017; Keller et al., 2017; Raczka et al., 2016)"},"properties":{"noteIndex":0},"schema":"https://github.com/citation-style-language/schema/raw/master/csl-citation.json"}</w:instrText>
      </w:r>
      <w:r w:rsidR="00AE5231" w:rsidRPr="00BD2160">
        <w:rPr>
          <w:rFonts w:cs="Times New Roman"/>
        </w:rPr>
        <w:fldChar w:fldCharType="separate"/>
      </w:r>
      <w:r w:rsidR="002B024A" w:rsidRPr="002B024A">
        <w:rPr>
          <w:rFonts w:cs="Times New Roman"/>
          <w:noProof/>
        </w:rPr>
        <w:t>(Duarte et al., 2017; Keller et al., 2017; Raczka et al., 2016)</w:t>
      </w:r>
      <w:r w:rsidR="00AE5231" w:rsidRPr="00BD2160">
        <w:rPr>
          <w:rFonts w:cs="Times New Roman"/>
        </w:rPr>
        <w:fldChar w:fldCharType="end"/>
      </w:r>
      <w:r w:rsidRPr="00BD2160">
        <w:rPr>
          <w:rFonts w:cs="Times New Roman"/>
        </w:rPr>
        <w:t xml:space="preserve">. </w:t>
      </w:r>
      <w:r w:rsidRPr="00BD2160">
        <w:rPr>
          <w:rFonts w:cs="Times New Roman"/>
          <w:color w:val="000000" w:themeColor="text1"/>
        </w:rPr>
        <w:t xml:space="preserve">In general, </w:t>
      </w:r>
      <w:r w:rsidR="00F14EDB">
        <w:rPr>
          <w:rFonts w:cs="Times New Roman"/>
          <w:color w:val="000000" w:themeColor="text1"/>
        </w:rPr>
        <w:t xml:space="preserve">however, </w:t>
      </w:r>
      <w:r w:rsidR="004B215B">
        <w:rPr>
          <w:rFonts w:cs="Times New Roman"/>
          <w:color w:val="000000" w:themeColor="text1"/>
        </w:rPr>
        <w:t>vegetat</w:t>
      </w:r>
      <w:r w:rsidR="000C13AB">
        <w:rPr>
          <w:rFonts w:cs="Times New Roman"/>
          <w:color w:val="000000" w:themeColor="text1"/>
        </w:rPr>
        <w:t>i</w:t>
      </w:r>
      <w:r w:rsidR="004B215B">
        <w:rPr>
          <w:rFonts w:cs="Times New Roman"/>
          <w:color w:val="000000" w:themeColor="text1"/>
        </w:rPr>
        <w:t>on model</w:t>
      </w:r>
      <w:r w:rsidRPr="00BD2160">
        <w:rPr>
          <w:rFonts w:cs="Times New Roman"/>
          <w:color w:val="000000" w:themeColor="text1"/>
        </w:rPr>
        <w:t xml:space="preserve">s calculate </w:t>
      </w:r>
      <w:r w:rsidRPr="00BD2160">
        <w:rPr>
          <w:rFonts w:cs="Times New Roman"/>
        </w:rPr>
        <w:t>∆</w:t>
      </w:r>
      <w:r w:rsidRPr="00BD2160">
        <w:rPr>
          <w:rFonts w:cs="Times New Roman"/>
          <w:vertAlign w:val="superscript"/>
        </w:rPr>
        <w:t>13</w:t>
      </w:r>
      <w:r w:rsidRPr="00BD2160">
        <w:rPr>
          <w:rFonts w:cs="Times New Roman"/>
        </w:rPr>
        <w:t>C following the simple model of</w:t>
      </w:r>
      <w:r w:rsidR="00256DD8">
        <w:rPr>
          <w:rFonts w:cs="Times New Roman"/>
        </w:rPr>
        <w:t xml:space="preserve"> </w:t>
      </w:r>
      <w:r w:rsidR="00256DD8">
        <w:rPr>
          <w:rFonts w:cs="Times New Roman"/>
        </w:rPr>
        <w:fldChar w:fldCharType="begin" w:fldLock="1"/>
      </w:r>
      <w:r w:rsidR="004F6F9A">
        <w:rPr>
          <w:rFonts w:cs="Times New Roman"/>
        </w:rPr>
        <w:instrText>ADDIN CSL_CITATION {"citationItems":[{"id":"ITEM-1","itemData":{"author":[{"dropping-particle":"","family":"Farquhar","given":"G. D.","non-dropping-particle":"","parse-names":false,"suffix":""},{"dropping-particle":"","family":"O'Leary","given":"M H","non-dropping-particle":"","parse-names":false,"suffix":""},{"dropping-particle":"","family":"Berry","given":"Joseph A","non-dropping-particle":"","parse-names":false,"suffix":""}],"container-title":"Australian Journal of Plant Physiology","id":"ITEM-1","issued":{"date-parts":[["1982"]]},"page":"121-137","title":"On the relationship between carbon isotope discrimination and the intercellular carbon dioxide concentration in leaves","type":"article-journal","volume":"9"},"uris":["http://www.mendeley.com/documents/?uuid=ae924288-1b5d-40f6-90f4-e76bf77a3adf"]}],"mendeley":{"formattedCitation":"(Farquhar, O’Leary, et al., 1982)","manualFormatting":"Farquhar, O’Leary, et al., (1982)","plainTextFormattedCitation":"(Farquhar, O’Leary, et al., 1982)","previouslyFormattedCitation":"(Farquhar, O’Leary, et al., 1982)"},"properties":{"noteIndex":0},"schema":"https://github.com/citation-style-language/schema/raw/master/csl-citation.json"}</w:instrText>
      </w:r>
      <w:r w:rsidR="00256DD8">
        <w:rPr>
          <w:rFonts w:cs="Times New Roman"/>
        </w:rPr>
        <w:fldChar w:fldCharType="separate"/>
      </w:r>
      <w:r w:rsidR="00256DD8" w:rsidRPr="00256DD8">
        <w:rPr>
          <w:rFonts w:cs="Times New Roman"/>
          <w:noProof/>
        </w:rPr>
        <w:t>Farquhar, O’Leary, et al., (1982)</w:t>
      </w:r>
      <w:r w:rsidR="00256DD8">
        <w:rPr>
          <w:rFonts w:cs="Times New Roman"/>
        </w:rPr>
        <w:fldChar w:fldCharType="end"/>
      </w:r>
      <w:r w:rsidR="00B65370">
        <w:rPr>
          <w:rFonts w:cs="Times New Roman"/>
        </w:rPr>
        <w:t xml:space="preserve">, i.e. </w:t>
      </w:r>
      <w:r w:rsidR="00EA2A60">
        <w:rPr>
          <w:rFonts w:cs="Times New Roman"/>
        </w:rPr>
        <w:t xml:space="preserve">equation </w:t>
      </w:r>
      <w:r w:rsidR="00181587">
        <w:rPr>
          <w:rFonts w:cs="Times New Roman"/>
        </w:rPr>
        <w:t>(</w:t>
      </w:r>
      <w:r w:rsidR="0028449E">
        <w:rPr>
          <w:rFonts w:cs="Times New Roman"/>
        </w:rPr>
        <w:t>3</w:t>
      </w:r>
      <w:r w:rsidR="00181587">
        <w:rPr>
          <w:rFonts w:cs="Times New Roman"/>
        </w:rPr>
        <w:t>)</w:t>
      </w:r>
      <w:r w:rsidR="00B65370">
        <w:rPr>
          <w:rFonts w:cs="Times New Roman"/>
        </w:rPr>
        <w:t>,</w:t>
      </w:r>
      <w:r w:rsidR="00EA2A60">
        <w:rPr>
          <w:rFonts w:cs="Times New Roman"/>
        </w:rPr>
        <w:t xml:space="preserve"> </w:t>
      </w:r>
      <w:r w:rsidRPr="00BD2160">
        <w:rPr>
          <w:rFonts w:cs="Times New Roman"/>
          <w:color w:val="000000" w:themeColor="text1"/>
        </w:rPr>
        <w:t>and the simulations are then compared to ∆</w:t>
      </w:r>
      <w:r w:rsidRPr="00BD2160">
        <w:rPr>
          <w:rFonts w:cs="Times New Roman"/>
          <w:color w:val="000000" w:themeColor="text1"/>
          <w:vertAlign w:val="superscript"/>
        </w:rPr>
        <w:t>13</w:t>
      </w:r>
      <w:r w:rsidRPr="00BD2160">
        <w:rPr>
          <w:rFonts w:cs="Times New Roman"/>
          <w:color w:val="000000" w:themeColor="text1"/>
        </w:rPr>
        <w:t xml:space="preserve">C </w:t>
      </w:r>
      <w:r w:rsidR="00176D44">
        <w:rPr>
          <w:rFonts w:cs="Times New Roman"/>
          <w:color w:val="000000" w:themeColor="text1"/>
        </w:rPr>
        <w:t>dir</w:t>
      </w:r>
      <w:r w:rsidR="006F00D9">
        <w:rPr>
          <w:rFonts w:cs="Times New Roman"/>
          <w:color w:val="000000" w:themeColor="text1"/>
        </w:rPr>
        <w:t>ec</w:t>
      </w:r>
      <w:r w:rsidR="00176D44">
        <w:rPr>
          <w:rFonts w:cs="Times New Roman"/>
          <w:color w:val="000000" w:themeColor="text1"/>
        </w:rPr>
        <w:t xml:space="preserve">tly </w:t>
      </w:r>
      <w:r w:rsidRPr="00BD2160">
        <w:rPr>
          <w:rFonts w:cs="Times New Roman"/>
          <w:color w:val="000000" w:themeColor="text1"/>
        </w:rPr>
        <w:t>inferred from tree-rings</w:t>
      </w:r>
      <w:r w:rsidR="00D465BF">
        <w:rPr>
          <w:rFonts w:cs="Times New Roman"/>
          <w:color w:val="000000" w:themeColor="text1"/>
        </w:rPr>
        <w:t xml:space="preserve"> using</w:t>
      </w:r>
      <w:r w:rsidRPr="00BD2160">
        <w:rPr>
          <w:rFonts w:cs="Times New Roman"/>
          <w:color w:val="000000" w:themeColor="text1"/>
        </w:rPr>
        <w:t xml:space="preserve"> </w:t>
      </w:r>
      <w:r w:rsidR="004407BC">
        <w:rPr>
          <w:rFonts w:cs="Times New Roman"/>
          <w:color w:val="000000" w:themeColor="text1"/>
        </w:rPr>
        <w:t xml:space="preserve">equation </w:t>
      </w:r>
      <w:r w:rsidR="00181587">
        <w:rPr>
          <w:rFonts w:cs="Times New Roman"/>
          <w:color w:val="000000" w:themeColor="text1"/>
        </w:rPr>
        <w:t>(</w:t>
      </w:r>
      <w:r w:rsidR="0028449E">
        <w:rPr>
          <w:rFonts w:cs="Times New Roman"/>
          <w:color w:val="000000" w:themeColor="text1"/>
        </w:rPr>
        <w:t>2</w:t>
      </w:r>
      <w:r w:rsidR="00181587">
        <w:rPr>
          <w:rFonts w:cs="Times New Roman"/>
          <w:color w:val="000000" w:themeColor="text1"/>
        </w:rPr>
        <w:t>)</w:t>
      </w:r>
      <w:r w:rsidRPr="00BD2160">
        <w:rPr>
          <w:rFonts w:cs="Times New Roman"/>
          <w:color w:val="000000" w:themeColor="text1"/>
        </w:rPr>
        <w:t xml:space="preserve">. </w:t>
      </w:r>
      <w:r w:rsidR="00176D44">
        <w:rPr>
          <w:rFonts w:cs="Times New Roman"/>
          <w:color w:val="000000" w:themeColor="text1"/>
        </w:rPr>
        <w:t>It should be clear from the foregoing discussion that neither of these simplifications is adequate</w:t>
      </w:r>
      <w:r w:rsidR="00CE358F">
        <w:rPr>
          <w:rFonts w:cs="Times New Roman"/>
          <w:color w:val="000000" w:themeColor="text1"/>
        </w:rPr>
        <w:t xml:space="preserve"> for the analysis of recent trends</w:t>
      </w:r>
      <w:r w:rsidR="00176D44">
        <w:rPr>
          <w:rFonts w:cs="Times New Roman"/>
          <w:color w:val="000000" w:themeColor="text1"/>
        </w:rPr>
        <w:t xml:space="preserve">. </w:t>
      </w:r>
      <w:r w:rsidR="00A07FB7">
        <w:rPr>
          <w:rFonts w:cs="Times New Roman"/>
          <w:color w:val="000000" w:themeColor="text1"/>
        </w:rPr>
        <w:t xml:space="preserve">In a recent study by </w:t>
      </w:r>
      <w:r w:rsidR="00A07FB7">
        <w:rPr>
          <w:rFonts w:cs="Times New Roman"/>
        </w:rPr>
        <w:fldChar w:fldCharType="begin" w:fldLock="1"/>
      </w:r>
      <w:r w:rsidR="00A07FB7">
        <w:rPr>
          <w:rFonts w:cs="Times New Roman"/>
        </w:rPr>
        <w:instrText>ADDIN CSL_CITATION {"citationItems":[{"id":"ITEM-1","itemData":{"DOI":"10.5194/bg-14-2641-2017","ISBN":"1720130019","ISSN":"17264189","abstract":"Measurements of the stable carbon isotope ratio (δ13C) on annual tree rings offer new opportunities to evaluate mechanisms of variations in photosynthesis and stomatal conductance under changing CO2 and climate conditions, especially in conjunction with process-based biogeochemical model simulations. The isotopic discrimination is indicative of the ratio between</w:instrText>
      </w:r>
      <w:r w:rsidR="00A07FB7">
        <w:rPr>
          <w:rFonts w:cs="Times New Roman" w:hint="eastAsia"/>
        </w:rPr>
        <w:instrText xml:space="preserve"> the CO2 partial pressure in the intercellular cavities and the atmosphere (ci</w:instrText>
      </w:r>
      <w:r w:rsidR="00A07FB7">
        <w:rPr>
          <w:rFonts w:cs="Times New Roman" w:hint="eastAsia"/>
        </w:rPr>
        <w:instrText>∕</w:instrText>
      </w:r>
      <w:r w:rsidR="00A07FB7">
        <w:rPr>
          <w:rFonts w:cs="Times New Roman" w:hint="eastAsia"/>
        </w:rPr>
        <w:instrText xml:space="preserve">ca) and of the ratio of assimilation to stomatal conductance, termed intrinsic water-use efficiency (iWUE). We performed isotope-enabled simulations over the industrial period </w:instrText>
      </w:r>
      <w:r w:rsidR="00A07FB7">
        <w:rPr>
          <w:rFonts w:cs="Times New Roman"/>
        </w:rPr>
        <w:instrText>with the land biosphere module (CLM4.5) of the Community Earth System Model and the Land Surface Processes and Exchanges (LPX-Bern) dynamic global vegetation model. Results for C3 tree species show good agreement with a global compilation of δ13C measurements on leaves, though modeled 13C discrimination by C3 trees is smaller in arid regions than measured. A compilation of 76 tree-ring records, mainly from Europe, boreal Asia, and western North America, suggests on average small 20th century changes in is</w:instrText>
      </w:r>
      <w:r w:rsidR="00A07FB7">
        <w:rPr>
          <w:rFonts w:cs="Times New Roman" w:hint="eastAsia"/>
        </w:rPr>
        <w:instrText>otopic discrimination and in ci</w:instrText>
      </w:r>
      <w:r w:rsidR="00A07FB7">
        <w:rPr>
          <w:rFonts w:cs="Times New Roman" w:hint="eastAsia"/>
        </w:rPr>
        <w:instrText>∕</w:instrText>
      </w:r>
      <w:r w:rsidR="00A07FB7">
        <w:rPr>
          <w:rFonts w:cs="Times New Roman" w:hint="eastAsia"/>
        </w:rPr>
        <w:instrText>ca and an increase in iWUE of about 27 % since 1900. LPX-Bern results match these century-scale reconstructions, supporting the idea that the physiology of stomata has evolved to optimize trade-offs between carbon gain by a</w:instrText>
      </w:r>
      <w:r w:rsidR="00A07FB7">
        <w:rPr>
          <w:rFonts w:cs="Times New Roman"/>
        </w:rPr>
        <w:instrText>ssimilation and water loss by transpiration. In contrast, CLM4.5 simulates an increase in discrimination and in turn a change in iWUE that is almost twice as large as that revealed by the tree-ring data. Factorial simulations show that these changes are m</w:instrText>
      </w:r>
      <w:r w:rsidR="00A07FB7">
        <w:rPr>
          <w:rFonts w:cs="Times New Roman" w:hint="eastAsia"/>
        </w:rPr>
        <w:instrText>ainly in response to rising atmospheric CO2. The results suggest that the downregulation of ci</w:instrText>
      </w:r>
      <w:r w:rsidR="00A07FB7">
        <w:rPr>
          <w:rFonts w:cs="Times New Roman" w:hint="eastAsia"/>
        </w:rPr>
        <w:instrText>∕</w:instrText>
      </w:r>
      <w:r w:rsidR="00A07FB7">
        <w:rPr>
          <w:rFonts w:cs="Times New Roman" w:hint="eastAsia"/>
        </w:rPr>
        <w:instrText>ca and of photosynthesis by nitrogen limitation is possibly too strong in the standard setup of CLM4.5 or that there may be problems associated with the impleme</w:instrText>
      </w:r>
      <w:r w:rsidR="00A07FB7">
        <w:rPr>
          <w:rFonts w:cs="Times New Roman"/>
        </w:rPr>
        <w:instrText>ntation of conductance, assimilation, and related adjustment processes on long-term environmental changes.","author":[{"dropping-particle":"","family":"Keller","given":"Kathrin M.","non-dropping-particle":"","parse-names":false,"suffix":""},{"dropping-particle":"","family":"Lienert","given":"Sebastian","non-dropping-particle":"","parse-names":false,"suffix":""},{"dropping-particle":"","family":"Bozbiyik","given":"Anil","non-dropping-particle":"","parse-names":false,"suffix":""},{"dropping-particle":"","family":"Stocker","given":"Thomas F.","non-dropping-particle":"","parse-names":false,"suffix":""},{"dropping-particle":"V.","family":"Churakova Sidorova","given":"Olga","non-dropping-particle":"","parse-names":false,"suffix":""},{"dropping-particle":"","family":"Frank","given":"David C.","non-dropping-particle":"","parse-names":false,"suffix":""},{"dropping-particle":"","family":"Klesse","given":"Stefan","non-dropping-particle":"","parse-names":false,"suffix":""},{"dropping-particle":"","family":"Koven","given":"Charles D.","non-dropping-particle":"","parse-names":false,"suffix":""},{"dropping-particle":"","family":"Leuenberger","given":"Markus","non-dropping-particle":"","parse-names":false,"suffix":""},{"dropping-particle":"","family":"Riley","given":"William J.","non-dropping-particle":"","parse-names":false,"suffix":""},{"dropping-particle":"","family":"Saurer","given":"Matthias","non-dropping-particle":"","parse-names":false,"suffix":""},{"dropping-particle":"","family":"Siegwolf","given":"Rolf","non-dropping-particle":"","parse-names":false,"suffix":""},{"dropping-particle":"","family":"Weigt","given":"Rosemarie B.","non-dropping-particle":"","parse-names":false,"suffix":""},{"dropping-particle":"","family":"Joos","given":"Fortunat","non-dropping-particle":"","parse-names":false,"suffix":""}],"container-title":"Biogeosciences","id":"ITEM-1","issue":"10","issued":{"date-parts":[["2017"]]},"page":"2641-2673","title":"20th century changes in carbon isotopes and water-use efficiency: Tree-ring-based evaluation of the CLM4.5 and LPX-Bern models","type":"article-journal","volume":"14"},"uris":["http://www.mendeley.com/documents/?uuid=78529c25-cf9c-4688-ab34-630d9dbe798d"]}],"mendeley":{"formattedCitation":"(Keller et al., 2017)","manualFormatting":"Keller et al. (2017)","plainTextFormattedCitation":"(Keller et al., 2017)","previouslyFormattedCitation":"(Keller et al., 2017)"},"properties":{"noteIndex":0},"schema":"https://github.com/citation-style-language/schema/raw/master/csl-citation.json"}</w:instrText>
      </w:r>
      <w:r w:rsidR="00A07FB7">
        <w:rPr>
          <w:rFonts w:cs="Times New Roman"/>
        </w:rPr>
        <w:fldChar w:fldCharType="separate"/>
      </w:r>
      <w:r w:rsidR="00A07FB7" w:rsidRPr="00D73315">
        <w:rPr>
          <w:rFonts w:cs="Times New Roman"/>
          <w:noProof/>
        </w:rPr>
        <w:t>Keller et al. (2017)</w:t>
      </w:r>
      <w:r w:rsidR="00A07FB7">
        <w:rPr>
          <w:rFonts w:cs="Times New Roman"/>
        </w:rPr>
        <w:fldChar w:fldCharType="end"/>
      </w:r>
      <w:r w:rsidR="00A07FB7">
        <w:rPr>
          <w:rFonts w:cs="Times New Roman"/>
          <w:color w:val="000000" w:themeColor="text1"/>
        </w:rPr>
        <w:t xml:space="preserve">, </w:t>
      </w:r>
      <w:r w:rsidR="00D73315" w:rsidRPr="00BD2160">
        <w:rPr>
          <w:rFonts w:cs="Times New Roman"/>
          <w:color w:val="000000" w:themeColor="text1"/>
        </w:rPr>
        <w:t>LPX-Bern1.3</w:t>
      </w:r>
      <w:r w:rsidR="00D73315">
        <w:rPr>
          <w:rFonts w:cs="Times New Roman"/>
          <w:color w:val="000000" w:themeColor="text1"/>
        </w:rPr>
        <w:t xml:space="preserve"> </w:t>
      </w:r>
      <w:r w:rsidR="00D73315" w:rsidRPr="00BD2160">
        <w:rPr>
          <w:rFonts w:cs="Times New Roman"/>
        </w:rPr>
        <w:t>simulated 20</w:t>
      </w:r>
      <w:r w:rsidR="00D73315" w:rsidRPr="00BD2160">
        <w:rPr>
          <w:rFonts w:cs="Times New Roman"/>
          <w:vertAlign w:val="superscript"/>
        </w:rPr>
        <w:t>th</w:t>
      </w:r>
      <w:r w:rsidR="00D73315" w:rsidRPr="00BD2160">
        <w:rPr>
          <w:rFonts w:cs="Times New Roman"/>
        </w:rPr>
        <w:t xml:space="preserve"> </w:t>
      </w:r>
      <w:r w:rsidR="00D73315">
        <w:rPr>
          <w:rFonts w:cs="Times New Roman"/>
        </w:rPr>
        <w:t xml:space="preserve">century </w:t>
      </w:r>
      <w:r w:rsidR="00D73315" w:rsidRPr="00BD2160">
        <w:rPr>
          <w:rFonts w:cs="Times New Roman"/>
        </w:rPr>
        <w:t>trends in iWUE</w:t>
      </w:r>
      <w:r w:rsidR="00453F4B" w:rsidRPr="00453F4B">
        <w:rPr>
          <w:rFonts w:cs="Times New Roman"/>
          <w:vertAlign w:val="superscript"/>
        </w:rPr>
        <w:t>leaf</w:t>
      </w:r>
      <w:r w:rsidR="00D73315" w:rsidRPr="00BD2160">
        <w:rPr>
          <w:rFonts w:cs="Times New Roman"/>
        </w:rPr>
        <w:t xml:space="preserve"> in reasonable agreement with a global </w:t>
      </w:r>
      <w:r w:rsidR="00453F4B">
        <w:rPr>
          <w:rFonts w:cs="Times New Roman"/>
        </w:rPr>
        <w:t>tree-ring</w:t>
      </w:r>
      <w:r w:rsidR="00D73315" w:rsidRPr="00BD2160">
        <w:rPr>
          <w:rFonts w:cs="Times New Roman"/>
        </w:rPr>
        <w:t xml:space="preserve"> dataset, </w:t>
      </w:r>
      <w:r w:rsidR="00D73315">
        <w:rPr>
          <w:rFonts w:cs="Times New Roman"/>
        </w:rPr>
        <w:t xml:space="preserve">but </w:t>
      </w:r>
      <w:r w:rsidR="00D73315" w:rsidRPr="00BD2160">
        <w:rPr>
          <w:rFonts w:cs="Times New Roman"/>
        </w:rPr>
        <w:t>the decrease in ∆</w:t>
      </w:r>
      <w:r w:rsidR="00D73315" w:rsidRPr="00BD2160">
        <w:rPr>
          <w:rFonts w:cs="Times New Roman"/>
          <w:vertAlign w:val="superscript"/>
        </w:rPr>
        <w:t>13</w:t>
      </w:r>
      <w:r w:rsidR="00D73315" w:rsidRPr="00BD2160">
        <w:rPr>
          <w:rFonts w:cs="Times New Roman"/>
        </w:rPr>
        <w:t>C was underestimated.</w:t>
      </w:r>
      <w:r w:rsidR="00D73315">
        <w:rPr>
          <w:rFonts w:cs="Times New Roman"/>
        </w:rPr>
        <w:t xml:space="preserve"> </w:t>
      </w:r>
      <w:r w:rsidR="0035595F">
        <w:rPr>
          <w:rFonts w:cs="Times New Roman"/>
          <w:color w:val="000000" w:themeColor="text1"/>
        </w:rPr>
        <w:t>Similarly, i</w:t>
      </w:r>
      <w:r w:rsidR="00DF304D">
        <w:rPr>
          <w:rFonts w:cs="Times New Roman"/>
          <w:color w:val="000000" w:themeColor="text1"/>
        </w:rPr>
        <w:t>ncorrect simulations</w:t>
      </w:r>
      <w:r w:rsidR="00E31B8A">
        <w:rPr>
          <w:rFonts w:cs="Times New Roman"/>
          <w:color w:val="000000" w:themeColor="text1"/>
        </w:rPr>
        <w:t xml:space="preserve"> of </w:t>
      </w:r>
      <w:r w:rsidR="00E31B8A" w:rsidRPr="00BD2160">
        <w:rPr>
          <w:rFonts w:cs="Times New Roman"/>
        </w:rPr>
        <w:t>∆</w:t>
      </w:r>
      <w:r w:rsidR="00E31B8A" w:rsidRPr="00BD2160">
        <w:rPr>
          <w:rFonts w:cs="Times New Roman"/>
          <w:vertAlign w:val="superscript"/>
        </w:rPr>
        <w:t>13</w:t>
      </w:r>
      <w:r w:rsidR="00E31B8A">
        <w:rPr>
          <w:rFonts w:cs="Times New Roman"/>
        </w:rPr>
        <w:t>C</w:t>
      </w:r>
      <w:r w:rsidR="00DF304D">
        <w:rPr>
          <w:rFonts w:cs="Times New Roman"/>
          <w:color w:val="000000" w:themeColor="text1"/>
        </w:rPr>
        <w:t xml:space="preserve"> were produced by</w:t>
      </w:r>
      <w:r w:rsidR="00DF304D" w:rsidRPr="00BD2160">
        <w:rPr>
          <w:rFonts w:cs="Times New Roman"/>
          <w:color w:val="000000" w:themeColor="text1"/>
        </w:rPr>
        <w:t xml:space="preserve"> CLM4.5</w:t>
      </w:r>
      <w:r w:rsidR="00DF304D">
        <w:rPr>
          <w:rFonts w:cs="Times New Roman"/>
          <w:color w:val="000000" w:themeColor="text1"/>
        </w:rPr>
        <w:t>, likely resulting</w:t>
      </w:r>
      <w:r w:rsidRPr="007E7BB0">
        <w:rPr>
          <w:rFonts w:cs="Times New Roman"/>
          <w:color w:val="FF0000"/>
        </w:rPr>
        <w:t xml:space="preserve"> </w:t>
      </w:r>
      <w:r w:rsidRPr="00DF304D">
        <w:rPr>
          <w:rFonts w:cs="Times New Roman"/>
          <w:color w:val="000000" w:themeColor="text1"/>
        </w:rPr>
        <w:t xml:space="preserve">from both the </w:t>
      </w:r>
      <w:r w:rsidR="000535AA" w:rsidRPr="000535AA">
        <w:rPr>
          <w:rFonts w:cs="Times New Roman"/>
          <w:i/>
          <w:color w:val="000000" w:themeColor="text1"/>
        </w:rPr>
        <w:t>g</w:t>
      </w:r>
      <w:r w:rsidR="000535AA" w:rsidRPr="000535AA">
        <w:rPr>
          <w:rFonts w:cs="Times New Roman"/>
          <w:color w:val="000000" w:themeColor="text1"/>
          <w:vertAlign w:val="subscript"/>
        </w:rPr>
        <w:t>s</w:t>
      </w:r>
      <w:r w:rsidRPr="00DF304D">
        <w:rPr>
          <w:rFonts w:cs="Times New Roman"/>
          <w:color w:val="000000" w:themeColor="text1"/>
        </w:rPr>
        <w:t xml:space="preserve"> parameterization and the nitrogen limitation scheme</w:t>
      </w:r>
      <w:r w:rsidR="00DF304D" w:rsidRPr="00DF304D">
        <w:rPr>
          <w:rFonts w:cs="Times New Roman"/>
          <w:color w:val="000000" w:themeColor="text1"/>
        </w:rPr>
        <w:t xml:space="preserve"> </w:t>
      </w:r>
      <w:r w:rsidR="00DF304D" w:rsidRPr="00DF304D">
        <w:rPr>
          <w:rFonts w:cs="Times New Roman"/>
          <w:color w:val="000000" w:themeColor="text1"/>
        </w:rPr>
        <w:fldChar w:fldCharType="begin" w:fldLock="1"/>
      </w:r>
      <w:r w:rsidR="00CE72DB">
        <w:rPr>
          <w:rFonts w:cs="Times New Roman"/>
          <w:color w:val="000000" w:themeColor="text1"/>
        </w:rPr>
        <w:instrText>ADDIN CSL_CITATION {"citationItems":[{"id":"ITEM-1","itemData":{"DOI":"10.5194/bg-14-2641-2017","ISBN":"1720130019","ISSN":"17264189","abstract":"Measurements of the stable carbon isotope ratio (δ13C) on annual tree rings offer new opportunities to evaluate mechanisms of variations in photosynthesis and stomatal conductance under changing CO2 and climate conditions, especially in conjunction with process-based biogeochemical model simulations. The isotopic discrimination is indicative of the ratio between</w:instrText>
      </w:r>
      <w:r w:rsidR="00CE72DB">
        <w:rPr>
          <w:rFonts w:cs="Times New Roman" w:hint="eastAsia"/>
          <w:color w:val="000000" w:themeColor="text1"/>
        </w:rPr>
        <w:instrText xml:space="preserve"> the CO2 partial pressure in the intercellular cavities and the atmosphere (ci</w:instrText>
      </w:r>
      <w:r w:rsidR="00CE72DB">
        <w:rPr>
          <w:rFonts w:cs="Times New Roman" w:hint="eastAsia"/>
          <w:color w:val="000000" w:themeColor="text1"/>
        </w:rPr>
        <w:instrText>∕</w:instrText>
      </w:r>
      <w:r w:rsidR="00CE72DB">
        <w:rPr>
          <w:rFonts w:cs="Times New Roman" w:hint="eastAsia"/>
          <w:color w:val="000000" w:themeColor="text1"/>
        </w:rPr>
        <w:instrText xml:space="preserve">ca) and of the ratio of assimilation to stomatal conductance, termed intrinsic water-use efficiency (iWUE). We performed isotope-enabled simulations over the industrial period </w:instrText>
      </w:r>
      <w:r w:rsidR="00CE72DB">
        <w:rPr>
          <w:rFonts w:cs="Times New Roman"/>
          <w:color w:val="000000" w:themeColor="text1"/>
        </w:rPr>
        <w:instrText>with the land biosphere module (CLM4.5) of the Community Earth System Model and the Land Surface Processes and Exchanges (LPX-Bern) dynamic global vegetation model. Results for C3 tree species show good agreement with a global compilation of δ13C measurements on leaves, though modeled 13C discrimination by C3 trees is smaller in arid regions than measured. A compilation of 76 tree-ring records, mainly from Europe, boreal Asia, and western North America, suggests on average small 20th century changes in is</w:instrText>
      </w:r>
      <w:r w:rsidR="00CE72DB">
        <w:rPr>
          <w:rFonts w:cs="Times New Roman" w:hint="eastAsia"/>
          <w:color w:val="000000" w:themeColor="text1"/>
        </w:rPr>
        <w:instrText>otopic discrimination and in ci</w:instrText>
      </w:r>
      <w:r w:rsidR="00CE72DB">
        <w:rPr>
          <w:rFonts w:cs="Times New Roman" w:hint="eastAsia"/>
          <w:color w:val="000000" w:themeColor="text1"/>
        </w:rPr>
        <w:instrText>∕</w:instrText>
      </w:r>
      <w:r w:rsidR="00CE72DB">
        <w:rPr>
          <w:rFonts w:cs="Times New Roman" w:hint="eastAsia"/>
          <w:color w:val="000000" w:themeColor="text1"/>
        </w:rPr>
        <w:instrText>ca and an increase in iWUE of about 27 % since 1900. LPX-Bern results match these century-scale reconstructions, supporting the idea that the physiology of stomata has evolved to optimize trade-offs between carbon gain by a</w:instrText>
      </w:r>
      <w:r w:rsidR="00CE72DB">
        <w:rPr>
          <w:rFonts w:cs="Times New Roman"/>
          <w:color w:val="000000" w:themeColor="text1"/>
        </w:rPr>
        <w:instrText>ssimilation and water loss by transpiration. In contrast, CLM4.5 simulates an increase in discrimination and in turn a change in iWUE that is almost twice as large as that revealed by the tree-ring data. Factorial simulations show that these changes are m</w:instrText>
      </w:r>
      <w:r w:rsidR="00CE72DB">
        <w:rPr>
          <w:rFonts w:cs="Times New Roman" w:hint="eastAsia"/>
          <w:color w:val="000000" w:themeColor="text1"/>
        </w:rPr>
        <w:instrText>ainly in response to rising atmospheric CO2. The results suggest that the downregulation of ci</w:instrText>
      </w:r>
      <w:r w:rsidR="00CE72DB">
        <w:rPr>
          <w:rFonts w:cs="Times New Roman" w:hint="eastAsia"/>
          <w:color w:val="000000" w:themeColor="text1"/>
        </w:rPr>
        <w:instrText>∕</w:instrText>
      </w:r>
      <w:r w:rsidR="00CE72DB">
        <w:rPr>
          <w:rFonts w:cs="Times New Roman" w:hint="eastAsia"/>
          <w:color w:val="000000" w:themeColor="text1"/>
        </w:rPr>
        <w:instrText>ca and of photosynthesis by nitrogen limitation is possibly too strong in the standard setup of CLM4.5 or that there may be problems associated with the impleme</w:instrText>
      </w:r>
      <w:r w:rsidR="00CE72DB">
        <w:rPr>
          <w:rFonts w:cs="Times New Roman"/>
          <w:color w:val="000000" w:themeColor="text1"/>
        </w:rPr>
        <w:instrText>ntation of conductance, assimilation, and related adjustment processes on long-term environmental changes.","author":[{"dropping-particle":"","family":"Keller","given":"Kathrin M.","non-dropping-particle":"","parse-names":false,"suffix":""},{"dropping-particle":"","family":"Lienert","given":"Sebastian","non-dropping-particle":"","parse-names":false,"suffix":""},{"dropping-particle":"","family":"Bozbiyik","given":"Anil","non-dropping-particle":"","parse-names":false,"suffix":""},{"dropping-particle":"","family":"Stocker","given":"Thomas F.","non-dropping-particle":"","parse-names":false,"suffix":""},{"dropping-particle":"V.","family":"Churakova Sidorova","given":"Olga","non-dropping-particle":"","parse-names":false,"suffix":""},{"dropping-particle":"","family":"Frank","given":"David C.","non-dropping-particle":"","parse-names":false,"suffix":""},{"dropping-particle":"","family":"Klesse","given":"Stefan","non-dropping-particle":"","parse-names":false,"suffix":""},{"dropping-particle":"","family":"Koven","given":"Charles D.","non-dropping-particle":"","parse-names":false,"suffix":""},{"dropping-particle":"","family":"Leuenberger","given":"Markus","non-dropping-particle":"","parse-names":false,"suffix":""},{"dropping-particle":"","family":"Riley","given":"William J.","non-dropping-particle":"","parse-names":false,"suffix":""},{"dropping-particle":"","family":"Saurer","given":"Matthias","non-dropping-particle":"","parse-names":false,"suffix":""},{"dropping-particle":"","family":"Siegwolf","given":"Rolf","non-dropping-particle":"","parse-names":false,"suffix":""},{"dropping-particle":"","family":"Weigt","given":"Rosemarie B.","non-dropping-particle":"","parse-names":false,"suffix":""},{"dropping-particle":"","family":"Joos","given":"Fortunat","non-dropping-particle":"","parse-names":false,"suffix":""}],"container-title":"Biogeosciences","id":"ITEM-1","issue":"10","issued":{"date-parts":[["2017"]]},"page":"2641-2673","title":"20th century changes in carbon isotopes and water-use efficiency: Tree-ring-based evaluation of the CLM4.5 and LPX-Bern models","type":"article-journal","volume":"14"},"uris":["http://www.mendeley.com/documents/?uuid=78529c25-cf9c-4688-ab34-630d9dbe798d"]},{"id":"ITEM-2","itemData":{"DOI":"10.5194/bg-13-5183-2016","ISBN":"1810-6285","ISSN":"17264189","abstract":"Land surface models are useful tools to quantify contemporary and future climate impact on terrestrial car-bon cycle processes, provided they can be appropriately con-strained and tested with observations. Stable carbon isotopes of CO 2 offer the potential to improve model representation of the coupled carbon and water cycles because they are strongly influenced by stomatal function. Recently, a rep-resentation of stable carbon isotope discrimination was in-corporated into the Community Land Model component of the Community Earth System Model. Here, we tested the model's capability to simulate whole-forest isotope discrim-ination in a subalpine conifer forest at Niwot Ridge, Col-orado, USA. We distinguished between isotopic behavior in response to a decrease of δ 13 C within atmospheric CO 2 (Suess effect) vs. photosynthetic discrimination (canopy), by creating a site-customized atmospheric CO 2 and δ 13 C of CO 2 time series. We implemented a seasonally varying V cmax model calibration that best matched site observations of net CO 2 carbon exchange, latent heat exchange, and biomass. The model accurately simulated observed δ 13 C of needle and stem tissue, but underestimated the δ 13 C of bulk soil carbon by 1–2 ‰. The model overestimated the multiyear (2006–2012) average canopy relative to prior data-based es-timates by 2–4 ‰. The amplitude of the average seasonal cy-cle of canopy (i.e., higher in spring/fall as compared to sum-mer) was correctly modeled but only when using a revised, fully coupled A n −g s (net assimilation rate, stomatal conduc-tance) version of the model in contrast to the partially cou-pled A n − g s version used in the default model. The model attributed most of the seasonal variation in discrimination to A n , whereas interannual variation in simulated canopy dur-ing the summer months was driven by stomatal response to vapor pressure deficit (VPD). The model simulated a 10 % increase in both photosynthetic discrimination and water-use efficiency (WUE) since 1850 which is counter to established relationships between discrimination and WUE. The isotope observations used here to constrain CLM suggest (1) the model overestimated stomatal conductance and (2) the de-fault CLM approach to representing nitrogen limitation (par-tially coupled model) was not capable of reproducing ob-served trends in discrimination. These findings demonstrate that isotope observations can provide important information related to stomatal function driven b…","author":[{"dropping-particle":"","family":"Raczka","given":"Brett","non-dropping-particle":"","parse-names":false,"suffix":""},{"dropping-particle":"","family":"Duarte","given":"Henrique F.","non-dropping-particle":"","parse-names":false,"suffix":""},{"dropping-particle":"","family":"Koven","given":"Charles D.","non-dropping-particle":"","parse-names":false,"suffix":""},{"dropping-particle":"","family":"Ricciuto","given":"Daniel","non-dropping-particle":"","parse-names":false,"suffix":""},{"dropping-particle":"","family":"Thornton","given":"Peter E.","non-dropping-particle":"","parse-names":false,"suffix":""},{"dropping-particle":"","family":"Lin","given":"John C.","non-dropping-particle":"","parse-names":false,"suffix":""},{"dropping-particle":"","family":"Bowling","given":"David R.","non-dropping-particle":"","parse-names":false,"suffix":""}],"container-title":"Biogeosciences","id":"ITEM-2","issue":"18","issued":{"date-parts":[["2016"]]},"page":"5183-5204","title":"An observational constraint on stomatal function in forests: Evaluating coupled carbon and water vapor exchange with carbon isotopes in the Community Land Model (CLM4.5)","type":"article-journal","volume":"13"},"uris":["http://www.mendeley.com/documents/?uuid=85af5bbd-d3cf-4a0b-a58e-ee41f711bbe5"]}],"mendeley":{"formattedCitation":"(Keller et al., 2017; Raczka et al., 2016)","plainTextFormattedCitation":"(Keller et al., 2017; Raczka et al., 2016)","previouslyFormattedCitation":"(Keller et al., 2017; Raczka et al., 2016)"},"properties":{"noteIndex":0},"schema":"https://github.com/citation-style-language/schema/raw/master/csl-citation.json"}</w:instrText>
      </w:r>
      <w:r w:rsidR="00DF304D" w:rsidRPr="00DF304D">
        <w:rPr>
          <w:rFonts w:cs="Times New Roman"/>
          <w:color w:val="000000" w:themeColor="text1"/>
        </w:rPr>
        <w:fldChar w:fldCharType="separate"/>
      </w:r>
      <w:r w:rsidR="00E31B8A" w:rsidRPr="00E31B8A">
        <w:rPr>
          <w:rFonts w:cs="Times New Roman"/>
          <w:noProof/>
          <w:color w:val="000000" w:themeColor="text1"/>
        </w:rPr>
        <w:t>(Keller et al., 2017; Raczka et al., 2016)</w:t>
      </w:r>
      <w:r w:rsidR="00DF304D" w:rsidRPr="00DF304D">
        <w:rPr>
          <w:rFonts w:cs="Times New Roman"/>
          <w:color w:val="000000" w:themeColor="text1"/>
        </w:rPr>
        <w:fldChar w:fldCharType="end"/>
      </w:r>
      <w:r w:rsidRPr="00DF304D">
        <w:rPr>
          <w:rFonts w:cs="Times New Roman"/>
          <w:color w:val="000000" w:themeColor="text1"/>
        </w:rPr>
        <w:t xml:space="preserve">. </w:t>
      </w:r>
      <w:r w:rsidRPr="00BD2160">
        <w:rPr>
          <w:rFonts w:cs="Times New Roman"/>
        </w:rPr>
        <w:t xml:space="preserve">By adjusting model parameters controlling </w:t>
      </w:r>
      <w:r w:rsidR="0096010C">
        <w:rPr>
          <w:rFonts w:cs="Times New Roman"/>
        </w:rPr>
        <w:t>leaf area index</w:t>
      </w:r>
      <w:r w:rsidRPr="00BD2160">
        <w:rPr>
          <w:rFonts w:cs="Times New Roman"/>
        </w:rPr>
        <w:t xml:space="preserve">, </w:t>
      </w:r>
      <w:r w:rsidR="000535AA" w:rsidRPr="000535AA">
        <w:rPr>
          <w:rFonts w:cs="Times New Roman"/>
          <w:i/>
          <w:color w:val="000000" w:themeColor="text1"/>
        </w:rPr>
        <w:t>g</w:t>
      </w:r>
      <w:r w:rsidR="000535AA" w:rsidRPr="000535AA">
        <w:rPr>
          <w:rFonts w:cs="Times New Roman"/>
          <w:color w:val="000000" w:themeColor="text1"/>
          <w:vertAlign w:val="subscript"/>
        </w:rPr>
        <w:t>s</w:t>
      </w:r>
      <w:r w:rsidRPr="00BD2160">
        <w:rPr>
          <w:rFonts w:cs="Times New Roman"/>
        </w:rPr>
        <w:t xml:space="preserve"> and soil water availability within CLM4.5, </w:t>
      </w:r>
      <w:r w:rsidR="00F13143">
        <w:rPr>
          <w:rFonts w:cs="Times New Roman"/>
        </w:rPr>
        <w:fldChar w:fldCharType="begin" w:fldLock="1"/>
      </w:r>
      <w:r w:rsidR="00AB6220">
        <w:rPr>
          <w:rFonts w:cs="Times New Roman"/>
        </w:rPr>
        <w:instrText>ADDIN CSL_CITATION {"citationItems":[{"id":"ITEM-1","itemData":{"DOI":"10.5194/bg-14-4315-2017","ISSN":"1726-4189","abstract":"Abstract. Droughts in the western United States are expected to intensify with climate change. Thus, an adequate representation of ecosystem response to water stress in land models is critical for predicting carbon dynamics. The goal of this study was to evaluate the performance of the Community Land Model (CLM) version 4.5 against observations at an old-growth coniferous forest site in the Pacific Northwest region of the United States (Wind River AmeriFlux site), characterized by a Mediterranean climate that subjects trees to water stress each summer. CLM was driven by site-observed meteorology and calibrated primarily using parameter values observed at the site or at similar stands in the region. Key model adjustments included parameters controlling specific leaf area and stomatal conductance. Default values of these parameters led to significant underestimation of gross primary production, overestimation of evapotranspiration, and consequently overestimation of photosynthetic 13C discrimination, reflected in reduced 13C:12C ratios of carbon fluxes and pools. Adjustments in soil hydraulic parameters within CLM were also critical, preventing significant underestimation of soil water content and unrealistic soil moisture stress during summer. After calibration, CLM was able to simulate energy and carbon fluxes, leaf area index, biomass stocks, and carbon isotope ratios of carbon fluxes and pools in reasonable agreement with site observations. Overall, the calibrated CLM was able to simulate the observed response of canopy conductance to atmospheric vapor pressure deficit (VPD) and soil water content, reasonably capturing the impact of water stress on ecosystem functioning. Both simulations and observations indicate that stomatal response from water stress at Wind River was primarily driven by VPD and not soil moisture. The calibration of the Ball–Berry stomatal conductance slope (mbb) at Wind River aligned with findings from recent CLM experiments at sites characterized by the same plant functional type (needleleaf evergreen temperate forest), despite significant differences in stand composition and age and climatology, suggesting that CLM could benefit from a revised mbb value of 6, rather than the default value of 9, for this plant functional type. Conversely, Wind River required a unique calibration of the hydrology submodel to simulate soil moisture, suggesting that the default hydrology has a more limited applicability. This study demonstrates that…","author":[{"dropping-particle":"","family":"Duarte","given":"Henrique F","non-dropping-particle":"","parse-names":false,"suffix":""},{"dropping-particle":"","family":"Raczka","given":"Brett M","non-dropping-particle":"","parse-names":false,"suffix":""},{"dropping-particle":"","family":"Ricciuto","given":"Daniel M","non-dropping-particle":"","parse-names":false,"suffix":""},{"dropping-particle":"","family":"Lin","given":"John C","non-dropping-particle":"","parse-names":false,"suffix":""},{"dropping-particle":"","family":"Koven","given":"Charles D","non-dropping-particle":"","parse-names":false,"suffix":""},{"dropping-particle":"","family":"Thornton","given":"Peter E","non-dropping-particle":"","parse-names":false,"suffix":""},{"dropping-particle":"","family":"Bowling","given":"David R","non-dropping-particle":"","parse-names":false,"suffix":""},{"dropping-particle":"","family":"Lai","given":"Chun-ta","non-dropping-particle":"","parse-names":false,"suffix":""},{"dropping-particle":"","family":"Bible","given":"Kenneth J","non-dropping-particle":"","parse-names":false,"suffix":""},{"dropping-particle":"","family":"Ehleringer","given":"James R","non-dropping-particle":"","parse-names":false,"suffix":""}],"container-title":"Biogeosciences","id":"ITEM-1","issue":"18","issued":{"date-parts":[["2017","9","28"]]},"page":"4315-4340","title":"Evaluating the Community Land Model (CLM4.5) at a coniferous forest site in northwestern United States using flux and carbon-isotope measurements","type":"article-journal","volume":"14"},"uris":["http://www.mendeley.com/documents/?uuid=202569b7-e571-482c-a4eb-deec60380cb6"]}],"mendeley":{"formattedCitation":"(Duarte et al., 2017)","manualFormatting":"Duarte et al. (2017)","plainTextFormattedCitation":"(Duarte et al., 2017)","previouslyFormattedCitation":"(Duarte et al., 2017)"},"properties":{"noteIndex":0},"schema":"https://github.com/citation-style-language/schema/raw/master/csl-citation.json"}</w:instrText>
      </w:r>
      <w:r w:rsidR="00F13143">
        <w:rPr>
          <w:rFonts w:cs="Times New Roman"/>
        </w:rPr>
        <w:fldChar w:fldCharType="separate"/>
      </w:r>
      <w:r w:rsidR="00F13143">
        <w:rPr>
          <w:rFonts w:cs="Times New Roman"/>
          <w:noProof/>
        </w:rPr>
        <w:t>Duarte et al.</w:t>
      </w:r>
      <w:r w:rsidR="00F13143" w:rsidRPr="00F13143">
        <w:rPr>
          <w:rFonts w:cs="Times New Roman"/>
          <w:noProof/>
        </w:rPr>
        <w:t xml:space="preserve"> (2017)</w:t>
      </w:r>
      <w:r w:rsidR="00F13143">
        <w:rPr>
          <w:rFonts w:cs="Times New Roman"/>
        </w:rPr>
        <w:fldChar w:fldCharType="end"/>
      </w:r>
      <w:r w:rsidRPr="00BD2160">
        <w:rPr>
          <w:rFonts w:cs="Times New Roman"/>
        </w:rPr>
        <w:t xml:space="preserve"> simulated ∆</w:t>
      </w:r>
      <w:r w:rsidRPr="00BD2160">
        <w:rPr>
          <w:rFonts w:cs="Times New Roman"/>
          <w:vertAlign w:val="superscript"/>
        </w:rPr>
        <w:t>13</w:t>
      </w:r>
      <w:r w:rsidRPr="00BD2160">
        <w:rPr>
          <w:rFonts w:cs="Times New Roman"/>
        </w:rPr>
        <w:t>C in better agreement with site observations, demonstrating that</w:t>
      </w:r>
      <w:r w:rsidRPr="00BD2160">
        <w:rPr>
          <w:rFonts w:cs="Times New Roman"/>
          <w:color w:val="000000" w:themeColor="text1"/>
        </w:rPr>
        <w:t xml:space="preserve"> </w:t>
      </w:r>
      <w:r w:rsidR="00125D76">
        <w:rPr>
          <w:rFonts w:cs="Times New Roman"/>
          <w:color w:val="000000" w:themeColor="text1"/>
        </w:rPr>
        <w:t xml:space="preserve">stable </w:t>
      </w:r>
      <w:r w:rsidRPr="00BD2160">
        <w:rPr>
          <w:rFonts w:cs="Times New Roman"/>
          <w:color w:val="000000" w:themeColor="text1"/>
        </w:rPr>
        <w:t xml:space="preserve">carbon isotope data could be used </w:t>
      </w:r>
      <w:r w:rsidR="0096053F">
        <w:rPr>
          <w:rFonts w:cs="Times New Roman"/>
          <w:color w:val="000000" w:themeColor="text1"/>
        </w:rPr>
        <w:t>in combination with</w:t>
      </w:r>
      <w:r w:rsidRPr="00BD2160">
        <w:rPr>
          <w:rFonts w:cs="Times New Roman"/>
          <w:color w:val="000000" w:themeColor="text1"/>
        </w:rPr>
        <w:t xml:space="preserve"> </w:t>
      </w:r>
      <w:r w:rsidR="00B66341">
        <w:rPr>
          <w:rFonts w:cs="Times New Roman"/>
          <w:color w:val="000000" w:themeColor="text1"/>
        </w:rPr>
        <w:t>eddy-covariance</w:t>
      </w:r>
      <w:r w:rsidRPr="00BD2160">
        <w:rPr>
          <w:rFonts w:cs="Times New Roman"/>
          <w:color w:val="000000" w:themeColor="text1"/>
        </w:rPr>
        <w:t xml:space="preserve"> flux measurements for evaluating </w:t>
      </w:r>
      <w:r w:rsidR="005229E6">
        <w:rPr>
          <w:rFonts w:cs="Times New Roman"/>
          <w:color w:val="000000" w:themeColor="text1"/>
        </w:rPr>
        <w:t>and improving</w:t>
      </w:r>
      <w:r w:rsidRPr="00BD2160">
        <w:rPr>
          <w:rFonts w:cs="Times New Roman"/>
          <w:color w:val="000000" w:themeColor="text1"/>
        </w:rPr>
        <w:t xml:space="preserve"> models</w:t>
      </w:r>
      <w:r w:rsidRPr="00BD2160">
        <w:rPr>
          <w:rFonts w:cs="Times New Roman"/>
        </w:rPr>
        <w:t xml:space="preserve">. </w:t>
      </w:r>
      <w:r w:rsidR="0035595F">
        <w:rPr>
          <w:rFonts w:cs="Times New Roman"/>
        </w:rPr>
        <w:t xml:space="preserve">However, </w:t>
      </w:r>
      <w:r w:rsidR="004755ED">
        <w:rPr>
          <w:rFonts w:cs="Times New Roman"/>
        </w:rPr>
        <w:t xml:space="preserve">some of </w:t>
      </w:r>
      <w:r w:rsidR="0035595F">
        <w:rPr>
          <w:rFonts w:cs="Times New Roman"/>
        </w:rPr>
        <w:t>these</w:t>
      </w:r>
      <w:r w:rsidR="00A159B6">
        <w:rPr>
          <w:rFonts w:cs="Times New Roman"/>
        </w:rPr>
        <w:t xml:space="preserve"> studies performed </w:t>
      </w:r>
      <w:r w:rsidR="00A159B6">
        <w:rPr>
          <w:rFonts w:cs="Times New Roman"/>
          <w:i/>
        </w:rPr>
        <w:t>ad hoc</w:t>
      </w:r>
      <w:r w:rsidR="00A159B6">
        <w:rPr>
          <w:rFonts w:cs="Times New Roman"/>
        </w:rPr>
        <w:t xml:space="preserve"> calibrations in order to improve agreement between </w:t>
      </w:r>
      <w:r w:rsidR="001A74CF">
        <w:rPr>
          <w:rFonts w:cs="Times New Roman"/>
        </w:rPr>
        <w:t>simulations and observations</w:t>
      </w:r>
      <w:r w:rsidR="00A159B6">
        <w:rPr>
          <w:rFonts w:cs="Times New Roman"/>
        </w:rPr>
        <w:t xml:space="preserve">. </w:t>
      </w:r>
      <w:r w:rsidR="0092050A">
        <w:rPr>
          <w:rFonts w:cs="Times New Roman"/>
        </w:rPr>
        <w:fldChar w:fldCharType="begin" w:fldLock="1"/>
      </w:r>
      <w:r w:rsidR="007E7BB0">
        <w:rPr>
          <w:rFonts w:cs="Times New Roman"/>
        </w:rPr>
        <w:instrText>ADDIN CSL_CITATION {"citationItems":[{"id":"ITEM-1","itemData":{"DOI":"10.5194/bg-13-5183-2016","ISBN":"1810-6285","ISSN":"17264189","abstract":"Land surface models are useful tools to quantify contemporary and future climate impact on terrestrial car-bon cycle processes, provided they can be appropriately con-strained and tested with observations. Stable carbon isotopes of CO 2 offer the potential to improve model representation of the coupled carbon and water cycles because they are strongly influenced by stomatal function. Recently, a rep-resentation of stable carbon isotope discrimination was in-corporated into the Community Land Model component of the Community Earth System Model. Here, we tested the model's capability to simulate whole-forest isotope discrim-ination in a subalpine conifer forest at Niwot Ridge, Col-orado, USA. We distinguished between isotopic behavior in response to a decrease of δ 13 C within atmospheric CO 2 (Suess effect) vs. photosynthetic discrimination (canopy), by creating a site-customized atmospheric CO 2 and δ 13 C of CO 2 time series. We implemented a seasonally varying V cmax model calibration that best matched site observations of net CO 2 carbon exchange, latent heat exchange, and biomass. The model accurately simulated observed δ 13 C of needle and stem tissue, but underestimated the δ 13 C of bulk soil carbon by 1–2 ‰. The model overestimated the multiyear (2006–2012) average canopy relative to prior data-based es-timates by 2–4 ‰. The amplitude of the average seasonal cy-cle of canopy (i.e., higher in spring/fall as compared to sum-mer) was correctly modeled but only when using a revised, fully coupled A n −g s (net assimilation rate, stomatal conduc-tance) version of the model in contrast to the partially cou-pled A n − g s version used in the default model. The model attributed most of the seasonal variation in discrimination to A n , whereas interannual variation in simulated canopy dur-ing the summer months was driven by stomatal response to vapor pressure deficit (VPD). The model simulated a 10 % increase in both photosynthetic discrimination and water-use efficiency (WUE) since 1850 which is counter to established relationships between discrimination and WUE. The isotope observations used here to constrain CLM suggest (1) the model overestimated stomatal conductance and (2) the de-fault CLM approach to representing nitrogen limitation (par-tially coupled model) was not capable of reproducing ob-served trends in discrimination. These findings demonstrate that isotope observations can provide important information related to stomatal function driven b…","author":[{"dropping-particle":"","family":"Raczka","given":"Brett","non-dropping-particle":"","parse-names":false,"suffix":""},{"dropping-particle":"","family":"Duarte","given":"Henrique F.","non-dropping-particle":"","parse-names":false,"suffix":""},{"dropping-particle":"","family":"Koven","given":"Charles D.","non-dropping-particle":"","parse-names":false,"suffix":""},{"dropping-particle":"","family":"Ricciuto","given":"Daniel","non-dropping-particle":"","parse-names":false,"suffix":""},{"dropping-particle":"","family":"Thornton","given":"Peter E.","non-dropping-particle":"","parse-names":false,"suffix":""},{"dropping-particle":"","family":"Lin","given":"John C.","non-dropping-particle":"","parse-names":false,"suffix":""},{"dropping-particle":"","family":"Bowling","given":"David R.","non-dropping-particle":"","parse-names":false,"suffix":""}],"container-title":"Biogeosciences","id":"ITEM-1","issue":"18","issued":{"date-parts":[["2016"]]},"page":"5183-5204","title":"An observational constraint on stomatal function in forests: Evaluating coupled carbon and water vapor exchange with carbon isotopes in the Community Land Model (CLM4.5)","type":"article-journal","volume":"13"},"uris":["http://www.mendeley.com/documents/?uuid=85af5bbd-d3cf-4a0b-a58e-ee41f711bbe5"]}],"mendeley":{"formattedCitation":"(Raczka et al., 2016)","manualFormatting":"Raczka et al. (2016)","plainTextFormattedCitation":"(Raczka et al., 2016)","previouslyFormattedCitation":"(Raczka et al., 2016)"},"properties":{"noteIndex":0},"schema":"https://github.com/citation-style-language/schema/raw/master/csl-citation.json"}</w:instrText>
      </w:r>
      <w:r w:rsidR="0092050A">
        <w:rPr>
          <w:rFonts w:cs="Times New Roman"/>
        </w:rPr>
        <w:fldChar w:fldCharType="separate"/>
      </w:r>
      <w:r w:rsidR="0092050A" w:rsidRPr="0092050A">
        <w:rPr>
          <w:rFonts w:cs="Times New Roman"/>
          <w:noProof/>
        </w:rPr>
        <w:t xml:space="preserve">Raczka et al. </w:t>
      </w:r>
      <w:r w:rsidR="0092050A">
        <w:rPr>
          <w:rFonts w:cs="Times New Roman"/>
          <w:noProof/>
        </w:rPr>
        <w:t>(</w:t>
      </w:r>
      <w:r w:rsidR="0092050A" w:rsidRPr="0092050A">
        <w:rPr>
          <w:rFonts w:cs="Times New Roman"/>
          <w:noProof/>
        </w:rPr>
        <w:t>2016)</w:t>
      </w:r>
      <w:r w:rsidR="0092050A">
        <w:rPr>
          <w:rFonts w:cs="Times New Roman"/>
        </w:rPr>
        <w:fldChar w:fldCharType="end"/>
      </w:r>
      <w:r w:rsidRPr="00BD2160">
        <w:rPr>
          <w:rFonts w:cs="Times New Roman"/>
        </w:rPr>
        <w:t xml:space="preserve"> </w:t>
      </w:r>
      <w:r w:rsidR="00313AB9">
        <w:rPr>
          <w:rFonts w:cs="Times New Roman"/>
        </w:rPr>
        <w:t>us</w:t>
      </w:r>
      <w:r w:rsidRPr="00BD2160">
        <w:rPr>
          <w:rFonts w:cs="Times New Roman"/>
        </w:rPr>
        <w:t xml:space="preserve">ed an empirical photosynthesis scaling to provide a better match of simulated GPP and </w:t>
      </w:r>
      <w:r w:rsidRPr="00BD2160">
        <w:rPr>
          <w:rFonts w:cs="Times New Roman"/>
          <w:i/>
        </w:rPr>
        <w:t>R</w:t>
      </w:r>
      <w:r w:rsidRPr="00BD2160">
        <w:rPr>
          <w:rFonts w:cs="Times New Roman"/>
          <w:vertAlign w:val="subscript"/>
        </w:rPr>
        <w:t>eco</w:t>
      </w:r>
      <w:r w:rsidRPr="00BD2160">
        <w:rPr>
          <w:rFonts w:cs="Times New Roman"/>
        </w:rPr>
        <w:t xml:space="preserve"> to </w:t>
      </w:r>
      <w:r w:rsidR="00B66341">
        <w:rPr>
          <w:rFonts w:cs="Times New Roman"/>
        </w:rPr>
        <w:t>eddy-covariance</w:t>
      </w:r>
      <w:r w:rsidRPr="00BD2160">
        <w:rPr>
          <w:rFonts w:cs="Times New Roman"/>
        </w:rPr>
        <w:t xml:space="preserve"> observations. </w:t>
      </w:r>
      <w:r w:rsidR="0092050A">
        <w:rPr>
          <w:rFonts w:cs="Times New Roman"/>
        </w:rPr>
        <w:fldChar w:fldCharType="begin" w:fldLock="1"/>
      </w:r>
      <w:r w:rsidR="00AB6220">
        <w:rPr>
          <w:rFonts w:cs="Times New Roman"/>
        </w:rPr>
        <w:instrText>ADDIN CSL_CITATION {"citationItems":[{"id":"ITEM-1","itemData":{"DOI":"10.5194/bg-14-4315-2017","ISSN":"1726-4189","abstract":"Abstract. Droughts in the western United States are expected to intensify with climate change. Thus, an adequate representation of ecosystem response to water stress in land models is critical for predicting carbon dynamics. The goal of this study was to evaluate the performance of the Community Land Model (CLM) version 4.5 against observations at an old-growth coniferous forest site in the Pacific Northwest region of the United States (Wind River AmeriFlux site), characterized by a Mediterranean climate that subjects trees to water stress each summer. CLM was driven by site-observed meteorology and calibrated primarily using parameter values observed at the site or at similar stands in the region. Key model adjustments included parameters controlling specific leaf area and stomatal conductance. Default values of these parameters led to significant underestimation of gross primary production, overestimation of evapotranspiration, and consequently overestimation of photosynthetic 13C discrimination, reflected in reduced 13C:12C ratios of carbon fluxes and pools. Adjustments in soil hydraulic parameters within CLM were also critical, preventing significant underestimation of soil water content and unrealistic soil moisture stress during summer. After calibration, CLM was able to simulate energy and carbon fluxes, leaf area index, biomass stocks, and carbon isotope ratios of carbon fluxes and pools in reasonable agreement with site observations. Overall, the calibrated CLM was able to simulate the observed response of canopy conductance to atmospheric vapor pressure deficit (VPD) and soil water content, reasonably capturing the impact of water stress on ecosystem functioning. Both simulations and observations indicate that stomatal response from water stress at Wind River was primarily driven by VPD and not soil moisture. The calibration of the Ball–Berry stomatal conductance slope (mbb) at Wind River aligned with findings from recent CLM experiments at sites characterized by the same plant functional type (needleleaf evergreen temperate forest), despite significant differences in stand composition and age and climatology, suggesting that CLM could benefit from a revised mbb value of 6, rather than the default value of 9, for this plant functional type. Conversely, Wind River required a unique calibration of the hydrology submodel to simulate soil moisture, suggesting that the default hydrology has a more limited applicability. This study demonstrates that…","author":[{"dropping-particle":"","family":"Duarte","given":"Henrique F","non-dropping-particle":"","parse-names":false,"suffix":""},{"dropping-particle":"","family":"Raczka","given":"Brett M","non-dropping-particle":"","parse-names":false,"suffix":""},{"dropping-particle":"","family":"Ricciuto","given":"Daniel M","non-dropping-particle":"","parse-names":false,"suffix":""},{"dropping-particle":"","family":"Lin","given":"John C","non-dropping-particle":"","parse-names":false,"suffix":""},{"dropping-particle":"","family":"Koven","given":"Charles D","non-dropping-particle":"","parse-names":false,"suffix":""},{"dropping-particle":"","family":"Thornton","given":"Peter E","non-dropping-particle":"","parse-names":false,"suffix":""},{"dropping-particle":"","family":"Bowling","given":"David R","non-dropping-particle":"","parse-names":false,"suffix":""},{"dropping-particle":"","family":"Lai","given":"Chun-ta","non-dropping-particle":"","parse-names":false,"suffix":""},{"dropping-particle":"","family":"Bible","given":"Kenneth J","non-dropping-particle":"","parse-names":false,"suffix":""},{"dropping-particle":"","family":"Ehleringer","given":"James R","non-dropping-particle":"","parse-names":false,"suffix":""}],"container-title":"Biogeosciences","id":"ITEM-1","issue":"18","issued":{"date-parts":[["2017","9","28"]]},"page":"4315-4340","title":"Evaluating the Community Land Model (CLM4.5) at a coniferous forest site in northwestern United States using flux and carbon-isotope measurements","type":"article-journal","volume":"14"},"uris":["http://www.mendeley.com/documents/?uuid=202569b7-e571-482c-a4eb-deec60380cb6"]}],"mendeley":{"formattedCitation":"(Duarte et al., 2017)","manualFormatting":"Duarte et al. (2017)","plainTextFormattedCitation":"(Duarte et al., 2017)","previouslyFormattedCitation":"(Duarte et al., 2017)"},"properties":{"noteIndex":0},"schema":"https://github.com/citation-style-language/schema/raw/master/csl-citation.json"}</w:instrText>
      </w:r>
      <w:r w:rsidR="0092050A">
        <w:rPr>
          <w:rFonts w:cs="Times New Roman"/>
        </w:rPr>
        <w:fldChar w:fldCharType="separate"/>
      </w:r>
      <w:r w:rsidR="0092050A">
        <w:rPr>
          <w:rFonts w:cs="Times New Roman"/>
          <w:noProof/>
        </w:rPr>
        <w:t>Duarte et al.</w:t>
      </w:r>
      <w:r w:rsidR="0092050A" w:rsidRPr="00F13143">
        <w:rPr>
          <w:rFonts w:cs="Times New Roman"/>
          <w:noProof/>
        </w:rPr>
        <w:t xml:space="preserve"> (2017)</w:t>
      </w:r>
      <w:r w:rsidR="0092050A">
        <w:rPr>
          <w:rFonts w:cs="Times New Roman"/>
        </w:rPr>
        <w:fldChar w:fldCharType="end"/>
      </w:r>
      <w:r w:rsidRPr="00BD2160">
        <w:rPr>
          <w:rFonts w:cs="Times New Roman"/>
        </w:rPr>
        <w:t xml:space="preserve"> manually adjusted </w:t>
      </w:r>
      <w:r w:rsidR="00F37F2E">
        <w:rPr>
          <w:rFonts w:cs="Times New Roman"/>
        </w:rPr>
        <w:t xml:space="preserve">the </w:t>
      </w:r>
      <w:r w:rsidR="00D73315">
        <w:rPr>
          <w:rFonts w:cs="Times New Roman"/>
        </w:rPr>
        <w:t xml:space="preserve">model </w:t>
      </w:r>
      <w:r w:rsidRPr="00BD2160">
        <w:rPr>
          <w:rFonts w:cs="Times New Roman"/>
        </w:rPr>
        <w:t xml:space="preserve">parameters to better fit simulations and observations of GPP and ET. Such strategies </w:t>
      </w:r>
      <w:r w:rsidR="00B1749A">
        <w:rPr>
          <w:rFonts w:cs="Times New Roman"/>
        </w:rPr>
        <w:t>are not</w:t>
      </w:r>
      <w:r w:rsidR="00A159B6">
        <w:rPr>
          <w:rFonts w:cs="Times New Roman"/>
        </w:rPr>
        <w:t xml:space="preserve"> recommended as they invite </w:t>
      </w:r>
      <w:r w:rsidRPr="00BD2160">
        <w:rPr>
          <w:rFonts w:cs="Times New Roman"/>
          <w:lang w:val="en-GB"/>
        </w:rPr>
        <w:t>the possibility of error compensations if important processes are missing or incorrectly represented</w:t>
      </w:r>
      <w:r w:rsidR="00A159B6">
        <w:rPr>
          <w:rFonts w:cs="Times New Roman"/>
          <w:lang w:val="en-GB"/>
        </w:rPr>
        <w:t>. They</w:t>
      </w:r>
      <w:r w:rsidRPr="00BD2160">
        <w:rPr>
          <w:rFonts w:cs="Times New Roman"/>
          <w:lang w:val="en-GB"/>
        </w:rPr>
        <w:t xml:space="preserve"> </w:t>
      </w:r>
      <w:r w:rsidR="00A159B6">
        <w:rPr>
          <w:rFonts w:cs="Times New Roman"/>
          <w:lang w:val="en-GB"/>
        </w:rPr>
        <w:t>do</w:t>
      </w:r>
      <w:r w:rsidRPr="00BD2160">
        <w:rPr>
          <w:rFonts w:cs="Times New Roman"/>
          <w:lang w:val="en-GB"/>
        </w:rPr>
        <w:t xml:space="preserve"> not ensure that the model is reliable. Major improvements in the process-level evaluation of models are </w:t>
      </w:r>
      <w:r w:rsidR="00313803">
        <w:rPr>
          <w:rFonts w:cs="Times New Roman"/>
          <w:lang w:val="en-GB"/>
        </w:rPr>
        <w:t xml:space="preserve">still </w:t>
      </w:r>
      <w:r w:rsidRPr="00BD2160">
        <w:rPr>
          <w:rFonts w:cs="Times New Roman"/>
          <w:lang w:val="en-GB"/>
        </w:rPr>
        <w:t xml:space="preserve">needed </w:t>
      </w:r>
      <w:r w:rsidR="00A159B6">
        <w:rPr>
          <w:rFonts w:cs="Times New Roman"/>
          <w:lang w:val="en-GB"/>
        </w:rPr>
        <w:t xml:space="preserve">in order </w:t>
      </w:r>
      <w:r w:rsidRPr="00BD2160">
        <w:rPr>
          <w:rFonts w:cs="Times New Roman"/>
          <w:lang w:val="en-GB"/>
        </w:rPr>
        <w:t xml:space="preserve">to increase their predictive skill. </w:t>
      </w:r>
    </w:p>
    <w:p w14:paraId="06F2CAF9" w14:textId="185D4BB3" w:rsidR="0002756F" w:rsidRPr="00BD2160" w:rsidRDefault="0002756F">
      <w:pPr>
        <w:pStyle w:val="Body"/>
        <w:spacing w:before="240" w:line="360" w:lineRule="auto"/>
        <w:jc w:val="both"/>
        <w:rPr>
          <w:rFonts w:cs="Times New Roman"/>
        </w:rPr>
      </w:pPr>
    </w:p>
    <w:p w14:paraId="2B617478" w14:textId="77777777" w:rsidR="0002756F" w:rsidRPr="00BD2160" w:rsidRDefault="0002756F" w:rsidP="00F875C0">
      <w:pPr>
        <w:pStyle w:val="ListParagraph"/>
        <w:keepNext/>
        <w:numPr>
          <w:ilvl w:val="0"/>
          <w:numId w:val="29"/>
        </w:numPr>
        <w:spacing w:line="360" w:lineRule="auto"/>
        <w:jc w:val="both"/>
        <w:rPr>
          <w:rFonts w:ascii="Times New Roman" w:eastAsia="Times New Roman" w:hAnsi="Times New Roman" w:cs="Times New Roman"/>
          <w:b/>
          <w:bCs/>
        </w:rPr>
      </w:pPr>
      <w:r w:rsidRPr="00BD2160">
        <w:rPr>
          <w:rFonts w:ascii="Times New Roman" w:hAnsi="Times New Roman" w:cs="Times New Roman"/>
          <w:b/>
          <w:bCs/>
        </w:rPr>
        <w:t>Conclusions and perspectives</w:t>
      </w:r>
    </w:p>
    <w:p w14:paraId="7E3618C1" w14:textId="2F27ADEE" w:rsidR="008B2BCB" w:rsidRDefault="001B1CBA" w:rsidP="00DB1A89">
      <w:pPr>
        <w:pStyle w:val="Body"/>
        <w:spacing w:before="240" w:line="360" w:lineRule="auto"/>
        <w:jc w:val="both"/>
        <w:rPr>
          <w:rFonts w:cs="Times New Roman"/>
          <w:color w:val="000000" w:themeColor="text1"/>
          <w:lang w:val="en-GB"/>
        </w:rPr>
      </w:pPr>
      <w:r>
        <w:rPr>
          <w:rFonts w:cs="Times New Roman"/>
        </w:rPr>
        <w:t>Continuing</w:t>
      </w:r>
      <w:r w:rsidRPr="00BD2160">
        <w:rPr>
          <w:rFonts w:cs="Times New Roman"/>
          <w:color w:val="000000" w:themeColor="text1"/>
          <w:lang w:val="en-GB"/>
        </w:rPr>
        <w:t xml:space="preserve"> </w:t>
      </w:r>
      <w:r w:rsidR="0002756F" w:rsidRPr="00BD2160">
        <w:rPr>
          <w:rFonts w:cs="Times New Roman"/>
          <w:color w:val="000000" w:themeColor="text1"/>
          <w:lang w:val="en-GB"/>
        </w:rPr>
        <w:t>environmental changes are affecting the stomatal regulation of leaf gas</w:t>
      </w:r>
      <w:r w:rsidR="00C952DE">
        <w:rPr>
          <w:rFonts w:cs="Times New Roman"/>
          <w:color w:val="000000" w:themeColor="text1"/>
          <w:lang w:val="en-GB"/>
        </w:rPr>
        <w:t>-</w:t>
      </w:r>
      <w:r w:rsidR="0002756F" w:rsidRPr="00BD2160">
        <w:rPr>
          <w:rFonts w:cs="Times New Roman"/>
          <w:color w:val="000000" w:themeColor="text1"/>
          <w:lang w:val="en-GB"/>
        </w:rPr>
        <w:t>exchange, but the extent to which the resulting physiological changes t</w:t>
      </w:r>
      <w:r w:rsidR="008F54B0" w:rsidRPr="00BD2160">
        <w:rPr>
          <w:rFonts w:cs="Times New Roman"/>
          <w:color w:val="000000" w:themeColor="text1"/>
          <w:lang w:val="en-GB"/>
        </w:rPr>
        <w:t xml:space="preserve">ranslate into changes in </w:t>
      </w:r>
      <w:r w:rsidR="00F171AE">
        <w:rPr>
          <w:rFonts w:cs="Times New Roman"/>
          <w:color w:val="000000" w:themeColor="text1"/>
          <w:lang w:val="en-GB"/>
        </w:rPr>
        <w:t>leaf</w:t>
      </w:r>
      <w:r w:rsidR="008F54B0" w:rsidRPr="00BD2160">
        <w:rPr>
          <w:rFonts w:cs="Times New Roman"/>
          <w:color w:val="000000" w:themeColor="text1"/>
          <w:lang w:val="en-GB"/>
        </w:rPr>
        <w:t>-</w:t>
      </w:r>
      <w:r w:rsidR="0002756F" w:rsidRPr="00BD2160">
        <w:rPr>
          <w:rFonts w:cs="Times New Roman"/>
          <w:color w:val="000000" w:themeColor="text1"/>
          <w:lang w:val="en-GB"/>
        </w:rPr>
        <w:t xml:space="preserve"> </w:t>
      </w:r>
      <w:r w:rsidR="00F171AE">
        <w:rPr>
          <w:rFonts w:cs="Times New Roman"/>
          <w:color w:val="000000" w:themeColor="text1"/>
          <w:lang w:val="en-GB"/>
        </w:rPr>
        <w:t>to</w:t>
      </w:r>
      <w:r w:rsidR="0002756F" w:rsidRPr="00BD2160">
        <w:rPr>
          <w:rFonts w:cs="Times New Roman"/>
          <w:color w:val="000000" w:themeColor="text1"/>
          <w:lang w:val="en-GB"/>
        </w:rPr>
        <w:t xml:space="preserve"> ecosystem-level WUE remains unclear. Assessing the magnitude of WUE changes over time is challenging because of (a) </w:t>
      </w:r>
      <w:r w:rsidR="00B21C73" w:rsidRPr="00BD2160">
        <w:rPr>
          <w:rFonts w:cs="Times New Roman"/>
          <w:color w:val="000000" w:themeColor="text1"/>
          <w:lang w:val="en-GB"/>
        </w:rPr>
        <w:t>uncertainties related to the data sources used to infer trends,</w:t>
      </w:r>
      <w:r w:rsidR="00D134D5" w:rsidRPr="00BD2160">
        <w:rPr>
          <w:rFonts w:cs="Times New Roman"/>
          <w:color w:val="000000" w:themeColor="text1"/>
          <w:lang w:val="en-GB"/>
        </w:rPr>
        <w:t xml:space="preserve"> (b) </w:t>
      </w:r>
      <w:r w:rsidR="0002756F" w:rsidRPr="00BD2160">
        <w:rPr>
          <w:rFonts w:cs="Times New Roman"/>
          <w:color w:val="000000" w:themeColor="text1"/>
          <w:lang w:val="en-GB"/>
        </w:rPr>
        <w:t xml:space="preserve">unresolved differences between results obtained from </w:t>
      </w:r>
      <w:r w:rsidR="00B21C73" w:rsidRPr="00BD2160">
        <w:rPr>
          <w:rFonts w:cs="Times New Roman"/>
          <w:color w:val="000000" w:themeColor="text1"/>
          <w:lang w:val="en-GB"/>
        </w:rPr>
        <w:t xml:space="preserve">the </w:t>
      </w:r>
      <w:r w:rsidR="0002756F" w:rsidRPr="00BD2160">
        <w:rPr>
          <w:rFonts w:cs="Times New Roman"/>
          <w:color w:val="000000" w:themeColor="text1"/>
          <w:lang w:val="en-GB"/>
        </w:rPr>
        <w:t>different data sources</w:t>
      </w:r>
      <w:r>
        <w:rPr>
          <w:rFonts w:cs="Times New Roman"/>
          <w:color w:val="000000" w:themeColor="text1"/>
          <w:lang w:val="en-GB"/>
        </w:rPr>
        <w:t>,</w:t>
      </w:r>
      <w:r w:rsidR="00B21C73" w:rsidRPr="00BD2160">
        <w:rPr>
          <w:rFonts w:cs="Times New Roman"/>
          <w:color w:val="000000" w:themeColor="text1"/>
          <w:lang w:val="en-GB"/>
        </w:rPr>
        <w:t xml:space="preserve"> and (c) </w:t>
      </w:r>
      <w:r w:rsidR="00C277F0" w:rsidRPr="00BD2160">
        <w:rPr>
          <w:rFonts w:cs="Times New Roman"/>
          <w:color w:val="000000" w:themeColor="text1"/>
          <w:lang w:val="en-GB"/>
        </w:rPr>
        <w:t>different modelling approaches and assum</w:t>
      </w:r>
      <w:r w:rsidR="00491D19" w:rsidRPr="00BD2160">
        <w:rPr>
          <w:rFonts w:cs="Times New Roman"/>
          <w:color w:val="000000" w:themeColor="text1"/>
          <w:lang w:val="en-GB"/>
        </w:rPr>
        <w:t>p</w:t>
      </w:r>
      <w:r w:rsidR="00C277F0" w:rsidRPr="00BD2160">
        <w:rPr>
          <w:rFonts w:cs="Times New Roman"/>
          <w:color w:val="000000" w:themeColor="text1"/>
          <w:lang w:val="en-GB"/>
        </w:rPr>
        <w:t>tions for WUE</w:t>
      </w:r>
      <w:r w:rsidR="0002756F" w:rsidRPr="00BD2160">
        <w:rPr>
          <w:rFonts w:cs="Times New Roman"/>
          <w:color w:val="000000" w:themeColor="text1"/>
          <w:lang w:val="en-GB"/>
        </w:rPr>
        <w:t>.</w:t>
      </w:r>
      <w:r w:rsidR="00D86B1E" w:rsidRPr="00BD2160">
        <w:rPr>
          <w:rFonts w:cs="Times New Roman"/>
          <w:color w:val="000000" w:themeColor="text1"/>
          <w:lang w:val="en-GB"/>
        </w:rPr>
        <w:t xml:space="preserve"> </w:t>
      </w:r>
    </w:p>
    <w:p w14:paraId="227AEF5E" w14:textId="62F23E4D" w:rsidR="005A1FE8" w:rsidRPr="006B42DC" w:rsidRDefault="00135DEE" w:rsidP="00DB1A89">
      <w:pPr>
        <w:pStyle w:val="Body"/>
        <w:spacing w:before="240" w:line="360" w:lineRule="auto"/>
        <w:jc w:val="both"/>
        <w:rPr>
          <w:rFonts w:cs="Times New Roman"/>
          <w:color w:val="000000" w:themeColor="text1"/>
          <w:lang w:val="en-GB"/>
        </w:rPr>
      </w:pPr>
      <w:r>
        <w:rPr>
          <w:rFonts w:cs="Times New Roman"/>
          <w:color w:val="000000" w:themeColor="text1"/>
          <w:lang w:val="en-GB"/>
        </w:rPr>
        <w:t>Based on this review, several recommendations</w:t>
      </w:r>
      <w:r w:rsidR="00A83472">
        <w:rPr>
          <w:rFonts w:cs="Times New Roman"/>
          <w:color w:val="000000" w:themeColor="text1"/>
          <w:lang w:val="en-GB"/>
        </w:rPr>
        <w:t xml:space="preserve"> </w:t>
      </w:r>
      <w:r w:rsidR="00E57FEA">
        <w:t>can be made</w:t>
      </w:r>
      <w:r w:rsidR="00E57FEA">
        <w:rPr>
          <w:rFonts w:cs="Times New Roman"/>
          <w:color w:val="000000" w:themeColor="text1"/>
          <w:lang w:val="en-GB"/>
        </w:rPr>
        <w:t xml:space="preserve"> </w:t>
      </w:r>
      <w:r w:rsidR="00A83472">
        <w:rPr>
          <w:rFonts w:cs="Times New Roman"/>
          <w:color w:val="000000" w:themeColor="text1"/>
          <w:lang w:val="en-GB"/>
        </w:rPr>
        <w:t xml:space="preserve">for improving </w:t>
      </w:r>
      <w:r w:rsidR="00C11CC0">
        <w:rPr>
          <w:rFonts w:cs="Times New Roman"/>
          <w:color w:val="000000" w:themeColor="text1"/>
          <w:lang w:val="en-GB"/>
        </w:rPr>
        <w:t xml:space="preserve">long-term </w:t>
      </w:r>
      <w:r w:rsidR="00A83472">
        <w:rPr>
          <w:rFonts w:cs="Times New Roman"/>
          <w:color w:val="000000" w:themeColor="text1"/>
          <w:lang w:val="en-GB"/>
        </w:rPr>
        <w:t>observation-based estimat</w:t>
      </w:r>
      <w:r w:rsidR="00C11CC0">
        <w:rPr>
          <w:rFonts w:cs="Times New Roman"/>
          <w:color w:val="000000" w:themeColor="text1"/>
          <w:lang w:val="en-GB"/>
        </w:rPr>
        <w:t>es</w:t>
      </w:r>
      <w:r w:rsidR="00A83472">
        <w:rPr>
          <w:rFonts w:cs="Times New Roman"/>
          <w:color w:val="000000" w:themeColor="text1"/>
          <w:lang w:val="en-GB"/>
        </w:rPr>
        <w:t xml:space="preserve"> of WUE</w:t>
      </w:r>
      <w:r w:rsidR="00C11CC0">
        <w:t xml:space="preserve"> </w:t>
      </w:r>
      <w:r w:rsidR="00185D2D">
        <w:t>and thus</w:t>
      </w:r>
      <w:r w:rsidR="00C11CC0">
        <w:t xml:space="preserve"> </w:t>
      </w:r>
      <w:r w:rsidR="00C11CC0" w:rsidRPr="005D18D0">
        <w:t xml:space="preserve">better </w:t>
      </w:r>
      <w:r w:rsidR="0081143B">
        <w:t>inform</w:t>
      </w:r>
      <w:r w:rsidR="00185D2D">
        <w:t>ing</w:t>
      </w:r>
      <w:r w:rsidR="00C11CC0">
        <w:t xml:space="preserve"> </w:t>
      </w:r>
      <w:r w:rsidR="00B6380A">
        <w:t>vegetation model</w:t>
      </w:r>
      <w:r w:rsidR="00C11CC0" w:rsidRPr="005D18D0">
        <w:t>s</w:t>
      </w:r>
      <w:r w:rsidR="00E021AD">
        <w:rPr>
          <w:rFonts w:cs="Times New Roman"/>
        </w:rPr>
        <w:t>:</w:t>
      </w:r>
      <w:r w:rsidR="006B42DC">
        <w:rPr>
          <w:rFonts w:cs="Times New Roman"/>
          <w:color w:val="000000" w:themeColor="text1"/>
          <w:lang w:val="en-GB"/>
        </w:rPr>
        <w:t xml:space="preserve"> </w:t>
      </w:r>
      <w:r w:rsidR="00ED2438">
        <w:rPr>
          <w:rFonts w:cs="Times New Roman"/>
          <w:color w:val="000000" w:themeColor="text1"/>
          <w:lang w:val="en-GB"/>
        </w:rPr>
        <w:t xml:space="preserve">(i) </w:t>
      </w:r>
      <w:r w:rsidR="00ED2438">
        <w:rPr>
          <w:rFonts w:cs="Times New Roman"/>
          <w:color w:val="000000" w:themeColor="text1"/>
        </w:rPr>
        <w:t>Given t</w:t>
      </w:r>
      <w:r w:rsidR="00ED2438" w:rsidRPr="00BD2160">
        <w:rPr>
          <w:rFonts w:cs="Times New Roman"/>
          <w:color w:val="000000" w:themeColor="text1"/>
        </w:rPr>
        <w:t xml:space="preserve">he </w:t>
      </w:r>
      <w:r w:rsidR="009172FD">
        <w:rPr>
          <w:rFonts w:cs="Times New Roman"/>
          <w:color w:val="000000" w:themeColor="text1"/>
        </w:rPr>
        <w:t xml:space="preserve">large and </w:t>
      </w:r>
      <w:r w:rsidR="009172FD" w:rsidRPr="00BD2160">
        <w:rPr>
          <w:rFonts w:cs="Times New Roman"/>
          <w:color w:val="000000" w:themeColor="text1"/>
        </w:rPr>
        <w:t xml:space="preserve">often underestimated </w:t>
      </w:r>
      <w:r w:rsidR="00ED2438" w:rsidRPr="00BD2160">
        <w:rPr>
          <w:rFonts w:cs="Times New Roman"/>
          <w:color w:val="000000" w:themeColor="text1"/>
        </w:rPr>
        <w:t xml:space="preserve">uncertainties related to </w:t>
      </w:r>
      <w:r w:rsidR="00ED2438">
        <w:rPr>
          <w:rFonts w:cs="Times New Roman"/>
          <w:color w:val="000000" w:themeColor="text1"/>
        </w:rPr>
        <w:t xml:space="preserve">the </w:t>
      </w:r>
      <w:r w:rsidR="00ED2438" w:rsidRPr="00BD2160">
        <w:rPr>
          <w:rFonts w:cs="Times New Roman"/>
          <w:color w:val="000000" w:themeColor="text1"/>
        </w:rPr>
        <w:t>different data sources</w:t>
      </w:r>
      <w:r w:rsidR="00ED2438">
        <w:rPr>
          <w:rFonts w:cs="Times New Roman"/>
          <w:color w:val="000000" w:themeColor="text1"/>
        </w:rPr>
        <w:t>, we propose s</w:t>
      </w:r>
      <w:r w:rsidR="00ED2438" w:rsidRPr="00BD2160">
        <w:rPr>
          <w:rFonts w:cs="Times New Roman"/>
          <w:color w:val="000000" w:themeColor="text1"/>
          <w:lang w:val="en-GB"/>
        </w:rPr>
        <w:t>ystematic</w:t>
      </w:r>
      <w:r w:rsidR="00ED2438">
        <w:rPr>
          <w:rFonts w:cs="Times New Roman"/>
          <w:color w:val="000000" w:themeColor="text1"/>
          <w:lang w:val="en-GB"/>
        </w:rPr>
        <w:t>ally</w:t>
      </w:r>
      <w:r w:rsidR="00ED2438" w:rsidRPr="00BD2160">
        <w:rPr>
          <w:rFonts w:cs="Times New Roman"/>
          <w:color w:val="000000" w:themeColor="text1"/>
          <w:lang w:val="en-GB"/>
        </w:rPr>
        <w:t xml:space="preserve"> incorporat</w:t>
      </w:r>
      <w:r w:rsidR="00ED2438">
        <w:rPr>
          <w:rFonts w:cs="Times New Roman"/>
          <w:color w:val="000000" w:themeColor="text1"/>
          <w:lang w:val="en-GB"/>
        </w:rPr>
        <w:t>ing</w:t>
      </w:r>
      <w:r w:rsidR="00ED2438" w:rsidRPr="00BD2160">
        <w:rPr>
          <w:rFonts w:cs="Times New Roman"/>
          <w:color w:val="000000" w:themeColor="text1"/>
          <w:lang w:val="en-GB"/>
        </w:rPr>
        <w:t xml:space="preserve"> the</w:t>
      </w:r>
      <w:r w:rsidR="0003530D">
        <w:rPr>
          <w:rFonts w:cs="Times New Roman"/>
          <w:color w:val="000000" w:themeColor="text1"/>
          <w:lang w:val="en-GB"/>
        </w:rPr>
        <w:t xml:space="preserve">m </w:t>
      </w:r>
      <w:r w:rsidR="00ED2438" w:rsidRPr="00BD2160">
        <w:rPr>
          <w:rFonts w:cs="Times New Roman"/>
          <w:color w:val="000000" w:themeColor="text1"/>
          <w:lang w:val="en-GB"/>
        </w:rPr>
        <w:t xml:space="preserve">in the assessment of </w:t>
      </w:r>
      <w:r w:rsidR="00ED2438">
        <w:rPr>
          <w:rFonts w:cs="Times New Roman"/>
          <w:color w:val="000000" w:themeColor="text1"/>
          <w:lang w:val="en-GB"/>
        </w:rPr>
        <w:t xml:space="preserve">“observed” </w:t>
      </w:r>
      <w:r w:rsidR="00ED2438" w:rsidRPr="00BD2160">
        <w:rPr>
          <w:rFonts w:cs="Times New Roman"/>
          <w:color w:val="000000" w:themeColor="text1"/>
          <w:lang w:val="en-GB"/>
        </w:rPr>
        <w:t>trends.</w:t>
      </w:r>
      <w:r w:rsidR="00ED2438">
        <w:rPr>
          <w:rFonts w:cs="Times New Roman"/>
          <w:color w:val="000000" w:themeColor="text1"/>
        </w:rPr>
        <w:t xml:space="preserve"> </w:t>
      </w:r>
      <w:r w:rsidR="006B42DC">
        <w:rPr>
          <w:rFonts w:cs="Times New Roman"/>
          <w:color w:val="000000" w:themeColor="text1"/>
          <w:lang w:val="en-GB"/>
        </w:rPr>
        <w:t>(i</w:t>
      </w:r>
      <w:r w:rsidR="00ED2438">
        <w:rPr>
          <w:rFonts w:cs="Times New Roman"/>
          <w:color w:val="000000" w:themeColor="text1"/>
          <w:lang w:val="en-GB"/>
        </w:rPr>
        <w:t>i</w:t>
      </w:r>
      <w:r w:rsidR="006B42DC">
        <w:rPr>
          <w:rFonts w:cs="Times New Roman"/>
          <w:color w:val="000000" w:themeColor="text1"/>
          <w:lang w:val="en-GB"/>
        </w:rPr>
        <w:t xml:space="preserve">) </w:t>
      </w:r>
      <w:r w:rsidR="006B42DC">
        <w:rPr>
          <w:rFonts w:cs="Times New Roman"/>
          <w:color w:val="000000" w:themeColor="text1"/>
        </w:rPr>
        <w:t xml:space="preserve">Given that estimating </w:t>
      </w:r>
      <w:r w:rsidR="00544C4D">
        <w:rPr>
          <w:rFonts w:cs="Times New Roman"/>
          <w:color w:val="000000" w:themeColor="text1"/>
        </w:rPr>
        <w:t xml:space="preserve">leaf-level </w:t>
      </w:r>
      <w:r w:rsidR="006B42DC">
        <w:rPr>
          <w:rFonts w:cs="Times New Roman"/>
          <w:color w:val="000000" w:themeColor="text1"/>
        </w:rPr>
        <w:t>iWUE using equation (</w:t>
      </w:r>
      <w:r w:rsidR="00B3764E">
        <w:rPr>
          <w:rFonts w:cs="Times New Roman"/>
          <w:color w:val="000000" w:themeColor="text1"/>
        </w:rPr>
        <w:t>1</w:t>
      </w:r>
      <w:r w:rsidR="00296385">
        <w:rPr>
          <w:rFonts w:cs="Times New Roman"/>
          <w:color w:val="000000" w:themeColor="text1"/>
        </w:rPr>
        <w:t>1</w:t>
      </w:r>
      <w:r w:rsidR="00B3764E">
        <w:rPr>
          <w:rFonts w:cs="Times New Roman"/>
          <w:color w:val="000000" w:themeColor="text1"/>
        </w:rPr>
        <w:t xml:space="preserve">) </w:t>
      </w:r>
      <w:r w:rsidR="006B42DC">
        <w:rPr>
          <w:rFonts w:cs="Times New Roman"/>
          <w:color w:val="000000" w:themeColor="text1"/>
        </w:rPr>
        <w:t>reduce</w:t>
      </w:r>
      <w:r w:rsidR="00F102CE">
        <w:rPr>
          <w:rFonts w:cs="Times New Roman"/>
          <w:color w:val="000000" w:themeColor="text1"/>
        </w:rPr>
        <w:t>s</w:t>
      </w:r>
      <w:r w:rsidR="006B42DC">
        <w:rPr>
          <w:rFonts w:cs="Times New Roman"/>
          <w:color w:val="000000" w:themeColor="text1"/>
        </w:rPr>
        <w:t xml:space="preserve"> the inter-site variability (</w:t>
      </w:r>
      <w:r w:rsidR="00C92751">
        <w:rPr>
          <w:rFonts w:cs="Times New Roman"/>
          <w:color w:val="000000" w:themeColor="text1"/>
        </w:rPr>
        <w:t xml:space="preserve">Fig. </w:t>
      </w:r>
      <w:r w:rsidR="00D5021A">
        <w:rPr>
          <w:rFonts w:cs="Times New Roman"/>
          <w:color w:val="000000" w:themeColor="text1"/>
        </w:rPr>
        <w:t>3</w:t>
      </w:r>
      <w:r w:rsidR="006B42DC">
        <w:rPr>
          <w:rFonts w:cs="Times New Roman"/>
          <w:color w:val="000000" w:themeColor="text1"/>
        </w:rPr>
        <w:t>)</w:t>
      </w:r>
      <w:r w:rsidR="00CA02FC">
        <w:rPr>
          <w:rFonts w:cs="Times New Roman"/>
          <w:color w:val="000000" w:themeColor="text1"/>
        </w:rPr>
        <w:t xml:space="preserve">, </w:t>
      </w:r>
      <w:r w:rsidR="004C5EF3">
        <w:rPr>
          <w:rFonts w:cs="Times New Roman"/>
          <w:color w:val="000000" w:themeColor="text1"/>
        </w:rPr>
        <w:t>we s</w:t>
      </w:r>
      <w:r w:rsidR="00CA02FC">
        <w:rPr>
          <w:rFonts w:cs="Times New Roman"/>
          <w:color w:val="000000" w:themeColor="text1"/>
        </w:rPr>
        <w:t>uggest to consider</w:t>
      </w:r>
      <w:r w:rsidR="004C5EF3">
        <w:rPr>
          <w:rFonts w:cs="Times New Roman"/>
          <w:color w:val="000000" w:themeColor="text1"/>
        </w:rPr>
        <w:t xml:space="preserve"> at least </w:t>
      </w:r>
      <w:r w:rsidR="00D61685">
        <w:rPr>
          <w:rFonts w:cs="Times New Roman"/>
          <w:color w:val="000000" w:themeColor="text1"/>
        </w:rPr>
        <w:t>the photorespiratory term</w:t>
      </w:r>
      <w:r w:rsidR="004C5EF3">
        <w:rPr>
          <w:rFonts w:cs="Times New Roman"/>
          <w:color w:val="000000" w:themeColor="text1"/>
        </w:rPr>
        <w:t xml:space="preserve"> in the discrimination model</w:t>
      </w:r>
      <w:r w:rsidR="00CA02FC">
        <w:rPr>
          <w:rFonts w:cs="Times New Roman"/>
          <w:color w:val="000000" w:themeColor="text1"/>
        </w:rPr>
        <w:t xml:space="preserve"> for assessing trends</w:t>
      </w:r>
      <w:r w:rsidR="005F1BCC">
        <w:rPr>
          <w:rFonts w:cs="Times New Roman"/>
          <w:color w:val="000000" w:themeColor="text1"/>
        </w:rPr>
        <w:t>.</w:t>
      </w:r>
      <w:r w:rsidR="00CA02FC">
        <w:rPr>
          <w:rFonts w:cs="Times New Roman"/>
          <w:color w:val="000000" w:themeColor="text1"/>
        </w:rPr>
        <w:t xml:space="preserve"> (ii</w:t>
      </w:r>
      <w:r w:rsidR="00ED2438">
        <w:rPr>
          <w:rFonts w:cs="Times New Roman"/>
          <w:color w:val="000000" w:themeColor="text1"/>
        </w:rPr>
        <w:t>i</w:t>
      </w:r>
      <w:r w:rsidR="00CA02FC">
        <w:rPr>
          <w:rFonts w:cs="Times New Roman"/>
          <w:color w:val="000000" w:themeColor="text1"/>
        </w:rPr>
        <w:t>)</w:t>
      </w:r>
      <w:r w:rsidR="005F1BCC">
        <w:rPr>
          <w:rFonts w:cs="Times New Roman"/>
          <w:color w:val="000000" w:themeColor="text1"/>
        </w:rPr>
        <w:t xml:space="preserve"> </w:t>
      </w:r>
      <w:r w:rsidR="00B70F0F">
        <w:rPr>
          <w:rFonts w:cs="Times New Roman"/>
          <w:color w:val="000000" w:themeColor="text1"/>
        </w:rPr>
        <w:t xml:space="preserve">Given </w:t>
      </w:r>
      <w:r w:rsidR="00323D8F">
        <w:rPr>
          <w:rFonts w:cs="Times New Roman"/>
          <w:color w:val="000000" w:themeColor="text1"/>
        </w:rPr>
        <w:t xml:space="preserve">the </w:t>
      </w:r>
      <w:r w:rsidR="00FD4518">
        <w:rPr>
          <w:rFonts w:cs="Times New Roman"/>
          <w:color w:val="000000" w:themeColor="text1"/>
        </w:rPr>
        <w:t>different assumptions underlying the estimations of</w:t>
      </w:r>
      <w:r w:rsidR="00323D8F">
        <w:rPr>
          <w:rFonts w:cs="Times New Roman"/>
          <w:color w:val="000000" w:themeColor="text1"/>
        </w:rPr>
        <w:t xml:space="preserve"> </w:t>
      </w:r>
      <w:r w:rsidR="00323D8F" w:rsidRPr="00323D8F">
        <w:rPr>
          <w:rFonts w:cs="Times New Roman"/>
          <w:i/>
          <w:color w:val="000000" w:themeColor="text1"/>
        </w:rPr>
        <w:t>G</w:t>
      </w:r>
      <w:r w:rsidR="00323D8F" w:rsidRPr="00323D8F">
        <w:rPr>
          <w:rFonts w:cs="Times New Roman"/>
          <w:color w:val="000000" w:themeColor="text1"/>
          <w:vertAlign w:val="subscript"/>
        </w:rPr>
        <w:t>a</w:t>
      </w:r>
      <w:r w:rsidR="00323D8F">
        <w:rPr>
          <w:rFonts w:cs="Times New Roman"/>
          <w:color w:val="000000" w:themeColor="text1"/>
        </w:rPr>
        <w:t xml:space="preserve"> and </w:t>
      </w:r>
      <w:r w:rsidR="00323D8F" w:rsidRPr="00323D8F">
        <w:rPr>
          <w:rFonts w:cs="Times New Roman"/>
          <w:i/>
          <w:color w:val="000000" w:themeColor="text1"/>
        </w:rPr>
        <w:t>G</w:t>
      </w:r>
      <w:r w:rsidR="00323D8F" w:rsidRPr="00323D8F">
        <w:rPr>
          <w:rFonts w:cs="Times New Roman"/>
          <w:color w:val="000000" w:themeColor="text1"/>
          <w:vertAlign w:val="subscript"/>
        </w:rPr>
        <w:t>s</w:t>
      </w:r>
      <w:r w:rsidR="007854AD">
        <w:rPr>
          <w:rFonts w:cs="Times New Roman"/>
          <w:color w:val="000000" w:themeColor="text1"/>
        </w:rPr>
        <w:t xml:space="preserve"> that increase uncertainties in ecosystem iWUE,</w:t>
      </w:r>
      <w:r w:rsidR="001C0145">
        <w:rPr>
          <w:rFonts w:cs="Times New Roman"/>
          <w:color w:val="000000" w:themeColor="text1"/>
        </w:rPr>
        <w:t xml:space="preserve"> we </w:t>
      </w:r>
      <w:r w:rsidR="00D451AA">
        <w:rPr>
          <w:rFonts w:cs="Times New Roman"/>
          <w:color w:val="000000" w:themeColor="text1"/>
        </w:rPr>
        <w:t>recommend systematically compar</w:t>
      </w:r>
      <w:r w:rsidR="00BE2FB5">
        <w:rPr>
          <w:rFonts w:cs="Times New Roman"/>
          <w:color w:val="000000" w:themeColor="text1"/>
        </w:rPr>
        <w:t>ing</w:t>
      </w:r>
      <w:r w:rsidR="00D451AA">
        <w:rPr>
          <w:rFonts w:cs="Times New Roman"/>
          <w:color w:val="000000" w:themeColor="text1"/>
        </w:rPr>
        <w:t xml:space="preserve"> the different formulations</w:t>
      </w:r>
      <w:r w:rsidR="00B35980">
        <w:rPr>
          <w:rFonts w:cs="Times New Roman"/>
          <w:color w:val="000000" w:themeColor="text1"/>
        </w:rPr>
        <w:t>, i.e. equation</w:t>
      </w:r>
      <w:r w:rsidR="00D76A1D">
        <w:rPr>
          <w:rFonts w:cs="Times New Roman"/>
          <w:color w:val="000000" w:themeColor="text1"/>
        </w:rPr>
        <w:t>s</w:t>
      </w:r>
      <w:r w:rsidR="00B35980">
        <w:rPr>
          <w:rFonts w:cs="Times New Roman"/>
          <w:color w:val="000000" w:themeColor="text1"/>
        </w:rPr>
        <w:t xml:space="preserve"> (</w:t>
      </w:r>
      <w:r w:rsidR="00D76A1D">
        <w:rPr>
          <w:rFonts w:cs="Times New Roman"/>
          <w:color w:val="000000" w:themeColor="text1"/>
        </w:rPr>
        <w:t xml:space="preserve">5), (6) </w:t>
      </w:r>
      <w:r w:rsidR="00B35980">
        <w:rPr>
          <w:rFonts w:cs="Times New Roman"/>
          <w:color w:val="000000" w:themeColor="text1"/>
        </w:rPr>
        <w:t>and (</w:t>
      </w:r>
      <w:r w:rsidR="00D76A1D">
        <w:rPr>
          <w:rFonts w:cs="Times New Roman"/>
          <w:color w:val="000000" w:themeColor="text1"/>
        </w:rPr>
        <w:t>8</w:t>
      </w:r>
      <w:r w:rsidR="00B35980">
        <w:rPr>
          <w:rFonts w:cs="Times New Roman"/>
          <w:color w:val="000000" w:themeColor="text1"/>
        </w:rPr>
        <w:t>),</w:t>
      </w:r>
      <w:r w:rsidR="00DC6BD1">
        <w:rPr>
          <w:rFonts w:cs="Times New Roman"/>
          <w:color w:val="000000" w:themeColor="text1"/>
        </w:rPr>
        <w:t xml:space="preserve"> </w:t>
      </w:r>
      <w:r w:rsidR="00D451AA">
        <w:rPr>
          <w:rFonts w:cs="Times New Roman"/>
          <w:color w:val="000000" w:themeColor="text1"/>
        </w:rPr>
        <w:t xml:space="preserve">to better interpret </w:t>
      </w:r>
      <w:r w:rsidR="00FF68AF">
        <w:rPr>
          <w:rFonts w:cs="Times New Roman"/>
          <w:color w:val="000000" w:themeColor="text1"/>
        </w:rPr>
        <w:t>temporal trends</w:t>
      </w:r>
      <w:r w:rsidR="00D451AA">
        <w:rPr>
          <w:rFonts w:cs="Times New Roman"/>
          <w:color w:val="000000" w:themeColor="text1"/>
        </w:rPr>
        <w:t xml:space="preserve"> in WUE.</w:t>
      </w:r>
      <w:r w:rsidR="00D02543">
        <w:rPr>
          <w:rFonts w:cs="Times New Roman"/>
          <w:color w:val="000000" w:themeColor="text1"/>
        </w:rPr>
        <w:t xml:space="preserve"> </w:t>
      </w:r>
      <w:r w:rsidR="00FC21A0">
        <w:rPr>
          <w:rFonts w:cs="Times New Roman"/>
          <w:color w:val="000000" w:themeColor="text1"/>
          <w:lang w:val="en-GB"/>
        </w:rPr>
        <w:t>(</w:t>
      </w:r>
      <w:r w:rsidR="00ED2438">
        <w:rPr>
          <w:rFonts w:cs="Times New Roman"/>
          <w:color w:val="000000" w:themeColor="text1"/>
          <w:lang w:val="en-GB"/>
        </w:rPr>
        <w:t>i</w:t>
      </w:r>
      <w:r w:rsidR="00FC21A0">
        <w:rPr>
          <w:rFonts w:cs="Times New Roman"/>
          <w:color w:val="000000" w:themeColor="text1"/>
          <w:lang w:val="en-GB"/>
        </w:rPr>
        <w:t xml:space="preserve">v) </w:t>
      </w:r>
      <w:r w:rsidR="001B1CBA">
        <w:rPr>
          <w:rFonts w:cs="Times New Roman"/>
          <w:color w:val="000000" w:themeColor="text1"/>
          <w:lang w:val="en-GB"/>
        </w:rPr>
        <w:t xml:space="preserve">Most </w:t>
      </w:r>
      <w:r w:rsidR="005A1FE8">
        <w:rPr>
          <w:rFonts w:cs="Times New Roman"/>
          <w:color w:val="000000" w:themeColor="text1"/>
          <w:lang w:val="en-GB"/>
        </w:rPr>
        <w:t xml:space="preserve">importantly, stronger scientific exchanges and collaborations between the </w:t>
      </w:r>
      <w:r w:rsidR="005259A4">
        <w:rPr>
          <w:rFonts w:cs="Times New Roman"/>
          <w:color w:val="000000" w:themeColor="text1"/>
          <w:lang w:val="en-GB"/>
        </w:rPr>
        <w:t>tree-ring</w:t>
      </w:r>
      <w:r w:rsidR="005A1FE8">
        <w:rPr>
          <w:rFonts w:cs="Times New Roman"/>
          <w:color w:val="000000" w:themeColor="text1"/>
          <w:lang w:val="en-GB"/>
        </w:rPr>
        <w:t xml:space="preserve"> and </w:t>
      </w:r>
      <w:r w:rsidR="005259A4">
        <w:rPr>
          <w:rFonts w:cs="Times New Roman"/>
          <w:color w:val="000000" w:themeColor="text1"/>
          <w:lang w:val="en-GB"/>
        </w:rPr>
        <w:t>eddy-covariance</w:t>
      </w:r>
      <w:r w:rsidR="005A1FE8">
        <w:rPr>
          <w:rFonts w:cs="Times New Roman"/>
          <w:color w:val="000000" w:themeColor="text1"/>
          <w:lang w:val="en-GB"/>
        </w:rPr>
        <w:t xml:space="preserve"> flux communities are recommended. Adding more dendroisotope studies at </w:t>
      </w:r>
      <w:r w:rsidR="005259A4">
        <w:rPr>
          <w:rFonts w:cs="Times New Roman"/>
          <w:color w:val="000000" w:themeColor="text1"/>
          <w:lang w:val="en-GB"/>
        </w:rPr>
        <w:t>eddy-covariance</w:t>
      </w:r>
      <w:r w:rsidR="005A1FE8">
        <w:rPr>
          <w:rFonts w:cs="Times New Roman"/>
          <w:color w:val="000000" w:themeColor="text1"/>
          <w:lang w:val="en-GB"/>
        </w:rPr>
        <w:t xml:space="preserve"> sites would certainly help </w:t>
      </w:r>
      <w:r w:rsidR="001B1CBA">
        <w:rPr>
          <w:rFonts w:cs="Times New Roman"/>
          <w:color w:val="000000" w:themeColor="text1"/>
          <w:lang w:val="en-GB"/>
        </w:rPr>
        <w:t xml:space="preserve">in </w:t>
      </w:r>
      <w:r w:rsidR="005A1FE8">
        <w:rPr>
          <w:rFonts w:cs="Times New Roman"/>
          <w:color w:val="000000" w:themeColor="text1"/>
          <w:lang w:val="en-GB"/>
        </w:rPr>
        <w:t xml:space="preserve">understanding the physiological mechanisms underlying ecosystem fluxes, which </w:t>
      </w:r>
      <w:r w:rsidR="005259A4">
        <w:rPr>
          <w:rFonts w:cs="Times New Roman"/>
          <w:color w:val="000000" w:themeColor="text1"/>
          <w:lang w:val="en-GB"/>
        </w:rPr>
        <w:t>eddy-covariance</w:t>
      </w:r>
      <w:r w:rsidR="005A1FE8">
        <w:rPr>
          <w:rFonts w:cs="Times New Roman"/>
          <w:color w:val="000000" w:themeColor="text1"/>
          <w:lang w:val="en-GB"/>
        </w:rPr>
        <w:t xml:space="preserve"> data alone cannot address. </w:t>
      </w:r>
    </w:p>
    <w:p w14:paraId="251A11CA" w14:textId="77777777" w:rsidR="00786C55" w:rsidRPr="00FF3AD6" w:rsidRDefault="00786C55">
      <w:pPr>
        <w:pStyle w:val="Body"/>
        <w:spacing w:before="240" w:line="360" w:lineRule="auto"/>
        <w:jc w:val="both"/>
        <w:rPr>
          <w:rFonts w:cs="Times New Roman"/>
          <w:color w:val="000000" w:themeColor="text1"/>
          <w:lang w:val="en-GB"/>
        </w:rPr>
      </w:pPr>
    </w:p>
    <w:p w14:paraId="3550D8D4" w14:textId="77777777" w:rsidR="00BE3392" w:rsidRDefault="00BE3392">
      <w:pPr>
        <w:pStyle w:val="Body"/>
        <w:keepNext/>
        <w:spacing w:line="360" w:lineRule="auto"/>
        <w:ind w:left="720" w:hanging="482"/>
        <w:jc w:val="both"/>
        <w:rPr>
          <w:rFonts w:cs="Times New Roman"/>
          <w:b/>
          <w:bCs/>
          <w:lang w:val="en-GB"/>
        </w:rPr>
      </w:pPr>
      <w:r>
        <w:rPr>
          <w:rFonts w:cs="Times New Roman"/>
          <w:b/>
          <w:bCs/>
          <w:lang w:val="en-GB"/>
        </w:rPr>
        <w:t>Acknowledgments</w:t>
      </w:r>
    </w:p>
    <w:p w14:paraId="6C236CCF" w14:textId="10A0C70D" w:rsidR="00A8184A" w:rsidRPr="00295D4C" w:rsidRDefault="00BE3392" w:rsidP="00A8184A">
      <w:pPr>
        <w:pStyle w:val="Body"/>
        <w:keepNext/>
        <w:spacing w:line="360" w:lineRule="auto"/>
        <w:jc w:val="both"/>
        <w:rPr>
          <w:bCs/>
        </w:rPr>
      </w:pPr>
      <w:r>
        <w:rPr>
          <w:rFonts w:cs="Times New Roman"/>
          <w:bCs/>
          <w:lang w:val="en-GB"/>
        </w:rPr>
        <w:t xml:space="preserve">A.L </w:t>
      </w:r>
      <w:r w:rsidR="00AF2002">
        <w:rPr>
          <w:rFonts w:cs="Times New Roman"/>
          <w:bCs/>
          <w:lang w:val="en-GB"/>
        </w:rPr>
        <w:t>was</w:t>
      </w:r>
      <w:r>
        <w:rPr>
          <w:rFonts w:cs="Times New Roman"/>
          <w:bCs/>
          <w:lang w:val="en-GB"/>
        </w:rPr>
        <w:t xml:space="preserve"> supported by </w:t>
      </w:r>
      <w:r w:rsidR="00AF2002">
        <w:rPr>
          <w:rFonts w:cs="Times New Roman"/>
          <w:bCs/>
          <w:lang w:val="en-GB"/>
        </w:rPr>
        <w:t xml:space="preserve">a Newton International fellowship </w:t>
      </w:r>
      <w:r w:rsidR="008B7D76">
        <w:rPr>
          <w:rFonts w:cs="Times New Roman"/>
          <w:bCs/>
          <w:lang w:val="en-GB"/>
        </w:rPr>
        <w:t>(</w:t>
      </w:r>
      <w:r w:rsidR="00AF2002" w:rsidRPr="00AF2002">
        <w:rPr>
          <w:bCs/>
        </w:rPr>
        <w:t>NF170082</w:t>
      </w:r>
      <w:r w:rsidR="008B7D76">
        <w:rPr>
          <w:bCs/>
        </w:rPr>
        <w:t xml:space="preserve">; </w:t>
      </w:r>
      <w:r w:rsidR="0011165F">
        <w:rPr>
          <w:rFonts w:cs="Times New Roman"/>
          <w:bCs/>
          <w:lang w:val="en-GB"/>
        </w:rPr>
        <w:t>Royal Society</w:t>
      </w:r>
      <w:r w:rsidR="008B7D76">
        <w:rPr>
          <w:rFonts w:cs="Times New Roman"/>
          <w:bCs/>
          <w:lang w:val="en-GB"/>
        </w:rPr>
        <w:t xml:space="preserve">, </w:t>
      </w:r>
      <w:r w:rsidR="00AF2002">
        <w:rPr>
          <w:rFonts w:cs="Times New Roman"/>
          <w:bCs/>
          <w:lang w:val="en-GB"/>
        </w:rPr>
        <w:t xml:space="preserve">UK). </w:t>
      </w:r>
      <w:r w:rsidR="007F1464">
        <w:rPr>
          <w:rFonts w:cs="Times New Roman"/>
          <w:bCs/>
          <w:lang w:val="en-GB"/>
        </w:rPr>
        <w:t xml:space="preserve">M.D.K. acknowledge the ARC Centre of Excellence for Climate Extremes (CE170100023). </w:t>
      </w:r>
      <w:r w:rsidR="00AF2002">
        <w:rPr>
          <w:rFonts w:cs="Times New Roman"/>
          <w:bCs/>
          <w:lang w:val="en-GB"/>
        </w:rPr>
        <w:t xml:space="preserve">We </w:t>
      </w:r>
      <w:r w:rsidR="001818B2">
        <w:rPr>
          <w:rFonts w:cs="Times New Roman"/>
          <w:bCs/>
          <w:lang w:val="en-GB"/>
        </w:rPr>
        <w:t>thank</w:t>
      </w:r>
      <w:r w:rsidR="00AF2002">
        <w:rPr>
          <w:rFonts w:cs="Times New Roman"/>
          <w:bCs/>
          <w:lang w:val="en-GB"/>
        </w:rPr>
        <w:t xml:space="preserve"> all </w:t>
      </w:r>
      <w:r w:rsidR="004770D6">
        <w:rPr>
          <w:rFonts w:cs="Times New Roman"/>
          <w:bCs/>
          <w:lang w:val="en-GB"/>
        </w:rPr>
        <w:t>the authors that have made available their data</w:t>
      </w:r>
      <w:r w:rsidR="000D3A64">
        <w:rPr>
          <w:rFonts w:cs="Times New Roman"/>
          <w:bCs/>
          <w:lang w:val="en-GB"/>
        </w:rPr>
        <w:t xml:space="preserve">, and who </w:t>
      </w:r>
      <w:r w:rsidR="00F12A6E">
        <w:rPr>
          <w:rFonts w:cs="Times New Roman"/>
          <w:bCs/>
          <w:lang w:val="en-GB"/>
        </w:rPr>
        <w:t>contributed to and maintained the ITRDB</w:t>
      </w:r>
      <w:r w:rsidR="00AD4F42">
        <w:rPr>
          <w:rFonts w:cs="Times New Roman"/>
          <w:bCs/>
          <w:lang w:val="en-GB"/>
        </w:rPr>
        <w:t xml:space="preserve"> platform</w:t>
      </w:r>
      <w:r w:rsidR="00F12A6E" w:rsidRPr="00AD4F42">
        <w:rPr>
          <w:rFonts w:cs="Times New Roman"/>
          <w:bCs/>
          <w:lang w:val="en-GB"/>
        </w:rPr>
        <w:t>.</w:t>
      </w:r>
      <w:r w:rsidR="000D3A64">
        <w:rPr>
          <w:rFonts w:cs="Times New Roman"/>
          <w:bCs/>
          <w:lang w:val="en-GB"/>
        </w:rPr>
        <w:t xml:space="preserve"> </w:t>
      </w:r>
      <w:r w:rsidR="00A8184A" w:rsidRPr="00295D4C">
        <w:rPr>
          <w:bCs/>
        </w:rPr>
        <w:t>This work used eddy covariance data acquired and shared by the FLUXNET community, including these networks: AmeriFlux, AfriFlux, AsiaFlux, CarboAfrica, CarboEuropeIP, CarboItaly, CarboMont, ChinaFlux, Fluxnet-Canada, GreenGrass, ICOS, KoFlux, LBA, NECC, OzFlux-TERN, TCOS-Siberia, and USCCC. The ERA-Interim reanalysis data are provided by ECMWF and processed by LSCE. The FLUXNET eddy covariance data processing and harmonization was carried out by the European Fluxes Database Cluster, AmeriFlux Management Project, and Fluxdata project of FLUXNET, with the support of CDIAC and ICOS Ecosystem Thematic Center, and the OzFlux, ChinaFlux and AsiaFlux offices.</w:t>
      </w:r>
      <w:r w:rsidR="001B1CBA">
        <w:rPr>
          <w:bCs/>
        </w:rPr>
        <w:t xml:space="preserve"> This work contributes to the AXA Chair Programme in Biosphere and Climate Impacts and the Imperial College initiative on Grand Challenges in Ecosystems and the Environment.</w:t>
      </w:r>
    </w:p>
    <w:p w14:paraId="5A152277" w14:textId="3E578129" w:rsidR="00BE3392" w:rsidRDefault="00BE3392">
      <w:pPr>
        <w:pStyle w:val="Body"/>
        <w:keepNext/>
        <w:spacing w:line="360" w:lineRule="auto"/>
        <w:jc w:val="both"/>
        <w:rPr>
          <w:rFonts w:cs="Times New Roman"/>
          <w:bCs/>
          <w:lang w:val="en-GB"/>
        </w:rPr>
      </w:pPr>
    </w:p>
    <w:p w14:paraId="11AEB795" w14:textId="77777777" w:rsidR="00BE3392" w:rsidRPr="00BE3392" w:rsidRDefault="00BE3392">
      <w:pPr>
        <w:pStyle w:val="Body"/>
        <w:keepNext/>
        <w:spacing w:line="360" w:lineRule="auto"/>
        <w:jc w:val="both"/>
        <w:rPr>
          <w:rFonts w:cs="Times New Roman"/>
          <w:bCs/>
          <w:lang w:val="en-GB"/>
        </w:rPr>
      </w:pPr>
    </w:p>
    <w:p w14:paraId="1EEA0B9B" w14:textId="1DB58687" w:rsidR="005D3816" w:rsidRPr="00BD2160" w:rsidRDefault="00E212AA">
      <w:pPr>
        <w:pStyle w:val="Body"/>
        <w:keepNext/>
        <w:spacing w:line="360" w:lineRule="auto"/>
        <w:ind w:left="720" w:hanging="482"/>
        <w:jc w:val="both"/>
        <w:rPr>
          <w:rFonts w:cs="Times New Roman"/>
          <w:b/>
          <w:lang w:val="en-GB"/>
        </w:rPr>
      </w:pPr>
      <w:r w:rsidRPr="00BD2160">
        <w:rPr>
          <w:rFonts w:cs="Times New Roman"/>
          <w:b/>
          <w:bCs/>
          <w:lang w:val="en-GB"/>
        </w:rPr>
        <w:t>References</w:t>
      </w:r>
    </w:p>
    <w:p w14:paraId="7066AC9B" w14:textId="77777777" w:rsidR="00971221" w:rsidRPr="00BD2160" w:rsidRDefault="00971221">
      <w:pPr>
        <w:pStyle w:val="Body"/>
        <w:spacing w:line="360" w:lineRule="auto"/>
        <w:jc w:val="both"/>
        <w:rPr>
          <w:rFonts w:cs="Times New Roman"/>
          <w:b/>
          <w:bCs/>
        </w:rPr>
      </w:pPr>
    </w:p>
    <w:p w14:paraId="63824E77" w14:textId="313F0FF2" w:rsidR="000139B4" w:rsidRPr="000139B4" w:rsidRDefault="00351DB9" w:rsidP="000139B4">
      <w:pPr>
        <w:widowControl w:val="0"/>
        <w:autoSpaceDE w:val="0"/>
        <w:autoSpaceDN w:val="0"/>
        <w:adjustRightInd w:val="0"/>
        <w:spacing w:line="360" w:lineRule="auto"/>
        <w:ind w:left="480" w:hanging="480"/>
        <w:rPr>
          <w:noProof/>
          <w:sz w:val="22"/>
          <w:lang w:val="en-US"/>
        </w:rPr>
      </w:pPr>
      <w:r w:rsidRPr="00BD2160">
        <w:rPr>
          <w:b/>
          <w:bCs/>
          <w:sz w:val="22"/>
          <w:szCs w:val="22"/>
        </w:rPr>
        <w:fldChar w:fldCharType="begin" w:fldLock="1"/>
      </w:r>
      <w:r w:rsidRPr="00BD2160">
        <w:rPr>
          <w:b/>
          <w:bCs/>
          <w:sz w:val="22"/>
          <w:szCs w:val="22"/>
        </w:rPr>
        <w:instrText xml:space="preserve">ADDIN Mendeley Bibliography CSL_BIBLIOGRAPHY </w:instrText>
      </w:r>
      <w:r w:rsidRPr="00BD2160">
        <w:rPr>
          <w:b/>
          <w:bCs/>
          <w:sz w:val="22"/>
          <w:szCs w:val="22"/>
        </w:rPr>
        <w:fldChar w:fldCharType="separate"/>
      </w:r>
      <w:r w:rsidR="000139B4" w:rsidRPr="000139B4">
        <w:rPr>
          <w:noProof/>
          <w:sz w:val="22"/>
          <w:lang w:val="en-US"/>
        </w:rPr>
        <w:t xml:space="preserve">Ainsworth, E. A., &amp; Long, S. P. (2005). What have we learned from 15 years of free air CO2 enrichment (FACE)? A meta-analytic review of the response of photosynthesis, canopy properties and plant production to rising CO2. </w:t>
      </w:r>
      <w:r w:rsidR="000139B4" w:rsidRPr="000139B4">
        <w:rPr>
          <w:i/>
          <w:iCs/>
          <w:noProof/>
          <w:sz w:val="22"/>
          <w:lang w:val="en-US"/>
        </w:rPr>
        <w:t>New Phytologist</w:t>
      </w:r>
      <w:r w:rsidR="000139B4" w:rsidRPr="000139B4">
        <w:rPr>
          <w:noProof/>
          <w:sz w:val="22"/>
          <w:lang w:val="en-US"/>
        </w:rPr>
        <w:t xml:space="preserve">, </w:t>
      </w:r>
      <w:r w:rsidR="000139B4" w:rsidRPr="000139B4">
        <w:rPr>
          <w:i/>
          <w:iCs/>
          <w:noProof/>
          <w:sz w:val="22"/>
          <w:lang w:val="en-US"/>
        </w:rPr>
        <w:t>165</w:t>
      </w:r>
      <w:r w:rsidR="000139B4" w:rsidRPr="000139B4">
        <w:rPr>
          <w:noProof/>
          <w:sz w:val="22"/>
          <w:lang w:val="en-US"/>
        </w:rPr>
        <w:t>, 351–372. https://doi.org/10.1111/j.1469-8137.2004.01224.x</w:t>
      </w:r>
    </w:p>
    <w:p w14:paraId="19091E79"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Ainsworth, E. A., &amp; Rogers, A. (2007). The response of photosynthesis and stomatal conductance to rising [CO2 ]: mechanisms and environmental interactions. </w:t>
      </w:r>
      <w:r w:rsidRPr="000139B4">
        <w:rPr>
          <w:i/>
          <w:iCs/>
          <w:noProof/>
          <w:sz w:val="22"/>
          <w:lang w:val="en-US"/>
        </w:rPr>
        <w:t>Plant, Cell &amp; Environment</w:t>
      </w:r>
      <w:r w:rsidRPr="000139B4">
        <w:rPr>
          <w:noProof/>
          <w:sz w:val="22"/>
          <w:lang w:val="en-US"/>
        </w:rPr>
        <w:t xml:space="preserve">, </w:t>
      </w:r>
      <w:r w:rsidRPr="000139B4">
        <w:rPr>
          <w:i/>
          <w:iCs/>
          <w:noProof/>
          <w:sz w:val="22"/>
          <w:lang w:val="en-US"/>
        </w:rPr>
        <w:t>30</w:t>
      </w:r>
      <w:r w:rsidRPr="000139B4">
        <w:rPr>
          <w:noProof/>
          <w:sz w:val="22"/>
          <w:lang w:val="en-US"/>
        </w:rPr>
        <w:t>(3), 258–270. https://doi.org/10.1111/j.1365-3040.2007.01641.x</w:t>
      </w:r>
    </w:p>
    <w:p w14:paraId="0DE2C95F"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Andreu-Hayles, L., Planells, O., Gutiérrez, E., Muntan, E., Helle, G., Anchukaitis, K. J., &amp; Schleser, G. H. (2011). Long tree-ring chronologies reveal 20th century increases in water-use efficiency but no enhancement of tree growth at five Iberian pine forests. </w:t>
      </w:r>
      <w:r w:rsidRPr="000139B4">
        <w:rPr>
          <w:i/>
          <w:iCs/>
          <w:noProof/>
          <w:sz w:val="22"/>
          <w:lang w:val="en-US"/>
        </w:rPr>
        <w:t>Global Change Biology</w:t>
      </w:r>
      <w:r w:rsidRPr="000139B4">
        <w:rPr>
          <w:noProof/>
          <w:sz w:val="22"/>
          <w:lang w:val="en-US"/>
        </w:rPr>
        <w:t xml:space="preserve">, </w:t>
      </w:r>
      <w:r w:rsidRPr="000139B4">
        <w:rPr>
          <w:i/>
          <w:iCs/>
          <w:noProof/>
          <w:sz w:val="22"/>
          <w:lang w:val="en-US"/>
        </w:rPr>
        <w:t>17</w:t>
      </w:r>
      <w:r w:rsidRPr="000139B4">
        <w:rPr>
          <w:noProof/>
          <w:sz w:val="22"/>
          <w:lang w:val="en-US"/>
        </w:rPr>
        <w:t>, 2095–2112. https://doi.org/10.1111/j.1365-2486.2010.02373.x</w:t>
      </w:r>
    </w:p>
    <w:p w14:paraId="50540AF1"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Battipaglia, G., Saurer, M., Cherubini, P., Calfapietra, C., Mccarthy, H. R., Norby, R. J., &amp; Francesca Cotrufo, M. (2013). Elevated CO2 increases tree-level intrinsic water use efficiency: Insights from carbon and oxygen isotope analyses in tree rings across three forest FACE sites. </w:t>
      </w:r>
      <w:r w:rsidRPr="000139B4">
        <w:rPr>
          <w:i/>
          <w:iCs/>
          <w:noProof/>
          <w:sz w:val="22"/>
          <w:lang w:val="en-US"/>
        </w:rPr>
        <w:t>New Phytologist</w:t>
      </w:r>
      <w:r w:rsidRPr="000139B4">
        <w:rPr>
          <w:noProof/>
          <w:sz w:val="22"/>
          <w:lang w:val="en-US"/>
        </w:rPr>
        <w:t xml:space="preserve">, </w:t>
      </w:r>
      <w:r w:rsidRPr="000139B4">
        <w:rPr>
          <w:i/>
          <w:iCs/>
          <w:noProof/>
          <w:sz w:val="22"/>
          <w:lang w:val="en-US"/>
        </w:rPr>
        <w:t>197</w:t>
      </w:r>
      <w:r w:rsidRPr="000139B4">
        <w:rPr>
          <w:noProof/>
          <w:sz w:val="22"/>
          <w:lang w:val="en-US"/>
        </w:rPr>
        <w:t>(2), 544–554. https://doi.org/10.1111/nph.12044</w:t>
      </w:r>
    </w:p>
    <w:p w14:paraId="433499B1"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Beer, C., Ciais, P., Reichstein, M., Baldocchi, D., Law, B. E., Papale, D., … Wohlfahrt, G. (2009). Temporal and among-site variability of inherent water use efficiency at the ecosystem level. </w:t>
      </w:r>
      <w:r w:rsidRPr="000139B4">
        <w:rPr>
          <w:i/>
          <w:iCs/>
          <w:noProof/>
          <w:sz w:val="22"/>
          <w:lang w:val="en-US"/>
        </w:rPr>
        <w:t>Global Biogeochemical Cycles</w:t>
      </w:r>
      <w:r w:rsidRPr="000139B4">
        <w:rPr>
          <w:noProof/>
          <w:sz w:val="22"/>
          <w:lang w:val="en-US"/>
        </w:rPr>
        <w:t xml:space="preserve">, </w:t>
      </w:r>
      <w:r w:rsidRPr="000139B4">
        <w:rPr>
          <w:i/>
          <w:iCs/>
          <w:noProof/>
          <w:sz w:val="22"/>
          <w:lang w:val="en-US"/>
        </w:rPr>
        <w:t>23</w:t>
      </w:r>
      <w:r w:rsidRPr="000139B4">
        <w:rPr>
          <w:noProof/>
          <w:sz w:val="22"/>
          <w:lang w:val="en-US"/>
        </w:rPr>
        <w:t>(2), GB2018. https://doi.org/10.1029/2008GB003233</w:t>
      </w:r>
    </w:p>
    <w:p w14:paraId="53F8E27B"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Bernacchi, C. J., Singsaas, E. L., Pimentel, C., Portis Jr, A. R., &amp; Long, S. P. (2001). Improved temperature response functions for models of Rubisco-limited photosynthesis. </w:t>
      </w:r>
      <w:r w:rsidRPr="000139B4">
        <w:rPr>
          <w:i/>
          <w:iCs/>
          <w:noProof/>
          <w:sz w:val="22"/>
          <w:lang w:val="en-US"/>
        </w:rPr>
        <w:t>Plant, Cell and Environment</w:t>
      </w:r>
      <w:r w:rsidRPr="000139B4">
        <w:rPr>
          <w:noProof/>
          <w:sz w:val="22"/>
          <w:lang w:val="en-US"/>
        </w:rPr>
        <w:t xml:space="preserve">, </w:t>
      </w:r>
      <w:r w:rsidRPr="000139B4">
        <w:rPr>
          <w:i/>
          <w:iCs/>
          <w:noProof/>
          <w:sz w:val="22"/>
          <w:lang w:val="en-US"/>
        </w:rPr>
        <w:t>24</w:t>
      </w:r>
      <w:r w:rsidRPr="000139B4">
        <w:rPr>
          <w:noProof/>
          <w:sz w:val="22"/>
          <w:lang w:val="en-US"/>
        </w:rPr>
        <w:t>(2), 253–259. https://doi.org/10.1111/j.1365-3040.2001.00668.x</w:t>
      </w:r>
    </w:p>
    <w:p w14:paraId="0E1577F5"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Brienen, R. J. W., Gloor, E., Clerici, S., Newton, R., Arppe, L., Boom, A., … Timonen, M. (2017). Tree height strongly affects estimates of water-use efficiency responses to climate and CO2 using isotopes. </w:t>
      </w:r>
      <w:r w:rsidRPr="000139B4">
        <w:rPr>
          <w:i/>
          <w:iCs/>
          <w:noProof/>
          <w:sz w:val="22"/>
          <w:lang w:val="en-US"/>
        </w:rPr>
        <w:t>Nature Communications</w:t>
      </w:r>
      <w:r w:rsidRPr="000139B4">
        <w:rPr>
          <w:noProof/>
          <w:sz w:val="22"/>
          <w:lang w:val="en-US"/>
        </w:rPr>
        <w:t xml:space="preserve">, </w:t>
      </w:r>
      <w:r w:rsidRPr="000139B4">
        <w:rPr>
          <w:i/>
          <w:iCs/>
          <w:noProof/>
          <w:sz w:val="22"/>
          <w:lang w:val="en-US"/>
        </w:rPr>
        <w:t>8</w:t>
      </w:r>
      <w:r w:rsidRPr="000139B4">
        <w:rPr>
          <w:noProof/>
          <w:sz w:val="22"/>
          <w:lang w:val="en-US"/>
        </w:rPr>
        <w:t>(1). https://doi.org/10.1038/s41467-017-00225-z</w:t>
      </w:r>
    </w:p>
    <w:p w14:paraId="68A79B5D"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Brodribb, T. J., Holbrook, N. M., Zwieniecki, M. a, Palma, B., Zwieniecki, A., Michele, N., &amp; Brodribb, J. (2005). Leaf hydraulic capacity in ferns, conifers and angiosperms: impacts on photosynthetic maxima. </w:t>
      </w:r>
      <w:r w:rsidRPr="000139B4">
        <w:rPr>
          <w:i/>
          <w:iCs/>
          <w:noProof/>
          <w:sz w:val="22"/>
          <w:lang w:val="en-US"/>
        </w:rPr>
        <w:t>New Phytologist</w:t>
      </w:r>
      <w:r w:rsidRPr="000139B4">
        <w:rPr>
          <w:noProof/>
          <w:sz w:val="22"/>
          <w:lang w:val="en-US"/>
        </w:rPr>
        <w:t xml:space="preserve">, </w:t>
      </w:r>
      <w:r w:rsidRPr="000139B4">
        <w:rPr>
          <w:i/>
          <w:iCs/>
          <w:noProof/>
          <w:sz w:val="22"/>
          <w:lang w:val="en-US"/>
        </w:rPr>
        <w:t>165</w:t>
      </w:r>
      <w:r w:rsidRPr="000139B4">
        <w:rPr>
          <w:noProof/>
          <w:sz w:val="22"/>
          <w:lang w:val="en-US"/>
        </w:rPr>
        <w:t>, 839–846. https://doi.org/10.1111/i.1469-8137.2004.01259.x</w:t>
      </w:r>
    </w:p>
    <w:p w14:paraId="010022D2"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Brodribb, T. J., McAdam, S. A. M., Jordan, G. J., &amp; Feild, T. S. (2009). Evolution of stomatal responsiveness to CO2 and optimization of water-use efficiency among land plants. </w:t>
      </w:r>
      <w:r w:rsidRPr="000139B4">
        <w:rPr>
          <w:i/>
          <w:iCs/>
          <w:noProof/>
          <w:sz w:val="22"/>
          <w:lang w:val="en-US"/>
        </w:rPr>
        <w:t>New Phytologist</w:t>
      </w:r>
      <w:r w:rsidRPr="000139B4">
        <w:rPr>
          <w:noProof/>
          <w:sz w:val="22"/>
          <w:lang w:val="en-US"/>
        </w:rPr>
        <w:t xml:space="preserve">, </w:t>
      </w:r>
      <w:r w:rsidRPr="000139B4">
        <w:rPr>
          <w:i/>
          <w:iCs/>
          <w:noProof/>
          <w:sz w:val="22"/>
          <w:lang w:val="en-US"/>
        </w:rPr>
        <w:t>183</w:t>
      </w:r>
      <w:r w:rsidRPr="000139B4">
        <w:rPr>
          <w:noProof/>
          <w:sz w:val="22"/>
          <w:lang w:val="en-US"/>
        </w:rPr>
        <w:t>(3), 839–847. https://doi.org/10.1111/j.1469-8137.2009.02844.x</w:t>
      </w:r>
    </w:p>
    <w:p w14:paraId="7D447235"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Brooks, A., &amp; Farquhar, G. D. (1985). Effect of temperature on the CO2/O2 specificity of ribulose-1,5-bisphosphate carboxylase/oxygenase and the rate of respiration in the light. </w:t>
      </w:r>
      <w:r w:rsidRPr="000139B4">
        <w:rPr>
          <w:i/>
          <w:iCs/>
          <w:noProof/>
          <w:sz w:val="22"/>
          <w:lang w:val="en-US"/>
        </w:rPr>
        <w:t>Planta</w:t>
      </w:r>
      <w:r w:rsidRPr="000139B4">
        <w:rPr>
          <w:noProof/>
          <w:sz w:val="22"/>
          <w:lang w:val="en-US"/>
        </w:rPr>
        <w:t xml:space="preserve">, </w:t>
      </w:r>
      <w:r w:rsidRPr="000139B4">
        <w:rPr>
          <w:i/>
          <w:iCs/>
          <w:noProof/>
          <w:sz w:val="22"/>
          <w:lang w:val="en-US"/>
        </w:rPr>
        <w:t>165</w:t>
      </w:r>
      <w:r w:rsidRPr="000139B4">
        <w:rPr>
          <w:noProof/>
          <w:sz w:val="22"/>
          <w:lang w:val="en-US"/>
        </w:rPr>
        <w:t>(3), 397–406. https://doi.org/10.1007/BF00392238</w:t>
      </w:r>
    </w:p>
    <w:p w14:paraId="45DE43A1"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Cernusak, L. a, Winter, K., &amp; Turner, B. L. (2009). Physiological and isotopic δ13C and δ18O responses of three tropical tree species to water and nutrient availability. </w:t>
      </w:r>
      <w:r w:rsidRPr="000139B4">
        <w:rPr>
          <w:i/>
          <w:iCs/>
          <w:noProof/>
          <w:sz w:val="22"/>
          <w:lang w:val="en-US"/>
        </w:rPr>
        <w:t>Plant, Cell &amp; Environment</w:t>
      </w:r>
      <w:r w:rsidRPr="000139B4">
        <w:rPr>
          <w:noProof/>
          <w:sz w:val="22"/>
          <w:lang w:val="en-US"/>
        </w:rPr>
        <w:t xml:space="preserve">, </w:t>
      </w:r>
      <w:r w:rsidRPr="000139B4">
        <w:rPr>
          <w:i/>
          <w:iCs/>
          <w:noProof/>
          <w:sz w:val="22"/>
          <w:lang w:val="en-US"/>
        </w:rPr>
        <w:t>32</w:t>
      </w:r>
      <w:r w:rsidRPr="000139B4">
        <w:rPr>
          <w:noProof/>
          <w:sz w:val="22"/>
          <w:lang w:val="en-US"/>
        </w:rPr>
        <w:t>(10), 1441–1455. https://doi.org/10.1111/j.1365-3040.2009.02010.x</w:t>
      </w:r>
    </w:p>
    <w:p w14:paraId="7AD55DE9"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Cowan, I. R., &amp; Farquhar, G. D. (1977). Stomatal function in relation to leaf metabolism and environment. </w:t>
      </w:r>
      <w:r w:rsidRPr="000139B4">
        <w:rPr>
          <w:i/>
          <w:iCs/>
          <w:noProof/>
          <w:sz w:val="22"/>
          <w:lang w:val="en-US"/>
        </w:rPr>
        <w:t>Symp Soc Exp Biol.</w:t>
      </w:r>
      <w:r w:rsidRPr="000139B4">
        <w:rPr>
          <w:noProof/>
          <w:sz w:val="22"/>
          <w:lang w:val="en-US"/>
        </w:rPr>
        <w:t xml:space="preserve">, </w:t>
      </w:r>
      <w:r w:rsidRPr="000139B4">
        <w:rPr>
          <w:i/>
          <w:iCs/>
          <w:noProof/>
          <w:sz w:val="22"/>
          <w:lang w:val="en-US"/>
        </w:rPr>
        <w:t>31</w:t>
      </w:r>
      <w:r w:rsidRPr="000139B4">
        <w:rPr>
          <w:noProof/>
          <w:sz w:val="22"/>
          <w:lang w:val="en-US"/>
        </w:rPr>
        <w:t>, 471–505.</w:t>
      </w:r>
    </w:p>
    <w:p w14:paraId="6680BF75"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Craig, H. (1953). The geochemistry of the stable carbon isotopes. </w:t>
      </w:r>
      <w:r w:rsidRPr="000139B4">
        <w:rPr>
          <w:i/>
          <w:iCs/>
          <w:noProof/>
          <w:sz w:val="22"/>
          <w:lang w:val="en-US"/>
        </w:rPr>
        <w:t>Geochimica et Cosmochimica Acta</w:t>
      </w:r>
      <w:r w:rsidRPr="000139B4">
        <w:rPr>
          <w:noProof/>
          <w:sz w:val="22"/>
          <w:lang w:val="en-US"/>
        </w:rPr>
        <w:t xml:space="preserve">, </w:t>
      </w:r>
      <w:r w:rsidRPr="000139B4">
        <w:rPr>
          <w:i/>
          <w:iCs/>
          <w:noProof/>
          <w:sz w:val="22"/>
          <w:lang w:val="en-US"/>
        </w:rPr>
        <w:t>3</w:t>
      </w:r>
      <w:r w:rsidRPr="000139B4">
        <w:rPr>
          <w:noProof/>
          <w:sz w:val="22"/>
          <w:lang w:val="en-US"/>
        </w:rPr>
        <w:t>(2–3), 53–92. https://doi.org/10.1016/0016-7037(53)90001-5</w:t>
      </w:r>
    </w:p>
    <w:p w14:paraId="743DE99B"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Daux, V., Michelot-Antalik, A., Lavergne, A., Pierre, M., Stievenard, M., Bréda, N., &amp; Damesin, C. (2018). Comparisons of the Performance of δ</w:t>
      </w:r>
      <w:r w:rsidRPr="000139B4">
        <w:rPr>
          <w:noProof/>
          <w:sz w:val="22"/>
          <w:vertAlign w:val="superscript"/>
          <w:lang w:val="en-US"/>
        </w:rPr>
        <w:t>13</w:t>
      </w:r>
      <w:r w:rsidRPr="000139B4">
        <w:rPr>
          <w:noProof/>
          <w:sz w:val="22"/>
          <w:lang w:val="en-US"/>
        </w:rPr>
        <w:t>C and δ</w:t>
      </w:r>
      <w:r w:rsidRPr="000139B4">
        <w:rPr>
          <w:noProof/>
          <w:sz w:val="22"/>
          <w:vertAlign w:val="superscript"/>
          <w:lang w:val="en-US"/>
        </w:rPr>
        <w:t>18</w:t>
      </w:r>
      <w:r w:rsidRPr="000139B4">
        <w:rPr>
          <w:noProof/>
          <w:sz w:val="22"/>
          <w:lang w:val="en-US"/>
        </w:rPr>
        <w:t xml:space="preserve">O of Fagus sylvatica, Pinus sylvestris, and Quercus petraea in the Record of Past Climate Variations. </w:t>
      </w:r>
      <w:r w:rsidRPr="000139B4">
        <w:rPr>
          <w:i/>
          <w:iCs/>
          <w:noProof/>
          <w:sz w:val="22"/>
          <w:lang w:val="en-US"/>
        </w:rPr>
        <w:t>Journal of Geophysical Research: Biogeosciences</w:t>
      </w:r>
      <w:r w:rsidRPr="000139B4">
        <w:rPr>
          <w:noProof/>
          <w:sz w:val="22"/>
          <w:lang w:val="en-US"/>
        </w:rPr>
        <w:t xml:space="preserve">, </w:t>
      </w:r>
      <w:r w:rsidRPr="000139B4">
        <w:rPr>
          <w:i/>
          <w:iCs/>
          <w:noProof/>
          <w:sz w:val="22"/>
          <w:lang w:val="en-US"/>
        </w:rPr>
        <w:t>123</w:t>
      </w:r>
      <w:r w:rsidRPr="000139B4">
        <w:rPr>
          <w:noProof/>
          <w:sz w:val="22"/>
          <w:lang w:val="en-US"/>
        </w:rPr>
        <w:t>(4). https://doi.org/10.1002/2017JG004203</w:t>
      </w:r>
    </w:p>
    <w:p w14:paraId="0637D40D"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De Kauwe, M. G., Medlyn, B. E., Knauer, J., &amp; Williams, C. A. (2017). Ideas and perspectives: how coupled is the vegetation to the boundary layer? </w:t>
      </w:r>
      <w:r w:rsidRPr="000139B4">
        <w:rPr>
          <w:i/>
          <w:iCs/>
          <w:noProof/>
          <w:sz w:val="22"/>
          <w:lang w:val="en-US"/>
        </w:rPr>
        <w:t>Biogeosciences</w:t>
      </w:r>
      <w:r w:rsidRPr="000139B4">
        <w:rPr>
          <w:noProof/>
          <w:sz w:val="22"/>
          <w:lang w:val="en-US"/>
        </w:rPr>
        <w:t xml:space="preserve">, </w:t>
      </w:r>
      <w:r w:rsidRPr="000139B4">
        <w:rPr>
          <w:i/>
          <w:iCs/>
          <w:noProof/>
          <w:sz w:val="22"/>
          <w:lang w:val="en-US"/>
        </w:rPr>
        <w:t>14</w:t>
      </w:r>
      <w:r w:rsidRPr="000139B4">
        <w:rPr>
          <w:noProof/>
          <w:sz w:val="22"/>
          <w:lang w:val="en-US"/>
        </w:rPr>
        <w:t>(19), 4435–4453. https://doi.org/10.5194/bg-14-4435-2017</w:t>
      </w:r>
    </w:p>
    <w:p w14:paraId="26CEAA33"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De Kauwe, M. G., Medlyn, B. E., Zaehle, S., Walker, A. P., Dietze, M. C., Hickler, T., … Norby, R. J. (2013). Forest water use and water use efficiency at elevated CO2: A model-data intercomparison at two contrasting temperate forest FACE sites. </w:t>
      </w:r>
      <w:r w:rsidRPr="000139B4">
        <w:rPr>
          <w:i/>
          <w:iCs/>
          <w:noProof/>
          <w:sz w:val="22"/>
          <w:lang w:val="en-US"/>
        </w:rPr>
        <w:t>Global Change Biology</w:t>
      </w:r>
      <w:r w:rsidRPr="000139B4">
        <w:rPr>
          <w:noProof/>
          <w:sz w:val="22"/>
          <w:lang w:val="en-US"/>
        </w:rPr>
        <w:t xml:space="preserve">, </w:t>
      </w:r>
      <w:r w:rsidRPr="000139B4">
        <w:rPr>
          <w:i/>
          <w:iCs/>
          <w:noProof/>
          <w:sz w:val="22"/>
          <w:lang w:val="en-US"/>
        </w:rPr>
        <w:t>19</w:t>
      </w:r>
      <w:r w:rsidRPr="000139B4">
        <w:rPr>
          <w:noProof/>
          <w:sz w:val="22"/>
          <w:lang w:val="en-US"/>
        </w:rPr>
        <w:t>(6), 1759–1779. https://doi.org/10.1111/gcb.12164</w:t>
      </w:r>
    </w:p>
    <w:p w14:paraId="61643833"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Dekker, S. C., Groenendijk, M., Booth, B. B. B., Huntingford, C., &amp; Cox, P. M. (2016). Spatial and temporal variations in plant water-use efficiency inferred from tree-ring, eddy covariance and atmospheric observations. </w:t>
      </w:r>
      <w:r w:rsidRPr="000139B4">
        <w:rPr>
          <w:i/>
          <w:iCs/>
          <w:noProof/>
          <w:sz w:val="22"/>
          <w:lang w:val="en-US"/>
        </w:rPr>
        <w:t>Earth System Dynamics</w:t>
      </w:r>
      <w:r w:rsidRPr="000139B4">
        <w:rPr>
          <w:noProof/>
          <w:sz w:val="22"/>
          <w:lang w:val="en-US"/>
        </w:rPr>
        <w:t xml:space="preserve">, </w:t>
      </w:r>
      <w:r w:rsidRPr="000139B4">
        <w:rPr>
          <w:i/>
          <w:iCs/>
          <w:noProof/>
          <w:sz w:val="22"/>
          <w:lang w:val="en-US"/>
        </w:rPr>
        <w:t>7</w:t>
      </w:r>
      <w:r w:rsidRPr="000139B4">
        <w:rPr>
          <w:noProof/>
          <w:sz w:val="22"/>
          <w:lang w:val="en-US"/>
        </w:rPr>
        <w:t>(2), 525–533. https://doi.org/10.5194/esd-7-525-2016</w:t>
      </w:r>
    </w:p>
    <w:p w14:paraId="5CCCD5EA"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Dietze, M. C., Sala, A., Carbone, M. S., Czimczik, C. I., Mantooth, J. A., Richardson, A. D., &amp; Vargas, R. (2014). Nonstructural Carbon in Woody Plants. </w:t>
      </w:r>
      <w:r w:rsidRPr="000139B4">
        <w:rPr>
          <w:i/>
          <w:iCs/>
          <w:noProof/>
          <w:sz w:val="22"/>
          <w:lang w:val="en-US"/>
        </w:rPr>
        <w:t>Annual Review of Plant Biology</w:t>
      </w:r>
      <w:r w:rsidRPr="000139B4">
        <w:rPr>
          <w:noProof/>
          <w:sz w:val="22"/>
          <w:lang w:val="en-US"/>
        </w:rPr>
        <w:t xml:space="preserve">, </w:t>
      </w:r>
      <w:r w:rsidRPr="000139B4">
        <w:rPr>
          <w:i/>
          <w:iCs/>
          <w:noProof/>
          <w:sz w:val="22"/>
          <w:lang w:val="en-US"/>
        </w:rPr>
        <w:t>65</w:t>
      </w:r>
      <w:r w:rsidRPr="000139B4">
        <w:rPr>
          <w:noProof/>
          <w:sz w:val="22"/>
          <w:lang w:val="en-US"/>
        </w:rPr>
        <w:t>(1), 667–687. https://doi.org/10.1146/annurev-arplant-050213-040054</w:t>
      </w:r>
    </w:p>
    <w:p w14:paraId="39376699"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Donohue, R. J., Roderick, M. L., McVicar, T. R., &amp; Farquhar, G. D. (2013). Impact of CO2 fertilization on maximum foliage cover across the globe’s warm, arid environments. </w:t>
      </w:r>
      <w:r w:rsidRPr="000139B4">
        <w:rPr>
          <w:i/>
          <w:iCs/>
          <w:noProof/>
          <w:sz w:val="22"/>
          <w:lang w:val="en-US"/>
        </w:rPr>
        <w:t>Geophysical Research Letters</w:t>
      </w:r>
      <w:r w:rsidRPr="000139B4">
        <w:rPr>
          <w:noProof/>
          <w:sz w:val="22"/>
          <w:lang w:val="en-US"/>
        </w:rPr>
        <w:t xml:space="preserve">, </w:t>
      </w:r>
      <w:r w:rsidRPr="000139B4">
        <w:rPr>
          <w:i/>
          <w:iCs/>
          <w:noProof/>
          <w:sz w:val="22"/>
          <w:lang w:val="en-US"/>
        </w:rPr>
        <w:t>40</w:t>
      </w:r>
      <w:r w:rsidRPr="000139B4">
        <w:rPr>
          <w:noProof/>
          <w:sz w:val="22"/>
          <w:lang w:val="en-US"/>
        </w:rPr>
        <w:t>(12), 3031–3035. https://doi.org/10.1002/grl.50563</w:t>
      </w:r>
    </w:p>
    <w:p w14:paraId="1D67C756"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Dorado Liñán, I., Gutiérrez, E., Helle, G., Heinrich, I., Andreu-Hayles, L., Planells, O., … Schleser, G. (2011). Pooled versus separate measurements of tree-ring stable isotopes. </w:t>
      </w:r>
      <w:r w:rsidRPr="000139B4">
        <w:rPr>
          <w:i/>
          <w:iCs/>
          <w:noProof/>
          <w:sz w:val="22"/>
          <w:lang w:val="en-US"/>
        </w:rPr>
        <w:t>Science of the Total Environment</w:t>
      </w:r>
      <w:r w:rsidRPr="000139B4">
        <w:rPr>
          <w:noProof/>
          <w:sz w:val="22"/>
          <w:lang w:val="en-US"/>
        </w:rPr>
        <w:t xml:space="preserve">, </w:t>
      </w:r>
      <w:r w:rsidRPr="000139B4">
        <w:rPr>
          <w:i/>
          <w:iCs/>
          <w:noProof/>
          <w:sz w:val="22"/>
          <w:lang w:val="en-US"/>
        </w:rPr>
        <w:t>409</w:t>
      </w:r>
      <w:r w:rsidRPr="000139B4">
        <w:rPr>
          <w:noProof/>
          <w:sz w:val="22"/>
          <w:lang w:val="en-US"/>
        </w:rPr>
        <w:t>(11), 2244–2251. https://doi.org/10.1016/j.scitotenv.2011.02.010</w:t>
      </w:r>
    </w:p>
    <w:p w14:paraId="3156FA38"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Duarte, H. F., Raczka, B. M., Ricciuto, D. M., Lin, J. C., Koven, C. D., Thornton, P. E., … Ehleringer, J. R. (2017). Evaluating the Community Land Model (CLM4.5) at a coniferous forest site in northwestern United States using flux and carbon-isotope measurements. </w:t>
      </w:r>
      <w:r w:rsidRPr="000139B4">
        <w:rPr>
          <w:i/>
          <w:iCs/>
          <w:noProof/>
          <w:sz w:val="22"/>
          <w:lang w:val="en-US"/>
        </w:rPr>
        <w:t>Biogeosciences</w:t>
      </w:r>
      <w:r w:rsidRPr="000139B4">
        <w:rPr>
          <w:noProof/>
          <w:sz w:val="22"/>
          <w:lang w:val="en-US"/>
        </w:rPr>
        <w:t xml:space="preserve">, </w:t>
      </w:r>
      <w:r w:rsidRPr="000139B4">
        <w:rPr>
          <w:i/>
          <w:iCs/>
          <w:noProof/>
          <w:sz w:val="22"/>
          <w:lang w:val="en-US"/>
        </w:rPr>
        <w:t>14</w:t>
      </w:r>
      <w:r w:rsidRPr="000139B4">
        <w:rPr>
          <w:noProof/>
          <w:sz w:val="22"/>
          <w:lang w:val="en-US"/>
        </w:rPr>
        <w:t>(18), 4315–4340. https://doi.org/10.5194/bg-14-4315-2017</w:t>
      </w:r>
    </w:p>
    <w:p w14:paraId="70CA1739"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Eamus, D. (1991). The interaction of rising CO2 and temperatures with water use efficiency. </w:t>
      </w:r>
      <w:r w:rsidRPr="000139B4">
        <w:rPr>
          <w:i/>
          <w:iCs/>
          <w:noProof/>
          <w:sz w:val="22"/>
          <w:lang w:val="en-US"/>
        </w:rPr>
        <w:t>Plant, Cell and Environment</w:t>
      </w:r>
      <w:r w:rsidRPr="000139B4">
        <w:rPr>
          <w:noProof/>
          <w:sz w:val="22"/>
          <w:lang w:val="en-US"/>
        </w:rPr>
        <w:t xml:space="preserve">, </w:t>
      </w:r>
      <w:r w:rsidRPr="000139B4">
        <w:rPr>
          <w:i/>
          <w:iCs/>
          <w:noProof/>
          <w:sz w:val="22"/>
          <w:lang w:val="en-US"/>
        </w:rPr>
        <w:t>14</w:t>
      </w:r>
      <w:r w:rsidRPr="000139B4">
        <w:rPr>
          <w:noProof/>
          <w:sz w:val="22"/>
          <w:lang w:val="en-US"/>
        </w:rPr>
        <w:t>, 843–852.</w:t>
      </w:r>
    </w:p>
    <w:p w14:paraId="13E9E098"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Ehleringer, J. R., &amp; Cerling, T. E. (1995). Atmospheric CO2 and the ratio of intercellular to ambient CO2 concentration in plants. </w:t>
      </w:r>
      <w:r w:rsidRPr="000139B4">
        <w:rPr>
          <w:i/>
          <w:iCs/>
          <w:noProof/>
          <w:sz w:val="22"/>
          <w:lang w:val="en-US"/>
        </w:rPr>
        <w:t>Tree Physiology</w:t>
      </w:r>
      <w:r w:rsidRPr="000139B4">
        <w:rPr>
          <w:noProof/>
          <w:sz w:val="22"/>
          <w:lang w:val="en-US"/>
        </w:rPr>
        <w:t xml:space="preserve">, </w:t>
      </w:r>
      <w:r w:rsidRPr="000139B4">
        <w:rPr>
          <w:i/>
          <w:iCs/>
          <w:noProof/>
          <w:sz w:val="22"/>
          <w:lang w:val="en-US"/>
        </w:rPr>
        <w:t>15</w:t>
      </w:r>
      <w:r w:rsidRPr="000139B4">
        <w:rPr>
          <w:noProof/>
          <w:sz w:val="22"/>
          <w:lang w:val="en-US"/>
        </w:rPr>
        <w:t>, 105–11. https://doi.org/10.1093/treephys/15.2.105</w:t>
      </w:r>
    </w:p>
    <w:p w14:paraId="0E59D680"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Ehleringer, J. R., Hall, A. E., &amp; Farquhar, G. D. (1993). Water use in relation to productivity. In J. R. Ehleringer, A. Hall, &amp; G. D. Farquhar (Eds.), </w:t>
      </w:r>
      <w:r w:rsidRPr="000139B4">
        <w:rPr>
          <w:i/>
          <w:iCs/>
          <w:noProof/>
          <w:sz w:val="22"/>
          <w:lang w:val="en-US"/>
        </w:rPr>
        <w:t>Stable Isotopes and Plant Carbon-Water Relations</w:t>
      </w:r>
      <w:r w:rsidRPr="000139B4">
        <w:rPr>
          <w:noProof/>
          <w:sz w:val="22"/>
          <w:lang w:val="en-US"/>
        </w:rPr>
        <w:t xml:space="preserve"> (pp. 155–172). Academic Press Inc., San Diego, Calif.</w:t>
      </w:r>
    </w:p>
    <w:p w14:paraId="2786B794"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Farquhar, G. D., Ball, M. C., Caemmerer, S., &amp; Roksandic, Z. (1982). Effect of salinity and humidity on δ13C value of halophytes—evidence for diffusional isotope fractionation determined by the ratio of intercellular/atmospheric partial pressure of CO2 under different environmental conditions. </w:t>
      </w:r>
      <w:r w:rsidRPr="000139B4">
        <w:rPr>
          <w:i/>
          <w:iCs/>
          <w:noProof/>
          <w:sz w:val="22"/>
          <w:lang w:val="en-US"/>
        </w:rPr>
        <w:t>Oecologia</w:t>
      </w:r>
      <w:r w:rsidRPr="000139B4">
        <w:rPr>
          <w:noProof/>
          <w:sz w:val="22"/>
          <w:lang w:val="en-US"/>
        </w:rPr>
        <w:t xml:space="preserve">, </w:t>
      </w:r>
      <w:r w:rsidRPr="000139B4">
        <w:rPr>
          <w:i/>
          <w:iCs/>
          <w:noProof/>
          <w:sz w:val="22"/>
          <w:lang w:val="en-US"/>
        </w:rPr>
        <w:t>52</w:t>
      </w:r>
      <w:r w:rsidRPr="000139B4">
        <w:rPr>
          <w:noProof/>
          <w:sz w:val="22"/>
          <w:lang w:val="en-US"/>
        </w:rPr>
        <w:t>(1), 121–124.</w:t>
      </w:r>
    </w:p>
    <w:p w14:paraId="763D82C0"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Farquhar, G. D., Ehleringer, J. R., &amp; Hubick, K. T. (1989). Carbon isotope discrimination and photosynthesis. </w:t>
      </w:r>
      <w:r w:rsidRPr="000139B4">
        <w:rPr>
          <w:i/>
          <w:iCs/>
          <w:noProof/>
          <w:sz w:val="22"/>
          <w:lang w:val="en-US"/>
        </w:rPr>
        <w:t>Annual Review of Plant Physiology and Plant Molecular Biology</w:t>
      </w:r>
      <w:r w:rsidRPr="000139B4">
        <w:rPr>
          <w:noProof/>
          <w:sz w:val="22"/>
          <w:lang w:val="en-US"/>
        </w:rPr>
        <w:t xml:space="preserve">, </w:t>
      </w:r>
      <w:r w:rsidRPr="000139B4">
        <w:rPr>
          <w:i/>
          <w:iCs/>
          <w:noProof/>
          <w:sz w:val="22"/>
          <w:lang w:val="en-US"/>
        </w:rPr>
        <w:t>40</w:t>
      </w:r>
      <w:r w:rsidRPr="000139B4">
        <w:rPr>
          <w:noProof/>
          <w:sz w:val="22"/>
          <w:lang w:val="en-US"/>
        </w:rPr>
        <w:t>, 503–537. https://doi.org/10.1146/annurev.pp.40.060189.002443</w:t>
      </w:r>
    </w:p>
    <w:p w14:paraId="30CE05B9"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Farquhar, G. D., O’Leary, M. H., &amp; Berry, J. A. (1982). On the relationship between carbon isotope discrimination and the intercellular carbon dioxide concentration in leaves. </w:t>
      </w:r>
      <w:r w:rsidRPr="000139B4">
        <w:rPr>
          <w:i/>
          <w:iCs/>
          <w:noProof/>
          <w:sz w:val="22"/>
          <w:lang w:val="en-US"/>
        </w:rPr>
        <w:t>Australian Journal of Plant Physiology</w:t>
      </w:r>
      <w:r w:rsidRPr="000139B4">
        <w:rPr>
          <w:noProof/>
          <w:sz w:val="22"/>
          <w:lang w:val="en-US"/>
        </w:rPr>
        <w:t xml:space="preserve">, </w:t>
      </w:r>
      <w:r w:rsidRPr="000139B4">
        <w:rPr>
          <w:i/>
          <w:iCs/>
          <w:noProof/>
          <w:sz w:val="22"/>
          <w:lang w:val="en-US"/>
        </w:rPr>
        <w:t>9</w:t>
      </w:r>
      <w:r w:rsidRPr="000139B4">
        <w:rPr>
          <w:noProof/>
          <w:sz w:val="22"/>
          <w:lang w:val="en-US"/>
        </w:rPr>
        <w:t>, 121–137.</w:t>
      </w:r>
    </w:p>
    <w:p w14:paraId="6ABE5B5A"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Farquhar, G. D., &amp; Richards, R. A. (1984). Isotopic composition of plant carbon correlates with water-use efficiency of wheat genotypes. </w:t>
      </w:r>
      <w:r w:rsidRPr="000139B4">
        <w:rPr>
          <w:i/>
          <w:iCs/>
          <w:noProof/>
          <w:sz w:val="22"/>
          <w:lang w:val="en-US"/>
        </w:rPr>
        <w:t>Australian Journal of Plant Physiology</w:t>
      </w:r>
      <w:r w:rsidRPr="000139B4">
        <w:rPr>
          <w:noProof/>
          <w:sz w:val="22"/>
          <w:lang w:val="en-US"/>
        </w:rPr>
        <w:t xml:space="preserve">, </w:t>
      </w:r>
      <w:r w:rsidRPr="000139B4">
        <w:rPr>
          <w:i/>
          <w:iCs/>
          <w:noProof/>
          <w:sz w:val="22"/>
          <w:lang w:val="en-US"/>
        </w:rPr>
        <w:t>11</w:t>
      </w:r>
      <w:r w:rsidRPr="000139B4">
        <w:rPr>
          <w:noProof/>
          <w:sz w:val="22"/>
          <w:lang w:val="en-US"/>
        </w:rPr>
        <w:t>, 539–552.</w:t>
      </w:r>
    </w:p>
    <w:p w14:paraId="23C38109"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Fatichi, S., Leuzinger, S., Paschalis, A., Langley, J. A., &amp; Donnellan, A. (2016). Partitioning direct and indirect effects reveals the response of water-limited ecosystems to elevated CO2. </w:t>
      </w:r>
      <w:r w:rsidRPr="000139B4">
        <w:rPr>
          <w:i/>
          <w:iCs/>
          <w:noProof/>
          <w:sz w:val="22"/>
          <w:lang w:val="en-US"/>
        </w:rPr>
        <w:t>Proceedings of the National Academy of Sciences</w:t>
      </w:r>
      <w:r w:rsidRPr="000139B4">
        <w:rPr>
          <w:noProof/>
          <w:sz w:val="22"/>
          <w:lang w:val="en-US"/>
        </w:rPr>
        <w:t xml:space="preserve">, </w:t>
      </w:r>
      <w:r w:rsidRPr="000139B4">
        <w:rPr>
          <w:i/>
          <w:iCs/>
          <w:noProof/>
          <w:sz w:val="22"/>
          <w:lang w:val="en-US"/>
        </w:rPr>
        <w:t>113</w:t>
      </w:r>
      <w:r w:rsidRPr="000139B4">
        <w:rPr>
          <w:noProof/>
          <w:sz w:val="22"/>
          <w:lang w:val="en-US"/>
        </w:rPr>
        <w:t>(45), 12757–12762. https://doi.org/10.1073/pnas.1605036113</w:t>
      </w:r>
    </w:p>
    <w:p w14:paraId="1E39FAFB"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Field, C. B., Jackson, R. B., &amp; Mooney, H. A. (1995). Stomatal Responses to Increased CO2 - Implications from the Plant to the Global-Scale. </w:t>
      </w:r>
      <w:r w:rsidRPr="000139B4">
        <w:rPr>
          <w:i/>
          <w:iCs/>
          <w:noProof/>
          <w:sz w:val="22"/>
          <w:lang w:val="en-US"/>
        </w:rPr>
        <w:t>Plant Cell and Environment</w:t>
      </w:r>
      <w:r w:rsidRPr="000139B4">
        <w:rPr>
          <w:noProof/>
          <w:sz w:val="22"/>
          <w:lang w:val="en-US"/>
        </w:rPr>
        <w:t xml:space="preserve">, </w:t>
      </w:r>
      <w:r w:rsidRPr="000139B4">
        <w:rPr>
          <w:i/>
          <w:iCs/>
          <w:noProof/>
          <w:sz w:val="22"/>
          <w:lang w:val="en-US"/>
        </w:rPr>
        <w:t>18</w:t>
      </w:r>
      <w:r w:rsidRPr="000139B4">
        <w:rPr>
          <w:noProof/>
          <w:sz w:val="22"/>
          <w:lang w:val="en-US"/>
        </w:rPr>
        <w:t>(10), 1214–1225. https://doi.org/Doi 10.1111/J.1365-3040.1995.Tb00630.X</w:t>
      </w:r>
    </w:p>
    <w:p w14:paraId="315E3851"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Flanagan, L. B., &amp; Farquhar, G. D. (2014). Variation in the carbon and oxygen isotope composition of plant biomass and its relationship to water-use efficiency at the leaf- and ecosystem-scales in a northern Great Plains grassland. </w:t>
      </w:r>
      <w:r w:rsidRPr="000139B4">
        <w:rPr>
          <w:i/>
          <w:iCs/>
          <w:noProof/>
          <w:sz w:val="22"/>
          <w:lang w:val="en-US"/>
        </w:rPr>
        <w:t>Plant, Cell and Environment</w:t>
      </w:r>
      <w:r w:rsidRPr="000139B4">
        <w:rPr>
          <w:noProof/>
          <w:sz w:val="22"/>
          <w:lang w:val="en-US"/>
        </w:rPr>
        <w:t xml:space="preserve">, </w:t>
      </w:r>
      <w:r w:rsidRPr="000139B4">
        <w:rPr>
          <w:i/>
          <w:iCs/>
          <w:noProof/>
          <w:sz w:val="22"/>
          <w:lang w:val="en-US"/>
        </w:rPr>
        <w:t>37</w:t>
      </w:r>
      <w:r w:rsidRPr="000139B4">
        <w:rPr>
          <w:noProof/>
          <w:sz w:val="22"/>
          <w:lang w:val="en-US"/>
        </w:rPr>
        <w:t>(2), 425–438. https://doi.org/10.1111/pce.12165</w:t>
      </w:r>
    </w:p>
    <w:p w14:paraId="06A339B2"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Flexas, J., Díaz-Espejo, A., Conesa, M. A., Coopman, R. E., Douthe, C., Gago, J., … Niinemets, U. (2016). Mesophyll conductance to CO2 and Rubisco as targets for improving intrinsic water use efficiency in C3 plants. </w:t>
      </w:r>
      <w:r w:rsidRPr="000139B4">
        <w:rPr>
          <w:i/>
          <w:iCs/>
          <w:noProof/>
          <w:sz w:val="22"/>
          <w:lang w:val="en-US"/>
        </w:rPr>
        <w:t>Plant Cell and Environment</w:t>
      </w:r>
      <w:r w:rsidRPr="000139B4">
        <w:rPr>
          <w:noProof/>
          <w:sz w:val="22"/>
          <w:lang w:val="en-US"/>
        </w:rPr>
        <w:t>. https://doi.org/10.1111/pce.12622</w:t>
      </w:r>
    </w:p>
    <w:p w14:paraId="3EE912F8"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Flexas, J., Ribas-Carbo, M., Diaz-Espejo, A., Galmes, J., &amp; Medrano, H. (2008). Mesophyll conductance to CO2: current knowledge and future prospects. </w:t>
      </w:r>
      <w:r w:rsidRPr="000139B4">
        <w:rPr>
          <w:i/>
          <w:iCs/>
          <w:noProof/>
          <w:sz w:val="22"/>
          <w:lang w:val="en-US"/>
        </w:rPr>
        <w:t>Plant Cell and Environment</w:t>
      </w:r>
      <w:r w:rsidRPr="000139B4">
        <w:rPr>
          <w:noProof/>
          <w:sz w:val="22"/>
          <w:lang w:val="en-US"/>
        </w:rPr>
        <w:t xml:space="preserve">, </w:t>
      </w:r>
      <w:r w:rsidRPr="000139B4">
        <w:rPr>
          <w:i/>
          <w:iCs/>
          <w:noProof/>
          <w:sz w:val="22"/>
          <w:lang w:val="en-US"/>
        </w:rPr>
        <w:t>31</w:t>
      </w:r>
      <w:r w:rsidRPr="000139B4">
        <w:rPr>
          <w:noProof/>
          <w:sz w:val="22"/>
          <w:lang w:val="en-US"/>
        </w:rPr>
        <w:t>, 602–621. https://doi.org/10.1111/j.1365-3040.2007.01757.x</w:t>
      </w:r>
    </w:p>
    <w:p w14:paraId="0E897B81"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Francey, R. J., &amp; Farquhar, G. D. (1982). An explanation of 13C/12C variations in tree rings. </w:t>
      </w:r>
      <w:r w:rsidRPr="000139B4">
        <w:rPr>
          <w:i/>
          <w:iCs/>
          <w:noProof/>
          <w:sz w:val="22"/>
          <w:lang w:val="en-US"/>
        </w:rPr>
        <w:t>Nature</w:t>
      </w:r>
      <w:r w:rsidRPr="000139B4">
        <w:rPr>
          <w:noProof/>
          <w:sz w:val="22"/>
          <w:lang w:val="en-US"/>
        </w:rPr>
        <w:t xml:space="preserve">, </w:t>
      </w:r>
      <w:r w:rsidRPr="000139B4">
        <w:rPr>
          <w:i/>
          <w:iCs/>
          <w:noProof/>
          <w:sz w:val="22"/>
          <w:lang w:val="en-US"/>
        </w:rPr>
        <w:t>297</w:t>
      </w:r>
      <w:r w:rsidRPr="000139B4">
        <w:rPr>
          <w:noProof/>
          <w:sz w:val="22"/>
          <w:lang w:val="en-US"/>
        </w:rPr>
        <w:t>, 28–31.</w:t>
      </w:r>
    </w:p>
    <w:p w14:paraId="4B53BB4F"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Frank, D. C., Poulter, B., Saurer, M., Esper, J., Huntingford, C., Helle, G., … Weigl, M. (2015). Water-use efficiency and transpiration across European forests during the Anthropocene. </w:t>
      </w:r>
      <w:r w:rsidRPr="000139B4">
        <w:rPr>
          <w:i/>
          <w:iCs/>
          <w:noProof/>
          <w:sz w:val="22"/>
          <w:lang w:val="en-US"/>
        </w:rPr>
        <w:t>Nature Climate Change</w:t>
      </w:r>
      <w:r w:rsidRPr="000139B4">
        <w:rPr>
          <w:noProof/>
          <w:sz w:val="22"/>
          <w:lang w:val="en-US"/>
        </w:rPr>
        <w:t xml:space="preserve">, </w:t>
      </w:r>
      <w:r w:rsidRPr="000139B4">
        <w:rPr>
          <w:i/>
          <w:iCs/>
          <w:noProof/>
          <w:sz w:val="22"/>
          <w:lang w:val="en-US"/>
        </w:rPr>
        <w:t>5</w:t>
      </w:r>
      <w:r w:rsidRPr="000139B4">
        <w:rPr>
          <w:noProof/>
          <w:sz w:val="22"/>
          <w:lang w:val="en-US"/>
        </w:rPr>
        <w:t>(6), 579–583. https://doi.org/10.1038/nclimate2614</w:t>
      </w:r>
    </w:p>
    <w:p w14:paraId="6645AF6C"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Franks, P. J., Adams, M. A., Amthor, J. S., Barbour, M. M., Berry, J. A., Ellsworth, D. S., … von Caemmerer, S. (2013). Sensitivity of plants to changing atmospheric CO2 concentration: From the geological past to the next century. </w:t>
      </w:r>
      <w:r w:rsidRPr="000139B4">
        <w:rPr>
          <w:i/>
          <w:iCs/>
          <w:noProof/>
          <w:sz w:val="22"/>
          <w:lang w:val="en-US"/>
        </w:rPr>
        <w:t>New Phytologist</w:t>
      </w:r>
      <w:r w:rsidRPr="000139B4">
        <w:rPr>
          <w:noProof/>
          <w:sz w:val="22"/>
          <w:lang w:val="en-US"/>
        </w:rPr>
        <w:t>. https://doi.org/10.1111/nph.12104</w:t>
      </w:r>
    </w:p>
    <w:p w14:paraId="1A67A764"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Gagen, M., Finsinger, W., Wagner-Cremer, F., Mccarroll, D., Loader, N. J., Robertson, I., … Kirchhefer, A. (2011). Evidence of changing intrinsic water-use efficiency under rising atmospheric CO2 concentrations in Boreal Fennoscandia from subfossil leaves and tree ring δ13C ratios. </w:t>
      </w:r>
      <w:r w:rsidRPr="000139B4">
        <w:rPr>
          <w:i/>
          <w:iCs/>
          <w:noProof/>
          <w:sz w:val="22"/>
          <w:lang w:val="en-US"/>
        </w:rPr>
        <w:t>Global Change Biology</w:t>
      </w:r>
      <w:r w:rsidRPr="000139B4">
        <w:rPr>
          <w:noProof/>
          <w:sz w:val="22"/>
          <w:lang w:val="en-US"/>
        </w:rPr>
        <w:t xml:space="preserve">, </w:t>
      </w:r>
      <w:r w:rsidRPr="000139B4">
        <w:rPr>
          <w:i/>
          <w:iCs/>
          <w:noProof/>
          <w:sz w:val="22"/>
          <w:lang w:val="en-US"/>
        </w:rPr>
        <w:t>17</w:t>
      </w:r>
      <w:r w:rsidRPr="000139B4">
        <w:rPr>
          <w:noProof/>
          <w:sz w:val="22"/>
          <w:lang w:val="en-US"/>
        </w:rPr>
        <w:t>(2), 1064–1072. https://doi.org/10.1111/j.1365-2486.2010.02273.x</w:t>
      </w:r>
    </w:p>
    <w:p w14:paraId="158D630D"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Gerten, D., Rost, S., von Bloh, W., &amp; Lucht, W. (2008). Causes of change in 20th century global river discharge. </w:t>
      </w:r>
      <w:r w:rsidRPr="000139B4">
        <w:rPr>
          <w:i/>
          <w:iCs/>
          <w:noProof/>
          <w:sz w:val="22"/>
          <w:lang w:val="en-US"/>
        </w:rPr>
        <w:t>Geophysical Research Letters</w:t>
      </w:r>
      <w:r w:rsidRPr="000139B4">
        <w:rPr>
          <w:noProof/>
          <w:sz w:val="22"/>
          <w:lang w:val="en-US"/>
        </w:rPr>
        <w:t xml:space="preserve">, </w:t>
      </w:r>
      <w:r w:rsidRPr="000139B4">
        <w:rPr>
          <w:i/>
          <w:iCs/>
          <w:noProof/>
          <w:sz w:val="22"/>
          <w:lang w:val="en-US"/>
        </w:rPr>
        <w:t>35</w:t>
      </w:r>
      <w:r w:rsidRPr="000139B4">
        <w:rPr>
          <w:noProof/>
          <w:sz w:val="22"/>
          <w:lang w:val="en-US"/>
        </w:rPr>
        <w:t>(20). https://doi.org/10.1029/2008GL035258</w:t>
      </w:r>
    </w:p>
    <w:p w14:paraId="6C1D9448"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Gessler, A., Brandes, E., Buchmann, N., Helle, G., Rennenberg, H., &amp; Barnard, R. L. (2009). Tracing carbon and oxygen isotope signals from newly assimilated sugars in the leaves to the tree-ring archive. </w:t>
      </w:r>
      <w:r w:rsidRPr="000139B4">
        <w:rPr>
          <w:i/>
          <w:iCs/>
          <w:noProof/>
          <w:sz w:val="22"/>
          <w:lang w:val="en-US"/>
        </w:rPr>
        <w:t>Plant, Cell and Environment</w:t>
      </w:r>
      <w:r w:rsidRPr="000139B4">
        <w:rPr>
          <w:noProof/>
          <w:sz w:val="22"/>
          <w:lang w:val="en-US"/>
        </w:rPr>
        <w:t xml:space="preserve">, </w:t>
      </w:r>
      <w:r w:rsidRPr="000139B4">
        <w:rPr>
          <w:i/>
          <w:iCs/>
          <w:noProof/>
          <w:sz w:val="22"/>
          <w:lang w:val="en-US"/>
        </w:rPr>
        <w:t>32</w:t>
      </w:r>
      <w:r w:rsidRPr="000139B4">
        <w:rPr>
          <w:noProof/>
          <w:sz w:val="22"/>
          <w:lang w:val="en-US"/>
        </w:rPr>
        <w:t>(7), 780–795. https://doi.org/10.1111/j.1365-3040.2009.01957.x</w:t>
      </w:r>
    </w:p>
    <w:p w14:paraId="45CE6E97"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Gessler, A., Ferrio, J. P., Hommel, R., Treydte, K., Werner, R. A., &amp; Monson, R. K. (2014). Stable isotopes in tree rings: towards a mechanistic understanding of isotope fractionation and mixing processes from the leaves to the wood. </w:t>
      </w:r>
      <w:r w:rsidRPr="000139B4">
        <w:rPr>
          <w:i/>
          <w:iCs/>
          <w:noProof/>
          <w:sz w:val="22"/>
          <w:lang w:val="en-US"/>
        </w:rPr>
        <w:t>Tree Physiology</w:t>
      </w:r>
      <w:r w:rsidRPr="000139B4">
        <w:rPr>
          <w:noProof/>
          <w:sz w:val="22"/>
          <w:lang w:val="en-US"/>
        </w:rPr>
        <w:t xml:space="preserve">, </w:t>
      </w:r>
      <w:r w:rsidRPr="000139B4">
        <w:rPr>
          <w:i/>
          <w:iCs/>
          <w:noProof/>
          <w:sz w:val="22"/>
          <w:lang w:val="en-US"/>
        </w:rPr>
        <w:t>34</w:t>
      </w:r>
      <w:r w:rsidRPr="000139B4">
        <w:rPr>
          <w:noProof/>
          <w:sz w:val="22"/>
          <w:lang w:val="en-US"/>
        </w:rPr>
        <w:t>(8), 796–818. https://doi.org/10.1093/treephys/tpu040</w:t>
      </w:r>
    </w:p>
    <w:p w14:paraId="1B756801"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Ghashghaie, J., Badeck, F.-W., Lanigan, G., Nogués, S., Tcherkez, G., Deléens, E., … Griffiths, H. (2003). Carbon isotope fractionation during dark respiration and photorespiration in C3 plants. </w:t>
      </w:r>
      <w:r w:rsidRPr="000139B4">
        <w:rPr>
          <w:i/>
          <w:iCs/>
          <w:noProof/>
          <w:sz w:val="22"/>
          <w:lang w:val="en-US"/>
        </w:rPr>
        <w:t>Phytochemistry Reviews</w:t>
      </w:r>
      <w:r w:rsidRPr="000139B4">
        <w:rPr>
          <w:noProof/>
          <w:sz w:val="22"/>
          <w:lang w:val="en-US"/>
        </w:rPr>
        <w:t xml:space="preserve">, </w:t>
      </w:r>
      <w:r w:rsidRPr="000139B4">
        <w:rPr>
          <w:i/>
          <w:iCs/>
          <w:noProof/>
          <w:sz w:val="22"/>
          <w:lang w:val="en-US"/>
        </w:rPr>
        <w:t>2</w:t>
      </w:r>
      <w:r w:rsidRPr="000139B4">
        <w:rPr>
          <w:noProof/>
          <w:sz w:val="22"/>
          <w:lang w:val="en-US"/>
        </w:rPr>
        <w:t>(1–2), 145–161. https://doi.org/10.1023/B:PHYT.0000004326.00711.ca</w:t>
      </w:r>
    </w:p>
    <w:p w14:paraId="0223BD58"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Gimeno, T. E., Crous, K. Y., Cooke, J., O’Grady, A. P., Ósvaldsson, A., Medlyn, B. E., &amp; Ellsworth, D. S. (2016). Conserved stomatal behaviour under elevated CO2 and varying water availability in a mature woodland. </w:t>
      </w:r>
      <w:r w:rsidRPr="000139B4">
        <w:rPr>
          <w:i/>
          <w:iCs/>
          <w:noProof/>
          <w:sz w:val="22"/>
          <w:lang w:val="en-US"/>
        </w:rPr>
        <w:t>Functional Ecology</w:t>
      </w:r>
      <w:r w:rsidRPr="000139B4">
        <w:rPr>
          <w:noProof/>
          <w:sz w:val="22"/>
          <w:lang w:val="en-US"/>
        </w:rPr>
        <w:t xml:space="preserve">, </w:t>
      </w:r>
      <w:r w:rsidRPr="000139B4">
        <w:rPr>
          <w:i/>
          <w:iCs/>
          <w:noProof/>
          <w:sz w:val="22"/>
          <w:lang w:val="en-US"/>
        </w:rPr>
        <w:t>30</w:t>
      </w:r>
      <w:r w:rsidRPr="000139B4">
        <w:rPr>
          <w:noProof/>
          <w:sz w:val="22"/>
          <w:lang w:val="en-US"/>
        </w:rPr>
        <w:t>(5), 700–709. https://doi.org/10.1111/1365-2435.12532</w:t>
      </w:r>
    </w:p>
    <w:p w14:paraId="30237751"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Graven, H., Allison, C. E., Etheridge, D. M., Hammer, S., Keeling, R. F., Levin, I., … White, J. W. C. (2017). Compiled records of carbon isotopes in atmospheric CO2 for historical simulations in CMIP6. </w:t>
      </w:r>
      <w:r w:rsidRPr="000139B4">
        <w:rPr>
          <w:i/>
          <w:iCs/>
          <w:noProof/>
          <w:sz w:val="22"/>
          <w:lang w:val="en-US"/>
        </w:rPr>
        <w:t>Geoscientific Model Development</w:t>
      </w:r>
      <w:r w:rsidRPr="000139B4">
        <w:rPr>
          <w:noProof/>
          <w:sz w:val="22"/>
          <w:lang w:val="en-US"/>
        </w:rPr>
        <w:t xml:space="preserve">, </w:t>
      </w:r>
      <w:r w:rsidRPr="000139B4">
        <w:rPr>
          <w:i/>
          <w:iCs/>
          <w:noProof/>
          <w:sz w:val="22"/>
          <w:lang w:val="en-US"/>
        </w:rPr>
        <w:t>10</w:t>
      </w:r>
      <w:r w:rsidRPr="000139B4">
        <w:rPr>
          <w:noProof/>
          <w:sz w:val="22"/>
          <w:lang w:val="en-US"/>
        </w:rPr>
        <w:t>(12), 4405–4417. https://doi.org/10.5194/gmd-10-4405-2017</w:t>
      </w:r>
    </w:p>
    <w:p w14:paraId="5BA5278F"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Guerrieri, R., Lepine, L., Asbjornsen, H., Xiao, J., &amp; Ollinger, S. V. (2016). Evapotranspiration and water use efficiency in relation to climate and canopy nitrogen in U.S. forests. </w:t>
      </w:r>
      <w:r w:rsidRPr="000139B4">
        <w:rPr>
          <w:i/>
          <w:iCs/>
          <w:noProof/>
          <w:sz w:val="22"/>
          <w:lang w:val="en-US"/>
        </w:rPr>
        <w:t>Journal of Geophysical Research: Biogeosciences</w:t>
      </w:r>
      <w:r w:rsidRPr="000139B4">
        <w:rPr>
          <w:noProof/>
          <w:sz w:val="22"/>
          <w:lang w:val="en-US"/>
        </w:rPr>
        <w:t xml:space="preserve">, </w:t>
      </w:r>
      <w:r w:rsidRPr="000139B4">
        <w:rPr>
          <w:i/>
          <w:iCs/>
          <w:noProof/>
          <w:sz w:val="22"/>
          <w:lang w:val="en-US"/>
        </w:rPr>
        <w:t>121</w:t>
      </w:r>
      <w:r w:rsidRPr="000139B4">
        <w:rPr>
          <w:noProof/>
          <w:sz w:val="22"/>
          <w:lang w:val="en-US"/>
        </w:rPr>
        <w:t>(10), 2610–2629. https://doi.org/10.1002/2016JG003415</w:t>
      </w:r>
    </w:p>
    <w:p w14:paraId="69EB6E37"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Harris, I., Jones, P. D., Osborn, T. J., &amp; Lister, D. H. (2014). Updated high-resolution grids of monthly climatic observations - the CRU TS3.10 Dataset. </w:t>
      </w:r>
      <w:r w:rsidRPr="000139B4">
        <w:rPr>
          <w:i/>
          <w:iCs/>
          <w:noProof/>
          <w:sz w:val="22"/>
          <w:lang w:val="en-US"/>
        </w:rPr>
        <w:t>International Journal of Climatology</w:t>
      </w:r>
      <w:r w:rsidRPr="000139B4">
        <w:rPr>
          <w:noProof/>
          <w:sz w:val="22"/>
          <w:lang w:val="en-US"/>
        </w:rPr>
        <w:t xml:space="preserve">, </w:t>
      </w:r>
      <w:r w:rsidRPr="000139B4">
        <w:rPr>
          <w:i/>
          <w:iCs/>
          <w:noProof/>
          <w:sz w:val="22"/>
          <w:lang w:val="en-US"/>
        </w:rPr>
        <w:t>34</w:t>
      </w:r>
      <w:r w:rsidRPr="000139B4">
        <w:rPr>
          <w:noProof/>
          <w:sz w:val="22"/>
          <w:lang w:val="en-US"/>
        </w:rPr>
        <w:t>(3), 623–642. https://doi.org/10.1002/joc.3711</w:t>
      </w:r>
    </w:p>
    <w:p w14:paraId="07F028F3"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Hartmann, H., &amp; Trumbore, S. (2016). Understanding the roles of nonstructural carbohydrates in forest trees – from what we can measure to what we want to know. </w:t>
      </w:r>
      <w:r w:rsidRPr="000139B4">
        <w:rPr>
          <w:i/>
          <w:iCs/>
          <w:noProof/>
          <w:sz w:val="22"/>
          <w:lang w:val="en-US"/>
        </w:rPr>
        <w:t>New Phytologist</w:t>
      </w:r>
      <w:r w:rsidRPr="000139B4">
        <w:rPr>
          <w:noProof/>
          <w:sz w:val="22"/>
          <w:lang w:val="en-US"/>
        </w:rPr>
        <w:t xml:space="preserve">, </w:t>
      </w:r>
      <w:r w:rsidRPr="000139B4">
        <w:rPr>
          <w:i/>
          <w:iCs/>
          <w:noProof/>
          <w:sz w:val="22"/>
          <w:lang w:val="en-US"/>
        </w:rPr>
        <w:t>211</w:t>
      </w:r>
      <w:r w:rsidRPr="000139B4">
        <w:rPr>
          <w:noProof/>
          <w:sz w:val="22"/>
          <w:lang w:val="en-US"/>
        </w:rPr>
        <w:t>, 386–403. https://doi.org/10.1111/nph.13955</w:t>
      </w:r>
    </w:p>
    <w:p w14:paraId="235F9426"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Hobeichi, S., Abramowitz, G., Evans, J., &amp; Ukkola, A. (2018). Derived Optimal Linear Combination Evapotranspiration (DOLCE): A global gridded synthesis et estimate. </w:t>
      </w:r>
      <w:r w:rsidRPr="000139B4">
        <w:rPr>
          <w:i/>
          <w:iCs/>
          <w:noProof/>
          <w:sz w:val="22"/>
          <w:lang w:val="en-US"/>
        </w:rPr>
        <w:t>Hydrology and Earth System Sciences</w:t>
      </w:r>
      <w:r w:rsidRPr="000139B4">
        <w:rPr>
          <w:noProof/>
          <w:sz w:val="22"/>
          <w:lang w:val="en-US"/>
        </w:rPr>
        <w:t xml:space="preserve">, </w:t>
      </w:r>
      <w:r w:rsidRPr="000139B4">
        <w:rPr>
          <w:i/>
          <w:iCs/>
          <w:noProof/>
          <w:sz w:val="22"/>
          <w:lang w:val="en-US"/>
        </w:rPr>
        <w:t>22</w:t>
      </w:r>
      <w:r w:rsidRPr="000139B4">
        <w:rPr>
          <w:noProof/>
          <w:sz w:val="22"/>
          <w:lang w:val="en-US"/>
        </w:rPr>
        <w:t>(2), 1317–1336. https://doi.org/10.5194/hess-22-1317-2018</w:t>
      </w:r>
    </w:p>
    <w:p w14:paraId="24C32D2E"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Jarvis, P. G. (1976). The Interpretation of the Variations in Leaf Water Potential and Stomatal Conductance Found in Canopies in the Field. </w:t>
      </w:r>
      <w:r w:rsidRPr="000139B4">
        <w:rPr>
          <w:i/>
          <w:iCs/>
          <w:noProof/>
          <w:sz w:val="22"/>
          <w:lang w:val="en-US"/>
        </w:rPr>
        <w:t>Philosophical Transactions of the Royal Society B: Biological Sciences</w:t>
      </w:r>
      <w:r w:rsidRPr="000139B4">
        <w:rPr>
          <w:noProof/>
          <w:sz w:val="22"/>
          <w:lang w:val="en-US"/>
        </w:rPr>
        <w:t xml:space="preserve">, </w:t>
      </w:r>
      <w:r w:rsidRPr="000139B4">
        <w:rPr>
          <w:i/>
          <w:iCs/>
          <w:noProof/>
          <w:sz w:val="22"/>
          <w:lang w:val="en-US"/>
        </w:rPr>
        <w:t>273</w:t>
      </w:r>
      <w:r w:rsidRPr="000139B4">
        <w:rPr>
          <w:noProof/>
          <w:sz w:val="22"/>
          <w:lang w:val="en-US"/>
        </w:rPr>
        <w:t>(927), 593–610. https://doi.org/10.1098/rstb.1976.0035</w:t>
      </w:r>
    </w:p>
    <w:p w14:paraId="6EA8FA1A"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Jones, C. D., Arora, V., Friedlingstein, P., Bopp, L., Brovkin, V., Dunne, J., … Zaehle, S. (2016). C4MIP-The Coupled Climate-Carbon Cycle Model Intercomparison Project: Experimental protocol for CMIP6. </w:t>
      </w:r>
      <w:r w:rsidRPr="000139B4">
        <w:rPr>
          <w:i/>
          <w:iCs/>
          <w:noProof/>
          <w:sz w:val="22"/>
          <w:lang w:val="en-US"/>
        </w:rPr>
        <w:t>Geoscientific Model Development</w:t>
      </w:r>
      <w:r w:rsidRPr="000139B4">
        <w:rPr>
          <w:noProof/>
          <w:sz w:val="22"/>
          <w:lang w:val="en-US"/>
        </w:rPr>
        <w:t xml:space="preserve">, </w:t>
      </w:r>
      <w:r w:rsidRPr="000139B4">
        <w:rPr>
          <w:i/>
          <w:iCs/>
          <w:noProof/>
          <w:sz w:val="22"/>
          <w:lang w:val="en-US"/>
        </w:rPr>
        <w:t>9</w:t>
      </w:r>
      <w:r w:rsidRPr="000139B4">
        <w:rPr>
          <w:noProof/>
          <w:sz w:val="22"/>
          <w:lang w:val="en-US"/>
        </w:rPr>
        <w:t>(8), 2853–2880. https://doi.org/10.5194/gmd-9-2853-2016</w:t>
      </w:r>
    </w:p>
    <w:p w14:paraId="638FA0B8"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Keeling, R. F., Graven, H. D., Welp, L. R., Resplandy, L., Bi, J., Piper, S. C., … Meijer, H. A. J. (2017). Atmospheric evidence for a global secular increase in carbon isotopic discrimination of land photosynthesis. </w:t>
      </w:r>
      <w:r w:rsidRPr="000139B4">
        <w:rPr>
          <w:i/>
          <w:iCs/>
          <w:noProof/>
          <w:sz w:val="22"/>
          <w:lang w:val="en-US"/>
        </w:rPr>
        <w:t>Proceedings of the National Academy of Sciences</w:t>
      </w:r>
      <w:r w:rsidRPr="000139B4">
        <w:rPr>
          <w:noProof/>
          <w:sz w:val="22"/>
          <w:lang w:val="en-US"/>
        </w:rPr>
        <w:t xml:space="preserve">, </w:t>
      </w:r>
      <w:r w:rsidRPr="000139B4">
        <w:rPr>
          <w:i/>
          <w:iCs/>
          <w:noProof/>
          <w:sz w:val="22"/>
          <w:lang w:val="en-US"/>
        </w:rPr>
        <w:t>114</w:t>
      </w:r>
      <w:r w:rsidRPr="000139B4">
        <w:rPr>
          <w:noProof/>
          <w:sz w:val="22"/>
          <w:lang w:val="en-US"/>
        </w:rPr>
        <w:t>(39), 10361–10366. https://doi.org/10.1073/pnas.1619240114</w:t>
      </w:r>
    </w:p>
    <w:p w14:paraId="181594A1"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Keenan, T. F., Hollinger, D. Y., Bohrer, G., Dragoni, D., Munger, J. W., Schmid, H. P., &amp; Richardson, A. D. (2013). Increase in forest water-use efficiency as atmospheric carbon dioxide concentrations rise. </w:t>
      </w:r>
      <w:r w:rsidRPr="000139B4">
        <w:rPr>
          <w:i/>
          <w:iCs/>
          <w:noProof/>
          <w:sz w:val="22"/>
          <w:lang w:val="en-US"/>
        </w:rPr>
        <w:t>Nature</w:t>
      </w:r>
      <w:r w:rsidRPr="000139B4">
        <w:rPr>
          <w:noProof/>
          <w:sz w:val="22"/>
          <w:lang w:val="en-US"/>
        </w:rPr>
        <w:t xml:space="preserve">, </w:t>
      </w:r>
      <w:r w:rsidRPr="000139B4">
        <w:rPr>
          <w:i/>
          <w:iCs/>
          <w:noProof/>
          <w:sz w:val="22"/>
          <w:lang w:val="en-US"/>
        </w:rPr>
        <w:t>499</w:t>
      </w:r>
      <w:r w:rsidRPr="000139B4">
        <w:rPr>
          <w:noProof/>
          <w:sz w:val="22"/>
          <w:lang w:val="en-US"/>
        </w:rPr>
        <w:t>(7458), 324–327. https://doi.org/10.1038/nature12291</w:t>
      </w:r>
    </w:p>
    <w:p w14:paraId="0EF3998A"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Keller, K. M., Lienert, S., Bozbiyik, A., Stocker, T. F., Churakova Sidorova, O. V., Frank, D. C., … Joos, F. (2017). 20th century changes in carbon isotopes and water-use efficiency: Tree-ring-based evaluation of the CLM4.5 and LPX-Bern models. </w:t>
      </w:r>
      <w:r w:rsidRPr="000139B4">
        <w:rPr>
          <w:i/>
          <w:iCs/>
          <w:noProof/>
          <w:sz w:val="22"/>
          <w:lang w:val="en-US"/>
        </w:rPr>
        <w:t>Biogeosciences</w:t>
      </w:r>
      <w:r w:rsidRPr="000139B4">
        <w:rPr>
          <w:noProof/>
          <w:sz w:val="22"/>
          <w:lang w:val="en-US"/>
        </w:rPr>
        <w:t xml:space="preserve">, </w:t>
      </w:r>
      <w:r w:rsidRPr="000139B4">
        <w:rPr>
          <w:i/>
          <w:iCs/>
          <w:noProof/>
          <w:sz w:val="22"/>
          <w:lang w:val="en-US"/>
        </w:rPr>
        <w:t>14</w:t>
      </w:r>
      <w:r w:rsidRPr="000139B4">
        <w:rPr>
          <w:noProof/>
          <w:sz w:val="22"/>
          <w:lang w:val="en-US"/>
        </w:rPr>
        <w:t>(10), 2641–2673. https://doi.org/10.5194/bg-14-2641-2017</w:t>
      </w:r>
    </w:p>
    <w:p w14:paraId="32560DB0"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Klesse, S., Derose, R. J., Guiterman, C. H., Lynch, A. M., Connor, C. D. O., Shaw, J. D., &amp; Evans, M. E. K. (2018). Sampling bias overestimates climate change impacts on forest growth in the southwestern United States. </w:t>
      </w:r>
      <w:r w:rsidRPr="000139B4">
        <w:rPr>
          <w:i/>
          <w:iCs/>
          <w:noProof/>
          <w:sz w:val="22"/>
          <w:lang w:val="en-US"/>
        </w:rPr>
        <w:t>Nature Communications</w:t>
      </w:r>
      <w:r w:rsidRPr="000139B4">
        <w:rPr>
          <w:noProof/>
          <w:sz w:val="22"/>
          <w:lang w:val="en-US"/>
        </w:rPr>
        <w:t xml:space="preserve">, </w:t>
      </w:r>
      <w:r w:rsidRPr="000139B4">
        <w:rPr>
          <w:i/>
          <w:iCs/>
          <w:noProof/>
          <w:sz w:val="22"/>
          <w:lang w:val="en-US"/>
        </w:rPr>
        <w:t>9</w:t>
      </w:r>
      <w:r w:rsidRPr="000139B4">
        <w:rPr>
          <w:noProof/>
          <w:sz w:val="22"/>
          <w:lang w:val="en-US"/>
        </w:rPr>
        <w:t>(5336), 1–9. https://doi.org/https://doi.org/10.1038/s41467-018-07800-y</w:t>
      </w:r>
    </w:p>
    <w:p w14:paraId="2A57E883"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Knauer, J., El-Madany, T. S., Zaehle, S., &amp; Migliavacca, M. (2018). Bigleaf — An R package for the calculation of physical and physiological ecosystem properties from eddy covariance data. </w:t>
      </w:r>
      <w:r w:rsidRPr="000139B4">
        <w:rPr>
          <w:i/>
          <w:iCs/>
          <w:noProof/>
          <w:sz w:val="22"/>
          <w:lang w:val="en-US"/>
        </w:rPr>
        <w:t>PLoS ONE</w:t>
      </w:r>
      <w:r w:rsidRPr="000139B4">
        <w:rPr>
          <w:noProof/>
          <w:sz w:val="22"/>
          <w:lang w:val="en-US"/>
        </w:rPr>
        <w:t xml:space="preserve">, </w:t>
      </w:r>
      <w:r w:rsidRPr="000139B4">
        <w:rPr>
          <w:i/>
          <w:iCs/>
          <w:noProof/>
          <w:sz w:val="22"/>
          <w:lang w:val="en-US"/>
        </w:rPr>
        <w:t>13</w:t>
      </w:r>
      <w:r w:rsidRPr="000139B4">
        <w:rPr>
          <w:noProof/>
          <w:sz w:val="22"/>
          <w:lang w:val="en-US"/>
        </w:rPr>
        <w:t>(8), 1–26. https://doi.org/https://doi.org/ 10.1371/journal.pone.0201114</w:t>
      </w:r>
    </w:p>
    <w:p w14:paraId="097FBFB0"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Knauer, J., Zaehle, S., Medlyn, B. E., Reichstein, M., Williams, C. A., Migliavacca, M., … Linderson, M.-L. (2018). Towards physiologically meaningful water-use efficiency estimates from eddy covariance data. </w:t>
      </w:r>
      <w:r w:rsidRPr="000139B4">
        <w:rPr>
          <w:i/>
          <w:iCs/>
          <w:noProof/>
          <w:sz w:val="22"/>
          <w:lang w:val="en-US"/>
        </w:rPr>
        <w:t>Global Change Biology</w:t>
      </w:r>
      <w:r w:rsidRPr="000139B4">
        <w:rPr>
          <w:noProof/>
          <w:sz w:val="22"/>
          <w:lang w:val="en-US"/>
        </w:rPr>
        <w:t xml:space="preserve">, </w:t>
      </w:r>
      <w:r w:rsidRPr="000139B4">
        <w:rPr>
          <w:i/>
          <w:iCs/>
          <w:noProof/>
          <w:sz w:val="22"/>
          <w:lang w:val="en-US"/>
        </w:rPr>
        <w:t>24</w:t>
      </w:r>
      <w:r w:rsidRPr="000139B4">
        <w:rPr>
          <w:noProof/>
          <w:sz w:val="22"/>
          <w:lang w:val="en-US"/>
        </w:rPr>
        <w:t>, 694–710. https://doi.org/10.1111/gcb.13893</w:t>
      </w:r>
    </w:p>
    <w:p w14:paraId="04E96B1A"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Knauer, J., Zaehle, S., Reichstein, M., Medlyn, B. E., Forkel, M., Hagemann, S., &amp; Werner, C. (2017). The response of ecosystem water-use efficiency to rising atmospheric CO2 concentrations: sensitivity and large-scale biogeochemical implications. </w:t>
      </w:r>
      <w:r w:rsidRPr="000139B4">
        <w:rPr>
          <w:i/>
          <w:iCs/>
          <w:noProof/>
          <w:sz w:val="22"/>
          <w:lang w:val="en-US"/>
        </w:rPr>
        <w:t>New Phytologist</w:t>
      </w:r>
      <w:r w:rsidRPr="000139B4">
        <w:rPr>
          <w:noProof/>
          <w:sz w:val="22"/>
          <w:lang w:val="en-US"/>
        </w:rPr>
        <w:t xml:space="preserve">, </w:t>
      </w:r>
      <w:r w:rsidRPr="000139B4">
        <w:rPr>
          <w:i/>
          <w:iCs/>
          <w:noProof/>
          <w:sz w:val="22"/>
          <w:lang w:val="en-US"/>
        </w:rPr>
        <w:t>213</w:t>
      </w:r>
      <w:r w:rsidRPr="000139B4">
        <w:rPr>
          <w:noProof/>
          <w:sz w:val="22"/>
          <w:lang w:val="en-US"/>
        </w:rPr>
        <w:t>(4), 1654–1666. https://doi.org/10.1111/nph.14288</w:t>
      </w:r>
    </w:p>
    <w:p w14:paraId="09BE85B6"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Lasslop, G., Reichstein, M., Papale, D., Richardson, A., Arneth, A., Barr, A., … Wohlfahrt, G. (2010). Separation of net ecosystem exchange into assimilation and respiration using a light response curve approach: Critical issues and global evaluation. </w:t>
      </w:r>
      <w:r w:rsidRPr="000139B4">
        <w:rPr>
          <w:i/>
          <w:iCs/>
          <w:noProof/>
          <w:sz w:val="22"/>
          <w:lang w:val="en-US"/>
        </w:rPr>
        <w:t>Global Change Biology</w:t>
      </w:r>
      <w:r w:rsidRPr="000139B4">
        <w:rPr>
          <w:noProof/>
          <w:sz w:val="22"/>
          <w:lang w:val="en-US"/>
        </w:rPr>
        <w:t xml:space="preserve">, </w:t>
      </w:r>
      <w:r w:rsidRPr="000139B4">
        <w:rPr>
          <w:i/>
          <w:iCs/>
          <w:noProof/>
          <w:sz w:val="22"/>
          <w:lang w:val="en-US"/>
        </w:rPr>
        <w:t>16</w:t>
      </w:r>
      <w:r w:rsidRPr="000139B4">
        <w:rPr>
          <w:noProof/>
          <w:sz w:val="22"/>
          <w:lang w:val="en-US"/>
        </w:rPr>
        <w:t>(1), 187–208. https://doi.org/10.1111/j.1365-2486.2009.02041.x</w:t>
      </w:r>
    </w:p>
    <w:p w14:paraId="6D1C529C"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Lavergne, A., Daux, V., Villalba, R., Pierre, M., Stievenard, M., &amp; Srur, A. M. A. M. (2017). Improvement of isotope-based climate reconstructions in Patagonia through a better understanding of climate influences on isotopic fractionation in tree rings. </w:t>
      </w:r>
      <w:r w:rsidRPr="000139B4">
        <w:rPr>
          <w:i/>
          <w:iCs/>
          <w:noProof/>
          <w:sz w:val="22"/>
          <w:lang w:val="en-US"/>
        </w:rPr>
        <w:t>Earth and Planetary Science Letters</w:t>
      </w:r>
      <w:r w:rsidRPr="000139B4">
        <w:rPr>
          <w:noProof/>
          <w:sz w:val="22"/>
          <w:lang w:val="en-US"/>
        </w:rPr>
        <w:t xml:space="preserve">, </w:t>
      </w:r>
      <w:r w:rsidRPr="000139B4">
        <w:rPr>
          <w:i/>
          <w:iCs/>
          <w:noProof/>
          <w:sz w:val="22"/>
          <w:lang w:val="en-US"/>
        </w:rPr>
        <w:t>459</w:t>
      </w:r>
      <w:r w:rsidRPr="000139B4">
        <w:rPr>
          <w:noProof/>
          <w:sz w:val="22"/>
          <w:lang w:val="en-US"/>
        </w:rPr>
        <w:t>, 372–380. https://doi.org/10.1016/j.epsl.2016.11.045</w:t>
      </w:r>
    </w:p>
    <w:p w14:paraId="729A0D0D"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Law, B. ., Falge, E., Gu, L., Baldocchi, D. ., Bakwin, P., Berbigier, P., … Wofsy, S. (2002). Environmental controls over carbon dioxide and water vapor exchange of terrestrial vegetation. </w:t>
      </w:r>
      <w:r w:rsidRPr="000139B4">
        <w:rPr>
          <w:i/>
          <w:iCs/>
          <w:noProof/>
          <w:sz w:val="22"/>
          <w:lang w:val="en-US"/>
        </w:rPr>
        <w:t>Agricultural and Forest Meteorology</w:t>
      </w:r>
      <w:r w:rsidRPr="000139B4">
        <w:rPr>
          <w:noProof/>
          <w:sz w:val="22"/>
          <w:lang w:val="en-US"/>
        </w:rPr>
        <w:t xml:space="preserve">, </w:t>
      </w:r>
      <w:r w:rsidRPr="000139B4">
        <w:rPr>
          <w:i/>
          <w:iCs/>
          <w:noProof/>
          <w:sz w:val="22"/>
          <w:lang w:val="en-US"/>
        </w:rPr>
        <w:t>113</w:t>
      </w:r>
      <w:r w:rsidRPr="000139B4">
        <w:rPr>
          <w:noProof/>
          <w:sz w:val="22"/>
          <w:lang w:val="en-US"/>
        </w:rPr>
        <w:t>(1–4), 97–120. https://doi.org/10.1016/S0168-1923(02)00104-1</w:t>
      </w:r>
    </w:p>
    <w:p w14:paraId="1AF39899"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Le Quéré, C., Andrew, R. M., Friedlingstein, P., Sitch, S., Hauck, J., Pongratz, J., … Zheng, B. (2018). Global Carbon Budget 2018. </w:t>
      </w:r>
      <w:r w:rsidRPr="000139B4">
        <w:rPr>
          <w:i/>
          <w:iCs/>
          <w:noProof/>
          <w:sz w:val="22"/>
          <w:lang w:val="en-US"/>
        </w:rPr>
        <w:t>Earth System Science Data</w:t>
      </w:r>
      <w:r w:rsidRPr="000139B4">
        <w:rPr>
          <w:noProof/>
          <w:sz w:val="22"/>
          <w:lang w:val="en-US"/>
        </w:rPr>
        <w:t xml:space="preserve">, </w:t>
      </w:r>
      <w:r w:rsidRPr="000139B4">
        <w:rPr>
          <w:i/>
          <w:iCs/>
          <w:noProof/>
          <w:sz w:val="22"/>
          <w:lang w:val="en-US"/>
        </w:rPr>
        <w:t>10</w:t>
      </w:r>
      <w:r w:rsidRPr="000139B4">
        <w:rPr>
          <w:noProof/>
          <w:sz w:val="22"/>
          <w:lang w:val="en-US"/>
        </w:rPr>
        <w:t>(4), 2141–2194. https://doi.org/10.5194/essd-10-2141-2018</w:t>
      </w:r>
    </w:p>
    <w:p w14:paraId="0E31D637"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Leonardi, S., Gentilesca, T., Guerrieri, R., Ripullone, F., Magnani, F., Mencuccini, M., … Borghetti, M. (2012). Assessing the effects of nitrogen deposition and climate on carbon isotope discrimination and intrinsic water-use efficiency of angiosperm and conifer trees under rising CO2 conditions. </w:t>
      </w:r>
      <w:r w:rsidRPr="000139B4">
        <w:rPr>
          <w:i/>
          <w:iCs/>
          <w:noProof/>
          <w:sz w:val="22"/>
          <w:lang w:val="en-US"/>
        </w:rPr>
        <w:t>Global Change Biology</w:t>
      </w:r>
      <w:r w:rsidRPr="000139B4">
        <w:rPr>
          <w:noProof/>
          <w:sz w:val="22"/>
          <w:lang w:val="en-US"/>
        </w:rPr>
        <w:t xml:space="preserve">, </w:t>
      </w:r>
      <w:r w:rsidRPr="000139B4">
        <w:rPr>
          <w:i/>
          <w:iCs/>
          <w:noProof/>
          <w:sz w:val="22"/>
          <w:lang w:val="en-US"/>
        </w:rPr>
        <w:t>18</w:t>
      </w:r>
      <w:r w:rsidRPr="000139B4">
        <w:rPr>
          <w:noProof/>
          <w:sz w:val="22"/>
          <w:lang w:val="en-US"/>
        </w:rPr>
        <w:t>(9), 2925–2944. https://doi.org/10.1111/j.1365-2486.2012.02757.x</w:t>
      </w:r>
    </w:p>
    <w:p w14:paraId="28F3AB0A"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Lin, Y. S., Medlyn, B. E., Duursma, R. A., Prentice, I. C., Wang, H., Baig, S., … Wingate, L. (2015). Optimal stomatal behaviour around the world. </w:t>
      </w:r>
      <w:r w:rsidRPr="000139B4">
        <w:rPr>
          <w:i/>
          <w:iCs/>
          <w:noProof/>
          <w:sz w:val="22"/>
          <w:lang w:val="en-US"/>
        </w:rPr>
        <w:t>Nature Climate Change</w:t>
      </w:r>
      <w:r w:rsidRPr="000139B4">
        <w:rPr>
          <w:noProof/>
          <w:sz w:val="22"/>
          <w:lang w:val="en-US"/>
        </w:rPr>
        <w:t xml:space="preserve">, </w:t>
      </w:r>
      <w:r w:rsidRPr="000139B4">
        <w:rPr>
          <w:i/>
          <w:iCs/>
          <w:noProof/>
          <w:sz w:val="22"/>
          <w:lang w:val="en-US"/>
        </w:rPr>
        <w:t>5</w:t>
      </w:r>
      <w:r w:rsidRPr="000139B4">
        <w:rPr>
          <w:noProof/>
          <w:sz w:val="22"/>
          <w:lang w:val="en-US"/>
        </w:rPr>
        <w:t>(5), 459–464. https://doi.org/10.1038/nclimate2550</w:t>
      </w:r>
    </w:p>
    <w:p w14:paraId="26F554CF"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Linares, J. C., &amp; Camarero, J. J. (2012). From pattern to process: Linking intrinsic water-use efficiency to drought-induced forest decline. </w:t>
      </w:r>
      <w:r w:rsidRPr="000139B4">
        <w:rPr>
          <w:i/>
          <w:iCs/>
          <w:noProof/>
          <w:sz w:val="22"/>
          <w:lang w:val="en-US"/>
        </w:rPr>
        <w:t>Global Change Biology</w:t>
      </w:r>
      <w:r w:rsidRPr="000139B4">
        <w:rPr>
          <w:noProof/>
          <w:sz w:val="22"/>
          <w:lang w:val="en-US"/>
        </w:rPr>
        <w:t xml:space="preserve">, </w:t>
      </w:r>
      <w:r w:rsidRPr="000139B4">
        <w:rPr>
          <w:i/>
          <w:iCs/>
          <w:noProof/>
          <w:sz w:val="22"/>
          <w:lang w:val="en-US"/>
        </w:rPr>
        <w:t>18</w:t>
      </w:r>
      <w:r w:rsidRPr="000139B4">
        <w:rPr>
          <w:noProof/>
          <w:sz w:val="22"/>
          <w:lang w:val="en-US"/>
        </w:rPr>
        <w:t>(3), 1000–1015. https://doi.org/10.1111/j.1365-2486.2011.02566.x</w:t>
      </w:r>
    </w:p>
    <w:p w14:paraId="2CC34931"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Liu, Y., Xiao, J., Ju, W., Zhou, Y., Wang, S., &amp; Wu, X. (2015). Water use efficiency of China’s terrestrial ecosystems and responses to drought. </w:t>
      </w:r>
      <w:r w:rsidRPr="000139B4">
        <w:rPr>
          <w:i/>
          <w:iCs/>
          <w:noProof/>
          <w:sz w:val="22"/>
          <w:lang w:val="en-US"/>
        </w:rPr>
        <w:t>Scientific Reports</w:t>
      </w:r>
      <w:r w:rsidRPr="000139B4">
        <w:rPr>
          <w:noProof/>
          <w:sz w:val="22"/>
          <w:lang w:val="en-US"/>
        </w:rPr>
        <w:t xml:space="preserve">, </w:t>
      </w:r>
      <w:r w:rsidRPr="000139B4">
        <w:rPr>
          <w:i/>
          <w:iCs/>
          <w:noProof/>
          <w:sz w:val="22"/>
          <w:lang w:val="en-US"/>
        </w:rPr>
        <w:t>5</w:t>
      </w:r>
      <w:r w:rsidRPr="000139B4">
        <w:rPr>
          <w:noProof/>
          <w:sz w:val="22"/>
          <w:lang w:val="en-US"/>
        </w:rPr>
        <w:t>(1), 13799. https://doi.org/10.1038/srep13799</w:t>
      </w:r>
    </w:p>
    <w:p w14:paraId="5ADB94EC"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Long, S. P., &amp; Bernacchi, C. J. (2003). Gas exchange measurements, what can they tell us about the underlying limitations to photosynthesis? Procedures and sources of error. </w:t>
      </w:r>
      <w:r w:rsidRPr="000139B4">
        <w:rPr>
          <w:i/>
          <w:iCs/>
          <w:noProof/>
          <w:sz w:val="22"/>
          <w:lang w:val="en-US"/>
        </w:rPr>
        <w:t>Journal of Experimental Botany</w:t>
      </w:r>
      <w:r w:rsidRPr="000139B4">
        <w:rPr>
          <w:noProof/>
          <w:sz w:val="22"/>
          <w:lang w:val="en-US"/>
        </w:rPr>
        <w:t xml:space="preserve">, </w:t>
      </w:r>
      <w:r w:rsidRPr="000139B4">
        <w:rPr>
          <w:i/>
          <w:iCs/>
          <w:noProof/>
          <w:sz w:val="22"/>
          <w:lang w:val="en-US"/>
        </w:rPr>
        <w:t>54</w:t>
      </w:r>
      <w:r w:rsidRPr="000139B4">
        <w:rPr>
          <w:noProof/>
          <w:sz w:val="22"/>
          <w:lang w:val="en-US"/>
        </w:rPr>
        <w:t>(392), 2393–2401. https://doi.org/10.1093/jxb/erg262</w:t>
      </w:r>
    </w:p>
    <w:p w14:paraId="34ECFD73"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Mansfield, T. A. (1967). Stomatal behaviour following treatment with auxin-like substances and phenylmercuric acetate. </w:t>
      </w:r>
      <w:r w:rsidRPr="000139B4">
        <w:rPr>
          <w:i/>
          <w:iCs/>
          <w:noProof/>
          <w:sz w:val="22"/>
          <w:lang w:val="en-US"/>
        </w:rPr>
        <w:t>New Phytologist</w:t>
      </w:r>
      <w:r w:rsidRPr="000139B4">
        <w:rPr>
          <w:noProof/>
          <w:sz w:val="22"/>
          <w:lang w:val="en-US"/>
        </w:rPr>
        <w:t xml:space="preserve">, </w:t>
      </w:r>
      <w:r w:rsidRPr="000139B4">
        <w:rPr>
          <w:i/>
          <w:iCs/>
          <w:noProof/>
          <w:sz w:val="22"/>
          <w:lang w:val="en-US"/>
        </w:rPr>
        <w:t>66</w:t>
      </w:r>
      <w:r w:rsidRPr="000139B4">
        <w:rPr>
          <w:noProof/>
          <w:sz w:val="22"/>
          <w:lang w:val="en-US"/>
        </w:rPr>
        <w:t>(3), 325–330. https://doi.org/10.1111/j.1469-8137.1967.tb06011.x</w:t>
      </w:r>
    </w:p>
    <w:p w14:paraId="02C3E4D8"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Marshall, J. D., &amp; Monserud, R. A. (1996). Homeostatic gas-exchange parameters inferred from 13C/12C in tree rings of conifers. </w:t>
      </w:r>
      <w:r w:rsidRPr="000139B4">
        <w:rPr>
          <w:i/>
          <w:iCs/>
          <w:noProof/>
          <w:sz w:val="22"/>
          <w:lang w:val="en-US"/>
        </w:rPr>
        <w:t>Oecologia</w:t>
      </w:r>
      <w:r w:rsidRPr="000139B4">
        <w:rPr>
          <w:noProof/>
          <w:sz w:val="22"/>
          <w:lang w:val="en-US"/>
        </w:rPr>
        <w:t xml:space="preserve">, </w:t>
      </w:r>
      <w:r w:rsidRPr="000139B4">
        <w:rPr>
          <w:i/>
          <w:iCs/>
          <w:noProof/>
          <w:sz w:val="22"/>
          <w:lang w:val="en-US"/>
        </w:rPr>
        <w:t>105</w:t>
      </w:r>
      <w:r w:rsidRPr="000139B4">
        <w:rPr>
          <w:noProof/>
          <w:sz w:val="22"/>
          <w:lang w:val="en-US"/>
        </w:rPr>
        <w:t>(1), 13–21. https://doi.org/10.1007/BF00328786</w:t>
      </w:r>
    </w:p>
    <w:p w14:paraId="302EF18F"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Masle, J., Farquhar, G., &amp; Gifford, R. (1990). Growth and Carbon Economy of Wheat Seedlings as Affected by Soil Resistance to Penetration and Ambient Partial Pressure of CO2. </w:t>
      </w:r>
      <w:r w:rsidRPr="000139B4">
        <w:rPr>
          <w:i/>
          <w:iCs/>
          <w:noProof/>
          <w:sz w:val="22"/>
          <w:lang w:val="en-US"/>
        </w:rPr>
        <w:t>Functional Plant Biology</w:t>
      </w:r>
      <w:r w:rsidRPr="000139B4">
        <w:rPr>
          <w:noProof/>
          <w:sz w:val="22"/>
          <w:lang w:val="en-US"/>
        </w:rPr>
        <w:t xml:space="preserve">, </w:t>
      </w:r>
      <w:r w:rsidRPr="000139B4">
        <w:rPr>
          <w:i/>
          <w:iCs/>
          <w:noProof/>
          <w:sz w:val="22"/>
          <w:lang w:val="en-US"/>
        </w:rPr>
        <w:t>17</w:t>
      </w:r>
      <w:r w:rsidRPr="000139B4">
        <w:rPr>
          <w:noProof/>
          <w:sz w:val="22"/>
          <w:lang w:val="en-US"/>
        </w:rPr>
        <w:t>(4), 465. https://doi.org/10.1071/PP9900465</w:t>
      </w:r>
    </w:p>
    <w:p w14:paraId="13F5D28C"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Mastrotheodoros, T., Pappas, C., Molnar, P., Burlando, P., Keenan, T. F., Gentine, P., … Fatichi, S. (2017). Linking plant functional trait plasticity and the large increase in forest water use efficiency. </w:t>
      </w:r>
      <w:r w:rsidRPr="000139B4">
        <w:rPr>
          <w:i/>
          <w:iCs/>
          <w:noProof/>
          <w:sz w:val="22"/>
          <w:lang w:val="en-US"/>
        </w:rPr>
        <w:t>Journal of Geophysical Research: Biogeosciences</w:t>
      </w:r>
      <w:r w:rsidRPr="000139B4">
        <w:rPr>
          <w:noProof/>
          <w:sz w:val="22"/>
          <w:lang w:val="en-US"/>
        </w:rPr>
        <w:t xml:space="preserve">, </w:t>
      </w:r>
      <w:r w:rsidRPr="000139B4">
        <w:rPr>
          <w:i/>
          <w:iCs/>
          <w:noProof/>
          <w:sz w:val="22"/>
          <w:lang w:val="en-US"/>
        </w:rPr>
        <w:t>122</w:t>
      </w:r>
      <w:r w:rsidRPr="000139B4">
        <w:rPr>
          <w:noProof/>
          <w:sz w:val="22"/>
          <w:lang w:val="en-US"/>
        </w:rPr>
        <w:t>(9), 2393–2408. https://doi.org/10.1002/2017JG003890</w:t>
      </w:r>
    </w:p>
    <w:p w14:paraId="589AF5F0"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McCarroll, D., Gagen, M. H., Loader, N. J., Robertson, I., Anchukaitis, K. J., Los, S., … Waterhouse, J. S. (2009). Correction of tree ring stable carbon isotope chronologies for changes in the carbon dioxide content of the atmosphere. </w:t>
      </w:r>
      <w:r w:rsidRPr="000139B4">
        <w:rPr>
          <w:i/>
          <w:iCs/>
          <w:noProof/>
          <w:sz w:val="22"/>
          <w:lang w:val="en-US"/>
        </w:rPr>
        <w:t>Geochimica et Cosmochimica Acta</w:t>
      </w:r>
      <w:r w:rsidRPr="000139B4">
        <w:rPr>
          <w:noProof/>
          <w:sz w:val="22"/>
          <w:lang w:val="en-US"/>
        </w:rPr>
        <w:t xml:space="preserve">, </w:t>
      </w:r>
      <w:r w:rsidRPr="000139B4">
        <w:rPr>
          <w:i/>
          <w:iCs/>
          <w:noProof/>
          <w:sz w:val="22"/>
          <w:lang w:val="en-US"/>
        </w:rPr>
        <w:t>73</w:t>
      </w:r>
      <w:r w:rsidRPr="000139B4">
        <w:rPr>
          <w:noProof/>
          <w:sz w:val="22"/>
          <w:lang w:val="en-US"/>
        </w:rPr>
        <w:t>(6), 1539–1547. https://doi.org/10.1016/j.gca.2008.11.041</w:t>
      </w:r>
    </w:p>
    <w:p w14:paraId="4BD9D10D"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McDowell, N. G., Beerling, D. J., Breshears, D. D., Fisher, R. A., Raffa, K. F., &amp; Stitt, M. (2011). The interdependence of mechanisms underlying climate-driven vegetation mortality. </w:t>
      </w:r>
      <w:r w:rsidRPr="000139B4">
        <w:rPr>
          <w:i/>
          <w:iCs/>
          <w:noProof/>
          <w:sz w:val="22"/>
          <w:lang w:val="en-US"/>
        </w:rPr>
        <w:t>Trends in Ecology and Evolution</w:t>
      </w:r>
      <w:r w:rsidRPr="000139B4">
        <w:rPr>
          <w:noProof/>
          <w:sz w:val="22"/>
          <w:lang w:val="en-US"/>
        </w:rPr>
        <w:t xml:space="preserve">, </w:t>
      </w:r>
      <w:r w:rsidRPr="000139B4">
        <w:rPr>
          <w:i/>
          <w:iCs/>
          <w:noProof/>
          <w:sz w:val="22"/>
          <w:lang w:val="en-US"/>
        </w:rPr>
        <w:t>26</w:t>
      </w:r>
      <w:r w:rsidRPr="000139B4">
        <w:rPr>
          <w:noProof/>
          <w:sz w:val="22"/>
          <w:lang w:val="en-US"/>
        </w:rPr>
        <w:t>(10), 523–532. https://doi.org/10.1016/j.tree.2011.06.003</w:t>
      </w:r>
    </w:p>
    <w:p w14:paraId="7E35C9E4"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McNaughton, K., &amp; Black, T. (1973). A study of evapotranspiration from a Douglas fir forest using the energy balance approach. </w:t>
      </w:r>
      <w:r w:rsidRPr="000139B4">
        <w:rPr>
          <w:i/>
          <w:iCs/>
          <w:noProof/>
          <w:sz w:val="22"/>
          <w:lang w:val="en-US"/>
        </w:rPr>
        <w:t>Water Resources Research</w:t>
      </w:r>
      <w:r w:rsidRPr="000139B4">
        <w:rPr>
          <w:noProof/>
          <w:sz w:val="22"/>
          <w:lang w:val="en-US"/>
        </w:rPr>
        <w:t xml:space="preserve">, </w:t>
      </w:r>
      <w:r w:rsidRPr="000139B4">
        <w:rPr>
          <w:i/>
          <w:iCs/>
          <w:noProof/>
          <w:sz w:val="22"/>
          <w:lang w:val="en-US"/>
        </w:rPr>
        <w:t>9</w:t>
      </w:r>
      <w:r w:rsidRPr="000139B4">
        <w:rPr>
          <w:noProof/>
          <w:sz w:val="22"/>
          <w:lang w:val="en-US"/>
        </w:rPr>
        <w:t>(6), 1579–1590. https://doi.org/https://doi.org/10.1029/ WR009i006p01579</w:t>
      </w:r>
    </w:p>
    <w:p w14:paraId="708F3ECA"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Medlyn, B. E., &amp; De Kauwe, M. (2013). Biogeochemistry: Carbon dioxide and water use in forests. </w:t>
      </w:r>
      <w:r w:rsidRPr="000139B4">
        <w:rPr>
          <w:i/>
          <w:iCs/>
          <w:noProof/>
          <w:sz w:val="22"/>
          <w:lang w:val="en-US"/>
        </w:rPr>
        <w:t>Nature</w:t>
      </w:r>
      <w:r w:rsidRPr="000139B4">
        <w:rPr>
          <w:noProof/>
          <w:sz w:val="22"/>
          <w:lang w:val="en-US"/>
        </w:rPr>
        <w:t xml:space="preserve">, </w:t>
      </w:r>
      <w:r w:rsidRPr="000139B4">
        <w:rPr>
          <w:i/>
          <w:iCs/>
          <w:noProof/>
          <w:sz w:val="22"/>
          <w:lang w:val="en-US"/>
        </w:rPr>
        <w:t>499</w:t>
      </w:r>
      <w:r w:rsidRPr="000139B4">
        <w:rPr>
          <w:noProof/>
          <w:sz w:val="22"/>
          <w:lang w:val="en-US"/>
        </w:rPr>
        <w:t>(7458), 287–289. https://doi.org/10.1038/nature12411</w:t>
      </w:r>
    </w:p>
    <w:p w14:paraId="4268BB1A"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Medlyn, B. E., De Kauwe, M. G., Lin, Y. S., Knauer, J., Duursma, R. A., Williams, C. A., … Wingate, L. (2017). How do leaf and ecosystem measures of water-use efficiency compare? </w:t>
      </w:r>
      <w:r w:rsidRPr="000139B4">
        <w:rPr>
          <w:i/>
          <w:iCs/>
          <w:noProof/>
          <w:sz w:val="22"/>
          <w:lang w:val="en-US"/>
        </w:rPr>
        <w:t>New Phytologist</w:t>
      </w:r>
      <w:r w:rsidRPr="000139B4">
        <w:rPr>
          <w:noProof/>
          <w:sz w:val="22"/>
          <w:lang w:val="en-US"/>
        </w:rPr>
        <w:t>. https://doi.org/10.1111/nph.14626</w:t>
      </w:r>
    </w:p>
    <w:p w14:paraId="46DEA7B1"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Medlyn, B. E., De Kauwe, M. G., Zaehle, S., Walker, A. P., Duursma, R. A., Luus, K., … Ellsworth, D. S. (2016). Using models to guide field experiments: a priori predictions for the CO2 response of a nutrient- and water-limited native Eucalypt woodland. </w:t>
      </w:r>
      <w:r w:rsidRPr="000139B4">
        <w:rPr>
          <w:i/>
          <w:iCs/>
          <w:noProof/>
          <w:sz w:val="22"/>
          <w:lang w:val="en-US"/>
        </w:rPr>
        <w:t>Global Change Biology</w:t>
      </w:r>
      <w:r w:rsidRPr="000139B4">
        <w:rPr>
          <w:noProof/>
          <w:sz w:val="22"/>
          <w:lang w:val="en-US"/>
        </w:rPr>
        <w:t xml:space="preserve">, </w:t>
      </w:r>
      <w:r w:rsidRPr="000139B4">
        <w:rPr>
          <w:i/>
          <w:iCs/>
          <w:noProof/>
          <w:sz w:val="22"/>
          <w:lang w:val="en-US"/>
        </w:rPr>
        <w:t>22</w:t>
      </w:r>
      <w:r w:rsidRPr="000139B4">
        <w:rPr>
          <w:noProof/>
          <w:sz w:val="22"/>
          <w:lang w:val="en-US"/>
        </w:rPr>
        <w:t>(8), 2834–2851. https://doi.org/10.1111/gcb.13268</w:t>
      </w:r>
    </w:p>
    <w:p w14:paraId="66D40392"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Monteith, J. L. (1965). Evaporation and Environment. </w:t>
      </w:r>
      <w:r w:rsidRPr="000139B4">
        <w:rPr>
          <w:i/>
          <w:iCs/>
          <w:noProof/>
          <w:sz w:val="22"/>
          <w:lang w:val="en-US"/>
        </w:rPr>
        <w:t>Symposia of the Society for Experimental Biology</w:t>
      </w:r>
      <w:r w:rsidRPr="000139B4">
        <w:rPr>
          <w:noProof/>
          <w:sz w:val="22"/>
          <w:lang w:val="en-US"/>
        </w:rPr>
        <w:t xml:space="preserve">, </w:t>
      </w:r>
      <w:r w:rsidRPr="000139B4">
        <w:rPr>
          <w:i/>
          <w:iCs/>
          <w:noProof/>
          <w:sz w:val="22"/>
          <w:lang w:val="en-US"/>
        </w:rPr>
        <w:t>19</w:t>
      </w:r>
      <w:r w:rsidRPr="000139B4">
        <w:rPr>
          <w:noProof/>
          <w:sz w:val="22"/>
          <w:lang w:val="en-US"/>
        </w:rPr>
        <w:t>, 205–234.</w:t>
      </w:r>
    </w:p>
    <w:p w14:paraId="6E99E2CF"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Morison, J. (1985). Sensitivity of stomata and water use efficiency to high CO2. </w:t>
      </w:r>
      <w:r w:rsidRPr="000139B4">
        <w:rPr>
          <w:i/>
          <w:iCs/>
          <w:noProof/>
          <w:sz w:val="22"/>
          <w:lang w:val="en-US"/>
        </w:rPr>
        <w:t>Plant, Cell and Environment</w:t>
      </w:r>
      <w:r w:rsidRPr="000139B4">
        <w:rPr>
          <w:noProof/>
          <w:sz w:val="22"/>
          <w:lang w:val="en-US"/>
        </w:rPr>
        <w:t xml:space="preserve">, </w:t>
      </w:r>
      <w:r w:rsidRPr="000139B4">
        <w:rPr>
          <w:i/>
          <w:iCs/>
          <w:noProof/>
          <w:sz w:val="22"/>
          <w:lang w:val="en-US"/>
        </w:rPr>
        <w:t>8</w:t>
      </w:r>
      <w:r w:rsidRPr="000139B4">
        <w:rPr>
          <w:noProof/>
          <w:sz w:val="22"/>
          <w:lang w:val="en-US"/>
        </w:rPr>
        <w:t>(6), 467–474. https://doi.org/10.1111/j.1365-3040.1985.tb01682.x</w:t>
      </w:r>
    </w:p>
    <w:p w14:paraId="209F192F"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Niinemets, Ü., Díaz-Espejo, A., Flexas, J., Galmés, J., &amp; Warren, C. R. (2009). Role of mesophyll diffusion conductance in constraining potential photosynthetic productivity in the field. </w:t>
      </w:r>
      <w:r w:rsidRPr="000139B4">
        <w:rPr>
          <w:i/>
          <w:iCs/>
          <w:noProof/>
          <w:sz w:val="22"/>
          <w:lang w:val="en-US"/>
        </w:rPr>
        <w:t>Journal of Experimental Botany</w:t>
      </w:r>
      <w:r w:rsidRPr="000139B4">
        <w:rPr>
          <w:noProof/>
          <w:sz w:val="22"/>
          <w:lang w:val="en-US"/>
        </w:rPr>
        <w:t xml:space="preserve">, </w:t>
      </w:r>
      <w:r w:rsidRPr="000139B4">
        <w:rPr>
          <w:i/>
          <w:iCs/>
          <w:noProof/>
          <w:sz w:val="22"/>
          <w:lang w:val="en-US"/>
        </w:rPr>
        <w:t>60</w:t>
      </w:r>
      <w:r w:rsidRPr="000139B4">
        <w:rPr>
          <w:noProof/>
          <w:sz w:val="22"/>
          <w:lang w:val="en-US"/>
        </w:rPr>
        <w:t>(8), 2249–2270. https://doi.org/10.1093/jxb/erp036</w:t>
      </w:r>
    </w:p>
    <w:p w14:paraId="1295EED4"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Niinemets, Ü., Flexas, J., &amp; Peñuelas, J. (2011). Evergreens favored by higher responsiveness to increased CO2. </w:t>
      </w:r>
      <w:r w:rsidRPr="000139B4">
        <w:rPr>
          <w:i/>
          <w:iCs/>
          <w:noProof/>
          <w:sz w:val="22"/>
          <w:lang w:val="en-US"/>
        </w:rPr>
        <w:t>Trends in Ecology and Evolution</w:t>
      </w:r>
      <w:r w:rsidRPr="000139B4">
        <w:rPr>
          <w:noProof/>
          <w:sz w:val="22"/>
          <w:lang w:val="en-US"/>
        </w:rPr>
        <w:t>. https://doi.org/10.1016/j.tree.2010.12.012</w:t>
      </w:r>
    </w:p>
    <w:p w14:paraId="1CF7EAD3"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Norby, R., Wullschleger, S. D., Gunderson, C., Johnson, D., &amp; Ceulemans, R. (1999). Tree responses to rising CO2 in field experiments: implications for the future forest. </w:t>
      </w:r>
      <w:r w:rsidRPr="000139B4">
        <w:rPr>
          <w:i/>
          <w:iCs/>
          <w:noProof/>
          <w:sz w:val="22"/>
          <w:lang w:val="en-US"/>
        </w:rPr>
        <w:t>Plant, Cell and Environment</w:t>
      </w:r>
      <w:r w:rsidRPr="000139B4">
        <w:rPr>
          <w:noProof/>
          <w:sz w:val="22"/>
          <w:lang w:val="en-US"/>
        </w:rPr>
        <w:t xml:space="preserve">, </w:t>
      </w:r>
      <w:r w:rsidRPr="000139B4">
        <w:rPr>
          <w:i/>
          <w:iCs/>
          <w:noProof/>
          <w:sz w:val="22"/>
          <w:lang w:val="en-US"/>
        </w:rPr>
        <w:t>22</w:t>
      </w:r>
      <w:r w:rsidRPr="000139B4">
        <w:rPr>
          <w:noProof/>
          <w:sz w:val="22"/>
          <w:lang w:val="en-US"/>
        </w:rPr>
        <w:t>(6), 683–714. https://doi.org/10.1046/j.1365-3040.1999.00391.x</w:t>
      </w:r>
    </w:p>
    <w:p w14:paraId="6DF84FC8"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Parazoo, N. C., Bowman, K., Fisher, J. B., Frankenberg, C., Jones, D. B. A., Cescatti, A., … Montagnani, L. (2014). Terrestrial gross primary production inferred from satellite fluorescence and vegetation models. </w:t>
      </w:r>
      <w:r w:rsidRPr="000139B4">
        <w:rPr>
          <w:i/>
          <w:iCs/>
          <w:noProof/>
          <w:sz w:val="22"/>
          <w:lang w:val="en-US"/>
        </w:rPr>
        <w:t>Global Change Biology</w:t>
      </w:r>
      <w:r w:rsidRPr="000139B4">
        <w:rPr>
          <w:noProof/>
          <w:sz w:val="22"/>
          <w:lang w:val="en-US"/>
        </w:rPr>
        <w:t xml:space="preserve">, </w:t>
      </w:r>
      <w:r w:rsidRPr="000139B4">
        <w:rPr>
          <w:i/>
          <w:iCs/>
          <w:noProof/>
          <w:sz w:val="22"/>
          <w:lang w:val="en-US"/>
        </w:rPr>
        <w:t>20</w:t>
      </w:r>
      <w:r w:rsidRPr="000139B4">
        <w:rPr>
          <w:noProof/>
          <w:sz w:val="22"/>
          <w:lang w:val="en-US"/>
        </w:rPr>
        <w:t>(10), 3103–3121. https://doi.org/10.1111/gcb.12652</w:t>
      </w:r>
    </w:p>
    <w:p w14:paraId="6A198F29"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Park, R., &amp; Epstein, S. (1960). Carbon isotope fractionation during photosynthesis. </w:t>
      </w:r>
      <w:r w:rsidRPr="000139B4">
        <w:rPr>
          <w:i/>
          <w:iCs/>
          <w:noProof/>
          <w:sz w:val="22"/>
          <w:lang w:val="en-US"/>
        </w:rPr>
        <w:t>Geochimica et Cosmochimica Acta</w:t>
      </w:r>
      <w:r w:rsidRPr="000139B4">
        <w:rPr>
          <w:noProof/>
          <w:sz w:val="22"/>
          <w:lang w:val="en-US"/>
        </w:rPr>
        <w:t xml:space="preserve">, </w:t>
      </w:r>
      <w:r w:rsidRPr="000139B4">
        <w:rPr>
          <w:i/>
          <w:iCs/>
          <w:noProof/>
          <w:sz w:val="22"/>
          <w:lang w:val="en-US"/>
        </w:rPr>
        <w:t>21</w:t>
      </w:r>
      <w:r w:rsidRPr="000139B4">
        <w:rPr>
          <w:noProof/>
          <w:sz w:val="22"/>
          <w:lang w:val="en-US"/>
        </w:rPr>
        <w:t>, 110–226.</w:t>
      </w:r>
    </w:p>
    <w:p w14:paraId="7195FA1F"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Peñuelas, J., Canadell, J. G., &amp; Ogaya, R. (2011). Increased water-use efficiency during the 20th century did not translate into enhanced tree growth. </w:t>
      </w:r>
      <w:r w:rsidRPr="000139B4">
        <w:rPr>
          <w:i/>
          <w:iCs/>
          <w:noProof/>
          <w:sz w:val="22"/>
          <w:lang w:val="en-US"/>
        </w:rPr>
        <w:t>Global Ecology and Biogeography</w:t>
      </w:r>
      <w:r w:rsidRPr="000139B4">
        <w:rPr>
          <w:noProof/>
          <w:sz w:val="22"/>
          <w:lang w:val="en-US"/>
        </w:rPr>
        <w:t xml:space="preserve">, </w:t>
      </w:r>
      <w:r w:rsidRPr="000139B4">
        <w:rPr>
          <w:i/>
          <w:iCs/>
          <w:noProof/>
          <w:sz w:val="22"/>
          <w:lang w:val="en-US"/>
        </w:rPr>
        <w:t>20</w:t>
      </w:r>
      <w:r w:rsidRPr="000139B4">
        <w:rPr>
          <w:noProof/>
          <w:sz w:val="22"/>
          <w:lang w:val="en-US"/>
        </w:rPr>
        <w:t>, 597–608. https://doi.org/10.1111/j.1466-8238.2010.00608.x</w:t>
      </w:r>
    </w:p>
    <w:p w14:paraId="21A97C7D"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Polley, H. W., Johnson, H. B., Marinot, B. D., &amp; Mayeux, H. S. (1993). Increase in C3 plant water-use efficiency and biomass over Glacial to present C02 concentrations. </w:t>
      </w:r>
      <w:r w:rsidRPr="000139B4">
        <w:rPr>
          <w:i/>
          <w:iCs/>
          <w:noProof/>
          <w:sz w:val="22"/>
          <w:lang w:val="en-US"/>
        </w:rPr>
        <w:t>Nature</w:t>
      </w:r>
      <w:r w:rsidRPr="000139B4">
        <w:rPr>
          <w:noProof/>
          <w:sz w:val="22"/>
          <w:lang w:val="en-US"/>
        </w:rPr>
        <w:t xml:space="preserve">, </w:t>
      </w:r>
      <w:r w:rsidRPr="000139B4">
        <w:rPr>
          <w:i/>
          <w:iCs/>
          <w:noProof/>
          <w:sz w:val="22"/>
          <w:lang w:val="en-US"/>
        </w:rPr>
        <w:t>361</w:t>
      </w:r>
      <w:r w:rsidRPr="000139B4">
        <w:rPr>
          <w:noProof/>
          <w:sz w:val="22"/>
          <w:lang w:val="en-US"/>
        </w:rPr>
        <w:t>(6407), 61–64. https://doi.org/10.1038/361061a0</w:t>
      </w:r>
    </w:p>
    <w:p w14:paraId="7E197962"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Raczka, B., Duarte, H. F., Koven, C. D., Ricciuto, D., Thornton, P. E., Lin, J. C., &amp; Bowling, D. R. (2016). An observational constraint on stomatal function in forests: Evaluating coupled carbon and water vapor exchange with carbon isotopes in the Community Land Model (CLM4.5). </w:t>
      </w:r>
      <w:r w:rsidRPr="000139B4">
        <w:rPr>
          <w:i/>
          <w:iCs/>
          <w:noProof/>
          <w:sz w:val="22"/>
          <w:lang w:val="en-US"/>
        </w:rPr>
        <w:t>Biogeosciences</w:t>
      </w:r>
      <w:r w:rsidRPr="000139B4">
        <w:rPr>
          <w:noProof/>
          <w:sz w:val="22"/>
          <w:lang w:val="en-US"/>
        </w:rPr>
        <w:t xml:space="preserve">, </w:t>
      </w:r>
      <w:r w:rsidRPr="000139B4">
        <w:rPr>
          <w:i/>
          <w:iCs/>
          <w:noProof/>
          <w:sz w:val="22"/>
          <w:lang w:val="en-US"/>
        </w:rPr>
        <w:t>13</w:t>
      </w:r>
      <w:r w:rsidRPr="000139B4">
        <w:rPr>
          <w:noProof/>
          <w:sz w:val="22"/>
          <w:lang w:val="en-US"/>
        </w:rPr>
        <w:t>(18), 5183–5204. https://doi.org/10.5194/bg-13-5183-2016</w:t>
      </w:r>
    </w:p>
    <w:p w14:paraId="3252AAB9"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Reichstein, M., Stoy, P. C., Desai, A. R., Lasslop, G., &amp; Richardson, A. D. (2012). Partitioning of net fluxes. In </w:t>
      </w:r>
      <w:r w:rsidRPr="000139B4">
        <w:rPr>
          <w:i/>
          <w:iCs/>
          <w:noProof/>
          <w:sz w:val="22"/>
          <w:lang w:val="en-US"/>
        </w:rPr>
        <w:t>Eddy Covariance: A Practical Guide to Measurement and Data Analysis</w:t>
      </w:r>
      <w:r w:rsidRPr="000139B4">
        <w:rPr>
          <w:noProof/>
          <w:sz w:val="22"/>
          <w:lang w:val="en-US"/>
        </w:rPr>
        <w:t xml:space="preserve"> (pp. 263–289). https://doi.org/10.1007/978-94-007-2351-1</w:t>
      </w:r>
    </w:p>
    <w:p w14:paraId="286C5A71"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Richardson, A., Aubinet, M., Barr, A., Hollinger, D., Ibrom, A., Lasslop, G., &amp; Al., E. (2012). Uncertainty quantification. In </w:t>
      </w:r>
      <w:r w:rsidRPr="000139B4">
        <w:rPr>
          <w:i/>
          <w:iCs/>
          <w:noProof/>
          <w:sz w:val="22"/>
          <w:lang w:val="en-US"/>
        </w:rPr>
        <w:t>Eddy Covariance</w:t>
      </w:r>
      <w:r w:rsidRPr="000139B4">
        <w:rPr>
          <w:noProof/>
          <w:sz w:val="22"/>
          <w:lang w:val="en-US"/>
        </w:rPr>
        <w:t xml:space="preserve"> (pp. 173–209). Springer.</w:t>
      </w:r>
    </w:p>
    <w:p w14:paraId="5FD675B8"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Rinne, K. T., Saurer, M., Kirdyanov, A. V., Loader, N. J., Bryukhanova, M. V., Werner, R. A., &amp; Siegwolf, R. T. W. (2015). The relationship between needle sugar carbon isotope ratios and tree rings of larch in Siberia. </w:t>
      </w:r>
      <w:r w:rsidRPr="000139B4">
        <w:rPr>
          <w:i/>
          <w:iCs/>
          <w:noProof/>
          <w:sz w:val="22"/>
          <w:lang w:val="en-US"/>
        </w:rPr>
        <w:t>Tree Physiology</w:t>
      </w:r>
      <w:r w:rsidRPr="000139B4">
        <w:rPr>
          <w:noProof/>
          <w:sz w:val="22"/>
          <w:lang w:val="en-US"/>
        </w:rPr>
        <w:t xml:space="preserve">, </w:t>
      </w:r>
      <w:r w:rsidRPr="000139B4">
        <w:rPr>
          <w:i/>
          <w:iCs/>
          <w:noProof/>
          <w:sz w:val="22"/>
          <w:lang w:val="en-US"/>
        </w:rPr>
        <w:t>35</w:t>
      </w:r>
      <w:r w:rsidRPr="000139B4">
        <w:rPr>
          <w:noProof/>
          <w:sz w:val="22"/>
          <w:lang w:val="en-US"/>
        </w:rPr>
        <w:t>(11), 1192–1205. https://doi.org/10.1093/treephys/tpv096</w:t>
      </w:r>
    </w:p>
    <w:p w14:paraId="416EF76C"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Saurer, M., Siegwolf, R. T. W., &amp; Schweingruber, F. H. (2004). Carbon isotope discrimination indicates improving water-use efficiency of trees in northern Eurasia over the last 100 years. </w:t>
      </w:r>
      <w:r w:rsidRPr="000139B4">
        <w:rPr>
          <w:i/>
          <w:iCs/>
          <w:noProof/>
          <w:sz w:val="22"/>
          <w:lang w:val="en-US"/>
        </w:rPr>
        <w:t>Global Change Biology</w:t>
      </w:r>
      <w:r w:rsidRPr="000139B4">
        <w:rPr>
          <w:noProof/>
          <w:sz w:val="22"/>
          <w:lang w:val="en-US"/>
        </w:rPr>
        <w:t xml:space="preserve">, </w:t>
      </w:r>
      <w:r w:rsidRPr="000139B4">
        <w:rPr>
          <w:i/>
          <w:iCs/>
          <w:noProof/>
          <w:sz w:val="22"/>
          <w:lang w:val="en-US"/>
        </w:rPr>
        <w:t>10</w:t>
      </w:r>
      <w:r w:rsidRPr="000139B4">
        <w:rPr>
          <w:noProof/>
          <w:sz w:val="22"/>
          <w:lang w:val="en-US"/>
        </w:rPr>
        <w:t>, 2109–2120. https://doi.org/10.1111/j.1365-2486.2004.00869.x</w:t>
      </w:r>
    </w:p>
    <w:p w14:paraId="5916D36F"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Saurer, M., Spahni, R., Frank, D. C., Joos, F., Leuenberger, M., Loader, N. J., … Young, G. H. F. (2014). Spatial variability and temporal trends in water-use efficiency of European forests. </w:t>
      </w:r>
      <w:r w:rsidRPr="000139B4">
        <w:rPr>
          <w:i/>
          <w:iCs/>
          <w:noProof/>
          <w:sz w:val="22"/>
          <w:lang w:val="en-US"/>
        </w:rPr>
        <w:t>Global Change Biology</w:t>
      </w:r>
      <w:r w:rsidRPr="000139B4">
        <w:rPr>
          <w:noProof/>
          <w:sz w:val="22"/>
          <w:lang w:val="en-US"/>
        </w:rPr>
        <w:t xml:space="preserve">, </w:t>
      </w:r>
      <w:r w:rsidRPr="000139B4">
        <w:rPr>
          <w:i/>
          <w:iCs/>
          <w:noProof/>
          <w:sz w:val="22"/>
          <w:lang w:val="en-US"/>
        </w:rPr>
        <w:t>20</w:t>
      </w:r>
      <w:r w:rsidRPr="000139B4">
        <w:rPr>
          <w:noProof/>
          <w:sz w:val="22"/>
          <w:lang w:val="en-US"/>
        </w:rPr>
        <w:t>(12), 3700–3712. https://doi.org/10.1111/gcb.12717</w:t>
      </w:r>
    </w:p>
    <w:p w14:paraId="5BBA2410"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Saxe, H., Ellsworth, D. S., &amp; Heath, J. (1998). Tree and forest functioning in an enriched CO2 atmosphere. </w:t>
      </w:r>
      <w:r w:rsidRPr="000139B4">
        <w:rPr>
          <w:i/>
          <w:iCs/>
          <w:noProof/>
          <w:sz w:val="22"/>
          <w:lang w:val="en-US"/>
        </w:rPr>
        <w:t>New Phytologist</w:t>
      </w:r>
      <w:r w:rsidRPr="000139B4">
        <w:rPr>
          <w:noProof/>
          <w:sz w:val="22"/>
          <w:lang w:val="en-US"/>
        </w:rPr>
        <w:t>. https://doi.org/10.1046/j.1469-8137.1998.00221.x</w:t>
      </w:r>
    </w:p>
    <w:p w14:paraId="0F065262"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Scartazza, A., Vaccari, F. P., Bertolini, T., Di Tommasi, P., Lauteri, M., Miglietta, F., &amp; Brugnoli, E. (2014). Comparing integrated stable isotope and eddy covariance estimates of water-use efficiency on a Mediterranean successional sequence. </w:t>
      </w:r>
      <w:r w:rsidRPr="000139B4">
        <w:rPr>
          <w:i/>
          <w:iCs/>
          <w:noProof/>
          <w:sz w:val="22"/>
          <w:lang w:val="en-US"/>
        </w:rPr>
        <w:t>Oecologia</w:t>
      </w:r>
      <w:r w:rsidRPr="000139B4">
        <w:rPr>
          <w:noProof/>
          <w:sz w:val="22"/>
          <w:lang w:val="en-US"/>
        </w:rPr>
        <w:t xml:space="preserve">, </w:t>
      </w:r>
      <w:r w:rsidRPr="000139B4">
        <w:rPr>
          <w:i/>
          <w:iCs/>
          <w:noProof/>
          <w:sz w:val="22"/>
          <w:lang w:val="en-US"/>
        </w:rPr>
        <w:t>176</w:t>
      </w:r>
      <w:r w:rsidRPr="000139B4">
        <w:rPr>
          <w:noProof/>
          <w:sz w:val="22"/>
          <w:lang w:val="en-US"/>
        </w:rPr>
        <w:t>(2), 581–594. https://doi.org/10.1007/s00442-014-3027-2</w:t>
      </w:r>
    </w:p>
    <w:p w14:paraId="0093218B"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Scholze, M., Ciais, P., &amp; Heimann, M. (2008). Modeling terrestrial 13C cycling: Climate, land use and fire. </w:t>
      </w:r>
      <w:r w:rsidRPr="000139B4">
        <w:rPr>
          <w:i/>
          <w:iCs/>
          <w:noProof/>
          <w:sz w:val="22"/>
          <w:lang w:val="en-US"/>
        </w:rPr>
        <w:t>Global Biogeochemical Cycles</w:t>
      </w:r>
      <w:r w:rsidRPr="000139B4">
        <w:rPr>
          <w:noProof/>
          <w:sz w:val="22"/>
          <w:lang w:val="en-US"/>
        </w:rPr>
        <w:t xml:space="preserve">, </w:t>
      </w:r>
      <w:r w:rsidRPr="000139B4">
        <w:rPr>
          <w:i/>
          <w:iCs/>
          <w:noProof/>
          <w:sz w:val="22"/>
          <w:lang w:val="en-US"/>
        </w:rPr>
        <w:t>22</w:t>
      </w:r>
      <w:r w:rsidRPr="000139B4">
        <w:rPr>
          <w:noProof/>
          <w:sz w:val="22"/>
          <w:lang w:val="en-US"/>
        </w:rPr>
        <w:t>(1), 1–13. https://doi.org/10.1029/2006GB002899</w:t>
      </w:r>
    </w:p>
    <w:p w14:paraId="277A7DDB"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Schubert, B. A., &amp; Jahren, A. H. (2012). The effect of atmospheric CO2 concentration on carbon isotope fractionation in C3 land plants. </w:t>
      </w:r>
      <w:r w:rsidRPr="000139B4">
        <w:rPr>
          <w:i/>
          <w:iCs/>
          <w:noProof/>
          <w:sz w:val="22"/>
          <w:lang w:val="en-US"/>
        </w:rPr>
        <w:t>Geochimica et Cosmochimica Acta</w:t>
      </w:r>
      <w:r w:rsidRPr="000139B4">
        <w:rPr>
          <w:noProof/>
          <w:sz w:val="22"/>
          <w:lang w:val="en-US"/>
        </w:rPr>
        <w:t xml:space="preserve">, </w:t>
      </w:r>
      <w:r w:rsidRPr="000139B4">
        <w:rPr>
          <w:i/>
          <w:iCs/>
          <w:noProof/>
          <w:sz w:val="22"/>
          <w:lang w:val="en-US"/>
        </w:rPr>
        <w:t>96</w:t>
      </w:r>
      <w:r w:rsidRPr="000139B4">
        <w:rPr>
          <w:noProof/>
          <w:sz w:val="22"/>
          <w:lang w:val="en-US"/>
        </w:rPr>
        <w:t>, 29–43. https://doi.org/10.1016/j.gca.2012.08.003</w:t>
      </w:r>
    </w:p>
    <w:p w14:paraId="213B026B"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Schubert, B. A., &amp; Jahren, A. H. (2018). Incorporating the effects of photorespiration into terrestrial paleoclimate reconstruction. </w:t>
      </w:r>
      <w:r w:rsidRPr="000139B4">
        <w:rPr>
          <w:i/>
          <w:iCs/>
          <w:noProof/>
          <w:sz w:val="22"/>
          <w:lang w:val="en-US"/>
        </w:rPr>
        <w:t>Earth-Science Reviews</w:t>
      </w:r>
      <w:r w:rsidRPr="000139B4">
        <w:rPr>
          <w:noProof/>
          <w:sz w:val="22"/>
          <w:lang w:val="en-US"/>
        </w:rPr>
        <w:t xml:space="preserve">, </w:t>
      </w:r>
      <w:r w:rsidRPr="000139B4">
        <w:rPr>
          <w:i/>
          <w:iCs/>
          <w:noProof/>
          <w:sz w:val="22"/>
          <w:lang w:val="en-US"/>
        </w:rPr>
        <w:t>177</w:t>
      </w:r>
      <w:r w:rsidRPr="000139B4">
        <w:rPr>
          <w:noProof/>
          <w:sz w:val="22"/>
          <w:lang w:val="en-US"/>
        </w:rPr>
        <w:t>, 637–642. https://doi.org/10.1016/j.earscirev.2017.12.008</w:t>
      </w:r>
    </w:p>
    <w:p w14:paraId="6FD88943"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Seibt, U., Rajabi, A., Griffiths, H., &amp; Berry, J. A. (2008). Carbon isotopes and water use efficiency: Sense and sensitivity. </w:t>
      </w:r>
      <w:r w:rsidRPr="000139B4">
        <w:rPr>
          <w:i/>
          <w:iCs/>
          <w:noProof/>
          <w:sz w:val="22"/>
          <w:lang w:val="en-US"/>
        </w:rPr>
        <w:t>Oecologia</w:t>
      </w:r>
      <w:r w:rsidRPr="000139B4">
        <w:rPr>
          <w:noProof/>
          <w:sz w:val="22"/>
          <w:lang w:val="en-US"/>
        </w:rPr>
        <w:t>. https://doi.org/10.1007/s00442-007-0932-7</w:t>
      </w:r>
    </w:p>
    <w:p w14:paraId="6116D559"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Silva, L. C. R., &amp; Anand, M. (2013). Probing for the influence of atmospheric CO2 and climate change on forest ecosystems across biomes. </w:t>
      </w:r>
      <w:r w:rsidRPr="000139B4">
        <w:rPr>
          <w:i/>
          <w:iCs/>
          <w:noProof/>
          <w:sz w:val="22"/>
          <w:lang w:val="en-US"/>
        </w:rPr>
        <w:t>Global Ecology and Biogeography</w:t>
      </w:r>
      <w:r w:rsidRPr="000139B4">
        <w:rPr>
          <w:noProof/>
          <w:sz w:val="22"/>
          <w:lang w:val="en-US"/>
        </w:rPr>
        <w:t xml:space="preserve">, </w:t>
      </w:r>
      <w:r w:rsidRPr="000139B4">
        <w:rPr>
          <w:i/>
          <w:iCs/>
          <w:noProof/>
          <w:sz w:val="22"/>
          <w:lang w:val="en-US"/>
        </w:rPr>
        <w:t>22</w:t>
      </w:r>
      <w:r w:rsidRPr="000139B4">
        <w:rPr>
          <w:noProof/>
          <w:sz w:val="22"/>
          <w:lang w:val="en-US"/>
        </w:rPr>
        <w:t>(1), 83–92. https://doi.org/10.1111/j.1466-8238.2012.00783.x</w:t>
      </w:r>
    </w:p>
    <w:p w14:paraId="44039F42"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Sperry, J. S., Hacke, U. G., &amp; Pittermann, J. (2006). Size and function in conifer tracheids and angiosperm vessels. </w:t>
      </w:r>
      <w:r w:rsidRPr="000139B4">
        <w:rPr>
          <w:i/>
          <w:iCs/>
          <w:noProof/>
          <w:sz w:val="22"/>
          <w:lang w:val="en-US"/>
        </w:rPr>
        <w:t>American Journal of Botany</w:t>
      </w:r>
      <w:r w:rsidRPr="000139B4">
        <w:rPr>
          <w:noProof/>
          <w:sz w:val="22"/>
          <w:lang w:val="en-US"/>
        </w:rPr>
        <w:t>. https://doi.org/10.3732/ajb.93.10.1490</w:t>
      </w:r>
    </w:p>
    <w:p w14:paraId="5A017E57"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Stull, B. (1988). </w:t>
      </w:r>
      <w:r w:rsidRPr="000139B4">
        <w:rPr>
          <w:i/>
          <w:iCs/>
          <w:noProof/>
          <w:sz w:val="22"/>
          <w:lang w:val="en-US"/>
        </w:rPr>
        <w:t>An Introduction to Boundary Layer Meteorology</w:t>
      </w:r>
      <w:r w:rsidRPr="000139B4">
        <w:rPr>
          <w:noProof/>
          <w:sz w:val="22"/>
          <w:lang w:val="en-US"/>
        </w:rPr>
        <w:t>. (R. B. Stull, Ed.). Dordrecht: Springer Netherlands. https://doi.org/10.1007/978-94-009-3027-8</w:t>
      </w:r>
    </w:p>
    <w:p w14:paraId="0658C7DF"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Treydte, K. S., Frank, D. C., Saurer, M., Helle, G., Schleser, G. H., &amp; Esper, J. (2009). Impact of climate and CO2 on a millennium-long tree-ring carbon isotope record. </w:t>
      </w:r>
      <w:r w:rsidRPr="000139B4">
        <w:rPr>
          <w:i/>
          <w:iCs/>
          <w:noProof/>
          <w:sz w:val="22"/>
          <w:lang w:val="en-US"/>
        </w:rPr>
        <w:t>Geochimica et Cosmochimica Acta</w:t>
      </w:r>
      <w:r w:rsidRPr="000139B4">
        <w:rPr>
          <w:noProof/>
          <w:sz w:val="22"/>
          <w:lang w:val="en-US"/>
        </w:rPr>
        <w:t xml:space="preserve">, </w:t>
      </w:r>
      <w:r w:rsidRPr="000139B4">
        <w:rPr>
          <w:i/>
          <w:iCs/>
          <w:noProof/>
          <w:sz w:val="22"/>
          <w:lang w:val="en-US"/>
        </w:rPr>
        <w:t>73</w:t>
      </w:r>
      <w:r w:rsidRPr="000139B4">
        <w:rPr>
          <w:noProof/>
          <w:sz w:val="22"/>
          <w:lang w:val="en-US"/>
        </w:rPr>
        <w:t>(16), 4635–4647. https://doi.org/10.1016/j.gca.2009.05.057</w:t>
      </w:r>
    </w:p>
    <w:p w14:paraId="16F85795"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Ubierna, N., &amp; Farquhar, G. D. (2014). Advances in measurements and models of photosynthetic carbon isotope discrimination in C3 plants. </w:t>
      </w:r>
      <w:r w:rsidRPr="000139B4">
        <w:rPr>
          <w:i/>
          <w:iCs/>
          <w:noProof/>
          <w:sz w:val="22"/>
          <w:lang w:val="en-US"/>
        </w:rPr>
        <w:t>Plant Cell and Environment</w:t>
      </w:r>
      <w:r w:rsidRPr="000139B4">
        <w:rPr>
          <w:noProof/>
          <w:sz w:val="22"/>
          <w:lang w:val="en-US"/>
        </w:rPr>
        <w:t xml:space="preserve">, </w:t>
      </w:r>
      <w:r w:rsidRPr="000139B4">
        <w:rPr>
          <w:i/>
          <w:iCs/>
          <w:noProof/>
          <w:sz w:val="22"/>
          <w:lang w:val="en-US"/>
        </w:rPr>
        <w:t>37</w:t>
      </w:r>
      <w:r w:rsidRPr="000139B4">
        <w:rPr>
          <w:noProof/>
          <w:sz w:val="22"/>
          <w:lang w:val="en-US"/>
        </w:rPr>
        <w:t>, 1494–1498. https://doi.org/10.1111/pce.12346</w:t>
      </w:r>
    </w:p>
    <w:p w14:paraId="5044B0FD"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Urrutia-Jalabert, R., Malhi, Y., Barichivich, J., &amp; Lara, A. (2015). Increased water use efficiency but contrasting tree growth patterns in Fitzroya cupressoides forests of southern Chile during recent decades. </w:t>
      </w:r>
      <w:r w:rsidRPr="000139B4">
        <w:rPr>
          <w:i/>
          <w:iCs/>
          <w:noProof/>
          <w:sz w:val="22"/>
          <w:lang w:val="en-US"/>
        </w:rPr>
        <w:t>Journal of Geophysical Research - Biogeosciences</w:t>
      </w:r>
      <w:r w:rsidRPr="000139B4">
        <w:rPr>
          <w:noProof/>
          <w:sz w:val="22"/>
          <w:lang w:val="en-US"/>
        </w:rPr>
        <w:t xml:space="preserve">, </w:t>
      </w:r>
      <w:r w:rsidRPr="000139B4">
        <w:rPr>
          <w:i/>
          <w:iCs/>
          <w:noProof/>
          <w:sz w:val="22"/>
          <w:lang w:val="en-US"/>
        </w:rPr>
        <w:t>120</w:t>
      </w:r>
      <w:r w:rsidRPr="000139B4">
        <w:rPr>
          <w:noProof/>
          <w:sz w:val="22"/>
          <w:lang w:val="en-US"/>
        </w:rPr>
        <w:t>(12), 2505–2524. https://doi.org/10.1002/2015JG003098.Received</w:t>
      </w:r>
    </w:p>
    <w:p w14:paraId="7646CD26"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Voelker, S. L., Brooks, J. R., Meinzer, F. C., Anderson, R., Bader, M. K.-F., Battipaglia, G., … Wingate, L. (2016). A dynamic leaf gas-exchange strategy is conserved in woody plants under changing ambient CO2: evidence from carbon isotope discrimination in paleo and CO2 enrichment studies. </w:t>
      </w:r>
      <w:r w:rsidRPr="000139B4">
        <w:rPr>
          <w:i/>
          <w:iCs/>
          <w:noProof/>
          <w:sz w:val="22"/>
          <w:lang w:val="en-US"/>
        </w:rPr>
        <w:t>Global Change Biology</w:t>
      </w:r>
      <w:r w:rsidRPr="000139B4">
        <w:rPr>
          <w:noProof/>
          <w:sz w:val="22"/>
          <w:lang w:val="en-US"/>
        </w:rPr>
        <w:t xml:space="preserve">, </w:t>
      </w:r>
      <w:r w:rsidRPr="000139B4">
        <w:rPr>
          <w:i/>
          <w:iCs/>
          <w:noProof/>
          <w:sz w:val="22"/>
          <w:lang w:val="en-US"/>
        </w:rPr>
        <w:t>22</w:t>
      </w:r>
      <w:r w:rsidRPr="000139B4">
        <w:rPr>
          <w:noProof/>
          <w:sz w:val="22"/>
          <w:lang w:val="en-US"/>
        </w:rPr>
        <w:t>(2), 889–902. https://doi.org/10.1111/gcb.13102</w:t>
      </w:r>
    </w:p>
    <w:p w14:paraId="15391295"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Wang, M., Chen, Y., Wu, X., &amp; Bai, Y. (2018). Forest‐type‐dependent water use efficiency trends across the Northern Hemisphere. </w:t>
      </w:r>
      <w:r w:rsidRPr="000139B4">
        <w:rPr>
          <w:i/>
          <w:iCs/>
          <w:noProof/>
          <w:sz w:val="22"/>
          <w:lang w:val="en-US"/>
        </w:rPr>
        <w:t>Geophysical Research Letters</w:t>
      </w:r>
      <w:r w:rsidRPr="000139B4">
        <w:rPr>
          <w:noProof/>
          <w:sz w:val="22"/>
          <w:lang w:val="en-US"/>
        </w:rPr>
        <w:t>. https://doi.org/10.1029/2018GL079093</w:t>
      </w:r>
    </w:p>
    <w:p w14:paraId="498AA7A2"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Waterhouse, J. S., Switsur, V. R., Barker, A. C., &amp; Carter, A. H. C. (2004). Northern European trees show a progressively diminishing response to increasing atmospheric carbon dioxide concentrations. </w:t>
      </w:r>
      <w:r w:rsidRPr="000139B4">
        <w:rPr>
          <w:i/>
          <w:iCs/>
          <w:noProof/>
          <w:sz w:val="22"/>
          <w:lang w:val="en-US"/>
        </w:rPr>
        <w:t>Quaternary Science Reviews</w:t>
      </w:r>
      <w:r w:rsidRPr="000139B4">
        <w:rPr>
          <w:noProof/>
          <w:sz w:val="22"/>
          <w:lang w:val="en-US"/>
        </w:rPr>
        <w:t xml:space="preserve">, </w:t>
      </w:r>
      <w:r w:rsidRPr="000139B4">
        <w:rPr>
          <w:i/>
          <w:iCs/>
          <w:noProof/>
          <w:sz w:val="22"/>
          <w:lang w:val="en-US"/>
        </w:rPr>
        <w:t>23</w:t>
      </w:r>
      <w:r w:rsidRPr="000139B4">
        <w:rPr>
          <w:noProof/>
          <w:sz w:val="22"/>
          <w:lang w:val="en-US"/>
        </w:rPr>
        <w:t>, 803–810. https://doi.org/10.1016/j.quascirev.2003.06.011</w:t>
      </w:r>
    </w:p>
    <w:p w14:paraId="674DD2F5"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Way, D. A., Oren, R., &amp; Kroner, Y. (2015). The space-time continuum : the effects of elevated CO2 and temperature on trees and the importance of scaling. </w:t>
      </w:r>
      <w:r w:rsidRPr="000139B4">
        <w:rPr>
          <w:i/>
          <w:iCs/>
          <w:noProof/>
          <w:sz w:val="22"/>
          <w:lang w:val="en-US"/>
        </w:rPr>
        <w:t>Plant Cell and Environment</w:t>
      </w:r>
      <w:r w:rsidRPr="000139B4">
        <w:rPr>
          <w:noProof/>
          <w:sz w:val="22"/>
          <w:lang w:val="en-US"/>
        </w:rPr>
        <w:t xml:space="preserve">, </w:t>
      </w:r>
      <w:r w:rsidRPr="000139B4">
        <w:rPr>
          <w:i/>
          <w:iCs/>
          <w:noProof/>
          <w:sz w:val="22"/>
          <w:lang w:val="en-US"/>
        </w:rPr>
        <w:t>38</w:t>
      </w:r>
      <w:r w:rsidRPr="000139B4">
        <w:rPr>
          <w:noProof/>
          <w:sz w:val="22"/>
          <w:lang w:val="en-US"/>
        </w:rPr>
        <w:t>, 991–1007. https://doi.org/10.1111/pce.12527</w:t>
      </w:r>
    </w:p>
    <w:p w14:paraId="2FA2EA6E"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Wehr, R., Munger, J. W., McManus, J. B., Nelson, D. D., Zahniser, M. S., Davidson, E. A., … Saleska, S. R. (2016). Seasonality of temperate forest photosynthesis and daytime respiration. </w:t>
      </w:r>
      <w:r w:rsidRPr="000139B4">
        <w:rPr>
          <w:i/>
          <w:iCs/>
          <w:noProof/>
          <w:sz w:val="22"/>
          <w:lang w:val="en-US"/>
        </w:rPr>
        <w:t>Nature</w:t>
      </w:r>
      <w:r w:rsidRPr="000139B4">
        <w:rPr>
          <w:noProof/>
          <w:sz w:val="22"/>
          <w:lang w:val="en-US"/>
        </w:rPr>
        <w:t xml:space="preserve">, </w:t>
      </w:r>
      <w:r w:rsidRPr="000139B4">
        <w:rPr>
          <w:i/>
          <w:iCs/>
          <w:noProof/>
          <w:sz w:val="22"/>
          <w:lang w:val="en-US"/>
        </w:rPr>
        <w:t>534</w:t>
      </w:r>
      <w:r w:rsidRPr="000139B4">
        <w:rPr>
          <w:noProof/>
          <w:sz w:val="22"/>
          <w:lang w:val="en-US"/>
        </w:rPr>
        <w:t>(7609), 680–683. https://doi.org/10.1038/nature17966</w:t>
      </w:r>
    </w:p>
    <w:p w14:paraId="1808473E"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Wingate, L., Seibt, U., Moncrieff, J. B., Jarvis, P. G., &amp; Lloyd, J. (2007). Variations in 13C discrimination during CO2 exchange by Picea sitchensis branches in the field. </w:t>
      </w:r>
      <w:r w:rsidRPr="000139B4">
        <w:rPr>
          <w:i/>
          <w:iCs/>
          <w:noProof/>
          <w:sz w:val="22"/>
          <w:lang w:val="en-US"/>
        </w:rPr>
        <w:t>Plant, Cell &amp; Environment</w:t>
      </w:r>
      <w:r w:rsidRPr="000139B4">
        <w:rPr>
          <w:noProof/>
          <w:sz w:val="22"/>
          <w:lang w:val="en-US"/>
        </w:rPr>
        <w:t xml:space="preserve">, </w:t>
      </w:r>
      <w:r w:rsidRPr="000139B4">
        <w:rPr>
          <w:i/>
          <w:iCs/>
          <w:noProof/>
          <w:sz w:val="22"/>
          <w:lang w:val="en-US"/>
        </w:rPr>
        <w:t>30</w:t>
      </w:r>
      <w:r w:rsidRPr="000139B4">
        <w:rPr>
          <w:noProof/>
          <w:sz w:val="22"/>
          <w:lang w:val="en-US"/>
        </w:rPr>
        <w:t>(5), 600–616. https://doi.org/10.1111/j.1365-3040.2007.01647.x</w:t>
      </w:r>
    </w:p>
    <w:p w14:paraId="10A1E1BB"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Wong, S. C., Cowan, I. R., &amp; Farquhar, G. D. (1979). Stomatal conductance correlates with photosynthetic capacity. </w:t>
      </w:r>
      <w:r w:rsidRPr="000139B4">
        <w:rPr>
          <w:i/>
          <w:iCs/>
          <w:noProof/>
          <w:sz w:val="22"/>
          <w:lang w:val="en-US"/>
        </w:rPr>
        <w:t>Nature</w:t>
      </w:r>
      <w:r w:rsidRPr="000139B4">
        <w:rPr>
          <w:noProof/>
          <w:sz w:val="22"/>
          <w:lang w:val="en-US"/>
        </w:rPr>
        <w:t xml:space="preserve">, </w:t>
      </w:r>
      <w:r w:rsidRPr="000139B4">
        <w:rPr>
          <w:i/>
          <w:iCs/>
          <w:noProof/>
          <w:sz w:val="22"/>
          <w:lang w:val="en-US"/>
        </w:rPr>
        <w:t>282</w:t>
      </w:r>
      <w:r w:rsidRPr="000139B4">
        <w:rPr>
          <w:noProof/>
          <w:sz w:val="22"/>
          <w:lang w:val="en-US"/>
        </w:rPr>
        <w:t>(5737), 424–426. https://doi.org/10.1038/282424a0</w:t>
      </w:r>
    </w:p>
    <w:p w14:paraId="2D5D6BFF"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Xu, G., Liu, X., Belmecheri, S., Chen, T., &amp; Wu, G. (2018). Disentangling Contributions of CO2 Concentration and Climate to Changes in Intrinsic Water-Use Efficiency in the Arid Boreal Forest in China’s Altay Mountains. </w:t>
      </w:r>
      <w:r w:rsidRPr="000139B4">
        <w:rPr>
          <w:i/>
          <w:iCs/>
          <w:noProof/>
          <w:sz w:val="22"/>
          <w:lang w:val="en-US"/>
        </w:rPr>
        <w:t>Forests</w:t>
      </w:r>
      <w:r w:rsidRPr="000139B4">
        <w:rPr>
          <w:noProof/>
          <w:sz w:val="22"/>
          <w:lang w:val="en-US"/>
        </w:rPr>
        <w:t xml:space="preserve">, </w:t>
      </w:r>
      <w:r w:rsidRPr="000139B4">
        <w:rPr>
          <w:i/>
          <w:iCs/>
          <w:noProof/>
          <w:sz w:val="22"/>
          <w:lang w:val="en-US"/>
        </w:rPr>
        <w:t>9</w:t>
      </w:r>
      <w:r w:rsidRPr="000139B4">
        <w:rPr>
          <w:noProof/>
          <w:sz w:val="22"/>
          <w:lang w:val="en-US"/>
        </w:rPr>
        <w:t>(642), 1–21. https://doi.org/10.3390/f9100642</w:t>
      </w:r>
    </w:p>
    <w:p w14:paraId="7404DDCA"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Yi, K., Maxwell, J. T., Wenzel, M. K., Roman, D. T., Sauer, P. E., Phillips, R. P., &amp; Novick, K. A. (2018). Linking variation in intrinsic water-use efficiency to isohydricity: a comparison at multiple spatiotemporal scales. </w:t>
      </w:r>
      <w:r w:rsidRPr="000139B4">
        <w:rPr>
          <w:i/>
          <w:iCs/>
          <w:noProof/>
          <w:sz w:val="22"/>
          <w:lang w:val="en-US"/>
        </w:rPr>
        <w:t>New Phytologist</w:t>
      </w:r>
      <w:r w:rsidRPr="000139B4">
        <w:rPr>
          <w:noProof/>
          <w:sz w:val="22"/>
          <w:lang w:val="en-US"/>
        </w:rPr>
        <w:t>. https://doi.org/10.1111/nph.15384</w:t>
      </w:r>
    </w:p>
    <w:p w14:paraId="79BD8B83" w14:textId="77777777" w:rsidR="000139B4" w:rsidRPr="000139B4" w:rsidRDefault="000139B4" w:rsidP="000139B4">
      <w:pPr>
        <w:widowControl w:val="0"/>
        <w:autoSpaceDE w:val="0"/>
        <w:autoSpaceDN w:val="0"/>
        <w:adjustRightInd w:val="0"/>
        <w:spacing w:line="360" w:lineRule="auto"/>
        <w:ind w:left="480" w:hanging="480"/>
        <w:rPr>
          <w:noProof/>
          <w:sz w:val="22"/>
          <w:lang w:val="en-US"/>
        </w:rPr>
      </w:pPr>
      <w:r w:rsidRPr="000139B4">
        <w:rPr>
          <w:noProof/>
          <w:sz w:val="22"/>
          <w:lang w:val="en-US"/>
        </w:rPr>
        <w:t xml:space="preserve">Young, G. H. F., Bale, R. J., Loader, N. J., Mccarroll, D., Nayling, N., &amp; Vousden, N. (2012). Central england temperature since ad 1850: The potential of stable carbon isotopes in british oak trees to reconstruct past summer temperatures. </w:t>
      </w:r>
      <w:r w:rsidRPr="000139B4">
        <w:rPr>
          <w:i/>
          <w:iCs/>
          <w:noProof/>
          <w:sz w:val="22"/>
          <w:lang w:val="en-US"/>
        </w:rPr>
        <w:t>Journal of Quaternary Science</w:t>
      </w:r>
      <w:r w:rsidRPr="000139B4">
        <w:rPr>
          <w:noProof/>
          <w:sz w:val="22"/>
          <w:lang w:val="en-US"/>
        </w:rPr>
        <w:t xml:space="preserve">, </w:t>
      </w:r>
      <w:r w:rsidRPr="000139B4">
        <w:rPr>
          <w:i/>
          <w:iCs/>
          <w:noProof/>
          <w:sz w:val="22"/>
          <w:lang w:val="en-US"/>
        </w:rPr>
        <w:t>27</w:t>
      </w:r>
      <w:r w:rsidRPr="000139B4">
        <w:rPr>
          <w:noProof/>
          <w:sz w:val="22"/>
          <w:lang w:val="en-US"/>
        </w:rPr>
        <w:t>(6), 606–614. https://doi.org/10.1002/jqs.2554</w:t>
      </w:r>
    </w:p>
    <w:p w14:paraId="779E079D" w14:textId="77777777" w:rsidR="000139B4" w:rsidRPr="000139B4" w:rsidRDefault="000139B4" w:rsidP="000139B4">
      <w:pPr>
        <w:widowControl w:val="0"/>
        <w:autoSpaceDE w:val="0"/>
        <w:autoSpaceDN w:val="0"/>
        <w:adjustRightInd w:val="0"/>
        <w:spacing w:line="360" w:lineRule="auto"/>
        <w:ind w:left="480" w:hanging="480"/>
        <w:rPr>
          <w:noProof/>
          <w:sz w:val="22"/>
        </w:rPr>
      </w:pPr>
      <w:r w:rsidRPr="000139B4">
        <w:rPr>
          <w:noProof/>
          <w:sz w:val="22"/>
          <w:lang w:val="en-US"/>
        </w:rPr>
        <w:t xml:space="preserve">Zhou, S., Yu, B., Huang, Y., &amp; Wang, G. (2014). The effect of vapor pressure deficit on water use efficiency at the subdaily time scale. </w:t>
      </w:r>
      <w:r w:rsidRPr="000139B4">
        <w:rPr>
          <w:i/>
          <w:iCs/>
          <w:noProof/>
          <w:sz w:val="22"/>
          <w:lang w:val="en-US"/>
        </w:rPr>
        <w:t>Geophysical Research Letters</w:t>
      </w:r>
      <w:r w:rsidRPr="000139B4">
        <w:rPr>
          <w:noProof/>
          <w:sz w:val="22"/>
          <w:lang w:val="en-US"/>
        </w:rPr>
        <w:t xml:space="preserve">, </w:t>
      </w:r>
      <w:r w:rsidRPr="000139B4">
        <w:rPr>
          <w:i/>
          <w:iCs/>
          <w:noProof/>
          <w:sz w:val="22"/>
          <w:lang w:val="en-US"/>
        </w:rPr>
        <w:t>41</w:t>
      </w:r>
      <w:r w:rsidRPr="000139B4">
        <w:rPr>
          <w:noProof/>
          <w:sz w:val="22"/>
          <w:lang w:val="en-US"/>
        </w:rPr>
        <w:t>(14), 5005–5013. https://doi.org/10.1002/2014GL060741</w:t>
      </w:r>
    </w:p>
    <w:p w14:paraId="1E24C737" w14:textId="48341BD7" w:rsidR="005D3816" w:rsidRPr="00BD2160" w:rsidRDefault="00351DB9" w:rsidP="000139B4">
      <w:pPr>
        <w:widowControl w:val="0"/>
        <w:autoSpaceDE w:val="0"/>
        <w:autoSpaceDN w:val="0"/>
        <w:adjustRightInd w:val="0"/>
        <w:spacing w:line="360" w:lineRule="auto"/>
        <w:ind w:left="480" w:hanging="480"/>
        <w:rPr>
          <w:b/>
          <w:bCs/>
        </w:rPr>
      </w:pPr>
      <w:r w:rsidRPr="00BD2160">
        <w:rPr>
          <w:b/>
          <w:bCs/>
          <w:sz w:val="22"/>
          <w:szCs w:val="22"/>
        </w:rPr>
        <w:fldChar w:fldCharType="end"/>
      </w:r>
    </w:p>
    <w:p w14:paraId="23CDB057" w14:textId="77777777" w:rsidR="001C2DA4" w:rsidRDefault="001C2DA4">
      <w:pPr>
        <w:pBdr>
          <w:top w:val="nil"/>
          <w:left w:val="nil"/>
          <w:bottom w:val="nil"/>
          <w:right w:val="nil"/>
          <w:between w:val="nil"/>
          <w:bar w:val="nil"/>
        </w:pBdr>
      </w:pPr>
      <w:r>
        <w:br w:type="page"/>
      </w:r>
    </w:p>
    <w:p w14:paraId="0D9B2306" w14:textId="444B9CDD" w:rsidR="000333CF" w:rsidRPr="001C2DA4" w:rsidRDefault="001C2DA4" w:rsidP="001C2DA4">
      <w:pPr>
        <w:pBdr>
          <w:top w:val="nil"/>
          <w:left w:val="nil"/>
          <w:bottom w:val="nil"/>
          <w:right w:val="nil"/>
          <w:between w:val="nil"/>
          <w:bar w:val="nil"/>
        </w:pBdr>
        <w:spacing w:line="360" w:lineRule="auto"/>
        <w:jc w:val="center"/>
        <w:rPr>
          <w:b/>
          <w:sz w:val="28"/>
          <w:szCs w:val="28"/>
        </w:rPr>
      </w:pPr>
      <w:r w:rsidRPr="001C2DA4">
        <w:rPr>
          <w:b/>
          <w:sz w:val="28"/>
          <w:szCs w:val="28"/>
        </w:rPr>
        <w:t>Tables</w:t>
      </w:r>
    </w:p>
    <w:p w14:paraId="7028A459" w14:textId="662B4081" w:rsidR="001C2DA4" w:rsidRDefault="001C2DA4" w:rsidP="001A0EBC">
      <w:pPr>
        <w:pBdr>
          <w:top w:val="nil"/>
          <w:left w:val="nil"/>
          <w:bottom w:val="nil"/>
          <w:right w:val="nil"/>
          <w:between w:val="nil"/>
          <w:bar w:val="nil"/>
        </w:pBdr>
        <w:spacing w:line="360" w:lineRule="auto"/>
      </w:pPr>
    </w:p>
    <w:p w14:paraId="792C8072" w14:textId="77777777" w:rsidR="001C2DA4" w:rsidRPr="004038F0" w:rsidRDefault="001C2DA4" w:rsidP="001C2DA4">
      <w:pPr>
        <w:pStyle w:val="Body"/>
        <w:spacing w:before="240" w:after="240" w:line="360" w:lineRule="auto"/>
        <w:jc w:val="both"/>
        <w:rPr>
          <w:rFonts w:cs="Times New Roman"/>
          <w:color w:val="000000" w:themeColor="text1"/>
        </w:rPr>
      </w:pPr>
      <w:r w:rsidRPr="004038F0">
        <w:rPr>
          <w:rFonts w:cs="Times New Roman"/>
          <w:b/>
          <w:color w:val="000000" w:themeColor="text1"/>
        </w:rPr>
        <w:t xml:space="preserve">Table 1. </w:t>
      </w:r>
      <w:r w:rsidRPr="004038F0">
        <w:rPr>
          <w:rFonts w:cs="Times New Roman"/>
          <w:color w:val="000000" w:themeColor="text1"/>
        </w:rPr>
        <w:t>Commonly used form</w:t>
      </w:r>
      <w:r>
        <w:rPr>
          <w:rFonts w:cs="Times New Roman"/>
          <w:color w:val="000000" w:themeColor="text1"/>
        </w:rPr>
        <w:t>ulation</w:t>
      </w:r>
      <w:r w:rsidRPr="004038F0">
        <w:rPr>
          <w:rFonts w:cs="Times New Roman"/>
          <w:color w:val="000000" w:themeColor="text1"/>
        </w:rPr>
        <w:t>s of WUE</w:t>
      </w:r>
      <w:r>
        <w:rPr>
          <w:rFonts w:cs="Times New Roman"/>
          <w:color w:val="000000" w:themeColor="text1"/>
        </w:rPr>
        <w:t>,</w:t>
      </w:r>
      <w:r w:rsidRPr="004038F0">
        <w:rPr>
          <w:rFonts w:cs="Times New Roman"/>
          <w:color w:val="000000" w:themeColor="text1"/>
        </w:rPr>
        <w:t xml:space="preserve"> and measurements used for inferring trends</w:t>
      </w:r>
    </w:p>
    <w:tbl>
      <w:tblPr>
        <w:tblStyle w:val="PlainTable11"/>
        <w:tblW w:w="11414" w:type="dxa"/>
        <w:tblInd w:w="-1011" w:type="dxa"/>
        <w:tblLook w:val="04A0" w:firstRow="1" w:lastRow="0" w:firstColumn="1" w:lastColumn="0" w:noHBand="0" w:noVBand="1"/>
      </w:tblPr>
      <w:tblGrid>
        <w:gridCol w:w="1528"/>
        <w:gridCol w:w="1123"/>
        <w:gridCol w:w="922"/>
        <w:gridCol w:w="1085"/>
        <w:gridCol w:w="1145"/>
        <w:gridCol w:w="1895"/>
        <w:gridCol w:w="2307"/>
        <w:gridCol w:w="1409"/>
      </w:tblGrid>
      <w:tr w:rsidR="001C2DA4" w:rsidRPr="004038F0" w14:paraId="29C2F361" w14:textId="77777777" w:rsidTr="00B336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tcPr>
          <w:p w14:paraId="3B489D7C" w14:textId="77777777" w:rsidR="001C2DA4" w:rsidRPr="004038F0" w:rsidRDefault="001C2DA4" w:rsidP="00B33613">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cs="Times New Roman"/>
                <w:color w:val="000000" w:themeColor="text1"/>
              </w:rPr>
            </w:pPr>
            <w:r w:rsidRPr="004038F0">
              <w:rPr>
                <w:rFonts w:cs="Times New Roman"/>
                <w:color w:val="000000" w:themeColor="text1"/>
                <w:sz w:val="22"/>
              </w:rPr>
              <w:t>Form of WUE</w:t>
            </w:r>
          </w:p>
        </w:tc>
        <w:tc>
          <w:tcPr>
            <w:tcW w:w="1125" w:type="dxa"/>
          </w:tcPr>
          <w:p w14:paraId="6BCE727D" w14:textId="77777777" w:rsidR="001C2DA4" w:rsidRPr="004038F0" w:rsidRDefault="001C2DA4" w:rsidP="00B33613">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2"/>
              </w:rPr>
            </w:pPr>
            <w:r w:rsidRPr="004038F0">
              <w:rPr>
                <w:rFonts w:cs="Times New Roman"/>
                <w:color w:val="000000" w:themeColor="text1"/>
                <w:sz w:val="22"/>
              </w:rPr>
              <w:t>Spatial scale</w:t>
            </w:r>
          </w:p>
        </w:tc>
        <w:tc>
          <w:tcPr>
            <w:tcW w:w="864" w:type="dxa"/>
          </w:tcPr>
          <w:p w14:paraId="6A0B1A72" w14:textId="77777777" w:rsidR="001C2DA4" w:rsidRPr="004038F0" w:rsidRDefault="001C2DA4" w:rsidP="00B33613">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rPr>
            </w:pPr>
            <w:r w:rsidRPr="004038F0">
              <w:rPr>
                <w:rFonts w:cs="Times New Roman"/>
                <w:color w:val="000000" w:themeColor="text1"/>
                <w:sz w:val="22"/>
              </w:rPr>
              <w:t>Short name</w:t>
            </w:r>
          </w:p>
        </w:tc>
        <w:tc>
          <w:tcPr>
            <w:tcW w:w="1085" w:type="dxa"/>
          </w:tcPr>
          <w:p w14:paraId="47027D20" w14:textId="77777777" w:rsidR="001C2DA4" w:rsidRPr="004038F0" w:rsidRDefault="001C2DA4" w:rsidP="00B33613">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rPr>
            </w:pPr>
            <w:r w:rsidRPr="004038F0">
              <w:rPr>
                <w:rFonts w:cs="Times New Roman"/>
                <w:color w:val="000000" w:themeColor="text1"/>
                <w:sz w:val="22"/>
              </w:rPr>
              <w:t>Equation</w:t>
            </w:r>
          </w:p>
        </w:tc>
        <w:tc>
          <w:tcPr>
            <w:tcW w:w="1145" w:type="dxa"/>
          </w:tcPr>
          <w:p w14:paraId="45871C2D" w14:textId="77777777" w:rsidR="001C2DA4" w:rsidRPr="004038F0" w:rsidRDefault="001C2DA4" w:rsidP="00B33613">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2"/>
                <w:szCs w:val="22"/>
              </w:rPr>
            </w:pPr>
            <w:r w:rsidRPr="004038F0">
              <w:rPr>
                <w:rFonts w:cs="Times New Roman"/>
                <w:color w:val="000000" w:themeColor="text1"/>
                <w:sz w:val="22"/>
                <w:szCs w:val="22"/>
              </w:rPr>
              <w:t>Temporal scale</w:t>
            </w:r>
          </w:p>
        </w:tc>
        <w:tc>
          <w:tcPr>
            <w:tcW w:w="1907" w:type="dxa"/>
          </w:tcPr>
          <w:p w14:paraId="6B50C53C" w14:textId="77777777" w:rsidR="001C2DA4" w:rsidRPr="004038F0" w:rsidRDefault="001C2DA4" w:rsidP="00B33613">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2"/>
                <w:szCs w:val="22"/>
              </w:rPr>
            </w:pPr>
            <w:r w:rsidRPr="004038F0">
              <w:rPr>
                <w:rFonts w:cs="Times New Roman"/>
                <w:color w:val="000000" w:themeColor="text1"/>
                <w:sz w:val="22"/>
                <w:szCs w:val="22"/>
              </w:rPr>
              <w:t>Measurements used</w:t>
            </w:r>
            <w:r w:rsidRPr="004038F0">
              <w:rPr>
                <w:rFonts w:cs="Times New Roman"/>
                <w:color w:val="000000" w:themeColor="text1"/>
                <w:sz w:val="22"/>
                <w:szCs w:val="22"/>
                <w:vertAlign w:val="superscript"/>
              </w:rPr>
              <w:t>1</w:t>
            </w:r>
          </w:p>
        </w:tc>
        <w:tc>
          <w:tcPr>
            <w:tcW w:w="2343" w:type="dxa"/>
          </w:tcPr>
          <w:p w14:paraId="14AB754D" w14:textId="77777777" w:rsidR="001C2DA4" w:rsidRPr="004038F0" w:rsidRDefault="001C2DA4" w:rsidP="00B33613">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2"/>
                <w:szCs w:val="22"/>
              </w:rPr>
            </w:pPr>
            <w:r w:rsidRPr="004038F0">
              <w:rPr>
                <w:rFonts w:cs="Times New Roman"/>
                <w:color w:val="000000" w:themeColor="text1"/>
                <w:sz w:val="22"/>
                <w:szCs w:val="22"/>
              </w:rPr>
              <w:t>Data processing</w:t>
            </w:r>
          </w:p>
        </w:tc>
        <w:tc>
          <w:tcPr>
            <w:tcW w:w="1417" w:type="dxa"/>
          </w:tcPr>
          <w:p w14:paraId="10BFD109" w14:textId="77777777" w:rsidR="001C2DA4" w:rsidRPr="004038F0" w:rsidRDefault="001C2DA4" w:rsidP="00B33613">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2"/>
                <w:szCs w:val="22"/>
              </w:rPr>
            </w:pPr>
            <w:r w:rsidRPr="004038F0">
              <w:rPr>
                <w:rFonts w:cs="Times New Roman"/>
                <w:color w:val="000000" w:themeColor="text1"/>
                <w:sz w:val="22"/>
                <w:szCs w:val="22"/>
              </w:rPr>
              <w:t>Open-access products</w:t>
            </w:r>
            <w:r w:rsidRPr="004038F0">
              <w:rPr>
                <w:rFonts w:cs="Times New Roman"/>
                <w:color w:val="000000" w:themeColor="text1"/>
                <w:sz w:val="22"/>
                <w:szCs w:val="22"/>
                <w:vertAlign w:val="superscript"/>
              </w:rPr>
              <w:t>2</w:t>
            </w:r>
          </w:p>
        </w:tc>
      </w:tr>
      <w:tr w:rsidR="001C2DA4" w:rsidRPr="004038F0" w14:paraId="47E3F681" w14:textId="77777777" w:rsidTr="00B336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vMerge w:val="restart"/>
          </w:tcPr>
          <w:p w14:paraId="36FF910D" w14:textId="77777777" w:rsidR="001C2DA4" w:rsidRPr="004038F0" w:rsidRDefault="001C2DA4" w:rsidP="00B33613">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cs="Times New Roman"/>
                <w:color w:val="000000" w:themeColor="text1"/>
                <w:sz w:val="20"/>
                <w:szCs w:val="20"/>
              </w:rPr>
            </w:pPr>
            <w:r w:rsidRPr="004038F0">
              <w:rPr>
                <w:rFonts w:eastAsia="Times New Roman" w:cs="Times New Roman"/>
                <w:bCs w:val="0"/>
                <w:color w:val="000000" w:themeColor="text1"/>
                <w:sz w:val="20"/>
                <w:szCs w:val="20"/>
              </w:rPr>
              <w:t>‘intrinsic’</w:t>
            </w:r>
          </w:p>
        </w:tc>
        <w:tc>
          <w:tcPr>
            <w:tcW w:w="1125" w:type="dxa"/>
          </w:tcPr>
          <w:p w14:paraId="056C7E23" w14:textId="77777777" w:rsidR="001C2DA4" w:rsidRPr="004038F0" w:rsidRDefault="001C2DA4" w:rsidP="00B33613">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4038F0">
              <w:rPr>
                <w:rFonts w:cs="Times New Roman"/>
                <w:color w:val="000000" w:themeColor="text1"/>
                <w:sz w:val="20"/>
                <w:szCs w:val="20"/>
              </w:rPr>
              <w:t>Leaf</w:t>
            </w:r>
          </w:p>
        </w:tc>
        <w:tc>
          <w:tcPr>
            <w:tcW w:w="864" w:type="dxa"/>
          </w:tcPr>
          <w:p w14:paraId="2E2FB319" w14:textId="77777777" w:rsidR="001C2DA4" w:rsidRPr="006440FA" w:rsidRDefault="001C2DA4" w:rsidP="00B33613">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6440FA">
              <w:rPr>
                <w:rFonts w:cs="Times New Roman"/>
                <w:sz w:val="20"/>
                <w:szCs w:val="20"/>
              </w:rPr>
              <w:t>iWUE</w:t>
            </w:r>
            <w:r w:rsidRPr="006440FA">
              <w:rPr>
                <w:rFonts w:cs="Times New Roman"/>
                <w:sz w:val="20"/>
                <w:szCs w:val="20"/>
                <w:vertAlign w:val="superscript"/>
              </w:rPr>
              <w:t>leaf</w:t>
            </w:r>
          </w:p>
          <w:p w14:paraId="76F68A44" w14:textId="77777777" w:rsidR="001C2DA4" w:rsidRPr="004038F0" w:rsidRDefault="001C2DA4" w:rsidP="00B33613">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p>
        </w:tc>
        <w:tc>
          <w:tcPr>
            <w:tcW w:w="1085" w:type="dxa"/>
          </w:tcPr>
          <w:p w14:paraId="6B2337C7" w14:textId="77777777" w:rsidR="001C2DA4" w:rsidRPr="004038F0" w:rsidRDefault="001C2DA4" w:rsidP="00B33613">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4</w:t>
            </w:r>
          </w:p>
        </w:tc>
        <w:tc>
          <w:tcPr>
            <w:tcW w:w="1145" w:type="dxa"/>
          </w:tcPr>
          <w:p w14:paraId="411FCED8" w14:textId="77777777" w:rsidR="001C2DA4" w:rsidRPr="004038F0" w:rsidRDefault="001C2DA4" w:rsidP="00B33613">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4038F0">
              <w:rPr>
                <w:rFonts w:cs="Times New Roman"/>
                <w:color w:val="000000" w:themeColor="text1"/>
                <w:sz w:val="20"/>
                <w:szCs w:val="20"/>
              </w:rPr>
              <w:t>Seasonal to yearly</w:t>
            </w:r>
          </w:p>
          <w:p w14:paraId="7C4F108D" w14:textId="77777777" w:rsidR="001C2DA4" w:rsidRPr="004038F0" w:rsidRDefault="001C2DA4" w:rsidP="00B33613">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p>
        </w:tc>
        <w:tc>
          <w:tcPr>
            <w:tcW w:w="1907" w:type="dxa"/>
          </w:tcPr>
          <w:p w14:paraId="003AFA7F" w14:textId="77777777" w:rsidR="001C2DA4" w:rsidRPr="004038F0" w:rsidRDefault="001C2DA4" w:rsidP="00B33613">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4038F0">
              <w:rPr>
                <w:rFonts w:cs="Times New Roman"/>
                <w:color w:val="000000" w:themeColor="text1"/>
                <w:sz w:val="20"/>
                <w:szCs w:val="20"/>
              </w:rPr>
              <w:t xml:space="preserve">Stable carbon isotopic composition of bulk wood or </w:t>
            </w:r>
            <w:r w:rsidRPr="004038F0">
              <w:rPr>
                <w:rFonts w:cs="Times New Roman"/>
                <w:color w:val="000000" w:themeColor="text1"/>
                <w:sz w:val="20"/>
                <w:szCs w:val="20"/>
              </w:rPr>
              <w:sym w:font="Symbol" w:char="F061"/>
            </w:r>
            <w:r w:rsidRPr="004038F0">
              <w:rPr>
                <w:rFonts w:cs="Times New Roman"/>
                <w:color w:val="000000" w:themeColor="text1"/>
                <w:sz w:val="20"/>
                <w:szCs w:val="20"/>
              </w:rPr>
              <w:t xml:space="preserve"> cellulose in tree rings (δ</w:t>
            </w:r>
            <w:r w:rsidRPr="004038F0">
              <w:rPr>
                <w:rFonts w:cs="Times New Roman"/>
                <w:color w:val="000000" w:themeColor="text1"/>
                <w:sz w:val="20"/>
                <w:szCs w:val="20"/>
                <w:vertAlign w:val="superscript"/>
              </w:rPr>
              <w:t>13</w:t>
            </w:r>
            <w:r w:rsidRPr="004038F0">
              <w:rPr>
                <w:rFonts w:cs="Times New Roman"/>
                <w:color w:val="000000" w:themeColor="text1"/>
                <w:sz w:val="20"/>
                <w:szCs w:val="20"/>
              </w:rPr>
              <w:t>C</w:t>
            </w:r>
            <w:r w:rsidRPr="004038F0">
              <w:rPr>
                <w:rFonts w:cs="Times New Roman"/>
                <w:color w:val="000000" w:themeColor="text1"/>
                <w:sz w:val="20"/>
                <w:szCs w:val="20"/>
                <w:vertAlign w:val="subscript"/>
              </w:rPr>
              <w:t>TR</w:t>
            </w:r>
            <w:r w:rsidRPr="004038F0">
              <w:rPr>
                <w:rFonts w:cs="Times New Roman"/>
                <w:color w:val="000000" w:themeColor="text1"/>
                <w:sz w:val="20"/>
                <w:szCs w:val="20"/>
              </w:rPr>
              <w:t>) + atmospheric δ</w:t>
            </w:r>
            <w:r w:rsidRPr="004038F0">
              <w:rPr>
                <w:rFonts w:cs="Times New Roman"/>
                <w:color w:val="000000" w:themeColor="text1"/>
                <w:sz w:val="20"/>
                <w:szCs w:val="20"/>
                <w:vertAlign w:val="superscript"/>
              </w:rPr>
              <w:t>13</w:t>
            </w:r>
            <w:r w:rsidRPr="004038F0">
              <w:rPr>
                <w:rFonts w:cs="Times New Roman"/>
                <w:color w:val="000000" w:themeColor="text1"/>
                <w:sz w:val="20"/>
                <w:szCs w:val="20"/>
              </w:rPr>
              <w:t>CO</w:t>
            </w:r>
            <w:r w:rsidRPr="004038F0">
              <w:rPr>
                <w:rFonts w:cs="Times New Roman"/>
                <w:color w:val="000000" w:themeColor="text1"/>
                <w:sz w:val="20"/>
                <w:szCs w:val="20"/>
                <w:vertAlign w:val="subscript"/>
              </w:rPr>
              <w:t>2</w:t>
            </w:r>
          </w:p>
        </w:tc>
        <w:tc>
          <w:tcPr>
            <w:tcW w:w="2343" w:type="dxa"/>
          </w:tcPr>
          <w:p w14:paraId="71A8849E" w14:textId="77777777" w:rsidR="001C2DA4" w:rsidRDefault="001C2DA4" w:rsidP="00B33613">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4038F0">
              <w:rPr>
                <w:rFonts w:cs="Times New Roman"/>
                <w:color w:val="000000" w:themeColor="text1"/>
                <w:sz w:val="20"/>
                <w:szCs w:val="20"/>
              </w:rPr>
              <w:t>Calculation of Δ</w:t>
            </w:r>
            <w:r w:rsidRPr="004038F0">
              <w:rPr>
                <w:rFonts w:cs="Times New Roman"/>
                <w:color w:val="000000" w:themeColor="text1"/>
                <w:sz w:val="20"/>
                <w:szCs w:val="20"/>
                <w:vertAlign w:val="superscript"/>
              </w:rPr>
              <w:t>13</w:t>
            </w:r>
            <w:r w:rsidRPr="004038F0">
              <w:rPr>
                <w:rFonts w:cs="Times New Roman"/>
                <w:color w:val="000000" w:themeColor="text1"/>
                <w:sz w:val="20"/>
                <w:szCs w:val="20"/>
              </w:rPr>
              <w:t>C; corrections for post-photosynthetic fractionations (</w:t>
            </w:r>
            <w:r w:rsidRPr="008F57C7">
              <w:rPr>
                <w:rFonts w:cs="Times New Roman"/>
                <w:i/>
                <w:color w:val="000000" w:themeColor="text1"/>
                <w:sz w:val="20"/>
                <w:szCs w:val="20"/>
              </w:rPr>
              <w:t>d</w:t>
            </w:r>
            <w:r w:rsidRPr="004038F0">
              <w:rPr>
                <w:rFonts w:cs="Times New Roman"/>
                <w:color w:val="000000" w:themeColor="text1"/>
                <w:sz w:val="20"/>
                <w:szCs w:val="20"/>
              </w:rPr>
              <w:t xml:space="preserve">) and </w:t>
            </w:r>
            <w:r>
              <w:rPr>
                <w:rFonts w:cs="Times New Roman"/>
                <w:color w:val="000000" w:themeColor="text1"/>
                <w:sz w:val="20"/>
                <w:szCs w:val="20"/>
              </w:rPr>
              <w:t>inter-site variability (</w:t>
            </w:r>
            <w:r>
              <w:rPr>
                <w:rFonts w:cs="Times New Roman"/>
                <w:color w:val="000000" w:themeColor="text1"/>
                <w:sz w:val="20"/>
                <w:szCs w:val="20"/>
              </w:rPr>
              <w:sym w:font="Symbol" w:char="F065"/>
            </w:r>
            <w:r>
              <w:rPr>
                <w:rFonts w:cs="Times New Roman"/>
                <w:color w:val="000000" w:themeColor="text1"/>
                <w:sz w:val="20"/>
                <w:szCs w:val="20"/>
              </w:rPr>
              <w:t>)</w:t>
            </w:r>
          </w:p>
          <w:p w14:paraId="68F4A13A" w14:textId="74CC78C5" w:rsidR="001C2DA4" w:rsidRPr="004038F0" w:rsidRDefault="001C2DA4" w:rsidP="00B33613">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p>
        </w:tc>
        <w:tc>
          <w:tcPr>
            <w:tcW w:w="1417" w:type="dxa"/>
          </w:tcPr>
          <w:p w14:paraId="0BDA11A7" w14:textId="485DA200" w:rsidR="001C2DA4" w:rsidRPr="004038F0" w:rsidRDefault="001C2DA4" w:rsidP="00B33613">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4038F0">
              <w:rPr>
                <w:rFonts w:cs="Times New Roman"/>
                <w:color w:val="000000" w:themeColor="text1"/>
                <w:sz w:val="20"/>
                <w:szCs w:val="20"/>
              </w:rPr>
              <w:t xml:space="preserve">ITRDB + </w:t>
            </w:r>
            <w:r w:rsidRPr="004038F0">
              <w:rPr>
                <w:rFonts w:cs="Times New Roman"/>
                <w:color w:val="000000" w:themeColor="text1"/>
                <w:sz w:val="20"/>
                <w:szCs w:val="20"/>
              </w:rPr>
              <w:fldChar w:fldCharType="begin" w:fldLock="1"/>
            </w:r>
            <w:r>
              <w:rPr>
                <w:rFonts w:cs="Times New Roman"/>
                <w:color w:val="000000" w:themeColor="text1"/>
                <w:sz w:val="20"/>
                <w:szCs w:val="20"/>
              </w:rPr>
              <w:instrText>ADDIN CSL_CITATION {"citationItems":[{"id":"ITEM-1","itemData":{"DOI":"10.5194/gmd-10-4405-2017","ISBN":"1991-962X","ISSN":"19919603","abstract":"&lt;p&gt;The isotopic composition of carbon (&amp;amp;Delta;&lt;sup&gt;14&lt;/sup&gt;C and &amp;amp;delta;&lt;sup&gt;13&lt;/sup&gt;C) in atmospheric CO&lt;sub&gt;2&lt;/sub&gt; and in oceanic and terrestrial carbon reservoirs is influenced by anthropogenic emissions and by natural carbon exchanges, which can respond to and drive changes in climate. Simulations of &lt;sup&gt;14&lt;/sup&gt;C and &lt;sup&gt;13&lt;/sup&gt;C in the ocean and terrestrial components of Earth System Models (ESMs) present opportunities for model evaluation and for investigation of carbon cycling, including anthropogenic CO&lt;sub&gt;2&lt;/sub&gt; emissions and uptake. The use of carbon isotopes in novel evaluation of the ESMs' component ocean and terrestrial biosphere models and in new analyses of historical changes may improve predictions of future changes in the carbon cycle and climate system. We compile existing data to produce records of &amp;amp;Delta;&lt;sup&gt;14&lt;/sup&gt;C and &amp;amp;delta;&lt;sup&gt;13&lt;/sup&gt;C in atmospheric CO&lt;sub&gt;2&lt;/sub&gt; for the historical period 1850&amp;amp;ndash;2015. The primary motivation for this compilation is to provide the atmospheric boundary condition for historical simulations in the Coupled Model Intercomparison Project 6 (CMIP6) for models simulating carbon isotopes in their ocean or terrestrial biosphere models. The data may also be useful for other carbon cycle modelling activities.&lt;/p&gt;","author":[{"dropping-particle":"","family":"Graven","given":"Heather","non-dropping-particle":"","parse-names":false,"suffix":""},{"dropping-particle":"","family":"Allison","given":"Colin E.","non-dropping-particle":"","parse-names":false,"suffix":""},{"dropping-particle":"","family":"Etheridge","given":"David M.","non-dropping-particle":"","parse-names":false,"suffix":""},{"dropping-particle":"","family":"Hammer","given":"Samuel","non-dropping-particle":"","parse-names":false,"suffix":""},{"dropping-particle":"","family":"Keeling","given":"Ralph F.","non-dropping-particle":"","parse-names":false,"suffix":""},{"dropping-particle":"","family":"Levin","given":"Ingeborg","non-dropping-particle":"","parse-names":false,"suffix":""},{"dropping-particle":"","family":"Meijer","given":"Harro A.J.","non-dropping-particle":"","parse-names":false,"suffix":""},{"dropping-particle":"","family":"Rubino","given":"Mauro","non-dropping-particle":"","parse-names":false,"suffix":""},{"dropping-particle":"","family":"Tans","given":"Pieter P.","non-dropping-particle":"","parse-names":false,"suffix":""},{"dropping-particle":"","family":"Trudinger","given":"Cathy M.","non-dropping-particle":"","parse-names":false,"suffix":""},{"dropping-particle":"","family":"Vaughn","given":"Bruce H.","non-dropping-particle":"","parse-names":false,"suffix":""},{"dropping-particle":"","family":"White","given":"James W.C.","non-dropping-particle":"","parse-names":false,"suffix":""}],"container-title":"Geoscientific Model Development","id":"ITEM-1","issue":"12","issued":{"date-parts":[["2017"]]},"page":"4405-4417","title":"Compiled records of carbon isotopes in atmospheric CO2 for historical simulations in CMIP6","type":"article-journal","volume":"10"},"uris":["http://www.mendeley.com/documents/?uuid=42ff21a0-63cd-46bd-838d-3846789efd35"]}],"mendeley":{"formattedCitation":"(Graven et al., 2017)","plainTextFormattedCitation":"(Graven et al., 2017)","previouslyFormattedCitation":"(Graven et al., 2017)"},"properties":{"noteIndex":0},"schema":"https://github.com/citation-style-language/schema/raw/master/csl-citation.json"}</w:instrText>
            </w:r>
            <w:r w:rsidRPr="004038F0">
              <w:rPr>
                <w:rFonts w:cs="Times New Roman"/>
                <w:color w:val="000000" w:themeColor="text1"/>
                <w:sz w:val="20"/>
                <w:szCs w:val="20"/>
              </w:rPr>
              <w:fldChar w:fldCharType="separate"/>
            </w:r>
            <w:r w:rsidRPr="004038F0">
              <w:rPr>
                <w:rFonts w:cs="Times New Roman"/>
                <w:noProof/>
                <w:color w:val="000000" w:themeColor="text1"/>
                <w:sz w:val="20"/>
                <w:szCs w:val="20"/>
              </w:rPr>
              <w:t xml:space="preserve">Graven et al. </w:t>
            </w:r>
            <w:r w:rsidR="00441C20">
              <w:rPr>
                <w:rFonts w:cs="Times New Roman"/>
                <w:noProof/>
                <w:color w:val="000000" w:themeColor="text1"/>
                <w:sz w:val="20"/>
                <w:szCs w:val="20"/>
              </w:rPr>
              <w:t>(</w:t>
            </w:r>
            <w:r w:rsidRPr="004038F0">
              <w:rPr>
                <w:rFonts w:cs="Times New Roman"/>
                <w:noProof/>
                <w:color w:val="000000" w:themeColor="text1"/>
                <w:sz w:val="20"/>
                <w:szCs w:val="20"/>
              </w:rPr>
              <w:t>2017)</w:t>
            </w:r>
            <w:r w:rsidRPr="004038F0">
              <w:rPr>
                <w:rFonts w:cs="Times New Roman"/>
                <w:color w:val="000000" w:themeColor="text1"/>
                <w:sz w:val="20"/>
                <w:szCs w:val="20"/>
              </w:rPr>
              <w:fldChar w:fldCharType="end"/>
            </w:r>
          </w:p>
        </w:tc>
      </w:tr>
      <w:tr w:rsidR="001C2DA4" w:rsidRPr="004038F0" w14:paraId="5800C712" w14:textId="77777777" w:rsidTr="00B33613">
        <w:tc>
          <w:tcPr>
            <w:cnfStyle w:val="001000000000" w:firstRow="0" w:lastRow="0" w:firstColumn="1" w:lastColumn="0" w:oddVBand="0" w:evenVBand="0" w:oddHBand="0" w:evenHBand="0" w:firstRowFirstColumn="0" w:firstRowLastColumn="0" w:lastRowFirstColumn="0" w:lastRowLastColumn="0"/>
            <w:tcW w:w="1528" w:type="dxa"/>
            <w:vMerge/>
          </w:tcPr>
          <w:p w14:paraId="0F748D9B" w14:textId="77777777" w:rsidR="001C2DA4" w:rsidRPr="004038F0" w:rsidRDefault="001C2DA4" w:rsidP="00B33613">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eastAsia="Times New Roman" w:cs="Times New Roman"/>
                <w:bCs w:val="0"/>
                <w:color w:val="000000" w:themeColor="text1"/>
                <w:sz w:val="20"/>
                <w:szCs w:val="20"/>
              </w:rPr>
            </w:pPr>
          </w:p>
        </w:tc>
        <w:tc>
          <w:tcPr>
            <w:tcW w:w="1125" w:type="dxa"/>
          </w:tcPr>
          <w:p w14:paraId="05692584" w14:textId="77777777" w:rsidR="001C2DA4" w:rsidRPr="004038F0" w:rsidRDefault="001C2DA4" w:rsidP="00B33613">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4038F0">
              <w:rPr>
                <w:rFonts w:cs="Times New Roman"/>
                <w:color w:val="000000" w:themeColor="text1"/>
                <w:sz w:val="20"/>
                <w:szCs w:val="20"/>
              </w:rPr>
              <w:t>Ecosystem</w:t>
            </w:r>
          </w:p>
        </w:tc>
        <w:tc>
          <w:tcPr>
            <w:tcW w:w="864" w:type="dxa"/>
          </w:tcPr>
          <w:p w14:paraId="2DD0E0E4" w14:textId="77777777" w:rsidR="001C2DA4" w:rsidRPr="004038F0" w:rsidRDefault="001C2DA4" w:rsidP="00B33613">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4038F0">
              <w:rPr>
                <w:rFonts w:cs="Times New Roman"/>
                <w:color w:val="000000" w:themeColor="text1"/>
                <w:sz w:val="20"/>
                <w:szCs w:val="20"/>
              </w:rPr>
              <w:t>iWUE</w:t>
            </w:r>
            <w:r>
              <w:rPr>
                <w:rFonts w:cs="Times New Roman"/>
                <w:color w:val="000000" w:themeColor="text1"/>
                <w:sz w:val="20"/>
                <w:szCs w:val="20"/>
                <w:vertAlign w:val="superscript"/>
              </w:rPr>
              <w:t>eco</w:t>
            </w:r>
          </w:p>
        </w:tc>
        <w:tc>
          <w:tcPr>
            <w:tcW w:w="1085" w:type="dxa"/>
          </w:tcPr>
          <w:p w14:paraId="41505D8D" w14:textId="77777777" w:rsidR="001C2DA4" w:rsidRPr="004038F0" w:rsidRDefault="001C2DA4" w:rsidP="00B33613">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6</w:t>
            </w:r>
          </w:p>
        </w:tc>
        <w:tc>
          <w:tcPr>
            <w:tcW w:w="1145" w:type="dxa"/>
            <w:vMerge w:val="restart"/>
          </w:tcPr>
          <w:p w14:paraId="4321B214" w14:textId="77777777" w:rsidR="001C2DA4" w:rsidRPr="004038F0" w:rsidRDefault="001C2DA4" w:rsidP="00B33613">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4038F0">
              <w:rPr>
                <w:rFonts w:cs="Times New Roman"/>
                <w:color w:val="000000" w:themeColor="text1"/>
                <w:sz w:val="20"/>
                <w:szCs w:val="20"/>
              </w:rPr>
              <w:t>Half-hourly or hourly</w:t>
            </w:r>
          </w:p>
        </w:tc>
        <w:tc>
          <w:tcPr>
            <w:tcW w:w="1907" w:type="dxa"/>
            <w:vMerge w:val="restart"/>
          </w:tcPr>
          <w:p w14:paraId="7EB98A85" w14:textId="77777777" w:rsidR="001C2DA4" w:rsidRPr="004038F0" w:rsidRDefault="001C2DA4" w:rsidP="00B33613">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4038F0">
              <w:rPr>
                <w:rFonts w:cs="Times New Roman"/>
                <w:color w:val="000000" w:themeColor="text1"/>
                <w:sz w:val="20"/>
                <w:szCs w:val="20"/>
              </w:rPr>
              <w:t xml:space="preserve">Eddy-covariance fluxes (LE, </w:t>
            </w:r>
            <w:r w:rsidRPr="00556A4A">
              <w:rPr>
                <w:rFonts w:cs="Times New Roman"/>
                <w:i/>
                <w:color w:val="000000" w:themeColor="text1"/>
                <w:sz w:val="20"/>
                <w:szCs w:val="20"/>
              </w:rPr>
              <w:t>H</w:t>
            </w:r>
            <w:r w:rsidRPr="004038F0">
              <w:rPr>
                <w:rFonts w:cs="Times New Roman"/>
                <w:color w:val="000000" w:themeColor="text1"/>
                <w:sz w:val="20"/>
                <w:szCs w:val="20"/>
              </w:rPr>
              <w:t xml:space="preserve">, NEE, GPP) + </w:t>
            </w:r>
            <w:r w:rsidRPr="0051238B">
              <w:rPr>
                <w:rFonts w:cs="Times New Roman"/>
                <w:i/>
                <w:color w:val="000000" w:themeColor="text1"/>
                <w:sz w:val="20"/>
                <w:szCs w:val="20"/>
              </w:rPr>
              <w:t>R</w:t>
            </w:r>
            <w:r w:rsidRPr="004038F0">
              <w:rPr>
                <w:rFonts w:cs="Times New Roman"/>
                <w:color w:val="000000" w:themeColor="text1"/>
                <w:sz w:val="20"/>
                <w:szCs w:val="20"/>
                <w:vertAlign w:val="subscript"/>
              </w:rPr>
              <w:t>n</w:t>
            </w:r>
            <w:r w:rsidRPr="004038F0">
              <w:rPr>
                <w:rFonts w:cs="Times New Roman"/>
                <w:color w:val="000000" w:themeColor="text1"/>
                <w:sz w:val="20"/>
                <w:szCs w:val="20"/>
              </w:rPr>
              <w:t xml:space="preserve">, </w:t>
            </w:r>
            <w:r w:rsidRPr="0051238B">
              <w:rPr>
                <w:rFonts w:cs="Times New Roman"/>
                <w:i/>
                <w:color w:val="000000" w:themeColor="text1"/>
                <w:sz w:val="20"/>
                <w:szCs w:val="20"/>
              </w:rPr>
              <w:t>T</w:t>
            </w:r>
            <w:r w:rsidRPr="004038F0">
              <w:rPr>
                <w:rFonts w:cs="Times New Roman"/>
                <w:color w:val="000000" w:themeColor="text1"/>
                <w:sz w:val="20"/>
                <w:szCs w:val="20"/>
                <w:vertAlign w:val="subscript"/>
              </w:rPr>
              <w:t>air</w:t>
            </w:r>
            <w:r w:rsidRPr="004038F0">
              <w:rPr>
                <w:rFonts w:cs="Times New Roman"/>
                <w:color w:val="000000" w:themeColor="text1"/>
                <w:sz w:val="20"/>
                <w:szCs w:val="20"/>
              </w:rPr>
              <w:t xml:space="preserve">, VPD, </w:t>
            </w:r>
            <w:r w:rsidRPr="004038F0">
              <w:rPr>
                <w:rFonts w:cs="Times New Roman"/>
                <w:i/>
                <w:color w:val="000000" w:themeColor="text1"/>
                <w:sz w:val="20"/>
                <w:szCs w:val="20"/>
              </w:rPr>
              <w:t>c</w:t>
            </w:r>
            <w:r w:rsidRPr="004038F0">
              <w:rPr>
                <w:rFonts w:cs="Times New Roman"/>
                <w:color w:val="000000" w:themeColor="text1"/>
                <w:sz w:val="20"/>
                <w:szCs w:val="20"/>
                <w:vertAlign w:val="subscript"/>
              </w:rPr>
              <w:t>a</w:t>
            </w:r>
          </w:p>
        </w:tc>
        <w:tc>
          <w:tcPr>
            <w:tcW w:w="2343" w:type="dxa"/>
            <w:vMerge w:val="restart"/>
          </w:tcPr>
          <w:p w14:paraId="2F0407AE" w14:textId="77777777" w:rsidR="001C2DA4" w:rsidRPr="004038F0" w:rsidRDefault="001C2DA4" w:rsidP="00B33613">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4038F0">
              <w:rPr>
                <w:rFonts w:cs="Times New Roman"/>
                <w:color w:val="000000" w:themeColor="text1"/>
                <w:sz w:val="20"/>
                <w:szCs w:val="20"/>
              </w:rPr>
              <w:t xml:space="preserve">Flux partitioning and </w:t>
            </w:r>
            <w:r>
              <w:rPr>
                <w:rFonts w:cs="Times New Roman"/>
                <w:color w:val="000000" w:themeColor="text1"/>
                <w:sz w:val="20"/>
                <w:szCs w:val="20"/>
              </w:rPr>
              <w:br/>
            </w:r>
            <w:r w:rsidRPr="004038F0">
              <w:rPr>
                <w:rFonts w:cs="Times New Roman"/>
                <w:color w:val="000000" w:themeColor="text1"/>
                <w:sz w:val="20"/>
                <w:szCs w:val="20"/>
              </w:rPr>
              <w:t xml:space="preserve">data post processing </w:t>
            </w:r>
            <w:r>
              <w:rPr>
                <w:rFonts w:cs="Times New Roman"/>
                <w:color w:val="000000" w:themeColor="text1"/>
                <w:sz w:val="20"/>
                <w:szCs w:val="20"/>
              </w:rPr>
              <w:br/>
            </w:r>
            <w:r w:rsidRPr="004038F0">
              <w:rPr>
                <w:rFonts w:cs="Times New Roman"/>
                <w:color w:val="000000" w:themeColor="text1"/>
                <w:sz w:val="20"/>
                <w:szCs w:val="20"/>
              </w:rPr>
              <w:t>(see Text S</w:t>
            </w:r>
            <w:r>
              <w:rPr>
                <w:rFonts w:cs="Times New Roman"/>
                <w:color w:val="000000" w:themeColor="text1"/>
                <w:sz w:val="20"/>
                <w:szCs w:val="20"/>
              </w:rPr>
              <w:t>2</w:t>
            </w:r>
            <w:r w:rsidRPr="004038F0">
              <w:rPr>
                <w:rFonts w:cs="Times New Roman"/>
                <w:color w:val="000000" w:themeColor="text1"/>
                <w:sz w:val="20"/>
                <w:szCs w:val="20"/>
              </w:rPr>
              <w:t>)</w:t>
            </w:r>
          </w:p>
        </w:tc>
        <w:tc>
          <w:tcPr>
            <w:tcW w:w="1417" w:type="dxa"/>
            <w:vMerge w:val="restart"/>
          </w:tcPr>
          <w:p w14:paraId="48A75F53" w14:textId="77777777" w:rsidR="001C2DA4" w:rsidRPr="004038F0" w:rsidRDefault="001C2DA4" w:rsidP="00B33613">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4038F0">
              <w:rPr>
                <w:rFonts w:cs="Times New Roman"/>
                <w:color w:val="000000" w:themeColor="text1"/>
                <w:sz w:val="20"/>
                <w:szCs w:val="20"/>
              </w:rPr>
              <w:t>FLUXNET-2015 Tier 1</w:t>
            </w:r>
          </w:p>
        </w:tc>
      </w:tr>
      <w:tr w:rsidR="001C2DA4" w:rsidRPr="004038F0" w14:paraId="2ACF2325" w14:textId="77777777" w:rsidTr="00B336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tcPr>
          <w:p w14:paraId="30E1E82A" w14:textId="77777777" w:rsidR="001C2DA4" w:rsidRPr="004038F0" w:rsidRDefault="001C2DA4" w:rsidP="00B33613">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eastAsia="Times New Roman" w:cs="Times New Roman"/>
                <w:bCs w:val="0"/>
                <w:color w:val="000000" w:themeColor="text1"/>
                <w:sz w:val="20"/>
                <w:szCs w:val="20"/>
              </w:rPr>
            </w:pPr>
            <w:r w:rsidRPr="004038F0">
              <w:rPr>
                <w:rFonts w:eastAsia="Times New Roman" w:cs="Times New Roman"/>
                <w:bCs w:val="0"/>
                <w:color w:val="000000" w:themeColor="text1"/>
                <w:sz w:val="20"/>
                <w:szCs w:val="20"/>
              </w:rPr>
              <w:t>‘instantaneous’</w:t>
            </w:r>
          </w:p>
        </w:tc>
        <w:tc>
          <w:tcPr>
            <w:tcW w:w="1125" w:type="dxa"/>
          </w:tcPr>
          <w:p w14:paraId="659458F0" w14:textId="77777777" w:rsidR="001C2DA4" w:rsidRPr="004038F0" w:rsidRDefault="001C2DA4" w:rsidP="00B33613">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4038F0">
              <w:rPr>
                <w:rFonts w:cs="Times New Roman"/>
                <w:color w:val="000000" w:themeColor="text1"/>
                <w:sz w:val="20"/>
                <w:szCs w:val="20"/>
              </w:rPr>
              <w:t>Ecosystem</w:t>
            </w:r>
          </w:p>
        </w:tc>
        <w:tc>
          <w:tcPr>
            <w:tcW w:w="864" w:type="dxa"/>
          </w:tcPr>
          <w:p w14:paraId="0724EC8C" w14:textId="77777777" w:rsidR="001C2DA4" w:rsidRPr="004038F0" w:rsidRDefault="001C2DA4" w:rsidP="00B33613">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sidRPr="004038F0">
              <w:rPr>
                <w:rFonts w:cs="Times New Roman"/>
                <w:color w:val="000000" w:themeColor="text1"/>
                <w:sz w:val="20"/>
                <w:szCs w:val="20"/>
              </w:rPr>
              <w:t>WUE</w:t>
            </w:r>
            <w:r>
              <w:rPr>
                <w:rFonts w:cs="Times New Roman"/>
                <w:color w:val="000000" w:themeColor="text1"/>
                <w:sz w:val="20"/>
                <w:szCs w:val="20"/>
                <w:vertAlign w:val="superscript"/>
              </w:rPr>
              <w:t>eco</w:t>
            </w:r>
          </w:p>
        </w:tc>
        <w:tc>
          <w:tcPr>
            <w:tcW w:w="1085" w:type="dxa"/>
          </w:tcPr>
          <w:p w14:paraId="2E9365EA" w14:textId="77777777" w:rsidR="001C2DA4" w:rsidRDefault="001C2DA4" w:rsidP="00B33613">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5</w:t>
            </w:r>
          </w:p>
        </w:tc>
        <w:tc>
          <w:tcPr>
            <w:tcW w:w="1145" w:type="dxa"/>
            <w:vMerge/>
          </w:tcPr>
          <w:p w14:paraId="67B99E8B" w14:textId="77777777" w:rsidR="001C2DA4" w:rsidRPr="004038F0" w:rsidRDefault="001C2DA4" w:rsidP="00B33613">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p>
        </w:tc>
        <w:tc>
          <w:tcPr>
            <w:tcW w:w="1907" w:type="dxa"/>
            <w:vMerge/>
          </w:tcPr>
          <w:p w14:paraId="570420D9" w14:textId="77777777" w:rsidR="001C2DA4" w:rsidRPr="004038F0" w:rsidRDefault="001C2DA4" w:rsidP="00B33613">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p>
        </w:tc>
        <w:tc>
          <w:tcPr>
            <w:tcW w:w="2343" w:type="dxa"/>
            <w:vMerge/>
          </w:tcPr>
          <w:p w14:paraId="546D0351" w14:textId="77777777" w:rsidR="001C2DA4" w:rsidRPr="004038F0" w:rsidRDefault="001C2DA4" w:rsidP="00B33613">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p>
        </w:tc>
        <w:tc>
          <w:tcPr>
            <w:tcW w:w="1417" w:type="dxa"/>
            <w:vMerge/>
          </w:tcPr>
          <w:p w14:paraId="75251623" w14:textId="77777777" w:rsidR="001C2DA4" w:rsidRPr="004038F0" w:rsidRDefault="001C2DA4" w:rsidP="00B33613">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p>
        </w:tc>
      </w:tr>
      <w:tr w:rsidR="001C2DA4" w:rsidRPr="004038F0" w14:paraId="08629177" w14:textId="77777777" w:rsidTr="00B33613">
        <w:tc>
          <w:tcPr>
            <w:cnfStyle w:val="001000000000" w:firstRow="0" w:lastRow="0" w:firstColumn="1" w:lastColumn="0" w:oddVBand="0" w:evenVBand="0" w:oddHBand="0" w:evenHBand="0" w:firstRowFirstColumn="0" w:firstRowLastColumn="0" w:lastRowFirstColumn="0" w:lastRowLastColumn="0"/>
            <w:tcW w:w="1528" w:type="dxa"/>
          </w:tcPr>
          <w:p w14:paraId="6784019B" w14:textId="77777777" w:rsidR="001C2DA4" w:rsidRPr="004038F0" w:rsidRDefault="001C2DA4" w:rsidP="00B33613">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rPr>
                <w:rFonts w:eastAsia="Times New Roman" w:cs="Times New Roman"/>
                <w:bCs w:val="0"/>
                <w:color w:val="000000" w:themeColor="text1"/>
                <w:sz w:val="20"/>
                <w:szCs w:val="20"/>
              </w:rPr>
            </w:pPr>
            <w:r w:rsidRPr="004038F0">
              <w:rPr>
                <w:rFonts w:eastAsia="Times New Roman" w:cs="Times New Roman"/>
                <w:bCs w:val="0"/>
                <w:color w:val="000000" w:themeColor="text1"/>
                <w:sz w:val="20"/>
                <w:szCs w:val="20"/>
              </w:rPr>
              <w:t>‘inherent’</w:t>
            </w:r>
          </w:p>
        </w:tc>
        <w:tc>
          <w:tcPr>
            <w:tcW w:w="1125" w:type="dxa"/>
          </w:tcPr>
          <w:p w14:paraId="4E3E75DE" w14:textId="77777777" w:rsidR="001C2DA4" w:rsidRPr="004038F0" w:rsidRDefault="001C2DA4" w:rsidP="00B33613">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4038F0">
              <w:rPr>
                <w:rFonts w:cs="Times New Roman"/>
                <w:color w:val="000000" w:themeColor="text1"/>
                <w:sz w:val="20"/>
                <w:szCs w:val="20"/>
              </w:rPr>
              <w:t>Ecosystem</w:t>
            </w:r>
          </w:p>
        </w:tc>
        <w:tc>
          <w:tcPr>
            <w:tcW w:w="864" w:type="dxa"/>
          </w:tcPr>
          <w:p w14:paraId="4D3CA854" w14:textId="77777777" w:rsidR="001C2DA4" w:rsidRPr="004038F0" w:rsidRDefault="001C2DA4" w:rsidP="00B33613">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I</w:t>
            </w:r>
            <w:r w:rsidRPr="004038F0">
              <w:rPr>
                <w:rFonts w:cs="Times New Roman"/>
                <w:color w:val="000000" w:themeColor="text1"/>
                <w:sz w:val="20"/>
                <w:szCs w:val="20"/>
              </w:rPr>
              <w:t>WUE</w:t>
            </w:r>
            <w:r>
              <w:rPr>
                <w:rFonts w:cs="Times New Roman"/>
                <w:color w:val="000000" w:themeColor="text1"/>
                <w:sz w:val="20"/>
                <w:szCs w:val="20"/>
                <w:vertAlign w:val="superscript"/>
              </w:rPr>
              <w:t>eco</w:t>
            </w:r>
          </w:p>
        </w:tc>
        <w:tc>
          <w:tcPr>
            <w:tcW w:w="1085" w:type="dxa"/>
          </w:tcPr>
          <w:p w14:paraId="2B1280D3" w14:textId="77777777" w:rsidR="001C2DA4" w:rsidRDefault="001C2DA4" w:rsidP="00B33613">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8</w:t>
            </w:r>
          </w:p>
        </w:tc>
        <w:tc>
          <w:tcPr>
            <w:tcW w:w="1145" w:type="dxa"/>
            <w:vMerge/>
          </w:tcPr>
          <w:p w14:paraId="7FE4DE1D" w14:textId="77777777" w:rsidR="001C2DA4" w:rsidRPr="004038F0" w:rsidRDefault="001C2DA4" w:rsidP="00B33613">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p>
        </w:tc>
        <w:tc>
          <w:tcPr>
            <w:tcW w:w="1907" w:type="dxa"/>
            <w:vMerge/>
          </w:tcPr>
          <w:p w14:paraId="0A29F8F9" w14:textId="77777777" w:rsidR="001C2DA4" w:rsidRPr="004038F0" w:rsidRDefault="001C2DA4" w:rsidP="00B33613">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p>
        </w:tc>
        <w:tc>
          <w:tcPr>
            <w:tcW w:w="2343" w:type="dxa"/>
            <w:vMerge/>
          </w:tcPr>
          <w:p w14:paraId="07411472" w14:textId="77777777" w:rsidR="001C2DA4" w:rsidRPr="004038F0" w:rsidRDefault="001C2DA4" w:rsidP="00B33613">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p>
        </w:tc>
        <w:tc>
          <w:tcPr>
            <w:tcW w:w="1417" w:type="dxa"/>
            <w:vMerge/>
          </w:tcPr>
          <w:p w14:paraId="66B9FE6D" w14:textId="77777777" w:rsidR="001C2DA4" w:rsidRPr="004038F0" w:rsidRDefault="001C2DA4" w:rsidP="00B33613">
            <w:pPr>
              <w:pStyle w:val="Body"/>
              <w:pBdr>
                <w:top w:val="none" w:sz="0" w:space="0" w:color="auto"/>
                <w:left w:val="none" w:sz="0" w:space="0" w:color="auto"/>
                <w:bottom w:val="none" w:sz="0" w:space="0" w:color="auto"/>
                <w:right w:val="none" w:sz="0" w:space="0" w:color="auto"/>
                <w:between w:val="none" w:sz="0" w:space="0" w:color="auto"/>
                <w:bar w:val="none" w:sz="0" w:color="auto"/>
              </w:pBdr>
              <w:spacing w:line="360" w:lineRule="auto"/>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sz w:val="20"/>
                <w:szCs w:val="20"/>
              </w:rPr>
            </w:pPr>
          </w:p>
        </w:tc>
      </w:tr>
    </w:tbl>
    <w:p w14:paraId="48732AFE" w14:textId="77777777" w:rsidR="001C2DA4" w:rsidRPr="003E6A68" w:rsidRDefault="001C2DA4" w:rsidP="001C2DA4">
      <w:pPr>
        <w:pStyle w:val="Body"/>
        <w:spacing w:line="360" w:lineRule="auto"/>
        <w:jc w:val="both"/>
        <w:rPr>
          <w:rFonts w:cs="Times New Roman"/>
          <w:color w:val="000000" w:themeColor="text1"/>
          <w:sz w:val="18"/>
          <w:szCs w:val="18"/>
        </w:rPr>
      </w:pPr>
      <w:r w:rsidRPr="004038F0">
        <w:rPr>
          <w:rFonts w:cs="Times New Roman"/>
          <w:color w:val="000000" w:themeColor="text1"/>
          <w:sz w:val="18"/>
          <w:szCs w:val="18"/>
          <w:vertAlign w:val="superscript"/>
        </w:rPr>
        <w:t>1</w:t>
      </w:r>
      <w:r w:rsidRPr="004038F0">
        <w:rPr>
          <w:rFonts w:cs="Times New Roman"/>
          <w:color w:val="000000" w:themeColor="text1"/>
          <w:sz w:val="18"/>
          <w:szCs w:val="18"/>
        </w:rPr>
        <w:t>Latent heat flux (LE), sensible flux (</w:t>
      </w:r>
      <w:r w:rsidRPr="00AC638E">
        <w:rPr>
          <w:rFonts w:cs="Times New Roman"/>
          <w:i/>
          <w:color w:val="000000" w:themeColor="text1"/>
          <w:sz w:val="18"/>
          <w:szCs w:val="18"/>
        </w:rPr>
        <w:t>H</w:t>
      </w:r>
      <w:r w:rsidRPr="004038F0">
        <w:rPr>
          <w:rFonts w:cs="Times New Roman"/>
          <w:color w:val="000000" w:themeColor="text1"/>
          <w:sz w:val="18"/>
          <w:szCs w:val="18"/>
        </w:rPr>
        <w:t>), net ecosystem exchange of CO</w:t>
      </w:r>
      <w:r w:rsidRPr="004038F0">
        <w:rPr>
          <w:rFonts w:cs="Times New Roman"/>
          <w:color w:val="000000" w:themeColor="text1"/>
          <w:sz w:val="18"/>
          <w:szCs w:val="18"/>
          <w:vertAlign w:val="subscript"/>
        </w:rPr>
        <w:t>2</w:t>
      </w:r>
      <w:r w:rsidRPr="004038F0">
        <w:rPr>
          <w:rFonts w:cs="Times New Roman"/>
          <w:color w:val="000000" w:themeColor="text1"/>
          <w:sz w:val="18"/>
          <w:szCs w:val="18"/>
        </w:rPr>
        <w:t xml:space="preserve"> between the ecosystem and the atmosphere (NEE), gross primary production (GPP), air temperature (</w:t>
      </w:r>
      <w:r w:rsidRPr="007439AD">
        <w:rPr>
          <w:rFonts w:cs="Times New Roman"/>
          <w:i/>
          <w:color w:val="000000" w:themeColor="text1"/>
          <w:sz w:val="18"/>
          <w:szCs w:val="18"/>
        </w:rPr>
        <w:t>T</w:t>
      </w:r>
      <w:r w:rsidRPr="004038F0">
        <w:rPr>
          <w:rFonts w:cs="Times New Roman"/>
          <w:color w:val="000000" w:themeColor="text1"/>
          <w:sz w:val="18"/>
          <w:szCs w:val="18"/>
          <w:vertAlign w:val="subscript"/>
        </w:rPr>
        <w:t>air</w:t>
      </w:r>
      <w:r w:rsidRPr="004038F0">
        <w:rPr>
          <w:rFonts w:cs="Times New Roman"/>
          <w:color w:val="000000" w:themeColor="text1"/>
          <w:sz w:val="18"/>
          <w:szCs w:val="18"/>
        </w:rPr>
        <w:t>), vapour pressure deficit (VPD), net radiation (</w:t>
      </w:r>
      <w:r w:rsidRPr="007439AD">
        <w:rPr>
          <w:rFonts w:cs="Times New Roman"/>
          <w:i/>
          <w:color w:val="000000" w:themeColor="text1"/>
          <w:sz w:val="18"/>
          <w:szCs w:val="18"/>
        </w:rPr>
        <w:t>R</w:t>
      </w:r>
      <w:r w:rsidRPr="004038F0">
        <w:rPr>
          <w:rFonts w:cs="Times New Roman"/>
          <w:color w:val="000000" w:themeColor="text1"/>
          <w:sz w:val="18"/>
          <w:szCs w:val="18"/>
          <w:vertAlign w:val="subscript"/>
        </w:rPr>
        <w:t>n</w:t>
      </w:r>
      <w:r w:rsidRPr="004038F0">
        <w:rPr>
          <w:rFonts w:cs="Times New Roman"/>
          <w:color w:val="000000" w:themeColor="text1"/>
          <w:sz w:val="18"/>
          <w:szCs w:val="18"/>
        </w:rPr>
        <w:t xml:space="preserve">), precipitation (P). </w:t>
      </w:r>
      <w:r w:rsidRPr="004038F0">
        <w:rPr>
          <w:rFonts w:cs="Times New Roman"/>
          <w:color w:val="000000" w:themeColor="text1"/>
          <w:sz w:val="18"/>
          <w:szCs w:val="18"/>
          <w:vertAlign w:val="superscript"/>
        </w:rPr>
        <w:t>2</w:t>
      </w:r>
      <w:r w:rsidRPr="004038F0">
        <w:rPr>
          <w:rFonts w:cs="Times New Roman"/>
          <w:color w:val="000000" w:themeColor="text1"/>
          <w:sz w:val="18"/>
          <w:szCs w:val="18"/>
        </w:rPr>
        <w:t xml:space="preserve">International tree-ring databank (ITRDB; </w:t>
      </w:r>
      <w:hyperlink r:id="rId8" w:history="1">
        <w:r w:rsidRPr="00EA7514">
          <w:rPr>
            <w:rStyle w:val="Hyperlink"/>
            <w:rFonts w:cs="Times New Roman"/>
            <w:color w:val="000000" w:themeColor="text1"/>
            <w:sz w:val="18"/>
            <w:szCs w:val="18"/>
          </w:rPr>
          <w:t>https://www.ncdc.noaa.gov/dataaccess/paleoclimatology-data/datasets/tree-ring</w:t>
        </w:r>
      </w:hyperlink>
      <w:r w:rsidRPr="004038F0">
        <w:rPr>
          <w:rFonts w:cs="Times New Roman"/>
          <w:color w:val="000000" w:themeColor="text1"/>
          <w:sz w:val="18"/>
          <w:szCs w:val="18"/>
        </w:rPr>
        <w:t>)</w:t>
      </w:r>
      <w:r w:rsidRPr="00EA7514">
        <w:rPr>
          <w:rFonts w:cs="Times New Roman"/>
          <w:color w:val="000000" w:themeColor="text1"/>
          <w:sz w:val="18"/>
          <w:szCs w:val="18"/>
          <w:lang w:val="en-GB"/>
        </w:rPr>
        <w:t>, eddy</w:t>
      </w:r>
      <w:r w:rsidRPr="004038F0">
        <w:rPr>
          <w:rFonts w:cs="Times New Roman"/>
          <w:color w:val="000000" w:themeColor="text1"/>
          <w:sz w:val="18"/>
          <w:szCs w:val="18"/>
          <w:lang w:val="en-GB"/>
        </w:rPr>
        <w:t xml:space="preserve">-covariance flux towers network (FLUXNET; </w:t>
      </w:r>
      <w:hyperlink r:id="rId9" w:history="1">
        <w:r w:rsidRPr="00C05D46">
          <w:rPr>
            <w:rStyle w:val="Hyperlink"/>
            <w:rFonts w:cs="Times New Roman"/>
            <w:sz w:val="18"/>
            <w:szCs w:val="18"/>
            <w:lang w:val="de-DE"/>
          </w:rPr>
          <w:t>http://fluxnet.fluxdata.org/data</w:t>
        </w:r>
      </w:hyperlink>
      <w:r w:rsidRPr="004038F0">
        <w:rPr>
          <w:rFonts w:cs="Times New Roman"/>
          <w:color w:val="000000" w:themeColor="text1"/>
          <w:sz w:val="18"/>
          <w:szCs w:val="18"/>
          <w:lang w:val="de-DE"/>
        </w:rPr>
        <w:t>)</w:t>
      </w:r>
      <w:r>
        <w:rPr>
          <w:rFonts w:cs="Times New Roman"/>
          <w:color w:val="000000" w:themeColor="text1"/>
          <w:sz w:val="18"/>
          <w:szCs w:val="18"/>
          <w:lang w:val="de-DE"/>
        </w:rPr>
        <w:t xml:space="preserve"> </w:t>
      </w:r>
    </w:p>
    <w:p w14:paraId="2456907F" w14:textId="44BAD3B1" w:rsidR="001C2DA4" w:rsidRDefault="001C2DA4" w:rsidP="001A0EBC">
      <w:pPr>
        <w:pBdr>
          <w:top w:val="nil"/>
          <w:left w:val="nil"/>
          <w:bottom w:val="nil"/>
          <w:right w:val="nil"/>
          <w:between w:val="nil"/>
          <w:bar w:val="nil"/>
        </w:pBdr>
        <w:spacing w:line="360" w:lineRule="auto"/>
      </w:pPr>
    </w:p>
    <w:p w14:paraId="37410A21" w14:textId="77777777" w:rsidR="00310A4F" w:rsidRPr="006939A0" w:rsidRDefault="00BC43AE" w:rsidP="00310A4F">
      <w:pPr>
        <w:pStyle w:val="Body"/>
        <w:spacing w:before="240" w:line="360" w:lineRule="auto"/>
        <w:jc w:val="both"/>
        <w:rPr>
          <w:b/>
          <w:color w:val="535353" w:themeColor="background2"/>
        </w:rPr>
      </w:pPr>
      <w:r>
        <w:br w:type="page"/>
      </w:r>
      <w:r w:rsidR="00310A4F" w:rsidRPr="00FD5051">
        <w:rPr>
          <w:b/>
          <w:color w:val="000000" w:themeColor="text1"/>
        </w:rPr>
        <w:t>Table 2.</w:t>
      </w:r>
      <w:r w:rsidR="00310A4F" w:rsidRPr="00FD5051">
        <w:rPr>
          <w:color w:val="000000" w:themeColor="text1"/>
        </w:rPr>
        <w:t xml:space="preserve"> Sources of uncertainty in the estimates of WUE associated with the different datasets, and their impacts on estimated trends</w:t>
      </w:r>
    </w:p>
    <w:tbl>
      <w:tblPr>
        <w:tblStyle w:val="PlainTable11"/>
        <w:tblpPr w:leftFromText="180" w:rightFromText="180" w:horzAnchor="margin" w:tblpXSpec="center" w:tblpY="-273"/>
        <w:tblW w:w="11918" w:type="dxa"/>
        <w:tblLayout w:type="fixed"/>
        <w:tblLook w:val="04A0" w:firstRow="1" w:lastRow="0" w:firstColumn="1" w:lastColumn="0" w:noHBand="0" w:noVBand="1"/>
      </w:tblPr>
      <w:tblGrid>
        <w:gridCol w:w="1429"/>
        <w:gridCol w:w="1417"/>
        <w:gridCol w:w="5387"/>
        <w:gridCol w:w="3685"/>
      </w:tblGrid>
      <w:tr w:rsidR="00310A4F" w14:paraId="654D9DCC" w14:textId="77777777" w:rsidTr="00B33613">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429" w:type="dxa"/>
          </w:tcPr>
          <w:p w14:paraId="552E5F71" w14:textId="77777777" w:rsidR="00310A4F" w:rsidRPr="006E1B71" w:rsidRDefault="00310A4F" w:rsidP="00B33613">
            <w:pPr>
              <w:keepNext/>
              <w:spacing w:after="240" w:line="360" w:lineRule="auto"/>
              <w:jc w:val="center"/>
              <w:rPr>
                <w:color w:val="000000" w:themeColor="text1"/>
                <w:sz w:val="22"/>
                <w:szCs w:val="22"/>
              </w:rPr>
            </w:pPr>
            <w:r w:rsidRPr="006E1B71">
              <w:rPr>
                <w:color w:val="000000" w:themeColor="text1"/>
                <w:sz w:val="22"/>
                <w:szCs w:val="22"/>
              </w:rPr>
              <w:t>Type of data</w:t>
            </w:r>
          </w:p>
        </w:tc>
        <w:tc>
          <w:tcPr>
            <w:tcW w:w="1417" w:type="dxa"/>
          </w:tcPr>
          <w:p w14:paraId="6F104884" w14:textId="77777777" w:rsidR="00310A4F" w:rsidRPr="006E1B71" w:rsidRDefault="00310A4F" w:rsidP="00B33613">
            <w:pPr>
              <w:keepNext/>
              <w:spacing w:after="240" w:line="36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2"/>
                <w:szCs w:val="22"/>
              </w:rPr>
            </w:pPr>
            <w:r w:rsidRPr="006E1B71">
              <w:rPr>
                <w:color w:val="000000" w:themeColor="text1"/>
                <w:sz w:val="22"/>
                <w:szCs w:val="22"/>
              </w:rPr>
              <w:t>Source of uncertainty</w:t>
            </w:r>
          </w:p>
        </w:tc>
        <w:tc>
          <w:tcPr>
            <w:tcW w:w="5387" w:type="dxa"/>
          </w:tcPr>
          <w:p w14:paraId="5EBAE151" w14:textId="77777777" w:rsidR="00310A4F" w:rsidRPr="006E1B71" w:rsidRDefault="00310A4F" w:rsidP="00B33613">
            <w:pPr>
              <w:keepNext/>
              <w:spacing w:after="240" w:line="36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2"/>
                <w:szCs w:val="22"/>
              </w:rPr>
            </w:pPr>
            <w:r w:rsidRPr="006E1B71">
              <w:rPr>
                <w:color w:val="000000" w:themeColor="text1"/>
                <w:sz w:val="22"/>
                <w:szCs w:val="22"/>
              </w:rPr>
              <w:t>Examples</w:t>
            </w:r>
            <w:r>
              <w:rPr>
                <w:color w:val="000000" w:themeColor="text1"/>
                <w:sz w:val="22"/>
                <w:szCs w:val="22"/>
              </w:rPr>
              <w:t xml:space="preserve"> and estimation of errors </w:t>
            </w:r>
          </w:p>
        </w:tc>
        <w:tc>
          <w:tcPr>
            <w:tcW w:w="3685" w:type="dxa"/>
          </w:tcPr>
          <w:p w14:paraId="4262D9E2" w14:textId="77777777" w:rsidR="00310A4F" w:rsidRPr="006E1B71" w:rsidRDefault="00310A4F" w:rsidP="00B33613">
            <w:pPr>
              <w:keepNext/>
              <w:spacing w:after="240" w:line="360"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22"/>
                <w:szCs w:val="22"/>
              </w:rPr>
            </w:pPr>
            <w:r>
              <w:rPr>
                <w:color w:val="000000" w:themeColor="text1"/>
                <w:sz w:val="22"/>
                <w:szCs w:val="22"/>
              </w:rPr>
              <w:t>Impacts on trends</w:t>
            </w:r>
          </w:p>
        </w:tc>
      </w:tr>
      <w:tr w:rsidR="00310A4F" w14:paraId="14E40DDA" w14:textId="77777777" w:rsidTr="00B33613">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429" w:type="dxa"/>
            <w:vMerge w:val="restart"/>
          </w:tcPr>
          <w:p w14:paraId="6DAB8E1F" w14:textId="68BFC214" w:rsidR="00310A4F" w:rsidRPr="00B10B31" w:rsidRDefault="00310A4F" w:rsidP="00B33613">
            <w:pPr>
              <w:keepNext/>
              <w:spacing w:after="240" w:line="360" w:lineRule="auto"/>
              <w:jc w:val="both"/>
              <w:rPr>
                <w:b w:val="0"/>
                <w:color w:val="000000" w:themeColor="text1"/>
                <w:sz w:val="20"/>
                <w:szCs w:val="20"/>
              </w:rPr>
            </w:pPr>
            <w:r>
              <w:rPr>
                <w:b w:val="0"/>
                <w:color w:val="000000" w:themeColor="text1"/>
                <w:sz w:val="20"/>
                <w:szCs w:val="20"/>
              </w:rPr>
              <w:t>Stable carbon isotopes in tree</w:t>
            </w:r>
            <w:r w:rsidR="00DD4AE4">
              <w:rPr>
                <w:b w:val="0"/>
                <w:color w:val="000000" w:themeColor="text1"/>
                <w:sz w:val="20"/>
                <w:szCs w:val="20"/>
              </w:rPr>
              <w:t xml:space="preserve"> </w:t>
            </w:r>
            <w:r>
              <w:rPr>
                <w:b w:val="0"/>
                <w:color w:val="000000" w:themeColor="text1"/>
                <w:sz w:val="20"/>
                <w:szCs w:val="20"/>
              </w:rPr>
              <w:t xml:space="preserve">rings </w:t>
            </w:r>
          </w:p>
        </w:tc>
        <w:tc>
          <w:tcPr>
            <w:tcW w:w="1417" w:type="dxa"/>
          </w:tcPr>
          <w:p w14:paraId="6978347E" w14:textId="77777777" w:rsidR="00310A4F" w:rsidRPr="00B10B31" w:rsidRDefault="00310A4F" w:rsidP="00B33613">
            <w:pPr>
              <w:keepNext/>
              <w:spacing w:after="240"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 xml:space="preserve">Analytical error </w:t>
            </w:r>
          </w:p>
        </w:tc>
        <w:tc>
          <w:tcPr>
            <w:tcW w:w="5387" w:type="dxa"/>
          </w:tcPr>
          <w:p w14:paraId="4382C214" w14:textId="77777777" w:rsidR="00310A4F" w:rsidRPr="00B10B31" w:rsidRDefault="00310A4F" w:rsidP="00B33613">
            <w:pPr>
              <w:keepNext/>
              <w:spacing w:after="240"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Instrumental drift and low measurement reproducibility: rejection of outliers using an internal laboratory standard (typically</w:t>
            </w:r>
            <w:r w:rsidRPr="00CC0699">
              <w:rPr>
                <w:color w:val="000000" w:themeColor="text1"/>
                <w:sz w:val="20"/>
                <w:szCs w:val="20"/>
              </w:rPr>
              <w:t xml:space="preserve"> </w:t>
            </w:r>
            <w:r w:rsidRPr="00CC0699">
              <w:rPr>
                <w:color w:val="000000" w:themeColor="text1"/>
                <w:sz w:val="20"/>
                <w:szCs w:val="20"/>
              </w:rPr>
              <w:sym w:font="Symbol" w:char="F0B1"/>
            </w:r>
            <w:r>
              <w:rPr>
                <w:color w:val="000000" w:themeColor="text1"/>
              </w:rPr>
              <w:t xml:space="preserve"> </w:t>
            </w:r>
            <w:r>
              <w:rPr>
                <w:color w:val="000000" w:themeColor="text1"/>
                <w:sz w:val="20"/>
                <w:szCs w:val="20"/>
              </w:rPr>
              <w:t>0.1</w:t>
            </w:r>
            <w:r w:rsidRPr="0014444E">
              <w:rPr>
                <w:sz w:val="20"/>
                <w:szCs w:val="20"/>
              </w:rPr>
              <w:t>‰</w:t>
            </w:r>
            <w:r>
              <w:rPr>
                <w:sz w:val="20"/>
                <w:szCs w:val="20"/>
              </w:rPr>
              <w:t>)</w:t>
            </w:r>
          </w:p>
        </w:tc>
        <w:tc>
          <w:tcPr>
            <w:tcW w:w="3685" w:type="dxa"/>
          </w:tcPr>
          <w:p w14:paraId="0A5C6038" w14:textId="77777777" w:rsidR="00310A4F" w:rsidRDefault="00310A4F" w:rsidP="00B33613">
            <w:pPr>
              <w:keepNext/>
              <w:spacing w:after="240"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No impact as considered constant over time</w:t>
            </w:r>
          </w:p>
        </w:tc>
      </w:tr>
      <w:tr w:rsidR="00310A4F" w14:paraId="069370EB" w14:textId="77777777" w:rsidTr="00B33613">
        <w:trPr>
          <w:trHeight w:val="255"/>
        </w:trPr>
        <w:tc>
          <w:tcPr>
            <w:cnfStyle w:val="001000000000" w:firstRow="0" w:lastRow="0" w:firstColumn="1" w:lastColumn="0" w:oddVBand="0" w:evenVBand="0" w:oddHBand="0" w:evenHBand="0" w:firstRowFirstColumn="0" w:firstRowLastColumn="0" w:lastRowFirstColumn="0" w:lastRowLastColumn="0"/>
            <w:tcW w:w="1429" w:type="dxa"/>
            <w:vMerge/>
          </w:tcPr>
          <w:p w14:paraId="0BF41EF1" w14:textId="77777777" w:rsidR="00310A4F" w:rsidRDefault="00310A4F" w:rsidP="00B33613">
            <w:pPr>
              <w:keepNext/>
              <w:spacing w:after="240" w:line="360" w:lineRule="auto"/>
              <w:jc w:val="both"/>
              <w:rPr>
                <w:b w:val="0"/>
                <w:color w:val="000000" w:themeColor="text1"/>
                <w:sz w:val="20"/>
                <w:szCs w:val="20"/>
              </w:rPr>
            </w:pPr>
          </w:p>
        </w:tc>
        <w:tc>
          <w:tcPr>
            <w:tcW w:w="1417" w:type="dxa"/>
            <w:vMerge w:val="restart"/>
          </w:tcPr>
          <w:p w14:paraId="2F53C69D" w14:textId="77777777" w:rsidR="00310A4F" w:rsidRDefault="00310A4F" w:rsidP="00B33613">
            <w:pPr>
              <w:keepNext/>
              <w:spacing w:after="240"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Sampling bias</w:t>
            </w:r>
          </w:p>
        </w:tc>
        <w:tc>
          <w:tcPr>
            <w:tcW w:w="5387" w:type="dxa"/>
          </w:tcPr>
          <w:p w14:paraId="3BF73E51" w14:textId="77777777" w:rsidR="00310A4F" w:rsidRDefault="00310A4F" w:rsidP="00B33613">
            <w:pPr>
              <w:keepNext/>
              <w:spacing w:after="240"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 xml:space="preserve">Large intra-site variability and low number of sampled trees: consideration of series with high expressed population signal </w:t>
            </w:r>
            <w:r>
              <w:rPr>
                <w:color w:val="000000" w:themeColor="text1"/>
                <w:sz w:val="20"/>
                <w:szCs w:val="20"/>
              </w:rPr>
              <w:br/>
              <w:t>(&gt; 0.85) and low confidence interval around the mean (&lt; 0.5</w:t>
            </w:r>
            <w:r w:rsidRPr="0014444E">
              <w:rPr>
                <w:sz w:val="20"/>
                <w:szCs w:val="20"/>
              </w:rPr>
              <w:t>‰</w:t>
            </w:r>
            <w:r>
              <w:rPr>
                <w:color w:val="000000" w:themeColor="text1"/>
                <w:sz w:val="20"/>
                <w:szCs w:val="20"/>
              </w:rPr>
              <w:t>)</w:t>
            </w:r>
          </w:p>
        </w:tc>
        <w:tc>
          <w:tcPr>
            <w:tcW w:w="3685" w:type="dxa"/>
          </w:tcPr>
          <w:p w14:paraId="171E75A1" w14:textId="77777777" w:rsidR="00310A4F" w:rsidRDefault="00310A4F" w:rsidP="00B33613">
            <w:pPr>
              <w:keepNext/>
              <w:spacing w:after="240"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 xml:space="preserve">No impact assuming that the confidence interval around the mean constant over time </w:t>
            </w:r>
          </w:p>
        </w:tc>
      </w:tr>
      <w:tr w:rsidR="00310A4F" w14:paraId="1A087DC7" w14:textId="77777777" w:rsidTr="00B3361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29" w:type="dxa"/>
            <w:vMerge/>
          </w:tcPr>
          <w:p w14:paraId="615F8929" w14:textId="77777777" w:rsidR="00310A4F" w:rsidRDefault="00310A4F" w:rsidP="00B33613">
            <w:pPr>
              <w:keepNext/>
              <w:spacing w:after="240" w:line="360" w:lineRule="auto"/>
              <w:jc w:val="both"/>
              <w:rPr>
                <w:b w:val="0"/>
                <w:color w:val="000000" w:themeColor="text1"/>
                <w:sz w:val="20"/>
                <w:szCs w:val="20"/>
              </w:rPr>
            </w:pPr>
          </w:p>
        </w:tc>
        <w:tc>
          <w:tcPr>
            <w:tcW w:w="1417" w:type="dxa"/>
            <w:vMerge/>
          </w:tcPr>
          <w:p w14:paraId="291DE707" w14:textId="77777777" w:rsidR="00310A4F" w:rsidRDefault="00310A4F" w:rsidP="00B33613">
            <w:pPr>
              <w:keepNext/>
              <w:spacing w:after="240"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5387" w:type="dxa"/>
          </w:tcPr>
          <w:p w14:paraId="7B34B80E" w14:textId="77777777" w:rsidR="00310A4F" w:rsidRDefault="00310A4F" w:rsidP="00B33613">
            <w:pPr>
              <w:keepNext/>
              <w:spacing w:after="240"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Selection of sites at high-latitude and high-elevation: difficult to quantify</w:t>
            </w:r>
          </w:p>
        </w:tc>
        <w:tc>
          <w:tcPr>
            <w:tcW w:w="3685" w:type="dxa"/>
          </w:tcPr>
          <w:p w14:paraId="3085D9FD" w14:textId="77777777" w:rsidR="00310A4F" w:rsidRDefault="00310A4F" w:rsidP="00B33613">
            <w:pPr>
              <w:keepNext/>
              <w:spacing w:after="240"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 xml:space="preserve">Medium as trend estimates may only reflect changes at marginal locations </w:t>
            </w:r>
          </w:p>
        </w:tc>
      </w:tr>
      <w:tr w:rsidR="00310A4F" w14:paraId="0A304871" w14:textId="77777777" w:rsidTr="00B33613">
        <w:trPr>
          <w:trHeight w:val="575"/>
        </w:trPr>
        <w:tc>
          <w:tcPr>
            <w:cnfStyle w:val="001000000000" w:firstRow="0" w:lastRow="0" w:firstColumn="1" w:lastColumn="0" w:oddVBand="0" w:evenVBand="0" w:oddHBand="0" w:evenHBand="0" w:firstRowFirstColumn="0" w:firstRowLastColumn="0" w:lastRowFirstColumn="0" w:lastRowLastColumn="0"/>
            <w:tcW w:w="1429" w:type="dxa"/>
            <w:vMerge/>
          </w:tcPr>
          <w:p w14:paraId="52CDFDFA" w14:textId="77777777" w:rsidR="00310A4F" w:rsidRDefault="00310A4F" w:rsidP="00B33613">
            <w:pPr>
              <w:keepNext/>
              <w:spacing w:after="240" w:line="360" w:lineRule="auto"/>
              <w:jc w:val="both"/>
              <w:rPr>
                <w:b w:val="0"/>
                <w:color w:val="000000" w:themeColor="text1"/>
                <w:sz w:val="20"/>
                <w:szCs w:val="20"/>
              </w:rPr>
            </w:pPr>
          </w:p>
        </w:tc>
        <w:tc>
          <w:tcPr>
            <w:tcW w:w="1417" w:type="dxa"/>
            <w:vMerge w:val="restart"/>
          </w:tcPr>
          <w:p w14:paraId="439552FC" w14:textId="77777777" w:rsidR="00310A4F" w:rsidRDefault="00310A4F" w:rsidP="00B33613">
            <w:pPr>
              <w:keepNext/>
              <w:spacing w:after="240"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Conceptual uncertainty</w:t>
            </w:r>
          </w:p>
        </w:tc>
        <w:tc>
          <w:tcPr>
            <w:tcW w:w="5387" w:type="dxa"/>
          </w:tcPr>
          <w:p w14:paraId="529D6E5A" w14:textId="77777777" w:rsidR="00310A4F" w:rsidRPr="000007C3" w:rsidRDefault="00310A4F" w:rsidP="00B33613">
            <w:pPr>
              <w:keepNext/>
              <w:spacing w:after="240"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A6917">
              <w:rPr>
                <w:color w:val="000000" w:themeColor="text1"/>
                <w:sz w:val="20"/>
                <w:szCs w:val="20"/>
              </w:rPr>
              <w:t>Assumption</w:t>
            </w:r>
            <w:r>
              <w:rPr>
                <w:color w:val="000000" w:themeColor="text1"/>
                <w:sz w:val="20"/>
                <w:szCs w:val="20"/>
              </w:rPr>
              <w:t>s</w:t>
            </w:r>
            <w:r w:rsidRPr="003A6917">
              <w:rPr>
                <w:color w:val="000000" w:themeColor="text1"/>
                <w:sz w:val="20"/>
                <w:szCs w:val="20"/>
              </w:rPr>
              <w:t xml:space="preserve"> of </w:t>
            </w:r>
            <w:r w:rsidRPr="003A6917">
              <w:rPr>
                <w:sz w:val="20"/>
                <w:szCs w:val="20"/>
              </w:rPr>
              <w:t>infinite boundary-layer and mesophyll conductances</w:t>
            </w:r>
            <w:r w:rsidRPr="003A6917">
              <w:rPr>
                <w:sz w:val="20"/>
                <w:szCs w:val="20"/>
                <w:lang w:val="es-ES_tradnl"/>
              </w:rPr>
              <w:t xml:space="preserve"> and</w:t>
            </w:r>
            <w:r w:rsidRPr="003A6917">
              <w:rPr>
                <w:color w:val="000000" w:themeColor="text1"/>
                <w:sz w:val="20"/>
                <w:szCs w:val="20"/>
              </w:rPr>
              <w:t xml:space="preserve"> negligible fractionation during day respiration</w:t>
            </w:r>
            <w:r>
              <w:rPr>
                <w:color w:val="000000" w:themeColor="text1"/>
                <w:sz w:val="20"/>
                <w:szCs w:val="20"/>
              </w:rPr>
              <w:t xml:space="preserve"> in the</w:t>
            </w:r>
            <w:r w:rsidRPr="00F31A56">
              <w:rPr>
                <w:color w:val="000000" w:themeColor="text1"/>
                <w:sz w:val="20"/>
                <w:szCs w:val="20"/>
              </w:rPr>
              <w:t xml:space="preserve"> Δ</w:t>
            </w:r>
            <w:r w:rsidRPr="00F31A56">
              <w:rPr>
                <w:color w:val="000000" w:themeColor="text1"/>
                <w:sz w:val="20"/>
                <w:szCs w:val="20"/>
                <w:vertAlign w:val="superscript"/>
              </w:rPr>
              <w:t>13</w:t>
            </w:r>
            <w:r w:rsidRPr="00F31A56">
              <w:rPr>
                <w:color w:val="000000" w:themeColor="text1"/>
                <w:sz w:val="20"/>
                <w:szCs w:val="20"/>
              </w:rPr>
              <w:t>C</w:t>
            </w:r>
            <w:r>
              <w:rPr>
                <w:color w:val="000000" w:themeColor="text1"/>
                <w:sz w:val="20"/>
                <w:szCs w:val="20"/>
              </w:rPr>
              <w:t xml:space="preserve"> model: difficult to quantify</w:t>
            </w:r>
          </w:p>
        </w:tc>
        <w:tc>
          <w:tcPr>
            <w:tcW w:w="3685" w:type="dxa"/>
          </w:tcPr>
          <w:p w14:paraId="7C9F669B" w14:textId="77777777" w:rsidR="00310A4F" w:rsidRDefault="00310A4F" w:rsidP="00B33613">
            <w:pPr>
              <w:keepNext/>
              <w:spacing w:after="240"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Low to medium</w:t>
            </w:r>
          </w:p>
        </w:tc>
      </w:tr>
      <w:tr w:rsidR="00310A4F" w14:paraId="6EC189E5" w14:textId="77777777" w:rsidTr="00B33613">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1429" w:type="dxa"/>
            <w:vMerge/>
          </w:tcPr>
          <w:p w14:paraId="7957BB8A" w14:textId="77777777" w:rsidR="00310A4F" w:rsidRDefault="00310A4F" w:rsidP="00B33613">
            <w:pPr>
              <w:keepNext/>
              <w:spacing w:after="240" w:line="360" w:lineRule="auto"/>
              <w:jc w:val="both"/>
              <w:rPr>
                <w:b w:val="0"/>
                <w:color w:val="000000" w:themeColor="text1"/>
                <w:sz w:val="20"/>
                <w:szCs w:val="20"/>
              </w:rPr>
            </w:pPr>
          </w:p>
        </w:tc>
        <w:tc>
          <w:tcPr>
            <w:tcW w:w="1417" w:type="dxa"/>
            <w:vMerge/>
          </w:tcPr>
          <w:p w14:paraId="35C28895" w14:textId="77777777" w:rsidR="00310A4F" w:rsidRDefault="00310A4F" w:rsidP="00B33613">
            <w:pPr>
              <w:keepNext/>
              <w:spacing w:after="240"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5387" w:type="dxa"/>
          </w:tcPr>
          <w:p w14:paraId="02FE81E4" w14:textId="77777777" w:rsidR="00310A4F" w:rsidRDefault="00310A4F" w:rsidP="00B33613">
            <w:pPr>
              <w:keepNext/>
              <w:spacing w:after="240"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Values for fractionation factors in the</w:t>
            </w:r>
            <w:r w:rsidRPr="00F31A56">
              <w:rPr>
                <w:color w:val="000000" w:themeColor="text1"/>
                <w:sz w:val="20"/>
                <w:szCs w:val="20"/>
              </w:rPr>
              <w:t xml:space="preserve"> Δ</w:t>
            </w:r>
            <w:r w:rsidRPr="00F31A56">
              <w:rPr>
                <w:color w:val="000000" w:themeColor="text1"/>
                <w:sz w:val="20"/>
                <w:szCs w:val="20"/>
                <w:vertAlign w:val="superscript"/>
              </w:rPr>
              <w:t>13</w:t>
            </w:r>
            <w:r w:rsidRPr="00F31A56">
              <w:rPr>
                <w:color w:val="000000" w:themeColor="text1"/>
                <w:sz w:val="20"/>
                <w:szCs w:val="20"/>
              </w:rPr>
              <w:t>C</w:t>
            </w:r>
            <w:r>
              <w:rPr>
                <w:color w:val="000000" w:themeColor="text1"/>
                <w:sz w:val="20"/>
                <w:szCs w:val="20"/>
              </w:rPr>
              <w:t xml:space="preserve"> model</w:t>
            </w:r>
          </w:p>
        </w:tc>
        <w:tc>
          <w:tcPr>
            <w:tcW w:w="3685" w:type="dxa"/>
          </w:tcPr>
          <w:p w14:paraId="78C9BF6C" w14:textId="77777777" w:rsidR="00310A4F" w:rsidRDefault="00310A4F" w:rsidP="00B33613">
            <w:pPr>
              <w:keepNext/>
              <w:spacing w:after="240"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No impact as assumed constant over time</w:t>
            </w:r>
          </w:p>
        </w:tc>
      </w:tr>
      <w:tr w:rsidR="00310A4F" w14:paraId="3EDF91EB" w14:textId="77777777" w:rsidTr="00B33613">
        <w:trPr>
          <w:trHeight w:val="574"/>
        </w:trPr>
        <w:tc>
          <w:tcPr>
            <w:cnfStyle w:val="001000000000" w:firstRow="0" w:lastRow="0" w:firstColumn="1" w:lastColumn="0" w:oddVBand="0" w:evenVBand="0" w:oddHBand="0" w:evenHBand="0" w:firstRowFirstColumn="0" w:firstRowLastColumn="0" w:lastRowFirstColumn="0" w:lastRowLastColumn="0"/>
            <w:tcW w:w="1429" w:type="dxa"/>
            <w:vMerge/>
          </w:tcPr>
          <w:p w14:paraId="11D40A1C" w14:textId="77777777" w:rsidR="00310A4F" w:rsidRDefault="00310A4F" w:rsidP="00B33613">
            <w:pPr>
              <w:keepNext/>
              <w:spacing w:after="240" w:line="360" w:lineRule="auto"/>
              <w:jc w:val="both"/>
              <w:rPr>
                <w:b w:val="0"/>
                <w:color w:val="000000" w:themeColor="text1"/>
                <w:sz w:val="20"/>
                <w:szCs w:val="20"/>
              </w:rPr>
            </w:pPr>
          </w:p>
        </w:tc>
        <w:tc>
          <w:tcPr>
            <w:tcW w:w="1417" w:type="dxa"/>
            <w:vMerge/>
          </w:tcPr>
          <w:p w14:paraId="0E9487A7" w14:textId="77777777" w:rsidR="00310A4F" w:rsidRDefault="00310A4F" w:rsidP="00B33613">
            <w:pPr>
              <w:keepNext/>
              <w:spacing w:after="240"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5387" w:type="dxa"/>
          </w:tcPr>
          <w:p w14:paraId="7324BCF9" w14:textId="77777777" w:rsidR="00310A4F" w:rsidRPr="00165BF3" w:rsidRDefault="00310A4F" w:rsidP="00B33613">
            <w:pPr>
              <w:keepNext/>
              <w:spacing w:after="240"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sz w:val="20"/>
                <w:szCs w:val="20"/>
              </w:rPr>
              <w:t>M</w:t>
            </w:r>
            <w:r w:rsidRPr="00165BF3">
              <w:rPr>
                <w:sz w:val="20"/>
                <w:szCs w:val="20"/>
              </w:rPr>
              <w:t xml:space="preserve">ixing and turnover of old and new </w:t>
            </w:r>
            <w:r>
              <w:rPr>
                <w:sz w:val="20"/>
                <w:szCs w:val="20"/>
              </w:rPr>
              <w:t>non-structural carbohydrates</w:t>
            </w:r>
            <w:r>
              <w:rPr>
                <w:color w:val="000000" w:themeColor="text1"/>
                <w:sz w:val="20"/>
                <w:szCs w:val="20"/>
              </w:rPr>
              <w:t>: difficult to quantify</w:t>
            </w:r>
          </w:p>
        </w:tc>
        <w:tc>
          <w:tcPr>
            <w:tcW w:w="3685" w:type="dxa"/>
          </w:tcPr>
          <w:p w14:paraId="63729C35" w14:textId="77777777" w:rsidR="00310A4F" w:rsidRDefault="00310A4F" w:rsidP="00B33613">
            <w:pPr>
              <w:keepNext/>
              <w:spacing w:after="240"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Low as tree-ring proxy of year-to-decades changes in iWUE</w:t>
            </w:r>
            <w:r w:rsidRPr="00D163FF">
              <w:rPr>
                <w:color w:val="000000" w:themeColor="text1"/>
                <w:sz w:val="20"/>
                <w:szCs w:val="20"/>
                <w:vertAlign w:val="superscript"/>
              </w:rPr>
              <w:t>leaf</w:t>
            </w:r>
          </w:p>
        </w:tc>
      </w:tr>
      <w:tr w:rsidR="00310A4F" w14:paraId="770466BA" w14:textId="77777777" w:rsidTr="00B33613">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1429" w:type="dxa"/>
            <w:vMerge/>
          </w:tcPr>
          <w:p w14:paraId="21EDB718" w14:textId="77777777" w:rsidR="00310A4F" w:rsidRDefault="00310A4F" w:rsidP="00B33613">
            <w:pPr>
              <w:keepNext/>
              <w:spacing w:after="240" w:line="360" w:lineRule="auto"/>
              <w:jc w:val="both"/>
              <w:rPr>
                <w:b w:val="0"/>
                <w:color w:val="000000" w:themeColor="text1"/>
                <w:sz w:val="20"/>
                <w:szCs w:val="20"/>
              </w:rPr>
            </w:pPr>
          </w:p>
        </w:tc>
        <w:tc>
          <w:tcPr>
            <w:tcW w:w="1417" w:type="dxa"/>
            <w:vMerge/>
          </w:tcPr>
          <w:p w14:paraId="3795DB93" w14:textId="77777777" w:rsidR="00310A4F" w:rsidRDefault="00310A4F" w:rsidP="00B33613">
            <w:pPr>
              <w:keepNext/>
              <w:spacing w:after="240"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5387" w:type="dxa"/>
          </w:tcPr>
          <w:p w14:paraId="0B1577AA" w14:textId="77777777" w:rsidR="00310A4F" w:rsidRDefault="00310A4F" w:rsidP="00B33613">
            <w:pPr>
              <w:keepNext/>
              <w:spacing w:after="240"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Magnitude of height effect: difficult to quantify</w:t>
            </w:r>
          </w:p>
        </w:tc>
        <w:tc>
          <w:tcPr>
            <w:tcW w:w="3685" w:type="dxa"/>
          </w:tcPr>
          <w:p w14:paraId="519C5F64" w14:textId="77777777" w:rsidR="00310A4F" w:rsidRDefault="00310A4F" w:rsidP="00B33613">
            <w:pPr>
              <w:keepNext/>
              <w:spacing w:after="240"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No impact to medium depending on species</w:t>
            </w:r>
          </w:p>
        </w:tc>
      </w:tr>
      <w:tr w:rsidR="00310A4F" w14:paraId="65F81DF8" w14:textId="77777777" w:rsidTr="00B33613">
        <w:tc>
          <w:tcPr>
            <w:cnfStyle w:val="001000000000" w:firstRow="0" w:lastRow="0" w:firstColumn="1" w:lastColumn="0" w:oddVBand="0" w:evenVBand="0" w:oddHBand="0" w:evenHBand="0" w:firstRowFirstColumn="0" w:firstRowLastColumn="0" w:lastRowFirstColumn="0" w:lastRowLastColumn="0"/>
            <w:tcW w:w="1429" w:type="dxa"/>
            <w:vMerge w:val="restart"/>
          </w:tcPr>
          <w:p w14:paraId="7EE5E0E2" w14:textId="77777777" w:rsidR="00310A4F" w:rsidRPr="00B10B31" w:rsidRDefault="00310A4F" w:rsidP="00B33613">
            <w:pPr>
              <w:keepNext/>
              <w:spacing w:after="240" w:line="360" w:lineRule="auto"/>
              <w:jc w:val="both"/>
              <w:rPr>
                <w:b w:val="0"/>
                <w:color w:val="000000" w:themeColor="text1"/>
                <w:sz w:val="20"/>
                <w:szCs w:val="20"/>
              </w:rPr>
            </w:pPr>
            <w:r>
              <w:rPr>
                <w:b w:val="0"/>
                <w:color w:val="000000" w:themeColor="text1"/>
                <w:sz w:val="20"/>
                <w:szCs w:val="20"/>
              </w:rPr>
              <w:t>Eddy-covariance flux measurements</w:t>
            </w:r>
          </w:p>
        </w:tc>
        <w:tc>
          <w:tcPr>
            <w:tcW w:w="1417" w:type="dxa"/>
          </w:tcPr>
          <w:p w14:paraId="53F12CEB" w14:textId="77777777" w:rsidR="00310A4F" w:rsidRPr="00B10B31" w:rsidRDefault="00310A4F" w:rsidP="00B33613">
            <w:pPr>
              <w:keepNext/>
              <w:spacing w:after="240"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Random error</w:t>
            </w:r>
          </w:p>
        </w:tc>
        <w:tc>
          <w:tcPr>
            <w:tcW w:w="5387" w:type="dxa"/>
          </w:tcPr>
          <w:p w14:paraId="66552616" w14:textId="77777777" w:rsidR="00310A4F" w:rsidRPr="00B10B31" w:rsidRDefault="00310A4F" w:rsidP="00B33613">
            <w:pPr>
              <w:keepNext/>
              <w:spacing w:after="240"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Site-specific: estimated in the FLUXNET data</w:t>
            </w:r>
          </w:p>
        </w:tc>
        <w:tc>
          <w:tcPr>
            <w:tcW w:w="3685" w:type="dxa"/>
          </w:tcPr>
          <w:p w14:paraId="6BA2F75A" w14:textId="77777777" w:rsidR="00310A4F" w:rsidRDefault="00310A4F" w:rsidP="00B33613">
            <w:pPr>
              <w:keepNext/>
              <w:spacing w:after="240"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No impact as assumed constant over time</w:t>
            </w:r>
          </w:p>
        </w:tc>
      </w:tr>
      <w:tr w:rsidR="00310A4F" w14:paraId="1DF306AD" w14:textId="77777777" w:rsidTr="00B3361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29" w:type="dxa"/>
            <w:vMerge/>
          </w:tcPr>
          <w:p w14:paraId="7AA2B10C" w14:textId="77777777" w:rsidR="00310A4F" w:rsidRPr="00B10B31" w:rsidRDefault="00310A4F" w:rsidP="00B33613">
            <w:pPr>
              <w:keepNext/>
              <w:spacing w:after="240" w:line="360" w:lineRule="auto"/>
              <w:jc w:val="both"/>
              <w:rPr>
                <w:b w:val="0"/>
                <w:color w:val="000000" w:themeColor="text1"/>
                <w:sz w:val="20"/>
                <w:szCs w:val="20"/>
              </w:rPr>
            </w:pPr>
          </w:p>
        </w:tc>
        <w:tc>
          <w:tcPr>
            <w:tcW w:w="1417" w:type="dxa"/>
            <w:vMerge w:val="restart"/>
          </w:tcPr>
          <w:p w14:paraId="4E6F0029" w14:textId="77777777" w:rsidR="00310A4F" w:rsidRPr="00B10B31" w:rsidRDefault="00310A4F" w:rsidP="00B33613">
            <w:pPr>
              <w:keepNext/>
              <w:spacing w:after="240"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Systematic error</w:t>
            </w:r>
          </w:p>
        </w:tc>
        <w:tc>
          <w:tcPr>
            <w:tcW w:w="5387" w:type="dxa"/>
          </w:tcPr>
          <w:p w14:paraId="136606D4" w14:textId="77777777" w:rsidR="00310A4F" w:rsidRPr="000A7922" w:rsidRDefault="00310A4F" w:rsidP="00B33613">
            <w:pPr>
              <w:keepNext/>
              <w:spacing w:after="240"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Energy non-closure balance (LE + H &lt; R</w:t>
            </w:r>
            <w:r w:rsidRPr="009D44C2">
              <w:rPr>
                <w:color w:val="000000" w:themeColor="text1"/>
                <w:sz w:val="20"/>
                <w:szCs w:val="20"/>
                <w:vertAlign w:val="subscript"/>
              </w:rPr>
              <w:t>n</w:t>
            </w:r>
            <w:r>
              <w:rPr>
                <w:color w:val="000000" w:themeColor="text1"/>
                <w:sz w:val="20"/>
                <w:szCs w:val="20"/>
              </w:rPr>
              <w:t xml:space="preserve">) propagated to </w:t>
            </w:r>
            <w:r w:rsidRPr="0002295B">
              <w:rPr>
                <w:i/>
                <w:color w:val="000000" w:themeColor="text1"/>
                <w:sz w:val="20"/>
                <w:szCs w:val="20"/>
              </w:rPr>
              <w:t>G</w:t>
            </w:r>
            <w:r w:rsidRPr="0002295B">
              <w:rPr>
                <w:color w:val="000000" w:themeColor="text1"/>
                <w:sz w:val="20"/>
                <w:szCs w:val="20"/>
                <w:vertAlign w:val="subscript"/>
              </w:rPr>
              <w:t>s</w:t>
            </w:r>
            <w:r>
              <w:rPr>
                <w:color w:val="000000" w:themeColor="text1"/>
                <w:sz w:val="20"/>
                <w:szCs w:val="20"/>
              </w:rPr>
              <w:t xml:space="preserve"> and thus to iWUE</w:t>
            </w:r>
            <w:r w:rsidRPr="00BE79E6">
              <w:rPr>
                <w:color w:val="000000" w:themeColor="text1"/>
                <w:sz w:val="20"/>
                <w:szCs w:val="20"/>
                <w:vertAlign w:val="superscript"/>
              </w:rPr>
              <w:t>eco</w:t>
            </w:r>
            <w:r>
              <w:rPr>
                <w:color w:val="000000" w:themeColor="text1"/>
                <w:sz w:val="20"/>
                <w:szCs w:val="20"/>
              </w:rPr>
              <w:t>: analysis of temporal changes in the residuals</w:t>
            </w:r>
          </w:p>
        </w:tc>
        <w:tc>
          <w:tcPr>
            <w:tcW w:w="3685" w:type="dxa"/>
          </w:tcPr>
          <w:p w14:paraId="4C20B600" w14:textId="77777777" w:rsidR="00310A4F" w:rsidRDefault="00310A4F" w:rsidP="00B33613">
            <w:pPr>
              <w:keepNext/>
              <w:spacing w:after="240"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No impact or low as no significant change of energy non-closure balance over time</w:t>
            </w:r>
          </w:p>
        </w:tc>
      </w:tr>
      <w:tr w:rsidR="00310A4F" w14:paraId="0F870A87" w14:textId="77777777" w:rsidTr="00B33613">
        <w:trPr>
          <w:trHeight w:val="255"/>
        </w:trPr>
        <w:tc>
          <w:tcPr>
            <w:cnfStyle w:val="001000000000" w:firstRow="0" w:lastRow="0" w:firstColumn="1" w:lastColumn="0" w:oddVBand="0" w:evenVBand="0" w:oddHBand="0" w:evenHBand="0" w:firstRowFirstColumn="0" w:firstRowLastColumn="0" w:lastRowFirstColumn="0" w:lastRowLastColumn="0"/>
            <w:tcW w:w="1429" w:type="dxa"/>
            <w:vMerge/>
          </w:tcPr>
          <w:p w14:paraId="0F53EB2D" w14:textId="77777777" w:rsidR="00310A4F" w:rsidRPr="00B10B31" w:rsidRDefault="00310A4F" w:rsidP="00B33613">
            <w:pPr>
              <w:keepNext/>
              <w:spacing w:after="240" w:line="360" w:lineRule="auto"/>
              <w:jc w:val="both"/>
              <w:rPr>
                <w:b w:val="0"/>
                <w:color w:val="000000" w:themeColor="text1"/>
                <w:sz w:val="20"/>
                <w:szCs w:val="20"/>
              </w:rPr>
            </w:pPr>
          </w:p>
        </w:tc>
        <w:tc>
          <w:tcPr>
            <w:tcW w:w="1417" w:type="dxa"/>
            <w:vMerge/>
          </w:tcPr>
          <w:p w14:paraId="2171C609" w14:textId="77777777" w:rsidR="00310A4F" w:rsidRDefault="00310A4F" w:rsidP="00B33613">
            <w:pPr>
              <w:keepNext/>
              <w:spacing w:after="240"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5387" w:type="dxa"/>
          </w:tcPr>
          <w:p w14:paraId="24C712F3" w14:textId="77777777" w:rsidR="00310A4F" w:rsidRDefault="00310A4F" w:rsidP="00B33613">
            <w:pPr>
              <w:keepNext/>
              <w:spacing w:after="240"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NEE partitioning propagated into GPP: systematic over- or under-estimation of GPP</w:t>
            </w:r>
          </w:p>
        </w:tc>
        <w:tc>
          <w:tcPr>
            <w:tcW w:w="3685" w:type="dxa"/>
          </w:tcPr>
          <w:p w14:paraId="042EB94A" w14:textId="77777777" w:rsidR="00310A4F" w:rsidRDefault="00310A4F" w:rsidP="00B33613">
            <w:pPr>
              <w:keepNext/>
              <w:spacing w:after="240"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No impact or low as assumed constant over time</w:t>
            </w:r>
          </w:p>
        </w:tc>
      </w:tr>
      <w:tr w:rsidR="00310A4F" w14:paraId="70EADE3C" w14:textId="77777777" w:rsidTr="00B33613">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1429" w:type="dxa"/>
            <w:vMerge/>
          </w:tcPr>
          <w:p w14:paraId="4AAB8AD3" w14:textId="77777777" w:rsidR="00310A4F" w:rsidRPr="00B10B31" w:rsidRDefault="00310A4F" w:rsidP="00B33613">
            <w:pPr>
              <w:keepNext/>
              <w:spacing w:after="240" w:line="360" w:lineRule="auto"/>
              <w:jc w:val="both"/>
              <w:rPr>
                <w:b w:val="0"/>
                <w:color w:val="000000" w:themeColor="text1"/>
                <w:sz w:val="20"/>
                <w:szCs w:val="20"/>
              </w:rPr>
            </w:pPr>
          </w:p>
        </w:tc>
        <w:tc>
          <w:tcPr>
            <w:tcW w:w="1417" w:type="dxa"/>
            <w:vMerge w:val="restart"/>
          </w:tcPr>
          <w:p w14:paraId="31F999D1" w14:textId="77777777" w:rsidR="00310A4F" w:rsidRPr="00B10B31" w:rsidRDefault="00310A4F" w:rsidP="00B33613">
            <w:pPr>
              <w:keepNext/>
              <w:spacing w:after="240"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Conceptual uncertainty</w:t>
            </w:r>
          </w:p>
        </w:tc>
        <w:tc>
          <w:tcPr>
            <w:tcW w:w="5387" w:type="dxa"/>
          </w:tcPr>
          <w:p w14:paraId="4F8EC69C" w14:textId="77777777" w:rsidR="00310A4F" w:rsidRPr="00763760" w:rsidRDefault="00310A4F" w:rsidP="00B33613">
            <w:pPr>
              <w:keepNext/>
              <w:spacing w:after="240"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 xml:space="preserve">Assumptions of infinite </w:t>
            </w:r>
            <w:r w:rsidRPr="00763760">
              <w:rPr>
                <w:i/>
                <w:color w:val="000000" w:themeColor="text1"/>
                <w:sz w:val="20"/>
                <w:szCs w:val="20"/>
              </w:rPr>
              <w:t>G</w:t>
            </w:r>
            <w:r w:rsidRPr="00763760">
              <w:rPr>
                <w:color w:val="000000" w:themeColor="text1"/>
                <w:sz w:val="20"/>
                <w:szCs w:val="20"/>
                <w:vertAlign w:val="subscript"/>
              </w:rPr>
              <w:t>a</w:t>
            </w:r>
            <w:r>
              <w:rPr>
                <w:color w:val="000000" w:themeColor="text1"/>
                <w:sz w:val="20"/>
                <w:szCs w:val="20"/>
                <w:vertAlign w:val="subscript"/>
              </w:rPr>
              <w:t xml:space="preserve"> </w:t>
            </w:r>
            <w:r>
              <w:rPr>
                <w:color w:val="000000" w:themeColor="text1"/>
                <w:sz w:val="20"/>
                <w:szCs w:val="20"/>
              </w:rPr>
              <w:t>and vegetation-atmosphere coupling</w:t>
            </w:r>
            <w:r>
              <w:rPr>
                <w:color w:val="000000" w:themeColor="text1"/>
                <w:sz w:val="20"/>
                <w:szCs w:val="20"/>
                <w:vertAlign w:val="subscript"/>
              </w:rPr>
              <w:t xml:space="preserve"> </w:t>
            </w:r>
            <w:r>
              <w:rPr>
                <w:color w:val="000000" w:themeColor="text1"/>
                <w:sz w:val="20"/>
                <w:szCs w:val="20"/>
              </w:rPr>
              <w:t>for WUE</w:t>
            </w:r>
            <w:r w:rsidRPr="00BE79E6">
              <w:rPr>
                <w:color w:val="000000" w:themeColor="text1"/>
                <w:sz w:val="20"/>
                <w:szCs w:val="20"/>
                <w:vertAlign w:val="superscript"/>
              </w:rPr>
              <w:t>eco</w:t>
            </w:r>
            <w:r>
              <w:rPr>
                <w:color w:val="000000" w:themeColor="text1"/>
                <w:sz w:val="20"/>
                <w:szCs w:val="20"/>
              </w:rPr>
              <w:t xml:space="preserve"> and IWUE</w:t>
            </w:r>
            <w:r w:rsidRPr="00BE79E6">
              <w:rPr>
                <w:color w:val="000000" w:themeColor="text1"/>
                <w:sz w:val="20"/>
                <w:szCs w:val="20"/>
                <w:vertAlign w:val="superscript"/>
              </w:rPr>
              <w:t>eco</w:t>
            </w:r>
            <w:r>
              <w:rPr>
                <w:color w:val="000000" w:themeColor="text1"/>
                <w:sz w:val="20"/>
                <w:szCs w:val="20"/>
              </w:rPr>
              <w:t xml:space="preserve"> estimates: comparison of the two estimates</w:t>
            </w:r>
          </w:p>
        </w:tc>
        <w:tc>
          <w:tcPr>
            <w:tcW w:w="3685" w:type="dxa"/>
          </w:tcPr>
          <w:p w14:paraId="336626CA" w14:textId="77777777" w:rsidR="00310A4F" w:rsidRDefault="00310A4F" w:rsidP="00B33613">
            <w:pPr>
              <w:keepNext/>
              <w:spacing w:after="240"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Medium</w:t>
            </w:r>
          </w:p>
        </w:tc>
      </w:tr>
      <w:tr w:rsidR="00310A4F" w14:paraId="07C833C9" w14:textId="77777777" w:rsidTr="00B33613">
        <w:trPr>
          <w:trHeight w:val="606"/>
        </w:trPr>
        <w:tc>
          <w:tcPr>
            <w:cnfStyle w:val="001000000000" w:firstRow="0" w:lastRow="0" w:firstColumn="1" w:lastColumn="0" w:oddVBand="0" w:evenVBand="0" w:oddHBand="0" w:evenHBand="0" w:firstRowFirstColumn="0" w:firstRowLastColumn="0" w:lastRowFirstColumn="0" w:lastRowLastColumn="0"/>
            <w:tcW w:w="1429" w:type="dxa"/>
            <w:vMerge/>
          </w:tcPr>
          <w:p w14:paraId="7D5C8F3E" w14:textId="77777777" w:rsidR="00310A4F" w:rsidRPr="00B10B31" w:rsidRDefault="00310A4F" w:rsidP="00B33613">
            <w:pPr>
              <w:keepNext/>
              <w:spacing w:after="240" w:line="360" w:lineRule="auto"/>
              <w:jc w:val="both"/>
              <w:rPr>
                <w:b w:val="0"/>
                <w:color w:val="000000" w:themeColor="text1"/>
                <w:sz w:val="20"/>
                <w:szCs w:val="20"/>
              </w:rPr>
            </w:pPr>
          </w:p>
        </w:tc>
        <w:tc>
          <w:tcPr>
            <w:tcW w:w="1417" w:type="dxa"/>
            <w:vMerge/>
          </w:tcPr>
          <w:p w14:paraId="62F029A5" w14:textId="77777777" w:rsidR="00310A4F" w:rsidRDefault="00310A4F" w:rsidP="00B33613">
            <w:pPr>
              <w:keepNext/>
              <w:spacing w:after="240"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5387" w:type="dxa"/>
          </w:tcPr>
          <w:p w14:paraId="327A7CFA" w14:textId="77777777" w:rsidR="00310A4F" w:rsidRPr="00B1577C" w:rsidRDefault="00310A4F" w:rsidP="00B33613">
            <w:pPr>
              <w:keepNext/>
              <w:spacing w:after="240"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 xml:space="preserve">Assumptions of negligible </w:t>
            </w:r>
            <w:r w:rsidRPr="00381762">
              <w:rPr>
                <w:i/>
                <w:color w:val="000000" w:themeColor="text1"/>
                <w:sz w:val="20"/>
                <w:szCs w:val="20"/>
              </w:rPr>
              <w:t>S</w:t>
            </w:r>
            <w:r>
              <w:rPr>
                <w:color w:val="000000" w:themeColor="text1"/>
                <w:sz w:val="20"/>
                <w:szCs w:val="20"/>
              </w:rPr>
              <w:t xml:space="preserve"> and </w:t>
            </w:r>
            <w:r w:rsidRPr="00381762">
              <w:rPr>
                <w:i/>
                <w:color w:val="000000" w:themeColor="text1"/>
                <w:sz w:val="20"/>
                <w:szCs w:val="20"/>
              </w:rPr>
              <w:t>G</w:t>
            </w:r>
            <w:r>
              <w:rPr>
                <w:color w:val="000000" w:themeColor="text1"/>
                <w:sz w:val="20"/>
                <w:szCs w:val="20"/>
              </w:rPr>
              <w:t xml:space="preserve"> for iWUE</w:t>
            </w:r>
            <w:r w:rsidRPr="00BE79E6">
              <w:rPr>
                <w:color w:val="000000" w:themeColor="text1"/>
                <w:sz w:val="20"/>
                <w:szCs w:val="20"/>
                <w:vertAlign w:val="superscript"/>
              </w:rPr>
              <w:t>eco</w:t>
            </w:r>
            <w:r>
              <w:rPr>
                <w:color w:val="000000" w:themeColor="text1"/>
                <w:sz w:val="20"/>
                <w:szCs w:val="20"/>
              </w:rPr>
              <w:t>: overestimation of iWUE</w:t>
            </w:r>
            <w:r w:rsidRPr="00BE79E6">
              <w:rPr>
                <w:color w:val="000000" w:themeColor="text1"/>
                <w:sz w:val="20"/>
                <w:szCs w:val="20"/>
                <w:vertAlign w:val="superscript"/>
              </w:rPr>
              <w:t>eco</w:t>
            </w:r>
          </w:p>
        </w:tc>
        <w:tc>
          <w:tcPr>
            <w:tcW w:w="3685" w:type="dxa"/>
          </w:tcPr>
          <w:p w14:paraId="20195B17" w14:textId="77777777" w:rsidR="00310A4F" w:rsidRDefault="00310A4F" w:rsidP="00B33613">
            <w:pPr>
              <w:keepNext/>
              <w:spacing w:after="240"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No impact or low as assumed constant over time</w:t>
            </w:r>
          </w:p>
        </w:tc>
      </w:tr>
    </w:tbl>
    <w:p w14:paraId="267762DD" w14:textId="77777777" w:rsidR="00310A4F" w:rsidRDefault="00310A4F" w:rsidP="00310A4F">
      <w:pPr>
        <w:pStyle w:val="Body"/>
        <w:spacing w:line="360" w:lineRule="auto"/>
        <w:jc w:val="both"/>
        <w:rPr>
          <w:rFonts w:cs="Times New Roman"/>
        </w:rPr>
      </w:pPr>
    </w:p>
    <w:p w14:paraId="4E580C9C" w14:textId="2DBA1581" w:rsidR="00BC43AE" w:rsidRDefault="00BC43AE">
      <w:pPr>
        <w:pBdr>
          <w:top w:val="nil"/>
          <w:left w:val="nil"/>
          <w:bottom w:val="nil"/>
          <w:right w:val="nil"/>
          <w:between w:val="nil"/>
          <w:bar w:val="nil"/>
        </w:pBdr>
      </w:pPr>
    </w:p>
    <w:p w14:paraId="56D7C609" w14:textId="78D34957" w:rsidR="00BC43AE" w:rsidRPr="00BC43AE" w:rsidRDefault="00BC43AE" w:rsidP="00BC43AE">
      <w:pPr>
        <w:pBdr>
          <w:top w:val="nil"/>
          <w:left w:val="nil"/>
          <w:bottom w:val="nil"/>
          <w:right w:val="nil"/>
          <w:between w:val="nil"/>
          <w:bar w:val="nil"/>
        </w:pBdr>
        <w:spacing w:line="360" w:lineRule="auto"/>
        <w:jc w:val="center"/>
        <w:rPr>
          <w:b/>
          <w:sz w:val="28"/>
          <w:szCs w:val="28"/>
        </w:rPr>
      </w:pPr>
      <w:r w:rsidRPr="00BC43AE">
        <w:rPr>
          <w:b/>
          <w:sz w:val="28"/>
          <w:szCs w:val="28"/>
        </w:rPr>
        <w:t>Figure captions</w:t>
      </w:r>
    </w:p>
    <w:p w14:paraId="5CB19866" w14:textId="5A42417D" w:rsidR="00BC43AE" w:rsidRDefault="00BC43AE" w:rsidP="001A0EBC">
      <w:pPr>
        <w:pBdr>
          <w:top w:val="nil"/>
          <w:left w:val="nil"/>
          <w:bottom w:val="nil"/>
          <w:right w:val="nil"/>
          <w:between w:val="nil"/>
          <w:bar w:val="nil"/>
        </w:pBdr>
        <w:spacing w:line="360" w:lineRule="auto"/>
      </w:pPr>
    </w:p>
    <w:p w14:paraId="415186E5" w14:textId="739F732F" w:rsidR="00BC43AE" w:rsidRPr="00004C1B" w:rsidRDefault="00BC43AE" w:rsidP="00BC43AE">
      <w:pPr>
        <w:spacing w:line="360" w:lineRule="auto"/>
        <w:jc w:val="both"/>
        <w:rPr>
          <w:color w:val="000000" w:themeColor="text1"/>
        </w:rPr>
      </w:pPr>
      <w:r w:rsidRPr="00004C1B">
        <w:rPr>
          <w:b/>
          <w:bCs/>
          <w:color w:val="000000" w:themeColor="text1"/>
        </w:rPr>
        <w:t>Fig</w:t>
      </w:r>
      <w:r w:rsidR="00F92ED2" w:rsidRPr="00004C1B">
        <w:rPr>
          <w:b/>
          <w:bCs/>
          <w:color w:val="000000" w:themeColor="text1"/>
        </w:rPr>
        <w:t>.</w:t>
      </w:r>
      <w:r w:rsidRPr="00004C1B">
        <w:rPr>
          <w:b/>
          <w:bCs/>
          <w:color w:val="000000" w:themeColor="text1"/>
        </w:rPr>
        <w:t xml:space="preserve"> 1 </w:t>
      </w:r>
      <w:r w:rsidR="00F92ED2" w:rsidRPr="00004C1B">
        <w:rPr>
          <w:bCs/>
          <w:color w:val="000000" w:themeColor="text1"/>
        </w:rPr>
        <w:t>(a)</w:t>
      </w:r>
      <w:r w:rsidR="00F92ED2" w:rsidRPr="00004C1B">
        <w:rPr>
          <w:b/>
          <w:bCs/>
          <w:color w:val="000000" w:themeColor="text1"/>
        </w:rPr>
        <w:t xml:space="preserve"> </w:t>
      </w:r>
      <w:r w:rsidR="000E7492">
        <w:rPr>
          <w:bCs/>
          <w:color w:val="000000" w:themeColor="text1"/>
        </w:rPr>
        <w:t>Geographical l</w:t>
      </w:r>
      <w:r w:rsidRPr="00004C1B">
        <w:rPr>
          <w:bCs/>
          <w:color w:val="000000" w:themeColor="text1"/>
        </w:rPr>
        <w:t>ocation</w:t>
      </w:r>
      <w:r w:rsidR="006E50CB">
        <w:rPr>
          <w:bCs/>
          <w:color w:val="000000" w:themeColor="text1"/>
        </w:rPr>
        <w:t>s</w:t>
      </w:r>
      <w:r w:rsidRPr="00004C1B">
        <w:rPr>
          <w:bCs/>
          <w:color w:val="000000" w:themeColor="text1"/>
        </w:rPr>
        <w:t xml:space="preserve"> of the selected 83 tree-ring (TR) sites and 34 eddy-covariance (EC) flux sites w</w:t>
      </w:r>
      <w:r w:rsidR="00131AF4">
        <w:rPr>
          <w:bCs/>
          <w:color w:val="000000" w:themeColor="text1"/>
        </w:rPr>
        <w:t>ith</w:t>
      </w:r>
      <w:r w:rsidRPr="00004C1B">
        <w:rPr>
          <w:bCs/>
          <w:color w:val="000000" w:themeColor="text1"/>
        </w:rPr>
        <w:t xml:space="preserve"> estimates of water-use efficiency change </w:t>
      </w:r>
      <w:r w:rsidR="00745EF5" w:rsidRPr="00004C1B">
        <w:rPr>
          <w:bCs/>
          <w:color w:val="000000" w:themeColor="text1"/>
        </w:rPr>
        <w:t>(</w:t>
      </w:r>
      <w:r w:rsidR="00745EF5" w:rsidRPr="00004C1B">
        <w:rPr>
          <w:color w:val="000000" w:themeColor="text1"/>
        </w:rPr>
        <w:t>Δ</w:t>
      </w:r>
      <w:r w:rsidR="00745EF5" w:rsidRPr="00004C1B">
        <w:rPr>
          <w:bCs/>
          <w:color w:val="000000" w:themeColor="text1"/>
        </w:rPr>
        <w:t xml:space="preserve">WUE) </w:t>
      </w:r>
      <w:r w:rsidRPr="00004C1B">
        <w:rPr>
          <w:bCs/>
          <w:color w:val="000000" w:themeColor="text1"/>
        </w:rPr>
        <w:t>available in the literature (</w:t>
      </w:r>
      <w:r w:rsidR="00DE6D84">
        <w:rPr>
          <w:bCs/>
          <w:color w:val="000000" w:themeColor="text1"/>
        </w:rPr>
        <w:t>see</w:t>
      </w:r>
      <w:r w:rsidR="00C6101B" w:rsidRPr="00004C1B">
        <w:rPr>
          <w:bCs/>
          <w:color w:val="000000" w:themeColor="text1"/>
        </w:rPr>
        <w:t xml:space="preserve"> </w:t>
      </w:r>
      <w:r w:rsidRPr="00004C1B">
        <w:rPr>
          <w:bCs/>
          <w:color w:val="000000" w:themeColor="text1"/>
        </w:rPr>
        <w:t>Tables S1</w:t>
      </w:r>
      <w:r w:rsidR="00F92ED2" w:rsidRPr="00004C1B">
        <w:rPr>
          <w:bCs/>
          <w:color w:val="000000" w:themeColor="text1"/>
        </w:rPr>
        <w:t>-</w:t>
      </w:r>
      <w:r w:rsidRPr="00004C1B">
        <w:rPr>
          <w:bCs/>
          <w:color w:val="000000" w:themeColor="text1"/>
        </w:rPr>
        <w:t xml:space="preserve">S3 </w:t>
      </w:r>
      <w:r w:rsidR="00DE6D84">
        <w:rPr>
          <w:bCs/>
          <w:color w:val="000000" w:themeColor="text1"/>
        </w:rPr>
        <w:t>in</w:t>
      </w:r>
      <w:r w:rsidR="00C6101B" w:rsidRPr="00004C1B">
        <w:rPr>
          <w:bCs/>
          <w:color w:val="000000" w:themeColor="text1"/>
        </w:rPr>
        <w:t xml:space="preserve"> </w:t>
      </w:r>
      <w:r w:rsidRPr="00004C1B">
        <w:rPr>
          <w:bCs/>
          <w:color w:val="000000" w:themeColor="text1"/>
        </w:rPr>
        <w:t>Supp</w:t>
      </w:r>
      <w:r w:rsidR="00F92ED2" w:rsidRPr="00004C1B">
        <w:rPr>
          <w:bCs/>
          <w:color w:val="000000" w:themeColor="text1"/>
        </w:rPr>
        <w:t>orting Information</w:t>
      </w:r>
      <w:r w:rsidRPr="00004C1B">
        <w:rPr>
          <w:bCs/>
          <w:color w:val="000000" w:themeColor="text1"/>
        </w:rPr>
        <w:t xml:space="preserve">). </w:t>
      </w:r>
      <w:r w:rsidR="009C3948" w:rsidRPr="00004C1B">
        <w:rPr>
          <w:bCs/>
          <w:color w:val="000000" w:themeColor="text1"/>
        </w:rPr>
        <w:t xml:space="preserve">(b) </w:t>
      </w:r>
      <w:r w:rsidR="00C5550A" w:rsidRPr="00004C1B">
        <w:rPr>
          <w:color w:val="000000" w:themeColor="text1"/>
        </w:rPr>
        <w:t>Δ</w:t>
      </w:r>
      <w:r w:rsidR="00C5550A" w:rsidRPr="00004C1B">
        <w:rPr>
          <w:bCs/>
          <w:color w:val="000000" w:themeColor="text1"/>
        </w:rPr>
        <w:t>WUE</w:t>
      </w:r>
      <w:r w:rsidRPr="00004C1B">
        <w:rPr>
          <w:bCs/>
          <w:color w:val="000000" w:themeColor="text1"/>
        </w:rPr>
        <w:t xml:space="preserve"> inferred from </w:t>
      </w:r>
      <w:r w:rsidR="002C042D" w:rsidRPr="00004C1B">
        <w:rPr>
          <w:bCs/>
          <w:color w:val="000000" w:themeColor="text1"/>
        </w:rPr>
        <w:t>TR</w:t>
      </w:r>
      <w:r w:rsidRPr="00004C1B">
        <w:rPr>
          <w:bCs/>
          <w:color w:val="000000" w:themeColor="text1"/>
        </w:rPr>
        <w:t xml:space="preserve"> and </w:t>
      </w:r>
      <w:r w:rsidR="002C042D" w:rsidRPr="00004C1B">
        <w:rPr>
          <w:bCs/>
          <w:color w:val="000000" w:themeColor="text1"/>
        </w:rPr>
        <w:t>EC</w:t>
      </w:r>
      <w:r w:rsidRPr="00004C1B">
        <w:rPr>
          <w:bCs/>
          <w:color w:val="000000" w:themeColor="text1"/>
        </w:rPr>
        <w:t xml:space="preserve"> observations</w:t>
      </w:r>
      <w:r w:rsidR="00657CB9">
        <w:rPr>
          <w:bCs/>
          <w:color w:val="000000" w:themeColor="text1"/>
        </w:rPr>
        <w:t xml:space="preserve"> </w:t>
      </w:r>
      <w:r w:rsidR="004C5269">
        <w:rPr>
          <w:bCs/>
          <w:color w:val="000000" w:themeColor="text1"/>
        </w:rPr>
        <w:t xml:space="preserve">over the historical period </w:t>
      </w:r>
      <w:r w:rsidR="00657CB9">
        <w:rPr>
          <w:bCs/>
          <w:color w:val="000000" w:themeColor="text1"/>
        </w:rPr>
        <w:t>(</w:t>
      </w:r>
      <w:r w:rsidR="00657CB9" w:rsidRPr="00004C1B">
        <w:rPr>
          <w:bCs/>
          <w:color w:val="000000" w:themeColor="text1"/>
        </w:rPr>
        <w:t>Tables S1-S3</w:t>
      </w:r>
      <w:r w:rsidR="00657CB9">
        <w:rPr>
          <w:bCs/>
          <w:color w:val="000000" w:themeColor="text1"/>
        </w:rPr>
        <w:t>)</w:t>
      </w:r>
      <w:r w:rsidR="004C5269">
        <w:rPr>
          <w:bCs/>
          <w:color w:val="000000" w:themeColor="text1"/>
        </w:rPr>
        <w:t xml:space="preserve"> or </w:t>
      </w:r>
      <w:r w:rsidRPr="00004C1B">
        <w:rPr>
          <w:bCs/>
          <w:color w:val="000000" w:themeColor="text1"/>
        </w:rPr>
        <w:t xml:space="preserve">from </w:t>
      </w:r>
      <w:r w:rsidR="004C5269">
        <w:rPr>
          <w:bCs/>
          <w:color w:val="000000" w:themeColor="text1"/>
        </w:rPr>
        <w:t>vegeta</w:t>
      </w:r>
      <w:r w:rsidR="004419B4">
        <w:rPr>
          <w:bCs/>
          <w:color w:val="000000" w:themeColor="text1"/>
        </w:rPr>
        <w:t>t</w:t>
      </w:r>
      <w:r w:rsidR="004C5269">
        <w:rPr>
          <w:bCs/>
          <w:color w:val="000000" w:themeColor="text1"/>
        </w:rPr>
        <w:t xml:space="preserve">ion model </w:t>
      </w:r>
      <w:r w:rsidRPr="00004C1B">
        <w:rPr>
          <w:bCs/>
          <w:color w:val="000000" w:themeColor="text1"/>
        </w:rPr>
        <w:t xml:space="preserve">simulations depicted in the literature (Table S4) </w:t>
      </w:r>
      <w:r w:rsidR="000E4DA6">
        <w:rPr>
          <w:bCs/>
          <w:color w:val="000000" w:themeColor="text1"/>
        </w:rPr>
        <w:t>compared</w:t>
      </w:r>
      <w:r w:rsidR="008A4394" w:rsidRPr="00004C1B">
        <w:rPr>
          <w:bCs/>
          <w:color w:val="000000" w:themeColor="text1"/>
        </w:rPr>
        <w:t xml:space="preserve"> to </w:t>
      </w:r>
      <w:r w:rsidR="006E50CB">
        <w:rPr>
          <w:bCs/>
          <w:color w:val="000000" w:themeColor="text1"/>
        </w:rPr>
        <w:t>change in atmospheric CO</w:t>
      </w:r>
      <w:r w:rsidR="006E50CB" w:rsidRPr="006E50CB">
        <w:rPr>
          <w:bCs/>
          <w:color w:val="000000" w:themeColor="text1"/>
          <w:vertAlign w:val="subscript"/>
        </w:rPr>
        <w:t>2</w:t>
      </w:r>
      <w:r w:rsidR="006E50CB">
        <w:rPr>
          <w:bCs/>
          <w:color w:val="000000" w:themeColor="text1"/>
        </w:rPr>
        <w:t xml:space="preserve"> concentrations (</w:t>
      </w:r>
      <w:r w:rsidR="004C5269" w:rsidRPr="00004C1B">
        <w:rPr>
          <w:color w:val="000000" w:themeColor="text1"/>
        </w:rPr>
        <w:t>Δ</w:t>
      </w:r>
      <w:r w:rsidR="008A4394" w:rsidRPr="00004C1B">
        <w:rPr>
          <w:bCs/>
          <w:i/>
          <w:color w:val="000000" w:themeColor="text1"/>
        </w:rPr>
        <w:t>c</w:t>
      </w:r>
      <w:r w:rsidR="008A4394" w:rsidRPr="00004C1B">
        <w:rPr>
          <w:bCs/>
          <w:color w:val="000000" w:themeColor="text1"/>
          <w:vertAlign w:val="subscript"/>
        </w:rPr>
        <w:t>a</w:t>
      </w:r>
      <w:r w:rsidR="006E50CB">
        <w:rPr>
          <w:bCs/>
          <w:color w:val="000000" w:themeColor="text1"/>
        </w:rPr>
        <w:t xml:space="preserve">) </w:t>
      </w:r>
      <w:r w:rsidR="008A4394">
        <w:rPr>
          <w:bCs/>
          <w:color w:val="000000" w:themeColor="text1"/>
        </w:rPr>
        <w:t>over the same period</w:t>
      </w:r>
      <w:r w:rsidR="00657CB9">
        <w:rPr>
          <w:color w:val="000000" w:themeColor="text1"/>
        </w:rPr>
        <w:t>.</w:t>
      </w:r>
      <w:r w:rsidR="008A4394" w:rsidRPr="00004C1B">
        <w:rPr>
          <w:color w:val="000000" w:themeColor="text1"/>
        </w:rPr>
        <w:t xml:space="preserve"> </w:t>
      </w:r>
      <w:r w:rsidRPr="00004C1B">
        <w:rPr>
          <w:bCs/>
          <w:color w:val="000000" w:themeColor="text1"/>
        </w:rPr>
        <w:t xml:space="preserve">EC1-based and EC2-based ecosystem WUE estimates are for </w:t>
      </w:r>
      <w:r w:rsidR="00831271">
        <w:rPr>
          <w:bCs/>
          <w:color w:val="000000" w:themeColor="text1"/>
        </w:rPr>
        <w:t>i</w:t>
      </w:r>
      <w:r w:rsidRPr="00004C1B">
        <w:rPr>
          <w:bCs/>
          <w:color w:val="000000" w:themeColor="text1"/>
        </w:rPr>
        <w:t>WUE</w:t>
      </w:r>
      <w:r w:rsidRPr="00004C1B">
        <w:rPr>
          <w:bCs/>
          <w:color w:val="000000" w:themeColor="text1"/>
          <w:vertAlign w:val="superscript"/>
        </w:rPr>
        <w:t>eco</w:t>
      </w:r>
      <w:r w:rsidRPr="00004C1B">
        <w:rPr>
          <w:bCs/>
          <w:color w:val="000000" w:themeColor="text1"/>
        </w:rPr>
        <w:t xml:space="preserve"> (equation </w:t>
      </w:r>
      <w:r w:rsidR="005C7BDF" w:rsidRPr="00004C1B">
        <w:rPr>
          <w:bCs/>
          <w:color w:val="000000" w:themeColor="text1"/>
        </w:rPr>
        <w:t>(</w:t>
      </w:r>
      <w:r w:rsidR="00831271">
        <w:rPr>
          <w:bCs/>
          <w:color w:val="000000" w:themeColor="text1"/>
        </w:rPr>
        <w:t>6</w:t>
      </w:r>
      <w:r w:rsidR="005C7BDF" w:rsidRPr="00004C1B">
        <w:rPr>
          <w:bCs/>
          <w:color w:val="000000" w:themeColor="text1"/>
        </w:rPr>
        <w:t>)</w:t>
      </w:r>
      <w:r w:rsidRPr="00004C1B">
        <w:rPr>
          <w:bCs/>
          <w:color w:val="000000" w:themeColor="text1"/>
        </w:rPr>
        <w:t xml:space="preserve">; Table S2) and </w:t>
      </w:r>
      <w:r w:rsidR="00831271">
        <w:rPr>
          <w:bCs/>
          <w:color w:val="000000" w:themeColor="text1"/>
        </w:rPr>
        <w:t>I</w:t>
      </w:r>
      <w:r w:rsidRPr="00004C1B">
        <w:rPr>
          <w:bCs/>
          <w:color w:val="000000" w:themeColor="text1"/>
        </w:rPr>
        <w:t>WUE</w:t>
      </w:r>
      <w:r w:rsidRPr="00004C1B">
        <w:rPr>
          <w:bCs/>
          <w:color w:val="000000" w:themeColor="text1"/>
          <w:vertAlign w:val="superscript"/>
        </w:rPr>
        <w:t>eco</w:t>
      </w:r>
      <w:r w:rsidRPr="00004C1B">
        <w:rPr>
          <w:bCs/>
          <w:color w:val="000000" w:themeColor="text1"/>
        </w:rPr>
        <w:t xml:space="preserve"> (equation </w:t>
      </w:r>
      <w:r w:rsidR="005C7BDF" w:rsidRPr="00004C1B">
        <w:rPr>
          <w:bCs/>
          <w:color w:val="000000" w:themeColor="text1"/>
        </w:rPr>
        <w:t>(</w:t>
      </w:r>
      <w:r w:rsidR="00831271">
        <w:rPr>
          <w:bCs/>
          <w:color w:val="000000" w:themeColor="text1"/>
        </w:rPr>
        <w:t>8</w:t>
      </w:r>
      <w:r w:rsidR="005C7BDF" w:rsidRPr="00004C1B">
        <w:rPr>
          <w:bCs/>
          <w:color w:val="000000" w:themeColor="text1"/>
        </w:rPr>
        <w:t>)</w:t>
      </w:r>
      <w:r w:rsidRPr="00004C1B">
        <w:rPr>
          <w:bCs/>
          <w:color w:val="000000" w:themeColor="text1"/>
        </w:rPr>
        <w:t xml:space="preserve">; Table S3), respectively. </w:t>
      </w:r>
      <w:r w:rsidRPr="00004C1B">
        <w:rPr>
          <w:color w:val="000000" w:themeColor="text1"/>
        </w:rPr>
        <w:t>Δ</w:t>
      </w:r>
      <w:r w:rsidRPr="00004C1B">
        <w:rPr>
          <w:i/>
          <w:color w:val="000000" w:themeColor="text1"/>
        </w:rPr>
        <w:t>c</w:t>
      </w:r>
      <w:r w:rsidRPr="00004C1B">
        <w:rPr>
          <w:color w:val="000000" w:themeColor="text1"/>
          <w:vertAlign w:val="subscript"/>
        </w:rPr>
        <w:t>a</w:t>
      </w:r>
      <w:r w:rsidRPr="00004C1B">
        <w:rPr>
          <w:color w:val="000000" w:themeColor="text1"/>
        </w:rPr>
        <w:t xml:space="preserve"> is calculated using</w:t>
      </w:r>
      <w:r w:rsidRPr="00004C1B">
        <w:rPr>
          <w:bCs/>
          <w:color w:val="000000" w:themeColor="text1"/>
        </w:rPr>
        <w:t xml:space="preserve"> </w:t>
      </w:r>
      <w:r w:rsidRPr="00004C1B">
        <w:rPr>
          <w:i/>
          <w:color w:val="000000" w:themeColor="text1"/>
        </w:rPr>
        <w:t>c</w:t>
      </w:r>
      <w:r w:rsidRPr="00004C1B">
        <w:rPr>
          <w:color w:val="000000" w:themeColor="text1"/>
          <w:vertAlign w:val="subscript"/>
        </w:rPr>
        <w:t>a</w:t>
      </w:r>
      <w:r w:rsidRPr="00004C1B">
        <w:rPr>
          <w:color w:val="000000" w:themeColor="text1"/>
        </w:rPr>
        <w:t xml:space="preserve"> values derived from a merged product of atmospheric CO</w:t>
      </w:r>
      <w:r w:rsidRPr="00004C1B">
        <w:rPr>
          <w:color w:val="000000" w:themeColor="text1"/>
          <w:vertAlign w:val="subscript"/>
        </w:rPr>
        <w:t>2</w:t>
      </w:r>
      <w:r w:rsidRPr="00004C1B">
        <w:rPr>
          <w:color w:val="000000" w:themeColor="text1"/>
        </w:rPr>
        <w:t xml:space="preserve"> record based on ice core data and in-situ direct measurements (</w:t>
      </w:r>
      <w:hyperlink r:id="rId10" w:history="1">
        <w:r w:rsidRPr="00004C1B">
          <w:rPr>
            <w:rStyle w:val="Hyperlink"/>
            <w:color w:val="000000" w:themeColor="text1"/>
          </w:rPr>
          <w:t>http://scrippsco2.ucsd.edu/data/atmospheric_co2/icecore_merged_products</w:t>
        </w:r>
      </w:hyperlink>
      <w:r w:rsidRPr="00004C1B">
        <w:rPr>
          <w:color w:val="000000" w:themeColor="text1"/>
        </w:rPr>
        <w:t xml:space="preserve">; last update on 12 December 2018). </w:t>
      </w:r>
      <w:r w:rsidR="008C06EE">
        <w:rPr>
          <w:color w:val="000000" w:themeColor="text1"/>
        </w:rPr>
        <w:t xml:space="preserve">Results are presented in </w:t>
      </w:r>
      <w:r w:rsidR="008C06EE" w:rsidRPr="00004C1B">
        <w:rPr>
          <w:bCs/>
          <w:color w:val="000000" w:themeColor="text1"/>
        </w:rPr>
        <w:t>a log scale</w:t>
      </w:r>
      <w:r w:rsidR="008C06EE">
        <w:rPr>
          <w:bCs/>
          <w:color w:val="000000" w:themeColor="text1"/>
        </w:rPr>
        <w:t>.</w:t>
      </w:r>
      <w:r w:rsidR="008C06EE" w:rsidRPr="00004C1B">
        <w:rPr>
          <w:color w:val="000000" w:themeColor="text1"/>
        </w:rPr>
        <w:t xml:space="preserve"> </w:t>
      </w:r>
      <w:r w:rsidRPr="00004C1B">
        <w:rPr>
          <w:color w:val="000000" w:themeColor="text1"/>
        </w:rPr>
        <w:t xml:space="preserve">The </w:t>
      </w:r>
      <w:r w:rsidR="00F14339">
        <w:rPr>
          <w:color w:val="000000" w:themeColor="text1"/>
        </w:rPr>
        <w:t xml:space="preserve">gray </w:t>
      </w:r>
      <w:r w:rsidRPr="00004C1B">
        <w:rPr>
          <w:color w:val="000000" w:themeColor="text1"/>
        </w:rPr>
        <w:t>horizontal d</w:t>
      </w:r>
      <w:r w:rsidR="00F14339">
        <w:rPr>
          <w:color w:val="000000" w:themeColor="text1"/>
        </w:rPr>
        <w:t>ott</w:t>
      </w:r>
      <w:r w:rsidRPr="00004C1B">
        <w:rPr>
          <w:color w:val="000000" w:themeColor="text1"/>
        </w:rPr>
        <w:t xml:space="preserve">ed line in </w:t>
      </w:r>
      <w:r w:rsidR="005F4504" w:rsidRPr="00004C1B">
        <w:rPr>
          <w:color w:val="000000" w:themeColor="text1"/>
        </w:rPr>
        <w:t xml:space="preserve">(b) </w:t>
      </w:r>
      <w:r w:rsidRPr="00004C1B">
        <w:rPr>
          <w:color w:val="000000" w:themeColor="text1"/>
        </w:rPr>
        <w:t>describes a 1:1 relationship between ΔWUE and Δ</w:t>
      </w:r>
      <w:r w:rsidRPr="00004C1B">
        <w:rPr>
          <w:i/>
          <w:color w:val="000000" w:themeColor="text1"/>
        </w:rPr>
        <w:t>c</w:t>
      </w:r>
      <w:r w:rsidRPr="00004C1B">
        <w:rPr>
          <w:color w:val="000000" w:themeColor="text1"/>
          <w:vertAlign w:val="subscript"/>
        </w:rPr>
        <w:t>a</w:t>
      </w:r>
      <w:r w:rsidRPr="00004C1B">
        <w:rPr>
          <w:color w:val="000000" w:themeColor="text1"/>
        </w:rPr>
        <w:t>, equivalent to a 1:1 relationship between Δ</w:t>
      </w:r>
      <w:r w:rsidRPr="00004C1B">
        <w:rPr>
          <w:i/>
          <w:color w:val="000000" w:themeColor="text1"/>
        </w:rPr>
        <w:t>c</w:t>
      </w:r>
      <w:r w:rsidRPr="00004C1B">
        <w:rPr>
          <w:color w:val="000000" w:themeColor="text1"/>
          <w:vertAlign w:val="subscript"/>
        </w:rPr>
        <w:t>i</w:t>
      </w:r>
      <w:r w:rsidRPr="00004C1B">
        <w:rPr>
          <w:color w:val="000000" w:themeColor="text1"/>
        </w:rPr>
        <w:t xml:space="preserve"> and Δ</w:t>
      </w:r>
      <w:r w:rsidRPr="00004C1B">
        <w:rPr>
          <w:i/>
          <w:color w:val="000000" w:themeColor="text1"/>
        </w:rPr>
        <w:t>c</w:t>
      </w:r>
      <w:r w:rsidRPr="00004C1B">
        <w:rPr>
          <w:color w:val="000000" w:themeColor="text1"/>
          <w:vertAlign w:val="subscript"/>
        </w:rPr>
        <w:t>a.</w:t>
      </w:r>
      <w:r w:rsidR="0041461D" w:rsidRPr="00004C1B">
        <w:rPr>
          <w:color w:val="000000" w:themeColor="text1"/>
          <w:vertAlign w:val="subscript"/>
        </w:rPr>
        <w:t xml:space="preserve"> </w:t>
      </w:r>
      <w:r w:rsidR="00190A5F">
        <w:rPr>
          <w:color w:val="000000" w:themeColor="text1"/>
        </w:rPr>
        <w:t>S</w:t>
      </w:r>
      <w:r w:rsidR="0041461D" w:rsidRPr="00004C1B">
        <w:rPr>
          <w:color w:val="000000" w:themeColor="text1"/>
        </w:rPr>
        <w:t>ignifican</w:t>
      </w:r>
      <w:r w:rsidR="00BD38B3" w:rsidRPr="00004C1B">
        <w:rPr>
          <w:color w:val="000000" w:themeColor="text1"/>
        </w:rPr>
        <w:t>t difference</w:t>
      </w:r>
      <w:r w:rsidR="00321303" w:rsidRPr="00004C1B">
        <w:rPr>
          <w:color w:val="000000" w:themeColor="text1"/>
        </w:rPr>
        <w:t>s</w:t>
      </w:r>
      <w:r w:rsidR="00BD38B3" w:rsidRPr="00004C1B">
        <w:rPr>
          <w:color w:val="000000" w:themeColor="text1"/>
        </w:rPr>
        <w:t xml:space="preserve"> </w:t>
      </w:r>
      <w:r w:rsidR="006146F3">
        <w:rPr>
          <w:color w:val="000000" w:themeColor="text1"/>
        </w:rPr>
        <w:t xml:space="preserve">between </w:t>
      </w:r>
      <w:r w:rsidR="006146F3" w:rsidRPr="00004C1B">
        <w:rPr>
          <w:color w:val="000000" w:themeColor="text1"/>
        </w:rPr>
        <w:t>ΔWUE/Δ</w:t>
      </w:r>
      <w:r w:rsidR="006146F3" w:rsidRPr="00004C1B">
        <w:rPr>
          <w:i/>
          <w:color w:val="000000" w:themeColor="text1"/>
        </w:rPr>
        <w:t>c</w:t>
      </w:r>
      <w:r w:rsidR="006146F3" w:rsidRPr="00004C1B">
        <w:rPr>
          <w:color w:val="000000" w:themeColor="text1"/>
          <w:vertAlign w:val="subscript"/>
        </w:rPr>
        <w:t>a</w:t>
      </w:r>
      <w:r w:rsidR="006146F3">
        <w:rPr>
          <w:color w:val="000000" w:themeColor="text1"/>
        </w:rPr>
        <w:t xml:space="preserve"> estimates and</w:t>
      </w:r>
      <w:r w:rsidR="00A46D70">
        <w:rPr>
          <w:color w:val="000000" w:themeColor="text1"/>
        </w:rPr>
        <w:t xml:space="preserve"> the 1:1 line </w:t>
      </w:r>
      <w:r w:rsidR="00556612">
        <w:rPr>
          <w:color w:val="000000" w:themeColor="text1"/>
        </w:rPr>
        <w:t>(asterisks</w:t>
      </w:r>
      <w:r w:rsidR="00051E21">
        <w:rPr>
          <w:color w:val="000000" w:themeColor="text1"/>
        </w:rPr>
        <w:t xml:space="preserve"> in</w:t>
      </w:r>
      <w:r w:rsidR="00051E21" w:rsidRPr="00051E21">
        <w:rPr>
          <w:color w:val="000000" w:themeColor="text1"/>
        </w:rPr>
        <w:t xml:space="preserve"> </w:t>
      </w:r>
      <w:r w:rsidR="00051E21">
        <w:rPr>
          <w:color w:val="000000" w:themeColor="text1"/>
        </w:rPr>
        <w:t>colour</w:t>
      </w:r>
      <w:r w:rsidR="00556612">
        <w:rPr>
          <w:color w:val="000000" w:themeColor="text1"/>
        </w:rPr>
        <w:t xml:space="preserve">) </w:t>
      </w:r>
      <w:r w:rsidR="006D3D87">
        <w:rPr>
          <w:color w:val="000000" w:themeColor="text1"/>
        </w:rPr>
        <w:t xml:space="preserve">and </w:t>
      </w:r>
      <w:r w:rsidR="00556612">
        <w:rPr>
          <w:color w:val="000000" w:themeColor="text1"/>
        </w:rPr>
        <w:t>between</w:t>
      </w:r>
      <w:r w:rsidR="006D3D87">
        <w:rPr>
          <w:color w:val="000000" w:themeColor="text1"/>
        </w:rPr>
        <w:t xml:space="preserve"> the different group</w:t>
      </w:r>
      <w:r w:rsidR="00636150">
        <w:rPr>
          <w:color w:val="000000" w:themeColor="text1"/>
        </w:rPr>
        <w:t>s</w:t>
      </w:r>
      <w:r w:rsidR="006D3D87">
        <w:rPr>
          <w:color w:val="000000" w:themeColor="text1"/>
        </w:rPr>
        <w:t xml:space="preserve"> of </w:t>
      </w:r>
      <w:r w:rsidR="006D3D87" w:rsidRPr="00004C1B">
        <w:rPr>
          <w:color w:val="000000" w:themeColor="text1"/>
        </w:rPr>
        <w:t>ΔWUE/Δ</w:t>
      </w:r>
      <w:r w:rsidR="006D3D87" w:rsidRPr="00004C1B">
        <w:rPr>
          <w:i/>
          <w:color w:val="000000" w:themeColor="text1"/>
        </w:rPr>
        <w:t>c</w:t>
      </w:r>
      <w:r w:rsidR="006D3D87" w:rsidRPr="00004C1B">
        <w:rPr>
          <w:color w:val="000000" w:themeColor="text1"/>
          <w:vertAlign w:val="subscript"/>
        </w:rPr>
        <w:t>a</w:t>
      </w:r>
      <w:r w:rsidR="00321303" w:rsidRPr="00004C1B">
        <w:rPr>
          <w:color w:val="000000" w:themeColor="text1"/>
        </w:rPr>
        <w:t xml:space="preserve"> </w:t>
      </w:r>
      <w:r w:rsidR="00556612">
        <w:rPr>
          <w:color w:val="000000" w:themeColor="text1"/>
        </w:rPr>
        <w:t xml:space="preserve">(black </w:t>
      </w:r>
      <w:r w:rsidR="00A07B03">
        <w:rPr>
          <w:color w:val="000000" w:themeColor="text1"/>
        </w:rPr>
        <w:t xml:space="preserve">lines and </w:t>
      </w:r>
      <w:r w:rsidR="00556612">
        <w:rPr>
          <w:color w:val="000000" w:themeColor="text1"/>
        </w:rPr>
        <w:t xml:space="preserve">asterisks) </w:t>
      </w:r>
      <w:r w:rsidR="00321303" w:rsidRPr="00004C1B">
        <w:rPr>
          <w:color w:val="000000" w:themeColor="text1"/>
        </w:rPr>
        <w:t xml:space="preserve">are </w:t>
      </w:r>
      <w:r w:rsidR="00921DAC" w:rsidRPr="00004C1B">
        <w:rPr>
          <w:color w:val="000000" w:themeColor="text1"/>
        </w:rPr>
        <w:t xml:space="preserve">also </w:t>
      </w:r>
      <w:r w:rsidR="006146F3">
        <w:rPr>
          <w:color w:val="000000" w:themeColor="text1"/>
        </w:rPr>
        <w:t>indicated</w:t>
      </w:r>
      <w:r w:rsidR="006146F3" w:rsidRPr="00004C1B">
        <w:rPr>
          <w:color w:val="000000" w:themeColor="text1"/>
        </w:rPr>
        <w:t xml:space="preserve"> </w:t>
      </w:r>
      <w:r w:rsidR="0041461D" w:rsidRPr="00004C1B">
        <w:rPr>
          <w:color w:val="000000" w:themeColor="text1"/>
        </w:rPr>
        <w:t>(</w:t>
      </w:r>
      <w:r w:rsidR="00EA5BF4">
        <w:rPr>
          <w:color w:val="000000" w:themeColor="text1"/>
        </w:rPr>
        <w:t>Student</w:t>
      </w:r>
      <w:r w:rsidR="008E3639">
        <w:rPr>
          <w:color w:val="000000" w:themeColor="text1"/>
        </w:rPr>
        <w:t>-t</w:t>
      </w:r>
      <w:r w:rsidR="00EA5BF4">
        <w:rPr>
          <w:color w:val="000000" w:themeColor="text1"/>
        </w:rPr>
        <w:t xml:space="preserve"> </w:t>
      </w:r>
      <w:r w:rsidR="00D44728">
        <w:rPr>
          <w:color w:val="000000" w:themeColor="text1"/>
        </w:rPr>
        <w:t xml:space="preserve">or Wilcoxon </w:t>
      </w:r>
      <w:r w:rsidR="00EA5BF4">
        <w:rPr>
          <w:color w:val="000000" w:themeColor="text1"/>
        </w:rPr>
        <w:t xml:space="preserve">tests; </w:t>
      </w:r>
      <w:r w:rsidR="0041461D" w:rsidRPr="00004C1B">
        <w:rPr>
          <w:color w:val="000000" w:themeColor="text1"/>
        </w:rPr>
        <w:t>p &lt; 0.05, *, p &lt; 0.01, ** and p &lt; 0.001, ***)</w:t>
      </w:r>
      <w:r w:rsidR="00921DAC" w:rsidRPr="00004C1B">
        <w:rPr>
          <w:color w:val="000000" w:themeColor="text1"/>
        </w:rPr>
        <w:t>.</w:t>
      </w:r>
      <w:r w:rsidR="00FF5DA3" w:rsidRPr="00FF5DA3">
        <w:rPr>
          <w:bCs/>
          <w:color w:val="000000" w:themeColor="text1"/>
        </w:rPr>
        <w:t xml:space="preserve"> </w:t>
      </w:r>
    </w:p>
    <w:p w14:paraId="0A35C7EA" w14:textId="77777777" w:rsidR="00310A4F" w:rsidRDefault="00310A4F" w:rsidP="001A0EBC">
      <w:pPr>
        <w:pBdr>
          <w:top w:val="nil"/>
          <w:left w:val="nil"/>
          <w:bottom w:val="nil"/>
          <w:right w:val="nil"/>
          <w:between w:val="nil"/>
          <w:bar w:val="nil"/>
        </w:pBdr>
        <w:spacing w:line="360" w:lineRule="auto"/>
      </w:pPr>
    </w:p>
    <w:p w14:paraId="6E26103B" w14:textId="5D7C6B2A" w:rsidR="00BC43AE" w:rsidRDefault="00310A4F" w:rsidP="00310A4F">
      <w:pPr>
        <w:spacing w:line="360" w:lineRule="auto"/>
        <w:jc w:val="both"/>
        <w:rPr>
          <w:color w:val="000000" w:themeColor="text1"/>
        </w:rPr>
      </w:pPr>
      <w:r w:rsidRPr="005A763D">
        <w:rPr>
          <w:b/>
          <w:bCs/>
          <w:color w:val="000000" w:themeColor="text1"/>
        </w:rPr>
        <w:t>Fig</w:t>
      </w:r>
      <w:r w:rsidR="006E3DBF">
        <w:rPr>
          <w:b/>
          <w:bCs/>
          <w:color w:val="000000" w:themeColor="text1"/>
        </w:rPr>
        <w:t>.</w:t>
      </w:r>
      <w:r w:rsidRPr="005A763D">
        <w:rPr>
          <w:b/>
          <w:bCs/>
          <w:color w:val="000000" w:themeColor="text1"/>
        </w:rPr>
        <w:t xml:space="preserve"> 2 </w:t>
      </w:r>
      <w:r w:rsidRPr="005A763D">
        <w:rPr>
          <w:bCs/>
          <w:color w:val="000000" w:themeColor="text1"/>
        </w:rPr>
        <w:t>E</w:t>
      </w:r>
      <w:r w:rsidR="009259C8">
        <w:rPr>
          <w:bCs/>
          <w:color w:val="000000" w:themeColor="text1"/>
        </w:rPr>
        <w:t>xample of the e</w:t>
      </w:r>
      <w:r w:rsidRPr="005A763D">
        <w:rPr>
          <w:bCs/>
          <w:color w:val="000000" w:themeColor="text1"/>
        </w:rPr>
        <w:t xml:space="preserve">ffect of increasing </w:t>
      </w:r>
      <w:r w:rsidRPr="005A763D">
        <w:rPr>
          <w:bCs/>
          <w:i/>
          <w:color w:val="000000" w:themeColor="text1"/>
        </w:rPr>
        <w:t>c</w:t>
      </w:r>
      <w:r w:rsidRPr="005A763D">
        <w:rPr>
          <w:bCs/>
          <w:color w:val="000000" w:themeColor="text1"/>
          <w:vertAlign w:val="subscript"/>
        </w:rPr>
        <w:t>a</w:t>
      </w:r>
      <w:r w:rsidRPr="005A763D">
        <w:rPr>
          <w:bCs/>
          <w:color w:val="000000" w:themeColor="text1"/>
        </w:rPr>
        <w:t xml:space="preserve"> </w:t>
      </w:r>
      <w:r w:rsidR="00A55EE7">
        <w:rPr>
          <w:bCs/>
          <w:color w:val="000000" w:themeColor="text1"/>
        </w:rPr>
        <w:t xml:space="preserve">over the range of 285-400 ppm </w:t>
      </w:r>
      <w:r w:rsidRPr="005A763D">
        <w:rPr>
          <w:bCs/>
          <w:color w:val="000000" w:themeColor="text1"/>
        </w:rPr>
        <w:t xml:space="preserve">on </w:t>
      </w:r>
      <w:r w:rsidRPr="005A763D">
        <w:rPr>
          <w:color w:val="000000" w:themeColor="text1"/>
        </w:rPr>
        <w:t>Δ</w:t>
      </w:r>
      <w:r w:rsidRPr="005A763D">
        <w:rPr>
          <w:color w:val="000000" w:themeColor="text1"/>
          <w:vertAlign w:val="superscript"/>
        </w:rPr>
        <w:t>13</w:t>
      </w:r>
      <w:r w:rsidRPr="005A763D">
        <w:rPr>
          <w:color w:val="000000" w:themeColor="text1"/>
        </w:rPr>
        <w:t>C</w:t>
      </w:r>
      <w:r w:rsidRPr="005A763D">
        <w:rPr>
          <w:bCs/>
          <w:color w:val="000000" w:themeColor="text1"/>
        </w:rPr>
        <w:t xml:space="preserve"> (</w:t>
      </w:r>
      <w:r w:rsidR="00A975B6" w:rsidRPr="005A763D">
        <w:rPr>
          <w:bCs/>
          <w:color w:val="000000" w:themeColor="text1"/>
        </w:rPr>
        <w:t>a</w:t>
      </w:r>
      <w:r w:rsidRPr="005A763D">
        <w:rPr>
          <w:bCs/>
          <w:color w:val="000000" w:themeColor="text1"/>
        </w:rPr>
        <w:t xml:space="preserve">) and </w:t>
      </w:r>
      <w:r w:rsidRPr="005A763D">
        <w:rPr>
          <w:color w:val="000000" w:themeColor="text1"/>
        </w:rPr>
        <w:t>iWUE</w:t>
      </w:r>
      <w:r w:rsidRPr="005A763D">
        <w:rPr>
          <w:color w:val="000000" w:themeColor="text1"/>
          <w:vertAlign w:val="superscript"/>
        </w:rPr>
        <w:t>leaf</w:t>
      </w:r>
      <w:r w:rsidRPr="005A763D">
        <w:rPr>
          <w:bCs/>
          <w:color w:val="000000" w:themeColor="text1"/>
        </w:rPr>
        <w:t xml:space="preserve"> (</w:t>
      </w:r>
      <w:r w:rsidR="00A975B6" w:rsidRPr="005A763D">
        <w:rPr>
          <w:bCs/>
          <w:color w:val="000000" w:themeColor="text1"/>
        </w:rPr>
        <w:t>b</w:t>
      </w:r>
      <w:r w:rsidRPr="005A763D">
        <w:rPr>
          <w:bCs/>
          <w:color w:val="000000" w:themeColor="text1"/>
        </w:rPr>
        <w:t>)</w:t>
      </w:r>
      <w:r w:rsidR="00A821BA">
        <w:rPr>
          <w:bCs/>
          <w:color w:val="000000" w:themeColor="text1"/>
        </w:rPr>
        <w:t xml:space="preserve"> </w:t>
      </w:r>
      <w:r w:rsidR="003F7373">
        <w:rPr>
          <w:bCs/>
          <w:color w:val="000000" w:themeColor="text1"/>
        </w:rPr>
        <w:t xml:space="preserve">values </w:t>
      </w:r>
      <w:r w:rsidR="00A821BA">
        <w:rPr>
          <w:bCs/>
          <w:color w:val="000000" w:themeColor="text1"/>
        </w:rPr>
        <w:t xml:space="preserve">relative to </w:t>
      </w:r>
      <w:r w:rsidR="00CD0672">
        <w:rPr>
          <w:bCs/>
          <w:color w:val="000000" w:themeColor="text1"/>
        </w:rPr>
        <w:t xml:space="preserve">respective values at </w:t>
      </w:r>
      <w:r w:rsidR="00A821BA">
        <w:rPr>
          <w:bCs/>
          <w:color w:val="000000" w:themeColor="text1"/>
        </w:rPr>
        <w:t>285 ppm</w:t>
      </w:r>
      <w:r w:rsidRPr="005A763D">
        <w:rPr>
          <w:bCs/>
          <w:color w:val="000000" w:themeColor="text1"/>
        </w:rPr>
        <w:t xml:space="preserve">. Calculations are performed on synthetic data </w:t>
      </w:r>
      <w:r w:rsidR="00C66AFA" w:rsidRPr="005A763D">
        <w:rPr>
          <w:bCs/>
          <w:color w:val="000000" w:themeColor="text1"/>
        </w:rPr>
        <w:t xml:space="preserve">for the three different leaf gas exchange “scenarios” </w:t>
      </w:r>
      <w:r w:rsidR="00051D86" w:rsidRPr="005A763D">
        <w:rPr>
          <w:bCs/>
          <w:color w:val="000000" w:themeColor="text1"/>
        </w:rPr>
        <w:t>using</w:t>
      </w:r>
      <w:r w:rsidRPr="005A763D">
        <w:rPr>
          <w:bCs/>
          <w:color w:val="000000" w:themeColor="text1"/>
        </w:rPr>
        <w:t xml:space="preserve"> </w:t>
      </w:r>
      <w:r w:rsidRPr="005A763D">
        <w:rPr>
          <w:color w:val="000000" w:themeColor="text1"/>
        </w:rPr>
        <w:t xml:space="preserve">the </w:t>
      </w:r>
      <w:r w:rsidRPr="005A763D">
        <w:rPr>
          <w:bCs/>
          <w:color w:val="000000" w:themeColor="text1"/>
        </w:rPr>
        <w:t xml:space="preserve">simple </w:t>
      </w:r>
      <w:r w:rsidR="008B1D63">
        <w:rPr>
          <w:color w:val="000000" w:themeColor="text1"/>
        </w:rPr>
        <w:t>discrimination</w:t>
      </w:r>
      <w:r w:rsidRPr="005A763D">
        <w:rPr>
          <w:bCs/>
          <w:color w:val="000000" w:themeColor="text1"/>
        </w:rPr>
        <w:t xml:space="preserve"> model (i.e. equation (3)</w:t>
      </w:r>
      <w:r w:rsidR="00B357F7">
        <w:rPr>
          <w:bCs/>
          <w:color w:val="000000" w:themeColor="text1"/>
        </w:rPr>
        <w:t xml:space="preserve">; </w:t>
      </w:r>
      <w:r w:rsidRPr="005A763D">
        <w:rPr>
          <w:bCs/>
          <w:color w:val="000000" w:themeColor="text1"/>
        </w:rPr>
        <w:t xml:space="preserve">bold lines) </w:t>
      </w:r>
      <w:r w:rsidR="000D7786">
        <w:rPr>
          <w:bCs/>
          <w:color w:val="000000" w:themeColor="text1"/>
        </w:rPr>
        <w:t>and</w:t>
      </w:r>
      <w:r w:rsidR="00203C35" w:rsidRPr="005A763D">
        <w:rPr>
          <w:bCs/>
          <w:color w:val="000000" w:themeColor="text1"/>
        </w:rPr>
        <w:t xml:space="preserve"> </w:t>
      </w:r>
      <w:r w:rsidR="008B1D63">
        <w:rPr>
          <w:bCs/>
          <w:color w:val="000000" w:themeColor="text1"/>
        </w:rPr>
        <w:t>that</w:t>
      </w:r>
      <w:r w:rsidR="00092B14" w:rsidRPr="005A763D">
        <w:rPr>
          <w:bCs/>
          <w:color w:val="000000" w:themeColor="text1"/>
        </w:rPr>
        <w:t xml:space="preserve"> considering the</w:t>
      </w:r>
      <w:r w:rsidRPr="005A763D">
        <w:rPr>
          <w:bCs/>
          <w:color w:val="000000" w:themeColor="text1"/>
        </w:rPr>
        <w:t xml:space="preserve"> </w:t>
      </w:r>
      <w:r w:rsidRPr="005A763D">
        <w:rPr>
          <w:color w:val="000000" w:themeColor="text1"/>
        </w:rPr>
        <w:t>photorespiration term</w:t>
      </w:r>
      <w:r w:rsidR="00906644" w:rsidRPr="005A763D">
        <w:rPr>
          <w:color w:val="000000" w:themeColor="text1"/>
        </w:rPr>
        <w:t xml:space="preserve"> only</w:t>
      </w:r>
      <w:r w:rsidRPr="005A763D">
        <w:rPr>
          <w:color w:val="000000" w:themeColor="text1"/>
        </w:rPr>
        <w:t xml:space="preserve"> (</w:t>
      </w:r>
      <w:r w:rsidR="00E26BD0" w:rsidRPr="005A763D">
        <w:rPr>
          <w:color w:val="000000" w:themeColor="text1"/>
        </w:rPr>
        <w:t xml:space="preserve">i.e. </w:t>
      </w:r>
      <w:r w:rsidR="00340325" w:rsidRPr="005A763D">
        <w:rPr>
          <w:color w:val="000000" w:themeColor="text1"/>
        </w:rPr>
        <w:t>e</w:t>
      </w:r>
      <w:r w:rsidR="00203C35" w:rsidRPr="005A763D">
        <w:rPr>
          <w:color w:val="000000" w:themeColor="text1"/>
        </w:rPr>
        <w:t>q</w:t>
      </w:r>
      <w:r w:rsidR="00340325" w:rsidRPr="005A763D">
        <w:rPr>
          <w:color w:val="000000" w:themeColor="text1"/>
        </w:rPr>
        <w:t>uation</w:t>
      </w:r>
      <w:r w:rsidR="00203C35" w:rsidRPr="005A763D">
        <w:rPr>
          <w:color w:val="000000" w:themeColor="text1"/>
        </w:rPr>
        <w:t xml:space="preserve"> </w:t>
      </w:r>
      <w:r w:rsidR="00340325" w:rsidRPr="005A763D">
        <w:rPr>
          <w:color w:val="000000" w:themeColor="text1"/>
        </w:rPr>
        <w:t>(</w:t>
      </w:r>
      <w:r w:rsidRPr="005A763D">
        <w:rPr>
          <w:color w:val="000000" w:themeColor="text1"/>
        </w:rPr>
        <w:t>1</w:t>
      </w:r>
      <w:r w:rsidR="00710414">
        <w:rPr>
          <w:color w:val="000000" w:themeColor="text1"/>
        </w:rPr>
        <w:t>1</w:t>
      </w:r>
      <w:r w:rsidR="00340325" w:rsidRPr="005A763D">
        <w:rPr>
          <w:color w:val="000000" w:themeColor="text1"/>
        </w:rPr>
        <w:t>)</w:t>
      </w:r>
      <w:r w:rsidR="00203C35" w:rsidRPr="005A763D">
        <w:rPr>
          <w:color w:val="000000" w:themeColor="text1"/>
        </w:rPr>
        <w:t xml:space="preserve">; </w:t>
      </w:r>
      <w:r w:rsidR="00203C35" w:rsidRPr="005A763D">
        <w:rPr>
          <w:bCs/>
          <w:color w:val="000000" w:themeColor="text1"/>
        </w:rPr>
        <w:t>dashed lines</w:t>
      </w:r>
      <w:r w:rsidRPr="005A763D">
        <w:rPr>
          <w:color w:val="000000" w:themeColor="text1"/>
        </w:rPr>
        <w:t>)</w:t>
      </w:r>
      <w:r w:rsidR="00B357F7">
        <w:rPr>
          <w:color w:val="000000" w:themeColor="text1"/>
        </w:rPr>
        <w:t xml:space="preserve">. </w:t>
      </w:r>
      <w:r w:rsidR="00C948F3">
        <w:rPr>
          <w:color w:val="000000" w:themeColor="text1"/>
        </w:rPr>
        <w:t xml:space="preserve">The leaf gas exchange scenarios use the following assumptions: </w:t>
      </w:r>
      <w:r w:rsidR="00C168EC">
        <w:rPr>
          <w:color w:val="000000" w:themeColor="text1"/>
        </w:rPr>
        <w:t xml:space="preserve">(1) </w:t>
      </w:r>
      <w:r w:rsidR="00C948F3" w:rsidRPr="00C948F3">
        <w:rPr>
          <w:i/>
          <w:color w:val="000000" w:themeColor="text1"/>
        </w:rPr>
        <w:t>c</w:t>
      </w:r>
      <w:r w:rsidR="00C948F3" w:rsidRPr="00C948F3">
        <w:rPr>
          <w:color w:val="000000" w:themeColor="text1"/>
          <w:vertAlign w:val="subscript"/>
        </w:rPr>
        <w:t>i</w:t>
      </w:r>
      <w:r w:rsidR="00C948F3" w:rsidRPr="00C948F3">
        <w:rPr>
          <w:i/>
          <w:color w:val="000000" w:themeColor="text1"/>
        </w:rPr>
        <w:t xml:space="preserve"> </w:t>
      </w:r>
      <w:r w:rsidR="00C948F3">
        <w:rPr>
          <w:color w:val="000000" w:themeColor="text1"/>
        </w:rPr>
        <w:t xml:space="preserve">= </w:t>
      </w:r>
      <w:r w:rsidR="00C168EC">
        <w:rPr>
          <w:color w:val="000000" w:themeColor="text1"/>
        </w:rPr>
        <w:t>199.5 ppm</w:t>
      </w:r>
      <w:r w:rsidR="00C948F3">
        <w:rPr>
          <w:color w:val="000000" w:themeColor="text1"/>
        </w:rPr>
        <w:t>,</w:t>
      </w:r>
      <w:r w:rsidR="00C168EC">
        <w:rPr>
          <w:color w:val="000000" w:themeColor="text1"/>
        </w:rPr>
        <w:t xml:space="preserve"> (2)</w:t>
      </w:r>
      <w:r w:rsidR="00C948F3">
        <w:rPr>
          <w:color w:val="000000" w:themeColor="text1"/>
        </w:rPr>
        <w:t xml:space="preserve"> </w:t>
      </w:r>
      <w:r w:rsidR="00C948F3" w:rsidRPr="00C948F3">
        <w:rPr>
          <w:i/>
          <w:color w:val="000000" w:themeColor="text1"/>
        </w:rPr>
        <w:t>c</w:t>
      </w:r>
      <w:r w:rsidR="00C948F3" w:rsidRPr="00C948F3">
        <w:rPr>
          <w:color w:val="000000" w:themeColor="text1"/>
          <w:vertAlign w:val="subscript"/>
        </w:rPr>
        <w:t>i</w:t>
      </w:r>
      <w:r w:rsidR="00C948F3">
        <w:rPr>
          <w:color w:val="000000" w:themeColor="text1"/>
        </w:rPr>
        <w:t>/</w:t>
      </w:r>
      <w:r w:rsidR="00C948F3" w:rsidRPr="00C948F3">
        <w:rPr>
          <w:i/>
          <w:color w:val="000000" w:themeColor="text1"/>
        </w:rPr>
        <w:t>c</w:t>
      </w:r>
      <w:r w:rsidR="00C948F3" w:rsidRPr="00C948F3">
        <w:rPr>
          <w:color w:val="000000" w:themeColor="text1"/>
          <w:vertAlign w:val="subscript"/>
        </w:rPr>
        <w:t>a</w:t>
      </w:r>
      <w:r w:rsidR="00C948F3">
        <w:rPr>
          <w:color w:val="000000" w:themeColor="text1"/>
        </w:rPr>
        <w:t xml:space="preserve"> = 0.7, </w:t>
      </w:r>
      <w:r w:rsidR="00C168EC">
        <w:rPr>
          <w:color w:val="000000" w:themeColor="text1"/>
        </w:rPr>
        <w:t xml:space="preserve">(3) </w:t>
      </w:r>
      <w:r w:rsidR="00C168EC" w:rsidRPr="00C948F3">
        <w:rPr>
          <w:i/>
          <w:color w:val="000000" w:themeColor="text1"/>
        </w:rPr>
        <w:t>c</w:t>
      </w:r>
      <w:r w:rsidR="00C168EC">
        <w:rPr>
          <w:color w:val="000000" w:themeColor="text1"/>
          <w:vertAlign w:val="subscript"/>
        </w:rPr>
        <w:t>a</w:t>
      </w:r>
      <w:r w:rsidR="00C168EC">
        <w:rPr>
          <w:color w:val="000000" w:themeColor="text1"/>
        </w:rPr>
        <w:t xml:space="preserve"> </w:t>
      </w:r>
      <w:r w:rsidR="00C948F3">
        <w:rPr>
          <w:color w:val="000000" w:themeColor="text1"/>
        </w:rPr>
        <w:t>-</w:t>
      </w:r>
      <w:r w:rsidR="00C168EC">
        <w:rPr>
          <w:color w:val="000000" w:themeColor="text1"/>
        </w:rPr>
        <w:t xml:space="preserve"> </w:t>
      </w:r>
      <w:r w:rsidR="00C168EC" w:rsidRPr="00C948F3">
        <w:rPr>
          <w:i/>
          <w:color w:val="000000" w:themeColor="text1"/>
        </w:rPr>
        <w:t>c</w:t>
      </w:r>
      <w:r w:rsidR="00C168EC" w:rsidRPr="00C948F3">
        <w:rPr>
          <w:color w:val="000000" w:themeColor="text1"/>
          <w:vertAlign w:val="subscript"/>
        </w:rPr>
        <w:t>i</w:t>
      </w:r>
      <w:r w:rsidR="00C948F3">
        <w:rPr>
          <w:color w:val="000000" w:themeColor="text1"/>
        </w:rPr>
        <w:t xml:space="preserve"> = 85.5</w:t>
      </w:r>
      <w:r w:rsidR="00C168EC">
        <w:rPr>
          <w:color w:val="000000" w:themeColor="text1"/>
        </w:rPr>
        <w:t xml:space="preserve"> ppm</w:t>
      </w:r>
      <w:r w:rsidR="00C948F3">
        <w:rPr>
          <w:color w:val="000000" w:themeColor="text1"/>
        </w:rPr>
        <w:t xml:space="preserve">. </w:t>
      </w:r>
      <w:r w:rsidR="00074C79">
        <w:rPr>
          <w:color w:val="000000" w:themeColor="text1"/>
        </w:rPr>
        <w:t xml:space="preserve">The values used for </w:t>
      </w:r>
      <w:r w:rsidR="00C948F3">
        <w:rPr>
          <w:color w:val="000000" w:themeColor="text1"/>
        </w:rPr>
        <w:t xml:space="preserve">the </w:t>
      </w:r>
      <w:r w:rsidR="00C948F3" w:rsidRPr="005A763D">
        <w:rPr>
          <w:color w:val="000000" w:themeColor="text1"/>
        </w:rPr>
        <w:t>Δ</w:t>
      </w:r>
      <w:r w:rsidR="00C948F3" w:rsidRPr="005A763D">
        <w:rPr>
          <w:color w:val="000000" w:themeColor="text1"/>
          <w:vertAlign w:val="superscript"/>
        </w:rPr>
        <w:t>13</w:t>
      </w:r>
      <w:r w:rsidR="00C948F3" w:rsidRPr="005A763D">
        <w:rPr>
          <w:color w:val="000000" w:themeColor="text1"/>
        </w:rPr>
        <w:t>C</w:t>
      </w:r>
      <w:r w:rsidR="00C948F3">
        <w:rPr>
          <w:color w:val="000000" w:themeColor="text1"/>
        </w:rPr>
        <w:t xml:space="preserve"> </w:t>
      </w:r>
      <w:r w:rsidR="00074C79">
        <w:rPr>
          <w:color w:val="000000" w:themeColor="text1"/>
        </w:rPr>
        <w:t>calculations were</w:t>
      </w:r>
      <w:r w:rsidR="00C948F3">
        <w:rPr>
          <w:color w:val="000000" w:themeColor="text1"/>
        </w:rPr>
        <w:t xml:space="preserve"> </w:t>
      </w:r>
      <w:r w:rsidRPr="005A763D">
        <w:rPr>
          <w:bCs/>
          <w:i/>
          <w:color w:val="000000" w:themeColor="text1"/>
        </w:rPr>
        <w:t>a</w:t>
      </w:r>
      <w:r w:rsidRPr="005A763D">
        <w:rPr>
          <w:bCs/>
          <w:color w:val="000000" w:themeColor="text1"/>
        </w:rPr>
        <w:t xml:space="preserve"> = 4.4</w:t>
      </w:r>
      <w:r w:rsidRPr="005A763D">
        <w:rPr>
          <w:color w:val="000000" w:themeColor="text1"/>
        </w:rPr>
        <w:t xml:space="preserve">‰, </w:t>
      </w:r>
      <m:oMath>
        <m:acc>
          <m:accPr>
            <m:chr m:val="̅"/>
            <m:ctrlPr>
              <w:rPr>
                <w:rFonts w:ascii="Cambria Math" w:hAnsi="Cambria Math"/>
                <w:bCs/>
                <w:i/>
                <w:color w:val="000000" w:themeColor="text1"/>
              </w:rPr>
            </m:ctrlPr>
          </m:accPr>
          <m:e>
            <m:r>
              <w:rPr>
                <w:rFonts w:ascii="Cambria Math" w:hAnsi="Cambria Math"/>
                <w:color w:val="000000" w:themeColor="text1"/>
              </w:rPr>
              <m:t>b</m:t>
            </m:r>
          </m:e>
        </m:acc>
      </m:oMath>
      <w:r w:rsidR="00143F75" w:rsidRPr="005A763D">
        <w:rPr>
          <w:bCs/>
          <w:color w:val="000000" w:themeColor="text1"/>
        </w:rPr>
        <w:t xml:space="preserve"> = 27</w:t>
      </w:r>
      <w:r w:rsidR="00143F75" w:rsidRPr="005A763D">
        <w:rPr>
          <w:color w:val="000000" w:themeColor="text1"/>
        </w:rPr>
        <w:t>‰</w:t>
      </w:r>
      <w:r w:rsidR="00143F75">
        <w:rPr>
          <w:bCs/>
          <w:color w:val="000000" w:themeColor="text1"/>
        </w:rPr>
        <w:t>,</w:t>
      </w:r>
      <w:r w:rsidR="00143F75" w:rsidRPr="005A763D">
        <w:rPr>
          <w:bCs/>
          <w:color w:val="000000" w:themeColor="text1"/>
        </w:rPr>
        <w:t xml:space="preserve"> </w:t>
      </w:r>
      <w:r w:rsidRPr="005A763D">
        <w:rPr>
          <w:bCs/>
          <w:i/>
          <w:color w:val="000000" w:themeColor="text1"/>
        </w:rPr>
        <w:t>b</w:t>
      </w:r>
      <w:r w:rsidRPr="005A763D">
        <w:rPr>
          <w:bCs/>
          <w:color w:val="000000" w:themeColor="text1"/>
        </w:rPr>
        <w:t xml:space="preserve"> = </w:t>
      </w:r>
      <w:r w:rsidR="003C194B" w:rsidRPr="005A763D">
        <w:rPr>
          <w:bCs/>
          <w:color w:val="000000" w:themeColor="text1"/>
        </w:rPr>
        <w:t>30</w:t>
      </w:r>
      <w:r w:rsidRPr="005A763D">
        <w:rPr>
          <w:color w:val="000000" w:themeColor="text1"/>
        </w:rPr>
        <w:t xml:space="preserve">‰, </w:t>
      </w:r>
      <w:r w:rsidRPr="005A763D">
        <w:rPr>
          <w:bCs/>
          <w:i/>
          <w:color w:val="000000" w:themeColor="text1"/>
        </w:rPr>
        <w:t xml:space="preserve">f </w:t>
      </w:r>
      <w:r w:rsidRPr="005A763D">
        <w:rPr>
          <w:bCs/>
          <w:color w:val="000000" w:themeColor="text1"/>
        </w:rPr>
        <w:t>= 12</w:t>
      </w:r>
      <w:r w:rsidRPr="005A763D">
        <w:rPr>
          <w:color w:val="000000" w:themeColor="text1"/>
        </w:rPr>
        <w:t>‰</w:t>
      </w:r>
      <w:r w:rsidR="00710414">
        <w:rPr>
          <w:color w:val="000000" w:themeColor="text1"/>
        </w:rPr>
        <w:t xml:space="preserve"> </w:t>
      </w:r>
      <w:r w:rsidRPr="005A763D">
        <w:rPr>
          <w:bCs/>
          <w:color w:val="000000" w:themeColor="text1"/>
        </w:rPr>
        <w:t xml:space="preserve">and </w:t>
      </w:r>
      <w:r w:rsidRPr="005A763D">
        <w:rPr>
          <w:color w:val="000000" w:themeColor="text1"/>
        </w:rPr>
        <w:t xml:space="preserve">Γ* = 43 ppm </w:t>
      </w:r>
      <w:r w:rsidR="00FC3D26">
        <w:rPr>
          <w:color w:val="000000" w:themeColor="text1"/>
        </w:rPr>
        <w:t>(</w:t>
      </w:r>
      <w:r w:rsidRPr="005A763D">
        <w:rPr>
          <w:i/>
          <w:color w:val="000000" w:themeColor="text1"/>
        </w:rPr>
        <w:t>T</w:t>
      </w:r>
      <w:r w:rsidRPr="005A763D">
        <w:rPr>
          <w:i/>
          <w:color w:val="000000" w:themeColor="text1"/>
          <w:vertAlign w:val="subscript"/>
        </w:rPr>
        <w:t>air</w:t>
      </w:r>
      <w:r w:rsidRPr="005A763D">
        <w:rPr>
          <w:color w:val="000000" w:themeColor="text1"/>
        </w:rPr>
        <w:t xml:space="preserve"> = 25</w:t>
      </w:r>
      <w:r w:rsidRPr="005A763D">
        <w:rPr>
          <w:color w:val="000000" w:themeColor="text1"/>
        </w:rPr>
        <w:sym w:font="Symbol" w:char="F0B0"/>
      </w:r>
      <w:r w:rsidRPr="005A763D">
        <w:rPr>
          <w:color w:val="000000" w:themeColor="text1"/>
        </w:rPr>
        <w:t xml:space="preserve">C and </w:t>
      </w:r>
      <w:r w:rsidRPr="005A763D">
        <w:rPr>
          <w:i/>
          <w:color w:val="000000" w:themeColor="text1"/>
        </w:rPr>
        <w:t>P</w:t>
      </w:r>
      <w:r w:rsidRPr="005A763D">
        <w:rPr>
          <w:i/>
          <w:color w:val="000000" w:themeColor="text1"/>
          <w:vertAlign w:val="subscript"/>
        </w:rPr>
        <w:t>atm</w:t>
      </w:r>
      <w:r w:rsidRPr="005A763D">
        <w:rPr>
          <w:color w:val="000000" w:themeColor="text1"/>
        </w:rPr>
        <w:t xml:space="preserve"> = 98.716 kPa</w:t>
      </w:r>
      <w:r w:rsidR="00FC3D26">
        <w:rPr>
          <w:color w:val="000000" w:themeColor="text1"/>
        </w:rPr>
        <w:t>)</w:t>
      </w:r>
      <w:r w:rsidRPr="005A763D">
        <w:rPr>
          <w:bCs/>
          <w:color w:val="000000" w:themeColor="text1"/>
        </w:rPr>
        <w:t xml:space="preserve">. </w:t>
      </w:r>
      <w:r w:rsidRPr="005A763D">
        <w:rPr>
          <w:color w:val="000000" w:themeColor="text1"/>
        </w:rPr>
        <w:t>The numbers on the right indicate the respective trend slopes in</w:t>
      </w:r>
      <w:r w:rsidR="00EA31A8">
        <w:rPr>
          <w:color w:val="000000" w:themeColor="text1"/>
        </w:rPr>
        <w:t xml:space="preserve"> </w:t>
      </w:r>
      <w:r w:rsidR="0043250E" w:rsidRPr="005A763D">
        <w:rPr>
          <w:color w:val="000000" w:themeColor="text1"/>
        </w:rPr>
        <w:t>‰</w:t>
      </w:r>
      <w:r w:rsidR="00803109">
        <w:rPr>
          <w:color w:val="000000" w:themeColor="text1"/>
        </w:rPr>
        <w:t xml:space="preserve"> increase of </w:t>
      </w:r>
      <w:r w:rsidR="00803109" w:rsidRPr="005A763D">
        <w:rPr>
          <w:color w:val="000000" w:themeColor="text1"/>
        </w:rPr>
        <w:t>Δ</w:t>
      </w:r>
      <w:r w:rsidR="00803109" w:rsidRPr="005A763D">
        <w:rPr>
          <w:color w:val="000000" w:themeColor="text1"/>
          <w:vertAlign w:val="superscript"/>
        </w:rPr>
        <w:t>13</w:t>
      </w:r>
      <w:r w:rsidR="00803109" w:rsidRPr="005A763D">
        <w:rPr>
          <w:color w:val="000000" w:themeColor="text1"/>
        </w:rPr>
        <w:t>C</w:t>
      </w:r>
      <w:r w:rsidR="0043250E" w:rsidRPr="005A763D">
        <w:rPr>
          <w:color w:val="000000" w:themeColor="text1"/>
        </w:rPr>
        <w:t xml:space="preserve"> </w:t>
      </w:r>
      <w:r w:rsidRPr="005A763D">
        <w:rPr>
          <w:color w:val="000000" w:themeColor="text1"/>
        </w:rPr>
        <w:t>ppm</w:t>
      </w:r>
      <w:r w:rsidRPr="005A763D">
        <w:rPr>
          <w:color w:val="000000" w:themeColor="text1"/>
          <w:vertAlign w:val="superscript"/>
        </w:rPr>
        <w:t>-1</w:t>
      </w:r>
      <w:r w:rsidRPr="005A763D">
        <w:rPr>
          <w:color w:val="000000" w:themeColor="text1"/>
        </w:rPr>
        <w:t xml:space="preserve"> increase of </w:t>
      </w:r>
      <w:r w:rsidRPr="005A763D">
        <w:rPr>
          <w:i/>
          <w:color w:val="000000" w:themeColor="text1"/>
        </w:rPr>
        <w:t>c</w:t>
      </w:r>
      <w:r w:rsidRPr="005A763D">
        <w:rPr>
          <w:color w:val="000000" w:themeColor="text1"/>
          <w:vertAlign w:val="subscript"/>
        </w:rPr>
        <w:t>a</w:t>
      </w:r>
      <w:r w:rsidR="00C41328" w:rsidRPr="005A763D">
        <w:rPr>
          <w:color w:val="000000" w:themeColor="text1"/>
          <w:vertAlign w:val="subscript"/>
        </w:rPr>
        <w:t xml:space="preserve"> </w:t>
      </w:r>
      <w:r w:rsidR="00E501BA">
        <w:rPr>
          <w:color w:val="000000" w:themeColor="text1"/>
        </w:rPr>
        <w:t>(a)</w:t>
      </w:r>
      <w:r w:rsidR="00E501BA" w:rsidRPr="005A763D">
        <w:rPr>
          <w:color w:val="000000" w:themeColor="text1"/>
        </w:rPr>
        <w:t xml:space="preserve"> </w:t>
      </w:r>
      <w:r w:rsidR="00A35663" w:rsidRPr="005A763D">
        <w:rPr>
          <w:color w:val="000000" w:themeColor="text1"/>
        </w:rPr>
        <w:t xml:space="preserve">and </w:t>
      </w:r>
      <w:r w:rsidR="00E501BA">
        <w:rPr>
          <w:color w:val="000000" w:themeColor="text1"/>
        </w:rPr>
        <w:t>in</w:t>
      </w:r>
      <w:r w:rsidR="003D1CBC" w:rsidRPr="005A763D">
        <w:rPr>
          <w:color w:val="000000" w:themeColor="text1"/>
        </w:rPr>
        <w:t xml:space="preserve"> </w:t>
      </w:r>
      <w:r w:rsidR="00C913A6">
        <w:rPr>
          <w:color w:val="000000" w:themeColor="text1"/>
        </w:rPr>
        <w:t>µmol</w:t>
      </w:r>
      <w:r w:rsidR="0004699E">
        <w:rPr>
          <w:color w:val="000000" w:themeColor="text1"/>
        </w:rPr>
        <w:t xml:space="preserve"> </w:t>
      </w:r>
      <w:r w:rsidR="00C913A6">
        <w:rPr>
          <w:color w:val="000000" w:themeColor="text1"/>
        </w:rPr>
        <w:t>mol</w:t>
      </w:r>
      <w:r w:rsidR="00C913A6" w:rsidRPr="00C913A6">
        <w:rPr>
          <w:color w:val="000000" w:themeColor="text1"/>
          <w:vertAlign w:val="superscript"/>
        </w:rPr>
        <w:t>-1</w:t>
      </w:r>
      <w:r w:rsidR="00C41328" w:rsidRPr="005A763D">
        <w:rPr>
          <w:color w:val="000000" w:themeColor="text1"/>
        </w:rPr>
        <w:t xml:space="preserve"> </w:t>
      </w:r>
      <w:r w:rsidR="00803109">
        <w:rPr>
          <w:color w:val="000000" w:themeColor="text1"/>
        </w:rPr>
        <w:t xml:space="preserve">increase of </w:t>
      </w:r>
      <w:r w:rsidR="00803109" w:rsidRPr="005A763D">
        <w:rPr>
          <w:color w:val="000000" w:themeColor="text1"/>
        </w:rPr>
        <w:t>iWUE</w:t>
      </w:r>
      <w:r w:rsidR="00803109" w:rsidRPr="005A763D">
        <w:rPr>
          <w:color w:val="000000" w:themeColor="text1"/>
          <w:vertAlign w:val="superscript"/>
        </w:rPr>
        <w:t>leaf</w:t>
      </w:r>
      <w:r w:rsidR="00803109" w:rsidRPr="005A763D">
        <w:rPr>
          <w:color w:val="000000" w:themeColor="text1"/>
        </w:rPr>
        <w:t xml:space="preserve"> </w:t>
      </w:r>
      <w:r w:rsidR="00C41328" w:rsidRPr="005A763D">
        <w:rPr>
          <w:color w:val="000000" w:themeColor="text1"/>
        </w:rPr>
        <w:t>ppm</w:t>
      </w:r>
      <w:r w:rsidR="00C41328" w:rsidRPr="005A763D">
        <w:rPr>
          <w:color w:val="000000" w:themeColor="text1"/>
          <w:vertAlign w:val="superscript"/>
        </w:rPr>
        <w:t>-1</w:t>
      </w:r>
      <w:r w:rsidR="00C41328" w:rsidRPr="005A763D">
        <w:rPr>
          <w:color w:val="000000" w:themeColor="text1"/>
        </w:rPr>
        <w:t xml:space="preserve"> increase of </w:t>
      </w:r>
      <w:r w:rsidR="00C41328" w:rsidRPr="005A763D">
        <w:rPr>
          <w:i/>
          <w:color w:val="000000" w:themeColor="text1"/>
        </w:rPr>
        <w:t>c</w:t>
      </w:r>
      <w:r w:rsidR="00C41328" w:rsidRPr="005A763D">
        <w:rPr>
          <w:color w:val="000000" w:themeColor="text1"/>
          <w:vertAlign w:val="subscript"/>
        </w:rPr>
        <w:t>a</w:t>
      </w:r>
      <w:r w:rsidR="00E501BA">
        <w:rPr>
          <w:color w:val="000000" w:themeColor="text1"/>
          <w:vertAlign w:val="subscript"/>
        </w:rPr>
        <w:t xml:space="preserve"> </w:t>
      </w:r>
      <w:r w:rsidR="00E501BA">
        <w:rPr>
          <w:color w:val="000000" w:themeColor="text1"/>
        </w:rPr>
        <w:t>(b)</w:t>
      </w:r>
      <w:r w:rsidR="00EA31A8">
        <w:rPr>
          <w:color w:val="000000" w:themeColor="text1"/>
          <w:vertAlign w:val="subscript"/>
        </w:rPr>
        <w:t>.</w:t>
      </w:r>
      <w:r w:rsidRPr="005A763D">
        <w:rPr>
          <w:color w:val="000000" w:themeColor="text1"/>
        </w:rPr>
        <w:t xml:space="preserve"> The asterisk denotes the significance of the trend (p &lt; 0.001, *</w:t>
      </w:r>
      <w:r w:rsidR="004E5CB2" w:rsidRPr="005A763D">
        <w:rPr>
          <w:color w:val="000000" w:themeColor="text1"/>
        </w:rPr>
        <w:t>*</w:t>
      </w:r>
      <w:r w:rsidRPr="005A763D">
        <w:rPr>
          <w:color w:val="000000" w:themeColor="text1"/>
        </w:rPr>
        <w:t>*).</w:t>
      </w:r>
    </w:p>
    <w:p w14:paraId="1739C6A9" w14:textId="77777777" w:rsidR="00553B7A" w:rsidRPr="005A763D" w:rsidRDefault="00553B7A" w:rsidP="00310A4F">
      <w:pPr>
        <w:spacing w:line="360" w:lineRule="auto"/>
        <w:jc w:val="both"/>
        <w:rPr>
          <w:color w:val="000000" w:themeColor="text1"/>
        </w:rPr>
      </w:pPr>
    </w:p>
    <w:p w14:paraId="1327102B" w14:textId="6884CCE6" w:rsidR="00C94882" w:rsidRPr="00004C1B" w:rsidRDefault="00310A4F" w:rsidP="00C94882">
      <w:pPr>
        <w:spacing w:line="360" w:lineRule="auto"/>
        <w:jc w:val="both"/>
        <w:rPr>
          <w:color w:val="000000" w:themeColor="text1"/>
        </w:rPr>
      </w:pPr>
      <w:r w:rsidRPr="000B66FB">
        <w:rPr>
          <w:b/>
          <w:bCs/>
          <w:color w:val="000000" w:themeColor="text1"/>
        </w:rPr>
        <w:t>Fig</w:t>
      </w:r>
      <w:r w:rsidR="006E3DBF">
        <w:rPr>
          <w:b/>
          <w:bCs/>
          <w:color w:val="000000" w:themeColor="text1"/>
        </w:rPr>
        <w:t>.</w:t>
      </w:r>
      <w:r w:rsidRPr="000B66FB">
        <w:rPr>
          <w:b/>
          <w:bCs/>
          <w:color w:val="000000" w:themeColor="text1"/>
        </w:rPr>
        <w:t xml:space="preserve"> 3 </w:t>
      </w:r>
      <w:r w:rsidRPr="000B66FB">
        <w:rPr>
          <w:bCs/>
          <w:color w:val="000000" w:themeColor="text1"/>
        </w:rPr>
        <w:t>Annual changes</w:t>
      </w:r>
      <w:r w:rsidR="0045045C">
        <w:rPr>
          <w:bCs/>
          <w:color w:val="000000" w:themeColor="text1"/>
        </w:rPr>
        <w:t xml:space="preserve"> in</w:t>
      </w:r>
      <w:r w:rsidRPr="000B66FB">
        <w:rPr>
          <w:bCs/>
          <w:color w:val="000000" w:themeColor="text1"/>
        </w:rPr>
        <w:t xml:space="preserve"> tree-ring-based </w:t>
      </w:r>
      <w:r w:rsidRPr="000B66FB">
        <w:rPr>
          <w:color w:val="000000" w:themeColor="text1"/>
        </w:rPr>
        <w:t>iWUE</w:t>
      </w:r>
      <w:r w:rsidRPr="000B66FB">
        <w:rPr>
          <w:color w:val="000000" w:themeColor="text1"/>
          <w:vertAlign w:val="superscript"/>
        </w:rPr>
        <w:t>leaf</w:t>
      </w:r>
      <w:r w:rsidR="0045045C">
        <w:rPr>
          <w:bCs/>
          <w:color w:val="000000" w:themeColor="text1"/>
        </w:rPr>
        <w:t xml:space="preserve"> for raw and</w:t>
      </w:r>
      <w:r w:rsidRPr="000B66FB">
        <w:rPr>
          <w:bCs/>
          <w:color w:val="000000" w:themeColor="text1"/>
        </w:rPr>
        <w:t xml:space="preserve"> </w:t>
      </w:r>
      <w:r w:rsidRPr="000B66FB">
        <w:rPr>
          <w:color w:val="000000" w:themeColor="text1"/>
        </w:rPr>
        <w:t>climate-corrected (</w:t>
      </w:r>
      <w:r w:rsidRPr="000B66FB">
        <w:rPr>
          <w:color w:val="000000" w:themeColor="text1"/>
          <w:vertAlign w:val="superscript"/>
        </w:rPr>
        <w:t>cc</w:t>
      </w:r>
      <w:r w:rsidRPr="000B66FB">
        <w:rPr>
          <w:color w:val="000000" w:themeColor="text1"/>
        </w:rPr>
        <w:t>)</w:t>
      </w:r>
      <w:r w:rsidR="0045045C">
        <w:rPr>
          <w:color w:val="000000" w:themeColor="text1"/>
        </w:rPr>
        <w:t xml:space="preserve"> series</w:t>
      </w:r>
      <w:r w:rsidR="0045045C" w:rsidRPr="0045045C">
        <w:rPr>
          <w:bCs/>
          <w:color w:val="000000" w:themeColor="text1"/>
        </w:rPr>
        <w:t xml:space="preserve"> </w:t>
      </w:r>
      <w:r w:rsidR="0045045C">
        <w:rPr>
          <w:bCs/>
          <w:color w:val="000000" w:themeColor="text1"/>
        </w:rPr>
        <w:t xml:space="preserve">and </w:t>
      </w:r>
      <w:r w:rsidR="0045045C" w:rsidRPr="000B66FB">
        <w:rPr>
          <w:bCs/>
          <w:color w:val="000000" w:themeColor="text1"/>
        </w:rPr>
        <w:t xml:space="preserve">in </w:t>
      </w:r>
      <w:r w:rsidR="0045045C">
        <w:rPr>
          <w:bCs/>
          <w:color w:val="000000" w:themeColor="text1"/>
        </w:rPr>
        <w:t xml:space="preserve">climate drivers (i.e. </w:t>
      </w:r>
      <w:r w:rsidR="0045045C" w:rsidRPr="000B66FB">
        <w:rPr>
          <w:color w:val="000000" w:themeColor="text1"/>
        </w:rPr>
        <w:t>VPD</w:t>
      </w:r>
      <w:r w:rsidR="0045045C">
        <w:rPr>
          <w:color w:val="000000" w:themeColor="text1"/>
        </w:rPr>
        <w:t xml:space="preserve"> and</w:t>
      </w:r>
      <w:r w:rsidR="0045045C" w:rsidRPr="000B66FB">
        <w:rPr>
          <w:color w:val="000000" w:themeColor="text1"/>
        </w:rPr>
        <w:t xml:space="preserve"> </w:t>
      </w:r>
      <w:r w:rsidR="0045045C" w:rsidRPr="0045045C">
        <w:rPr>
          <w:i/>
          <w:color w:val="000000" w:themeColor="text1"/>
        </w:rPr>
        <w:t>T</w:t>
      </w:r>
      <w:r w:rsidR="0045045C" w:rsidRPr="000B66FB">
        <w:rPr>
          <w:color w:val="000000" w:themeColor="text1"/>
          <w:vertAlign w:val="subscript"/>
        </w:rPr>
        <w:t>max</w:t>
      </w:r>
      <w:r w:rsidR="0045045C">
        <w:rPr>
          <w:color w:val="000000" w:themeColor="text1"/>
        </w:rPr>
        <w:t>)</w:t>
      </w:r>
      <w:r w:rsidR="0045045C">
        <w:rPr>
          <w:bCs/>
          <w:color w:val="000000" w:themeColor="text1"/>
        </w:rPr>
        <w:t xml:space="preserve"> </w:t>
      </w:r>
      <w:r w:rsidRPr="000B66FB">
        <w:rPr>
          <w:bCs/>
          <w:color w:val="000000" w:themeColor="text1"/>
        </w:rPr>
        <w:t>for the selected 9 tree-ring sites available in the ITRDB network with strong influence from evaporative demand (see Table S5). The Sen slopes of the percentage of changes relative to the site mean (% yr</w:t>
      </w:r>
      <w:r w:rsidRPr="000B66FB">
        <w:rPr>
          <w:bCs/>
          <w:color w:val="000000" w:themeColor="text1"/>
          <w:vertAlign w:val="superscript"/>
        </w:rPr>
        <w:t>-1</w:t>
      </w:r>
      <w:r w:rsidRPr="000B66FB">
        <w:rPr>
          <w:bCs/>
          <w:color w:val="000000" w:themeColor="text1"/>
        </w:rPr>
        <w:t xml:space="preserve">) over 1992-2011 are presented. </w:t>
      </w:r>
      <w:r w:rsidRPr="000B66FB">
        <w:rPr>
          <w:color w:val="000000" w:themeColor="text1"/>
        </w:rPr>
        <w:t>iWUE</w:t>
      </w:r>
      <w:r w:rsidRPr="000B66FB">
        <w:rPr>
          <w:color w:val="000000" w:themeColor="text1"/>
          <w:vertAlign w:val="superscript"/>
        </w:rPr>
        <w:t>leaf</w:t>
      </w:r>
      <w:r w:rsidRPr="000B66FB">
        <w:rPr>
          <w:bCs/>
          <w:color w:val="000000" w:themeColor="text1"/>
        </w:rPr>
        <w:t xml:space="preserve"> trends inferred from the simple discrimination model (Eq.3)</w:t>
      </w:r>
      <w:r w:rsidR="00D136FF">
        <w:rPr>
          <w:bCs/>
          <w:color w:val="000000" w:themeColor="text1"/>
        </w:rPr>
        <w:t>, and</w:t>
      </w:r>
      <w:r w:rsidR="00D136FF" w:rsidRPr="005A763D">
        <w:rPr>
          <w:bCs/>
          <w:color w:val="000000" w:themeColor="text1"/>
        </w:rPr>
        <w:t xml:space="preserve"> </w:t>
      </w:r>
      <w:r w:rsidRPr="000B66FB">
        <w:rPr>
          <w:bCs/>
          <w:color w:val="000000" w:themeColor="text1"/>
        </w:rPr>
        <w:t xml:space="preserve">that including the photorespiration term </w:t>
      </w:r>
      <w:r w:rsidR="000E01CD" w:rsidRPr="005A763D">
        <w:rPr>
          <w:color w:val="000000" w:themeColor="text1"/>
        </w:rPr>
        <w:t>only</w:t>
      </w:r>
      <w:r w:rsidR="000E01CD" w:rsidRPr="000B66FB">
        <w:rPr>
          <w:bCs/>
          <w:color w:val="000000" w:themeColor="text1"/>
        </w:rPr>
        <w:t xml:space="preserve"> </w:t>
      </w:r>
      <w:r w:rsidRPr="000B66FB">
        <w:rPr>
          <w:bCs/>
          <w:color w:val="000000" w:themeColor="text1"/>
        </w:rPr>
        <w:t>(Eq.1</w:t>
      </w:r>
      <w:r w:rsidR="00643FA5">
        <w:rPr>
          <w:bCs/>
          <w:color w:val="000000" w:themeColor="text1"/>
        </w:rPr>
        <w:t>1</w:t>
      </w:r>
      <w:r w:rsidRPr="000B66FB">
        <w:rPr>
          <w:bCs/>
          <w:color w:val="000000" w:themeColor="text1"/>
        </w:rPr>
        <w:t xml:space="preserve">) are compared. </w:t>
      </w:r>
      <w:r w:rsidR="00876E6C">
        <w:rPr>
          <w:color w:val="000000" w:themeColor="text1"/>
        </w:rPr>
        <w:t xml:space="preserve">The values used for calculations were </w:t>
      </w:r>
      <w:r w:rsidR="00876E6C" w:rsidRPr="005A763D">
        <w:rPr>
          <w:bCs/>
          <w:i/>
          <w:color w:val="000000" w:themeColor="text1"/>
        </w:rPr>
        <w:t>a</w:t>
      </w:r>
      <w:r w:rsidR="00876E6C" w:rsidRPr="005A763D">
        <w:rPr>
          <w:bCs/>
          <w:color w:val="000000" w:themeColor="text1"/>
        </w:rPr>
        <w:t xml:space="preserve"> = 4.4</w:t>
      </w:r>
      <w:r w:rsidR="00876E6C" w:rsidRPr="005A763D">
        <w:rPr>
          <w:color w:val="000000" w:themeColor="text1"/>
        </w:rPr>
        <w:t xml:space="preserve">‰, </w:t>
      </w:r>
      <m:oMath>
        <m:acc>
          <m:accPr>
            <m:chr m:val="̅"/>
            <m:ctrlPr>
              <w:rPr>
                <w:rFonts w:ascii="Cambria Math" w:hAnsi="Cambria Math"/>
                <w:bCs/>
                <w:i/>
                <w:color w:val="000000" w:themeColor="text1"/>
              </w:rPr>
            </m:ctrlPr>
          </m:accPr>
          <m:e>
            <m:r>
              <w:rPr>
                <w:rFonts w:ascii="Cambria Math" w:hAnsi="Cambria Math"/>
                <w:color w:val="000000" w:themeColor="text1"/>
              </w:rPr>
              <m:t>b</m:t>
            </m:r>
          </m:e>
        </m:acc>
      </m:oMath>
      <w:r w:rsidR="00876E6C" w:rsidRPr="005A763D">
        <w:rPr>
          <w:bCs/>
          <w:color w:val="000000" w:themeColor="text1"/>
        </w:rPr>
        <w:t xml:space="preserve"> = 27</w:t>
      </w:r>
      <w:r w:rsidR="00876E6C" w:rsidRPr="005A763D">
        <w:rPr>
          <w:color w:val="000000" w:themeColor="text1"/>
        </w:rPr>
        <w:t>‰</w:t>
      </w:r>
      <w:r w:rsidR="00876E6C">
        <w:rPr>
          <w:bCs/>
          <w:color w:val="000000" w:themeColor="text1"/>
        </w:rPr>
        <w:t>,</w:t>
      </w:r>
      <w:r w:rsidR="00876E6C" w:rsidRPr="005A763D">
        <w:rPr>
          <w:bCs/>
          <w:color w:val="000000" w:themeColor="text1"/>
        </w:rPr>
        <w:t xml:space="preserve"> </w:t>
      </w:r>
      <w:r w:rsidR="00876E6C" w:rsidRPr="005A763D">
        <w:rPr>
          <w:bCs/>
          <w:i/>
          <w:color w:val="000000" w:themeColor="text1"/>
        </w:rPr>
        <w:t>b</w:t>
      </w:r>
      <w:r w:rsidR="00876E6C" w:rsidRPr="005A763D">
        <w:rPr>
          <w:bCs/>
          <w:color w:val="000000" w:themeColor="text1"/>
        </w:rPr>
        <w:t xml:space="preserve"> = 30</w:t>
      </w:r>
      <w:r w:rsidR="00876E6C" w:rsidRPr="005A763D">
        <w:rPr>
          <w:color w:val="000000" w:themeColor="text1"/>
        </w:rPr>
        <w:t xml:space="preserve">‰, </w:t>
      </w:r>
      <w:r w:rsidR="00876E6C" w:rsidRPr="005A763D">
        <w:rPr>
          <w:bCs/>
          <w:i/>
          <w:color w:val="000000" w:themeColor="text1"/>
        </w:rPr>
        <w:t xml:space="preserve">f </w:t>
      </w:r>
      <w:r w:rsidR="00876E6C" w:rsidRPr="005A763D">
        <w:rPr>
          <w:bCs/>
          <w:color w:val="000000" w:themeColor="text1"/>
        </w:rPr>
        <w:t>= 12</w:t>
      </w:r>
      <w:r w:rsidR="00876E6C" w:rsidRPr="005A763D">
        <w:rPr>
          <w:color w:val="000000" w:themeColor="text1"/>
        </w:rPr>
        <w:t xml:space="preserve">‰, </w:t>
      </w:r>
      <w:r w:rsidR="00EF3235" w:rsidRPr="001B2FF2">
        <w:rPr>
          <w:i/>
          <w:color w:val="000000" w:themeColor="text1"/>
        </w:rPr>
        <w:t>d</w:t>
      </w:r>
      <w:r w:rsidR="00EF3235">
        <w:rPr>
          <w:color w:val="000000" w:themeColor="text1"/>
        </w:rPr>
        <w:t xml:space="preserve"> = 2.1</w:t>
      </w:r>
      <w:r w:rsidR="00EF3235" w:rsidRPr="000176DB">
        <w:t>‰</w:t>
      </w:r>
      <w:r w:rsidR="000139B4">
        <w:rPr>
          <w:color w:val="000000" w:themeColor="text1"/>
        </w:rPr>
        <w:t>.</w:t>
      </w:r>
      <w:r w:rsidR="000139B4" w:rsidRPr="005A763D">
        <w:rPr>
          <w:bCs/>
          <w:color w:val="000000" w:themeColor="text1"/>
        </w:rPr>
        <w:t xml:space="preserve"> </w:t>
      </w:r>
      <w:r w:rsidR="000139B4" w:rsidRPr="005A763D">
        <w:rPr>
          <w:color w:val="000000" w:themeColor="text1"/>
        </w:rPr>
        <w:t xml:space="preserve">Γ* </w:t>
      </w:r>
      <w:r w:rsidR="000139B4">
        <w:rPr>
          <w:color w:val="000000" w:themeColor="text1"/>
        </w:rPr>
        <w:t xml:space="preserve">was calculated </w:t>
      </w:r>
      <w:r w:rsidR="00030A39">
        <w:rPr>
          <w:color w:val="000000" w:themeColor="text1"/>
        </w:rPr>
        <w:t>as</w:t>
      </w:r>
      <w:r w:rsidR="004E6534">
        <w:rPr>
          <w:color w:val="000000" w:themeColor="text1"/>
        </w:rPr>
        <w:t xml:space="preserve"> a</w:t>
      </w:r>
      <w:r w:rsidR="00030A39">
        <w:rPr>
          <w:color w:val="000000" w:themeColor="text1"/>
        </w:rPr>
        <w:t xml:space="preserve"> function of temperature </w:t>
      </w:r>
      <w:r w:rsidR="000139B4">
        <w:rPr>
          <w:color w:val="000000" w:themeColor="text1"/>
        </w:rPr>
        <w:t xml:space="preserve">following </w:t>
      </w:r>
      <w:r w:rsidR="000139B4">
        <w:rPr>
          <w:color w:val="000000" w:themeColor="text1"/>
        </w:rPr>
        <w:fldChar w:fldCharType="begin" w:fldLock="1"/>
      </w:r>
      <w:r w:rsidR="00030A39">
        <w:rPr>
          <w:color w:val="000000" w:themeColor="text1"/>
        </w:rPr>
        <w:instrText>ADDIN CSL_CITATION {"citationItems":[{"id":"ITEM-1","itemData":{"DOI":"10.1111/j.1365-3040.2001.00668.x","ISSN":"0140-7791","abstract":"ABSTRACT Predicting the environmental responses of leaf photosynthesis is central to many models of changes in the future global carbon cycle and terrestrial biosphere. The steady?state biochemical model of C3 photosynthesis of Farquhar et al. (Planta 149, 78?90, 1980) provides a basis for these larger scale predictions; but a weakness in the application of the model as currently parameterized is the inability to accurately predict carbon assimilation at the range of temperatures over which significant photosynthesis occurs in the natural environment. The temperature functions used in this model have been based on in vitro measurements made over a limited temperature range and require several assumptions of in vivo conditions. Since photosynthetic rates are often Rubisco?limited (ribulose, 1?5 bisphosphate carboxylase/oxygenase) under natural steady?state conditions, inaccuracies in the functions predicting Rubisco kinetic properties at different temperatures may cause significant error. In this study, transgenic tobacco containing only 10% normal levels of Rubisco were used to measure Rubisco?limited photosynthesis over a large range of CO2 concentrations. From the responses of the rate of CO2 assimilation at a wide range of temperatures, and CO2 and O2 concentrations, the temperature functions of Rubisco kinetic properties were estimated in vivo. These differed substantially from previously published functions. These new functions were then used to predict photosynthesis in lemon and found to faithfully mimic the observed pattern of temperature response. There was also a close correspondence with published C3 photosynthesis temperature responses. The results represent an improved ability to model leaf photosynthesis over a wide range of temperatures (10?40 °C) necessary for predicting carbon uptake by terrestrial C3 systems.","author":[{"dropping-particle":"","family":"Bernacchi","given":"Carl J.","non-dropping-particle":"","parse-names":false,"suffix":""},{"dropping-particle":"","family":"Singsaas","given":"E. L.","non-dropping-particle":"","parse-names":false,"suffix":""},{"dropping-particle":"","family":"Pimentel","given":"C.","non-dropping-particle":"","parse-names":false,"suffix":""},{"dropping-particle":"","family":"Portis Jr","given":"A. R.","non-dropping-particle":"","parse-names":false,"suffix":""},{"dropping-particle":"","family":"Long","given":"S. P.","non-dropping-particle":"","parse-names":false,"suffix":""}],"container-title":"Plant, Cell and Environment","id":"ITEM-1","issue":"2","issued":{"date-parts":[["2001","2"]]},"page":"253-259","title":"Improved temperature response functions for models of Rubisco-limited photosynthesis","type":"article-journal","volume":"24"},"uris":["http://www.mendeley.com/documents/?uuid=11b9f79a-06be-454b-a776-92d0d5821095"]}],"mendeley":{"formattedCitation":"(Bernacchi et al., 2001)","manualFormatting":"Bernacchi et al. (2001)","plainTextFormattedCitation":"(Bernacchi et al., 2001)"},"properties":{"noteIndex":0},"schema":"https://github.com/citation-style-language/schema/raw/master/csl-citation.json"}</w:instrText>
      </w:r>
      <w:r w:rsidR="000139B4">
        <w:rPr>
          <w:color w:val="000000" w:themeColor="text1"/>
        </w:rPr>
        <w:fldChar w:fldCharType="separate"/>
      </w:r>
      <w:r w:rsidR="000139B4" w:rsidRPr="000139B4">
        <w:rPr>
          <w:noProof/>
          <w:color w:val="000000" w:themeColor="text1"/>
        </w:rPr>
        <w:t xml:space="preserve">Bernacchi et al. </w:t>
      </w:r>
      <w:r w:rsidR="00030A39" w:rsidRPr="000139B4">
        <w:rPr>
          <w:noProof/>
          <w:color w:val="000000" w:themeColor="text1"/>
        </w:rPr>
        <w:t>(</w:t>
      </w:r>
      <w:r w:rsidR="000139B4" w:rsidRPr="000139B4">
        <w:rPr>
          <w:noProof/>
          <w:color w:val="000000" w:themeColor="text1"/>
        </w:rPr>
        <w:t>2001)</w:t>
      </w:r>
      <w:r w:rsidR="000139B4">
        <w:rPr>
          <w:color w:val="000000" w:themeColor="text1"/>
        </w:rPr>
        <w:fldChar w:fldCharType="end"/>
      </w:r>
      <w:r w:rsidR="000139B4" w:rsidRPr="005A763D">
        <w:rPr>
          <w:bCs/>
          <w:color w:val="000000" w:themeColor="text1"/>
        </w:rPr>
        <w:t>.</w:t>
      </w:r>
      <w:r w:rsidR="000139B4">
        <w:rPr>
          <w:bCs/>
          <w:color w:val="000000" w:themeColor="text1"/>
        </w:rPr>
        <w:t xml:space="preserve"> </w:t>
      </w:r>
      <w:r w:rsidRPr="000B66FB">
        <w:rPr>
          <w:bCs/>
          <w:color w:val="000000" w:themeColor="text1"/>
        </w:rPr>
        <w:t>The gray horizontal d</w:t>
      </w:r>
      <w:r w:rsidR="00997E1D">
        <w:rPr>
          <w:bCs/>
          <w:color w:val="000000" w:themeColor="text1"/>
        </w:rPr>
        <w:t>ott</w:t>
      </w:r>
      <w:r w:rsidRPr="000B66FB">
        <w:rPr>
          <w:bCs/>
          <w:color w:val="000000" w:themeColor="text1"/>
        </w:rPr>
        <w:t xml:space="preserve">ed line is the Sen slope of the percentages of changes in </w:t>
      </w:r>
      <w:r w:rsidRPr="00997E1D">
        <w:rPr>
          <w:bCs/>
          <w:i/>
          <w:color w:val="000000" w:themeColor="text1"/>
        </w:rPr>
        <w:t>c</w:t>
      </w:r>
      <w:r w:rsidRPr="000B66FB">
        <w:rPr>
          <w:bCs/>
          <w:color w:val="000000" w:themeColor="text1"/>
          <w:vertAlign w:val="subscript"/>
        </w:rPr>
        <w:t>a</w:t>
      </w:r>
      <w:r w:rsidRPr="000B66FB">
        <w:rPr>
          <w:bCs/>
          <w:color w:val="000000" w:themeColor="text1"/>
        </w:rPr>
        <w:t xml:space="preserve"> relative to the site mean (% yr</w:t>
      </w:r>
      <w:r w:rsidRPr="000B66FB">
        <w:rPr>
          <w:bCs/>
          <w:color w:val="000000" w:themeColor="text1"/>
          <w:vertAlign w:val="superscript"/>
        </w:rPr>
        <w:t>-1</w:t>
      </w:r>
      <w:r w:rsidRPr="000B66FB">
        <w:rPr>
          <w:bCs/>
          <w:color w:val="000000" w:themeColor="text1"/>
        </w:rPr>
        <w:t xml:space="preserve">) over 1992-2011 calculated using </w:t>
      </w:r>
      <w:r w:rsidRPr="000B66FB">
        <w:rPr>
          <w:color w:val="000000" w:themeColor="text1"/>
        </w:rPr>
        <w:t>direct in-situ measurements from Scripps (</w:t>
      </w:r>
      <w:hyperlink r:id="rId11" w:history="1">
        <w:r w:rsidRPr="000B66FB">
          <w:rPr>
            <w:rStyle w:val="Hyperlink"/>
            <w:color w:val="000000" w:themeColor="text1"/>
          </w:rPr>
          <w:t>http://scrippsco2.ucsd.edu/data/atmospheric_co2/primary_mlo_co2_record</w:t>
        </w:r>
      </w:hyperlink>
      <w:r w:rsidRPr="000B66FB">
        <w:rPr>
          <w:color w:val="000000" w:themeColor="text1"/>
        </w:rPr>
        <w:t xml:space="preserve">; last update on 12 December 2018). Summer mean </w:t>
      </w:r>
      <w:r w:rsidRPr="00ED442E">
        <w:rPr>
          <w:i/>
          <w:color w:val="000000" w:themeColor="text1"/>
        </w:rPr>
        <w:t>T</w:t>
      </w:r>
      <w:r w:rsidRPr="000B66FB">
        <w:rPr>
          <w:color w:val="000000" w:themeColor="text1"/>
          <w:vertAlign w:val="subscript"/>
        </w:rPr>
        <w:t>max</w:t>
      </w:r>
      <w:r w:rsidRPr="000B66FB">
        <w:rPr>
          <w:color w:val="000000" w:themeColor="text1"/>
        </w:rPr>
        <w:t xml:space="preserve"> (</w:t>
      </w:r>
      <w:r w:rsidRPr="000B66FB">
        <w:rPr>
          <w:color w:val="000000" w:themeColor="text1"/>
        </w:rPr>
        <w:sym w:font="Symbol" w:char="F0B0"/>
      </w:r>
      <w:r w:rsidRPr="000B66FB">
        <w:rPr>
          <w:color w:val="000000" w:themeColor="text1"/>
        </w:rPr>
        <w:t>C) and VPD (kPa) were estimated with</w:t>
      </w:r>
      <w:r w:rsidR="00ED442E">
        <w:rPr>
          <w:color w:val="000000" w:themeColor="text1"/>
        </w:rPr>
        <w:t xml:space="preserve"> the</w:t>
      </w:r>
      <w:r w:rsidRPr="000B66FB">
        <w:rPr>
          <w:color w:val="000000" w:themeColor="text1"/>
        </w:rPr>
        <w:t xml:space="preserve"> CRUTS4.01 gridded dataset </w:t>
      </w:r>
      <w:r w:rsidRPr="000B66FB">
        <w:rPr>
          <w:color w:val="000000" w:themeColor="text1"/>
        </w:rPr>
        <w:fldChar w:fldCharType="begin" w:fldLock="1"/>
      </w:r>
      <w:r w:rsidRPr="000B66FB">
        <w:rPr>
          <w:color w:val="000000" w:themeColor="text1"/>
        </w:rPr>
        <w:instrText>ADDIN CSL_CITATION {"citationItems":[{"id":"ITEM-1","itemData":{"DOI":"10.1002/joc.3711","ISBN":"1097-0088","ISSN":"08998418","abstract":"This paper describes the construction of an updated gridded climate dataset (referred to as CRU TS3.10) from monthly observations at meteorological stations across the world's land areas. Station anomalies (from 1961 to 1990 means) were interpolated into 0.5° latitude/longitude grid cells covering the global land surface (excluding Antarctica), and combined with an existing climatology to obtain absolute monthly values. The dataset includes six mostly independent climate variables (mean temperature, diurnal temperature range, precipitation, wet-day frequency, vapour pressure and cloud cover). Maximum and minimum temperatures have been arithmetically derived from these. Secondary variables (frost day frequency and potential evapotranspiration) have been estimated from the six primary variables using well-known formulae. Time series for hemispheric averages and 20 large sub-continental scale regions were calculated (for mean, maximum and minimum temperature and precipitation totals) and compared to a number of similar gridded products. The new dataset compares very favourably, with the major deviations mostly in regions and/or time periods with sparser observational data. CRU TS3.10 includes diagnostics associated with each interpolated value that indicates the number of stations used in the interpolation, allowing determination of the reliability of values in an objective way. This gridded product will be publicly available, including the input station series (http://www.cru.uea.ac.uk/ and http://badc.nerc.ac.uk/data/cru/). Copyright © 2013 Royal Meteorological Society","author":[{"dropping-particle":"","family":"Harris","given":"I.","non-dropping-particle":"","parse-names":false,"suffix":""},{"dropping-particle":"","family":"Jones","given":"P. D.","non-dropping-particle":"","parse-names":false,"suffix":""},{"dropping-particle":"","family":"Osborn","given":"T. J.","non-dropping-particle":"","parse-names":false,"suffix":""},{"dropping-particle":"","family":"Lister","given":"D. H.","non-dropping-particle":"","parse-names":false,"suffix":""}],"container-title":"International Journal of Climatology","id":"ITEM-1","issue":"3","issued":{"date-parts":[["2014"]]},"page":"623-642","title":"Updated high-resolution grids of monthly climatic observations - the CRU TS3.10 Dataset","type":"article-journal","volume":"34"},"uris":["http://www.mendeley.com/documents/?uuid=87e3a1f7-531c-45c6-945d-0cb778ecc621"]}],"mendeley":{"formattedCitation":"(Harris, Jones, Osborn, &amp; Lister, 2014)","manualFormatting":"(Harris et al., 2014)","plainTextFormattedCitation":"(Harris, Jones, Osborn, &amp; Lister, 2014)","previouslyFormattedCitation":"(Harris, Jones, Osborn, &amp; Lister, 2014)"},"properties":{"noteIndex":0},"schema":"https://github.com/citation-style-language/schema/raw/master/csl-citation.json"}</w:instrText>
      </w:r>
      <w:r w:rsidRPr="000B66FB">
        <w:rPr>
          <w:color w:val="000000" w:themeColor="text1"/>
        </w:rPr>
        <w:fldChar w:fldCharType="separate"/>
      </w:r>
      <w:r w:rsidRPr="000B66FB">
        <w:rPr>
          <w:noProof/>
          <w:color w:val="000000" w:themeColor="text1"/>
        </w:rPr>
        <w:t>(Harris et al., 2014)</w:t>
      </w:r>
      <w:r w:rsidRPr="000B66FB">
        <w:rPr>
          <w:color w:val="000000" w:themeColor="text1"/>
        </w:rPr>
        <w:fldChar w:fldCharType="end"/>
      </w:r>
      <w:r w:rsidRPr="000B66FB">
        <w:rPr>
          <w:color w:val="000000" w:themeColor="text1"/>
        </w:rPr>
        <w:t>.</w:t>
      </w:r>
      <w:r w:rsidR="00C94882">
        <w:rPr>
          <w:color w:val="000000" w:themeColor="text1"/>
        </w:rPr>
        <w:t xml:space="preserve"> S</w:t>
      </w:r>
      <w:r w:rsidR="00C94882" w:rsidRPr="00004C1B">
        <w:rPr>
          <w:color w:val="000000" w:themeColor="text1"/>
        </w:rPr>
        <w:t xml:space="preserve">ignificant differences </w:t>
      </w:r>
      <w:r w:rsidR="00C94882">
        <w:rPr>
          <w:color w:val="000000" w:themeColor="text1"/>
        </w:rPr>
        <w:t xml:space="preserve">between </w:t>
      </w:r>
      <w:r w:rsidR="00C94882" w:rsidRPr="00004C1B">
        <w:rPr>
          <w:color w:val="000000" w:themeColor="text1"/>
        </w:rPr>
        <w:t>ΔWUE/Δ</w:t>
      </w:r>
      <w:r w:rsidR="00C94882" w:rsidRPr="00004C1B">
        <w:rPr>
          <w:i/>
          <w:color w:val="000000" w:themeColor="text1"/>
        </w:rPr>
        <w:t>c</w:t>
      </w:r>
      <w:r w:rsidR="00C94882" w:rsidRPr="00004C1B">
        <w:rPr>
          <w:color w:val="000000" w:themeColor="text1"/>
          <w:vertAlign w:val="subscript"/>
        </w:rPr>
        <w:t>a</w:t>
      </w:r>
      <w:r w:rsidR="00C94882">
        <w:rPr>
          <w:color w:val="000000" w:themeColor="text1"/>
        </w:rPr>
        <w:t xml:space="preserve"> estimates and the 1:1 line (asterisks in</w:t>
      </w:r>
      <w:r w:rsidR="00C94882" w:rsidRPr="00051E21">
        <w:rPr>
          <w:color w:val="000000" w:themeColor="text1"/>
        </w:rPr>
        <w:t xml:space="preserve"> </w:t>
      </w:r>
      <w:r w:rsidR="00C94882">
        <w:rPr>
          <w:color w:val="000000" w:themeColor="text1"/>
        </w:rPr>
        <w:t xml:space="preserve">colour) and between the different groups of </w:t>
      </w:r>
      <w:r w:rsidR="00C94882" w:rsidRPr="00004C1B">
        <w:rPr>
          <w:color w:val="000000" w:themeColor="text1"/>
        </w:rPr>
        <w:t>ΔWUE/Δ</w:t>
      </w:r>
      <w:r w:rsidR="00C94882" w:rsidRPr="00004C1B">
        <w:rPr>
          <w:i/>
          <w:color w:val="000000" w:themeColor="text1"/>
        </w:rPr>
        <w:t>c</w:t>
      </w:r>
      <w:r w:rsidR="00C94882" w:rsidRPr="00004C1B">
        <w:rPr>
          <w:color w:val="000000" w:themeColor="text1"/>
          <w:vertAlign w:val="subscript"/>
        </w:rPr>
        <w:t>a</w:t>
      </w:r>
      <w:r w:rsidR="00C94882" w:rsidRPr="00004C1B">
        <w:rPr>
          <w:color w:val="000000" w:themeColor="text1"/>
        </w:rPr>
        <w:t xml:space="preserve"> </w:t>
      </w:r>
      <w:r w:rsidR="00C94882">
        <w:rPr>
          <w:color w:val="000000" w:themeColor="text1"/>
        </w:rPr>
        <w:t xml:space="preserve">(black lines and asterisks) </w:t>
      </w:r>
      <w:r w:rsidR="00C94882" w:rsidRPr="00004C1B">
        <w:rPr>
          <w:color w:val="000000" w:themeColor="text1"/>
        </w:rPr>
        <w:t xml:space="preserve">are also </w:t>
      </w:r>
      <w:r w:rsidR="00C94882">
        <w:rPr>
          <w:color w:val="000000" w:themeColor="text1"/>
        </w:rPr>
        <w:t>indicated</w:t>
      </w:r>
      <w:r w:rsidR="00C94882" w:rsidRPr="00004C1B">
        <w:rPr>
          <w:color w:val="000000" w:themeColor="text1"/>
        </w:rPr>
        <w:t xml:space="preserve"> (</w:t>
      </w:r>
      <w:r w:rsidR="00C94882">
        <w:rPr>
          <w:color w:val="000000" w:themeColor="text1"/>
        </w:rPr>
        <w:t xml:space="preserve">Student-t or Wilcoxon tests; </w:t>
      </w:r>
      <w:r w:rsidR="00C94882" w:rsidRPr="00004C1B">
        <w:rPr>
          <w:color w:val="000000" w:themeColor="text1"/>
        </w:rPr>
        <w:t>p &lt; 0.001, ***).</w:t>
      </w:r>
      <w:r w:rsidR="00C94882" w:rsidRPr="00FF5DA3">
        <w:rPr>
          <w:bCs/>
          <w:color w:val="000000" w:themeColor="text1"/>
        </w:rPr>
        <w:t xml:space="preserve"> </w:t>
      </w:r>
    </w:p>
    <w:p w14:paraId="12D90206" w14:textId="668C23AD" w:rsidR="00310A4F" w:rsidRPr="000B66FB" w:rsidRDefault="00310A4F" w:rsidP="00310A4F">
      <w:pPr>
        <w:pStyle w:val="Body"/>
        <w:keepNext/>
        <w:spacing w:before="240" w:line="360" w:lineRule="auto"/>
        <w:jc w:val="both"/>
        <w:rPr>
          <w:color w:val="000000" w:themeColor="text1"/>
        </w:rPr>
      </w:pPr>
    </w:p>
    <w:p w14:paraId="50F42947" w14:textId="0CFEAB5F" w:rsidR="0060380E" w:rsidRDefault="00310A4F" w:rsidP="0060380E">
      <w:pPr>
        <w:spacing w:line="360" w:lineRule="auto"/>
        <w:jc w:val="both"/>
        <w:rPr>
          <w:bCs/>
          <w:color w:val="000000" w:themeColor="text1"/>
        </w:rPr>
      </w:pPr>
      <w:r w:rsidRPr="00F7220B">
        <w:rPr>
          <w:b/>
          <w:color w:val="000000" w:themeColor="text1"/>
        </w:rPr>
        <w:t>Fig</w:t>
      </w:r>
      <w:r w:rsidR="006E3DBF">
        <w:rPr>
          <w:b/>
          <w:color w:val="000000" w:themeColor="text1"/>
        </w:rPr>
        <w:t>.</w:t>
      </w:r>
      <w:r w:rsidRPr="00F7220B">
        <w:rPr>
          <w:b/>
          <w:color w:val="000000" w:themeColor="text1"/>
        </w:rPr>
        <w:t xml:space="preserve"> 4</w:t>
      </w:r>
      <w:r w:rsidRPr="00F7220B">
        <w:rPr>
          <w:color w:val="000000" w:themeColor="text1"/>
        </w:rPr>
        <w:t xml:space="preserve"> </w:t>
      </w:r>
      <w:r w:rsidRPr="00F7220B">
        <w:rPr>
          <w:bCs/>
          <w:color w:val="000000" w:themeColor="text1"/>
        </w:rPr>
        <w:t>Annual changes in WUE</w:t>
      </w:r>
      <w:r w:rsidRPr="00F7220B">
        <w:rPr>
          <w:color w:val="000000" w:themeColor="text1"/>
          <w:vertAlign w:val="superscript"/>
        </w:rPr>
        <w:t>eco</w:t>
      </w:r>
      <w:r w:rsidRPr="00F7220B">
        <w:rPr>
          <w:bCs/>
          <w:color w:val="000000" w:themeColor="text1"/>
        </w:rPr>
        <w:t>, IWUE</w:t>
      </w:r>
      <w:r w:rsidRPr="00F7220B">
        <w:rPr>
          <w:color w:val="000000" w:themeColor="text1"/>
          <w:vertAlign w:val="superscript"/>
        </w:rPr>
        <w:t>eco</w:t>
      </w:r>
      <w:r w:rsidRPr="00F7220B">
        <w:rPr>
          <w:bCs/>
          <w:color w:val="000000" w:themeColor="text1"/>
        </w:rPr>
        <w:t>, iWUE</w:t>
      </w:r>
      <w:r w:rsidRPr="00F7220B">
        <w:rPr>
          <w:color w:val="000000" w:themeColor="text1"/>
          <w:vertAlign w:val="superscript"/>
        </w:rPr>
        <w:t>eco</w:t>
      </w:r>
      <w:r w:rsidRPr="00F7220B">
        <w:rPr>
          <w:bCs/>
          <w:color w:val="000000" w:themeColor="text1"/>
        </w:rPr>
        <w:t xml:space="preserve">, GPP, ET, </w:t>
      </w:r>
      <w:r w:rsidRPr="00F7220B">
        <w:rPr>
          <w:bCs/>
          <w:i/>
          <w:color w:val="000000" w:themeColor="text1"/>
        </w:rPr>
        <w:t>G</w:t>
      </w:r>
      <w:r w:rsidRPr="00F7220B">
        <w:rPr>
          <w:bCs/>
          <w:color w:val="000000" w:themeColor="text1"/>
          <w:vertAlign w:val="subscript"/>
        </w:rPr>
        <w:t>s</w:t>
      </w:r>
      <w:r w:rsidRPr="00F7220B">
        <w:rPr>
          <w:bCs/>
          <w:color w:val="000000" w:themeColor="text1"/>
        </w:rPr>
        <w:t xml:space="preserve"> and VPD for DBF and ENF forests over 1992-2011 from a network of 25 eddy-covariance stations derived from FLUXNET-2015 (Tier 1) product (see Table S6). The Sen slopes of the percentages of changes in the variables relative to the site mean (% yr</w:t>
      </w:r>
      <w:r w:rsidRPr="00F7220B">
        <w:rPr>
          <w:bCs/>
          <w:color w:val="000000" w:themeColor="text1"/>
          <w:vertAlign w:val="superscript"/>
        </w:rPr>
        <w:t>-1</w:t>
      </w:r>
      <w:r w:rsidRPr="00F7220B">
        <w:rPr>
          <w:bCs/>
          <w:color w:val="000000" w:themeColor="text1"/>
        </w:rPr>
        <w:t>) over 1992-2011 are presented. The grey horizontal d</w:t>
      </w:r>
      <w:r w:rsidR="00335E25">
        <w:rPr>
          <w:bCs/>
          <w:color w:val="000000" w:themeColor="text1"/>
        </w:rPr>
        <w:t>ott</w:t>
      </w:r>
      <w:r w:rsidRPr="00F7220B">
        <w:rPr>
          <w:bCs/>
          <w:color w:val="000000" w:themeColor="text1"/>
        </w:rPr>
        <w:t xml:space="preserve">ed line is the Sen slope of the percentages of changes in </w:t>
      </w:r>
      <w:r w:rsidRPr="00F7220B">
        <w:rPr>
          <w:bCs/>
          <w:i/>
          <w:color w:val="000000" w:themeColor="text1"/>
        </w:rPr>
        <w:t>c</w:t>
      </w:r>
      <w:r w:rsidRPr="00F7220B">
        <w:rPr>
          <w:bCs/>
          <w:color w:val="000000" w:themeColor="text1"/>
          <w:vertAlign w:val="subscript"/>
        </w:rPr>
        <w:t>a</w:t>
      </w:r>
      <w:r w:rsidRPr="00F7220B">
        <w:rPr>
          <w:bCs/>
          <w:color w:val="000000" w:themeColor="text1"/>
        </w:rPr>
        <w:t xml:space="preserve"> relative to the site mean (% yr</w:t>
      </w:r>
      <w:r w:rsidRPr="00F7220B">
        <w:rPr>
          <w:bCs/>
          <w:color w:val="000000" w:themeColor="text1"/>
          <w:vertAlign w:val="superscript"/>
        </w:rPr>
        <w:t>–1</w:t>
      </w:r>
      <w:r w:rsidRPr="00F7220B">
        <w:rPr>
          <w:bCs/>
          <w:color w:val="000000" w:themeColor="text1"/>
        </w:rPr>
        <w:t xml:space="preserve">) over 1992-2011 calculated using </w:t>
      </w:r>
      <w:r w:rsidRPr="00F7220B">
        <w:rPr>
          <w:color w:val="000000" w:themeColor="text1"/>
        </w:rPr>
        <w:t>direct in-situ measurements from Scripps (</w:t>
      </w:r>
      <w:hyperlink r:id="rId12" w:history="1">
        <w:r w:rsidRPr="00F7220B">
          <w:rPr>
            <w:rStyle w:val="Hyperlink"/>
            <w:color w:val="000000" w:themeColor="text1"/>
          </w:rPr>
          <w:t>http://scrippsco2.ucsd.edu/data/atmospheric_co2/primary_mlo_co2_record</w:t>
        </w:r>
      </w:hyperlink>
      <w:r w:rsidRPr="00F7220B">
        <w:rPr>
          <w:color w:val="000000" w:themeColor="text1"/>
        </w:rPr>
        <w:t>; last update on 12 December 2018).</w:t>
      </w:r>
      <w:r w:rsidRPr="00F7220B">
        <w:rPr>
          <w:bCs/>
          <w:color w:val="000000" w:themeColor="text1"/>
        </w:rPr>
        <w:t xml:space="preserve"> In </w:t>
      </w:r>
      <w:r w:rsidR="006E2CA0">
        <w:rPr>
          <w:bCs/>
          <w:color w:val="000000" w:themeColor="text1"/>
        </w:rPr>
        <w:t>(a)</w:t>
      </w:r>
      <w:r w:rsidRPr="00F7220B">
        <w:rPr>
          <w:bCs/>
          <w:color w:val="000000" w:themeColor="text1"/>
        </w:rPr>
        <w:t xml:space="preserve"> are the general estimates and in </w:t>
      </w:r>
      <w:r w:rsidR="006E2CA0">
        <w:rPr>
          <w:bCs/>
          <w:color w:val="000000" w:themeColor="text1"/>
        </w:rPr>
        <w:t>(b)</w:t>
      </w:r>
      <w:r w:rsidRPr="00F7220B">
        <w:rPr>
          <w:bCs/>
          <w:color w:val="000000" w:themeColor="text1"/>
        </w:rPr>
        <w:t xml:space="preserve"> are the estimates for </w:t>
      </w:r>
      <w:r w:rsidR="006E2CA0">
        <w:rPr>
          <w:bCs/>
          <w:color w:val="000000" w:themeColor="text1"/>
        </w:rPr>
        <w:t>the two PFTs considered</w:t>
      </w:r>
      <w:r w:rsidRPr="00F7220B">
        <w:rPr>
          <w:bCs/>
          <w:color w:val="000000" w:themeColor="text1"/>
        </w:rPr>
        <w:t>. All the calculations were performed using the ‘Bigleaf’ R package</w:t>
      </w:r>
      <w:r w:rsidR="0024527C">
        <w:rPr>
          <w:bCs/>
          <w:color w:val="000000" w:themeColor="text1"/>
        </w:rPr>
        <w:t xml:space="preserve"> (see Text S</w:t>
      </w:r>
      <w:r w:rsidR="00253D92">
        <w:rPr>
          <w:bCs/>
          <w:color w:val="000000" w:themeColor="text1"/>
        </w:rPr>
        <w:t>2</w:t>
      </w:r>
      <w:r w:rsidR="0024527C">
        <w:rPr>
          <w:bCs/>
          <w:color w:val="000000" w:themeColor="text1"/>
        </w:rPr>
        <w:t>;</w:t>
      </w:r>
      <w:r w:rsidRPr="00F7220B">
        <w:rPr>
          <w:bCs/>
          <w:color w:val="000000" w:themeColor="text1"/>
        </w:rPr>
        <w:t xml:space="preserve"> </w:t>
      </w:r>
      <w:r w:rsidRPr="00F7220B">
        <w:rPr>
          <w:bCs/>
          <w:color w:val="000000" w:themeColor="text1"/>
        </w:rPr>
        <w:fldChar w:fldCharType="begin" w:fldLock="1"/>
      </w:r>
      <w:r w:rsidRPr="00F7220B">
        <w:rPr>
          <w:bCs/>
          <w:color w:val="000000" w:themeColor="text1"/>
        </w:rPr>
        <w:instrText>ADDIN CSL_CITATION {"citationItems":[{"id":"ITEM-1","itemData":{"DOI":"https://doi.org/ 10.1371/journal.pone.0201114","author":[{"dropping-particle":"","family":"Knauer","given":"Jürgen","non-dropping-particle":"","parse-names":false,"suffix":""},{"dropping-particle":"","family":"El-Madany","given":"Tarek S","non-dropping-particle":"","parse-names":false,"suffix":""},{"dropping-particle":"","family":"Zaehle","given":"Sönke","non-dropping-particle":"","parse-names":false,"suffix":""},{"dropping-particle":"","family":"Migliavacca","given":"Mirco","non-dropping-particle":"","parse-names":false,"suffix":""}],"container-title":"PLoS ONE","id":"ITEM-1","issue":"8","issued":{"date-parts":[["2018"]]},"page":"1-26","title":"Bigleaf — An R package for the calculation of physical and physiological ecosystem properties from eddy covariance data","type":"article-journal","volume":"13"},"uris":["http://www.mendeley.com/documents/?uuid=501fd6df-8f11-40d5-8afe-f8c983b50b68"]}],"mendeley":{"formattedCitation":"(Knauer, El-Madany, et al., 2018)","plainTextFormattedCitation":"(Knauer, El-Madany, et al., 2018)","previouslyFormattedCitation":"(Knauer, El-Madany, et al., 2018)"},"properties":{"noteIndex":0},"schema":"https://github.com/citation-style-language/schema/raw/master/csl-citation.json"}</w:instrText>
      </w:r>
      <w:r w:rsidRPr="00F7220B">
        <w:rPr>
          <w:bCs/>
          <w:color w:val="000000" w:themeColor="text1"/>
        </w:rPr>
        <w:fldChar w:fldCharType="separate"/>
      </w:r>
      <w:r w:rsidRPr="00F7220B">
        <w:rPr>
          <w:bCs/>
          <w:noProof/>
          <w:color w:val="000000" w:themeColor="text1"/>
        </w:rPr>
        <w:t>Knauer, El-Madany, et al., 2018)</w:t>
      </w:r>
      <w:r w:rsidRPr="00F7220B">
        <w:rPr>
          <w:bCs/>
          <w:color w:val="000000" w:themeColor="text1"/>
        </w:rPr>
        <w:fldChar w:fldCharType="end"/>
      </w:r>
      <w:r w:rsidRPr="00F7220B">
        <w:rPr>
          <w:bCs/>
          <w:color w:val="000000" w:themeColor="text1"/>
        </w:rPr>
        <w:t>.</w:t>
      </w:r>
      <w:r w:rsidR="0060380E">
        <w:rPr>
          <w:bCs/>
          <w:color w:val="000000" w:themeColor="text1"/>
        </w:rPr>
        <w:t xml:space="preserve"> </w:t>
      </w:r>
      <w:r w:rsidR="0060380E">
        <w:rPr>
          <w:color w:val="000000" w:themeColor="text1"/>
        </w:rPr>
        <w:t>S</w:t>
      </w:r>
      <w:r w:rsidR="0060380E" w:rsidRPr="00004C1B">
        <w:rPr>
          <w:color w:val="000000" w:themeColor="text1"/>
        </w:rPr>
        <w:t xml:space="preserve">ignificant differences </w:t>
      </w:r>
      <w:r w:rsidR="0060380E">
        <w:rPr>
          <w:color w:val="000000" w:themeColor="text1"/>
        </w:rPr>
        <w:t xml:space="preserve">between estimates and the 1:1 line (asterisks) </w:t>
      </w:r>
      <w:r w:rsidR="0060380E" w:rsidRPr="00004C1B">
        <w:rPr>
          <w:color w:val="000000" w:themeColor="text1"/>
        </w:rPr>
        <w:t xml:space="preserve">are also </w:t>
      </w:r>
      <w:r w:rsidR="0060380E">
        <w:rPr>
          <w:color w:val="000000" w:themeColor="text1"/>
        </w:rPr>
        <w:t>indicated</w:t>
      </w:r>
      <w:r w:rsidR="0060380E" w:rsidRPr="00004C1B">
        <w:rPr>
          <w:color w:val="000000" w:themeColor="text1"/>
        </w:rPr>
        <w:t xml:space="preserve"> (</w:t>
      </w:r>
      <w:r w:rsidR="0060380E">
        <w:rPr>
          <w:color w:val="000000" w:themeColor="text1"/>
        </w:rPr>
        <w:t xml:space="preserve">Student-t or Wilcoxon tests; </w:t>
      </w:r>
      <w:r w:rsidR="0060380E" w:rsidRPr="00004C1B">
        <w:rPr>
          <w:color w:val="000000" w:themeColor="text1"/>
        </w:rPr>
        <w:t>p &lt; 0.05, *).</w:t>
      </w:r>
      <w:r w:rsidR="0060380E" w:rsidRPr="00FF5DA3">
        <w:rPr>
          <w:bCs/>
          <w:color w:val="000000" w:themeColor="text1"/>
        </w:rPr>
        <w:t xml:space="preserve"> </w:t>
      </w:r>
    </w:p>
    <w:p w14:paraId="21010EFD" w14:textId="268C0EF4" w:rsidR="00DF4208" w:rsidRDefault="00DF4208" w:rsidP="0060380E">
      <w:pPr>
        <w:spacing w:line="360" w:lineRule="auto"/>
        <w:jc w:val="both"/>
        <w:rPr>
          <w:bCs/>
          <w:color w:val="000000" w:themeColor="text1"/>
        </w:rPr>
      </w:pPr>
    </w:p>
    <w:p w14:paraId="66267B28" w14:textId="744B10ED" w:rsidR="00DF4208" w:rsidRDefault="00DF4208" w:rsidP="0060380E">
      <w:pPr>
        <w:spacing w:line="360" w:lineRule="auto"/>
        <w:jc w:val="both"/>
        <w:rPr>
          <w:bCs/>
          <w:color w:val="000000" w:themeColor="text1"/>
        </w:rPr>
      </w:pPr>
      <w:r>
        <w:rPr>
          <w:bCs/>
          <w:noProof/>
          <w:color w:val="000000" w:themeColor="text1"/>
        </w:rPr>
        <w:drawing>
          <wp:inline distT="0" distB="0" distL="0" distR="0" wp14:anchorId="7ED53BDF" wp14:editId="0C818EBF">
            <wp:extent cx="5972810" cy="2388870"/>
            <wp:effectExtent l="0" t="0" r="0" b="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jpeg"/>
                    <pic:cNvPicPr/>
                  </pic:nvPicPr>
                  <pic:blipFill>
                    <a:blip r:embed="rId13"/>
                    <a:stretch>
                      <a:fillRect/>
                    </a:stretch>
                  </pic:blipFill>
                  <pic:spPr>
                    <a:xfrm>
                      <a:off x="0" y="0"/>
                      <a:ext cx="5972810" cy="2388870"/>
                    </a:xfrm>
                    <a:prstGeom prst="rect">
                      <a:avLst/>
                    </a:prstGeom>
                  </pic:spPr>
                </pic:pic>
              </a:graphicData>
            </a:graphic>
          </wp:inline>
        </w:drawing>
      </w:r>
    </w:p>
    <w:p w14:paraId="355597D0" w14:textId="04EBEACF" w:rsidR="0005613B" w:rsidRDefault="0005613B" w:rsidP="0060380E">
      <w:pPr>
        <w:spacing w:line="360" w:lineRule="auto"/>
        <w:jc w:val="both"/>
        <w:rPr>
          <w:bCs/>
          <w:color w:val="000000" w:themeColor="text1"/>
        </w:rPr>
      </w:pPr>
    </w:p>
    <w:p w14:paraId="489D2580" w14:textId="589B7694" w:rsidR="0005613B" w:rsidRDefault="00DF4208" w:rsidP="001A0EBC">
      <w:pPr>
        <w:pBdr>
          <w:top w:val="nil"/>
          <w:left w:val="nil"/>
          <w:bottom w:val="nil"/>
          <w:right w:val="nil"/>
          <w:between w:val="nil"/>
          <w:bar w:val="nil"/>
        </w:pBdr>
        <w:spacing w:line="360" w:lineRule="auto"/>
      </w:pPr>
      <w:r>
        <w:rPr>
          <w:noProof/>
        </w:rPr>
        <w:drawing>
          <wp:inline distT="0" distB="0" distL="0" distR="0" wp14:anchorId="64D32F63" wp14:editId="644773CD">
            <wp:extent cx="5972810" cy="4266292"/>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2.jpeg"/>
                    <pic:cNvPicPr/>
                  </pic:nvPicPr>
                  <pic:blipFill>
                    <a:blip r:embed="rId14"/>
                    <a:stretch>
                      <a:fillRect/>
                    </a:stretch>
                  </pic:blipFill>
                  <pic:spPr>
                    <a:xfrm>
                      <a:off x="0" y="0"/>
                      <a:ext cx="5972810" cy="4266292"/>
                    </a:xfrm>
                    <a:prstGeom prst="rect">
                      <a:avLst/>
                    </a:prstGeom>
                  </pic:spPr>
                </pic:pic>
              </a:graphicData>
            </a:graphic>
          </wp:inline>
        </w:drawing>
      </w:r>
    </w:p>
    <w:p w14:paraId="5F20EE72" w14:textId="1D9464EF" w:rsidR="00DF4208" w:rsidRDefault="00DF4208" w:rsidP="001A0EBC">
      <w:pPr>
        <w:pBdr>
          <w:top w:val="nil"/>
          <w:left w:val="nil"/>
          <w:bottom w:val="nil"/>
          <w:right w:val="nil"/>
          <w:between w:val="nil"/>
          <w:bar w:val="nil"/>
        </w:pBdr>
        <w:spacing w:line="360" w:lineRule="auto"/>
      </w:pPr>
    </w:p>
    <w:p w14:paraId="60F0F046" w14:textId="6A7664EE" w:rsidR="00DF4208" w:rsidRDefault="00DF4208" w:rsidP="001A0EBC">
      <w:pPr>
        <w:pBdr>
          <w:top w:val="nil"/>
          <w:left w:val="nil"/>
          <w:bottom w:val="nil"/>
          <w:right w:val="nil"/>
          <w:between w:val="nil"/>
          <w:bar w:val="nil"/>
        </w:pBdr>
        <w:spacing w:line="360" w:lineRule="auto"/>
      </w:pPr>
      <w:r>
        <w:rPr>
          <w:noProof/>
        </w:rPr>
        <w:drawing>
          <wp:inline distT="0" distB="0" distL="0" distR="0" wp14:anchorId="6F89D61D" wp14:editId="6B5AE8B5">
            <wp:extent cx="5449146" cy="40868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3.jpeg"/>
                    <pic:cNvPicPr/>
                  </pic:nvPicPr>
                  <pic:blipFill>
                    <a:blip r:embed="rId15"/>
                    <a:stretch>
                      <a:fillRect/>
                    </a:stretch>
                  </pic:blipFill>
                  <pic:spPr>
                    <a:xfrm>
                      <a:off x="0" y="0"/>
                      <a:ext cx="5449146" cy="4086860"/>
                    </a:xfrm>
                    <a:prstGeom prst="rect">
                      <a:avLst/>
                    </a:prstGeom>
                  </pic:spPr>
                </pic:pic>
              </a:graphicData>
            </a:graphic>
          </wp:inline>
        </w:drawing>
      </w:r>
    </w:p>
    <w:p w14:paraId="5B0ADF6B" w14:textId="48550670" w:rsidR="00DF4208" w:rsidRDefault="00DF4208" w:rsidP="001A0EBC">
      <w:pPr>
        <w:pBdr>
          <w:top w:val="nil"/>
          <w:left w:val="nil"/>
          <w:bottom w:val="nil"/>
          <w:right w:val="nil"/>
          <w:between w:val="nil"/>
          <w:bar w:val="nil"/>
        </w:pBdr>
        <w:spacing w:line="360" w:lineRule="auto"/>
      </w:pPr>
    </w:p>
    <w:p w14:paraId="00E4DA6C" w14:textId="79E5EEE7" w:rsidR="00DF4208" w:rsidRPr="002C6166" w:rsidRDefault="00DF4208" w:rsidP="001A0EBC">
      <w:pPr>
        <w:pBdr>
          <w:top w:val="nil"/>
          <w:left w:val="nil"/>
          <w:bottom w:val="nil"/>
          <w:right w:val="nil"/>
          <w:between w:val="nil"/>
          <w:bar w:val="nil"/>
        </w:pBdr>
        <w:spacing w:line="360" w:lineRule="auto"/>
      </w:pPr>
      <w:r>
        <w:rPr>
          <w:noProof/>
        </w:rPr>
        <w:drawing>
          <wp:inline distT="0" distB="0" distL="0" distR="0" wp14:anchorId="050B18D8" wp14:editId="5BCC8DD4">
            <wp:extent cx="5972810" cy="7167245"/>
            <wp:effectExtent l="0" t="0" r="0" b="0"/>
            <wp:docPr id="8" name="Picture 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4.jpeg"/>
                    <pic:cNvPicPr/>
                  </pic:nvPicPr>
                  <pic:blipFill>
                    <a:blip r:embed="rId16"/>
                    <a:stretch>
                      <a:fillRect/>
                    </a:stretch>
                  </pic:blipFill>
                  <pic:spPr>
                    <a:xfrm>
                      <a:off x="0" y="0"/>
                      <a:ext cx="5972810" cy="7167245"/>
                    </a:xfrm>
                    <a:prstGeom prst="rect">
                      <a:avLst/>
                    </a:prstGeom>
                  </pic:spPr>
                </pic:pic>
              </a:graphicData>
            </a:graphic>
          </wp:inline>
        </w:drawing>
      </w:r>
    </w:p>
    <w:sectPr w:rsidR="00DF4208" w:rsidRPr="002C6166" w:rsidSect="00D3258C">
      <w:pgSz w:w="12240" w:h="15840"/>
      <w:pgMar w:top="1417" w:right="1417" w:bottom="1417" w:left="1417" w:header="720" w:footer="720" w:gutter="0"/>
      <w:lnNumType w:countBy="1" w:restart="continuous"/>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3169C4" w14:textId="77777777" w:rsidR="00E31184" w:rsidRDefault="00E31184">
      <w:r>
        <w:separator/>
      </w:r>
    </w:p>
  </w:endnote>
  <w:endnote w:type="continuationSeparator" w:id="0">
    <w:p w14:paraId="1B066ADD" w14:textId="77777777" w:rsidR="00E31184" w:rsidRDefault="00E31184">
      <w:r>
        <w:continuationSeparator/>
      </w:r>
    </w:p>
  </w:endnote>
  <w:endnote w:type="continuationNotice" w:id="1">
    <w:p w14:paraId="51CFB522" w14:textId="77777777" w:rsidR="00E31184" w:rsidRDefault="00E311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1002AFF" w:usb1="C000E47F" w:usb2="0000002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5EC07F" w14:textId="77777777" w:rsidR="00E31184" w:rsidRDefault="00E31184">
      <w:r>
        <w:separator/>
      </w:r>
    </w:p>
  </w:footnote>
  <w:footnote w:type="continuationSeparator" w:id="0">
    <w:p w14:paraId="03F87DFF" w14:textId="77777777" w:rsidR="00E31184" w:rsidRDefault="00E31184">
      <w:r>
        <w:continuationSeparator/>
      </w:r>
    </w:p>
  </w:footnote>
  <w:footnote w:type="continuationNotice" w:id="1">
    <w:p w14:paraId="5F4AE13E" w14:textId="77777777" w:rsidR="00E31184" w:rsidRDefault="00E3118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E20B7"/>
    <w:multiLevelType w:val="hybridMultilevel"/>
    <w:tmpl w:val="DAAEC9B8"/>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DD6512"/>
    <w:multiLevelType w:val="multilevel"/>
    <w:tmpl w:val="832E2206"/>
    <w:lvl w:ilvl="0">
      <w:start w:val="1"/>
      <w:numFmt w:val="upperRoman"/>
      <w:lvlText w:val="%1."/>
      <w:lvlJc w:val="left"/>
      <w:pPr>
        <w:ind w:left="720" w:hanging="4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ind w:left="216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ind w:left="432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lowerRoman"/>
      <w:lvlText w:val="%9."/>
      <w:lvlJc w:val="left"/>
      <w:pPr>
        <w:ind w:left="648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8BF2861"/>
    <w:multiLevelType w:val="hybridMultilevel"/>
    <w:tmpl w:val="AE9C1B72"/>
    <w:lvl w:ilvl="0" w:tplc="4174759C">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F475F9"/>
    <w:multiLevelType w:val="hybridMultilevel"/>
    <w:tmpl w:val="1E10C9CA"/>
    <w:numStyleLink w:val="ImportedStyle2"/>
  </w:abstractNum>
  <w:abstractNum w:abstractNumId="4" w15:restartNumberingAfterBreak="0">
    <w:nsid w:val="181A60C5"/>
    <w:multiLevelType w:val="singleLevel"/>
    <w:tmpl w:val="08090019"/>
    <w:lvl w:ilvl="0">
      <w:start w:val="1"/>
      <w:numFmt w:val="lowerLetter"/>
      <w:lvlText w:val="%1."/>
      <w:lvlJc w:val="left"/>
      <w:pPr>
        <w:ind w:left="720" w:hanging="360"/>
      </w:pPr>
      <w:rPr>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23826628"/>
    <w:multiLevelType w:val="hybridMultilevel"/>
    <w:tmpl w:val="AD3A2A3E"/>
    <w:lvl w:ilvl="0" w:tplc="09543CB6">
      <w:start w:val="1"/>
      <w:numFmt w:val="lowerRoman"/>
      <w:lvlText w:val="%1."/>
      <w:lvlJc w:val="left"/>
      <w:pPr>
        <w:ind w:left="216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DB037D"/>
    <w:multiLevelType w:val="hybridMultilevel"/>
    <w:tmpl w:val="F950371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BAF1EB6"/>
    <w:multiLevelType w:val="hybridMultilevel"/>
    <w:tmpl w:val="AC2C80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820FD8"/>
    <w:multiLevelType w:val="hybridMultilevel"/>
    <w:tmpl w:val="E8EA1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331C60"/>
    <w:multiLevelType w:val="hybridMultilevel"/>
    <w:tmpl w:val="832E2206"/>
    <w:styleLink w:val="ImportedStyle1"/>
    <w:lvl w:ilvl="0" w:tplc="808E56C0">
      <w:start w:val="1"/>
      <w:numFmt w:val="upperRoman"/>
      <w:lvlText w:val="%1."/>
      <w:lvlJc w:val="left"/>
      <w:pPr>
        <w:ind w:left="720" w:hanging="4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74298F4">
      <w:start w:val="1"/>
      <w:numFmt w:val="decimal"/>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9344DEE">
      <w:start w:val="1"/>
      <w:numFmt w:val="lowerRoman"/>
      <w:lvlText w:val="%3."/>
      <w:lvlJc w:val="left"/>
      <w:pPr>
        <w:ind w:left="216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28A4C48">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1446E48">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A529FEE">
      <w:start w:val="1"/>
      <w:numFmt w:val="lowerRoman"/>
      <w:lvlText w:val="%6."/>
      <w:lvlJc w:val="left"/>
      <w:pPr>
        <w:ind w:left="432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0DAA0C6">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AA25D5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86B66E">
      <w:start w:val="1"/>
      <w:numFmt w:val="lowerRoman"/>
      <w:lvlText w:val="%9."/>
      <w:lvlJc w:val="left"/>
      <w:pPr>
        <w:ind w:left="648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2FE4741B"/>
    <w:multiLevelType w:val="hybridMultilevel"/>
    <w:tmpl w:val="A684A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305F0A"/>
    <w:multiLevelType w:val="hybridMultilevel"/>
    <w:tmpl w:val="6AF23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A91412"/>
    <w:multiLevelType w:val="hybridMultilevel"/>
    <w:tmpl w:val="471A11B8"/>
    <w:lvl w:ilvl="0" w:tplc="A16A0676">
      <w:numFmt w:val="bullet"/>
      <w:lvlText w:val="-"/>
      <w:lvlJc w:val="left"/>
      <w:pPr>
        <w:ind w:left="720" w:hanging="360"/>
      </w:pPr>
      <w:rPr>
        <w:rFonts w:ascii="Times New Roman" w:eastAsia="Arial Unicode MS"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CA2BC0"/>
    <w:multiLevelType w:val="hybridMultilevel"/>
    <w:tmpl w:val="53A44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EC26881"/>
    <w:multiLevelType w:val="singleLevel"/>
    <w:tmpl w:val="08090019"/>
    <w:lvl w:ilvl="0">
      <w:start w:val="1"/>
      <w:numFmt w:val="lowerLetter"/>
      <w:lvlText w:val="%1."/>
      <w:lvlJc w:val="left"/>
      <w:pPr>
        <w:ind w:left="600" w:hanging="360"/>
      </w:pPr>
      <w:rPr>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444C6071"/>
    <w:multiLevelType w:val="hybridMultilevel"/>
    <w:tmpl w:val="3C306238"/>
    <w:lvl w:ilvl="0" w:tplc="0409000F">
      <w:start w:val="1"/>
      <w:numFmt w:val="decimal"/>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6" w15:restartNumberingAfterBreak="0">
    <w:nsid w:val="45A873DF"/>
    <w:multiLevelType w:val="hybridMultilevel"/>
    <w:tmpl w:val="408A6CDE"/>
    <w:lvl w:ilvl="0" w:tplc="5058AAA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8C6DC7"/>
    <w:multiLevelType w:val="hybridMultilevel"/>
    <w:tmpl w:val="832E2206"/>
    <w:lvl w:ilvl="0" w:tplc="89B2F0BE">
      <w:start w:val="1"/>
      <w:numFmt w:val="upperRoman"/>
      <w:lvlText w:val="%1."/>
      <w:lvlJc w:val="left"/>
      <w:pPr>
        <w:ind w:left="480" w:hanging="4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C8C6C0">
      <w:start w:val="1"/>
      <w:numFmt w:val="decimal"/>
      <w:lvlText w:val="%2."/>
      <w:lvlJc w:val="left"/>
      <w:pPr>
        <w:ind w:left="12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69A4308">
      <w:start w:val="1"/>
      <w:numFmt w:val="lowerRoman"/>
      <w:lvlText w:val="%3."/>
      <w:lvlJc w:val="left"/>
      <w:pPr>
        <w:ind w:left="192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DBA024E">
      <w:start w:val="1"/>
      <w:numFmt w:val="decimal"/>
      <w:lvlText w:val="%4."/>
      <w:lvlJc w:val="left"/>
      <w:pPr>
        <w:ind w:left="26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060706C">
      <w:start w:val="1"/>
      <w:numFmt w:val="lowerLetter"/>
      <w:lvlText w:val="%5."/>
      <w:lvlJc w:val="left"/>
      <w:pPr>
        <w:ind w:left="3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286E2B0">
      <w:start w:val="1"/>
      <w:numFmt w:val="lowerRoman"/>
      <w:lvlText w:val="%6."/>
      <w:lvlJc w:val="left"/>
      <w:pPr>
        <w:ind w:left="408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5821A5A">
      <w:start w:val="1"/>
      <w:numFmt w:val="decimal"/>
      <w:lvlText w:val="%7."/>
      <w:lvlJc w:val="left"/>
      <w:pPr>
        <w:ind w:left="48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C7CD4F8">
      <w:start w:val="1"/>
      <w:numFmt w:val="lowerLetter"/>
      <w:lvlText w:val="%8."/>
      <w:lvlJc w:val="left"/>
      <w:pPr>
        <w:ind w:left="55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12E5E16">
      <w:start w:val="1"/>
      <w:numFmt w:val="lowerRoman"/>
      <w:lvlText w:val="%9."/>
      <w:lvlJc w:val="left"/>
      <w:pPr>
        <w:ind w:left="624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4F0B1E18"/>
    <w:multiLevelType w:val="hybridMultilevel"/>
    <w:tmpl w:val="EAA4441C"/>
    <w:lvl w:ilvl="0" w:tplc="F48AF262">
      <w:start w:val="1"/>
      <w:numFmt w:val="bullet"/>
      <w:lvlText w:val="-"/>
      <w:lvlJc w:val="left"/>
      <w:pPr>
        <w:ind w:left="720" w:hanging="360"/>
      </w:pPr>
      <w:rPr>
        <w:rFonts w:ascii="Times New Roman" w:eastAsia="Arial Unicode MS" w:hAnsi="Times New Roman" w:cs="Times New Roman" w:hint="default"/>
      </w:rPr>
    </w:lvl>
    <w:lvl w:ilvl="1" w:tplc="4F0024AA" w:tentative="1">
      <w:start w:val="1"/>
      <w:numFmt w:val="bullet"/>
      <w:lvlText w:val="o"/>
      <w:lvlJc w:val="left"/>
      <w:pPr>
        <w:ind w:left="1440" w:hanging="360"/>
      </w:pPr>
      <w:rPr>
        <w:rFonts w:ascii="Courier New" w:hAnsi="Courier New" w:hint="default"/>
      </w:rPr>
    </w:lvl>
    <w:lvl w:ilvl="2" w:tplc="09543CB6" w:tentative="1">
      <w:start w:val="1"/>
      <w:numFmt w:val="bullet"/>
      <w:lvlText w:val=""/>
      <w:lvlJc w:val="left"/>
      <w:pPr>
        <w:ind w:left="2160" w:hanging="360"/>
      </w:pPr>
      <w:rPr>
        <w:rFonts w:ascii="Wingdings" w:hAnsi="Wingdings" w:hint="default"/>
      </w:rPr>
    </w:lvl>
    <w:lvl w:ilvl="3" w:tplc="A5A8ADF0" w:tentative="1">
      <w:start w:val="1"/>
      <w:numFmt w:val="bullet"/>
      <w:lvlText w:val=""/>
      <w:lvlJc w:val="left"/>
      <w:pPr>
        <w:ind w:left="2880" w:hanging="360"/>
      </w:pPr>
      <w:rPr>
        <w:rFonts w:ascii="Symbol" w:hAnsi="Symbol" w:hint="default"/>
      </w:rPr>
    </w:lvl>
    <w:lvl w:ilvl="4" w:tplc="7E3E7484" w:tentative="1">
      <w:start w:val="1"/>
      <w:numFmt w:val="bullet"/>
      <w:lvlText w:val="o"/>
      <w:lvlJc w:val="left"/>
      <w:pPr>
        <w:ind w:left="3600" w:hanging="360"/>
      </w:pPr>
      <w:rPr>
        <w:rFonts w:ascii="Courier New" w:hAnsi="Courier New" w:hint="default"/>
      </w:rPr>
    </w:lvl>
    <w:lvl w:ilvl="5" w:tplc="83BE796E" w:tentative="1">
      <w:start w:val="1"/>
      <w:numFmt w:val="bullet"/>
      <w:lvlText w:val=""/>
      <w:lvlJc w:val="left"/>
      <w:pPr>
        <w:ind w:left="4320" w:hanging="360"/>
      </w:pPr>
      <w:rPr>
        <w:rFonts w:ascii="Wingdings" w:hAnsi="Wingdings" w:hint="default"/>
      </w:rPr>
    </w:lvl>
    <w:lvl w:ilvl="6" w:tplc="F2DEEE8C" w:tentative="1">
      <w:start w:val="1"/>
      <w:numFmt w:val="bullet"/>
      <w:lvlText w:val=""/>
      <w:lvlJc w:val="left"/>
      <w:pPr>
        <w:ind w:left="5040" w:hanging="360"/>
      </w:pPr>
      <w:rPr>
        <w:rFonts w:ascii="Symbol" w:hAnsi="Symbol" w:hint="default"/>
      </w:rPr>
    </w:lvl>
    <w:lvl w:ilvl="7" w:tplc="0B1C8E00" w:tentative="1">
      <w:start w:val="1"/>
      <w:numFmt w:val="bullet"/>
      <w:lvlText w:val="o"/>
      <w:lvlJc w:val="left"/>
      <w:pPr>
        <w:ind w:left="5760" w:hanging="360"/>
      </w:pPr>
      <w:rPr>
        <w:rFonts w:ascii="Courier New" w:hAnsi="Courier New" w:hint="default"/>
      </w:rPr>
    </w:lvl>
    <w:lvl w:ilvl="8" w:tplc="1598C0E6" w:tentative="1">
      <w:start w:val="1"/>
      <w:numFmt w:val="bullet"/>
      <w:lvlText w:val=""/>
      <w:lvlJc w:val="left"/>
      <w:pPr>
        <w:ind w:left="6480" w:hanging="360"/>
      </w:pPr>
      <w:rPr>
        <w:rFonts w:ascii="Wingdings" w:hAnsi="Wingdings" w:hint="default"/>
      </w:rPr>
    </w:lvl>
  </w:abstractNum>
  <w:abstractNum w:abstractNumId="19" w15:restartNumberingAfterBreak="0">
    <w:nsid w:val="51917A5A"/>
    <w:multiLevelType w:val="hybridMultilevel"/>
    <w:tmpl w:val="DC80BFE8"/>
    <w:lvl w:ilvl="0" w:tplc="7102D1B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CC3F40"/>
    <w:multiLevelType w:val="hybridMultilevel"/>
    <w:tmpl w:val="99C466A6"/>
    <w:lvl w:ilvl="0" w:tplc="BD94603A">
      <w:start w:val="1"/>
      <w:numFmt w:val="decimal"/>
      <w:lvlText w:val="%1."/>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1" w15:restartNumberingAfterBreak="0">
    <w:nsid w:val="52E86852"/>
    <w:multiLevelType w:val="hybridMultilevel"/>
    <w:tmpl w:val="9BBE706A"/>
    <w:lvl w:ilvl="0" w:tplc="4F0024AA">
      <w:start w:val="1"/>
      <w:numFmt w:val="upperRoman"/>
      <w:lvlText w:val="%1."/>
      <w:lvlJc w:val="left"/>
      <w:pPr>
        <w:ind w:left="480" w:hanging="4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decimal"/>
      <w:lvlText w:val="%2."/>
      <w:lvlJc w:val="left"/>
      <w:pPr>
        <w:ind w:left="12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1B">
      <w:start w:val="1"/>
      <w:numFmt w:val="lowerRoman"/>
      <w:lvlText w:val="%3."/>
      <w:lvlJc w:val="left"/>
      <w:pPr>
        <w:ind w:left="192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0F">
      <w:start w:val="1"/>
      <w:numFmt w:val="decimal"/>
      <w:lvlText w:val="%4."/>
      <w:lvlJc w:val="left"/>
      <w:pPr>
        <w:ind w:left="26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090019">
      <w:start w:val="1"/>
      <w:numFmt w:val="lowerLetter"/>
      <w:lvlText w:val="%5."/>
      <w:lvlJc w:val="left"/>
      <w:pPr>
        <w:ind w:left="3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09001B">
      <w:start w:val="1"/>
      <w:numFmt w:val="lowerRoman"/>
      <w:lvlText w:val="%6."/>
      <w:lvlJc w:val="left"/>
      <w:pPr>
        <w:ind w:left="408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09000F">
      <w:start w:val="1"/>
      <w:numFmt w:val="decimal"/>
      <w:lvlText w:val="%7."/>
      <w:lvlJc w:val="left"/>
      <w:pPr>
        <w:ind w:left="48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090019">
      <w:start w:val="1"/>
      <w:numFmt w:val="lowerLetter"/>
      <w:lvlText w:val="%8."/>
      <w:lvlJc w:val="left"/>
      <w:pPr>
        <w:ind w:left="55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409001B">
      <w:start w:val="1"/>
      <w:numFmt w:val="lowerRoman"/>
      <w:lvlText w:val="%9."/>
      <w:lvlJc w:val="left"/>
      <w:pPr>
        <w:ind w:left="624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581B584F"/>
    <w:multiLevelType w:val="hybridMultilevel"/>
    <w:tmpl w:val="49A6D450"/>
    <w:lvl w:ilvl="0" w:tplc="F48AF262">
      <w:start w:val="1"/>
      <w:numFmt w:val="bullet"/>
      <w:lvlText w:val=""/>
      <w:lvlJc w:val="left"/>
      <w:pPr>
        <w:ind w:left="720" w:hanging="360"/>
      </w:pPr>
      <w:rPr>
        <w:rFonts w:ascii="Symbol" w:hAnsi="Symbol" w:hint="default"/>
      </w:rPr>
    </w:lvl>
    <w:lvl w:ilvl="1" w:tplc="4F0024AA" w:tentative="1">
      <w:start w:val="1"/>
      <w:numFmt w:val="bullet"/>
      <w:lvlText w:val="o"/>
      <w:lvlJc w:val="left"/>
      <w:pPr>
        <w:ind w:left="1440" w:hanging="360"/>
      </w:pPr>
      <w:rPr>
        <w:rFonts w:ascii="Courier New" w:hAnsi="Courier New" w:hint="default"/>
      </w:rPr>
    </w:lvl>
    <w:lvl w:ilvl="2" w:tplc="09543CB6" w:tentative="1">
      <w:start w:val="1"/>
      <w:numFmt w:val="bullet"/>
      <w:lvlText w:val=""/>
      <w:lvlJc w:val="left"/>
      <w:pPr>
        <w:ind w:left="2160" w:hanging="360"/>
      </w:pPr>
      <w:rPr>
        <w:rFonts w:ascii="Wingdings" w:hAnsi="Wingdings" w:hint="default"/>
      </w:rPr>
    </w:lvl>
    <w:lvl w:ilvl="3" w:tplc="A5A8ADF0" w:tentative="1">
      <w:start w:val="1"/>
      <w:numFmt w:val="bullet"/>
      <w:lvlText w:val=""/>
      <w:lvlJc w:val="left"/>
      <w:pPr>
        <w:ind w:left="2880" w:hanging="360"/>
      </w:pPr>
      <w:rPr>
        <w:rFonts w:ascii="Symbol" w:hAnsi="Symbol" w:hint="default"/>
      </w:rPr>
    </w:lvl>
    <w:lvl w:ilvl="4" w:tplc="7E3E7484" w:tentative="1">
      <w:start w:val="1"/>
      <w:numFmt w:val="bullet"/>
      <w:lvlText w:val="o"/>
      <w:lvlJc w:val="left"/>
      <w:pPr>
        <w:ind w:left="3600" w:hanging="360"/>
      </w:pPr>
      <w:rPr>
        <w:rFonts w:ascii="Courier New" w:hAnsi="Courier New" w:hint="default"/>
      </w:rPr>
    </w:lvl>
    <w:lvl w:ilvl="5" w:tplc="83BE796E" w:tentative="1">
      <w:start w:val="1"/>
      <w:numFmt w:val="bullet"/>
      <w:lvlText w:val=""/>
      <w:lvlJc w:val="left"/>
      <w:pPr>
        <w:ind w:left="4320" w:hanging="360"/>
      </w:pPr>
      <w:rPr>
        <w:rFonts w:ascii="Wingdings" w:hAnsi="Wingdings" w:hint="default"/>
      </w:rPr>
    </w:lvl>
    <w:lvl w:ilvl="6" w:tplc="F2DEEE8C" w:tentative="1">
      <w:start w:val="1"/>
      <w:numFmt w:val="bullet"/>
      <w:lvlText w:val=""/>
      <w:lvlJc w:val="left"/>
      <w:pPr>
        <w:ind w:left="5040" w:hanging="360"/>
      </w:pPr>
      <w:rPr>
        <w:rFonts w:ascii="Symbol" w:hAnsi="Symbol" w:hint="default"/>
      </w:rPr>
    </w:lvl>
    <w:lvl w:ilvl="7" w:tplc="0B1C8E00" w:tentative="1">
      <w:start w:val="1"/>
      <w:numFmt w:val="bullet"/>
      <w:lvlText w:val="o"/>
      <w:lvlJc w:val="left"/>
      <w:pPr>
        <w:ind w:left="5760" w:hanging="360"/>
      </w:pPr>
      <w:rPr>
        <w:rFonts w:ascii="Courier New" w:hAnsi="Courier New" w:hint="default"/>
      </w:rPr>
    </w:lvl>
    <w:lvl w:ilvl="8" w:tplc="1598C0E6" w:tentative="1">
      <w:start w:val="1"/>
      <w:numFmt w:val="bullet"/>
      <w:lvlText w:val=""/>
      <w:lvlJc w:val="left"/>
      <w:pPr>
        <w:ind w:left="6480" w:hanging="360"/>
      </w:pPr>
      <w:rPr>
        <w:rFonts w:ascii="Wingdings" w:hAnsi="Wingdings" w:hint="default"/>
      </w:rPr>
    </w:lvl>
  </w:abstractNum>
  <w:abstractNum w:abstractNumId="23" w15:restartNumberingAfterBreak="0">
    <w:nsid w:val="5AFB1D31"/>
    <w:multiLevelType w:val="hybridMultilevel"/>
    <w:tmpl w:val="1B8628FC"/>
    <w:lvl w:ilvl="0" w:tplc="04090001">
      <w:start w:val="1"/>
      <w:numFmt w:val="decimal"/>
      <w:lvlText w:val="%1."/>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4" w15:restartNumberingAfterBreak="0">
    <w:nsid w:val="5B187F5C"/>
    <w:multiLevelType w:val="singleLevel"/>
    <w:tmpl w:val="08090019"/>
    <w:lvl w:ilvl="0">
      <w:start w:val="1"/>
      <w:numFmt w:val="lowerLetter"/>
      <w:lvlText w:val="%1."/>
      <w:lvlJc w:val="left"/>
      <w:pPr>
        <w:ind w:left="720" w:hanging="360"/>
      </w:pPr>
      <w:rPr>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65B17B4B"/>
    <w:multiLevelType w:val="hybridMultilevel"/>
    <w:tmpl w:val="B77E11FE"/>
    <w:lvl w:ilvl="0" w:tplc="026E8990">
      <w:numFmt w:val="bullet"/>
      <w:lvlText w:val="-"/>
      <w:lvlJc w:val="left"/>
      <w:pPr>
        <w:ind w:left="720" w:hanging="360"/>
      </w:pPr>
      <w:rPr>
        <w:rFonts w:ascii="Times New Roman" w:eastAsia="Arial Unicode MS" w:hAnsi="Times New Roman" w:cs="Times New Roman" w:hint="default"/>
      </w:rPr>
    </w:lvl>
    <w:lvl w:ilvl="1" w:tplc="EF60F992" w:tentative="1">
      <w:start w:val="1"/>
      <w:numFmt w:val="bullet"/>
      <w:lvlText w:val="o"/>
      <w:lvlJc w:val="left"/>
      <w:pPr>
        <w:ind w:left="1440" w:hanging="360"/>
      </w:pPr>
      <w:rPr>
        <w:rFonts w:ascii="Courier New" w:hAnsi="Courier New" w:cs="Courier New" w:hint="default"/>
      </w:rPr>
    </w:lvl>
    <w:lvl w:ilvl="2" w:tplc="FB22F480" w:tentative="1">
      <w:start w:val="1"/>
      <w:numFmt w:val="bullet"/>
      <w:lvlText w:val=""/>
      <w:lvlJc w:val="left"/>
      <w:pPr>
        <w:ind w:left="2160" w:hanging="360"/>
      </w:pPr>
      <w:rPr>
        <w:rFonts w:ascii="Wingdings" w:hAnsi="Wingdings" w:hint="default"/>
      </w:rPr>
    </w:lvl>
    <w:lvl w:ilvl="3" w:tplc="662ACC18" w:tentative="1">
      <w:start w:val="1"/>
      <w:numFmt w:val="bullet"/>
      <w:lvlText w:val=""/>
      <w:lvlJc w:val="left"/>
      <w:pPr>
        <w:ind w:left="2880" w:hanging="360"/>
      </w:pPr>
      <w:rPr>
        <w:rFonts w:ascii="Symbol" w:hAnsi="Symbol" w:hint="default"/>
      </w:rPr>
    </w:lvl>
    <w:lvl w:ilvl="4" w:tplc="48F2D0A4" w:tentative="1">
      <w:start w:val="1"/>
      <w:numFmt w:val="bullet"/>
      <w:lvlText w:val="o"/>
      <w:lvlJc w:val="left"/>
      <w:pPr>
        <w:ind w:left="3600" w:hanging="360"/>
      </w:pPr>
      <w:rPr>
        <w:rFonts w:ascii="Courier New" w:hAnsi="Courier New" w:cs="Courier New" w:hint="default"/>
      </w:rPr>
    </w:lvl>
    <w:lvl w:ilvl="5" w:tplc="C4E05868" w:tentative="1">
      <w:start w:val="1"/>
      <w:numFmt w:val="bullet"/>
      <w:lvlText w:val=""/>
      <w:lvlJc w:val="left"/>
      <w:pPr>
        <w:ind w:left="4320" w:hanging="360"/>
      </w:pPr>
      <w:rPr>
        <w:rFonts w:ascii="Wingdings" w:hAnsi="Wingdings" w:hint="default"/>
      </w:rPr>
    </w:lvl>
    <w:lvl w:ilvl="6" w:tplc="EB6E84D0" w:tentative="1">
      <w:start w:val="1"/>
      <w:numFmt w:val="bullet"/>
      <w:lvlText w:val=""/>
      <w:lvlJc w:val="left"/>
      <w:pPr>
        <w:ind w:left="5040" w:hanging="360"/>
      </w:pPr>
      <w:rPr>
        <w:rFonts w:ascii="Symbol" w:hAnsi="Symbol" w:hint="default"/>
      </w:rPr>
    </w:lvl>
    <w:lvl w:ilvl="7" w:tplc="AD8C8010" w:tentative="1">
      <w:start w:val="1"/>
      <w:numFmt w:val="bullet"/>
      <w:lvlText w:val="o"/>
      <w:lvlJc w:val="left"/>
      <w:pPr>
        <w:ind w:left="5760" w:hanging="360"/>
      </w:pPr>
      <w:rPr>
        <w:rFonts w:ascii="Courier New" w:hAnsi="Courier New" w:cs="Courier New" w:hint="default"/>
      </w:rPr>
    </w:lvl>
    <w:lvl w:ilvl="8" w:tplc="67766FF8" w:tentative="1">
      <w:start w:val="1"/>
      <w:numFmt w:val="bullet"/>
      <w:lvlText w:val=""/>
      <w:lvlJc w:val="left"/>
      <w:pPr>
        <w:ind w:left="6480" w:hanging="360"/>
      </w:pPr>
      <w:rPr>
        <w:rFonts w:ascii="Wingdings" w:hAnsi="Wingdings" w:hint="default"/>
      </w:rPr>
    </w:lvl>
  </w:abstractNum>
  <w:abstractNum w:abstractNumId="26" w15:restartNumberingAfterBreak="0">
    <w:nsid w:val="6A690894"/>
    <w:multiLevelType w:val="hybridMultilevel"/>
    <w:tmpl w:val="6BFE467C"/>
    <w:lvl w:ilvl="0" w:tplc="6FC4253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A121B7"/>
    <w:multiLevelType w:val="hybridMultilevel"/>
    <w:tmpl w:val="1E10C9CA"/>
    <w:styleLink w:val="ImportedStyle2"/>
    <w:lvl w:ilvl="0" w:tplc="04090001">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decimal"/>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4090005">
      <w:start w:val="1"/>
      <w:numFmt w:val="lowerRoman"/>
      <w:lvlText w:val="%3."/>
      <w:lvlJc w:val="left"/>
      <w:pPr>
        <w:ind w:left="216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01">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4090003">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090005">
      <w:start w:val="1"/>
      <w:numFmt w:val="lowerRoman"/>
      <w:lvlText w:val="%6."/>
      <w:lvlJc w:val="left"/>
      <w:pPr>
        <w:ind w:left="432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090001">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090003">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4090005">
      <w:start w:val="1"/>
      <w:numFmt w:val="lowerRoman"/>
      <w:lvlText w:val="%9."/>
      <w:lvlJc w:val="left"/>
      <w:pPr>
        <w:ind w:left="648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72654ED9"/>
    <w:multiLevelType w:val="hybridMultilevel"/>
    <w:tmpl w:val="43E64EF8"/>
    <w:lvl w:ilvl="0" w:tplc="0409000F">
      <w:start w:val="1"/>
      <w:numFmt w:val="decimal"/>
      <w:lvlText w:val="%1."/>
      <w:lvlJc w:val="left"/>
      <w:pPr>
        <w:ind w:left="720" w:hanging="360"/>
      </w:pPr>
    </w:lvl>
    <w:lvl w:ilvl="1" w:tplc="5E7C1700">
      <w:start w:val="1"/>
      <w:numFmt w:val="lowerLetter"/>
      <w:lvlText w:val="%2."/>
      <w:lvlJc w:val="left"/>
      <w:pPr>
        <w:ind w:left="1440" w:hanging="360"/>
      </w:pPr>
      <w:rPr>
        <w:rFonts w:ascii="Times New Roman" w:hAnsi="Times New Roman" w:cs="Times New Roman" w:hint="default"/>
      </w:rPr>
    </w:lvl>
    <w:lvl w:ilvl="2" w:tplc="0409001B">
      <w:start w:val="1"/>
      <w:numFmt w:val="lowerRoman"/>
      <w:lvlText w:val="%3."/>
      <w:lvlJc w:val="righ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F11367"/>
    <w:multiLevelType w:val="hybridMultilevel"/>
    <w:tmpl w:val="0A6415FA"/>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0" w15:restartNumberingAfterBreak="0">
    <w:nsid w:val="7B7D3BF1"/>
    <w:multiLevelType w:val="hybridMultilevel"/>
    <w:tmpl w:val="E926F408"/>
    <w:lvl w:ilvl="0" w:tplc="CEC6F6EA">
      <w:start w:val="1"/>
      <w:numFmt w:val="upperRoman"/>
      <w:lvlText w:val="%1."/>
      <w:lvlJc w:val="left"/>
      <w:pPr>
        <w:ind w:left="720" w:hanging="4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F0DE56">
      <w:start w:val="1"/>
      <w:numFmt w:val="decimal"/>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F88074">
      <w:start w:val="1"/>
      <w:numFmt w:val="lowerRoman"/>
      <w:lvlText w:val="%3."/>
      <w:lvlJc w:val="left"/>
      <w:pPr>
        <w:ind w:left="216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730F358">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EEEB1F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39ABA36">
      <w:start w:val="1"/>
      <w:numFmt w:val="lowerRoman"/>
      <w:lvlText w:val="%6."/>
      <w:lvlJc w:val="left"/>
      <w:pPr>
        <w:ind w:left="432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4109F54">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42A71FA">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FEADF1A">
      <w:start w:val="1"/>
      <w:numFmt w:val="lowerRoman"/>
      <w:lvlText w:val="%9."/>
      <w:lvlJc w:val="left"/>
      <w:pPr>
        <w:ind w:left="6480"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7F3C0216"/>
    <w:multiLevelType w:val="hybridMultilevel"/>
    <w:tmpl w:val="82C08560"/>
    <w:lvl w:ilvl="0" w:tplc="F48AF262">
      <w:start w:val="1"/>
      <w:numFmt w:val="decimal"/>
      <w:lvlText w:val="%1."/>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F0024AA" w:tentative="1">
      <w:start w:val="1"/>
      <w:numFmt w:val="lowerLetter"/>
      <w:lvlText w:val="%2."/>
      <w:lvlJc w:val="left"/>
      <w:pPr>
        <w:ind w:left="1440" w:hanging="360"/>
      </w:pPr>
    </w:lvl>
    <w:lvl w:ilvl="2" w:tplc="09543CB6" w:tentative="1">
      <w:start w:val="1"/>
      <w:numFmt w:val="lowerRoman"/>
      <w:lvlText w:val="%3."/>
      <w:lvlJc w:val="right"/>
      <w:pPr>
        <w:ind w:left="2160" w:hanging="180"/>
      </w:pPr>
    </w:lvl>
    <w:lvl w:ilvl="3" w:tplc="A5A8ADF0" w:tentative="1">
      <w:start w:val="1"/>
      <w:numFmt w:val="decimal"/>
      <w:lvlText w:val="%4."/>
      <w:lvlJc w:val="left"/>
      <w:pPr>
        <w:ind w:left="2880" w:hanging="360"/>
      </w:pPr>
    </w:lvl>
    <w:lvl w:ilvl="4" w:tplc="7E3E7484" w:tentative="1">
      <w:start w:val="1"/>
      <w:numFmt w:val="lowerLetter"/>
      <w:lvlText w:val="%5."/>
      <w:lvlJc w:val="left"/>
      <w:pPr>
        <w:ind w:left="3600" w:hanging="360"/>
      </w:pPr>
    </w:lvl>
    <w:lvl w:ilvl="5" w:tplc="83BE796E" w:tentative="1">
      <w:start w:val="1"/>
      <w:numFmt w:val="lowerRoman"/>
      <w:lvlText w:val="%6."/>
      <w:lvlJc w:val="right"/>
      <w:pPr>
        <w:ind w:left="4320" w:hanging="180"/>
      </w:pPr>
    </w:lvl>
    <w:lvl w:ilvl="6" w:tplc="F2DEEE8C" w:tentative="1">
      <w:start w:val="1"/>
      <w:numFmt w:val="decimal"/>
      <w:lvlText w:val="%7."/>
      <w:lvlJc w:val="left"/>
      <w:pPr>
        <w:ind w:left="5040" w:hanging="360"/>
      </w:pPr>
    </w:lvl>
    <w:lvl w:ilvl="7" w:tplc="0B1C8E00" w:tentative="1">
      <w:start w:val="1"/>
      <w:numFmt w:val="lowerLetter"/>
      <w:lvlText w:val="%8."/>
      <w:lvlJc w:val="left"/>
      <w:pPr>
        <w:ind w:left="5760" w:hanging="360"/>
      </w:pPr>
    </w:lvl>
    <w:lvl w:ilvl="8" w:tplc="1598C0E6" w:tentative="1">
      <w:start w:val="1"/>
      <w:numFmt w:val="lowerRoman"/>
      <w:lvlText w:val="%9."/>
      <w:lvlJc w:val="right"/>
      <w:pPr>
        <w:ind w:left="6480" w:hanging="180"/>
      </w:pPr>
    </w:lvl>
  </w:abstractNum>
  <w:num w:numId="1">
    <w:abstractNumId w:val="9"/>
  </w:num>
  <w:num w:numId="2">
    <w:abstractNumId w:val="24"/>
  </w:num>
  <w:num w:numId="3">
    <w:abstractNumId w:val="27"/>
  </w:num>
  <w:num w:numId="4">
    <w:abstractNumId w:val="3"/>
  </w:num>
  <w:num w:numId="5">
    <w:abstractNumId w:val="24"/>
  </w:num>
  <w:num w:numId="6">
    <w:abstractNumId w:val="12"/>
  </w:num>
  <w:num w:numId="7">
    <w:abstractNumId w:val="7"/>
  </w:num>
  <w:num w:numId="8">
    <w:abstractNumId w:val="8"/>
  </w:num>
  <w:num w:numId="9">
    <w:abstractNumId w:val="22"/>
  </w:num>
  <w:num w:numId="10">
    <w:abstractNumId w:val="13"/>
  </w:num>
  <w:num w:numId="11">
    <w:abstractNumId w:val="10"/>
  </w:num>
  <w:num w:numId="12">
    <w:abstractNumId w:val="26"/>
  </w:num>
  <w:num w:numId="13">
    <w:abstractNumId w:val="30"/>
  </w:num>
  <w:num w:numId="14">
    <w:abstractNumId w:val="0"/>
  </w:num>
  <w:num w:numId="15">
    <w:abstractNumId w:val="18"/>
  </w:num>
  <w:num w:numId="16">
    <w:abstractNumId w:val="17"/>
  </w:num>
  <w:num w:numId="17">
    <w:abstractNumId w:val="23"/>
  </w:num>
  <w:num w:numId="18">
    <w:abstractNumId w:val="5"/>
  </w:num>
  <w:num w:numId="19">
    <w:abstractNumId w:val="31"/>
  </w:num>
  <w:num w:numId="20">
    <w:abstractNumId w:val="21"/>
  </w:num>
  <w:num w:numId="21">
    <w:abstractNumId w:val="20"/>
  </w:num>
  <w:num w:numId="22">
    <w:abstractNumId w:val="1"/>
  </w:num>
  <w:num w:numId="23">
    <w:abstractNumId w:val="25"/>
  </w:num>
  <w:num w:numId="24">
    <w:abstractNumId w:val="14"/>
  </w:num>
  <w:num w:numId="25">
    <w:abstractNumId w:val="4"/>
  </w:num>
  <w:num w:numId="26">
    <w:abstractNumId w:val="11"/>
  </w:num>
  <w:num w:numId="27">
    <w:abstractNumId w:val="2"/>
  </w:num>
  <w:num w:numId="28">
    <w:abstractNumId w:val="29"/>
  </w:num>
  <w:num w:numId="29">
    <w:abstractNumId w:val="28"/>
  </w:num>
  <w:num w:numId="30">
    <w:abstractNumId w:val="6"/>
  </w:num>
  <w:num w:numId="31">
    <w:abstractNumId w:val="15"/>
  </w:num>
  <w:num w:numId="32">
    <w:abstractNumId w:val="16"/>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816"/>
    <w:rsid w:val="00000035"/>
    <w:rsid w:val="00000108"/>
    <w:rsid w:val="000002DD"/>
    <w:rsid w:val="000004C9"/>
    <w:rsid w:val="00000683"/>
    <w:rsid w:val="000007C3"/>
    <w:rsid w:val="000008C3"/>
    <w:rsid w:val="00000BC5"/>
    <w:rsid w:val="00001133"/>
    <w:rsid w:val="000014C3"/>
    <w:rsid w:val="0000162A"/>
    <w:rsid w:val="000016BD"/>
    <w:rsid w:val="00001713"/>
    <w:rsid w:val="0000176B"/>
    <w:rsid w:val="00001B27"/>
    <w:rsid w:val="00001BCF"/>
    <w:rsid w:val="00001BE2"/>
    <w:rsid w:val="00001F43"/>
    <w:rsid w:val="00001FE5"/>
    <w:rsid w:val="00002549"/>
    <w:rsid w:val="00002A08"/>
    <w:rsid w:val="00002B1F"/>
    <w:rsid w:val="00002BBB"/>
    <w:rsid w:val="00002D0A"/>
    <w:rsid w:val="00002D4F"/>
    <w:rsid w:val="00002D68"/>
    <w:rsid w:val="00002F09"/>
    <w:rsid w:val="00002FAF"/>
    <w:rsid w:val="0000316A"/>
    <w:rsid w:val="0000354F"/>
    <w:rsid w:val="0000359C"/>
    <w:rsid w:val="00003608"/>
    <w:rsid w:val="0000365F"/>
    <w:rsid w:val="000037AC"/>
    <w:rsid w:val="000037F4"/>
    <w:rsid w:val="00003A6D"/>
    <w:rsid w:val="00003A9F"/>
    <w:rsid w:val="00003BE2"/>
    <w:rsid w:val="00003D54"/>
    <w:rsid w:val="00003E1D"/>
    <w:rsid w:val="00003EF0"/>
    <w:rsid w:val="00003EFC"/>
    <w:rsid w:val="00004162"/>
    <w:rsid w:val="0000439E"/>
    <w:rsid w:val="00004515"/>
    <w:rsid w:val="0000460A"/>
    <w:rsid w:val="0000473C"/>
    <w:rsid w:val="000047E2"/>
    <w:rsid w:val="0000491C"/>
    <w:rsid w:val="00004B6E"/>
    <w:rsid w:val="00004C1B"/>
    <w:rsid w:val="00004C5F"/>
    <w:rsid w:val="00004E4B"/>
    <w:rsid w:val="00005065"/>
    <w:rsid w:val="000050E1"/>
    <w:rsid w:val="0000514A"/>
    <w:rsid w:val="00005450"/>
    <w:rsid w:val="00005832"/>
    <w:rsid w:val="000058C9"/>
    <w:rsid w:val="00005BF2"/>
    <w:rsid w:val="00006137"/>
    <w:rsid w:val="00006236"/>
    <w:rsid w:val="00006345"/>
    <w:rsid w:val="00006407"/>
    <w:rsid w:val="00006834"/>
    <w:rsid w:val="00006944"/>
    <w:rsid w:val="00006962"/>
    <w:rsid w:val="00006A03"/>
    <w:rsid w:val="00006A8F"/>
    <w:rsid w:val="00006EC0"/>
    <w:rsid w:val="00007033"/>
    <w:rsid w:val="00007132"/>
    <w:rsid w:val="00007169"/>
    <w:rsid w:val="00007217"/>
    <w:rsid w:val="0000732D"/>
    <w:rsid w:val="00007453"/>
    <w:rsid w:val="00007457"/>
    <w:rsid w:val="00007737"/>
    <w:rsid w:val="000078BE"/>
    <w:rsid w:val="000078FB"/>
    <w:rsid w:val="00007A7C"/>
    <w:rsid w:val="00007E93"/>
    <w:rsid w:val="00007F78"/>
    <w:rsid w:val="000101BD"/>
    <w:rsid w:val="0001023E"/>
    <w:rsid w:val="000104C1"/>
    <w:rsid w:val="0001051E"/>
    <w:rsid w:val="00010768"/>
    <w:rsid w:val="000108EF"/>
    <w:rsid w:val="00010A3E"/>
    <w:rsid w:val="00010C30"/>
    <w:rsid w:val="00010DAE"/>
    <w:rsid w:val="00010EAB"/>
    <w:rsid w:val="00010EC7"/>
    <w:rsid w:val="00011201"/>
    <w:rsid w:val="00011766"/>
    <w:rsid w:val="0001191A"/>
    <w:rsid w:val="00011A71"/>
    <w:rsid w:val="00011B3E"/>
    <w:rsid w:val="00011B90"/>
    <w:rsid w:val="00012023"/>
    <w:rsid w:val="0001204A"/>
    <w:rsid w:val="00012067"/>
    <w:rsid w:val="000121E6"/>
    <w:rsid w:val="00012392"/>
    <w:rsid w:val="0001242F"/>
    <w:rsid w:val="00012810"/>
    <w:rsid w:val="00012CB9"/>
    <w:rsid w:val="000130C7"/>
    <w:rsid w:val="0001329A"/>
    <w:rsid w:val="00013380"/>
    <w:rsid w:val="00013437"/>
    <w:rsid w:val="0001355A"/>
    <w:rsid w:val="000138CF"/>
    <w:rsid w:val="000139B4"/>
    <w:rsid w:val="000139C3"/>
    <w:rsid w:val="00013AEB"/>
    <w:rsid w:val="00013BE8"/>
    <w:rsid w:val="00013C82"/>
    <w:rsid w:val="00013D28"/>
    <w:rsid w:val="0001412E"/>
    <w:rsid w:val="00014347"/>
    <w:rsid w:val="000146ED"/>
    <w:rsid w:val="000148A1"/>
    <w:rsid w:val="00014A48"/>
    <w:rsid w:val="00014AFF"/>
    <w:rsid w:val="00014E8D"/>
    <w:rsid w:val="0001501E"/>
    <w:rsid w:val="000150BE"/>
    <w:rsid w:val="00015633"/>
    <w:rsid w:val="00015899"/>
    <w:rsid w:val="000158F7"/>
    <w:rsid w:val="00015AE8"/>
    <w:rsid w:val="00015B33"/>
    <w:rsid w:val="00015C58"/>
    <w:rsid w:val="00015D16"/>
    <w:rsid w:val="00015FB2"/>
    <w:rsid w:val="00015FB7"/>
    <w:rsid w:val="000160FD"/>
    <w:rsid w:val="000161C5"/>
    <w:rsid w:val="0001640C"/>
    <w:rsid w:val="00016467"/>
    <w:rsid w:val="00016515"/>
    <w:rsid w:val="0001652E"/>
    <w:rsid w:val="00016B1A"/>
    <w:rsid w:val="00016C17"/>
    <w:rsid w:val="00016DF8"/>
    <w:rsid w:val="000171DB"/>
    <w:rsid w:val="00017490"/>
    <w:rsid w:val="00017582"/>
    <w:rsid w:val="000176FA"/>
    <w:rsid w:val="0001797F"/>
    <w:rsid w:val="00017B5D"/>
    <w:rsid w:val="00017D3F"/>
    <w:rsid w:val="00017DEA"/>
    <w:rsid w:val="00017EA3"/>
    <w:rsid w:val="00017EE1"/>
    <w:rsid w:val="00017F3E"/>
    <w:rsid w:val="000203D0"/>
    <w:rsid w:val="0002041D"/>
    <w:rsid w:val="0002059E"/>
    <w:rsid w:val="0002060E"/>
    <w:rsid w:val="0002076F"/>
    <w:rsid w:val="00020843"/>
    <w:rsid w:val="00020F74"/>
    <w:rsid w:val="00020F7B"/>
    <w:rsid w:val="000210B5"/>
    <w:rsid w:val="0002117B"/>
    <w:rsid w:val="000211D0"/>
    <w:rsid w:val="00021261"/>
    <w:rsid w:val="0002150F"/>
    <w:rsid w:val="00021538"/>
    <w:rsid w:val="00021652"/>
    <w:rsid w:val="00021823"/>
    <w:rsid w:val="000218AC"/>
    <w:rsid w:val="000219EC"/>
    <w:rsid w:val="00021A93"/>
    <w:rsid w:val="00021AE3"/>
    <w:rsid w:val="00021C27"/>
    <w:rsid w:val="00021C49"/>
    <w:rsid w:val="00021CA8"/>
    <w:rsid w:val="00021E63"/>
    <w:rsid w:val="00021EE8"/>
    <w:rsid w:val="00021F3D"/>
    <w:rsid w:val="00021F66"/>
    <w:rsid w:val="00021F91"/>
    <w:rsid w:val="00022015"/>
    <w:rsid w:val="00022034"/>
    <w:rsid w:val="000222B1"/>
    <w:rsid w:val="0002274E"/>
    <w:rsid w:val="00022918"/>
    <w:rsid w:val="0002293E"/>
    <w:rsid w:val="0002295B"/>
    <w:rsid w:val="00022A8D"/>
    <w:rsid w:val="00022B2B"/>
    <w:rsid w:val="00022BEC"/>
    <w:rsid w:val="0002304B"/>
    <w:rsid w:val="00023282"/>
    <w:rsid w:val="000237E9"/>
    <w:rsid w:val="000239CF"/>
    <w:rsid w:val="000239FC"/>
    <w:rsid w:val="00023A0D"/>
    <w:rsid w:val="00023BBD"/>
    <w:rsid w:val="00023CAF"/>
    <w:rsid w:val="00023E19"/>
    <w:rsid w:val="0002415E"/>
    <w:rsid w:val="00024581"/>
    <w:rsid w:val="00024622"/>
    <w:rsid w:val="000246BF"/>
    <w:rsid w:val="00024711"/>
    <w:rsid w:val="0002486C"/>
    <w:rsid w:val="000248AB"/>
    <w:rsid w:val="00024924"/>
    <w:rsid w:val="00024AD1"/>
    <w:rsid w:val="00024F1F"/>
    <w:rsid w:val="00024FDA"/>
    <w:rsid w:val="0002501D"/>
    <w:rsid w:val="000250B7"/>
    <w:rsid w:val="00025330"/>
    <w:rsid w:val="00025488"/>
    <w:rsid w:val="0002605F"/>
    <w:rsid w:val="000261B6"/>
    <w:rsid w:val="000264D8"/>
    <w:rsid w:val="00026691"/>
    <w:rsid w:val="000268C7"/>
    <w:rsid w:val="000268E6"/>
    <w:rsid w:val="00026A7E"/>
    <w:rsid w:val="00026C18"/>
    <w:rsid w:val="00026CBB"/>
    <w:rsid w:val="00026D96"/>
    <w:rsid w:val="00026DBA"/>
    <w:rsid w:val="0002756F"/>
    <w:rsid w:val="00027716"/>
    <w:rsid w:val="000277FE"/>
    <w:rsid w:val="00027869"/>
    <w:rsid w:val="00027A34"/>
    <w:rsid w:val="00027B0A"/>
    <w:rsid w:val="0003013D"/>
    <w:rsid w:val="00030154"/>
    <w:rsid w:val="000302F9"/>
    <w:rsid w:val="000303A3"/>
    <w:rsid w:val="000304F2"/>
    <w:rsid w:val="00030640"/>
    <w:rsid w:val="0003087A"/>
    <w:rsid w:val="0003090D"/>
    <w:rsid w:val="00030A39"/>
    <w:rsid w:val="00030A7F"/>
    <w:rsid w:val="00030ADC"/>
    <w:rsid w:val="00030B57"/>
    <w:rsid w:val="00030B71"/>
    <w:rsid w:val="00030C12"/>
    <w:rsid w:val="00030FF7"/>
    <w:rsid w:val="0003101C"/>
    <w:rsid w:val="00031036"/>
    <w:rsid w:val="00031048"/>
    <w:rsid w:val="00031078"/>
    <w:rsid w:val="000310C5"/>
    <w:rsid w:val="00031171"/>
    <w:rsid w:val="0003166B"/>
    <w:rsid w:val="0003167F"/>
    <w:rsid w:val="0003172B"/>
    <w:rsid w:val="00031761"/>
    <w:rsid w:val="0003177F"/>
    <w:rsid w:val="0003192B"/>
    <w:rsid w:val="00031933"/>
    <w:rsid w:val="0003195B"/>
    <w:rsid w:val="00031995"/>
    <w:rsid w:val="0003199B"/>
    <w:rsid w:val="00031BED"/>
    <w:rsid w:val="00031CBA"/>
    <w:rsid w:val="00031D53"/>
    <w:rsid w:val="00031E20"/>
    <w:rsid w:val="00031FBC"/>
    <w:rsid w:val="00032193"/>
    <w:rsid w:val="000322B1"/>
    <w:rsid w:val="000324BA"/>
    <w:rsid w:val="000327B7"/>
    <w:rsid w:val="00032C46"/>
    <w:rsid w:val="00032C98"/>
    <w:rsid w:val="0003313B"/>
    <w:rsid w:val="0003325B"/>
    <w:rsid w:val="000332FE"/>
    <w:rsid w:val="000333CF"/>
    <w:rsid w:val="000335B3"/>
    <w:rsid w:val="000335CB"/>
    <w:rsid w:val="000335F1"/>
    <w:rsid w:val="0003361B"/>
    <w:rsid w:val="00033959"/>
    <w:rsid w:val="00033C87"/>
    <w:rsid w:val="000343BA"/>
    <w:rsid w:val="000343E2"/>
    <w:rsid w:val="000348F8"/>
    <w:rsid w:val="00034A7C"/>
    <w:rsid w:val="00034AEF"/>
    <w:rsid w:val="00034C81"/>
    <w:rsid w:val="0003530D"/>
    <w:rsid w:val="0003551F"/>
    <w:rsid w:val="0003573A"/>
    <w:rsid w:val="00035741"/>
    <w:rsid w:val="00035817"/>
    <w:rsid w:val="000358F3"/>
    <w:rsid w:val="00035B89"/>
    <w:rsid w:val="00035CF7"/>
    <w:rsid w:val="00035DE4"/>
    <w:rsid w:val="00035ED1"/>
    <w:rsid w:val="000364CF"/>
    <w:rsid w:val="00036513"/>
    <w:rsid w:val="0003651D"/>
    <w:rsid w:val="00036786"/>
    <w:rsid w:val="0003696B"/>
    <w:rsid w:val="0003696F"/>
    <w:rsid w:val="00036B16"/>
    <w:rsid w:val="00036E2A"/>
    <w:rsid w:val="00036F96"/>
    <w:rsid w:val="0003704B"/>
    <w:rsid w:val="0003715C"/>
    <w:rsid w:val="00037F4F"/>
    <w:rsid w:val="00040135"/>
    <w:rsid w:val="000405BD"/>
    <w:rsid w:val="0004097A"/>
    <w:rsid w:val="00040A32"/>
    <w:rsid w:val="00040B94"/>
    <w:rsid w:val="00040D54"/>
    <w:rsid w:val="00040DE1"/>
    <w:rsid w:val="00040EF9"/>
    <w:rsid w:val="00040F8E"/>
    <w:rsid w:val="00040FE7"/>
    <w:rsid w:val="00041092"/>
    <w:rsid w:val="00041095"/>
    <w:rsid w:val="00041250"/>
    <w:rsid w:val="000413C0"/>
    <w:rsid w:val="00041524"/>
    <w:rsid w:val="0004168C"/>
    <w:rsid w:val="000418EE"/>
    <w:rsid w:val="00041931"/>
    <w:rsid w:val="00041973"/>
    <w:rsid w:val="00041A30"/>
    <w:rsid w:val="00041A64"/>
    <w:rsid w:val="00041B48"/>
    <w:rsid w:val="00041BB5"/>
    <w:rsid w:val="000420CE"/>
    <w:rsid w:val="0004224C"/>
    <w:rsid w:val="00042435"/>
    <w:rsid w:val="000424A8"/>
    <w:rsid w:val="000427B5"/>
    <w:rsid w:val="00042AE6"/>
    <w:rsid w:val="00042B56"/>
    <w:rsid w:val="00042C49"/>
    <w:rsid w:val="00042C9D"/>
    <w:rsid w:val="00042E4C"/>
    <w:rsid w:val="000439BC"/>
    <w:rsid w:val="00043B1E"/>
    <w:rsid w:val="00043CDC"/>
    <w:rsid w:val="00043ED5"/>
    <w:rsid w:val="0004471D"/>
    <w:rsid w:val="0004499D"/>
    <w:rsid w:val="00044C89"/>
    <w:rsid w:val="00045032"/>
    <w:rsid w:val="00045189"/>
    <w:rsid w:val="00045244"/>
    <w:rsid w:val="00045410"/>
    <w:rsid w:val="00045704"/>
    <w:rsid w:val="000458C9"/>
    <w:rsid w:val="0004591D"/>
    <w:rsid w:val="00045A4B"/>
    <w:rsid w:val="00045D7D"/>
    <w:rsid w:val="00045F0E"/>
    <w:rsid w:val="00045F7B"/>
    <w:rsid w:val="000463FE"/>
    <w:rsid w:val="00046726"/>
    <w:rsid w:val="000468C2"/>
    <w:rsid w:val="0004699E"/>
    <w:rsid w:val="00046A7C"/>
    <w:rsid w:val="00046B6B"/>
    <w:rsid w:val="00046DE7"/>
    <w:rsid w:val="00046E17"/>
    <w:rsid w:val="00047424"/>
    <w:rsid w:val="000477F1"/>
    <w:rsid w:val="0004783D"/>
    <w:rsid w:val="000478D5"/>
    <w:rsid w:val="000479CC"/>
    <w:rsid w:val="000479CF"/>
    <w:rsid w:val="00047AB0"/>
    <w:rsid w:val="00047E98"/>
    <w:rsid w:val="00047F83"/>
    <w:rsid w:val="00050176"/>
    <w:rsid w:val="00050362"/>
    <w:rsid w:val="00050500"/>
    <w:rsid w:val="00050560"/>
    <w:rsid w:val="000506F1"/>
    <w:rsid w:val="00050715"/>
    <w:rsid w:val="00050808"/>
    <w:rsid w:val="0005086D"/>
    <w:rsid w:val="0005093C"/>
    <w:rsid w:val="00050FB3"/>
    <w:rsid w:val="000513A5"/>
    <w:rsid w:val="0005141B"/>
    <w:rsid w:val="00051580"/>
    <w:rsid w:val="00051626"/>
    <w:rsid w:val="00051794"/>
    <w:rsid w:val="00051842"/>
    <w:rsid w:val="000518F7"/>
    <w:rsid w:val="00051C67"/>
    <w:rsid w:val="00051D86"/>
    <w:rsid w:val="00051E21"/>
    <w:rsid w:val="00051F36"/>
    <w:rsid w:val="00052010"/>
    <w:rsid w:val="00052022"/>
    <w:rsid w:val="00052897"/>
    <w:rsid w:val="00052E9C"/>
    <w:rsid w:val="00052FE2"/>
    <w:rsid w:val="000531E3"/>
    <w:rsid w:val="000532A8"/>
    <w:rsid w:val="00053413"/>
    <w:rsid w:val="00053438"/>
    <w:rsid w:val="000535AA"/>
    <w:rsid w:val="000536DE"/>
    <w:rsid w:val="00053743"/>
    <w:rsid w:val="000537A5"/>
    <w:rsid w:val="000539A2"/>
    <w:rsid w:val="000539E2"/>
    <w:rsid w:val="000539FE"/>
    <w:rsid w:val="00053C08"/>
    <w:rsid w:val="00053C28"/>
    <w:rsid w:val="00053D81"/>
    <w:rsid w:val="00053DC0"/>
    <w:rsid w:val="00053E1B"/>
    <w:rsid w:val="0005403A"/>
    <w:rsid w:val="00054133"/>
    <w:rsid w:val="00054175"/>
    <w:rsid w:val="000542CB"/>
    <w:rsid w:val="00054470"/>
    <w:rsid w:val="000549A5"/>
    <w:rsid w:val="00054B49"/>
    <w:rsid w:val="00054DBF"/>
    <w:rsid w:val="00054FDF"/>
    <w:rsid w:val="0005515D"/>
    <w:rsid w:val="00055189"/>
    <w:rsid w:val="00055307"/>
    <w:rsid w:val="000554CA"/>
    <w:rsid w:val="000558FE"/>
    <w:rsid w:val="00055CC6"/>
    <w:rsid w:val="00055FF1"/>
    <w:rsid w:val="00055FF6"/>
    <w:rsid w:val="0005613B"/>
    <w:rsid w:val="00056185"/>
    <w:rsid w:val="000561C9"/>
    <w:rsid w:val="00056324"/>
    <w:rsid w:val="00056414"/>
    <w:rsid w:val="000565CC"/>
    <w:rsid w:val="00056B1E"/>
    <w:rsid w:val="00056E30"/>
    <w:rsid w:val="000578CA"/>
    <w:rsid w:val="00057919"/>
    <w:rsid w:val="00057958"/>
    <w:rsid w:val="00057B28"/>
    <w:rsid w:val="00057DDA"/>
    <w:rsid w:val="00057E57"/>
    <w:rsid w:val="00057F9A"/>
    <w:rsid w:val="00057FEC"/>
    <w:rsid w:val="00057FF4"/>
    <w:rsid w:val="00060092"/>
    <w:rsid w:val="0006023A"/>
    <w:rsid w:val="00060464"/>
    <w:rsid w:val="00060488"/>
    <w:rsid w:val="000605B4"/>
    <w:rsid w:val="00060716"/>
    <w:rsid w:val="0006092E"/>
    <w:rsid w:val="00060ADE"/>
    <w:rsid w:val="00060C14"/>
    <w:rsid w:val="00060C23"/>
    <w:rsid w:val="00060C75"/>
    <w:rsid w:val="00061133"/>
    <w:rsid w:val="00061697"/>
    <w:rsid w:val="0006169A"/>
    <w:rsid w:val="0006179F"/>
    <w:rsid w:val="00061808"/>
    <w:rsid w:val="000618EE"/>
    <w:rsid w:val="00061924"/>
    <w:rsid w:val="00061ABD"/>
    <w:rsid w:val="00061CC5"/>
    <w:rsid w:val="00061DDE"/>
    <w:rsid w:val="00061F4E"/>
    <w:rsid w:val="00062125"/>
    <w:rsid w:val="000622F0"/>
    <w:rsid w:val="00062500"/>
    <w:rsid w:val="000627FA"/>
    <w:rsid w:val="0006293E"/>
    <w:rsid w:val="00062A7C"/>
    <w:rsid w:val="00062A8D"/>
    <w:rsid w:val="00062ABF"/>
    <w:rsid w:val="00062B2A"/>
    <w:rsid w:val="00062C0E"/>
    <w:rsid w:val="000631B7"/>
    <w:rsid w:val="00063520"/>
    <w:rsid w:val="00063A06"/>
    <w:rsid w:val="00063B66"/>
    <w:rsid w:val="00063B68"/>
    <w:rsid w:val="00063BF7"/>
    <w:rsid w:val="00063E47"/>
    <w:rsid w:val="000640E4"/>
    <w:rsid w:val="00064103"/>
    <w:rsid w:val="00064247"/>
    <w:rsid w:val="00064279"/>
    <w:rsid w:val="00064397"/>
    <w:rsid w:val="0006446D"/>
    <w:rsid w:val="00064A65"/>
    <w:rsid w:val="00064C53"/>
    <w:rsid w:val="00064ED2"/>
    <w:rsid w:val="00064FED"/>
    <w:rsid w:val="00065329"/>
    <w:rsid w:val="00065A20"/>
    <w:rsid w:val="00065A29"/>
    <w:rsid w:val="00065BB4"/>
    <w:rsid w:val="00065C64"/>
    <w:rsid w:val="00065F81"/>
    <w:rsid w:val="00066237"/>
    <w:rsid w:val="000669D7"/>
    <w:rsid w:val="00066EA3"/>
    <w:rsid w:val="00067047"/>
    <w:rsid w:val="00067101"/>
    <w:rsid w:val="000672FB"/>
    <w:rsid w:val="0006738D"/>
    <w:rsid w:val="000679B5"/>
    <w:rsid w:val="00067C2C"/>
    <w:rsid w:val="00067D74"/>
    <w:rsid w:val="00067EAF"/>
    <w:rsid w:val="00067F12"/>
    <w:rsid w:val="00067F9E"/>
    <w:rsid w:val="00067F9F"/>
    <w:rsid w:val="00067FCA"/>
    <w:rsid w:val="00070150"/>
    <w:rsid w:val="0007049B"/>
    <w:rsid w:val="000709EF"/>
    <w:rsid w:val="00070C93"/>
    <w:rsid w:val="00070E91"/>
    <w:rsid w:val="00070F39"/>
    <w:rsid w:val="00071044"/>
    <w:rsid w:val="00071105"/>
    <w:rsid w:val="00071353"/>
    <w:rsid w:val="00071773"/>
    <w:rsid w:val="0007180D"/>
    <w:rsid w:val="000718B0"/>
    <w:rsid w:val="00071A06"/>
    <w:rsid w:val="00071A2B"/>
    <w:rsid w:val="00071B30"/>
    <w:rsid w:val="00071C28"/>
    <w:rsid w:val="00071C35"/>
    <w:rsid w:val="00071FE2"/>
    <w:rsid w:val="00072088"/>
    <w:rsid w:val="0007225E"/>
    <w:rsid w:val="000722D9"/>
    <w:rsid w:val="000723F0"/>
    <w:rsid w:val="000728A7"/>
    <w:rsid w:val="00072B10"/>
    <w:rsid w:val="00072B1E"/>
    <w:rsid w:val="00072D76"/>
    <w:rsid w:val="00072DA7"/>
    <w:rsid w:val="00072DE8"/>
    <w:rsid w:val="00072F8A"/>
    <w:rsid w:val="0007324F"/>
    <w:rsid w:val="000733FB"/>
    <w:rsid w:val="00073815"/>
    <w:rsid w:val="0007382A"/>
    <w:rsid w:val="0007389A"/>
    <w:rsid w:val="00073DC6"/>
    <w:rsid w:val="00074084"/>
    <w:rsid w:val="00074091"/>
    <w:rsid w:val="000740C2"/>
    <w:rsid w:val="00074123"/>
    <w:rsid w:val="000743D5"/>
    <w:rsid w:val="000745C9"/>
    <w:rsid w:val="00074831"/>
    <w:rsid w:val="000749BF"/>
    <w:rsid w:val="00074BBF"/>
    <w:rsid w:val="00074C79"/>
    <w:rsid w:val="00075153"/>
    <w:rsid w:val="000752B4"/>
    <w:rsid w:val="000756C6"/>
    <w:rsid w:val="00075737"/>
    <w:rsid w:val="000757DE"/>
    <w:rsid w:val="0007582D"/>
    <w:rsid w:val="00075858"/>
    <w:rsid w:val="000758BB"/>
    <w:rsid w:val="000758E2"/>
    <w:rsid w:val="00075963"/>
    <w:rsid w:val="000759B6"/>
    <w:rsid w:val="00075ACE"/>
    <w:rsid w:val="00075DC8"/>
    <w:rsid w:val="00076166"/>
    <w:rsid w:val="000761A7"/>
    <w:rsid w:val="0007630F"/>
    <w:rsid w:val="00076359"/>
    <w:rsid w:val="00076397"/>
    <w:rsid w:val="0007644C"/>
    <w:rsid w:val="0007652E"/>
    <w:rsid w:val="00076A7D"/>
    <w:rsid w:val="00076BCC"/>
    <w:rsid w:val="00076FA4"/>
    <w:rsid w:val="00077418"/>
    <w:rsid w:val="00077462"/>
    <w:rsid w:val="000776B5"/>
    <w:rsid w:val="00077A7D"/>
    <w:rsid w:val="00077B14"/>
    <w:rsid w:val="00077B17"/>
    <w:rsid w:val="00077B2D"/>
    <w:rsid w:val="00077C13"/>
    <w:rsid w:val="00077C7B"/>
    <w:rsid w:val="00077E75"/>
    <w:rsid w:val="00077F32"/>
    <w:rsid w:val="000801F2"/>
    <w:rsid w:val="000803B0"/>
    <w:rsid w:val="0008043D"/>
    <w:rsid w:val="000805F4"/>
    <w:rsid w:val="00080697"/>
    <w:rsid w:val="000807A2"/>
    <w:rsid w:val="00080803"/>
    <w:rsid w:val="0008085E"/>
    <w:rsid w:val="00080946"/>
    <w:rsid w:val="00080C1E"/>
    <w:rsid w:val="00080F27"/>
    <w:rsid w:val="00080F70"/>
    <w:rsid w:val="000814D7"/>
    <w:rsid w:val="000816DE"/>
    <w:rsid w:val="0008195F"/>
    <w:rsid w:val="00081986"/>
    <w:rsid w:val="00081D7C"/>
    <w:rsid w:val="00081E3F"/>
    <w:rsid w:val="00081E77"/>
    <w:rsid w:val="00082519"/>
    <w:rsid w:val="00082555"/>
    <w:rsid w:val="00082686"/>
    <w:rsid w:val="0008272C"/>
    <w:rsid w:val="00083006"/>
    <w:rsid w:val="0008323A"/>
    <w:rsid w:val="00084027"/>
    <w:rsid w:val="000840AF"/>
    <w:rsid w:val="00084207"/>
    <w:rsid w:val="00084348"/>
    <w:rsid w:val="0008440B"/>
    <w:rsid w:val="0008446A"/>
    <w:rsid w:val="0008473C"/>
    <w:rsid w:val="00084A95"/>
    <w:rsid w:val="00084C6E"/>
    <w:rsid w:val="00084E03"/>
    <w:rsid w:val="00085090"/>
    <w:rsid w:val="000852E6"/>
    <w:rsid w:val="0008553D"/>
    <w:rsid w:val="0008569D"/>
    <w:rsid w:val="00085939"/>
    <w:rsid w:val="00085D00"/>
    <w:rsid w:val="00085EF5"/>
    <w:rsid w:val="0008613F"/>
    <w:rsid w:val="000863C3"/>
    <w:rsid w:val="000866A6"/>
    <w:rsid w:val="0008671C"/>
    <w:rsid w:val="00086844"/>
    <w:rsid w:val="0008690B"/>
    <w:rsid w:val="000869AC"/>
    <w:rsid w:val="00086A11"/>
    <w:rsid w:val="00086A50"/>
    <w:rsid w:val="00086F87"/>
    <w:rsid w:val="00086FDA"/>
    <w:rsid w:val="000871BF"/>
    <w:rsid w:val="0008724A"/>
    <w:rsid w:val="00087349"/>
    <w:rsid w:val="00087531"/>
    <w:rsid w:val="00087575"/>
    <w:rsid w:val="0008758E"/>
    <w:rsid w:val="00087A85"/>
    <w:rsid w:val="00087B7B"/>
    <w:rsid w:val="00087D12"/>
    <w:rsid w:val="00087DC3"/>
    <w:rsid w:val="00090185"/>
    <w:rsid w:val="0009031C"/>
    <w:rsid w:val="000905FC"/>
    <w:rsid w:val="000907EC"/>
    <w:rsid w:val="00090AD9"/>
    <w:rsid w:val="00090B32"/>
    <w:rsid w:val="00090C47"/>
    <w:rsid w:val="000910D4"/>
    <w:rsid w:val="0009122E"/>
    <w:rsid w:val="0009138B"/>
    <w:rsid w:val="0009138E"/>
    <w:rsid w:val="0009169E"/>
    <w:rsid w:val="000918EB"/>
    <w:rsid w:val="0009192C"/>
    <w:rsid w:val="00091963"/>
    <w:rsid w:val="00091A7D"/>
    <w:rsid w:val="00091C28"/>
    <w:rsid w:val="00091C4B"/>
    <w:rsid w:val="00091C9E"/>
    <w:rsid w:val="00091F00"/>
    <w:rsid w:val="000921C9"/>
    <w:rsid w:val="0009233F"/>
    <w:rsid w:val="000925AD"/>
    <w:rsid w:val="000925E5"/>
    <w:rsid w:val="000926E5"/>
    <w:rsid w:val="000928A3"/>
    <w:rsid w:val="000928F0"/>
    <w:rsid w:val="0009292F"/>
    <w:rsid w:val="00092B14"/>
    <w:rsid w:val="00092CB8"/>
    <w:rsid w:val="00092D52"/>
    <w:rsid w:val="00092DC3"/>
    <w:rsid w:val="00092EED"/>
    <w:rsid w:val="00092F27"/>
    <w:rsid w:val="00092FC2"/>
    <w:rsid w:val="0009343F"/>
    <w:rsid w:val="00093497"/>
    <w:rsid w:val="00093514"/>
    <w:rsid w:val="00093578"/>
    <w:rsid w:val="00093728"/>
    <w:rsid w:val="0009381A"/>
    <w:rsid w:val="0009387F"/>
    <w:rsid w:val="00093B63"/>
    <w:rsid w:val="00094048"/>
    <w:rsid w:val="000940FA"/>
    <w:rsid w:val="0009418C"/>
    <w:rsid w:val="00094228"/>
    <w:rsid w:val="00094299"/>
    <w:rsid w:val="00094525"/>
    <w:rsid w:val="000946FC"/>
    <w:rsid w:val="00094759"/>
    <w:rsid w:val="00094886"/>
    <w:rsid w:val="000948ED"/>
    <w:rsid w:val="00094974"/>
    <w:rsid w:val="000949C5"/>
    <w:rsid w:val="00094BFD"/>
    <w:rsid w:val="00094D85"/>
    <w:rsid w:val="00094F08"/>
    <w:rsid w:val="000950A5"/>
    <w:rsid w:val="00095157"/>
    <w:rsid w:val="000951F2"/>
    <w:rsid w:val="0009535C"/>
    <w:rsid w:val="00095370"/>
    <w:rsid w:val="0009539A"/>
    <w:rsid w:val="000954FE"/>
    <w:rsid w:val="0009550C"/>
    <w:rsid w:val="00095569"/>
    <w:rsid w:val="00095874"/>
    <w:rsid w:val="000959B8"/>
    <w:rsid w:val="0009618B"/>
    <w:rsid w:val="000964FB"/>
    <w:rsid w:val="0009659E"/>
    <w:rsid w:val="000965AC"/>
    <w:rsid w:val="000966DC"/>
    <w:rsid w:val="000968E2"/>
    <w:rsid w:val="0009692B"/>
    <w:rsid w:val="000969E1"/>
    <w:rsid w:val="00096B42"/>
    <w:rsid w:val="00096DCB"/>
    <w:rsid w:val="00096E71"/>
    <w:rsid w:val="00096F9B"/>
    <w:rsid w:val="00097348"/>
    <w:rsid w:val="0009737B"/>
    <w:rsid w:val="00097418"/>
    <w:rsid w:val="0009742E"/>
    <w:rsid w:val="00097541"/>
    <w:rsid w:val="00097548"/>
    <w:rsid w:val="00097568"/>
    <w:rsid w:val="00097583"/>
    <w:rsid w:val="000975A3"/>
    <w:rsid w:val="0009773B"/>
    <w:rsid w:val="00097A6C"/>
    <w:rsid w:val="00097D92"/>
    <w:rsid w:val="00097E2F"/>
    <w:rsid w:val="00097E73"/>
    <w:rsid w:val="00097F6F"/>
    <w:rsid w:val="000A008A"/>
    <w:rsid w:val="000A0328"/>
    <w:rsid w:val="000A061F"/>
    <w:rsid w:val="000A0ADA"/>
    <w:rsid w:val="000A0DA0"/>
    <w:rsid w:val="000A0DC4"/>
    <w:rsid w:val="000A0FA7"/>
    <w:rsid w:val="000A107A"/>
    <w:rsid w:val="000A1551"/>
    <w:rsid w:val="000A1604"/>
    <w:rsid w:val="000A1748"/>
    <w:rsid w:val="000A1830"/>
    <w:rsid w:val="000A1836"/>
    <w:rsid w:val="000A1924"/>
    <w:rsid w:val="000A1BAC"/>
    <w:rsid w:val="000A1DDF"/>
    <w:rsid w:val="000A1DE0"/>
    <w:rsid w:val="000A1FC3"/>
    <w:rsid w:val="000A20D5"/>
    <w:rsid w:val="000A20D6"/>
    <w:rsid w:val="000A22B7"/>
    <w:rsid w:val="000A22FA"/>
    <w:rsid w:val="000A265A"/>
    <w:rsid w:val="000A2745"/>
    <w:rsid w:val="000A2746"/>
    <w:rsid w:val="000A27C8"/>
    <w:rsid w:val="000A28B5"/>
    <w:rsid w:val="000A2B43"/>
    <w:rsid w:val="000A2DBF"/>
    <w:rsid w:val="000A2DF9"/>
    <w:rsid w:val="000A2F67"/>
    <w:rsid w:val="000A2FA5"/>
    <w:rsid w:val="000A30AD"/>
    <w:rsid w:val="000A31D1"/>
    <w:rsid w:val="000A32D7"/>
    <w:rsid w:val="000A3612"/>
    <w:rsid w:val="000A3761"/>
    <w:rsid w:val="000A383F"/>
    <w:rsid w:val="000A3A8E"/>
    <w:rsid w:val="000A3AC0"/>
    <w:rsid w:val="000A3ADE"/>
    <w:rsid w:val="000A3D1C"/>
    <w:rsid w:val="000A3EB4"/>
    <w:rsid w:val="000A4214"/>
    <w:rsid w:val="000A438C"/>
    <w:rsid w:val="000A444E"/>
    <w:rsid w:val="000A44CE"/>
    <w:rsid w:val="000A45D5"/>
    <w:rsid w:val="000A4744"/>
    <w:rsid w:val="000A48B4"/>
    <w:rsid w:val="000A491D"/>
    <w:rsid w:val="000A4942"/>
    <w:rsid w:val="000A4DAD"/>
    <w:rsid w:val="000A4ECA"/>
    <w:rsid w:val="000A4FE6"/>
    <w:rsid w:val="000A50CE"/>
    <w:rsid w:val="000A521B"/>
    <w:rsid w:val="000A52CA"/>
    <w:rsid w:val="000A53AD"/>
    <w:rsid w:val="000A554A"/>
    <w:rsid w:val="000A56DB"/>
    <w:rsid w:val="000A5739"/>
    <w:rsid w:val="000A5872"/>
    <w:rsid w:val="000A5A6C"/>
    <w:rsid w:val="000A5A86"/>
    <w:rsid w:val="000A5B54"/>
    <w:rsid w:val="000A5C88"/>
    <w:rsid w:val="000A5DD3"/>
    <w:rsid w:val="000A5F15"/>
    <w:rsid w:val="000A66C4"/>
    <w:rsid w:val="000A6B80"/>
    <w:rsid w:val="000A6D9D"/>
    <w:rsid w:val="000A6E3B"/>
    <w:rsid w:val="000A6F31"/>
    <w:rsid w:val="000A7221"/>
    <w:rsid w:val="000A73D7"/>
    <w:rsid w:val="000A7549"/>
    <w:rsid w:val="000A7650"/>
    <w:rsid w:val="000A76A3"/>
    <w:rsid w:val="000A7922"/>
    <w:rsid w:val="000A7A36"/>
    <w:rsid w:val="000A7D5A"/>
    <w:rsid w:val="000A7D88"/>
    <w:rsid w:val="000A7E35"/>
    <w:rsid w:val="000A7FF4"/>
    <w:rsid w:val="000B0198"/>
    <w:rsid w:val="000B01D8"/>
    <w:rsid w:val="000B04EB"/>
    <w:rsid w:val="000B0CB2"/>
    <w:rsid w:val="000B0F31"/>
    <w:rsid w:val="000B10B3"/>
    <w:rsid w:val="000B1955"/>
    <w:rsid w:val="000B1CC6"/>
    <w:rsid w:val="000B1D27"/>
    <w:rsid w:val="000B1EDC"/>
    <w:rsid w:val="000B2034"/>
    <w:rsid w:val="000B2505"/>
    <w:rsid w:val="000B268B"/>
    <w:rsid w:val="000B271B"/>
    <w:rsid w:val="000B275D"/>
    <w:rsid w:val="000B2B1A"/>
    <w:rsid w:val="000B2B73"/>
    <w:rsid w:val="000B3257"/>
    <w:rsid w:val="000B32B2"/>
    <w:rsid w:val="000B337E"/>
    <w:rsid w:val="000B37FE"/>
    <w:rsid w:val="000B38C5"/>
    <w:rsid w:val="000B3A00"/>
    <w:rsid w:val="000B3B87"/>
    <w:rsid w:val="000B3C69"/>
    <w:rsid w:val="000B3CE2"/>
    <w:rsid w:val="000B4129"/>
    <w:rsid w:val="000B4475"/>
    <w:rsid w:val="000B4489"/>
    <w:rsid w:val="000B458F"/>
    <w:rsid w:val="000B465C"/>
    <w:rsid w:val="000B4680"/>
    <w:rsid w:val="000B4D2D"/>
    <w:rsid w:val="000B4E35"/>
    <w:rsid w:val="000B4EC6"/>
    <w:rsid w:val="000B5154"/>
    <w:rsid w:val="000B549F"/>
    <w:rsid w:val="000B559B"/>
    <w:rsid w:val="000B5758"/>
    <w:rsid w:val="000B57AC"/>
    <w:rsid w:val="000B582F"/>
    <w:rsid w:val="000B583C"/>
    <w:rsid w:val="000B5974"/>
    <w:rsid w:val="000B5B48"/>
    <w:rsid w:val="000B5BF4"/>
    <w:rsid w:val="000B5CB8"/>
    <w:rsid w:val="000B5D5F"/>
    <w:rsid w:val="000B5D83"/>
    <w:rsid w:val="000B5EC0"/>
    <w:rsid w:val="000B5EDA"/>
    <w:rsid w:val="000B650E"/>
    <w:rsid w:val="000B65B2"/>
    <w:rsid w:val="000B661C"/>
    <w:rsid w:val="000B66FB"/>
    <w:rsid w:val="000B6751"/>
    <w:rsid w:val="000B6800"/>
    <w:rsid w:val="000B6ADF"/>
    <w:rsid w:val="000B6C7F"/>
    <w:rsid w:val="000B6CA3"/>
    <w:rsid w:val="000B74B9"/>
    <w:rsid w:val="000B7679"/>
    <w:rsid w:val="000B76A1"/>
    <w:rsid w:val="000B7849"/>
    <w:rsid w:val="000B7A9A"/>
    <w:rsid w:val="000B7CE7"/>
    <w:rsid w:val="000B7CEF"/>
    <w:rsid w:val="000B7F33"/>
    <w:rsid w:val="000C0012"/>
    <w:rsid w:val="000C04DA"/>
    <w:rsid w:val="000C0825"/>
    <w:rsid w:val="000C08CF"/>
    <w:rsid w:val="000C0922"/>
    <w:rsid w:val="000C09D7"/>
    <w:rsid w:val="000C0ECE"/>
    <w:rsid w:val="000C0FC5"/>
    <w:rsid w:val="000C132D"/>
    <w:rsid w:val="000C13A8"/>
    <w:rsid w:val="000C13AB"/>
    <w:rsid w:val="000C146B"/>
    <w:rsid w:val="000C1481"/>
    <w:rsid w:val="000C1520"/>
    <w:rsid w:val="000C1536"/>
    <w:rsid w:val="000C15D2"/>
    <w:rsid w:val="000C1932"/>
    <w:rsid w:val="000C19D8"/>
    <w:rsid w:val="000C1D07"/>
    <w:rsid w:val="000C1D60"/>
    <w:rsid w:val="000C1DB6"/>
    <w:rsid w:val="000C25BC"/>
    <w:rsid w:val="000C2663"/>
    <w:rsid w:val="000C2783"/>
    <w:rsid w:val="000C284A"/>
    <w:rsid w:val="000C2BE4"/>
    <w:rsid w:val="000C2C74"/>
    <w:rsid w:val="000C2D33"/>
    <w:rsid w:val="000C2EDE"/>
    <w:rsid w:val="000C2FCE"/>
    <w:rsid w:val="000C31C6"/>
    <w:rsid w:val="000C327A"/>
    <w:rsid w:val="000C3395"/>
    <w:rsid w:val="000C3566"/>
    <w:rsid w:val="000C3964"/>
    <w:rsid w:val="000C3AE2"/>
    <w:rsid w:val="000C3B65"/>
    <w:rsid w:val="000C3E37"/>
    <w:rsid w:val="000C3F15"/>
    <w:rsid w:val="000C43EB"/>
    <w:rsid w:val="000C484E"/>
    <w:rsid w:val="000C49E3"/>
    <w:rsid w:val="000C4ABB"/>
    <w:rsid w:val="000C4BA6"/>
    <w:rsid w:val="000C4E97"/>
    <w:rsid w:val="000C4FA3"/>
    <w:rsid w:val="000C50EB"/>
    <w:rsid w:val="000C529F"/>
    <w:rsid w:val="000C54FA"/>
    <w:rsid w:val="000C5593"/>
    <w:rsid w:val="000C56EB"/>
    <w:rsid w:val="000C5715"/>
    <w:rsid w:val="000C585C"/>
    <w:rsid w:val="000C58BD"/>
    <w:rsid w:val="000C5A23"/>
    <w:rsid w:val="000C5A8F"/>
    <w:rsid w:val="000C5C96"/>
    <w:rsid w:val="000C638E"/>
    <w:rsid w:val="000C649F"/>
    <w:rsid w:val="000C653E"/>
    <w:rsid w:val="000C656E"/>
    <w:rsid w:val="000C66EE"/>
    <w:rsid w:val="000C6839"/>
    <w:rsid w:val="000C6AA7"/>
    <w:rsid w:val="000C6CAA"/>
    <w:rsid w:val="000C6DE9"/>
    <w:rsid w:val="000C6EFF"/>
    <w:rsid w:val="000C7307"/>
    <w:rsid w:val="000C74D8"/>
    <w:rsid w:val="000C7608"/>
    <w:rsid w:val="000C78DD"/>
    <w:rsid w:val="000C7AC7"/>
    <w:rsid w:val="000C7B03"/>
    <w:rsid w:val="000C7C59"/>
    <w:rsid w:val="000D0016"/>
    <w:rsid w:val="000D0193"/>
    <w:rsid w:val="000D038E"/>
    <w:rsid w:val="000D05C1"/>
    <w:rsid w:val="000D0785"/>
    <w:rsid w:val="000D081F"/>
    <w:rsid w:val="000D0C54"/>
    <w:rsid w:val="000D0E38"/>
    <w:rsid w:val="000D0FBA"/>
    <w:rsid w:val="000D12B9"/>
    <w:rsid w:val="000D12F9"/>
    <w:rsid w:val="000D133D"/>
    <w:rsid w:val="000D13F6"/>
    <w:rsid w:val="000D1420"/>
    <w:rsid w:val="000D19EC"/>
    <w:rsid w:val="000D1A3F"/>
    <w:rsid w:val="000D1AC9"/>
    <w:rsid w:val="000D1BA2"/>
    <w:rsid w:val="000D1F6E"/>
    <w:rsid w:val="000D22F6"/>
    <w:rsid w:val="000D25C7"/>
    <w:rsid w:val="000D27A5"/>
    <w:rsid w:val="000D2870"/>
    <w:rsid w:val="000D2B6A"/>
    <w:rsid w:val="000D2D6A"/>
    <w:rsid w:val="000D307A"/>
    <w:rsid w:val="000D340E"/>
    <w:rsid w:val="000D345E"/>
    <w:rsid w:val="000D3638"/>
    <w:rsid w:val="000D3698"/>
    <w:rsid w:val="000D3814"/>
    <w:rsid w:val="000D38A1"/>
    <w:rsid w:val="000D3A64"/>
    <w:rsid w:val="000D3D36"/>
    <w:rsid w:val="000D3ECC"/>
    <w:rsid w:val="000D40C3"/>
    <w:rsid w:val="000D4144"/>
    <w:rsid w:val="000D432F"/>
    <w:rsid w:val="000D4398"/>
    <w:rsid w:val="000D4424"/>
    <w:rsid w:val="000D44F5"/>
    <w:rsid w:val="000D4866"/>
    <w:rsid w:val="000D48CF"/>
    <w:rsid w:val="000D4CB2"/>
    <w:rsid w:val="000D4CD7"/>
    <w:rsid w:val="000D4D34"/>
    <w:rsid w:val="000D4D6C"/>
    <w:rsid w:val="000D5462"/>
    <w:rsid w:val="000D57FB"/>
    <w:rsid w:val="000D5C37"/>
    <w:rsid w:val="000D5F47"/>
    <w:rsid w:val="000D5F71"/>
    <w:rsid w:val="000D6010"/>
    <w:rsid w:val="000D61FA"/>
    <w:rsid w:val="000D63DC"/>
    <w:rsid w:val="000D64CD"/>
    <w:rsid w:val="000D6769"/>
    <w:rsid w:val="000D676B"/>
    <w:rsid w:val="000D695C"/>
    <w:rsid w:val="000D699C"/>
    <w:rsid w:val="000D6AB8"/>
    <w:rsid w:val="000D6AE0"/>
    <w:rsid w:val="000D6BA8"/>
    <w:rsid w:val="000D6C55"/>
    <w:rsid w:val="000D6D93"/>
    <w:rsid w:val="000D71EC"/>
    <w:rsid w:val="000D73EC"/>
    <w:rsid w:val="000D740A"/>
    <w:rsid w:val="000D74EB"/>
    <w:rsid w:val="000D7588"/>
    <w:rsid w:val="000D7786"/>
    <w:rsid w:val="000D77D6"/>
    <w:rsid w:val="000D7B02"/>
    <w:rsid w:val="000D7B27"/>
    <w:rsid w:val="000D7DDB"/>
    <w:rsid w:val="000D7F69"/>
    <w:rsid w:val="000E0049"/>
    <w:rsid w:val="000E01CD"/>
    <w:rsid w:val="000E0303"/>
    <w:rsid w:val="000E0550"/>
    <w:rsid w:val="000E067D"/>
    <w:rsid w:val="000E07B7"/>
    <w:rsid w:val="000E09AA"/>
    <w:rsid w:val="000E0B70"/>
    <w:rsid w:val="000E1040"/>
    <w:rsid w:val="000E10E1"/>
    <w:rsid w:val="000E1276"/>
    <w:rsid w:val="000E12B3"/>
    <w:rsid w:val="000E14D6"/>
    <w:rsid w:val="000E1583"/>
    <w:rsid w:val="000E15E3"/>
    <w:rsid w:val="000E17E6"/>
    <w:rsid w:val="000E191D"/>
    <w:rsid w:val="000E1A6A"/>
    <w:rsid w:val="000E1C1C"/>
    <w:rsid w:val="000E1D81"/>
    <w:rsid w:val="000E1E7E"/>
    <w:rsid w:val="000E219E"/>
    <w:rsid w:val="000E2517"/>
    <w:rsid w:val="000E2531"/>
    <w:rsid w:val="000E25D3"/>
    <w:rsid w:val="000E266D"/>
    <w:rsid w:val="000E27DE"/>
    <w:rsid w:val="000E27E6"/>
    <w:rsid w:val="000E28A4"/>
    <w:rsid w:val="000E2E45"/>
    <w:rsid w:val="000E3073"/>
    <w:rsid w:val="000E3170"/>
    <w:rsid w:val="000E3186"/>
    <w:rsid w:val="000E31AD"/>
    <w:rsid w:val="000E354A"/>
    <w:rsid w:val="000E365D"/>
    <w:rsid w:val="000E3694"/>
    <w:rsid w:val="000E374D"/>
    <w:rsid w:val="000E37A7"/>
    <w:rsid w:val="000E3949"/>
    <w:rsid w:val="000E3B37"/>
    <w:rsid w:val="000E3C72"/>
    <w:rsid w:val="000E3FAC"/>
    <w:rsid w:val="000E40B6"/>
    <w:rsid w:val="000E417A"/>
    <w:rsid w:val="000E42D5"/>
    <w:rsid w:val="000E449C"/>
    <w:rsid w:val="000E45E9"/>
    <w:rsid w:val="000E48C7"/>
    <w:rsid w:val="000E49B9"/>
    <w:rsid w:val="000E4BD5"/>
    <w:rsid w:val="000E4CF5"/>
    <w:rsid w:val="000E4DA6"/>
    <w:rsid w:val="000E4F0B"/>
    <w:rsid w:val="000E5152"/>
    <w:rsid w:val="000E5177"/>
    <w:rsid w:val="000E53E2"/>
    <w:rsid w:val="000E5517"/>
    <w:rsid w:val="000E551D"/>
    <w:rsid w:val="000E5643"/>
    <w:rsid w:val="000E589E"/>
    <w:rsid w:val="000E58A2"/>
    <w:rsid w:val="000E5A3E"/>
    <w:rsid w:val="000E5AB2"/>
    <w:rsid w:val="000E5AD5"/>
    <w:rsid w:val="000E5C74"/>
    <w:rsid w:val="000E5DB1"/>
    <w:rsid w:val="000E5DCE"/>
    <w:rsid w:val="000E5E07"/>
    <w:rsid w:val="000E6042"/>
    <w:rsid w:val="000E61FA"/>
    <w:rsid w:val="000E651D"/>
    <w:rsid w:val="000E658D"/>
    <w:rsid w:val="000E66F4"/>
    <w:rsid w:val="000E6CE8"/>
    <w:rsid w:val="000E6E7D"/>
    <w:rsid w:val="000E6FF3"/>
    <w:rsid w:val="000E72DF"/>
    <w:rsid w:val="000E73B8"/>
    <w:rsid w:val="000E7492"/>
    <w:rsid w:val="000E75A7"/>
    <w:rsid w:val="000E7611"/>
    <w:rsid w:val="000E7751"/>
    <w:rsid w:val="000E7B08"/>
    <w:rsid w:val="000E7D9E"/>
    <w:rsid w:val="000E7E2F"/>
    <w:rsid w:val="000E7F05"/>
    <w:rsid w:val="000F0084"/>
    <w:rsid w:val="000F023B"/>
    <w:rsid w:val="000F02B8"/>
    <w:rsid w:val="000F0429"/>
    <w:rsid w:val="000F06B0"/>
    <w:rsid w:val="000F0703"/>
    <w:rsid w:val="000F076B"/>
    <w:rsid w:val="000F086F"/>
    <w:rsid w:val="000F1148"/>
    <w:rsid w:val="000F129D"/>
    <w:rsid w:val="000F13CA"/>
    <w:rsid w:val="000F1857"/>
    <w:rsid w:val="000F18A7"/>
    <w:rsid w:val="000F199F"/>
    <w:rsid w:val="000F19EE"/>
    <w:rsid w:val="000F1B15"/>
    <w:rsid w:val="000F1F2A"/>
    <w:rsid w:val="000F2037"/>
    <w:rsid w:val="000F20EA"/>
    <w:rsid w:val="000F2157"/>
    <w:rsid w:val="000F23F3"/>
    <w:rsid w:val="000F2647"/>
    <w:rsid w:val="000F266D"/>
    <w:rsid w:val="000F27DC"/>
    <w:rsid w:val="000F28B4"/>
    <w:rsid w:val="000F28C6"/>
    <w:rsid w:val="000F2BA5"/>
    <w:rsid w:val="000F2F0F"/>
    <w:rsid w:val="000F31E3"/>
    <w:rsid w:val="000F3380"/>
    <w:rsid w:val="000F34EC"/>
    <w:rsid w:val="000F36D9"/>
    <w:rsid w:val="000F380B"/>
    <w:rsid w:val="000F38C2"/>
    <w:rsid w:val="000F3BCB"/>
    <w:rsid w:val="000F4020"/>
    <w:rsid w:val="000F41D5"/>
    <w:rsid w:val="000F43C2"/>
    <w:rsid w:val="000F4649"/>
    <w:rsid w:val="000F472B"/>
    <w:rsid w:val="000F472E"/>
    <w:rsid w:val="000F482B"/>
    <w:rsid w:val="000F48B8"/>
    <w:rsid w:val="000F49EA"/>
    <w:rsid w:val="000F4A8E"/>
    <w:rsid w:val="000F4D0C"/>
    <w:rsid w:val="000F5070"/>
    <w:rsid w:val="000F50BB"/>
    <w:rsid w:val="000F511A"/>
    <w:rsid w:val="000F524C"/>
    <w:rsid w:val="000F5347"/>
    <w:rsid w:val="000F5831"/>
    <w:rsid w:val="000F58CE"/>
    <w:rsid w:val="000F5B8F"/>
    <w:rsid w:val="000F6332"/>
    <w:rsid w:val="000F63C9"/>
    <w:rsid w:val="000F64C4"/>
    <w:rsid w:val="000F664A"/>
    <w:rsid w:val="000F681C"/>
    <w:rsid w:val="000F691A"/>
    <w:rsid w:val="000F693E"/>
    <w:rsid w:val="000F69CC"/>
    <w:rsid w:val="000F6A38"/>
    <w:rsid w:val="000F6ABC"/>
    <w:rsid w:val="000F6AEF"/>
    <w:rsid w:val="000F6CEA"/>
    <w:rsid w:val="000F70C7"/>
    <w:rsid w:val="000F71C6"/>
    <w:rsid w:val="000F739D"/>
    <w:rsid w:val="000F744A"/>
    <w:rsid w:val="000F74C0"/>
    <w:rsid w:val="000F7541"/>
    <w:rsid w:val="000F7A21"/>
    <w:rsid w:val="000F7ACD"/>
    <w:rsid w:val="000F7C1B"/>
    <w:rsid w:val="000F7E13"/>
    <w:rsid w:val="000F7E19"/>
    <w:rsid w:val="000F7E28"/>
    <w:rsid w:val="000F7F0B"/>
    <w:rsid w:val="00100026"/>
    <w:rsid w:val="00100067"/>
    <w:rsid w:val="00100214"/>
    <w:rsid w:val="001003FD"/>
    <w:rsid w:val="00100509"/>
    <w:rsid w:val="00100542"/>
    <w:rsid w:val="00100BB9"/>
    <w:rsid w:val="00100D12"/>
    <w:rsid w:val="001011CA"/>
    <w:rsid w:val="00101808"/>
    <w:rsid w:val="00101836"/>
    <w:rsid w:val="00101845"/>
    <w:rsid w:val="001018D3"/>
    <w:rsid w:val="00101A4E"/>
    <w:rsid w:val="00101B5D"/>
    <w:rsid w:val="00101CD4"/>
    <w:rsid w:val="00101D2C"/>
    <w:rsid w:val="00101D9F"/>
    <w:rsid w:val="00101E01"/>
    <w:rsid w:val="00101E3B"/>
    <w:rsid w:val="00101E4A"/>
    <w:rsid w:val="00101E6E"/>
    <w:rsid w:val="00101F82"/>
    <w:rsid w:val="0010298F"/>
    <w:rsid w:val="00102993"/>
    <w:rsid w:val="00102A1A"/>
    <w:rsid w:val="00102F33"/>
    <w:rsid w:val="00102F5E"/>
    <w:rsid w:val="001030D3"/>
    <w:rsid w:val="00103512"/>
    <w:rsid w:val="0010385C"/>
    <w:rsid w:val="0010398D"/>
    <w:rsid w:val="001039F3"/>
    <w:rsid w:val="00103B0C"/>
    <w:rsid w:val="00103BE1"/>
    <w:rsid w:val="00103C8A"/>
    <w:rsid w:val="00103F9D"/>
    <w:rsid w:val="0010410D"/>
    <w:rsid w:val="00104271"/>
    <w:rsid w:val="001042FD"/>
    <w:rsid w:val="00104340"/>
    <w:rsid w:val="001043F9"/>
    <w:rsid w:val="001044CA"/>
    <w:rsid w:val="0010467E"/>
    <w:rsid w:val="0010470E"/>
    <w:rsid w:val="00104A86"/>
    <w:rsid w:val="00104D3C"/>
    <w:rsid w:val="0010506A"/>
    <w:rsid w:val="001050AF"/>
    <w:rsid w:val="001051E9"/>
    <w:rsid w:val="001054F5"/>
    <w:rsid w:val="00105613"/>
    <w:rsid w:val="001057D4"/>
    <w:rsid w:val="00105C9D"/>
    <w:rsid w:val="00105DE5"/>
    <w:rsid w:val="00105E57"/>
    <w:rsid w:val="00105E69"/>
    <w:rsid w:val="00105EDC"/>
    <w:rsid w:val="00106009"/>
    <w:rsid w:val="00106045"/>
    <w:rsid w:val="00106159"/>
    <w:rsid w:val="001061C7"/>
    <w:rsid w:val="001062A1"/>
    <w:rsid w:val="00106328"/>
    <w:rsid w:val="00106591"/>
    <w:rsid w:val="0010666E"/>
    <w:rsid w:val="001068AF"/>
    <w:rsid w:val="00106A23"/>
    <w:rsid w:val="00106B6D"/>
    <w:rsid w:val="00106DC8"/>
    <w:rsid w:val="00106E42"/>
    <w:rsid w:val="00106F01"/>
    <w:rsid w:val="001072A2"/>
    <w:rsid w:val="00107314"/>
    <w:rsid w:val="001073F1"/>
    <w:rsid w:val="0010758C"/>
    <w:rsid w:val="0010762F"/>
    <w:rsid w:val="001077D1"/>
    <w:rsid w:val="001078CB"/>
    <w:rsid w:val="00107E4C"/>
    <w:rsid w:val="00110081"/>
    <w:rsid w:val="00110301"/>
    <w:rsid w:val="001103F5"/>
    <w:rsid w:val="0011040F"/>
    <w:rsid w:val="0011052E"/>
    <w:rsid w:val="00110766"/>
    <w:rsid w:val="0011082B"/>
    <w:rsid w:val="00110E63"/>
    <w:rsid w:val="001112BA"/>
    <w:rsid w:val="00111324"/>
    <w:rsid w:val="001113C8"/>
    <w:rsid w:val="001115F9"/>
    <w:rsid w:val="0011165F"/>
    <w:rsid w:val="00111918"/>
    <w:rsid w:val="00111972"/>
    <w:rsid w:val="00111974"/>
    <w:rsid w:val="00111C70"/>
    <w:rsid w:val="00111E05"/>
    <w:rsid w:val="00111E7F"/>
    <w:rsid w:val="00111EA7"/>
    <w:rsid w:val="001121C7"/>
    <w:rsid w:val="00112572"/>
    <w:rsid w:val="001126A0"/>
    <w:rsid w:val="001128BA"/>
    <w:rsid w:val="00112932"/>
    <w:rsid w:val="00112965"/>
    <w:rsid w:val="00112A38"/>
    <w:rsid w:val="00112EA8"/>
    <w:rsid w:val="00113169"/>
    <w:rsid w:val="001133BE"/>
    <w:rsid w:val="001134C4"/>
    <w:rsid w:val="001136E9"/>
    <w:rsid w:val="00113707"/>
    <w:rsid w:val="00113BE5"/>
    <w:rsid w:val="00113ED9"/>
    <w:rsid w:val="00114028"/>
    <w:rsid w:val="00114105"/>
    <w:rsid w:val="001141DD"/>
    <w:rsid w:val="001143CD"/>
    <w:rsid w:val="0011443D"/>
    <w:rsid w:val="001144BC"/>
    <w:rsid w:val="00114508"/>
    <w:rsid w:val="00114683"/>
    <w:rsid w:val="0011477C"/>
    <w:rsid w:val="00114AE4"/>
    <w:rsid w:val="00114B71"/>
    <w:rsid w:val="00114C39"/>
    <w:rsid w:val="00114C8B"/>
    <w:rsid w:val="00114D2C"/>
    <w:rsid w:val="00115000"/>
    <w:rsid w:val="0011513F"/>
    <w:rsid w:val="0011525C"/>
    <w:rsid w:val="0011557A"/>
    <w:rsid w:val="00115618"/>
    <w:rsid w:val="001159DE"/>
    <w:rsid w:val="00115CE0"/>
    <w:rsid w:val="00115CF2"/>
    <w:rsid w:val="00115E57"/>
    <w:rsid w:val="0011610F"/>
    <w:rsid w:val="001162DE"/>
    <w:rsid w:val="001163A5"/>
    <w:rsid w:val="00116471"/>
    <w:rsid w:val="001165BB"/>
    <w:rsid w:val="001165E6"/>
    <w:rsid w:val="001167E4"/>
    <w:rsid w:val="001167E5"/>
    <w:rsid w:val="00116B17"/>
    <w:rsid w:val="00116B3E"/>
    <w:rsid w:val="00116BD3"/>
    <w:rsid w:val="00116D36"/>
    <w:rsid w:val="00116E3B"/>
    <w:rsid w:val="001173E7"/>
    <w:rsid w:val="001174AA"/>
    <w:rsid w:val="00117588"/>
    <w:rsid w:val="001178B2"/>
    <w:rsid w:val="00117B79"/>
    <w:rsid w:val="00117CEB"/>
    <w:rsid w:val="00117D31"/>
    <w:rsid w:val="0012015E"/>
    <w:rsid w:val="00120224"/>
    <w:rsid w:val="0012026F"/>
    <w:rsid w:val="00120451"/>
    <w:rsid w:val="0012076C"/>
    <w:rsid w:val="001208FA"/>
    <w:rsid w:val="00120C25"/>
    <w:rsid w:val="00120CEA"/>
    <w:rsid w:val="00121089"/>
    <w:rsid w:val="001210B9"/>
    <w:rsid w:val="00121101"/>
    <w:rsid w:val="001211CE"/>
    <w:rsid w:val="00121392"/>
    <w:rsid w:val="00121513"/>
    <w:rsid w:val="0012158F"/>
    <w:rsid w:val="001217D7"/>
    <w:rsid w:val="00121879"/>
    <w:rsid w:val="00121D19"/>
    <w:rsid w:val="00121D83"/>
    <w:rsid w:val="00121EA9"/>
    <w:rsid w:val="00121F6D"/>
    <w:rsid w:val="00121FA4"/>
    <w:rsid w:val="0012202F"/>
    <w:rsid w:val="00122187"/>
    <w:rsid w:val="001227EC"/>
    <w:rsid w:val="0012292F"/>
    <w:rsid w:val="0012299E"/>
    <w:rsid w:val="001229A3"/>
    <w:rsid w:val="00122A12"/>
    <w:rsid w:val="00122AFF"/>
    <w:rsid w:val="00122B99"/>
    <w:rsid w:val="00122D3D"/>
    <w:rsid w:val="00122DBE"/>
    <w:rsid w:val="00122ED8"/>
    <w:rsid w:val="00122FFF"/>
    <w:rsid w:val="001230AF"/>
    <w:rsid w:val="001230E1"/>
    <w:rsid w:val="001231EE"/>
    <w:rsid w:val="0012339F"/>
    <w:rsid w:val="00123514"/>
    <w:rsid w:val="00123536"/>
    <w:rsid w:val="00123BDC"/>
    <w:rsid w:val="00123C31"/>
    <w:rsid w:val="00123C56"/>
    <w:rsid w:val="00123D9E"/>
    <w:rsid w:val="00123E9B"/>
    <w:rsid w:val="0012421D"/>
    <w:rsid w:val="001249FB"/>
    <w:rsid w:val="00124A42"/>
    <w:rsid w:val="00124AD6"/>
    <w:rsid w:val="00124D70"/>
    <w:rsid w:val="001253C1"/>
    <w:rsid w:val="001254D5"/>
    <w:rsid w:val="00125921"/>
    <w:rsid w:val="00125968"/>
    <w:rsid w:val="00125D76"/>
    <w:rsid w:val="00125F5A"/>
    <w:rsid w:val="00125F7B"/>
    <w:rsid w:val="00126020"/>
    <w:rsid w:val="00126107"/>
    <w:rsid w:val="001263A5"/>
    <w:rsid w:val="001263BC"/>
    <w:rsid w:val="00126647"/>
    <w:rsid w:val="00126B10"/>
    <w:rsid w:val="00126B7F"/>
    <w:rsid w:val="00126BC0"/>
    <w:rsid w:val="00126FFF"/>
    <w:rsid w:val="001272E8"/>
    <w:rsid w:val="00127403"/>
    <w:rsid w:val="00127FB8"/>
    <w:rsid w:val="00127FF4"/>
    <w:rsid w:val="001300D4"/>
    <w:rsid w:val="001301D6"/>
    <w:rsid w:val="0013021E"/>
    <w:rsid w:val="00130499"/>
    <w:rsid w:val="00130511"/>
    <w:rsid w:val="00130646"/>
    <w:rsid w:val="0013065F"/>
    <w:rsid w:val="001306B0"/>
    <w:rsid w:val="00130993"/>
    <w:rsid w:val="00130A04"/>
    <w:rsid w:val="00130C94"/>
    <w:rsid w:val="00130F83"/>
    <w:rsid w:val="00130FF7"/>
    <w:rsid w:val="001310BA"/>
    <w:rsid w:val="001313EC"/>
    <w:rsid w:val="00131500"/>
    <w:rsid w:val="00131831"/>
    <w:rsid w:val="00131AD6"/>
    <w:rsid w:val="00131AF4"/>
    <w:rsid w:val="00131D4D"/>
    <w:rsid w:val="00132326"/>
    <w:rsid w:val="0013244D"/>
    <w:rsid w:val="00132621"/>
    <w:rsid w:val="00132631"/>
    <w:rsid w:val="0013268B"/>
    <w:rsid w:val="001326AA"/>
    <w:rsid w:val="0013290F"/>
    <w:rsid w:val="001329B9"/>
    <w:rsid w:val="00132A34"/>
    <w:rsid w:val="00132BF1"/>
    <w:rsid w:val="00132E76"/>
    <w:rsid w:val="00132EA3"/>
    <w:rsid w:val="00132FA0"/>
    <w:rsid w:val="00133788"/>
    <w:rsid w:val="001338D4"/>
    <w:rsid w:val="00133BCE"/>
    <w:rsid w:val="00133C94"/>
    <w:rsid w:val="00133D31"/>
    <w:rsid w:val="00133F01"/>
    <w:rsid w:val="0013406A"/>
    <w:rsid w:val="00134292"/>
    <w:rsid w:val="001342C3"/>
    <w:rsid w:val="0013449A"/>
    <w:rsid w:val="001344AE"/>
    <w:rsid w:val="001346B1"/>
    <w:rsid w:val="001346DE"/>
    <w:rsid w:val="001346F5"/>
    <w:rsid w:val="001347C5"/>
    <w:rsid w:val="001348C2"/>
    <w:rsid w:val="001349A3"/>
    <w:rsid w:val="00134B0C"/>
    <w:rsid w:val="00134C26"/>
    <w:rsid w:val="00134C3F"/>
    <w:rsid w:val="00134F6E"/>
    <w:rsid w:val="00134F87"/>
    <w:rsid w:val="00135295"/>
    <w:rsid w:val="001352A3"/>
    <w:rsid w:val="001352B5"/>
    <w:rsid w:val="0013538B"/>
    <w:rsid w:val="001354FF"/>
    <w:rsid w:val="001358DB"/>
    <w:rsid w:val="00135A94"/>
    <w:rsid w:val="00135B03"/>
    <w:rsid w:val="00135B46"/>
    <w:rsid w:val="00135BE0"/>
    <w:rsid w:val="00135C32"/>
    <w:rsid w:val="00135C99"/>
    <w:rsid w:val="00135DEE"/>
    <w:rsid w:val="00135E9A"/>
    <w:rsid w:val="001360D8"/>
    <w:rsid w:val="00136104"/>
    <w:rsid w:val="001364C2"/>
    <w:rsid w:val="00136537"/>
    <w:rsid w:val="00136833"/>
    <w:rsid w:val="00136A3D"/>
    <w:rsid w:val="00136A9F"/>
    <w:rsid w:val="00136AA0"/>
    <w:rsid w:val="00136B04"/>
    <w:rsid w:val="00136B2A"/>
    <w:rsid w:val="00136E89"/>
    <w:rsid w:val="00136FEF"/>
    <w:rsid w:val="0013713B"/>
    <w:rsid w:val="0013729E"/>
    <w:rsid w:val="00137659"/>
    <w:rsid w:val="00137B1E"/>
    <w:rsid w:val="0014005D"/>
    <w:rsid w:val="001400BB"/>
    <w:rsid w:val="0014012B"/>
    <w:rsid w:val="001401C1"/>
    <w:rsid w:val="001402BE"/>
    <w:rsid w:val="001403BD"/>
    <w:rsid w:val="00140479"/>
    <w:rsid w:val="001404BB"/>
    <w:rsid w:val="001407F1"/>
    <w:rsid w:val="00140849"/>
    <w:rsid w:val="00140893"/>
    <w:rsid w:val="00140A69"/>
    <w:rsid w:val="00140D8A"/>
    <w:rsid w:val="00140E89"/>
    <w:rsid w:val="00141247"/>
    <w:rsid w:val="001415D5"/>
    <w:rsid w:val="0014168A"/>
    <w:rsid w:val="00141B49"/>
    <w:rsid w:val="00141D87"/>
    <w:rsid w:val="00141EB9"/>
    <w:rsid w:val="00141FA4"/>
    <w:rsid w:val="001420D4"/>
    <w:rsid w:val="00142439"/>
    <w:rsid w:val="00142442"/>
    <w:rsid w:val="0014259D"/>
    <w:rsid w:val="00142669"/>
    <w:rsid w:val="00142912"/>
    <w:rsid w:val="00142A43"/>
    <w:rsid w:val="001432CC"/>
    <w:rsid w:val="0014330A"/>
    <w:rsid w:val="0014345E"/>
    <w:rsid w:val="00143532"/>
    <w:rsid w:val="00143693"/>
    <w:rsid w:val="001437C9"/>
    <w:rsid w:val="001438B5"/>
    <w:rsid w:val="001438ED"/>
    <w:rsid w:val="00143AF7"/>
    <w:rsid w:val="00143B8E"/>
    <w:rsid w:val="00143F75"/>
    <w:rsid w:val="00143FCD"/>
    <w:rsid w:val="0014437B"/>
    <w:rsid w:val="0014437F"/>
    <w:rsid w:val="001443A1"/>
    <w:rsid w:val="0014444E"/>
    <w:rsid w:val="001444AE"/>
    <w:rsid w:val="00144631"/>
    <w:rsid w:val="00144679"/>
    <w:rsid w:val="0014484E"/>
    <w:rsid w:val="00144B8B"/>
    <w:rsid w:val="00144E31"/>
    <w:rsid w:val="00145371"/>
    <w:rsid w:val="00145613"/>
    <w:rsid w:val="001458CD"/>
    <w:rsid w:val="001458E6"/>
    <w:rsid w:val="001459B3"/>
    <w:rsid w:val="00145A47"/>
    <w:rsid w:val="00145C48"/>
    <w:rsid w:val="001461BC"/>
    <w:rsid w:val="001461E6"/>
    <w:rsid w:val="0014659C"/>
    <w:rsid w:val="00146652"/>
    <w:rsid w:val="0014670B"/>
    <w:rsid w:val="00146B90"/>
    <w:rsid w:val="00146BF5"/>
    <w:rsid w:val="00146DA4"/>
    <w:rsid w:val="00146EA3"/>
    <w:rsid w:val="00146EC2"/>
    <w:rsid w:val="00146EE8"/>
    <w:rsid w:val="00147085"/>
    <w:rsid w:val="0014715A"/>
    <w:rsid w:val="0014716B"/>
    <w:rsid w:val="00147351"/>
    <w:rsid w:val="001473D9"/>
    <w:rsid w:val="00147445"/>
    <w:rsid w:val="001474D5"/>
    <w:rsid w:val="00147CF3"/>
    <w:rsid w:val="00147CF6"/>
    <w:rsid w:val="00147DD5"/>
    <w:rsid w:val="00150065"/>
    <w:rsid w:val="0015027E"/>
    <w:rsid w:val="001505A4"/>
    <w:rsid w:val="00150759"/>
    <w:rsid w:val="0015077B"/>
    <w:rsid w:val="001507EF"/>
    <w:rsid w:val="00150A19"/>
    <w:rsid w:val="00150C63"/>
    <w:rsid w:val="00150CEF"/>
    <w:rsid w:val="00150D85"/>
    <w:rsid w:val="00150F25"/>
    <w:rsid w:val="0015116A"/>
    <w:rsid w:val="00151290"/>
    <w:rsid w:val="00151674"/>
    <w:rsid w:val="001516AA"/>
    <w:rsid w:val="0015184F"/>
    <w:rsid w:val="00151C14"/>
    <w:rsid w:val="00151D13"/>
    <w:rsid w:val="001520A4"/>
    <w:rsid w:val="0015211F"/>
    <w:rsid w:val="0015236C"/>
    <w:rsid w:val="001524BA"/>
    <w:rsid w:val="0015264F"/>
    <w:rsid w:val="001527C5"/>
    <w:rsid w:val="00152811"/>
    <w:rsid w:val="00152930"/>
    <w:rsid w:val="00152BEA"/>
    <w:rsid w:val="00152D0A"/>
    <w:rsid w:val="00152FA5"/>
    <w:rsid w:val="00153098"/>
    <w:rsid w:val="00153297"/>
    <w:rsid w:val="001533E1"/>
    <w:rsid w:val="001533EF"/>
    <w:rsid w:val="00153627"/>
    <w:rsid w:val="001538A4"/>
    <w:rsid w:val="00153B63"/>
    <w:rsid w:val="00153D50"/>
    <w:rsid w:val="00153DB8"/>
    <w:rsid w:val="00153FC1"/>
    <w:rsid w:val="001540B2"/>
    <w:rsid w:val="001540FB"/>
    <w:rsid w:val="00154246"/>
    <w:rsid w:val="001542E6"/>
    <w:rsid w:val="001546BD"/>
    <w:rsid w:val="0015476F"/>
    <w:rsid w:val="001547D8"/>
    <w:rsid w:val="001548C2"/>
    <w:rsid w:val="00154AAA"/>
    <w:rsid w:val="00154C7E"/>
    <w:rsid w:val="00154F09"/>
    <w:rsid w:val="00154F31"/>
    <w:rsid w:val="00154F9D"/>
    <w:rsid w:val="00155269"/>
    <w:rsid w:val="0015595C"/>
    <w:rsid w:val="00155D20"/>
    <w:rsid w:val="00155D61"/>
    <w:rsid w:val="00155E21"/>
    <w:rsid w:val="0015615B"/>
    <w:rsid w:val="0015629F"/>
    <w:rsid w:val="00156355"/>
    <w:rsid w:val="001563FD"/>
    <w:rsid w:val="001564C1"/>
    <w:rsid w:val="00156652"/>
    <w:rsid w:val="00156843"/>
    <w:rsid w:val="00156982"/>
    <w:rsid w:val="00156B5D"/>
    <w:rsid w:val="00156BAF"/>
    <w:rsid w:val="00156FB5"/>
    <w:rsid w:val="001570A8"/>
    <w:rsid w:val="00157109"/>
    <w:rsid w:val="00157184"/>
    <w:rsid w:val="001572E7"/>
    <w:rsid w:val="001573A1"/>
    <w:rsid w:val="0015751E"/>
    <w:rsid w:val="00157678"/>
    <w:rsid w:val="00157BA3"/>
    <w:rsid w:val="00157C00"/>
    <w:rsid w:val="00160152"/>
    <w:rsid w:val="001602FF"/>
    <w:rsid w:val="00160410"/>
    <w:rsid w:val="001605A2"/>
    <w:rsid w:val="0016094A"/>
    <w:rsid w:val="00160A6D"/>
    <w:rsid w:val="00160B6E"/>
    <w:rsid w:val="00160C42"/>
    <w:rsid w:val="00161044"/>
    <w:rsid w:val="00161096"/>
    <w:rsid w:val="0016111D"/>
    <w:rsid w:val="00161190"/>
    <w:rsid w:val="001613F1"/>
    <w:rsid w:val="0016163F"/>
    <w:rsid w:val="001619CE"/>
    <w:rsid w:val="00161B21"/>
    <w:rsid w:val="00161D8D"/>
    <w:rsid w:val="0016220F"/>
    <w:rsid w:val="001624CC"/>
    <w:rsid w:val="00162D46"/>
    <w:rsid w:val="00162D74"/>
    <w:rsid w:val="00162D79"/>
    <w:rsid w:val="00162EFE"/>
    <w:rsid w:val="0016306E"/>
    <w:rsid w:val="00163114"/>
    <w:rsid w:val="00163462"/>
    <w:rsid w:val="0016394E"/>
    <w:rsid w:val="0016397D"/>
    <w:rsid w:val="0016399A"/>
    <w:rsid w:val="00163AAF"/>
    <w:rsid w:val="00163B85"/>
    <w:rsid w:val="00163BAB"/>
    <w:rsid w:val="00163F81"/>
    <w:rsid w:val="00163F93"/>
    <w:rsid w:val="00164049"/>
    <w:rsid w:val="001644AC"/>
    <w:rsid w:val="0016451D"/>
    <w:rsid w:val="0016491C"/>
    <w:rsid w:val="00164A13"/>
    <w:rsid w:val="00164A80"/>
    <w:rsid w:val="00164C1B"/>
    <w:rsid w:val="00164C29"/>
    <w:rsid w:val="00164C62"/>
    <w:rsid w:val="00164D9B"/>
    <w:rsid w:val="00164FAD"/>
    <w:rsid w:val="001653E6"/>
    <w:rsid w:val="0016548F"/>
    <w:rsid w:val="00165702"/>
    <w:rsid w:val="00165754"/>
    <w:rsid w:val="00165874"/>
    <w:rsid w:val="00165A55"/>
    <w:rsid w:val="00165AEC"/>
    <w:rsid w:val="00165BF3"/>
    <w:rsid w:val="00165F2B"/>
    <w:rsid w:val="001661FE"/>
    <w:rsid w:val="001662B6"/>
    <w:rsid w:val="00166370"/>
    <w:rsid w:val="00166803"/>
    <w:rsid w:val="0016686E"/>
    <w:rsid w:val="00166AAB"/>
    <w:rsid w:val="00166CA7"/>
    <w:rsid w:val="00166CB9"/>
    <w:rsid w:val="00166D00"/>
    <w:rsid w:val="00166E5A"/>
    <w:rsid w:val="00166E65"/>
    <w:rsid w:val="00166EBE"/>
    <w:rsid w:val="0016704A"/>
    <w:rsid w:val="001670A5"/>
    <w:rsid w:val="001671A0"/>
    <w:rsid w:val="0016750E"/>
    <w:rsid w:val="00167652"/>
    <w:rsid w:val="00167A08"/>
    <w:rsid w:val="00167B8E"/>
    <w:rsid w:val="00167DBF"/>
    <w:rsid w:val="00167E63"/>
    <w:rsid w:val="00170095"/>
    <w:rsid w:val="00170113"/>
    <w:rsid w:val="00170228"/>
    <w:rsid w:val="0017023E"/>
    <w:rsid w:val="0017072D"/>
    <w:rsid w:val="001709A0"/>
    <w:rsid w:val="001709B4"/>
    <w:rsid w:val="00170A0B"/>
    <w:rsid w:val="00170AA5"/>
    <w:rsid w:val="00170AD2"/>
    <w:rsid w:val="00170C30"/>
    <w:rsid w:val="00170EA3"/>
    <w:rsid w:val="00170F94"/>
    <w:rsid w:val="0017103B"/>
    <w:rsid w:val="001710D0"/>
    <w:rsid w:val="001712FB"/>
    <w:rsid w:val="00171562"/>
    <w:rsid w:val="0017159F"/>
    <w:rsid w:val="001715D9"/>
    <w:rsid w:val="00171648"/>
    <w:rsid w:val="001717C8"/>
    <w:rsid w:val="001719B5"/>
    <w:rsid w:val="001719ED"/>
    <w:rsid w:val="00171A39"/>
    <w:rsid w:val="00171A86"/>
    <w:rsid w:val="00171C28"/>
    <w:rsid w:val="00171EF5"/>
    <w:rsid w:val="0017235A"/>
    <w:rsid w:val="0017255B"/>
    <w:rsid w:val="00172568"/>
    <w:rsid w:val="00172890"/>
    <w:rsid w:val="001728FD"/>
    <w:rsid w:val="0017297C"/>
    <w:rsid w:val="00172B14"/>
    <w:rsid w:val="00172E9B"/>
    <w:rsid w:val="0017395D"/>
    <w:rsid w:val="00173989"/>
    <w:rsid w:val="00173A12"/>
    <w:rsid w:val="00173A2E"/>
    <w:rsid w:val="00173C3B"/>
    <w:rsid w:val="00173DCE"/>
    <w:rsid w:val="00173FB3"/>
    <w:rsid w:val="0017409D"/>
    <w:rsid w:val="00174393"/>
    <w:rsid w:val="00174428"/>
    <w:rsid w:val="00174493"/>
    <w:rsid w:val="001745B5"/>
    <w:rsid w:val="00174AE0"/>
    <w:rsid w:val="00174CF6"/>
    <w:rsid w:val="00174E1E"/>
    <w:rsid w:val="00174E6C"/>
    <w:rsid w:val="00174F57"/>
    <w:rsid w:val="00175327"/>
    <w:rsid w:val="00175677"/>
    <w:rsid w:val="001757DF"/>
    <w:rsid w:val="001758A5"/>
    <w:rsid w:val="0017594B"/>
    <w:rsid w:val="00175B7C"/>
    <w:rsid w:val="00175D15"/>
    <w:rsid w:val="00175EB8"/>
    <w:rsid w:val="00175FBD"/>
    <w:rsid w:val="00176135"/>
    <w:rsid w:val="001761A4"/>
    <w:rsid w:val="0017628A"/>
    <w:rsid w:val="001767DE"/>
    <w:rsid w:val="00176820"/>
    <w:rsid w:val="0017692A"/>
    <w:rsid w:val="00176ABB"/>
    <w:rsid w:val="00176B0E"/>
    <w:rsid w:val="00176B67"/>
    <w:rsid w:val="00176D41"/>
    <w:rsid w:val="00176D44"/>
    <w:rsid w:val="00176F5E"/>
    <w:rsid w:val="0017704E"/>
    <w:rsid w:val="00177050"/>
    <w:rsid w:val="001770E0"/>
    <w:rsid w:val="001773B6"/>
    <w:rsid w:val="00177B6D"/>
    <w:rsid w:val="00177BB9"/>
    <w:rsid w:val="00177E8D"/>
    <w:rsid w:val="00180095"/>
    <w:rsid w:val="0018095C"/>
    <w:rsid w:val="0018114A"/>
    <w:rsid w:val="001812F9"/>
    <w:rsid w:val="0018134D"/>
    <w:rsid w:val="001814F9"/>
    <w:rsid w:val="00181587"/>
    <w:rsid w:val="001815A7"/>
    <w:rsid w:val="00181829"/>
    <w:rsid w:val="0018188F"/>
    <w:rsid w:val="001818B2"/>
    <w:rsid w:val="00181A21"/>
    <w:rsid w:val="00181ADD"/>
    <w:rsid w:val="00181D89"/>
    <w:rsid w:val="00181F87"/>
    <w:rsid w:val="00182178"/>
    <w:rsid w:val="00182223"/>
    <w:rsid w:val="001823E8"/>
    <w:rsid w:val="0018259C"/>
    <w:rsid w:val="001827DA"/>
    <w:rsid w:val="001829D4"/>
    <w:rsid w:val="00182C0A"/>
    <w:rsid w:val="00182EFD"/>
    <w:rsid w:val="00183160"/>
    <w:rsid w:val="00183176"/>
    <w:rsid w:val="001831D4"/>
    <w:rsid w:val="0018335B"/>
    <w:rsid w:val="00183479"/>
    <w:rsid w:val="00183602"/>
    <w:rsid w:val="00183613"/>
    <w:rsid w:val="00183676"/>
    <w:rsid w:val="001836C5"/>
    <w:rsid w:val="001836EA"/>
    <w:rsid w:val="001838DB"/>
    <w:rsid w:val="00183E06"/>
    <w:rsid w:val="00183F27"/>
    <w:rsid w:val="00183F77"/>
    <w:rsid w:val="001840D4"/>
    <w:rsid w:val="001842D4"/>
    <w:rsid w:val="00184386"/>
    <w:rsid w:val="0018464E"/>
    <w:rsid w:val="00184731"/>
    <w:rsid w:val="00184B25"/>
    <w:rsid w:val="00184E69"/>
    <w:rsid w:val="00184FFB"/>
    <w:rsid w:val="0018523A"/>
    <w:rsid w:val="00185396"/>
    <w:rsid w:val="001856DA"/>
    <w:rsid w:val="00185A39"/>
    <w:rsid w:val="00185AB0"/>
    <w:rsid w:val="00185B35"/>
    <w:rsid w:val="00185BFB"/>
    <w:rsid w:val="00185CF1"/>
    <w:rsid w:val="00185D0D"/>
    <w:rsid w:val="00185D2D"/>
    <w:rsid w:val="00185E92"/>
    <w:rsid w:val="001860F7"/>
    <w:rsid w:val="00186100"/>
    <w:rsid w:val="001861CB"/>
    <w:rsid w:val="00186229"/>
    <w:rsid w:val="00186339"/>
    <w:rsid w:val="0018643A"/>
    <w:rsid w:val="001867DB"/>
    <w:rsid w:val="00186BA6"/>
    <w:rsid w:val="00186BBB"/>
    <w:rsid w:val="001872AA"/>
    <w:rsid w:val="00187313"/>
    <w:rsid w:val="00187354"/>
    <w:rsid w:val="001873C2"/>
    <w:rsid w:val="00187A1A"/>
    <w:rsid w:val="00187A21"/>
    <w:rsid w:val="00187CD4"/>
    <w:rsid w:val="00187CE0"/>
    <w:rsid w:val="00187D17"/>
    <w:rsid w:val="00187F91"/>
    <w:rsid w:val="001902C3"/>
    <w:rsid w:val="0019031D"/>
    <w:rsid w:val="00190504"/>
    <w:rsid w:val="0019058E"/>
    <w:rsid w:val="00190592"/>
    <w:rsid w:val="00190596"/>
    <w:rsid w:val="001905A9"/>
    <w:rsid w:val="00190865"/>
    <w:rsid w:val="00190A5F"/>
    <w:rsid w:val="00190B62"/>
    <w:rsid w:val="00190BBF"/>
    <w:rsid w:val="00190EE4"/>
    <w:rsid w:val="00190FEB"/>
    <w:rsid w:val="00191089"/>
    <w:rsid w:val="00191123"/>
    <w:rsid w:val="0019140E"/>
    <w:rsid w:val="001914CD"/>
    <w:rsid w:val="001915C6"/>
    <w:rsid w:val="001916CE"/>
    <w:rsid w:val="001916D5"/>
    <w:rsid w:val="001918DA"/>
    <w:rsid w:val="0019193E"/>
    <w:rsid w:val="00191BA9"/>
    <w:rsid w:val="00191C0F"/>
    <w:rsid w:val="001920BB"/>
    <w:rsid w:val="00192311"/>
    <w:rsid w:val="00192350"/>
    <w:rsid w:val="0019257E"/>
    <w:rsid w:val="0019268D"/>
    <w:rsid w:val="001926FC"/>
    <w:rsid w:val="00192811"/>
    <w:rsid w:val="00192861"/>
    <w:rsid w:val="001929E7"/>
    <w:rsid w:val="00192A18"/>
    <w:rsid w:val="00192A51"/>
    <w:rsid w:val="00192A64"/>
    <w:rsid w:val="00192C65"/>
    <w:rsid w:val="00192C82"/>
    <w:rsid w:val="00192F98"/>
    <w:rsid w:val="00193002"/>
    <w:rsid w:val="0019301A"/>
    <w:rsid w:val="001931F5"/>
    <w:rsid w:val="00193496"/>
    <w:rsid w:val="001934A8"/>
    <w:rsid w:val="001935EB"/>
    <w:rsid w:val="001935F6"/>
    <w:rsid w:val="00193739"/>
    <w:rsid w:val="00193746"/>
    <w:rsid w:val="0019376B"/>
    <w:rsid w:val="001937BB"/>
    <w:rsid w:val="00193919"/>
    <w:rsid w:val="00193BEF"/>
    <w:rsid w:val="00193E55"/>
    <w:rsid w:val="00193F23"/>
    <w:rsid w:val="00193F3D"/>
    <w:rsid w:val="0019400D"/>
    <w:rsid w:val="00194132"/>
    <w:rsid w:val="00194282"/>
    <w:rsid w:val="001942B1"/>
    <w:rsid w:val="001943D5"/>
    <w:rsid w:val="00194442"/>
    <w:rsid w:val="001944C1"/>
    <w:rsid w:val="0019467C"/>
    <w:rsid w:val="001948F5"/>
    <w:rsid w:val="00194A67"/>
    <w:rsid w:val="00194C11"/>
    <w:rsid w:val="00194EF8"/>
    <w:rsid w:val="00195047"/>
    <w:rsid w:val="00195052"/>
    <w:rsid w:val="00195058"/>
    <w:rsid w:val="0019513B"/>
    <w:rsid w:val="00195286"/>
    <w:rsid w:val="00195347"/>
    <w:rsid w:val="00195349"/>
    <w:rsid w:val="00195570"/>
    <w:rsid w:val="0019562D"/>
    <w:rsid w:val="00195680"/>
    <w:rsid w:val="001958A3"/>
    <w:rsid w:val="00195B03"/>
    <w:rsid w:val="00195B7B"/>
    <w:rsid w:val="00195BAB"/>
    <w:rsid w:val="00195D25"/>
    <w:rsid w:val="00195D57"/>
    <w:rsid w:val="00195F0F"/>
    <w:rsid w:val="00195F14"/>
    <w:rsid w:val="00196191"/>
    <w:rsid w:val="0019680D"/>
    <w:rsid w:val="00196891"/>
    <w:rsid w:val="00196B0E"/>
    <w:rsid w:val="00196F37"/>
    <w:rsid w:val="0019719F"/>
    <w:rsid w:val="001972E6"/>
    <w:rsid w:val="0019778C"/>
    <w:rsid w:val="001977FA"/>
    <w:rsid w:val="001978DE"/>
    <w:rsid w:val="00197A6D"/>
    <w:rsid w:val="00197B2E"/>
    <w:rsid w:val="00197CB8"/>
    <w:rsid w:val="00197E33"/>
    <w:rsid w:val="00197F63"/>
    <w:rsid w:val="00197FE1"/>
    <w:rsid w:val="001A00C7"/>
    <w:rsid w:val="001A0266"/>
    <w:rsid w:val="001A0293"/>
    <w:rsid w:val="001A037C"/>
    <w:rsid w:val="001A044E"/>
    <w:rsid w:val="001A0497"/>
    <w:rsid w:val="001A0AFA"/>
    <w:rsid w:val="001A0C95"/>
    <w:rsid w:val="001A0EBC"/>
    <w:rsid w:val="001A10AD"/>
    <w:rsid w:val="001A113D"/>
    <w:rsid w:val="001A12FC"/>
    <w:rsid w:val="001A14C5"/>
    <w:rsid w:val="001A1B5A"/>
    <w:rsid w:val="001A1F39"/>
    <w:rsid w:val="001A20C0"/>
    <w:rsid w:val="001A2294"/>
    <w:rsid w:val="001A2430"/>
    <w:rsid w:val="001A24AA"/>
    <w:rsid w:val="001A2508"/>
    <w:rsid w:val="001A267E"/>
    <w:rsid w:val="001A2727"/>
    <w:rsid w:val="001A2877"/>
    <w:rsid w:val="001A29BE"/>
    <w:rsid w:val="001A2AFF"/>
    <w:rsid w:val="001A2B29"/>
    <w:rsid w:val="001A2B65"/>
    <w:rsid w:val="001A2BEB"/>
    <w:rsid w:val="001A2C4D"/>
    <w:rsid w:val="001A2C58"/>
    <w:rsid w:val="001A2C6F"/>
    <w:rsid w:val="001A2D9D"/>
    <w:rsid w:val="001A2F19"/>
    <w:rsid w:val="001A2FA9"/>
    <w:rsid w:val="001A309E"/>
    <w:rsid w:val="001A315C"/>
    <w:rsid w:val="001A32E4"/>
    <w:rsid w:val="001A345A"/>
    <w:rsid w:val="001A3569"/>
    <w:rsid w:val="001A35ED"/>
    <w:rsid w:val="001A3819"/>
    <w:rsid w:val="001A381F"/>
    <w:rsid w:val="001A39BB"/>
    <w:rsid w:val="001A3A54"/>
    <w:rsid w:val="001A4183"/>
    <w:rsid w:val="001A43A2"/>
    <w:rsid w:val="001A4831"/>
    <w:rsid w:val="001A4A92"/>
    <w:rsid w:val="001A4AEC"/>
    <w:rsid w:val="001A4B98"/>
    <w:rsid w:val="001A4BF8"/>
    <w:rsid w:val="001A4DF1"/>
    <w:rsid w:val="001A511E"/>
    <w:rsid w:val="001A5125"/>
    <w:rsid w:val="001A5361"/>
    <w:rsid w:val="001A5994"/>
    <w:rsid w:val="001A5A91"/>
    <w:rsid w:val="001A5B06"/>
    <w:rsid w:val="001A5BDF"/>
    <w:rsid w:val="001A5C81"/>
    <w:rsid w:val="001A6061"/>
    <w:rsid w:val="001A6091"/>
    <w:rsid w:val="001A6312"/>
    <w:rsid w:val="001A64E3"/>
    <w:rsid w:val="001A6598"/>
    <w:rsid w:val="001A664E"/>
    <w:rsid w:val="001A697A"/>
    <w:rsid w:val="001A6B91"/>
    <w:rsid w:val="001A6DED"/>
    <w:rsid w:val="001A6E4D"/>
    <w:rsid w:val="001A6E8F"/>
    <w:rsid w:val="001A7126"/>
    <w:rsid w:val="001A713F"/>
    <w:rsid w:val="001A731C"/>
    <w:rsid w:val="001A73BC"/>
    <w:rsid w:val="001A74CF"/>
    <w:rsid w:val="001A75A9"/>
    <w:rsid w:val="001A7840"/>
    <w:rsid w:val="001A7DCC"/>
    <w:rsid w:val="001B0199"/>
    <w:rsid w:val="001B05C8"/>
    <w:rsid w:val="001B082C"/>
    <w:rsid w:val="001B08EE"/>
    <w:rsid w:val="001B0940"/>
    <w:rsid w:val="001B0B30"/>
    <w:rsid w:val="001B0B87"/>
    <w:rsid w:val="001B0C07"/>
    <w:rsid w:val="001B0D91"/>
    <w:rsid w:val="001B0D99"/>
    <w:rsid w:val="001B0E64"/>
    <w:rsid w:val="001B10AD"/>
    <w:rsid w:val="001B119B"/>
    <w:rsid w:val="001B1228"/>
    <w:rsid w:val="001B12E4"/>
    <w:rsid w:val="001B1389"/>
    <w:rsid w:val="001B139A"/>
    <w:rsid w:val="001B1401"/>
    <w:rsid w:val="001B1667"/>
    <w:rsid w:val="001B1911"/>
    <w:rsid w:val="001B1B4C"/>
    <w:rsid w:val="001B1CBA"/>
    <w:rsid w:val="001B1E61"/>
    <w:rsid w:val="001B2368"/>
    <w:rsid w:val="001B24EA"/>
    <w:rsid w:val="001B25D4"/>
    <w:rsid w:val="001B25D6"/>
    <w:rsid w:val="001B2690"/>
    <w:rsid w:val="001B26AA"/>
    <w:rsid w:val="001B28D4"/>
    <w:rsid w:val="001B28D8"/>
    <w:rsid w:val="001B28F6"/>
    <w:rsid w:val="001B2B48"/>
    <w:rsid w:val="001B2B5C"/>
    <w:rsid w:val="001B2B8A"/>
    <w:rsid w:val="001B2CEB"/>
    <w:rsid w:val="001B2E0D"/>
    <w:rsid w:val="001B2E93"/>
    <w:rsid w:val="001B3083"/>
    <w:rsid w:val="001B30EA"/>
    <w:rsid w:val="001B335B"/>
    <w:rsid w:val="001B33CD"/>
    <w:rsid w:val="001B33FB"/>
    <w:rsid w:val="001B34A3"/>
    <w:rsid w:val="001B35C9"/>
    <w:rsid w:val="001B38A6"/>
    <w:rsid w:val="001B3B1A"/>
    <w:rsid w:val="001B3CD1"/>
    <w:rsid w:val="001B3E5E"/>
    <w:rsid w:val="001B3F68"/>
    <w:rsid w:val="001B3FAB"/>
    <w:rsid w:val="001B3FD1"/>
    <w:rsid w:val="001B401E"/>
    <w:rsid w:val="001B4535"/>
    <w:rsid w:val="001B47AF"/>
    <w:rsid w:val="001B47D0"/>
    <w:rsid w:val="001B4CA3"/>
    <w:rsid w:val="001B4D69"/>
    <w:rsid w:val="001B5274"/>
    <w:rsid w:val="001B55AC"/>
    <w:rsid w:val="001B56D5"/>
    <w:rsid w:val="001B58F3"/>
    <w:rsid w:val="001B5965"/>
    <w:rsid w:val="001B5AF6"/>
    <w:rsid w:val="001B5C35"/>
    <w:rsid w:val="001B5C5C"/>
    <w:rsid w:val="001B5C6E"/>
    <w:rsid w:val="001B5CD5"/>
    <w:rsid w:val="001B5F8A"/>
    <w:rsid w:val="001B6310"/>
    <w:rsid w:val="001B68CE"/>
    <w:rsid w:val="001B6E18"/>
    <w:rsid w:val="001B73B0"/>
    <w:rsid w:val="001B7414"/>
    <w:rsid w:val="001B7518"/>
    <w:rsid w:val="001B771F"/>
    <w:rsid w:val="001B7776"/>
    <w:rsid w:val="001B7ADE"/>
    <w:rsid w:val="001B7C63"/>
    <w:rsid w:val="001B7D5B"/>
    <w:rsid w:val="001B7F2E"/>
    <w:rsid w:val="001B7F37"/>
    <w:rsid w:val="001C0145"/>
    <w:rsid w:val="001C0465"/>
    <w:rsid w:val="001C05D0"/>
    <w:rsid w:val="001C084D"/>
    <w:rsid w:val="001C0907"/>
    <w:rsid w:val="001C0A69"/>
    <w:rsid w:val="001C0B22"/>
    <w:rsid w:val="001C0BA8"/>
    <w:rsid w:val="001C0C72"/>
    <w:rsid w:val="001C12A3"/>
    <w:rsid w:val="001C12EA"/>
    <w:rsid w:val="001C1345"/>
    <w:rsid w:val="001C1905"/>
    <w:rsid w:val="001C1AED"/>
    <w:rsid w:val="001C1B57"/>
    <w:rsid w:val="001C1D1B"/>
    <w:rsid w:val="001C1F21"/>
    <w:rsid w:val="001C1FBC"/>
    <w:rsid w:val="001C2031"/>
    <w:rsid w:val="001C20B2"/>
    <w:rsid w:val="001C217E"/>
    <w:rsid w:val="001C21BF"/>
    <w:rsid w:val="001C2381"/>
    <w:rsid w:val="001C2714"/>
    <w:rsid w:val="001C2715"/>
    <w:rsid w:val="001C2873"/>
    <w:rsid w:val="001C28F7"/>
    <w:rsid w:val="001C2B1B"/>
    <w:rsid w:val="001C2CF6"/>
    <w:rsid w:val="001C2DA4"/>
    <w:rsid w:val="001C2EEF"/>
    <w:rsid w:val="001C3127"/>
    <w:rsid w:val="001C3354"/>
    <w:rsid w:val="001C357F"/>
    <w:rsid w:val="001C35CE"/>
    <w:rsid w:val="001C373A"/>
    <w:rsid w:val="001C3C21"/>
    <w:rsid w:val="001C3D52"/>
    <w:rsid w:val="001C3F5A"/>
    <w:rsid w:val="001C4555"/>
    <w:rsid w:val="001C480E"/>
    <w:rsid w:val="001C4857"/>
    <w:rsid w:val="001C4DFE"/>
    <w:rsid w:val="001C4FCB"/>
    <w:rsid w:val="001C5340"/>
    <w:rsid w:val="001C537E"/>
    <w:rsid w:val="001C5639"/>
    <w:rsid w:val="001C5676"/>
    <w:rsid w:val="001C57A7"/>
    <w:rsid w:val="001C5915"/>
    <w:rsid w:val="001C5A1B"/>
    <w:rsid w:val="001C5C37"/>
    <w:rsid w:val="001C5C5C"/>
    <w:rsid w:val="001C5DB4"/>
    <w:rsid w:val="001C5E15"/>
    <w:rsid w:val="001C6084"/>
    <w:rsid w:val="001C61BF"/>
    <w:rsid w:val="001C624B"/>
    <w:rsid w:val="001C674E"/>
    <w:rsid w:val="001C6ABF"/>
    <w:rsid w:val="001C6CCA"/>
    <w:rsid w:val="001C6D60"/>
    <w:rsid w:val="001C6DC0"/>
    <w:rsid w:val="001C6E87"/>
    <w:rsid w:val="001C6ED9"/>
    <w:rsid w:val="001C6F9A"/>
    <w:rsid w:val="001C7075"/>
    <w:rsid w:val="001C70FA"/>
    <w:rsid w:val="001C710B"/>
    <w:rsid w:val="001C7187"/>
    <w:rsid w:val="001C7510"/>
    <w:rsid w:val="001C759E"/>
    <w:rsid w:val="001C77E1"/>
    <w:rsid w:val="001C786B"/>
    <w:rsid w:val="001C7A1B"/>
    <w:rsid w:val="001C7E99"/>
    <w:rsid w:val="001D0277"/>
    <w:rsid w:val="001D044A"/>
    <w:rsid w:val="001D0530"/>
    <w:rsid w:val="001D053D"/>
    <w:rsid w:val="001D0921"/>
    <w:rsid w:val="001D0A78"/>
    <w:rsid w:val="001D0CA5"/>
    <w:rsid w:val="001D0DDF"/>
    <w:rsid w:val="001D0E13"/>
    <w:rsid w:val="001D0F4D"/>
    <w:rsid w:val="001D10C0"/>
    <w:rsid w:val="001D124C"/>
    <w:rsid w:val="001D150D"/>
    <w:rsid w:val="001D1978"/>
    <w:rsid w:val="001D1E31"/>
    <w:rsid w:val="001D2244"/>
    <w:rsid w:val="001D2256"/>
    <w:rsid w:val="001D2357"/>
    <w:rsid w:val="001D248F"/>
    <w:rsid w:val="001D2832"/>
    <w:rsid w:val="001D2984"/>
    <w:rsid w:val="001D2A85"/>
    <w:rsid w:val="001D2AA9"/>
    <w:rsid w:val="001D2C0A"/>
    <w:rsid w:val="001D2DD7"/>
    <w:rsid w:val="001D3051"/>
    <w:rsid w:val="001D33A5"/>
    <w:rsid w:val="001D343E"/>
    <w:rsid w:val="001D344C"/>
    <w:rsid w:val="001D34F0"/>
    <w:rsid w:val="001D355E"/>
    <w:rsid w:val="001D3644"/>
    <w:rsid w:val="001D3708"/>
    <w:rsid w:val="001D3968"/>
    <w:rsid w:val="001D3A13"/>
    <w:rsid w:val="001D3B29"/>
    <w:rsid w:val="001D3CB4"/>
    <w:rsid w:val="001D417D"/>
    <w:rsid w:val="001D430F"/>
    <w:rsid w:val="001D434E"/>
    <w:rsid w:val="001D46A5"/>
    <w:rsid w:val="001D4B21"/>
    <w:rsid w:val="001D4DAF"/>
    <w:rsid w:val="001D4F25"/>
    <w:rsid w:val="001D5094"/>
    <w:rsid w:val="001D51D4"/>
    <w:rsid w:val="001D5288"/>
    <w:rsid w:val="001D52D1"/>
    <w:rsid w:val="001D559B"/>
    <w:rsid w:val="001D56B4"/>
    <w:rsid w:val="001D5732"/>
    <w:rsid w:val="001D5821"/>
    <w:rsid w:val="001D5869"/>
    <w:rsid w:val="001D5ACD"/>
    <w:rsid w:val="001D5B8C"/>
    <w:rsid w:val="001D5EC6"/>
    <w:rsid w:val="001D5F33"/>
    <w:rsid w:val="001D6204"/>
    <w:rsid w:val="001D665C"/>
    <w:rsid w:val="001D66CC"/>
    <w:rsid w:val="001D67F8"/>
    <w:rsid w:val="001D68F2"/>
    <w:rsid w:val="001D6AFA"/>
    <w:rsid w:val="001D6BB6"/>
    <w:rsid w:val="001D6C84"/>
    <w:rsid w:val="001D708B"/>
    <w:rsid w:val="001D72E8"/>
    <w:rsid w:val="001D7329"/>
    <w:rsid w:val="001D7493"/>
    <w:rsid w:val="001D76BE"/>
    <w:rsid w:val="001D7853"/>
    <w:rsid w:val="001D78E4"/>
    <w:rsid w:val="001D790D"/>
    <w:rsid w:val="001D79FE"/>
    <w:rsid w:val="001D7B06"/>
    <w:rsid w:val="001D7D95"/>
    <w:rsid w:val="001E0D07"/>
    <w:rsid w:val="001E0D29"/>
    <w:rsid w:val="001E0E03"/>
    <w:rsid w:val="001E1032"/>
    <w:rsid w:val="001E11F2"/>
    <w:rsid w:val="001E1239"/>
    <w:rsid w:val="001E153B"/>
    <w:rsid w:val="001E197B"/>
    <w:rsid w:val="001E2351"/>
    <w:rsid w:val="001E2462"/>
    <w:rsid w:val="001E24A1"/>
    <w:rsid w:val="001E24C4"/>
    <w:rsid w:val="001E2693"/>
    <w:rsid w:val="001E273C"/>
    <w:rsid w:val="001E2A08"/>
    <w:rsid w:val="001E2C62"/>
    <w:rsid w:val="001E2EB2"/>
    <w:rsid w:val="001E2F07"/>
    <w:rsid w:val="001E30DC"/>
    <w:rsid w:val="001E3143"/>
    <w:rsid w:val="001E31B7"/>
    <w:rsid w:val="001E365A"/>
    <w:rsid w:val="001E37EF"/>
    <w:rsid w:val="001E3922"/>
    <w:rsid w:val="001E396D"/>
    <w:rsid w:val="001E39A9"/>
    <w:rsid w:val="001E3CC2"/>
    <w:rsid w:val="001E3CCB"/>
    <w:rsid w:val="001E3D10"/>
    <w:rsid w:val="001E3ECD"/>
    <w:rsid w:val="001E4018"/>
    <w:rsid w:val="001E4048"/>
    <w:rsid w:val="001E4050"/>
    <w:rsid w:val="001E4182"/>
    <w:rsid w:val="001E4322"/>
    <w:rsid w:val="001E448D"/>
    <w:rsid w:val="001E4611"/>
    <w:rsid w:val="001E483F"/>
    <w:rsid w:val="001E4889"/>
    <w:rsid w:val="001E4C7B"/>
    <w:rsid w:val="001E4F9D"/>
    <w:rsid w:val="001E5038"/>
    <w:rsid w:val="001E53F2"/>
    <w:rsid w:val="001E54CE"/>
    <w:rsid w:val="001E5929"/>
    <w:rsid w:val="001E5AAE"/>
    <w:rsid w:val="001E5D25"/>
    <w:rsid w:val="001E6027"/>
    <w:rsid w:val="001E6073"/>
    <w:rsid w:val="001E6120"/>
    <w:rsid w:val="001E6390"/>
    <w:rsid w:val="001E6400"/>
    <w:rsid w:val="001E660E"/>
    <w:rsid w:val="001E6831"/>
    <w:rsid w:val="001E69DF"/>
    <w:rsid w:val="001E6A29"/>
    <w:rsid w:val="001E6DA8"/>
    <w:rsid w:val="001E6E92"/>
    <w:rsid w:val="001E7019"/>
    <w:rsid w:val="001E709A"/>
    <w:rsid w:val="001E71C4"/>
    <w:rsid w:val="001E7687"/>
    <w:rsid w:val="001E76D2"/>
    <w:rsid w:val="001E7C46"/>
    <w:rsid w:val="001E7C64"/>
    <w:rsid w:val="001E7CD2"/>
    <w:rsid w:val="001E7D7A"/>
    <w:rsid w:val="001F0118"/>
    <w:rsid w:val="001F056C"/>
    <w:rsid w:val="001F06A2"/>
    <w:rsid w:val="001F071A"/>
    <w:rsid w:val="001F0789"/>
    <w:rsid w:val="001F08D8"/>
    <w:rsid w:val="001F0A73"/>
    <w:rsid w:val="001F0B7D"/>
    <w:rsid w:val="001F0C8E"/>
    <w:rsid w:val="001F0C9D"/>
    <w:rsid w:val="001F0F53"/>
    <w:rsid w:val="001F1120"/>
    <w:rsid w:val="001F127B"/>
    <w:rsid w:val="001F141B"/>
    <w:rsid w:val="001F146C"/>
    <w:rsid w:val="001F169A"/>
    <w:rsid w:val="001F16A2"/>
    <w:rsid w:val="001F16D1"/>
    <w:rsid w:val="001F1708"/>
    <w:rsid w:val="001F17D2"/>
    <w:rsid w:val="001F1840"/>
    <w:rsid w:val="001F1A55"/>
    <w:rsid w:val="001F1BE7"/>
    <w:rsid w:val="001F1C75"/>
    <w:rsid w:val="001F1E65"/>
    <w:rsid w:val="001F2287"/>
    <w:rsid w:val="001F23A7"/>
    <w:rsid w:val="001F2A75"/>
    <w:rsid w:val="001F2AA3"/>
    <w:rsid w:val="001F2AAD"/>
    <w:rsid w:val="001F2C41"/>
    <w:rsid w:val="001F2CB7"/>
    <w:rsid w:val="001F2E5E"/>
    <w:rsid w:val="001F3125"/>
    <w:rsid w:val="001F34FA"/>
    <w:rsid w:val="001F3A25"/>
    <w:rsid w:val="001F3B1E"/>
    <w:rsid w:val="001F3D6F"/>
    <w:rsid w:val="001F3F50"/>
    <w:rsid w:val="001F41BE"/>
    <w:rsid w:val="001F4294"/>
    <w:rsid w:val="001F452C"/>
    <w:rsid w:val="001F4853"/>
    <w:rsid w:val="001F487F"/>
    <w:rsid w:val="001F4B7B"/>
    <w:rsid w:val="001F4EBA"/>
    <w:rsid w:val="001F4ED9"/>
    <w:rsid w:val="001F51EE"/>
    <w:rsid w:val="001F532F"/>
    <w:rsid w:val="001F5343"/>
    <w:rsid w:val="001F544D"/>
    <w:rsid w:val="001F54CE"/>
    <w:rsid w:val="001F557B"/>
    <w:rsid w:val="001F5A0C"/>
    <w:rsid w:val="001F5ADD"/>
    <w:rsid w:val="001F5BBA"/>
    <w:rsid w:val="001F5DB1"/>
    <w:rsid w:val="001F5E91"/>
    <w:rsid w:val="001F6141"/>
    <w:rsid w:val="001F6143"/>
    <w:rsid w:val="001F6187"/>
    <w:rsid w:val="001F63E9"/>
    <w:rsid w:val="001F66FA"/>
    <w:rsid w:val="001F674F"/>
    <w:rsid w:val="001F67E8"/>
    <w:rsid w:val="001F6C2E"/>
    <w:rsid w:val="001F6C47"/>
    <w:rsid w:val="001F6EAF"/>
    <w:rsid w:val="001F73AE"/>
    <w:rsid w:val="001F73B0"/>
    <w:rsid w:val="001F75CA"/>
    <w:rsid w:val="001F7678"/>
    <w:rsid w:val="001F786F"/>
    <w:rsid w:val="002000AA"/>
    <w:rsid w:val="00200121"/>
    <w:rsid w:val="00200163"/>
    <w:rsid w:val="002002D7"/>
    <w:rsid w:val="00200395"/>
    <w:rsid w:val="0020048C"/>
    <w:rsid w:val="002004F0"/>
    <w:rsid w:val="00200763"/>
    <w:rsid w:val="00200764"/>
    <w:rsid w:val="002007D8"/>
    <w:rsid w:val="002008EB"/>
    <w:rsid w:val="002009D6"/>
    <w:rsid w:val="00200B6C"/>
    <w:rsid w:val="00200EB7"/>
    <w:rsid w:val="002010C2"/>
    <w:rsid w:val="002012CA"/>
    <w:rsid w:val="0020134F"/>
    <w:rsid w:val="002013C9"/>
    <w:rsid w:val="00201480"/>
    <w:rsid w:val="002014AD"/>
    <w:rsid w:val="00201681"/>
    <w:rsid w:val="00201808"/>
    <w:rsid w:val="00201949"/>
    <w:rsid w:val="00201A3C"/>
    <w:rsid w:val="00201E06"/>
    <w:rsid w:val="00201E6B"/>
    <w:rsid w:val="002020C3"/>
    <w:rsid w:val="002023D9"/>
    <w:rsid w:val="002024A2"/>
    <w:rsid w:val="00202734"/>
    <w:rsid w:val="002027C5"/>
    <w:rsid w:val="002028BE"/>
    <w:rsid w:val="002028CD"/>
    <w:rsid w:val="00202940"/>
    <w:rsid w:val="00202A78"/>
    <w:rsid w:val="00202BC8"/>
    <w:rsid w:val="00202E22"/>
    <w:rsid w:val="00202EB8"/>
    <w:rsid w:val="00202F6B"/>
    <w:rsid w:val="00203233"/>
    <w:rsid w:val="00203282"/>
    <w:rsid w:val="00203347"/>
    <w:rsid w:val="002037C6"/>
    <w:rsid w:val="00203915"/>
    <w:rsid w:val="00203C35"/>
    <w:rsid w:val="00203D4F"/>
    <w:rsid w:val="00203FA9"/>
    <w:rsid w:val="00204024"/>
    <w:rsid w:val="0020432B"/>
    <w:rsid w:val="002043CF"/>
    <w:rsid w:val="002045AF"/>
    <w:rsid w:val="002045F6"/>
    <w:rsid w:val="00204782"/>
    <w:rsid w:val="002047FD"/>
    <w:rsid w:val="00204855"/>
    <w:rsid w:val="00204924"/>
    <w:rsid w:val="00204B2D"/>
    <w:rsid w:val="00204C51"/>
    <w:rsid w:val="00204EAC"/>
    <w:rsid w:val="0020503A"/>
    <w:rsid w:val="0020522D"/>
    <w:rsid w:val="002052A5"/>
    <w:rsid w:val="002056B1"/>
    <w:rsid w:val="00205820"/>
    <w:rsid w:val="0020592A"/>
    <w:rsid w:val="00205CB2"/>
    <w:rsid w:val="00205EEF"/>
    <w:rsid w:val="00206097"/>
    <w:rsid w:val="00206170"/>
    <w:rsid w:val="00206191"/>
    <w:rsid w:val="00206264"/>
    <w:rsid w:val="002062F1"/>
    <w:rsid w:val="00206587"/>
    <w:rsid w:val="0020674A"/>
    <w:rsid w:val="00206910"/>
    <w:rsid w:val="002069CA"/>
    <w:rsid w:val="00206D50"/>
    <w:rsid w:val="00206E01"/>
    <w:rsid w:val="00206F09"/>
    <w:rsid w:val="00207254"/>
    <w:rsid w:val="002078AC"/>
    <w:rsid w:val="0020798E"/>
    <w:rsid w:val="00207B96"/>
    <w:rsid w:val="002102AF"/>
    <w:rsid w:val="002102E2"/>
    <w:rsid w:val="0021034C"/>
    <w:rsid w:val="002103A2"/>
    <w:rsid w:val="0021043C"/>
    <w:rsid w:val="0021044D"/>
    <w:rsid w:val="00210694"/>
    <w:rsid w:val="002106E8"/>
    <w:rsid w:val="00210C03"/>
    <w:rsid w:val="00210D84"/>
    <w:rsid w:val="00210E2E"/>
    <w:rsid w:val="00211578"/>
    <w:rsid w:val="0021182A"/>
    <w:rsid w:val="00211A7C"/>
    <w:rsid w:val="00211AE2"/>
    <w:rsid w:val="00211F31"/>
    <w:rsid w:val="00212082"/>
    <w:rsid w:val="002120C1"/>
    <w:rsid w:val="00212165"/>
    <w:rsid w:val="00212251"/>
    <w:rsid w:val="002122ED"/>
    <w:rsid w:val="00212665"/>
    <w:rsid w:val="0021268D"/>
    <w:rsid w:val="00212905"/>
    <w:rsid w:val="00212BC8"/>
    <w:rsid w:val="00212CAE"/>
    <w:rsid w:val="00212E08"/>
    <w:rsid w:val="00212EC2"/>
    <w:rsid w:val="00212F1C"/>
    <w:rsid w:val="00213055"/>
    <w:rsid w:val="00213056"/>
    <w:rsid w:val="002137EA"/>
    <w:rsid w:val="00213A84"/>
    <w:rsid w:val="00213A9B"/>
    <w:rsid w:val="00213C07"/>
    <w:rsid w:val="00213C19"/>
    <w:rsid w:val="00213D2E"/>
    <w:rsid w:val="00213EA7"/>
    <w:rsid w:val="00213F1C"/>
    <w:rsid w:val="00214034"/>
    <w:rsid w:val="00214078"/>
    <w:rsid w:val="00214104"/>
    <w:rsid w:val="002141A2"/>
    <w:rsid w:val="002141F9"/>
    <w:rsid w:val="002142A2"/>
    <w:rsid w:val="0021441A"/>
    <w:rsid w:val="002146C3"/>
    <w:rsid w:val="00214A07"/>
    <w:rsid w:val="00214B3F"/>
    <w:rsid w:val="00214BE3"/>
    <w:rsid w:val="00214EA8"/>
    <w:rsid w:val="00214ED7"/>
    <w:rsid w:val="00214EEE"/>
    <w:rsid w:val="0021527C"/>
    <w:rsid w:val="002153D0"/>
    <w:rsid w:val="0021574E"/>
    <w:rsid w:val="00215796"/>
    <w:rsid w:val="0021582B"/>
    <w:rsid w:val="00215C74"/>
    <w:rsid w:val="002161C7"/>
    <w:rsid w:val="002162D4"/>
    <w:rsid w:val="00216360"/>
    <w:rsid w:val="0021669A"/>
    <w:rsid w:val="002167AF"/>
    <w:rsid w:val="00216C00"/>
    <w:rsid w:val="00216D92"/>
    <w:rsid w:val="00217229"/>
    <w:rsid w:val="0021748C"/>
    <w:rsid w:val="00217505"/>
    <w:rsid w:val="002175C8"/>
    <w:rsid w:val="00217BDA"/>
    <w:rsid w:val="00217C1E"/>
    <w:rsid w:val="00217D0E"/>
    <w:rsid w:val="00217E81"/>
    <w:rsid w:val="00220217"/>
    <w:rsid w:val="00220536"/>
    <w:rsid w:val="002205CC"/>
    <w:rsid w:val="002207FF"/>
    <w:rsid w:val="00220910"/>
    <w:rsid w:val="00220992"/>
    <w:rsid w:val="00220A1C"/>
    <w:rsid w:val="00220A27"/>
    <w:rsid w:val="00220F90"/>
    <w:rsid w:val="00220FCF"/>
    <w:rsid w:val="0022105E"/>
    <w:rsid w:val="0022113E"/>
    <w:rsid w:val="00221302"/>
    <w:rsid w:val="0022135E"/>
    <w:rsid w:val="002217C0"/>
    <w:rsid w:val="00221BCF"/>
    <w:rsid w:val="00221E95"/>
    <w:rsid w:val="00221EEB"/>
    <w:rsid w:val="00221EF2"/>
    <w:rsid w:val="00222122"/>
    <w:rsid w:val="00222202"/>
    <w:rsid w:val="0022228B"/>
    <w:rsid w:val="00222779"/>
    <w:rsid w:val="002228D4"/>
    <w:rsid w:val="002229BE"/>
    <w:rsid w:val="00222B25"/>
    <w:rsid w:val="00222DAA"/>
    <w:rsid w:val="00222E56"/>
    <w:rsid w:val="002230FC"/>
    <w:rsid w:val="002233B6"/>
    <w:rsid w:val="002234AD"/>
    <w:rsid w:val="002237A6"/>
    <w:rsid w:val="00223A31"/>
    <w:rsid w:val="00223AB6"/>
    <w:rsid w:val="00223C27"/>
    <w:rsid w:val="00223CA5"/>
    <w:rsid w:val="00223DD4"/>
    <w:rsid w:val="00224193"/>
    <w:rsid w:val="00224512"/>
    <w:rsid w:val="002245E9"/>
    <w:rsid w:val="002246B5"/>
    <w:rsid w:val="0022487D"/>
    <w:rsid w:val="00224A53"/>
    <w:rsid w:val="00224AF4"/>
    <w:rsid w:val="00224AFE"/>
    <w:rsid w:val="002250B0"/>
    <w:rsid w:val="002255D9"/>
    <w:rsid w:val="0022570E"/>
    <w:rsid w:val="002257DA"/>
    <w:rsid w:val="002258BB"/>
    <w:rsid w:val="002258D6"/>
    <w:rsid w:val="002259CF"/>
    <w:rsid w:val="00225ADC"/>
    <w:rsid w:val="00225AFB"/>
    <w:rsid w:val="00225D10"/>
    <w:rsid w:val="00225D78"/>
    <w:rsid w:val="002262DA"/>
    <w:rsid w:val="0022639B"/>
    <w:rsid w:val="002265E9"/>
    <w:rsid w:val="002268D8"/>
    <w:rsid w:val="00226A23"/>
    <w:rsid w:val="00226A63"/>
    <w:rsid w:val="00226AFF"/>
    <w:rsid w:val="00226D13"/>
    <w:rsid w:val="00226E7F"/>
    <w:rsid w:val="00226E8C"/>
    <w:rsid w:val="00226EF2"/>
    <w:rsid w:val="00227145"/>
    <w:rsid w:val="0022714A"/>
    <w:rsid w:val="00227223"/>
    <w:rsid w:val="00227470"/>
    <w:rsid w:val="002277B6"/>
    <w:rsid w:val="0022797F"/>
    <w:rsid w:val="00227A89"/>
    <w:rsid w:val="00227AF1"/>
    <w:rsid w:val="00227B3C"/>
    <w:rsid w:val="00227C44"/>
    <w:rsid w:val="00227C5A"/>
    <w:rsid w:val="00227D70"/>
    <w:rsid w:val="00227FE2"/>
    <w:rsid w:val="0023001E"/>
    <w:rsid w:val="00230102"/>
    <w:rsid w:val="00230296"/>
    <w:rsid w:val="002302D9"/>
    <w:rsid w:val="00230306"/>
    <w:rsid w:val="00230347"/>
    <w:rsid w:val="00230385"/>
    <w:rsid w:val="002304F9"/>
    <w:rsid w:val="00230517"/>
    <w:rsid w:val="00230613"/>
    <w:rsid w:val="0023069D"/>
    <w:rsid w:val="002308AA"/>
    <w:rsid w:val="002308D9"/>
    <w:rsid w:val="002309B3"/>
    <w:rsid w:val="00230C7E"/>
    <w:rsid w:val="00230DA5"/>
    <w:rsid w:val="00230FBB"/>
    <w:rsid w:val="002312D7"/>
    <w:rsid w:val="0023144B"/>
    <w:rsid w:val="002314F0"/>
    <w:rsid w:val="0023154F"/>
    <w:rsid w:val="002319CF"/>
    <w:rsid w:val="00231BC0"/>
    <w:rsid w:val="00231C41"/>
    <w:rsid w:val="00231C4E"/>
    <w:rsid w:val="00231CBA"/>
    <w:rsid w:val="00231EFB"/>
    <w:rsid w:val="00231FE7"/>
    <w:rsid w:val="002320CE"/>
    <w:rsid w:val="0023221B"/>
    <w:rsid w:val="002323CF"/>
    <w:rsid w:val="002327F2"/>
    <w:rsid w:val="0023282B"/>
    <w:rsid w:val="002329B1"/>
    <w:rsid w:val="00232BCF"/>
    <w:rsid w:val="00232BD0"/>
    <w:rsid w:val="00232BF0"/>
    <w:rsid w:val="002331CE"/>
    <w:rsid w:val="00233206"/>
    <w:rsid w:val="00233398"/>
    <w:rsid w:val="002334D4"/>
    <w:rsid w:val="0023394E"/>
    <w:rsid w:val="00233A89"/>
    <w:rsid w:val="00233D63"/>
    <w:rsid w:val="00233E8A"/>
    <w:rsid w:val="00233F4B"/>
    <w:rsid w:val="00233FCE"/>
    <w:rsid w:val="00234135"/>
    <w:rsid w:val="002341C6"/>
    <w:rsid w:val="00234329"/>
    <w:rsid w:val="002343E7"/>
    <w:rsid w:val="0023460F"/>
    <w:rsid w:val="00234656"/>
    <w:rsid w:val="00234657"/>
    <w:rsid w:val="002346FD"/>
    <w:rsid w:val="002348B5"/>
    <w:rsid w:val="00234904"/>
    <w:rsid w:val="00234A3B"/>
    <w:rsid w:val="00234A9D"/>
    <w:rsid w:val="00234ADD"/>
    <w:rsid w:val="00234B8A"/>
    <w:rsid w:val="00234EBF"/>
    <w:rsid w:val="00234F84"/>
    <w:rsid w:val="00234FCD"/>
    <w:rsid w:val="002351E7"/>
    <w:rsid w:val="00235286"/>
    <w:rsid w:val="0023537D"/>
    <w:rsid w:val="0023557A"/>
    <w:rsid w:val="00235923"/>
    <w:rsid w:val="00235AC4"/>
    <w:rsid w:val="00235B68"/>
    <w:rsid w:val="00235BB7"/>
    <w:rsid w:val="00235CC8"/>
    <w:rsid w:val="00235D72"/>
    <w:rsid w:val="00235DBE"/>
    <w:rsid w:val="002360BA"/>
    <w:rsid w:val="002362A8"/>
    <w:rsid w:val="002362DA"/>
    <w:rsid w:val="0023644B"/>
    <w:rsid w:val="0023648B"/>
    <w:rsid w:val="00236529"/>
    <w:rsid w:val="002366DA"/>
    <w:rsid w:val="00236A5E"/>
    <w:rsid w:val="00236AB3"/>
    <w:rsid w:val="00236D94"/>
    <w:rsid w:val="002370B2"/>
    <w:rsid w:val="00237119"/>
    <w:rsid w:val="0023748E"/>
    <w:rsid w:val="00237913"/>
    <w:rsid w:val="00237A59"/>
    <w:rsid w:val="00237C02"/>
    <w:rsid w:val="00237D32"/>
    <w:rsid w:val="00237F2F"/>
    <w:rsid w:val="00237FA1"/>
    <w:rsid w:val="002400EF"/>
    <w:rsid w:val="002401B9"/>
    <w:rsid w:val="00240230"/>
    <w:rsid w:val="0024045D"/>
    <w:rsid w:val="00240694"/>
    <w:rsid w:val="00240939"/>
    <w:rsid w:val="0024094A"/>
    <w:rsid w:val="00240C44"/>
    <w:rsid w:val="00240D4D"/>
    <w:rsid w:val="00240EFC"/>
    <w:rsid w:val="00241048"/>
    <w:rsid w:val="002410A2"/>
    <w:rsid w:val="00241268"/>
    <w:rsid w:val="002418C1"/>
    <w:rsid w:val="00241906"/>
    <w:rsid w:val="00241B3C"/>
    <w:rsid w:val="00241C08"/>
    <w:rsid w:val="00241E5C"/>
    <w:rsid w:val="00241F59"/>
    <w:rsid w:val="00241F71"/>
    <w:rsid w:val="002421F7"/>
    <w:rsid w:val="0024230A"/>
    <w:rsid w:val="00242323"/>
    <w:rsid w:val="00242488"/>
    <w:rsid w:val="00242514"/>
    <w:rsid w:val="00242588"/>
    <w:rsid w:val="00242683"/>
    <w:rsid w:val="0024270B"/>
    <w:rsid w:val="00242785"/>
    <w:rsid w:val="002427A0"/>
    <w:rsid w:val="00242961"/>
    <w:rsid w:val="00242A75"/>
    <w:rsid w:val="00242AB7"/>
    <w:rsid w:val="00242ADE"/>
    <w:rsid w:val="00242D33"/>
    <w:rsid w:val="00243040"/>
    <w:rsid w:val="00243069"/>
    <w:rsid w:val="002432AE"/>
    <w:rsid w:val="00243386"/>
    <w:rsid w:val="00243473"/>
    <w:rsid w:val="00243791"/>
    <w:rsid w:val="00243854"/>
    <w:rsid w:val="0024395B"/>
    <w:rsid w:val="002439A2"/>
    <w:rsid w:val="00243A42"/>
    <w:rsid w:val="00243B14"/>
    <w:rsid w:val="00243B2D"/>
    <w:rsid w:val="00243B5E"/>
    <w:rsid w:val="00243BC8"/>
    <w:rsid w:val="00243CC3"/>
    <w:rsid w:val="00243EDC"/>
    <w:rsid w:val="00244120"/>
    <w:rsid w:val="0024417E"/>
    <w:rsid w:val="002441AB"/>
    <w:rsid w:val="002441ED"/>
    <w:rsid w:val="0024426A"/>
    <w:rsid w:val="00244461"/>
    <w:rsid w:val="002445F6"/>
    <w:rsid w:val="0024467B"/>
    <w:rsid w:val="00244FEC"/>
    <w:rsid w:val="00245054"/>
    <w:rsid w:val="0024527C"/>
    <w:rsid w:val="0024534B"/>
    <w:rsid w:val="002457E3"/>
    <w:rsid w:val="00245975"/>
    <w:rsid w:val="00245A26"/>
    <w:rsid w:val="00245A62"/>
    <w:rsid w:val="00245B03"/>
    <w:rsid w:val="00245B1C"/>
    <w:rsid w:val="00245BC3"/>
    <w:rsid w:val="00245D0A"/>
    <w:rsid w:val="00245DE6"/>
    <w:rsid w:val="002461EB"/>
    <w:rsid w:val="002462A9"/>
    <w:rsid w:val="00246A18"/>
    <w:rsid w:val="00246A52"/>
    <w:rsid w:val="00246AA4"/>
    <w:rsid w:val="00246B38"/>
    <w:rsid w:val="00246BB0"/>
    <w:rsid w:val="00246C66"/>
    <w:rsid w:val="00246C95"/>
    <w:rsid w:val="00246CEE"/>
    <w:rsid w:val="00246DD1"/>
    <w:rsid w:val="00247017"/>
    <w:rsid w:val="00247253"/>
    <w:rsid w:val="00247279"/>
    <w:rsid w:val="0024755A"/>
    <w:rsid w:val="0024779B"/>
    <w:rsid w:val="002478DD"/>
    <w:rsid w:val="002478EC"/>
    <w:rsid w:val="00247DED"/>
    <w:rsid w:val="002500C5"/>
    <w:rsid w:val="002500FD"/>
    <w:rsid w:val="002502A6"/>
    <w:rsid w:val="002503E8"/>
    <w:rsid w:val="00250E3F"/>
    <w:rsid w:val="00250F91"/>
    <w:rsid w:val="00251136"/>
    <w:rsid w:val="00251376"/>
    <w:rsid w:val="0025148D"/>
    <w:rsid w:val="00251697"/>
    <w:rsid w:val="002516E7"/>
    <w:rsid w:val="00251711"/>
    <w:rsid w:val="002517A9"/>
    <w:rsid w:val="002517D9"/>
    <w:rsid w:val="00251846"/>
    <w:rsid w:val="00251900"/>
    <w:rsid w:val="00251B39"/>
    <w:rsid w:val="002522CF"/>
    <w:rsid w:val="0025242C"/>
    <w:rsid w:val="00252816"/>
    <w:rsid w:val="0025297E"/>
    <w:rsid w:val="00252A12"/>
    <w:rsid w:val="00252E2E"/>
    <w:rsid w:val="00252EF8"/>
    <w:rsid w:val="0025307E"/>
    <w:rsid w:val="002531EF"/>
    <w:rsid w:val="002533FE"/>
    <w:rsid w:val="00253448"/>
    <w:rsid w:val="002535CC"/>
    <w:rsid w:val="002538EA"/>
    <w:rsid w:val="002539B7"/>
    <w:rsid w:val="00253D92"/>
    <w:rsid w:val="00253DAA"/>
    <w:rsid w:val="00254028"/>
    <w:rsid w:val="002540AD"/>
    <w:rsid w:val="0025410B"/>
    <w:rsid w:val="00254169"/>
    <w:rsid w:val="0025447D"/>
    <w:rsid w:val="002545D9"/>
    <w:rsid w:val="00254A0C"/>
    <w:rsid w:val="00254B32"/>
    <w:rsid w:val="00254B8E"/>
    <w:rsid w:val="00254C6A"/>
    <w:rsid w:val="00254D0F"/>
    <w:rsid w:val="00254D89"/>
    <w:rsid w:val="002555CB"/>
    <w:rsid w:val="002558EC"/>
    <w:rsid w:val="00255965"/>
    <w:rsid w:val="00255B4D"/>
    <w:rsid w:val="00255CFE"/>
    <w:rsid w:val="00255E05"/>
    <w:rsid w:val="00255E34"/>
    <w:rsid w:val="0025602C"/>
    <w:rsid w:val="002560F2"/>
    <w:rsid w:val="002563C6"/>
    <w:rsid w:val="002563DD"/>
    <w:rsid w:val="0025643B"/>
    <w:rsid w:val="002564FD"/>
    <w:rsid w:val="00256744"/>
    <w:rsid w:val="0025679E"/>
    <w:rsid w:val="002567AC"/>
    <w:rsid w:val="002569C4"/>
    <w:rsid w:val="00256A34"/>
    <w:rsid w:val="00256BD3"/>
    <w:rsid w:val="00256CD3"/>
    <w:rsid w:val="00256CF9"/>
    <w:rsid w:val="00256DD8"/>
    <w:rsid w:val="00256E88"/>
    <w:rsid w:val="00256EB6"/>
    <w:rsid w:val="00256FC4"/>
    <w:rsid w:val="0025719A"/>
    <w:rsid w:val="00257247"/>
    <w:rsid w:val="0025756A"/>
    <w:rsid w:val="002577DF"/>
    <w:rsid w:val="00257AC0"/>
    <w:rsid w:val="00257E38"/>
    <w:rsid w:val="002602BB"/>
    <w:rsid w:val="00260576"/>
    <w:rsid w:val="00260592"/>
    <w:rsid w:val="00260606"/>
    <w:rsid w:val="00260869"/>
    <w:rsid w:val="002608CF"/>
    <w:rsid w:val="00260B40"/>
    <w:rsid w:val="00260D5C"/>
    <w:rsid w:val="002610C2"/>
    <w:rsid w:val="00261237"/>
    <w:rsid w:val="00261303"/>
    <w:rsid w:val="00261455"/>
    <w:rsid w:val="0026196E"/>
    <w:rsid w:val="002619D1"/>
    <w:rsid w:val="00261A33"/>
    <w:rsid w:val="00261D5A"/>
    <w:rsid w:val="00261ED5"/>
    <w:rsid w:val="002620DF"/>
    <w:rsid w:val="0026210F"/>
    <w:rsid w:val="0026215A"/>
    <w:rsid w:val="0026216B"/>
    <w:rsid w:val="0026219D"/>
    <w:rsid w:val="002621C2"/>
    <w:rsid w:val="0026254C"/>
    <w:rsid w:val="0026270E"/>
    <w:rsid w:val="00262736"/>
    <w:rsid w:val="00262788"/>
    <w:rsid w:val="00262B8A"/>
    <w:rsid w:val="00262C9B"/>
    <w:rsid w:val="00262EA1"/>
    <w:rsid w:val="00262ED8"/>
    <w:rsid w:val="00262FF2"/>
    <w:rsid w:val="00263006"/>
    <w:rsid w:val="00263060"/>
    <w:rsid w:val="00263383"/>
    <w:rsid w:val="002636BA"/>
    <w:rsid w:val="00263739"/>
    <w:rsid w:val="0026388B"/>
    <w:rsid w:val="00263A28"/>
    <w:rsid w:val="00263C42"/>
    <w:rsid w:val="00263FB9"/>
    <w:rsid w:val="0026417F"/>
    <w:rsid w:val="002641C3"/>
    <w:rsid w:val="002641DB"/>
    <w:rsid w:val="002641FE"/>
    <w:rsid w:val="00264225"/>
    <w:rsid w:val="002642E7"/>
    <w:rsid w:val="00264402"/>
    <w:rsid w:val="00264613"/>
    <w:rsid w:val="00264A32"/>
    <w:rsid w:val="00265313"/>
    <w:rsid w:val="00265426"/>
    <w:rsid w:val="002654B4"/>
    <w:rsid w:val="00265763"/>
    <w:rsid w:val="002658E3"/>
    <w:rsid w:val="00265955"/>
    <w:rsid w:val="0026598F"/>
    <w:rsid w:val="00265E49"/>
    <w:rsid w:val="00266176"/>
    <w:rsid w:val="002661EF"/>
    <w:rsid w:val="0026620D"/>
    <w:rsid w:val="00266360"/>
    <w:rsid w:val="00266471"/>
    <w:rsid w:val="0026694F"/>
    <w:rsid w:val="00266970"/>
    <w:rsid w:val="00266D24"/>
    <w:rsid w:val="00266D2B"/>
    <w:rsid w:val="00266DD6"/>
    <w:rsid w:val="00266F1D"/>
    <w:rsid w:val="00267077"/>
    <w:rsid w:val="0026757C"/>
    <w:rsid w:val="00267769"/>
    <w:rsid w:val="00267811"/>
    <w:rsid w:val="002678E0"/>
    <w:rsid w:val="00267AFA"/>
    <w:rsid w:val="00267C2F"/>
    <w:rsid w:val="00267DDA"/>
    <w:rsid w:val="00267E10"/>
    <w:rsid w:val="00267F4A"/>
    <w:rsid w:val="00270127"/>
    <w:rsid w:val="00270139"/>
    <w:rsid w:val="002701B9"/>
    <w:rsid w:val="002701D6"/>
    <w:rsid w:val="00270292"/>
    <w:rsid w:val="0027050D"/>
    <w:rsid w:val="0027057B"/>
    <w:rsid w:val="002707B7"/>
    <w:rsid w:val="00270E2F"/>
    <w:rsid w:val="00270F83"/>
    <w:rsid w:val="00271172"/>
    <w:rsid w:val="002711B4"/>
    <w:rsid w:val="0027123E"/>
    <w:rsid w:val="00271480"/>
    <w:rsid w:val="00271661"/>
    <w:rsid w:val="002716E0"/>
    <w:rsid w:val="00271B2A"/>
    <w:rsid w:val="00271C56"/>
    <w:rsid w:val="00271D1A"/>
    <w:rsid w:val="0027218F"/>
    <w:rsid w:val="002721A0"/>
    <w:rsid w:val="002724AD"/>
    <w:rsid w:val="002724ED"/>
    <w:rsid w:val="002726F2"/>
    <w:rsid w:val="002727FF"/>
    <w:rsid w:val="0027281B"/>
    <w:rsid w:val="00272948"/>
    <w:rsid w:val="00272AE5"/>
    <w:rsid w:val="00272B69"/>
    <w:rsid w:val="00272CE1"/>
    <w:rsid w:val="00272DAE"/>
    <w:rsid w:val="00272DBF"/>
    <w:rsid w:val="00272E39"/>
    <w:rsid w:val="00272F75"/>
    <w:rsid w:val="00273000"/>
    <w:rsid w:val="00273107"/>
    <w:rsid w:val="002732E7"/>
    <w:rsid w:val="00273393"/>
    <w:rsid w:val="0027351B"/>
    <w:rsid w:val="0027356D"/>
    <w:rsid w:val="00273A3E"/>
    <w:rsid w:val="00273F62"/>
    <w:rsid w:val="00274001"/>
    <w:rsid w:val="00274089"/>
    <w:rsid w:val="00274128"/>
    <w:rsid w:val="0027441C"/>
    <w:rsid w:val="00274430"/>
    <w:rsid w:val="002745C2"/>
    <w:rsid w:val="0027460E"/>
    <w:rsid w:val="002747CC"/>
    <w:rsid w:val="00274B93"/>
    <w:rsid w:val="00274C7A"/>
    <w:rsid w:val="00274D7A"/>
    <w:rsid w:val="00274FCD"/>
    <w:rsid w:val="00275179"/>
    <w:rsid w:val="0027518A"/>
    <w:rsid w:val="002752CA"/>
    <w:rsid w:val="0027550A"/>
    <w:rsid w:val="002755E0"/>
    <w:rsid w:val="00275678"/>
    <w:rsid w:val="00275B15"/>
    <w:rsid w:val="00275BF2"/>
    <w:rsid w:val="00275C51"/>
    <w:rsid w:val="00275DDD"/>
    <w:rsid w:val="00275F38"/>
    <w:rsid w:val="00276108"/>
    <w:rsid w:val="002762AB"/>
    <w:rsid w:val="00276434"/>
    <w:rsid w:val="0027649B"/>
    <w:rsid w:val="002769A3"/>
    <w:rsid w:val="00276E53"/>
    <w:rsid w:val="00276EDA"/>
    <w:rsid w:val="002770B8"/>
    <w:rsid w:val="0027739F"/>
    <w:rsid w:val="0027752E"/>
    <w:rsid w:val="002776EA"/>
    <w:rsid w:val="00277D5B"/>
    <w:rsid w:val="00277E60"/>
    <w:rsid w:val="00277F5E"/>
    <w:rsid w:val="0028027C"/>
    <w:rsid w:val="002802BF"/>
    <w:rsid w:val="002802EF"/>
    <w:rsid w:val="00280322"/>
    <w:rsid w:val="00280390"/>
    <w:rsid w:val="00280679"/>
    <w:rsid w:val="00280691"/>
    <w:rsid w:val="002807C2"/>
    <w:rsid w:val="0028095B"/>
    <w:rsid w:val="00280A3C"/>
    <w:rsid w:val="00280BA7"/>
    <w:rsid w:val="00280F61"/>
    <w:rsid w:val="00280F92"/>
    <w:rsid w:val="0028133C"/>
    <w:rsid w:val="00281392"/>
    <w:rsid w:val="00281613"/>
    <w:rsid w:val="002816E7"/>
    <w:rsid w:val="00281873"/>
    <w:rsid w:val="002819F0"/>
    <w:rsid w:val="00281A3D"/>
    <w:rsid w:val="00281A6F"/>
    <w:rsid w:val="0028207D"/>
    <w:rsid w:val="002820F3"/>
    <w:rsid w:val="00282124"/>
    <w:rsid w:val="00282387"/>
    <w:rsid w:val="0028247B"/>
    <w:rsid w:val="0028247E"/>
    <w:rsid w:val="002824CF"/>
    <w:rsid w:val="00282DF7"/>
    <w:rsid w:val="00282E9D"/>
    <w:rsid w:val="00282FEF"/>
    <w:rsid w:val="002830FC"/>
    <w:rsid w:val="002834F0"/>
    <w:rsid w:val="00283656"/>
    <w:rsid w:val="00283883"/>
    <w:rsid w:val="00283CE9"/>
    <w:rsid w:val="00283DAB"/>
    <w:rsid w:val="00283E48"/>
    <w:rsid w:val="00283E50"/>
    <w:rsid w:val="00283EEC"/>
    <w:rsid w:val="00283FB7"/>
    <w:rsid w:val="002843D8"/>
    <w:rsid w:val="00284488"/>
    <w:rsid w:val="0028449E"/>
    <w:rsid w:val="0028452C"/>
    <w:rsid w:val="00284762"/>
    <w:rsid w:val="002847DF"/>
    <w:rsid w:val="0028490B"/>
    <w:rsid w:val="00284A40"/>
    <w:rsid w:val="00284A47"/>
    <w:rsid w:val="00284BCD"/>
    <w:rsid w:val="00284BE2"/>
    <w:rsid w:val="00284C04"/>
    <w:rsid w:val="00284C41"/>
    <w:rsid w:val="00284CA7"/>
    <w:rsid w:val="00284D25"/>
    <w:rsid w:val="00285134"/>
    <w:rsid w:val="002851E2"/>
    <w:rsid w:val="00285362"/>
    <w:rsid w:val="002854C5"/>
    <w:rsid w:val="002854EE"/>
    <w:rsid w:val="00285578"/>
    <w:rsid w:val="00285986"/>
    <w:rsid w:val="00285F58"/>
    <w:rsid w:val="00286086"/>
    <w:rsid w:val="00286136"/>
    <w:rsid w:val="0028614A"/>
    <w:rsid w:val="00286198"/>
    <w:rsid w:val="002861B8"/>
    <w:rsid w:val="0028647F"/>
    <w:rsid w:val="002865FD"/>
    <w:rsid w:val="002866A2"/>
    <w:rsid w:val="00286798"/>
    <w:rsid w:val="00286837"/>
    <w:rsid w:val="002868DD"/>
    <w:rsid w:val="00287159"/>
    <w:rsid w:val="002873B1"/>
    <w:rsid w:val="002874B9"/>
    <w:rsid w:val="0028754D"/>
    <w:rsid w:val="00287682"/>
    <w:rsid w:val="00287715"/>
    <w:rsid w:val="002878AF"/>
    <w:rsid w:val="00287938"/>
    <w:rsid w:val="00287A86"/>
    <w:rsid w:val="00287B14"/>
    <w:rsid w:val="00287C84"/>
    <w:rsid w:val="00287E7C"/>
    <w:rsid w:val="00287E9E"/>
    <w:rsid w:val="002900FD"/>
    <w:rsid w:val="0029015D"/>
    <w:rsid w:val="00290276"/>
    <w:rsid w:val="00290297"/>
    <w:rsid w:val="00290354"/>
    <w:rsid w:val="00290364"/>
    <w:rsid w:val="0029071B"/>
    <w:rsid w:val="0029089E"/>
    <w:rsid w:val="00290A1E"/>
    <w:rsid w:val="00290EC9"/>
    <w:rsid w:val="00290F55"/>
    <w:rsid w:val="00291022"/>
    <w:rsid w:val="00291249"/>
    <w:rsid w:val="0029130A"/>
    <w:rsid w:val="00291492"/>
    <w:rsid w:val="002914F5"/>
    <w:rsid w:val="002915A6"/>
    <w:rsid w:val="00291623"/>
    <w:rsid w:val="002919F5"/>
    <w:rsid w:val="00291ABC"/>
    <w:rsid w:val="00291E25"/>
    <w:rsid w:val="00291E77"/>
    <w:rsid w:val="00291EB0"/>
    <w:rsid w:val="00291F2E"/>
    <w:rsid w:val="0029205E"/>
    <w:rsid w:val="00292452"/>
    <w:rsid w:val="0029252A"/>
    <w:rsid w:val="002925B2"/>
    <w:rsid w:val="002927BA"/>
    <w:rsid w:val="002927E3"/>
    <w:rsid w:val="00292801"/>
    <w:rsid w:val="0029285E"/>
    <w:rsid w:val="00292998"/>
    <w:rsid w:val="00292D8B"/>
    <w:rsid w:val="00292EF4"/>
    <w:rsid w:val="00292F1C"/>
    <w:rsid w:val="0029317D"/>
    <w:rsid w:val="0029320B"/>
    <w:rsid w:val="00293313"/>
    <w:rsid w:val="00293424"/>
    <w:rsid w:val="002935D8"/>
    <w:rsid w:val="00293666"/>
    <w:rsid w:val="002937BB"/>
    <w:rsid w:val="0029388B"/>
    <w:rsid w:val="002939CC"/>
    <w:rsid w:val="00293D9A"/>
    <w:rsid w:val="00293ECA"/>
    <w:rsid w:val="00294098"/>
    <w:rsid w:val="00294131"/>
    <w:rsid w:val="00294199"/>
    <w:rsid w:val="00294306"/>
    <w:rsid w:val="002943B2"/>
    <w:rsid w:val="002949E3"/>
    <w:rsid w:val="00294B37"/>
    <w:rsid w:val="00294C46"/>
    <w:rsid w:val="00294C6A"/>
    <w:rsid w:val="00294D6B"/>
    <w:rsid w:val="00294FB2"/>
    <w:rsid w:val="00294FC8"/>
    <w:rsid w:val="00295196"/>
    <w:rsid w:val="002951D3"/>
    <w:rsid w:val="0029520F"/>
    <w:rsid w:val="0029522F"/>
    <w:rsid w:val="0029538C"/>
    <w:rsid w:val="002953CA"/>
    <w:rsid w:val="002957D9"/>
    <w:rsid w:val="002957FC"/>
    <w:rsid w:val="00295AAB"/>
    <w:rsid w:val="00295CCC"/>
    <w:rsid w:val="00295F29"/>
    <w:rsid w:val="00295FDA"/>
    <w:rsid w:val="002960EC"/>
    <w:rsid w:val="0029627D"/>
    <w:rsid w:val="00296385"/>
    <w:rsid w:val="002963A3"/>
    <w:rsid w:val="0029649B"/>
    <w:rsid w:val="00296775"/>
    <w:rsid w:val="00296B49"/>
    <w:rsid w:val="00297002"/>
    <w:rsid w:val="00297407"/>
    <w:rsid w:val="00297B45"/>
    <w:rsid w:val="00297B48"/>
    <w:rsid w:val="00297E80"/>
    <w:rsid w:val="00297EE7"/>
    <w:rsid w:val="00297EED"/>
    <w:rsid w:val="002A0038"/>
    <w:rsid w:val="002A00C9"/>
    <w:rsid w:val="002A01B5"/>
    <w:rsid w:val="002A04BE"/>
    <w:rsid w:val="002A05E8"/>
    <w:rsid w:val="002A0775"/>
    <w:rsid w:val="002A08A0"/>
    <w:rsid w:val="002A08DF"/>
    <w:rsid w:val="002A08E4"/>
    <w:rsid w:val="002A0959"/>
    <w:rsid w:val="002A0A31"/>
    <w:rsid w:val="002A0B99"/>
    <w:rsid w:val="002A0C61"/>
    <w:rsid w:val="002A0E30"/>
    <w:rsid w:val="002A0F1B"/>
    <w:rsid w:val="002A0FC5"/>
    <w:rsid w:val="002A161B"/>
    <w:rsid w:val="002A1620"/>
    <w:rsid w:val="002A16BC"/>
    <w:rsid w:val="002A17CF"/>
    <w:rsid w:val="002A191E"/>
    <w:rsid w:val="002A1A7E"/>
    <w:rsid w:val="002A1CE4"/>
    <w:rsid w:val="002A1D13"/>
    <w:rsid w:val="002A1E69"/>
    <w:rsid w:val="002A1F1F"/>
    <w:rsid w:val="002A2194"/>
    <w:rsid w:val="002A262A"/>
    <w:rsid w:val="002A2AF4"/>
    <w:rsid w:val="002A2DA0"/>
    <w:rsid w:val="002A2ED0"/>
    <w:rsid w:val="002A2F12"/>
    <w:rsid w:val="002A2F5F"/>
    <w:rsid w:val="002A3043"/>
    <w:rsid w:val="002A31F8"/>
    <w:rsid w:val="002A3266"/>
    <w:rsid w:val="002A346B"/>
    <w:rsid w:val="002A37E4"/>
    <w:rsid w:val="002A3874"/>
    <w:rsid w:val="002A3948"/>
    <w:rsid w:val="002A3EC9"/>
    <w:rsid w:val="002A3FFD"/>
    <w:rsid w:val="002A418E"/>
    <w:rsid w:val="002A42E0"/>
    <w:rsid w:val="002A4387"/>
    <w:rsid w:val="002A4654"/>
    <w:rsid w:val="002A4692"/>
    <w:rsid w:val="002A481F"/>
    <w:rsid w:val="002A4E59"/>
    <w:rsid w:val="002A4E85"/>
    <w:rsid w:val="002A50F9"/>
    <w:rsid w:val="002A51D8"/>
    <w:rsid w:val="002A51FB"/>
    <w:rsid w:val="002A57C7"/>
    <w:rsid w:val="002A5900"/>
    <w:rsid w:val="002A5C41"/>
    <w:rsid w:val="002A5C78"/>
    <w:rsid w:val="002A6045"/>
    <w:rsid w:val="002A60D4"/>
    <w:rsid w:val="002A6108"/>
    <w:rsid w:val="002A6144"/>
    <w:rsid w:val="002A61B0"/>
    <w:rsid w:val="002A61D2"/>
    <w:rsid w:val="002A627A"/>
    <w:rsid w:val="002A63A0"/>
    <w:rsid w:val="002A63E8"/>
    <w:rsid w:val="002A6538"/>
    <w:rsid w:val="002A673C"/>
    <w:rsid w:val="002A695D"/>
    <w:rsid w:val="002A6A6F"/>
    <w:rsid w:val="002A6B75"/>
    <w:rsid w:val="002A6C34"/>
    <w:rsid w:val="002A6DA0"/>
    <w:rsid w:val="002A7024"/>
    <w:rsid w:val="002A71C2"/>
    <w:rsid w:val="002A722F"/>
    <w:rsid w:val="002A72FB"/>
    <w:rsid w:val="002A7370"/>
    <w:rsid w:val="002A74CC"/>
    <w:rsid w:val="002A7584"/>
    <w:rsid w:val="002A75A4"/>
    <w:rsid w:val="002A7650"/>
    <w:rsid w:val="002A775B"/>
    <w:rsid w:val="002A796B"/>
    <w:rsid w:val="002A7ABB"/>
    <w:rsid w:val="002A7AFE"/>
    <w:rsid w:val="002A7B84"/>
    <w:rsid w:val="002A7C08"/>
    <w:rsid w:val="002B00B3"/>
    <w:rsid w:val="002B024A"/>
    <w:rsid w:val="002B0293"/>
    <w:rsid w:val="002B0421"/>
    <w:rsid w:val="002B0422"/>
    <w:rsid w:val="002B0521"/>
    <w:rsid w:val="002B067E"/>
    <w:rsid w:val="002B0870"/>
    <w:rsid w:val="002B08D2"/>
    <w:rsid w:val="002B0A9D"/>
    <w:rsid w:val="002B0E14"/>
    <w:rsid w:val="002B11C1"/>
    <w:rsid w:val="002B1412"/>
    <w:rsid w:val="002B1815"/>
    <w:rsid w:val="002B1CE6"/>
    <w:rsid w:val="002B1EB9"/>
    <w:rsid w:val="002B1EDD"/>
    <w:rsid w:val="002B21E7"/>
    <w:rsid w:val="002B23C3"/>
    <w:rsid w:val="002B23DC"/>
    <w:rsid w:val="002B252F"/>
    <w:rsid w:val="002B2724"/>
    <w:rsid w:val="002B2899"/>
    <w:rsid w:val="002B29E8"/>
    <w:rsid w:val="002B2B8A"/>
    <w:rsid w:val="002B2BD8"/>
    <w:rsid w:val="002B2CE7"/>
    <w:rsid w:val="002B3257"/>
    <w:rsid w:val="002B3448"/>
    <w:rsid w:val="002B346C"/>
    <w:rsid w:val="002B347D"/>
    <w:rsid w:val="002B35A1"/>
    <w:rsid w:val="002B36D4"/>
    <w:rsid w:val="002B3770"/>
    <w:rsid w:val="002B38E6"/>
    <w:rsid w:val="002B3A5C"/>
    <w:rsid w:val="002B3AF5"/>
    <w:rsid w:val="002B3CB2"/>
    <w:rsid w:val="002B3F04"/>
    <w:rsid w:val="002B4041"/>
    <w:rsid w:val="002B431A"/>
    <w:rsid w:val="002B4324"/>
    <w:rsid w:val="002B4394"/>
    <w:rsid w:val="002B4437"/>
    <w:rsid w:val="002B4469"/>
    <w:rsid w:val="002B44CF"/>
    <w:rsid w:val="002B4A6F"/>
    <w:rsid w:val="002B4CD0"/>
    <w:rsid w:val="002B4CE1"/>
    <w:rsid w:val="002B4CF7"/>
    <w:rsid w:val="002B4D71"/>
    <w:rsid w:val="002B4EA8"/>
    <w:rsid w:val="002B514D"/>
    <w:rsid w:val="002B51F9"/>
    <w:rsid w:val="002B54A9"/>
    <w:rsid w:val="002B54F7"/>
    <w:rsid w:val="002B5656"/>
    <w:rsid w:val="002B588D"/>
    <w:rsid w:val="002B589B"/>
    <w:rsid w:val="002B5A0A"/>
    <w:rsid w:val="002B5A23"/>
    <w:rsid w:val="002B5BF1"/>
    <w:rsid w:val="002B61CF"/>
    <w:rsid w:val="002B6947"/>
    <w:rsid w:val="002B6B35"/>
    <w:rsid w:val="002B6C6F"/>
    <w:rsid w:val="002B6F5F"/>
    <w:rsid w:val="002B713E"/>
    <w:rsid w:val="002B75BB"/>
    <w:rsid w:val="002C0114"/>
    <w:rsid w:val="002C0164"/>
    <w:rsid w:val="002C0170"/>
    <w:rsid w:val="002C035F"/>
    <w:rsid w:val="002C042D"/>
    <w:rsid w:val="002C050D"/>
    <w:rsid w:val="002C0525"/>
    <w:rsid w:val="002C064F"/>
    <w:rsid w:val="002C082E"/>
    <w:rsid w:val="002C0C94"/>
    <w:rsid w:val="002C0E18"/>
    <w:rsid w:val="002C1328"/>
    <w:rsid w:val="002C148B"/>
    <w:rsid w:val="002C14B1"/>
    <w:rsid w:val="002C1952"/>
    <w:rsid w:val="002C1DE1"/>
    <w:rsid w:val="002C1F70"/>
    <w:rsid w:val="002C20FE"/>
    <w:rsid w:val="002C2140"/>
    <w:rsid w:val="002C220D"/>
    <w:rsid w:val="002C238C"/>
    <w:rsid w:val="002C2555"/>
    <w:rsid w:val="002C25E4"/>
    <w:rsid w:val="002C2620"/>
    <w:rsid w:val="002C27C6"/>
    <w:rsid w:val="002C28EE"/>
    <w:rsid w:val="002C2A7B"/>
    <w:rsid w:val="002C2D03"/>
    <w:rsid w:val="002C2DF3"/>
    <w:rsid w:val="002C326B"/>
    <w:rsid w:val="002C34E3"/>
    <w:rsid w:val="002C3726"/>
    <w:rsid w:val="002C3886"/>
    <w:rsid w:val="002C404D"/>
    <w:rsid w:val="002C42B2"/>
    <w:rsid w:val="002C4382"/>
    <w:rsid w:val="002C45BA"/>
    <w:rsid w:val="002C462C"/>
    <w:rsid w:val="002C49DC"/>
    <w:rsid w:val="002C4BE9"/>
    <w:rsid w:val="002C4CD7"/>
    <w:rsid w:val="002C52E7"/>
    <w:rsid w:val="002C52EC"/>
    <w:rsid w:val="002C5309"/>
    <w:rsid w:val="002C53D5"/>
    <w:rsid w:val="002C5516"/>
    <w:rsid w:val="002C560A"/>
    <w:rsid w:val="002C6030"/>
    <w:rsid w:val="002C6166"/>
    <w:rsid w:val="002C628A"/>
    <w:rsid w:val="002C6551"/>
    <w:rsid w:val="002C657D"/>
    <w:rsid w:val="002C672D"/>
    <w:rsid w:val="002C6765"/>
    <w:rsid w:val="002C6A89"/>
    <w:rsid w:val="002C6BF8"/>
    <w:rsid w:val="002C6D53"/>
    <w:rsid w:val="002C6F52"/>
    <w:rsid w:val="002C700A"/>
    <w:rsid w:val="002C70CC"/>
    <w:rsid w:val="002C711C"/>
    <w:rsid w:val="002C71B7"/>
    <w:rsid w:val="002C71E0"/>
    <w:rsid w:val="002C7560"/>
    <w:rsid w:val="002C7645"/>
    <w:rsid w:val="002C793B"/>
    <w:rsid w:val="002C79E1"/>
    <w:rsid w:val="002C7D5C"/>
    <w:rsid w:val="002C7F30"/>
    <w:rsid w:val="002D00A7"/>
    <w:rsid w:val="002D0135"/>
    <w:rsid w:val="002D01E0"/>
    <w:rsid w:val="002D0333"/>
    <w:rsid w:val="002D0382"/>
    <w:rsid w:val="002D088B"/>
    <w:rsid w:val="002D08ED"/>
    <w:rsid w:val="002D0968"/>
    <w:rsid w:val="002D0C6F"/>
    <w:rsid w:val="002D0DFE"/>
    <w:rsid w:val="002D11A9"/>
    <w:rsid w:val="002D1345"/>
    <w:rsid w:val="002D158B"/>
    <w:rsid w:val="002D190E"/>
    <w:rsid w:val="002D1AC8"/>
    <w:rsid w:val="002D1C73"/>
    <w:rsid w:val="002D1CC3"/>
    <w:rsid w:val="002D1DC9"/>
    <w:rsid w:val="002D1E13"/>
    <w:rsid w:val="002D1FFA"/>
    <w:rsid w:val="002D2132"/>
    <w:rsid w:val="002D2153"/>
    <w:rsid w:val="002D215F"/>
    <w:rsid w:val="002D21B7"/>
    <w:rsid w:val="002D237D"/>
    <w:rsid w:val="002D24B5"/>
    <w:rsid w:val="002D25DC"/>
    <w:rsid w:val="002D25F7"/>
    <w:rsid w:val="002D26FF"/>
    <w:rsid w:val="002D283C"/>
    <w:rsid w:val="002D29E1"/>
    <w:rsid w:val="002D2A8C"/>
    <w:rsid w:val="002D2AAF"/>
    <w:rsid w:val="002D2AE8"/>
    <w:rsid w:val="002D2BFA"/>
    <w:rsid w:val="002D2F7D"/>
    <w:rsid w:val="002D3091"/>
    <w:rsid w:val="002D310F"/>
    <w:rsid w:val="002D32F0"/>
    <w:rsid w:val="002D3610"/>
    <w:rsid w:val="002D371D"/>
    <w:rsid w:val="002D386E"/>
    <w:rsid w:val="002D392D"/>
    <w:rsid w:val="002D39CD"/>
    <w:rsid w:val="002D3A09"/>
    <w:rsid w:val="002D3A2A"/>
    <w:rsid w:val="002D3A43"/>
    <w:rsid w:val="002D4159"/>
    <w:rsid w:val="002D423B"/>
    <w:rsid w:val="002D42D2"/>
    <w:rsid w:val="002D4318"/>
    <w:rsid w:val="002D4949"/>
    <w:rsid w:val="002D4CD0"/>
    <w:rsid w:val="002D4ED3"/>
    <w:rsid w:val="002D51AF"/>
    <w:rsid w:val="002D55C4"/>
    <w:rsid w:val="002D5612"/>
    <w:rsid w:val="002D5874"/>
    <w:rsid w:val="002D58B7"/>
    <w:rsid w:val="002D58C6"/>
    <w:rsid w:val="002D5B62"/>
    <w:rsid w:val="002D5C05"/>
    <w:rsid w:val="002D5C99"/>
    <w:rsid w:val="002D5CEA"/>
    <w:rsid w:val="002D5CFC"/>
    <w:rsid w:val="002D6161"/>
    <w:rsid w:val="002D61C1"/>
    <w:rsid w:val="002D645E"/>
    <w:rsid w:val="002D6523"/>
    <w:rsid w:val="002D65BB"/>
    <w:rsid w:val="002D668E"/>
    <w:rsid w:val="002D6754"/>
    <w:rsid w:val="002D688C"/>
    <w:rsid w:val="002D68C4"/>
    <w:rsid w:val="002D6AE2"/>
    <w:rsid w:val="002D6B1B"/>
    <w:rsid w:val="002D6BF5"/>
    <w:rsid w:val="002D6D96"/>
    <w:rsid w:val="002D71D3"/>
    <w:rsid w:val="002D72A7"/>
    <w:rsid w:val="002D72A8"/>
    <w:rsid w:val="002D72F5"/>
    <w:rsid w:val="002D755D"/>
    <w:rsid w:val="002D75C1"/>
    <w:rsid w:val="002D7758"/>
    <w:rsid w:val="002D791A"/>
    <w:rsid w:val="002D7A18"/>
    <w:rsid w:val="002D7A95"/>
    <w:rsid w:val="002D7B3C"/>
    <w:rsid w:val="002D7D65"/>
    <w:rsid w:val="002D7F21"/>
    <w:rsid w:val="002E0141"/>
    <w:rsid w:val="002E01C4"/>
    <w:rsid w:val="002E0665"/>
    <w:rsid w:val="002E0922"/>
    <w:rsid w:val="002E0B28"/>
    <w:rsid w:val="002E0D50"/>
    <w:rsid w:val="002E0E23"/>
    <w:rsid w:val="002E1317"/>
    <w:rsid w:val="002E158E"/>
    <w:rsid w:val="002E15FF"/>
    <w:rsid w:val="002E16ED"/>
    <w:rsid w:val="002E180F"/>
    <w:rsid w:val="002E1A2D"/>
    <w:rsid w:val="002E1D01"/>
    <w:rsid w:val="002E21AF"/>
    <w:rsid w:val="002E224C"/>
    <w:rsid w:val="002E235E"/>
    <w:rsid w:val="002E23D9"/>
    <w:rsid w:val="002E23F6"/>
    <w:rsid w:val="002E28E9"/>
    <w:rsid w:val="002E2D31"/>
    <w:rsid w:val="002E2D8C"/>
    <w:rsid w:val="002E2EA1"/>
    <w:rsid w:val="002E2EE8"/>
    <w:rsid w:val="002E3088"/>
    <w:rsid w:val="002E3224"/>
    <w:rsid w:val="002E331F"/>
    <w:rsid w:val="002E34CA"/>
    <w:rsid w:val="002E35A0"/>
    <w:rsid w:val="002E3826"/>
    <w:rsid w:val="002E3938"/>
    <w:rsid w:val="002E3A6F"/>
    <w:rsid w:val="002E3B70"/>
    <w:rsid w:val="002E3BD3"/>
    <w:rsid w:val="002E3D28"/>
    <w:rsid w:val="002E3FE3"/>
    <w:rsid w:val="002E402F"/>
    <w:rsid w:val="002E40CD"/>
    <w:rsid w:val="002E445D"/>
    <w:rsid w:val="002E44B7"/>
    <w:rsid w:val="002E4668"/>
    <w:rsid w:val="002E494A"/>
    <w:rsid w:val="002E5203"/>
    <w:rsid w:val="002E5282"/>
    <w:rsid w:val="002E548C"/>
    <w:rsid w:val="002E56E3"/>
    <w:rsid w:val="002E5765"/>
    <w:rsid w:val="002E5C2E"/>
    <w:rsid w:val="002E5D5B"/>
    <w:rsid w:val="002E5FAB"/>
    <w:rsid w:val="002E64C5"/>
    <w:rsid w:val="002E653D"/>
    <w:rsid w:val="002E6547"/>
    <w:rsid w:val="002E67A8"/>
    <w:rsid w:val="002E6988"/>
    <w:rsid w:val="002E6C47"/>
    <w:rsid w:val="002E6C65"/>
    <w:rsid w:val="002E6CC8"/>
    <w:rsid w:val="002E6DD5"/>
    <w:rsid w:val="002E6FCF"/>
    <w:rsid w:val="002E7109"/>
    <w:rsid w:val="002E7232"/>
    <w:rsid w:val="002E72D1"/>
    <w:rsid w:val="002E741A"/>
    <w:rsid w:val="002E746C"/>
    <w:rsid w:val="002E762D"/>
    <w:rsid w:val="002E78B7"/>
    <w:rsid w:val="002E798D"/>
    <w:rsid w:val="002E7B3E"/>
    <w:rsid w:val="002E7B8F"/>
    <w:rsid w:val="002E7ED7"/>
    <w:rsid w:val="002F000C"/>
    <w:rsid w:val="002F0286"/>
    <w:rsid w:val="002F0333"/>
    <w:rsid w:val="002F0442"/>
    <w:rsid w:val="002F04D9"/>
    <w:rsid w:val="002F05E3"/>
    <w:rsid w:val="002F07E8"/>
    <w:rsid w:val="002F0A40"/>
    <w:rsid w:val="002F0A6A"/>
    <w:rsid w:val="002F0C1F"/>
    <w:rsid w:val="002F0C8B"/>
    <w:rsid w:val="002F0D82"/>
    <w:rsid w:val="002F0E43"/>
    <w:rsid w:val="002F1051"/>
    <w:rsid w:val="002F11CF"/>
    <w:rsid w:val="002F11F1"/>
    <w:rsid w:val="002F1622"/>
    <w:rsid w:val="002F1732"/>
    <w:rsid w:val="002F17C3"/>
    <w:rsid w:val="002F1918"/>
    <w:rsid w:val="002F193C"/>
    <w:rsid w:val="002F1940"/>
    <w:rsid w:val="002F1DD5"/>
    <w:rsid w:val="002F2662"/>
    <w:rsid w:val="002F29B9"/>
    <w:rsid w:val="002F2CE3"/>
    <w:rsid w:val="002F2F31"/>
    <w:rsid w:val="002F32AA"/>
    <w:rsid w:val="002F36C0"/>
    <w:rsid w:val="002F37D0"/>
    <w:rsid w:val="002F39C0"/>
    <w:rsid w:val="002F3A33"/>
    <w:rsid w:val="002F3ACF"/>
    <w:rsid w:val="002F3B2C"/>
    <w:rsid w:val="002F3BB1"/>
    <w:rsid w:val="002F3CF8"/>
    <w:rsid w:val="002F3EA9"/>
    <w:rsid w:val="002F40D5"/>
    <w:rsid w:val="002F4294"/>
    <w:rsid w:val="002F43F3"/>
    <w:rsid w:val="002F472D"/>
    <w:rsid w:val="002F4B3B"/>
    <w:rsid w:val="002F51E2"/>
    <w:rsid w:val="002F520A"/>
    <w:rsid w:val="002F53AE"/>
    <w:rsid w:val="002F5495"/>
    <w:rsid w:val="002F5636"/>
    <w:rsid w:val="002F5921"/>
    <w:rsid w:val="002F599F"/>
    <w:rsid w:val="002F59C1"/>
    <w:rsid w:val="002F5AFC"/>
    <w:rsid w:val="002F5BFF"/>
    <w:rsid w:val="002F5FB0"/>
    <w:rsid w:val="002F5FFC"/>
    <w:rsid w:val="002F6118"/>
    <w:rsid w:val="002F6158"/>
    <w:rsid w:val="002F62F4"/>
    <w:rsid w:val="002F6346"/>
    <w:rsid w:val="002F63B7"/>
    <w:rsid w:val="002F63BD"/>
    <w:rsid w:val="002F647E"/>
    <w:rsid w:val="002F66E1"/>
    <w:rsid w:val="002F670B"/>
    <w:rsid w:val="002F6911"/>
    <w:rsid w:val="002F6A44"/>
    <w:rsid w:val="002F6C48"/>
    <w:rsid w:val="002F6C5A"/>
    <w:rsid w:val="002F6C9A"/>
    <w:rsid w:val="002F6F0B"/>
    <w:rsid w:val="002F6F95"/>
    <w:rsid w:val="002F7066"/>
    <w:rsid w:val="002F7262"/>
    <w:rsid w:val="002F731E"/>
    <w:rsid w:val="002F75FE"/>
    <w:rsid w:val="002F7729"/>
    <w:rsid w:val="002F7949"/>
    <w:rsid w:val="002F7C06"/>
    <w:rsid w:val="002F7D61"/>
    <w:rsid w:val="002F7E16"/>
    <w:rsid w:val="002F7F82"/>
    <w:rsid w:val="00300A7D"/>
    <w:rsid w:val="00300AE8"/>
    <w:rsid w:val="00300DC2"/>
    <w:rsid w:val="00300EC7"/>
    <w:rsid w:val="00301036"/>
    <w:rsid w:val="00301219"/>
    <w:rsid w:val="00301364"/>
    <w:rsid w:val="003013D4"/>
    <w:rsid w:val="003016DF"/>
    <w:rsid w:val="00301760"/>
    <w:rsid w:val="003017BC"/>
    <w:rsid w:val="003017F2"/>
    <w:rsid w:val="0030193E"/>
    <w:rsid w:val="003019AD"/>
    <w:rsid w:val="00301A1B"/>
    <w:rsid w:val="00301BA9"/>
    <w:rsid w:val="00301C83"/>
    <w:rsid w:val="00301D5F"/>
    <w:rsid w:val="00301FC6"/>
    <w:rsid w:val="0030203B"/>
    <w:rsid w:val="00302074"/>
    <w:rsid w:val="00302371"/>
    <w:rsid w:val="003024FA"/>
    <w:rsid w:val="003025D1"/>
    <w:rsid w:val="0030261F"/>
    <w:rsid w:val="0030270C"/>
    <w:rsid w:val="00302AB9"/>
    <w:rsid w:val="00302CB2"/>
    <w:rsid w:val="00302CDD"/>
    <w:rsid w:val="0030312E"/>
    <w:rsid w:val="003031D4"/>
    <w:rsid w:val="00303207"/>
    <w:rsid w:val="003033FE"/>
    <w:rsid w:val="003034D4"/>
    <w:rsid w:val="003036DE"/>
    <w:rsid w:val="0030377C"/>
    <w:rsid w:val="0030387F"/>
    <w:rsid w:val="00303AD5"/>
    <w:rsid w:val="00303FD2"/>
    <w:rsid w:val="00304264"/>
    <w:rsid w:val="0030437F"/>
    <w:rsid w:val="003043F4"/>
    <w:rsid w:val="003044FF"/>
    <w:rsid w:val="00304600"/>
    <w:rsid w:val="0030488E"/>
    <w:rsid w:val="00304981"/>
    <w:rsid w:val="003049D0"/>
    <w:rsid w:val="00304D14"/>
    <w:rsid w:val="00304DB3"/>
    <w:rsid w:val="00304E81"/>
    <w:rsid w:val="00304F16"/>
    <w:rsid w:val="00304FD0"/>
    <w:rsid w:val="003051EC"/>
    <w:rsid w:val="0030555A"/>
    <w:rsid w:val="00305603"/>
    <w:rsid w:val="00305751"/>
    <w:rsid w:val="0030576A"/>
    <w:rsid w:val="00305AB7"/>
    <w:rsid w:val="00305D01"/>
    <w:rsid w:val="00305D86"/>
    <w:rsid w:val="00305EAC"/>
    <w:rsid w:val="00306309"/>
    <w:rsid w:val="0030652F"/>
    <w:rsid w:val="0030671F"/>
    <w:rsid w:val="00306914"/>
    <w:rsid w:val="00306981"/>
    <w:rsid w:val="003069C2"/>
    <w:rsid w:val="00306A2D"/>
    <w:rsid w:val="00306CFB"/>
    <w:rsid w:val="00306D4B"/>
    <w:rsid w:val="00306DE6"/>
    <w:rsid w:val="00307110"/>
    <w:rsid w:val="003072F8"/>
    <w:rsid w:val="00307311"/>
    <w:rsid w:val="0030768A"/>
    <w:rsid w:val="003076DC"/>
    <w:rsid w:val="00307731"/>
    <w:rsid w:val="003079D1"/>
    <w:rsid w:val="00307AAC"/>
    <w:rsid w:val="003101A1"/>
    <w:rsid w:val="003104D2"/>
    <w:rsid w:val="00310A19"/>
    <w:rsid w:val="00310A4F"/>
    <w:rsid w:val="00310D75"/>
    <w:rsid w:val="00310F26"/>
    <w:rsid w:val="003110FD"/>
    <w:rsid w:val="00311111"/>
    <w:rsid w:val="00311152"/>
    <w:rsid w:val="0031128A"/>
    <w:rsid w:val="0031132B"/>
    <w:rsid w:val="003117B5"/>
    <w:rsid w:val="00311A51"/>
    <w:rsid w:val="00311B1D"/>
    <w:rsid w:val="00311C24"/>
    <w:rsid w:val="00311E72"/>
    <w:rsid w:val="0031236B"/>
    <w:rsid w:val="00312647"/>
    <w:rsid w:val="00312758"/>
    <w:rsid w:val="00312B5A"/>
    <w:rsid w:val="00312DD6"/>
    <w:rsid w:val="00312EE8"/>
    <w:rsid w:val="0031305D"/>
    <w:rsid w:val="003133D2"/>
    <w:rsid w:val="0031364B"/>
    <w:rsid w:val="003136B2"/>
    <w:rsid w:val="003137FB"/>
    <w:rsid w:val="00313803"/>
    <w:rsid w:val="0031384A"/>
    <w:rsid w:val="0031392F"/>
    <w:rsid w:val="003139C1"/>
    <w:rsid w:val="00313AB9"/>
    <w:rsid w:val="00313B50"/>
    <w:rsid w:val="00313B9B"/>
    <w:rsid w:val="00313D77"/>
    <w:rsid w:val="00313F79"/>
    <w:rsid w:val="00313F9F"/>
    <w:rsid w:val="0031408C"/>
    <w:rsid w:val="0031423E"/>
    <w:rsid w:val="00314A58"/>
    <w:rsid w:val="00314ABC"/>
    <w:rsid w:val="00315009"/>
    <w:rsid w:val="0031544B"/>
    <w:rsid w:val="003154BD"/>
    <w:rsid w:val="00315521"/>
    <w:rsid w:val="00315593"/>
    <w:rsid w:val="003156FB"/>
    <w:rsid w:val="00315A06"/>
    <w:rsid w:val="00315ACB"/>
    <w:rsid w:val="00315CD0"/>
    <w:rsid w:val="00315FED"/>
    <w:rsid w:val="00316339"/>
    <w:rsid w:val="00316502"/>
    <w:rsid w:val="00316709"/>
    <w:rsid w:val="00316A84"/>
    <w:rsid w:val="00316B64"/>
    <w:rsid w:val="00316E43"/>
    <w:rsid w:val="00316FBE"/>
    <w:rsid w:val="0031710C"/>
    <w:rsid w:val="00317320"/>
    <w:rsid w:val="00317458"/>
    <w:rsid w:val="00317567"/>
    <w:rsid w:val="00317662"/>
    <w:rsid w:val="0031769E"/>
    <w:rsid w:val="003176AA"/>
    <w:rsid w:val="00317785"/>
    <w:rsid w:val="003177E0"/>
    <w:rsid w:val="0031785C"/>
    <w:rsid w:val="00317ADF"/>
    <w:rsid w:val="00317C31"/>
    <w:rsid w:val="00317ECF"/>
    <w:rsid w:val="00317FD2"/>
    <w:rsid w:val="0032056E"/>
    <w:rsid w:val="00320BF4"/>
    <w:rsid w:val="00320EDE"/>
    <w:rsid w:val="003210EA"/>
    <w:rsid w:val="00321303"/>
    <w:rsid w:val="003215B9"/>
    <w:rsid w:val="00321620"/>
    <w:rsid w:val="00321664"/>
    <w:rsid w:val="0032166F"/>
    <w:rsid w:val="00321713"/>
    <w:rsid w:val="00321850"/>
    <w:rsid w:val="00321A62"/>
    <w:rsid w:val="00321A7E"/>
    <w:rsid w:val="00321AF2"/>
    <w:rsid w:val="00321BDC"/>
    <w:rsid w:val="00321D01"/>
    <w:rsid w:val="00321E59"/>
    <w:rsid w:val="00321F1B"/>
    <w:rsid w:val="003220A2"/>
    <w:rsid w:val="0032215A"/>
    <w:rsid w:val="00322221"/>
    <w:rsid w:val="00322224"/>
    <w:rsid w:val="00322232"/>
    <w:rsid w:val="003222D2"/>
    <w:rsid w:val="00322775"/>
    <w:rsid w:val="003227C9"/>
    <w:rsid w:val="003229E3"/>
    <w:rsid w:val="00322A0D"/>
    <w:rsid w:val="00322AEE"/>
    <w:rsid w:val="00322C91"/>
    <w:rsid w:val="00322DDD"/>
    <w:rsid w:val="00322E4F"/>
    <w:rsid w:val="00322E94"/>
    <w:rsid w:val="00322EDD"/>
    <w:rsid w:val="0032306A"/>
    <w:rsid w:val="0032327F"/>
    <w:rsid w:val="003232C7"/>
    <w:rsid w:val="003233F4"/>
    <w:rsid w:val="00323400"/>
    <w:rsid w:val="00323BC7"/>
    <w:rsid w:val="00323C7A"/>
    <w:rsid w:val="00323D2D"/>
    <w:rsid w:val="00323D8F"/>
    <w:rsid w:val="00323F12"/>
    <w:rsid w:val="00324060"/>
    <w:rsid w:val="003241E3"/>
    <w:rsid w:val="003243C6"/>
    <w:rsid w:val="003244B8"/>
    <w:rsid w:val="00324565"/>
    <w:rsid w:val="00324683"/>
    <w:rsid w:val="003246AD"/>
    <w:rsid w:val="003249DD"/>
    <w:rsid w:val="00324E07"/>
    <w:rsid w:val="0032530D"/>
    <w:rsid w:val="00325395"/>
    <w:rsid w:val="0032563B"/>
    <w:rsid w:val="0032566C"/>
    <w:rsid w:val="00325749"/>
    <w:rsid w:val="0032594A"/>
    <w:rsid w:val="00325AB5"/>
    <w:rsid w:val="00325AE6"/>
    <w:rsid w:val="00325D0E"/>
    <w:rsid w:val="00325F6D"/>
    <w:rsid w:val="00325FAB"/>
    <w:rsid w:val="00325FE9"/>
    <w:rsid w:val="003260F6"/>
    <w:rsid w:val="00326188"/>
    <w:rsid w:val="003265EE"/>
    <w:rsid w:val="003265F9"/>
    <w:rsid w:val="00326697"/>
    <w:rsid w:val="00326713"/>
    <w:rsid w:val="0032688D"/>
    <w:rsid w:val="00326932"/>
    <w:rsid w:val="00326989"/>
    <w:rsid w:val="00326DD2"/>
    <w:rsid w:val="00326FC7"/>
    <w:rsid w:val="00327038"/>
    <w:rsid w:val="003272AA"/>
    <w:rsid w:val="00327311"/>
    <w:rsid w:val="00327318"/>
    <w:rsid w:val="003273E8"/>
    <w:rsid w:val="00327596"/>
    <w:rsid w:val="003276E2"/>
    <w:rsid w:val="00327836"/>
    <w:rsid w:val="00327B1F"/>
    <w:rsid w:val="00327BD3"/>
    <w:rsid w:val="00327C3C"/>
    <w:rsid w:val="00327C9C"/>
    <w:rsid w:val="00327D49"/>
    <w:rsid w:val="00330007"/>
    <w:rsid w:val="0033003F"/>
    <w:rsid w:val="00330079"/>
    <w:rsid w:val="003301FC"/>
    <w:rsid w:val="003309E6"/>
    <w:rsid w:val="00330C46"/>
    <w:rsid w:val="00330DC1"/>
    <w:rsid w:val="00330ECC"/>
    <w:rsid w:val="0033111A"/>
    <w:rsid w:val="003314CB"/>
    <w:rsid w:val="003315A6"/>
    <w:rsid w:val="003319E4"/>
    <w:rsid w:val="003319F9"/>
    <w:rsid w:val="00331A62"/>
    <w:rsid w:val="00331E95"/>
    <w:rsid w:val="00331FD6"/>
    <w:rsid w:val="00332371"/>
    <w:rsid w:val="00332425"/>
    <w:rsid w:val="00332595"/>
    <w:rsid w:val="003325EA"/>
    <w:rsid w:val="003327BB"/>
    <w:rsid w:val="00332827"/>
    <w:rsid w:val="00332A49"/>
    <w:rsid w:val="00332AB0"/>
    <w:rsid w:val="00332B52"/>
    <w:rsid w:val="00332CC5"/>
    <w:rsid w:val="00332F43"/>
    <w:rsid w:val="003330B5"/>
    <w:rsid w:val="003331A9"/>
    <w:rsid w:val="00333241"/>
    <w:rsid w:val="00333439"/>
    <w:rsid w:val="003334FC"/>
    <w:rsid w:val="00333630"/>
    <w:rsid w:val="0033367D"/>
    <w:rsid w:val="003339E7"/>
    <w:rsid w:val="00333C3C"/>
    <w:rsid w:val="00333DD4"/>
    <w:rsid w:val="003343D0"/>
    <w:rsid w:val="0033451D"/>
    <w:rsid w:val="00334718"/>
    <w:rsid w:val="0033478F"/>
    <w:rsid w:val="0033486D"/>
    <w:rsid w:val="00334ABF"/>
    <w:rsid w:val="00334B8A"/>
    <w:rsid w:val="00334D66"/>
    <w:rsid w:val="00334DB2"/>
    <w:rsid w:val="00334E76"/>
    <w:rsid w:val="00334FFA"/>
    <w:rsid w:val="00335394"/>
    <w:rsid w:val="00335456"/>
    <w:rsid w:val="003354F0"/>
    <w:rsid w:val="003354F8"/>
    <w:rsid w:val="00335647"/>
    <w:rsid w:val="00335712"/>
    <w:rsid w:val="00335A83"/>
    <w:rsid w:val="00335ADE"/>
    <w:rsid w:val="00335E25"/>
    <w:rsid w:val="003360DB"/>
    <w:rsid w:val="00336271"/>
    <w:rsid w:val="00336315"/>
    <w:rsid w:val="00336632"/>
    <w:rsid w:val="0033668C"/>
    <w:rsid w:val="00336692"/>
    <w:rsid w:val="0033692B"/>
    <w:rsid w:val="00336CE3"/>
    <w:rsid w:val="0033714F"/>
    <w:rsid w:val="0033722D"/>
    <w:rsid w:val="00337250"/>
    <w:rsid w:val="003376DB"/>
    <w:rsid w:val="003376F4"/>
    <w:rsid w:val="003377B1"/>
    <w:rsid w:val="00337935"/>
    <w:rsid w:val="003379D7"/>
    <w:rsid w:val="00337A24"/>
    <w:rsid w:val="00337A96"/>
    <w:rsid w:val="00337BF6"/>
    <w:rsid w:val="00337E63"/>
    <w:rsid w:val="00340073"/>
    <w:rsid w:val="00340241"/>
    <w:rsid w:val="00340325"/>
    <w:rsid w:val="0034043C"/>
    <w:rsid w:val="00340580"/>
    <w:rsid w:val="0034075E"/>
    <w:rsid w:val="0034094A"/>
    <w:rsid w:val="0034096A"/>
    <w:rsid w:val="00340B45"/>
    <w:rsid w:val="00340D48"/>
    <w:rsid w:val="00340D92"/>
    <w:rsid w:val="00340EE0"/>
    <w:rsid w:val="00341BFF"/>
    <w:rsid w:val="0034211A"/>
    <w:rsid w:val="003421F5"/>
    <w:rsid w:val="003428ED"/>
    <w:rsid w:val="00342936"/>
    <w:rsid w:val="00342BB5"/>
    <w:rsid w:val="00342C8A"/>
    <w:rsid w:val="00342CA6"/>
    <w:rsid w:val="00343233"/>
    <w:rsid w:val="0034325E"/>
    <w:rsid w:val="00343388"/>
    <w:rsid w:val="00343397"/>
    <w:rsid w:val="003435E5"/>
    <w:rsid w:val="0034365D"/>
    <w:rsid w:val="003436F9"/>
    <w:rsid w:val="00343740"/>
    <w:rsid w:val="003437DD"/>
    <w:rsid w:val="00343A9B"/>
    <w:rsid w:val="00343AA1"/>
    <w:rsid w:val="00343C0E"/>
    <w:rsid w:val="00343E8F"/>
    <w:rsid w:val="003442C2"/>
    <w:rsid w:val="0034440D"/>
    <w:rsid w:val="00344789"/>
    <w:rsid w:val="00344923"/>
    <w:rsid w:val="0034492F"/>
    <w:rsid w:val="0034498C"/>
    <w:rsid w:val="00344B5F"/>
    <w:rsid w:val="00344EEE"/>
    <w:rsid w:val="0034502B"/>
    <w:rsid w:val="0034510C"/>
    <w:rsid w:val="0034520C"/>
    <w:rsid w:val="0034525F"/>
    <w:rsid w:val="00345786"/>
    <w:rsid w:val="00346223"/>
    <w:rsid w:val="0034645B"/>
    <w:rsid w:val="00346483"/>
    <w:rsid w:val="00346575"/>
    <w:rsid w:val="0034696D"/>
    <w:rsid w:val="00346A9C"/>
    <w:rsid w:val="00346AC8"/>
    <w:rsid w:val="0034706E"/>
    <w:rsid w:val="003471BC"/>
    <w:rsid w:val="00347232"/>
    <w:rsid w:val="00347283"/>
    <w:rsid w:val="00347409"/>
    <w:rsid w:val="0034757F"/>
    <w:rsid w:val="00347613"/>
    <w:rsid w:val="003479FF"/>
    <w:rsid w:val="00347AA2"/>
    <w:rsid w:val="00347C60"/>
    <w:rsid w:val="00347D32"/>
    <w:rsid w:val="00347E33"/>
    <w:rsid w:val="003503CF"/>
    <w:rsid w:val="0035053E"/>
    <w:rsid w:val="00350599"/>
    <w:rsid w:val="00350750"/>
    <w:rsid w:val="0035079A"/>
    <w:rsid w:val="003507FB"/>
    <w:rsid w:val="00350BC5"/>
    <w:rsid w:val="00350ED4"/>
    <w:rsid w:val="00350F3B"/>
    <w:rsid w:val="00350F6F"/>
    <w:rsid w:val="00350FDF"/>
    <w:rsid w:val="00351095"/>
    <w:rsid w:val="003511F6"/>
    <w:rsid w:val="00351426"/>
    <w:rsid w:val="00351C0E"/>
    <w:rsid w:val="00351DB9"/>
    <w:rsid w:val="00351E9D"/>
    <w:rsid w:val="00352096"/>
    <w:rsid w:val="00352102"/>
    <w:rsid w:val="00352116"/>
    <w:rsid w:val="00352225"/>
    <w:rsid w:val="00352320"/>
    <w:rsid w:val="00352363"/>
    <w:rsid w:val="003524C2"/>
    <w:rsid w:val="00352532"/>
    <w:rsid w:val="0035263D"/>
    <w:rsid w:val="0035283C"/>
    <w:rsid w:val="00352AAB"/>
    <w:rsid w:val="00352CA6"/>
    <w:rsid w:val="00352F54"/>
    <w:rsid w:val="0035345A"/>
    <w:rsid w:val="003534AB"/>
    <w:rsid w:val="00353520"/>
    <w:rsid w:val="00353953"/>
    <w:rsid w:val="00353A56"/>
    <w:rsid w:val="00353BEF"/>
    <w:rsid w:val="00353D3B"/>
    <w:rsid w:val="00353D77"/>
    <w:rsid w:val="00353F02"/>
    <w:rsid w:val="00353F81"/>
    <w:rsid w:val="003540CE"/>
    <w:rsid w:val="003542EE"/>
    <w:rsid w:val="00354373"/>
    <w:rsid w:val="0035494E"/>
    <w:rsid w:val="00354CC6"/>
    <w:rsid w:val="003551C0"/>
    <w:rsid w:val="00355323"/>
    <w:rsid w:val="003555EC"/>
    <w:rsid w:val="0035570D"/>
    <w:rsid w:val="003557EE"/>
    <w:rsid w:val="0035595F"/>
    <w:rsid w:val="00355A49"/>
    <w:rsid w:val="00355E88"/>
    <w:rsid w:val="00355E92"/>
    <w:rsid w:val="00355F97"/>
    <w:rsid w:val="00356096"/>
    <w:rsid w:val="003565DC"/>
    <w:rsid w:val="003566A0"/>
    <w:rsid w:val="003566B9"/>
    <w:rsid w:val="003566D4"/>
    <w:rsid w:val="003566F5"/>
    <w:rsid w:val="0035693D"/>
    <w:rsid w:val="003569EA"/>
    <w:rsid w:val="00356B2F"/>
    <w:rsid w:val="00356D71"/>
    <w:rsid w:val="00356F5A"/>
    <w:rsid w:val="00357020"/>
    <w:rsid w:val="00357083"/>
    <w:rsid w:val="00357168"/>
    <w:rsid w:val="00357305"/>
    <w:rsid w:val="003576FB"/>
    <w:rsid w:val="003577B3"/>
    <w:rsid w:val="00357A1C"/>
    <w:rsid w:val="00357A7D"/>
    <w:rsid w:val="00357B62"/>
    <w:rsid w:val="00357D73"/>
    <w:rsid w:val="00357F8C"/>
    <w:rsid w:val="00360229"/>
    <w:rsid w:val="00360398"/>
    <w:rsid w:val="00360439"/>
    <w:rsid w:val="00360617"/>
    <w:rsid w:val="00360671"/>
    <w:rsid w:val="003607C7"/>
    <w:rsid w:val="003607E9"/>
    <w:rsid w:val="00360838"/>
    <w:rsid w:val="00360AEC"/>
    <w:rsid w:val="00360BAD"/>
    <w:rsid w:val="00360CBB"/>
    <w:rsid w:val="00360D86"/>
    <w:rsid w:val="00360E71"/>
    <w:rsid w:val="00360EE3"/>
    <w:rsid w:val="0036132A"/>
    <w:rsid w:val="0036139F"/>
    <w:rsid w:val="00361444"/>
    <w:rsid w:val="0036167F"/>
    <w:rsid w:val="003616E0"/>
    <w:rsid w:val="00361B3C"/>
    <w:rsid w:val="00361BAA"/>
    <w:rsid w:val="00361C32"/>
    <w:rsid w:val="00361F7B"/>
    <w:rsid w:val="003620BD"/>
    <w:rsid w:val="003621B6"/>
    <w:rsid w:val="003624AB"/>
    <w:rsid w:val="00362759"/>
    <w:rsid w:val="003627C3"/>
    <w:rsid w:val="0036280C"/>
    <w:rsid w:val="00362876"/>
    <w:rsid w:val="00362B32"/>
    <w:rsid w:val="00362CE6"/>
    <w:rsid w:val="00362D35"/>
    <w:rsid w:val="00363057"/>
    <w:rsid w:val="003630F8"/>
    <w:rsid w:val="00363422"/>
    <w:rsid w:val="00363449"/>
    <w:rsid w:val="00363589"/>
    <w:rsid w:val="00363646"/>
    <w:rsid w:val="00363753"/>
    <w:rsid w:val="003638B5"/>
    <w:rsid w:val="003639B7"/>
    <w:rsid w:val="00363AB2"/>
    <w:rsid w:val="00363BBD"/>
    <w:rsid w:val="00363CB9"/>
    <w:rsid w:val="00363F39"/>
    <w:rsid w:val="00364091"/>
    <w:rsid w:val="0036429A"/>
    <w:rsid w:val="003642A0"/>
    <w:rsid w:val="00364343"/>
    <w:rsid w:val="0036474C"/>
    <w:rsid w:val="00364973"/>
    <w:rsid w:val="00364C35"/>
    <w:rsid w:val="00364C50"/>
    <w:rsid w:val="00364CF9"/>
    <w:rsid w:val="003651B3"/>
    <w:rsid w:val="0036539C"/>
    <w:rsid w:val="003655F1"/>
    <w:rsid w:val="003655FF"/>
    <w:rsid w:val="003656E6"/>
    <w:rsid w:val="00365CC2"/>
    <w:rsid w:val="00365E59"/>
    <w:rsid w:val="00365F5C"/>
    <w:rsid w:val="003662BE"/>
    <w:rsid w:val="00366331"/>
    <w:rsid w:val="003664C7"/>
    <w:rsid w:val="00366572"/>
    <w:rsid w:val="00366677"/>
    <w:rsid w:val="00366693"/>
    <w:rsid w:val="003668E5"/>
    <w:rsid w:val="00366A39"/>
    <w:rsid w:val="00366B85"/>
    <w:rsid w:val="00366BC5"/>
    <w:rsid w:val="00366BCF"/>
    <w:rsid w:val="00366F58"/>
    <w:rsid w:val="00366F6A"/>
    <w:rsid w:val="00366FE4"/>
    <w:rsid w:val="003670B4"/>
    <w:rsid w:val="00367A0D"/>
    <w:rsid w:val="00367AD4"/>
    <w:rsid w:val="00367C4C"/>
    <w:rsid w:val="00367DF5"/>
    <w:rsid w:val="00367F8A"/>
    <w:rsid w:val="00367FC1"/>
    <w:rsid w:val="003700D6"/>
    <w:rsid w:val="0037013A"/>
    <w:rsid w:val="003701A6"/>
    <w:rsid w:val="00370273"/>
    <w:rsid w:val="0037052D"/>
    <w:rsid w:val="00370579"/>
    <w:rsid w:val="003708DC"/>
    <w:rsid w:val="003709D1"/>
    <w:rsid w:val="00370C41"/>
    <w:rsid w:val="00370D3F"/>
    <w:rsid w:val="00370E9C"/>
    <w:rsid w:val="00370F42"/>
    <w:rsid w:val="003710C9"/>
    <w:rsid w:val="00371187"/>
    <w:rsid w:val="0037119C"/>
    <w:rsid w:val="003711A5"/>
    <w:rsid w:val="0037130B"/>
    <w:rsid w:val="00371321"/>
    <w:rsid w:val="003716CB"/>
    <w:rsid w:val="00371BDA"/>
    <w:rsid w:val="00371C33"/>
    <w:rsid w:val="00372168"/>
    <w:rsid w:val="00372287"/>
    <w:rsid w:val="00372384"/>
    <w:rsid w:val="00372427"/>
    <w:rsid w:val="0037262C"/>
    <w:rsid w:val="003727D1"/>
    <w:rsid w:val="00372EDF"/>
    <w:rsid w:val="00372F7E"/>
    <w:rsid w:val="003730B7"/>
    <w:rsid w:val="003735EF"/>
    <w:rsid w:val="003736C2"/>
    <w:rsid w:val="0037373E"/>
    <w:rsid w:val="00373819"/>
    <w:rsid w:val="003738FE"/>
    <w:rsid w:val="00373A58"/>
    <w:rsid w:val="00373C28"/>
    <w:rsid w:val="003740C9"/>
    <w:rsid w:val="00374220"/>
    <w:rsid w:val="0037429B"/>
    <w:rsid w:val="003743B5"/>
    <w:rsid w:val="003743B7"/>
    <w:rsid w:val="0037484F"/>
    <w:rsid w:val="00374B28"/>
    <w:rsid w:val="00374C3C"/>
    <w:rsid w:val="00374C7F"/>
    <w:rsid w:val="00374F72"/>
    <w:rsid w:val="00375102"/>
    <w:rsid w:val="003751C0"/>
    <w:rsid w:val="00375469"/>
    <w:rsid w:val="003757EB"/>
    <w:rsid w:val="003758A2"/>
    <w:rsid w:val="00375926"/>
    <w:rsid w:val="00375AA6"/>
    <w:rsid w:val="00375AC7"/>
    <w:rsid w:val="00375D5A"/>
    <w:rsid w:val="00375EC4"/>
    <w:rsid w:val="00375F8C"/>
    <w:rsid w:val="00376099"/>
    <w:rsid w:val="0037656E"/>
    <w:rsid w:val="0037666D"/>
    <w:rsid w:val="00376B9F"/>
    <w:rsid w:val="00376D7F"/>
    <w:rsid w:val="00376D96"/>
    <w:rsid w:val="00376DDC"/>
    <w:rsid w:val="00377190"/>
    <w:rsid w:val="003771FD"/>
    <w:rsid w:val="003772F0"/>
    <w:rsid w:val="003775FB"/>
    <w:rsid w:val="00377829"/>
    <w:rsid w:val="003779AA"/>
    <w:rsid w:val="00377AEF"/>
    <w:rsid w:val="00377E22"/>
    <w:rsid w:val="00377E91"/>
    <w:rsid w:val="003800F6"/>
    <w:rsid w:val="0038078A"/>
    <w:rsid w:val="00380866"/>
    <w:rsid w:val="0038097D"/>
    <w:rsid w:val="00380A68"/>
    <w:rsid w:val="00380D12"/>
    <w:rsid w:val="0038121C"/>
    <w:rsid w:val="0038144A"/>
    <w:rsid w:val="0038145B"/>
    <w:rsid w:val="0038170D"/>
    <w:rsid w:val="00381762"/>
    <w:rsid w:val="00381807"/>
    <w:rsid w:val="00381834"/>
    <w:rsid w:val="003818CE"/>
    <w:rsid w:val="00381E28"/>
    <w:rsid w:val="00381E5D"/>
    <w:rsid w:val="00381F62"/>
    <w:rsid w:val="00381F6A"/>
    <w:rsid w:val="0038201E"/>
    <w:rsid w:val="003821F8"/>
    <w:rsid w:val="0038278E"/>
    <w:rsid w:val="00382941"/>
    <w:rsid w:val="00382B93"/>
    <w:rsid w:val="00382BCD"/>
    <w:rsid w:val="00382BF9"/>
    <w:rsid w:val="0038308C"/>
    <w:rsid w:val="0038346A"/>
    <w:rsid w:val="003835C5"/>
    <w:rsid w:val="0038391C"/>
    <w:rsid w:val="00383B61"/>
    <w:rsid w:val="00383DB8"/>
    <w:rsid w:val="00383F05"/>
    <w:rsid w:val="00383F9B"/>
    <w:rsid w:val="00384060"/>
    <w:rsid w:val="003841ED"/>
    <w:rsid w:val="0038460C"/>
    <w:rsid w:val="0038461E"/>
    <w:rsid w:val="0038464B"/>
    <w:rsid w:val="00384751"/>
    <w:rsid w:val="003847AB"/>
    <w:rsid w:val="003848B5"/>
    <w:rsid w:val="00384918"/>
    <w:rsid w:val="0038492F"/>
    <w:rsid w:val="00384ACC"/>
    <w:rsid w:val="00384BAD"/>
    <w:rsid w:val="00384C80"/>
    <w:rsid w:val="00384E81"/>
    <w:rsid w:val="0038545F"/>
    <w:rsid w:val="00385595"/>
    <w:rsid w:val="0038564C"/>
    <w:rsid w:val="003856C0"/>
    <w:rsid w:val="00385712"/>
    <w:rsid w:val="00385809"/>
    <w:rsid w:val="003859B3"/>
    <w:rsid w:val="00385B2A"/>
    <w:rsid w:val="00385B31"/>
    <w:rsid w:val="00385D18"/>
    <w:rsid w:val="003861F3"/>
    <w:rsid w:val="003864FE"/>
    <w:rsid w:val="0038668D"/>
    <w:rsid w:val="00386852"/>
    <w:rsid w:val="003868BE"/>
    <w:rsid w:val="00386944"/>
    <w:rsid w:val="00386ECF"/>
    <w:rsid w:val="00386F0C"/>
    <w:rsid w:val="003870B0"/>
    <w:rsid w:val="003871BC"/>
    <w:rsid w:val="00387330"/>
    <w:rsid w:val="0038745C"/>
    <w:rsid w:val="00387B44"/>
    <w:rsid w:val="00387C45"/>
    <w:rsid w:val="00387C89"/>
    <w:rsid w:val="00387F5D"/>
    <w:rsid w:val="00387F6E"/>
    <w:rsid w:val="00387FB3"/>
    <w:rsid w:val="0039015E"/>
    <w:rsid w:val="00390381"/>
    <w:rsid w:val="00390934"/>
    <w:rsid w:val="00390B0E"/>
    <w:rsid w:val="00390DD6"/>
    <w:rsid w:val="00391067"/>
    <w:rsid w:val="00391289"/>
    <w:rsid w:val="003913C1"/>
    <w:rsid w:val="00391589"/>
    <w:rsid w:val="003915DD"/>
    <w:rsid w:val="00391624"/>
    <w:rsid w:val="003916D3"/>
    <w:rsid w:val="00391A71"/>
    <w:rsid w:val="00391B12"/>
    <w:rsid w:val="00391B99"/>
    <w:rsid w:val="00391BEE"/>
    <w:rsid w:val="00391F34"/>
    <w:rsid w:val="003924F8"/>
    <w:rsid w:val="0039272A"/>
    <w:rsid w:val="003927DF"/>
    <w:rsid w:val="00392B42"/>
    <w:rsid w:val="00392EA9"/>
    <w:rsid w:val="00392EE2"/>
    <w:rsid w:val="00393101"/>
    <w:rsid w:val="0039319B"/>
    <w:rsid w:val="00393316"/>
    <w:rsid w:val="0039333A"/>
    <w:rsid w:val="003933C2"/>
    <w:rsid w:val="0039358B"/>
    <w:rsid w:val="0039395E"/>
    <w:rsid w:val="0039399D"/>
    <w:rsid w:val="00393C26"/>
    <w:rsid w:val="00393C33"/>
    <w:rsid w:val="0039409A"/>
    <w:rsid w:val="00394530"/>
    <w:rsid w:val="0039471F"/>
    <w:rsid w:val="00394A9B"/>
    <w:rsid w:val="00394DE7"/>
    <w:rsid w:val="003951C5"/>
    <w:rsid w:val="00395248"/>
    <w:rsid w:val="00395268"/>
    <w:rsid w:val="00395616"/>
    <w:rsid w:val="00395806"/>
    <w:rsid w:val="00395851"/>
    <w:rsid w:val="00395AE1"/>
    <w:rsid w:val="00395E18"/>
    <w:rsid w:val="00395F7A"/>
    <w:rsid w:val="00396227"/>
    <w:rsid w:val="0039623E"/>
    <w:rsid w:val="003965C6"/>
    <w:rsid w:val="003965CE"/>
    <w:rsid w:val="0039670C"/>
    <w:rsid w:val="003968A6"/>
    <w:rsid w:val="003968D2"/>
    <w:rsid w:val="00396BAC"/>
    <w:rsid w:val="00396C6B"/>
    <w:rsid w:val="00396F67"/>
    <w:rsid w:val="0039720C"/>
    <w:rsid w:val="0039722E"/>
    <w:rsid w:val="003972BC"/>
    <w:rsid w:val="003972D8"/>
    <w:rsid w:val="00397581"/>
    <w:rsid w:val="003975FD"/>
    <w:rsid w:val="00397668"/>
    <w:rsid w:val="0039769D"/>
    <w:rsid w:val="0039779F"/>
    <w:rsid w:val="00397939"/>
    <w:rsid w:val="00397B54"/>
    <w:rsid w:val="00397B75"/>
    <w:rsid w:val="00397D61"/>
    <w:rsid w:val="00397D96"/>
    <w:rsid w:val="003A0080"/>
    <w:rsid w:val="003A02B8"/>
    <w:rsid w:val="003A03AC"/>
    <w:rsid w:val="003A053F"/>
    <w:rsid w:val="003A0597"/>
    <w:rsid w:val="003A06B3"/>
    <w:rsid w:val="003A0840"/>
    <w:rsid w:val="003A0999"/>
    <w:rsid w:val="003A0A8F"/>
    <w:rsid w:val="003A0C7A"/>
    <w:rsid w:val="003A0D17"/>
    <w:rsid w:val="003A10C9"/>
    <w:rsid w:val="003A12A8"/>
    <w:rsid w:val="003A13A0"/>
    <w:rsid w:val="003A13B7"/>
    <w:rsid w:val="003A1432"/>
    <w:rsid w:val="003A14A4"/>
    <w:rsid w:val="003A14B4"/>
    <w:rsid w:val="003A18DF"/>
    <w:rsid w:val="003A1A8C"/>
    <w:rsid w:val="003A1D51"/>
    <w:rsid w:val="003A201F"/>
    <w:rsid w:val="003A20B7"/>
    <w:rsid w:val="003A234F"/>
    <w:rsid w:val="003A2765"/>
    <w:rsid w:val="003A282D"/>
    <w:rsid w:val="003A2988"/>
    <w:rsid w:val="003A2C31"/>
    <w:rsid w:val="003A2F45"/>
    <w:rsid w:val="003A2FE7"/>
    <w:rsid w:val="003A308F"/>
    <w:rsid w:val="003A3102"/>
    <w:rsid w:val="003A3152"/>
    <w:rsid w:val="003A3221"/>
    <w:rsid w:val="003A3279"/>
    <w:rsid w:val="003A32A8"/>
    <w:rsid w:val="003A3465"/>
    <w:rsid w:val="003A377C"/>
    <w:rsid w:val="003A37CC"/>
    <w:rsid w:val="003A3954"/>
    <w:rsid w:val="003A4476"/>
    <w:rsid w:val="003A4591"/>
    <w:rsid w:val="003A4640"/>
    <w:rsid w:val="003A49BF"/>
    <w:rsid w:val="003A49D0"/>
    <w:rsid w:val="003A4B01"/>
    <w:rsid w:val="003A4D56"/>
    <w:rsid w:val="003A4E5D"/>
    <w:rsid w:val="003A4ECC"/>
    <w:rsid w:val="003A4F2A"/>
    <w:rsid w:val="003A5061"/>
    <w:rsid w:val="003A5724"/>
    <w:rsid w:val="003A579B"/>
    <w:rsid w:val="003A5900"/>
    <w:rsid w:val="003A591F"/>
    <w:rsid w:val="003A5C56"/>
    <w:rsid w:val="003A5D37"/>
    <w:rsid w:val="003A60BA"/>
    <w:rsid w:val="003A6917"/>
    <w:rsid w:val="003A6997"/>
    <w:rsid w:val="003A69B6"/>
    <w:rsid w:val="003A6B1D"/>
    <w:rsid w:val="003A7534"/>
    <w:rsid w:val="003A756A"/>
    <w:rsid w:val="003A7766"/>
    <w:rsid w:val="003A77AC"/>
    <w:rsid w:val="003A77E7"/>
    <w:rsid w:val="003A7931"/>
    <w:rsid w:val="003A793C"/>
    <w:rsid w:val="003A7987"/>
    <w:rsid w:val="003A79AC"/>
    <w:rsid w:val="003A7A03"/>
    <w:rsid w:val="003A7B87"/>
    <w:rsid w:val="003A7C61"/>
    <w:rsid w:val="003A7D4D"/>
    <w:rsid w:val="003A7DEA"/>
    <w:rsid w:val="003B0415"/>
    <w:rsid w:val="003B054F"/>
    <w:rsid w:val="003B06DF"/>
    <w:rsid w:val="003B0B2D"/>
    <w:rsid w:val="003B0D0F"/>
    <w:rsid w:val="003B0D77"/>
    <w:rsid w:val="003B0DB0"/>
    <w:rsid w:val="003B1082"/>
    <w:rsid w:val="003B12D3"/>
    <w:rsid w:val="003B134D"/>
    <w:rsid w:val="003B1396"/>
    <w:rsid w:val="003B167C"/>
    <w:rsid w:val="003B183B"/>
    <w:rsid w:val="003B1A9C"/>
    <w:rsid w:val="003B1CEE"/>
    <w:rsid w:val="003B1CF4"/>
    <w:rsid w:val="003B20AB"/>
    <w:rsid w:val="003B21DB"/>
    <w:rsid w:val="003B230A"/>
    <w:rsid w:val="003B2381"/>
    <w:rsid w:val="003B2845"/>
    <w:rsid w:val="003B2BE5"/>
    <w:rsid w:val="003B2CA7"/>
    <w:rsid w:val="003B2CE8"/>
    <w:rsid w:val="003B2D3F"/>
    <w:rsid w:val="003B2E71"/>
    <w:rsid w:val="003B343E"/>
    <w:rsid w:val="003B344D"/>
    <w:rsid w:val="003B3845"/>
    <w:rsid w:val="003B386D"/>
    <w:rsid w:val="003B3B75"/>
    <w:rsid w:val="003B3F39"/>
    <w:rsid w:val="003B3FDF"/>
    <w:rsid w:val="003B4013"/>
    <w:rsid w:val="003B41B5"/>
    <w:rsid w:val="003B41E3"/>
    <w:rsid w:val="003B4395"/>
    <w:rsid w:val="003B4545"/>
    <w:rsid w:val="003B4760"/>
    <w:rsid w:val="003B4BD8"/>
    <w:rsid w:val="003B4E6D"/>
    <w:rsid w:val="003B5092"/>
    <w:rsid w:val="003B5138"/>
    <w:rsid w:val="003B52E4"/>
    <w:rsid w:val="003B53BD"/>
    <w:rsid w:val="003B57A5"/>
    <w:rsid w:val="003B57C8"/>
    <w:rsid w:val="003B5855"/>
    <w:rsid w:val="003B58CA"/>
    <w:rsid w:val="003B58F2"/>
    <w:rsid w:val="003B5ECE"/>
    <w:rsid w:val="003B615A"/>
    <w:rsid w:val="003B61E5"/>
    <w:rsid w:val="003B63B6"/>
    <w:rsid w:val="003B63D7"/>
    <w:rsid w:val="003B64E2"/>
    <w:rsid w:val="003B67E4"/>
    <w:rsid w:val="003B6873"/>
    <w:rsid w:val="003B6975"/>
    <w:rsid w:val="003B69AB"/>
    <w:rsid w:val="003B6DEE"/>
    <w:rsid w:val="003B6E9D"/>
    <w:rsid w:val="003B7839"/>
    <w:rsid w:val="003B7892"/>
    <w:rsid w:val="003B79A4"/>
    <w:rsid w:val="003B79D6"/>
    <w:rsid w:val="003B7BBC"/>
    <w:rsid w:val="003B7F08"/>
    <w:rsid w:val="003B7F7F"/>
    <w:rsid w:val="003B7FBC"/>
    <w:rsid w:val="003B7FC0"/>
    <w:rsid w:val="003B7FD8"/>
    <w:rsid w:val="003C01C9"/>
    <w:rsid w:val="003C0223"/>
    <w:rsid w:val="003C05BE"/>
    <w:rsid w:val="003C0B84"/>
    <w:rsid w:val="003C0BB9"/>
    <w:rsid w:val="003C0C23"/>
    <w:rsid w:val="003C0E8B"/>
    <w:rsid w:val="003C1029"/>
    <w:rsid w:val="003C11F1"/>
    <w:rsid w:val="003C160B"/>
    <w:rsid w:val="003C18D2"/>
    <w:rsid w:val="003C194B"/>
    <w:rsid w:val="003C1B49"/>
    <w:rsid w:val="003C1DBA"/>
    <w:rsid w:val="003C1DBB"/>
    <w:rsid w:val="003C2720"/>
    <w:rsid w:val="003C2A48"/>
    <w:rsid w:val="003C2A71"/>
    <w:rsid w:val="003C2BF8"/>
    <w:rsid w:val="003C2D90"/>
    <w:rsid w:val="003C3051"/>
    <w:rsid w:val="003C30C8"/>
    <w:rsid w:val="003C3238"/>
    <w:rsid w:val="003C33A0"/>
    <w:rsid w:val="003C34B0"/>
    <w:rsid w:val="003C34EB"/>
    <w:rsid w:val="003C34F6"/>
    <w:rsid w:val="003C3515"/>
    <w:rsid w:val="003C3518"/>
    <w:rsid w:val="003C3753"/>
    <w:rsid w:val="003C3A80"/>
    <w:rsid w:val="003C3AC4"/>
    <w:rsid w:val="003C3D22"/>
    <w:rsid w:val="003C3DEE"/>
    <w:rsid w:val="003C3E0E"/>
    <w:rsid w:val="003C413E"/>
    <w:rsid w:val="003C44E5"/>
    <w:rsid w:val="003C453D"/>
    <w:rsid w:val="003C492E"/>
    <w:rsid w:val="003C4A39"/>
    <w:rsid w:val="003C4C17"/>
    <w:rsid w:val="003C4EFA"/>
    <w:rsid w:val="003C4F6A"/>
    <w:rsid w:val="003C5195"/>
    <w:rsid w:val="003C5426"/>
    <w:rsid w:val="003C556F"/>
    <w:rsid w:val="003C55B0"/>
    <w:rsid w:val="003C5628"/>
    <w:rsid w:val="003C5A04"/>
    <w:rsid w:val="003C5F8A"/>
    <w:rsid w:val="003C5FF2"/>
    <w:rsid w:val="003C62FA"/>
    <w:rsid w:val="003C633B"/>
    <w:rsid w:val="003C6475"/>
    <w:rsid w:val="003C6C4E"/>
    <w:rsid w:val="003C6C89"/>
    <w:rsid w:val="003C6CEF"/>
    <w:rsid w:val="003C70C4"/>
    <w:rsid w:val="003C70FD"/>
    <w:rsid w:val="003C71D8"/>
    <w:rsid w:val="003C744E"/>
    <w:rsid w:val="003C753A"/>
    <w:rsid w:val="003C7C32"/>
    <w:rsid w:val="003C7C5B"/>
    <w:rsid w:val="003C7ECD"/>
    <w:rsid w:val="003C7F5E"/>
    <w:rsid w:val="003C7F70"/>
    <w:rsid w:val="003C7FBD"/>
    <w:rsid w:val="003D0096"/>
    <w:rsid w:val="003D0126"/>
    <w:rsid w:val="003D012B"/>
    <w:rsid w:val="003D0270"/>
    <w:rsid w:val="003D0336"/>
    <w:rsid w:val="003D0489"/>
    <w:rsid w:val="003D05B2"/>
    <w:rsid w:val="003D05BF"/>
    <w:rsid w:val="003D072F"/>
    <w:rsid w:val="003D0801"/>
    <w:rsid w:val="003D0A31"/>
    <w:rsid w:val="003D0DB9"/>
    <w:rsid w:val="003D0DC1"/>
    <w:rsid w:val="003D1390"/>
    <w:rsid w:val="003D1661"/>
    <w:rsid w:val="003D16E9"/>
    <w:rsid w:val="003D1703"/>
    <w:rsid w:val="003D1751"/>
    <w:rsid w:val="003D1791"/>
    <w:rsid w:val="003D17C1"/>
    <w:rsid w:val="003D1A06"/>
    <w:rsid w:val="003D1CA5"/>
    <w:rsid w:val="003D1CBC"/>
    <w:rsid w:val="003D1CE3"/>
    <w:rsid w:val="003D1D35"/>
    <w:rsid w:val="003D1D67"/>
    <w:rsid w:val="003D20E8"/>
    <w:rsid w:val="003D259F"/>
    <w:rsid w:val="003D299A"/>
    <w:rsid w:val="003D29B4"/>
    <w:rsid w:val="003D2BDF"/>
    <w:rsid w:val="003D2BF1"/>
    <w:rsid w:val="003D2DA3"/>
    <w:rsid w:val="003D2FD8"/>
    <w:rsid w:val="003D2FFA"/>
    <w:rsid w:val="003D3121"/>
    <w:rsid w:val="003D3267"/>
    <w:rsid w:val="003D32C3"/>
    <w:rsid w:val="003D336A"/>
    <w:rsid w:val="003D3443"/>
    <w:rsid w:val="003D376A"/>
    <w:rsid w:val="003D388A"/>
    <w:rsid w:val="003D3A24"/>
    <w:rsid w:val="003D3B9C"/>
    <w:rsid w:val="003D3BB4"/>
    <w:rsid w:val="003D3D98"/>
    <w:rsid w:val="003D3E17"/>
    <w:rsid w:val="003D3F56"/>
    <w:rsid w:val="003D3F5E"/>
    <w:rsid w:val="003D3F98"/>
    <w:rsid w:val="003D3FC0"/>
    <w:rsid w:val="003D4079"/>
    <w:rsid w:val="003D466C"/>
    <w:rsid w:val="003D4772"/>
    <w:rsid w:val="003D47DA"/>
    <w:rsid w:val="003D4E3B"/>
    <w:rsid w:val="003D4FBE"/>
    <w:rsid w:val="003D50B8"/>
    <w:rsid w:val="003D51FD"/>
    <w:rsid w:val="003D5213"/>
    <w:rsid w:val="003D55FB"/>
    <w:rsid w:val="003D573C"/>
    <w:rsid w:val="003D5828"/>
    <w:rsid w:val="003D585E"/>
    <w:rsid w:val="003D58D2"/>
    <w:rsid w:val="003D5BE5"/>
    <w:rsid w:val="003D5BEC"/>
    <w:rsid w:val="003D5C99"/>
    <w:rsid w:val="003D5D20"/>
    <w:rsid w:val="003D6053"/>
    <w:rsid w:val="003D619D"/>
    <w:rsid w:val="003D64DD"/>
    <w:rsid w:val="003D650F"/>
    <w:rsid w:val="003D6A6A"/>
    <w:rsid w:val="003D6AB3"/>
    <w:rsid w:val="003D6D19"/>
    <w:rsid w:val="003D6F0D"/>
    <w:rsid w:val="003D6FDF"/>
    <w:rsid w:val="003D7055"/>
    <w:rsid w:val="003D7194"/>
    <w:rsid w:val="003D7694"/>
    <w:rsid w:val="003D76A2"/>
    <w:rsid w:val="003D78FF"/>
    <w:rsid w:val="003D7A6E"/>
    <w:rsid w:val="003D7CB0"/>
    <w:rsid w:val="003D7F13"/>
    <w:rsid w:val="003E000F"/>
    <w:rsid w:val="003E0021"/>
    <w:rsid w:val="003E0068"/>
    <w:rsid w:val="003E0569"/>
    <w:rsid w:val="003E09BC"/>
    <w:rsid w:val="003E09D9"/>
    <w:rsid w:val="003E0B0D"/>
    <w:rsid w:val="003E0B50"/>
    <w:rsid w:val="003E0B53"/>
    <w:rsid w:val="003E0D37"/>
    <w:rsid w:val="003E1044"/>
    <w:rsid w:val="003E10B0"/>
    <w:rsid w:val="003E115D"/>
    <w:rsid w:val="003E1527"/>
    <w:rsid w:val="003E1633"/>
    <w:rsid w:val="003E16FA"/>
    <w:rsid w:val="003E1764"/>
    <w:rsid w:val="003E1842"/>
    <w:rsid w:val="003E199B"/>
    <w:rsid w:val="003E19D0"/>
    <w:rsid w:val="003E1B16"/>
    <w:rsid w:val="003E1B7F"/>
    <w:rsid w:val="003E1D80"/>
    <w:rsid w:val="003E1EC5"/>
    <w:rsid w:val="003E1EE0"/>
    <w:rsid w:val="003E1F9E"/>
    <w:rsid w:val="003E220D"/>
    <w:rsid w:val="003E22C7"/>
    <w:rsid w:val="003E23D4"/>
    <w:rsid w:val="003E2446"/>
    <w:rsid w:val="003E24E2"/>
    <w:rsid w:val="003E27CD"/>
    <w:rsid w:val="003E2952"/>
    <w:rsid w:val="003E29BA"/>
    <w:rsid w:val="003E2AFB"/>
    <w:rsid w:val="003E2C18"/>
    <w:rsid w:val="003E2DA0"/>
    <w:rsid w:val="003E2DBA"/>
    <w:rsid w:val="003E2DBE"/>
    <w:rsid w:val="003E31A6"/>
    <w:rsid w:val="003E328D"/>
    <w:rsid w:val="003E353F"/>
    <w:rsid w:val="003E35C4"/>
    <w:rsid w:val="003E368A"/>
    <w:rsid w:val="003E3835"/>
    <w:rsid w:val="003E383A"/>
    <w:rsid w:val="003E3924"/>
    <w:rsid w:val="003E3994"/>
    <w:rsid w:val="003E3C39"/>
    <w:rsid w:val="003E3C86"/>
    <w:rsid w:val="003E3D14"/>
    <w:rsid w:val="003E3D49"/>
    <w:rsid w:val="003E3D53"/>
    <w:rsid w:val="003E3FD7"/>
    <w:rsid w:val="003E43B6"/>
    <w:rsid w:val="003E453E"/>
    <w:rsid w:val="003E458B"/>
    <w:rsid w:val="003E4695"/>
    <w:rsid w:val="003E47CB"/>
    <w:rsid w:val="003E48FB"/>
    <w:rsid w:val="003E4B91"/>
    <w:rsid w:val="003E4F28"/>
    <w:rsid w:val="003E512D"/>
    <w:rsid w:val="003E52CB"/>
    <w:rsid w:val="003E52EC"/>
    <w:rsid w:val="003E57BE"/>
    <w:rsid w:val="003E57E0"/>
    <w:rsid w:val="003E5919"/>
    <w:rsid w:val="003E5A88"/>
    <w:rsid w:val="003E5BA9"/>
    <w:rsid w:val="003E640E"/>
    <w:rsid w:val="003E67A4"/>
    <w:rsid w:val="003E67AA"/>
    <w:rsid w:val="003E6833"/>
    <w:rsid w:val="003E6A68"/>
    <w:rsid w:val="003E6CD0"/>
    <w:rsid w:val="003E6D97"/>
    <w:rsid w:val="003E6DF7"/>
    <w:rsid w:val="003E6E7C"/>
    <w:rsid w:val="003E6E7D"/>
    <w:rsid w:val="003E6FD1"/>
    <w:rsid w:val="003E7107"/>
    <w:rsid w:val="003E74F9"/>
    <w:rsid w:val="003E75EF"/>
    <w:rsid w:val="003E7735"/>
    <w:rsid w:val="003E773C"/>
    <w:rsid w:val="003E7893"/>
    <w:rsid w:val="003E7BCE"/>
    <w:rsid w:val="003E7BEB"/>
    <w:rsid w:val="003E7CEB"/>
    <w:rsid w:val="003E7F1F"/>
    <w:rsid w:val="003F03F6"/>
    <w:rsid w:val="003F0561"/>
    <w:rsid w:val="003F07EB"/>
    <w:rsid w:val="003F08B4"/>
    <w:rsid w:val="003F0949"/>
    <w:rsid w:val="003F0A90"/>
    <w:rsid w:val="003F0AC6"/>
    <w:rsid w:val="003F0BD4"/>
    <w:rsid w:val="003F0BD5"/>
    <w:rsid w:val="003F0E71"/>
    <w:rsid w:val="003F0EBA"/>
    <w:rsid w:val="003F0F15"/>
    <w:rsid w:val="003F1192"/>
    <w:rsid w:val="003F1202"/>
    <w:rsid w:val="003F1465"/>
    <w:rsid w:val="003F170E"/>
    <w:rsid w:val="003F1710"/>
    <w:rsid w:val="003F19C2"/>
    <w:rsid w:val="003F1A65"/>
    <w:rsid w:val="003F1D01"/>
    <w:rsid w:val="003F1D38"/>
    <w:rsid w:val="003F1F56"/>
    <w:rsid w:val="003F2387"/>
    <w:rsid w:val="003F23DC"/>
    <w:rsid w:val="003F260C"/>
    <w:rsid w:val="003F2658"/>
    <w:rsid w:val="003F2B61"/>
    <w:rsid w:val="003F2B7E"/>
    <w:rsid w:val="003F2CE9"/>
    <w:rsid w:val="003F2E64"/>
    <w:rsid w:val="003F2EFF"/>
    <w:rsid w:val="003F2F75"/>
    <w:rsid w:val="003F2F8B"/>
    <w:rsid w:val="003F31EC"/>
    <w:rsid w:val="003F3231"/>
    <w:rsid w:val="003F337A"/>
    <w:rsid w:val="003F35BE"/>
    <w:rsid w:val="003F3691"/>
    <w:rsid w:val="003F37F1"/>
    <w:rsid w:val="003F3B05"/>
    <w:rsid w:val="003F3B22"/>
    <w:rsid w:val="003F3CFB"/>
    <w:rsid w:val="003F3D14"/>
    <w:rsid w:val="003F42AA"/>
    <w:rsid w:val="003F4344"/>
    <w:rsid w:val="003F47CC"/>
    <w:rsid w:val="003F497F"/>
    <w:rsid w:val="003F4CAC"/>
    <w:rsid w:val="003F4DCC"/>
    <w:rsid w:val="003F4E91"/>
    <w:rsid w:val="003F4F93"/>
    <w:rsid w:val="003F51D3"/>
    <w:rsid w:val="003F5651"/>
    <w:rsid w:val="003F5784"/>
    <w:rsid w:val="003F5955"/>
    <w:rsid w:val="003F5D80"/>
    <w:rsid w:val="003F6342"/>
    <w:rsid w:val="003F66FA"/>
    <w:rsid w:val="003F6799"/>
    <w:rsid w:val="003F67A6"/>
    <w:rsid w:val="003F6A5C"/>
    <w:rsid w:val="003F6BA4"/>
    <w:rsid w:val="003F6DC1"/>
    <w:rsid w:val="003F6E3C"/>
    <w:rsid w:val="003F709E"/>
    <w:rsid w:val="003F7188"/>
    <w:rsid w:val="003F7277"/>
    <w:rsid w:val="003F72FF"/>
    <w:rsid w:val="003F7373"/>
    <w:rsid w:val="003F7A44"/>
    <w:rsid w:val="003F7A4C"/>
    <w:rsid w:val="003F7BC0"/>
    <w:rsid w:val="003F7CFD"/>
    <w:rsid w:val="003F7D20"/>
    <w:rsid w:val="003F7D4E"/>
    <w:rsid w:val="004000BC"/>
    <w:rsid w:val="004006D9"/>
    <w:rsid w:val="00400866"/>
    <w:rsid w:val="004008A2"/>
    <w:rsid w:val="00400B3F"/>
    <w:rsid w:val="00400BAA"/>
    <w:rsid w:val="00400D0C"/>
    <w:rsid w:val="00400E00"/>
    <w:rsid w:val="00400FD2"/>
    <w:rsid w:val="00401130"/>
    <w:rsid w:val="00401156"/>
    <w:rsid w:val="004014AE"/>
    <w:rsid w:val="0040152B"/>
    <w:rsid w:val="00401535"/>
    <w:rsid w:val="004015F3"/>
    <w:rsid w:val="00401893"/>
    <w:rsid w:val="00401ACB"/>
    <w:rsid w:val="00401BB5"/>
    <w:rsid w:val="00401C70"/>
    <w:rsid w:val="00401CB9"/>
    <w:rsid w:val="00401D38"/>
    <w:rsid w:val="00401D41"/>
    <w:rsid w:val="00401F16"/>
    <w:rsid w:val="00402266"/>
    <w:rsid w:val="0040261C"/>
    <w:rsid w:val="00402728"/>
    <w:rsid w:val="00402B9D"/>
    <w:rsid w:val="00402BC5"/>
    <w:rsid w:val="00402CF0"/>
    <w:rsid w:val="00402DE7"/>
    <w:rsid w:val="00402E5C"/>
    <w:rsid w:val="00403120"/>
    <w:rsid w:val="0040333E"/>
    <w:rsid w:val="0040345A"/>
    <w:rsid w:val="004034A1"/>
    <w:rsid w:val="00403682"/>
    <w:rsid w:val="00403687"/>
    <w:rsid w:val="004038F0"/>
    <w:rsid w:val="00403BEA"/>
    <w:rsid w:val="00403E35"/>
    <w:rsid w:val="00403E84"/>
    <w:rsid w:val="00403F87"/>
    <w:rsid w:val="00404086"/>
    <w:rsid w:val="00404189"/>
    <w:rsid w:val="0040424C"/>
    <w:rsid w:val="00404276"/>
    <w:rsid w:val="0040432C"/>
    <w:rsid w:val="004044C7"/>
    <w:rsid w:val="0040465F"/>
    <w:rsid w:val="00404C83"/>
    <w:rsid w:val="00404DB8"/>
    <w:rsid w:val="00404FDE"/>
    <w:rsid w:val="00405942"/>
    <w:rsid w:val="0040598C"/>
    <w:rsid w:val="004059FF"/>
    <w:rsid w:val="00405A85"/>
    <w:rsid w:val="00405AAB"/>
    <w:rsid w:val="00405C07"/>
    <w:rsid w:val="00405CA5"/>
    <w:rsid w:val="00405F6F"/>
    <w:rsid w:val="00406123"/>
    <w:rsid w:val="0040616B"/>
    <w:rsid w:val="0040626E"/>
    <w:rsid w:val="004063AA"/>
    <w:rsid w:val="0040661A"/>
    <w:rsid w:val="0040664A"/>
    <w:rsid w:val="004067EC"/>
    <w:rsid w:val="00406BE4"/>
    <w:rsid w:val="00406C44"/>
    <w:rsid w:val="00406C79"/>
    <w:rsid w:val="00406D4D"/>
    <w:rsid w:val="00406E35"/>
    <w:rsid w:val="00406FCF"/>
    <w:rsid w:val="0040710E"/>
    <w:rsid w:val="00407180"/>
    <w:rsid w:val="0040720B"/>
    <w:rsid w:val="0040744D"/>
    <w:rsid w:val="0040785F"/>
    <w:rsid w:val="00407934"/>
    <w:rsid w:val="00407A0C"/>
    <w:rsid w:val="00407B71"/>
    <w:rsid w:val="00407C5A"/>
    <w:rsid w:val="00407D39"/>
    <w:rsid w:val="00410567"/>
    <w:rsid w:val="00410772"/>
    <w:rsid w:val="00410A66"/>
    <w:rsid w:val="00410B6C"/>
    <w:rsid w:val="00410BBE"/>
    <w:rsid w:val="00410C38"/>
    <w:rsid w:val="00410D08"/>
    <w:rsid w:val="00410D6A"/>
    <w:rsid w:val="00411305"/>
    <w:rsid w:val="004114DE"/>
    <w:rsid w:val="00411511"/>
    <w:rsid w:val="00411523"/>
    <w:rsid w:val="004117B2"/>
    <w:rsid w:val="0041185C"/>
    <w:rsid w:val="00411CEA"/>
    <w:rsid w:val="004120D9"/>
    <w:rsid w:val="004123FE"/>
    <w:rsid w:val="0041241D"/>
    <w:rsid w:val="004124A2"/>
    <w:rsid w:val="00412648"/>
    <w:rsid w:val="004126B8"/>
    <w:rsid w:val="0041273B"/>
    <w:rsid w:val="00412B07"/>
    <w:rsid w:val="00412EBA"/>
    <w:rsid w:val="00412FD3"/>
    <w:rsid w:val="00412FEC"/>
    <w:rsid w:val="00413078"/>
    <w:rsid w:val="004130AD"/>
    <w:rsid w:val="0041319D"/>
    <w:rsid w:val="00413277"/>
    <w:rsid w:val="0041328C"/>
    <w:rsid w:val="00413707"/>
    <w:rsid w:val="004141D7"/>
    <w:rsid w:val="00414269"/>
    <w:rsid w:val="00414407"/>
    <w:rsid w:val="00414455"/>
    <w:rsid w:val="00414551"/>
    <w:rsid w:val="0041461D"/>
    <w:rsid w:val="0041471B"/>
    <w:rsid w:val="00414813"/>
    <w:rsid w:val="004148E5"/>
    <w:rsid w:val="004149B7"/>
    <w:rsid w:val="00414A9F"/>
    <w:rsid w:val="00414B27"/>
    <w:rsid w:val="00414B3D"/>
    <w:rsid w:val="00414B4E"/>
    <w:rsid w:val="00414C69"/>
    <w:rsid w:val="00414EAD"/>
    <w:rsid w:val="00414EFB"/>
    <w:rsid w:val="00415298"/>
    <w:rsid w:val="00415378"/>
    <w:rsid w:val="004154F5"/>
    <w:rsid w:val="004155C2"/>
    <w:rsid w:val="00415625"/>
    <w:rsid w:val="004158A1"/>
    <w:rsid w:val="004159F7"/>
    <w:rsid w:val="00415AC8"/>
    <w:rsid w:val="00415AD2"/>
    <w:rsid w:val="00415AED"/>
    <w:rsid w:val="00415B82"/>
    <w:rsid w:val="00415B88"/>
    <w:rsid w:val="00415EDE"/>
    <w:rsid w:val="0041609F"/>
    <w:rsid w:val="004161C6"/>
    <w:rsid w:val="004161EC"/>
    <w:rsid w:val="004163E8"/>
    <w:rsid w:val="0041646B"/>
    <w:rsid w:val="0041648E"/>
    <w:rsid w:val="00416514"/>
    <w:rsid w:val="00416569"/>
    <w:rsid w:val="0041689C"/>
    <w:rsid w:val="004168DA"/>
    <w:rsid w:val="00416A3E"/>
    <w:rsid w:val="00416B00"/>
    <w:rsid w:val="00416B3F"/>
    <w:rsid w:val="00416B5D"/>
    <w:rsid w:val="00416DC0"/>
    <w:rsid w:val="00416DF1"/>
    <w:rsid w:val="0041723A"/>
    <w:rsid w:val="0041741C"/>
    <w:rsid w:val="00417580"/>
    <w:rsid w:val="004175CE"/>
    <w:rsid w:val="004178D4"/>
    <w:rsid w:val="00417AD7"/>
    <w:rsid w:val="00417CC3"/>
    <w:rsid w:val="00417D5F"/>
    <w:rsid w:val="00417D62"/>
    <w:rsid w:val="00417ED3"/>
    <w:rsid w:val="00417EE1"/>
    <w:rsid w:val="00417FBA"/>
    <w:rsid w:val="00420052"/>
    <w:rsid w:val="0042026E"/>
    <w:rsid w:val="004202C3"/>
    <w:rsid w:val="004203EC"/>
    <w:rsid w:val="004204C2"/>
    <w:rsid w:val="0042051E"/>
    <w:rsid w:val="004205D7"/>
    <w:rsid w:val="0042089A"/>
    <w:rsid w:val="004209F4"/>
    <w:rsid w:val="00420B2B"/>
    <w:rsid w:val="00420CF1"/>
    <w:rsid w:val="00420DF1"/>
    <w:rsid w:val="00420E19"/>
    <w:rsid w:val="00421045"/>
    <w:rsid w:val="00421118"/>
    <w:rsid w:val="00421431"/>
    <w:rsid w:val="0042181B"/>
    <w:rsid w:val="00421904"/>
    <w:rsid w:val="00421967"/>
    <w:rsid w:val="00421989"/>
    <w:rsid w:val="00421A35"/>
    <w:rsid w:val="00421C3A"/>
    <w:rsid w:val="00421CF7"/>
    <w:rsid w:val="00421E58"/>
    <w:rsid w:val="00421FA6"/>
    <w:rsid w:val="00422118"/>
    <w:rsid w:val="00422132"/>
    <w:rsid w:val="00422281"/>
    <w:rsid w:val="004224DB"/>
    <w:rsid w:val="004225CE"/>
    <w:rsid w:val="00422727"/>
    <w:rsid w:val="0042282B"/>
    <w:rsid w:val="00422987"/>
    <w:rsid w:val="00422A5D"/>
    <w:rsid w:val="00422A68"/>
    <w:rsid w:val="00422AE1"/>
    <w:rsid w:val="0042300F"/>
    <w:rsid w:val="004230A5"/>
    <w:rsid w:val="0042319F"/>
    <w:rsid w:val="00423644"/>
    <w:rsid w:val="00423768"/>
    <w:rsid w:val="00423790"/>
    <w:rsid w:val="00423841"/>
    <w:rsid w:val="00423A29"/>
    <w:rsid w:val="00423A30"/>
    <w:rsid w:val="00423A6F"/>
    <w:rsid w:val="00423C2C"/>
    <w:rsid w:val="00423D2D"/>
    <w:rsid w:val="00423DF2"/>
    <w:rsid w:val="00423E2C"/>
    <w:rsid w:val="0042409F"/>
    <w:rsid w:val="00424386"/>
    <w:rsid w:val="004246B0"/>
    <w:rsid w:val="00424714"/>
    <w:rsid w:val="004247AD"/>
    <w:rsid w:val="004249EC"/>
    <w:rsid w:val="00424DB4"/>
    <w:rsid w:val="00424F27"/>
    <w:rsid w:val="0042508D"/>
    <w:rsid w:val="004251CB"/>
    <w:rsid w:val="00425382"/>
    <w:rsid w:val="004253DD"/>
    <w:rsid w:val="004254DD"/>
    <w:rsid w:val="00425787"/>
    <w:rsid w:val="004259EE"/>
    <w:rsid w:val="00425D71"/>
    <w:rsid w:val="00425E80"/>
    <w:rsid w:val="00425EF4"/>
    <w:rsid w:val="00426253"/>
    <w:rsid w:val="00426570"/>
    <w:rsid w:val="004266F1"/>
    <w:rsid w:val="0042676D"/>
    <w:rsid w:val="0042691C"/>
    <w:rsid w:val="00426C0A"/>
    <w:rsid w:val="00426DF3"/>
    <w:rsid w:val="004270D4"/>
    <w:rsid w:val="004271BA"/>
    <w:rsid w:val="004271E5"/>
    <w:rsid w:val="00427551"/>
    <w:rsid w:val="004276E0"/>
    <w:rsid w:val="004276FB"/>
    <w:rsid w:val="00427938"/>
    <w:rsid w:val="00427A30"/>
    <w:rsid w:val="00427AC6"/>
    <w:rsid w:val="00427C13"/>
    <w:rsid w:val="00427CAD"/>
    <w:rsid w:val="00427F7E"/>
    <w:rsid w:val="004300AB"/>
    <w:rsid w:val="0043010F"/>
    <w:rsid w:val="00430265"/>
    <w:rsid w:val="004303E9"/>
    <w:rsid w:val="004306BD"/>
    <w:rsid w:val="00430715"/>
    <w:rsid w:val="004307DB"/>
    <w:rsid w:val="0043097B"/>
    <w:rsid w:val="00430AAA"/>
    <w:rsid w:val="00430AFD"/>
    <w:rsid w:val="00430E53"/>
    <w:rsid w:val="00431021"/>
    <w:rsid w:val="004310F1"/>
    <w:rsid w:val="004313B4"/>
    <w:rsid w:val="00431431"/>
    <w:rsid w:val="00431731"/>
    <w:rsid w:val="00431965"/>
    <w:rsid w:val="00431A9B"/>
    <w:rsid w:val="00431E32"/>
    <w:rsid w:val="00432190"/>
    <w:rsid w:val="0043227E"/>
    <w:rsid w:val="00432295"/>
    <w:rsid w:val="0043250E"/>
    <w:rsid w:val="00432593"/>
    <w:rsid w:val="0043277E"/>
    <w:rsid w:val="00432798"/>
    <w:rsid w:val="004327AC"/>
    <w:rsid w:val="00432A7A"/>
    <w:rsid w:val="00432A95"/>
    <w:rsid w:val="00432AEC"/>
    <w:rsid w:val="00432E34"/>
    <w:rsid w:val="00432F50"/>
    <w:rsid w:val="00432FDF"/>
    <w:rsid w:val="004330F0"/>
    <w:rsid w:val="004331D2"/>
    <w:rsid w:val="00433295"/>
    <w:rsid w:val="004332DC"/>
    <w:rsid w:val="0043341B"/>
    <w:rsid w:val="004334A7"/>
    <w:rsid w:val="004335A5"/>
    <w:rsid w:val="00433702"/>
    <w:rsid w:val="00433777"/>
    <w:rsid w:val="00433993"/>
    <w:rsid w:val="00433A27"/>
    <w:rsid w:val="00433C83"/>
    <w:rsid w:val="00433D6D"/>
    <w:rsid w:val="00433E72"/>
    <w:rsid w:val="00433FB4"/>
    <w:rsid w:val="004340E5"/>
    <w:rsid w:val="004340EC"/>
    <w:rsid w:val="00434183"/>
    <w:rsid w:val="0043460D"/>
    <w:rsid w:val="004346C3"/>
    <w:rsid w:val="0043474F"/>
    <w:rsid w:val="0043476E"/>
    <w:rsid w:val="00434AA3"/>
    <w:rsid w:val="00434C03"/>
    <w:rsid w:val="00434E88"/>
    <w:rsid w:val="00434EF4"/>
    <w:rsid w:val="00434F79"/>
    <w:rsid w:val="0043539F"/>
    <w:rsid w:val="0043543F"/>
    <w:rsid w:val="00435502"/>
    <w:rsid w:val="00435661"/>
    <w:rsid w:val="004356F4"/>
    <w:rsid w:val="00435713"/>
    <w:rsid w:val="00435726"/>
    <w:rsid w:val="00435BB8"/>
    <w:rsid w:val="00435C1B"/>
    <w:rsid w:val="00435FC1"/>
    <w:rsid w:val="00436047"/>
    <w:rsid w:val="00436243"/>
    <w:rsid w:val="00436261"/>
    <w:rsid w:val="004362AE"/>
    <w:rsid w:val="0043633D"/>
    <w:rsid w:val="00436834"/>
    <w:rsid w:val="004368CA"/>
    <w:rsid w:val="00436958"/>
    <w:rsid w:val="0043698E"/>
    <w:rsid w:val="004369F1"/>
    <w:rsid w:val="00436A39"/>
    <w:rsid w:val="00436C18"/>
    <w:rsid w:val="00436D7B"/>
    <w:rsid w:val="00436F1D"/>
    <w:rsid w:val="00437079"/>
    <w:rsid w:val="00437826"/>
    <w:rsid w:val="004379A8"/>
    <w:rsid w:val="00437A94"/>
    <w:rsid w:val="00437B42"/>
    <w:rsid w:val="00437C28"/>
    <w:rsid w:val="00437C33"/>
    <w:rsid w:val="00437CF5"/>
    <w:rsid w:val="00437D39"/>
    <w:rsid w:val="00437D3A"/>
    <w:rsid w:val="00437DDD"/>
    <w:rsid w:val="00437F4D"/>
    <w:rsid w:val="00440379"/>
    <w:rsid w:val="00440393"/>
    <w:rsid w:val="00440462"/>
    <w:rsid w:val="00440524"/>
    <w:rsid w:val="00440568"/>
    <w:rsid w:val="004407BC"/>
    <w:rsid w:val="004409AE"/>
    <w:rsid w:val="00440F50"/>
    <w:rsid w:val="00440FDA"/>
    <w:rsid w:val="0044110D"/>
    <w:rsid w:val="004412BC"/>
    <w:rsid w:val="0044196F"/>
    <w:rsid w:val="004419B4"/>
    <w:rsid w:val="00441C20"/>
    <w:rsid w:val="0044216B"/>
    <w:rsid w:val="00442375"/>
    <w:rsid w:val="00442524"/>
    <w:rsid w:val="00442706"/>
    <w:rsid w:val="00442A08"/>
    <w:rsid w:val="00442AAD"/>
    <w:rsid w:val="00442B0B"/>
    <w:rsid w:val="00442CB5"/>
    <w:rsid w:val="00442D65"/>
    <w:rsid w:val="00442F53"/>
    <w:rsid w:val="004430BD"/>
    <w:rsid w:val="004430E2"/>
    <w:rsid w:val="004431E7"/>
    <w:rsid w:val="00443216"/>
    <w:rsid w:val="00443498"/>
    <w:rsid w:val="004434AD"/>
    <w:rsid w:val="004434E2"/>
    <w:rsid w:val="00443556"/>
    <w:rsid w:val="004439BA"/>
    <w:rsid w:val="004439D6"/>
    <w:rsid w:val="00443A2F"/>
    <w:rsid w:val="00443E5B"/>
    <w:rsid w:val="00444079"/>
    <w:rsid w:val="0044408A"/>
    <w:rsid w:val="004442F0"/>
    <w:rsid w:val="00444332"/>
    <w:rsid w:val="004444DF"/>
    <w:rsid w:val="00444625"/>
    <w:rsid w:val="00444629"/>
    <w:rsid w:val="0044480C"/>
    <w:rsid w:val="00444939"/>
    <w:rsid w:val="00444C04"/>
    <w:rsid w:val="00445034"/>
    <w:rsid w:val="0044568E"/>
    <w:rsid w:val="004456D0"/>
    <w:rsid w:val="004459A2"/>
    <w:rsid w:val="004459D5"/>
    <w:rsid w:val="00445ACC"/>
    <w:rsid w:val="00445CF7"/>
    <w:rsid w:val="00445DF5"/>
    <w:rsid w:val="004460C2"/>
    <w:rsid w:val="0044613B"/>
    <w:rsid w:val="00446504"/>
    <w:rsid w:val="0044652A"/>
    <w:rsid w:val="00446614"/>
    <w:rsid w:val="004466E5"/>
    <w:rsid w:val="004467AF"/>
    <w:rsid w:val="00446888"/>
    <w:rsid w:val="00446D23"/>
    <w:rsid w:val="00446D5B"/>
    <w:rsid w:val="00447637"/>
    <w:rsid w:val="004477C1"/>
    <w:rsid w:val="00447A66"/>
    <w:rsid w:val="00447B35"/>
    <w:rsid w:val="00447D8E"/>
    <w:rsid w:val="00447E01"/>
    <w:rsid w:val="00447E04"/>
    <w:rsid w:val="0045045C"/>
    <w:rsid w:val="004505E3"/>
    <w:rsid w:val="004506B0"/>
    <w:rsid w:val="00450900"/>
    <w:rsid w:val="00450A2E"/>
    <w:rsid w:val="00450B9C"/>
    <w:rsid w:val="00450BD1"/>
    <w:rsid w:val="00450C1F"/>
    <w:rsid w:val="00450FBE"/>
    <w:rsid w:val="00451283"/>
    <w:rsid w:val="0045135A"/>
    <w:rsid w:val="004513B6"/>
    <w:rsid w:val="0045154A"/>
    <w:rsid w:val="00451631"/>
    <w:rsid w:val="00451640"/>
    <w:rsid w:val="00451737"/>
    <w:rsid w:val="004517CA"/>
    <w:rsid w:val="0045181C"/>
    <w:rsid w:val="00451A04"/>
    <w:rsid w:val="00451D0C"/>
    <w:rsid w:val="00451F8C"/>
    <w:rsid w:val="0045216C"/>
    <w:rsid w:val="004521C5"/>
    <w:rsid w:val="00452259"/>
    <w:rsid w:val="0045235D"/>
    <w:rsid w:val="0045293C"/>
    <w:rsid w:val="00452CBF"/>
    <w:rsid w:val="00452D5C"/>
    <w:rsid w:val="004532F2"/>
    <w:rsid w:val="00453378"/>
    <w:rsid w:val="004533E5"/>
    <w:rsid w:val="00453434"/>
    <w:rsid w:val="004539E9"/>
    <w:rsid w:val="00453D87"/>
    <w:rsid w:val="00453E57"/>
    <w:rsid w:val="00453F20"/>
    <w:rsid w:val="00453F4B"/>
    <w:rsid w:val="0045434B"/>
    <w:rsid w:val="004547EC"/>
    <w:rsid w:val="00454830"/>
    <w:rsid w:val="00454A4C"/>
    <w:rsid w:val="00454B2F"/>
    <w:rsid w:val="00454BCF"/>
    <w:rsid w:val="00454BDE"/>
    <w:rsid w:val="00454E3B"/>
    <w:rsid w:val="00454E71"/>
    <w:rsid w:val="00454F9A"/>
    <w:rsid w:val="004551AF"/>
    <w:rsid w:val="004552C6"/>
    <w:rsid w:val="00455427"/>
    <w:rsid w:val="00455610"/>
    <w:rsid w:val="00455629"/>
    <w:rsid w:val="004556F5"/>
    <w:rsid w:val="004557C6"/>
    <w:rsid w:val="00455D2B"/>
    <w:rsid w:val="00455EED"/>
    <w:rsid w:val="00455F82"/>
    <w:rsid w:val="0045629A"/>
    <w:rsid w:val="00456409"/>
    <w:rsid w:val="0045650D"/>
    <w:rsid w:val="0045670E"/>
    <w:rsid w:val="004567C9"/>
    <w:rsid w:val="00456831"/>
    <w:rsid w:val="0045685B"/>
    <w:rsid w:val="00456A49"/>
    <w:rsid w:val="00456ABD"/>
    <w:rsid w:val="00456C25"/>
    <w:rsid w:val="00456C69"/>
    <w:rsid w:val="00456C91"/>
    <w:rsid w:val="00456E7B"/>
    <w:rsid w:val="00456FA4"/>
    <w:rsid w:val="00457140"/>
    <w:rsid w:val="004571E1"/>
    <w:rsid w:val="0045727E"/>
    <w:rsid w:val="0045739B"/>
    <w:rsid w:val="00457416"/>
    <w:rsid w:val="0045747F"/>
    <w:rsid w:val="004574A5"/>
    <w:rsid w:val="004576C8"/>
    <w:rsid w:val="00457711"/>
    <w:rsid w:val="004578F7"/>
    <w:rsid w:val="00457A5A"/>
    <w:rsid w:val="00457CFA"/>
    <w:rsid w:val="00457EEE"/>
    <w:rsid w:val="004602BC"/>
    <w:rsid w:val="004602C8"/>
    <w:rsid w:val="00460327"/>
    <w:rsid w:val="004605CF"/>
    <w:rsid w:val="0046060D"/>
    <w:rsid w:val="004608F1"/>
    <w:rsid w:val="00460AC4"/>
    <w:rsid w:val="00460E82"/>
    <w:rsid w:val="00460EF7"/>
    <w:rsid w:val="00460F40"/>
    <w:rsid w:val="00461332"/>
    <w:rsid w:val="0046174D"/>
    <w:rsid w:val="0046188C"/>
    <w:rsid w:val="00461944"/>
    <w:rsid w:val="00461DEB"/>
    <w:rsid w:val="00461E03"/>
    <w:rsid w:val="00461E9D"/>
    <w:rsid w:val="00461FED"/>
    <w:rsid w:val="0046210A"/>
    <w:rsid w:val="0046226D"/>
    <w:rsid w:val="004622E6"/>
    <w:rsid w:val="00462316"/>
    <w:rsid w:val="00462483"/>
    <w:rsid w:val="00462887"/>
    <w:rsid w:val="004628A4"/>
    <w:rsid w:val="004628D9"/>
    <w:rsid w:val="00462C33"/>
    <w:rsid w:val="00462D4F"/>
    <w:rsid w:val="00462DE2"/>
    <w:rsid w:val="004631BD"/>
    <w:rsid w:val="00463478"/>
    <w:rsid w:val="0046353D"/>
    <w:rsid w:val="004635EF"/>
    <w:rsid w:val="0046366D"/>
    <w:rsid w:val="00463721"/>
    <w:rsid w:val="00463A48"/>
    <w:rsid w:val="004641ED"/>
    <w:rsid w:val="00464B14"/>
    <w:rsid w:val="00464B78"/>
    <w:rsid w:val="00464C82"/>
    <w:rsid w:val="00464F5C"/>
    <w:rsid w:val="00465176"/>
    <w:rsid w:val="004651A7"/>
    <w:rsid w:val="004651FA"/>
    <w:rsid w:val="004652F3"/>
    <w:rsid w:val="004654B1"/>
    <w:rsid w:val="00465584"/>
    <w:rsid w:val="00465748"/>
    <w:rsid w:val="00465861"/>
    <w:rsid w:val="00465926"/>
    <w:rsid w:val="00465ADD"/>
    <w:rsid w:val="00465B75"/>
    <w:rsid w:val="00465EAF"/>
    <w:rsid w:val="004660A4"/>
    <w:rsid w:val="00466136"/>
    <w:rsid w:val="004661A1"/>
    <w:rsid w:val="00466300"/>
    <w:rsid w:val="00466476"/>
    <w:rsid w:val="004664BD"/>
    <w:rsid w:val="0046681A"/>
    <w:rsid w:val="00466826"/>
    <w:rsid w:val="004668C5"/>
    <w:rsid w:val="00466A8A"/>
    <w:rsid w:val="00466C32"/>
    <w:rsid w:val="00466CCB"/>
    <w:rsid w:val="00466DB4"/>
    <w:rsid w:val="0046701E"/>
    <w:rsid w:val="00467031"/>
    <w:rsid w:val="00467047"/>
    <w:rsid w:val="0046715D"/>
    <w:rsid w:val="004675C3"/>
    <w:rsid w:val="00467621"/>
    <w:rsid w:val="004676F5"/>
    <w:rsid w:val="00467737"/>
    <w:rsid w:val="00467854"/>
    <w:rsid w:val="0046794A"/>
    <w:rsid w:val="00467B82"/>
    <w:rsid w:val="00467D89"/>
    <w:rsid w:val="00470496"/>
    <w:rsid w:val="00470631"/>
    <w:rsid w:val="0047080F"/>
    <w:rsid w:val="0047089D"/>
    <w:rsid w:val="00470903"/>
    <w:rsid w:val="00470C58"/>
    <w:rsid w:val="00470D11"/>
    <w:rsid w:val="00470D2F"/>
    <w:rsid w:val="00470F31"/>
    <w:rsid w:val="00471854"/>
    <w:rsid w:val="00471922"/>
    <w:rsid w:val="00471A72"/>
    <w:rsid w:val="00471FC2"/>
    <w:rsid w:val="0047216F"/>
    <w:rsid w:val="004721B5"/>
    <w:rsid w:val="004723E6"/>
    <w:rsid w:val="00472EF1"/>
    <w:rsid w:val="0047301D"/>
    <w:rsid w:val="0047323C"/>
    <w:rsid w:val="004733AC"/>
    <w:rsid w:val="004735EE"/>
    <w:rsid w:val="0047394B"/>
    <w:rsid w:val="0047399D"/>
    <w:rsid w:val="004739DA"/>
    <w:rsid w:val="00473B35"/>
    <w:rsid w:val="00473E2E"/>
    <w:rsid w:val="00473E96"/>
    <w:rsid w:val="00473EB2"/>
    <w:rsid w:val="00473F9B"/>
    <w:rsid w:val="004741E0"/>
    <w:rsid w:val="004742F7"/>
    <w:rsid w:val="004743D9"/>
    <w:rsid w:val="0047447A"/>
    <w:rsid w:val="00474672"/>
    <w:rsid w:val="00474724"/>
    <w:rsid w:val="0047479D"/>
    <w:rsid w:val="0047492C"/>
    <w:rsid w:val="0047494E"/>
    <w:rsid w:val="00474D95"/>
    <w:rsid w:val="00474DAA"/>
    <w:rsid w:val="00474E42"/>
    <w:rsid w:val="00474E76"/>
    <w:rsid w:val="00474F86"/>
    <w:rsid w:val="00475079"/>
    <w:rsid w:val="00475248"/>
    <w:rsid w:val="004752EC"/>
    <w:rsid w:val="004754D0"/>
    <w:rsid w:val="004754E8"/>
    <w:rsid w:val="004755ED"/>
    <w:rsid w:val="00475B02"/>
    <w:rsid w:val="00475C76"/>
    <w:rsid w:val="00475CF6"/>
    <w:rsid w:val="00475E75"/>
    <w:rsid w:val="00475FFA"/>
    <w:rsid w:val="004761E5"/>
    <w:rsid w:val="004764D2"/>
    <w:rsid w:val="004766E5"/>
    <w:rsid w:val="00476A7C"/>
    <w:rsid w:val="00476EBC"/>
    <w:rsid w:val="00476EBF"/>
    <w:rsid w:val="00476F12"/>
    <w:rsid w:val="00476F55"/>
    <w:rsid w:val="00476FCD"/>
    <w:rsid w:val="004770C5"/>
    <w:rsid w:val="004770D6"/>
    <w:rsid w:val="00477115"/>
    <w:rsid w:val="0047714A"/>
    <w:rsid w:val="00477291"/>
    <w:rsid w:val="004774A2"/>
    <w:rsid w:val="0047768F"/>
    <w:rsid w:val="00477698"/>
    <w:rsid w:val="0047790C"/>
    <w:rsid w:val="00477967"/>
    <w:rsid w:val="00477CF0"/>
    <w:rsid w:val="00477FCF"/>
    <w:rsid w:val="00480002"/>
    <w:rsid w:val="0048001A"/>
    <w:rsid w:val="00480295"/>
    <w:rsid w:val="00480337"/>
    <w:rsid w:val="00480720"/>
    <w:rsid w:val="00480A6C"/>
    <w:rsid w:val="00480E37"/>
    <w:rsid w:val="00480E5C"/>
    <w:rsid w:val="00480F45"/>
    <w:rsid w:val="004813FD"/>
    <w:rsid w:val="0048141B"/>
    <w:rsid w:val="00481519"/>
    <w:rsid w:val="00481659"/>
    <w:rsid w:val="00481681"/>
    <w:rsid w:val="00481CB5"/>
    <w:rsid w:val="00481FA6"/>
    <w:rsid w:val="004820DB"/>
    <w:rsid w:val="0048230C"/>
    <w:rsid w:val="0048236D"/>
    <w:rsid w:val="0048238D"/>
    <w:rsid w:val="00482463"/>
    <w:rsid w:val="0048246A"/>
    <w:rsid w:val="00482661"/>
    <w:rsid w:val="004826A8"/>
    <w:rsid w:val="004828B5"/>
    <w:rsid w:val="004828FB"/>
    <w:rsid w:val="004829F4"/>
    <w:rsid w:val="00482A4D"/>
    <w:rsid w:val="00482C9B"/>
    <w:rsid w:val="00482F74"/>
    <w:rsid w:val="00483629"/>
    <w:rsid w:val="0048377F"/>
    <w:rsid w:val="004837A5"/>
    <w:rsid w:val="00483AC0"/>
    <w:rsid w:val="00483E6F"/>
    <w:rsid w:val="0048419D"/>
    <w:rsid w:val="0048432F"/>
    <w:rsid w:val="00484333"/>
    <w:rsid w:val="004843F0"/>
    <w:rsid w:val="0048441B"/>
    <w:rsid w:val="004844E7"/>
    <w:rsid w:val="0048451A"/>
    <w:rsid w:val="0048457D"/>
    <w:rsid w:val="00484753"/>
    <w:rsid w:val="00484845"/>
    <w:rsid w:val="0048490F"/>
    <w:rsid w:val="004849E4"/>
    <w:rsid w:val="00484A1A"/>
    <w:rsid w:val="00484A2E"/>
    <w:rsid w:val="00484A86"/>
    <w:rsid w:val="00484BF1"/>
    <w:rsid w:val="00484D7A"/>
    <w:rsid w:val="00484EFD"/>
    <w:rsid w:val="00484F40"/>
    <w:rsid w:val="00485067"/>
    <w:rsid w:val="004850F7"/>
    <w:rsid w:val="004851BB"/>
    <w:rsid w:val="00485300"/>
    <w:rsid w:val="00485329"/>
    <w:rsid w:val="004856DF"/>
    <w:rsid w:val="0048571F"/>
    <w:rsid w:val="0048573A"/>
    <w:rsid w:val="00485751"/>
    <w:rsid w:val="004859A7"/>
    <w:rsid w:val="00485A5F"/>
    <w:rsid w:val="00485E60"/>
    <w:rsid w:val="00485E9F"/>
    <w:rsid w:val="00485FB7"/>
    <w:rsid w:val="004863BE"/>
    <w:rsid w:val="0048661A"/>
    <w:rsid w:val="004867C1"/>
    <w:rsid w:val="004868A8"/>
    <w:rsid w:val="00486C83"/>
    <w:rsid w:val="00486D84"/>
    <w:rsid w:val="00486DF1"/>
    <w:rsid w:val="00486F10"/>
    <w:rsid w:val="00486F90"/>
    <w:rsid w:val="004871AC"/>
    <w:rsid w:val="00487475"/>
    <w:rsid w:val="0048747E"/>
    <w:rsid w:val="004877D2"/>
    <w:rsid w:val="004878F5"/>
    <w:rsid w:val="00487BA4"/>
    <w:rsid w:val="00487C93"/>
    <w:rsid w:val="00487D03"/>
    <w:rsid w:val="00487DC5"/>
    <w:rsid w:val="00487DE6"/>
    <w:rsid w:val="00490068"/>
    <w:rsid w:val="004901BE"/>
    <w:rsid w:val="0049023A"/>
    <w:rsid w:val="00490493"/>
    <w:rsid w:val="004908A9"/>
    <w:rsid w:val="00490EE9"/>
    <w:rsid w:val="00491058"/>
    <w:rsid w:val="00491387"/>
    <w:rsid w:val="00491568"/>
    <w:rsid w:val="00491955"/>
    <w:rsid w:val="004919B5"/>
    <w:rsid w:val="00491AC5"/>
    <w:rsid w:val="00491AEA"/>
    <w:rsid w:val="00491D19"/>
    <w:rsid w:val="00491D21"/>
    <w:rsid w:val="00491D52"/>
    <w:rsid w:val="00491EAC"/>
    <w:rsid w:val="00491EB0"/>
    <w:rsid w:val="00491FC8"/>
    <w:rsid w:val="00492097"/>
    <w:rsid w:val="00492255"/>
    <w:rsid w:val="004922BA"/>
    <w:rsid w:val="004923B0"/>
    <w:rsid w:val="004925C2"/>
    <w:rsid w:val="00492805"/>
    <w:rsid w:val="00492903"/>
    <w:rsid w:val="00492941"/>
    <w:rsid w:val="004930E0"/>
    <w:rsid w:val="0049320C"/>
    <w:rsid w:val="00493416"/>
    <w:rsid w:val="0049359C"/>
    <w:rsid w:val="004935A3"/>
    <w:rsid w:val="00493ADA"/>
    <w:rsid w:val="00493BC7"/>
    <w:rsid w:val="00493BCE"/>
    <w:rsid w:val="00493C4F"/>
    <w:rsid w:val="00493CC1"/>
    <w:rsid w:val="00493FA4"/>
    <w:rsid w:val="00494574"/>
    <w:rsid w:val="0049483A"/>
    <w:rsid w:val="0049494F"/>
    <w:rsid w:val="00495039"/>
    <w:rsid w:val="0049505E"/>
    <w:rsid w:val="004952C8"/>
    <w:rsid w:val="00495450"/>
    <w:rsid w:val="00495512"/>
    <w:rsid w:val="00495522"/>
    <w:rsid w:val="0049562B"/>
    <w:rsid w:val="00495714"/>
    <w:rsid w:val="004957D0"/>
    <w:rsid w:val="00495C21"/>
    <w:rsid w:val="00495E01"/>
    <w:rsid w:val="004961DB"/>
    <w:rsid w:val="0049626F"/>
    <w:rsid w:val="0049629A"/>
    <w:rsid w:val="00496421"/>
    <w:rsid w:val="00496758"/>
    <w:rsid w:val="004967B1"/>
    <w:rsid w:val="00496983"/>
    <w:rsid w:val="00496BD7"/>
    <w:rsid w:val="00496D7F"/>
    <w:rsid w:val="00496E70"/>
    <w:rsid w:val="00496F16"/>
    <w:rsid w:val="00497041"/>
    <w:rsid w:val="00497097"/>
    <w:rsid w:val="004970DB"/>
    <w:rsid w:val="00497218"/>
    <w:rsid w:val="004975F4"/>
    <w:rsid w:val="00497664"/>
    <w:rsid w:val="0049773B"/>
    <w:rsid w:val="004977FF"/>
    <w:rsid w:val="00497A93"/>
    <w:rsid w:val="00497BAB"/>
    <w:rsid w:val="00497C08"/>
    <w:rsid w:val="004A008A"/>
    <w:rsid w:val="004A0231"/>
    <w:rsid w:val="004A0298"/>
    <w:rsid w:val="004A0301"/>
    <w:rsid w:val="004A033C"/>
    <w:rsid w:val="004A03B3"/>
    <w:rsid w:val="004A063A"/>
    <w:rsid w:val="004A09B4"/>
    <w:rsid w:val="004A09C0"/>
    <w:rsid w:val="004A0A2E"/>
    <w:rsid w:val="004A0D14"/>
    <w:rsid w:val="004A1239"/>
    <w:rsid w:val="004A150A"/>
    <w:rsid w:val="004A156A"/>
    <w:rsid w:val="004A1782"/>
    <w:rsid w:val="004A18F4"/>
    <w:rsid w:val="004A1A5E"/>
    <w:rsid w:val="004A1BD2"/>
    <w:rsid w:val="004A1C31"/>
    <w:rsid w:val="004A1C9C"/>
    <w:rsid w:val="004A1D98"/>
    <w:rsid w:val="004A1E2D"/>
    <w:rsid w:val="004A2285"/>
    <w:rsid w:val="004A2374"/>
    <w:rsid w:val="004A23F5"/>
    <w:rsid w:val="004A2596"/>
    <w:rsid w:val="004A27CB"/>
    <w:rsid w:val="004A29E0"/>
    <w:rsid w:val="004A2A9C"/>
    <w:rsid w:val="004A30C7"/>
    <w:rsid w:val="004A313F"/>
    <w:rsid w:val="004A3341"/>
    <w:rsid w:val="004A33D0"/>
    <w:rsid w:val="004A33DC"/>
    <w:rsid w:val="004A368C"/>
    <w:rsid w:val="004A3989"/>
    <w:rsid w:val="004A3A8E"/>
    <w:rsid w:val="004A3DCC"/>
    <w:rsid w:val="004A3E17"/>
    <w:rsid w:val="004A3E5D"/>
    <w:rsid w:val="004A3F0F"/>
    <w:rsid w:val="004A4106"/>
    <w:rsid w:val="004A42A1"/>
    <w:rsid w:val="004A43A1"/>
    <w:rsid w:val="004A43FA"/>
    <w:rsid w:val="004A44A9"/>
    <w:rsid w:val="004A4639"/>
    <w:rsid w:val="004A49BE"/>
    <w:rsid w:val="004A4A53"/>
    <w:rsid w:val="004A4B11"/>
    <w:rsid w:val="004A4B83"/>
    <w:rsid w:val="004A4CED"/>
    <w:rsid w:val="004A4D52"/>
    <w:rsid w:val="004A4F64"/>
    <w:rsid w:val="004A4F6E"/>
    <w:rsid w:val="004A4F79"/>
    <w:rsid w:val="004A515B"/>
    <w:rsid w:val="004A53D3"/>
    <w:rsid w:val="004A545B"/>
    <w:rsid w:val="004A57CF"/>
    <w:rsid w:val="004A581B"/>
    <w:rsid w:val="004A5A40"/>
    <w:rsid w:val="004A5A97"/>
    <w:rsid w:val="004A5ACD"/>
    <w:rsid w:val="004A5B7C"/>
    <w:rsid w:val="004A5D46"/>
    <w:rsid w:val="004A5F4F"/>
    <w:rsid w:val="004A6194"/>
    <w:rsid w:val="004A6252"/>
    <w:rsid w:val="004A62C6"/>
    <w:rsid w:val="004A6825"/>
    <w:rsid w:val="004A68B5"/>
    <w:rsid w:val="004A6D2A"/>
    <w:rsid w:val="004A71EA"/>
    <w:rsid w:val="004A721E"/>
    <w:rsid w:val="004A7412"/>
    <w:rsid w:val="004A75AE"/>
    <w:rsid w:val="004A76B0"/>
    <w:rsid w:val="004A76FE"/>
    <w:rsid w:val="004A7974"/>
    <w:rsid w:val="004A7AA1"/>
    <w:rsid w:val="004B0105"/>
    <w:rsid w:val="004B0122"/>
    <w:rsid w:val="004B02C9"/>
    <w:rsid w:val="004B0545"/>
    <w:rsid w:val="004B0834"/>
    <w:rsid w:val="004B087A"/>
    <w:rsid w:val="004B0A3E"/>
    <w:rsid w:val="004B0BA3"/>
    <w:rsid w:val="004B0DB6"/>
    <w:rsid w:val="004B0EC0"/>
    <w:rsid w:val="004B0F45"/>
    <w:rsid w:val="004B11EB"/>
    <w:rsid w:val="004B17C4"/>
    <w:rsid w:val="004B1A7A"/>
    <w:rsid w:val="004B1CCE"/>
    <w:rsid w:val="004B1CD3"/>
    <w:rsid w:val="004B1DCF"/>
    <w:rsid w:val="004B1F34"/>
    <w:rsid w:val="004B215B"/>
    <w:rsid w:val="004B2164"/>
    <w:rsid w:val="004B21FA"/>
    <w:rsid w:val="004B22F4"/>
    <w:rsid w:val="004B2426"/>
    <w:rsid w:val="004B246F"/>
    <w:rsid w:val="004B2482"/>
    <w:rsid w:val="004B271A"/>
    <w:rsid w:val="004B27E3"/>
    <w:rsid w:val="004B2B76"/>
    <w:rsid w:val="004B2DC2"/>
    <w:rsid w:val="004B2F15"/>
    <w:rsid w:val="004B2F80"/>
    <w:rsid w:val="004B2F9C"/>
    <w:rsid w:val="004B2FCB"/>
    <w:rsid w:val="004B33A8"/>
    <w:rsid w:val="004B345C"/>
    <w:rsid w:val="004B345D"/>
    <w:rsid w:val="004B34E9"/>
    <w:rsid w:val="004B34ED"/>
    <w:rsid w:val="004B3564"/>
    <w:rsid w:val="004B379B"/>
    <w:rsid w:val="004B3806"/>
    <w:rsid w:val="004B380A"/>
    <w:rsid w:val="004B382E"/>
    <w:rsid w:val="004B3838"/>
    <w:rsid w:val="004B39BE"/>
    <w:rsid w:val="004B3C79"/>
    <w:rsid w:val="004B3C83"/>
    <w:rsid w:val="004B3DED"/>
    <w:rsid w:val="004B40B6"/>
    <w:rsid w:val="004B4382"/>
    <w:rsid w:val="004B43CD"/>
    <w:rsid w:val="004B46E6"/>
    <w:rsid w:val="004B4925"/>
    <w:rsid w:val="004B4A77"/>
    <w:rsid w:val="004B4B74"/>
    <w:rsid w:val="004B4BC3"/>
    <w:rsid w:val="004B4C8A"/>
    <w:rsid w:val="004B4CD0"/>
    <w:rsid w:val="004B4DB1"/>
    <w:rsid w:val="004B4FE8"/>
    <w:rsid w:val="004B5605"/>
    <w:rsid w:val="004B5656"/>
    <w:rsid w:val="004B579C"/>
    <w:rsid w:val="004B5949"/>
    <w:rsid w:val="004B594D"/>
    <w:rsid w:val="004B59BE"/>
    <w:rsid w:val="004B5AFE"/>
    <w:rsid w:val="004B5BAC"/>
    <w:rsid w:val="004B5BFF"/>
    <w:rsid w:val="004B646C"/>
    <w:rsid w:val="004B6541"/>
    <w:rsid w:val="004B67E0"/>
    <w:rsid w:val="004B6930"/>
    <w:rsid w:val="004B6CC7"/>
    <w:rsid w:val="004B6E00"/>
    <w:rsid w:val="004B6E60"/>
    <w:rsid w:val="004B6E93"/>
    <w:rsid w:val="004B7299"/>
    <w:rsid w:val="004B7738"/>
    <w:rsid w:val="004B7A22"/>
    <w:rsid w:val="004B7AEB"/>
    <w:rsid w:val="004B7C41"/>
    <w:rsid w:val="004B7C66"/>
    <w:rsid w:val="004B7D15"/>
    <w:rsid w:val="004B7F1A"/>
    <w:rsid w:val="004B7F9F"/>
    <w:rsid w:val="004B7FBF"/>
    <w:rsid w:val="004C03B4"/>
    <w:rsid w:val="004C0525"/>
    <w:rsid w:val="004C0761"/>
    <w:rsid w:val="004C0776"/>
    <w:rsid w:val="004C09D7"/>
    <w:rsid w:val="004C09DA"/>
    <w:rsid w:val="004C0B30"/>
    <w:rsid w:val="004C0DAC"/>
    <w:rsid w:val="004C0E4E"/>
    <w:rsid w:val="004C0EAE"/>
    <w:rsid w:val="004C0F01"/>
    <w:rsid w:val="004C1788"/>
    <w:rsid w:val="004C17DF"/>
    <w:rsid w:val="004C17F6"/>
    <w:rsid w:val="004C188F"/>
    <w:rsid w:val="004C189F"/>
    <w:rsid w:val="004C197F"/>
    <w:rsid w:val="004C1A6D"/>
    <w:rsid w:val="004C1F27"/>
    <w:rsid w:val="004C1F49"/>
    <w:rsid w:val="004C20C1"/>
    <w:rsid w:val="004C21E8"/>
    <w:rsid w:val="004C25EF"/>
    <w:rsid w:val="004C2861"/>
    <w:rsid w:val="004C2A7B"/>
    <w:rsid w:val="004C2BDB"/>
    <w:rsid w:val="004C2D18"/>
    <w:rsid w:val="004C2D21"/>
    <w:rsid w:val="004C3015"/>
    <w:rsid w:val="004C31AE"/>
    <w:rsid w:val="004C365B"/>
    <w:rsid w:val="004C3725"/>
    <w:rsid w:val="004C372C"/>
    <w:rsid w:val="004C3C14"/>
    <w:rsid w:val="004C3DE7"/>
    <w:rsid w:val="004C4076"/>
    <w:rsid w:val="004C4419"/>
    <w:rsid w:val="004C4476"/>
    <w:rsid w:val="004C448F"/>
    <w:rsid w:val="004C44B6"/>
    <w:rsid w:val="004C4535"/>
    <w:rsid w:val="004C4615"/>
    <w:rsid w:val="004C47A9"/>
    <w:rsid w:val="004C4AD5"/>
    <w:rsid w:val="004C4B41"/>
    <w:rsid w:val="004C4B94"/>
    <w:rsid w:val="004C4E58"/>
    <w:rsid w:val="004C5073"/>
    <w:rsid w:val="004C51D4"/>
    <w:rsid w:val="004C5269"/>
    <w:rsid w:val="004C5739"/>
    <w:rsid w:val="004C595B"/>
    <w:rsid w:val="004C59FE"/>
    <w:rsid w:val="004C5AC5"/>
    <w:rsid w:val="004C5E2F"/>
    <w:rsid w:val="004C5EF3"/>
    <w:rsid w:val="004C5EF8"/>
    <w:rsid w:val="004C60A4"/>
    <w:rsid w:val="004C60B5"/>
    <w:rsid w:val="004C6234"/>
    <w:rsid w:val="004C625B"/>
    <w:rsid w:val="004C646C"/>
    <w:rsid w:val="004C69C4"/>
    <w:rsid w:val="004C6B4F"/>
    <w:rsid w:val="004C6C32"/>
    <w:rsid w:val="004C6D4C"/>
    <w:rsid w:val="004C6EC8"/>
    <w:rsid w:val="004C6F84"/>
    <w:rsid w:val="004C7081"/>
    <w:rsid w:val="004C70F8"/>
    <w:rsid w:val="004C71D1"/>
    <w:rsid w:val="004C7396"/>
    <w:rsid w:val="004C78E2"/>
    <w:rsid w:val="004C7ADA"/>
    <w:rsid w:val="004C7B14"/>
    <w:rsid w:val="004C7BDA"/>
    <w:rsid w:val="004C7C59"/>
    <w:rsid w:val="004C7CDA"/>
    <w:rsid w:val="004D0216"/>
    <w:rsid w:val="004D0340"/>
    <w:rsid w:val="004D062D"/>
    <w:rsid w:val="004D0636"/>
    <w:rsid w:val="004D0980"/>
    <w:rsid w:val="004D0B03"/>
    <w:rsid w:val="004D0B5C"/>
    <w:rsid w:val="004D0ECB"/>
    <w:rsid w:val="004D0F70"/>
    <w:rsid w:val="004D14C2"/>
    <w:rsid w:val="004D155D"/>
    <w:rsid w:val="004D162F"/>
    <w:rsid w:val="004D1661"/>
    <w:rsid w:val="004D1A3E"/>
    <w:rsid w:val="004D1AEC"/>
    <w:rsid w:val="004D1B07"/>
    <w:rsid w:val="004D1B93"/>
    <w:rsid w:val="004D1E32"/>
    <w:rsid w:val="004D1FD3"/>
    <w:rsid w:val="004D20D0"/>
    <w:rsid w:val="004D22D9"/>
    <w:rsid w:val="004D22E2"/>
    <w:rsid w:val="004D24D0"/>
    <w:rsid w:val="004D2598"/>
    <w:rsid w:val="004D2723"/>
    <w:rsid w:val="004D278D"/>
    <w:rsid w:val="004D27F9"/>
    <w:rsid w:val="004D2805"/>
    <w:rsid w:val="004D28C2"/>
    <w:rsid w:val="004D299D"/>
    <w:rsid w:val="004D2C96"/>
    <w:rsid w:val="004D2CE0"/>
    <w:rsid w:val="004D2E15"/>
    <w:rsid w:val="004D3042"/>
    <w:rsid w:val="004D30B1"/>
    <w:rsid w:val="004D30DF"/>
    <w:rsid w:val="004D3321"/>
    <w:rsid w:val="004D34AA"/>
    <w:rsid w:val="004D3610"/>
    <w:rsid w:val="004D361E"/>
    <w:rsid w:val="004D36D6"/>
    <w:rsid w:val="004D3876"/>
    <w:rsid w:val="004D38F5"/>
    <w:rsid w:val="004D3C87"/>
    <w:rsid w:val="004D3D3C"/>
    <w:rsid w:val="004D4025"/>
    <w:rsid w:val="004D4543"/>
    <w:rsid w:val="004D45CF"/>
    <w:rsid w:val="004D45D7"/>
    <w:rsid w:val="004D4616"/>
    <w:rsid w:val="004D46CD"/>
    <w:rsid w:val="004D4A5A"/>
    <w:rsid w:val="004D4F4B"/>
    <w:rsid w:val="004D5037"/>
    <w:rsid w:val="004D50CC"/>
    <w:rsid w:val="004D511B"/>
    <w:rsid w:val="004D5139"/>
    <w:rsid w:val="004D523A"/>
    <w:rsid w:val="004D52FB"/>
    <w:rsid w:val="004D53E1"/>
    <w:rsid w:val="004D577E"/>
    <w:rsid w:val="004D586A"/>
    <w:rsid w:val="004D599E"/>
    <w:rsid w:val="004D59B7"/>
    <w:rsid w:val="004D5B00"/>
    <w:rsid w:val="004D5B43"/>
    <w:rsid w:val="004D5CED"/>
    <w:rsid w:val="004D5F2A"/>
    <w:rsid w:val="004D610D"/>
    <w:rsid w:val="004D6571"/>
    <w:rsid w:val="004D6810"/>
    <w:rsid w:val="004D69ED"/>
    <w:rsid w:val="004D7003"/>
    <w:rsid w:val="004D725F"/>
    <w:rsid w:val="004D7263"/>
    <w:rsid w:val="004D74DB"/>
    <w:rsid w:val="004D7569"/>
    <w:rsid w:val="004D75E4"/>
    <w:rsid w:val="004D790F"/>
    <w:rsid w:val="004D7BB6"/>
    <w:rsid w:val="004D7CF4"/>
    <w:rsid w:val="004D7DD6"/>
    <w:rsid w:val="004E003B"/>
    <w:rsid w:val="004E0243"/>
    <w:rsid w:val="004E03AB"/>
    <w:rsid w:val="004E041F"/>
    <w:rsid w:val="004E061C"/>
    <w:rsid w:val="004E0C09"/>
    <w:rsid w:val="004E0D2C"/>
    <w:rsid w:val="004E0EBA"/>
    <w:rsid w:val="004E0EF3"/>
    <w:rsid w:val="004E0F10"/>
    <w:rsid w:val="004E0F1A"/>
    <w:rsid w:val="004E0FA5"/>
    <w:rsid w:val="004E0FBA"/>
    <w:rsid w:val="004E10E2"/>
    <w:rsid w:val="004E11F2"/>
    <w:rsid w:val="004E1279"/>
    <w:rsid w:val="004E15DA"/>
    <w:rsid w:val="004E18A8"/>
    <w:rsid w:val="004E1928"/>
    <w:rsid w:val="004E19E9"/>
    <w:rsid w:val="004E1A4A"/>
    <w:rsid w:val="004E1AF4"/>
    <w:rsid w:val="004E2252"/>
    <w:rsid w:val="004E229E"/>
    <w:rsid w:val="004E2484"/>
    <w:rsid w:val="004E255A"/>
    <w:rsid w:val="004E25AF"/>
    <w:rsid w:val="004E26B1"/>
    <w:rsid w:val="004E2726"/>
    <w:rsid w:val="004E2AD3"/>
    <w:rsid w:val="004E2AE2"/>
    <w:rsid w:val="004E2B74"/>
    <w:rsid w:val="004E2CC4"/>
    <w:rsid w:val="004E2CE1"/>
    <w:rsid w:val="004E2D3C"/>
    <w:rsid w:val="004E2D66"/>
    <w:rsid w:val="004E2D6C"/>
    <w:rsid w:val="004E2DA7"/>
    <w:rsid w:val="004E2DFD"/>
    <w:rsid w:val="004E2EEC"/>
    <w:rsid w:val="004E354A"/>
    <w:rsid w:val="004E3569"/>
    <w:rsid w:val="004E366C"/>
    <w:rsid w:val="004E377F"/>
    <w:rsid w:val="004E383D"/>
    <w:rsid w:val="004E390B"/>
    <w:rsid w:val="004E3A31"/>
    <w:rsid w:val="004E3B64"/>
    <w:rsid w:val="004E400F"/>
    <w:rsid w:val="004E4089"/>
    <w:rsid w:val="004E41B0"/>
    <w:rsid w:val="004E4351"/>
    <w:rsid w:val="004E435A"/>
    <w:rsid w:val="004E435D"/>
    <w:rsid w:val="004E46B2"/>
    <w:rsid w:val="004E4A9B"/>
    <w:rsid w:val="004E4D05"/>
    <w:rsid w:val="004E5140"/>
    <w:rsid w:val="004E5458"/>
    <w:rsid w:val="004E54A2"/>
    <w:rsid w:val="004E56A7"/>
    <w:rsid w:val="004E5CA1"/>
    <w:rsid w:val="004E5CB2"/>
    <w:rsid w:val="004E5D10"/>
    <w:rsid w:val="004E5FC5"/>
    <w:rsid w:val="004E6395"/>
    <w:rsid w:val="004E6534"/>
    <w:rsid w:val="004E6735"/>
    <w:rsid w:val="004E674B"/>
    <w:rsid w:val="004E6858"/>
    <w:rsid w:val="004E686A"/>
    <w:rsid w:val="004E68D9"/>
    <w:rsid w:val="004E69DC"/>
    <w:rsid w:val="004E6C43"/>
    <w:rsid w:val="004E6CB8"/>
    <w:rsid w:val="004E6CCA"/>
    <w:rsid w:val="004E71D5"/>
    <w:rsid w:val="004E72B5"/>
    <w:rsid w:val="004E7554"/>
    <w:rsid w:val="004E75EE"/>
    <w:rsid w:val="004E7BA3"/>
    <w:rsid w:val="004E7C88"/>
    <w:rsid w:val="004E7D3C"/>
    <w:rsid w:val="004E7D44"/>
    <w:rsid w:val="004F0325"/>
    <w:rsid w:val="004F0566"/>
    <w:rsid w:val="004F057A"/>
    <w:rsid w:val="004F074C"/>
    <w:rsid w:val="004F099E"/>
    <w:rsid w:val="004F0AAB"/>
    <w:rsid w:val="004F0B50"/>
    <w:rsid w:val="004F0C1C"/>
    <w:rsid w:val="004F0E1E"/>
    <w:rsid w:val="004F0E2A"/>
    <w:rsid w:val="004F1011"/>
    <w:rsid w:val="004F1228"/>
    <w:rsid w:val="004F18FE"/>
    <w:rsid w:val="004F1939"/>
    <w:rsid w:val="004F1BA7"/>
    <w:rsid w:val="004F1D34"/>
    <w:rsid w:val="004F1EFA"/>
    <w:rsid w:val="004F1F28"/>
    <w:rsid w:val="004F1F4A"/>
    <w:rsid w:val="004F2136"/>
    <w:rsid w:val="004F2156"/>
    <w:rsid w:val="004F21A3"/>
    <w:rsid w:val="004F22E8"/>
    <w:rsid w:val="004F2312"/>
    <w:rsid w:val="004F267B"/>
    <w:rsid w:val="004F26F5"/>
    <w:rsid w:val="004F2996"/>
    <w:rsid w:val="004F2B2B"/>
    <w:rsid w:val="004F2BEA"/>
    <w:rsid w:val="004F2CAE"/>
    <w:rsid w:val="004F2D41"/>
    <w:rsid w:val="004F2D80"/>
    <w:rsid w:val="004F3019"/>
    <w:rsid w:val="004F3096"/>
    <w:rsid w:val="004F33D5"/>
    <w:rsid w:val="004F348E"/>
    <w:rsid w:val="004F3743"/>
    <w:rsid w:val="004F37BB"/>
    <w:rsid w:val="004F3A58"/>
    <w:rsid w:val="004F3D6C"/>
    <w:rsid w:val="004F4201"/>
    <w:rsid w:val="004F4718"/>
    <w:rsid w:val="004F4801"/>
    <w:rsid w:val="004F492D"/>
    <w:rsid w:val="004F4D05"/>
    <w:rsid w:val="004F4EA3"/>
    <w:rsid w:val="004F50AD"/>
    <w:rsid w:val="004F5264"/>
    <w:rsid w:val="004F5355"/>
    <w:rsid w:val="004F5415"/>
    <w:rsid w:val="004F546A"/>
    <w:rsid w:val="004F5587"/>
    <w:rsid w:val="004F5918"/>
    <w:rsid w:val="004F5956"/>
    <w:rsid w:val="004F59FD"/>
    <w:rsid w:val="004F5A10"/>
    <w:rsid w:val="004F5A8C"/>
    <w:rsid w:val="004F5BFD"/>
    <w:rsid w:val="004F5CA7"/>
    <w:rsid w:val="004F5E9F"/>
    <w:rsid w:val="004F5F64"/>
    <w:rsid w:val="004F5FF3"/>
    <w:rsid w:val="004F6007"/>
    <w:rsid w:val="004F636F"/>
    <w:rsid w:val="004F638C"/>
    <w:rsid w:val="004F645E"/>
    <w:rsid w:val="004F64AF"/>
    <w:rsid w:val="004F6616"/>
    <w:rsid w:val="004F67D7"/>
    <w:rsid w:val="004F6A2D"/>
    <w:rsid w:val="004F6A43"/>
    <w:rsid w:val="004F6DDA"/>
    <w:rsid w:val="004F6E85"/>
    <w:rsid w:val="004F6E9D"/>
    <w:rsid w:val="004F6EE6"/>
    <w:rsid w:val="004F6F9A"/>
    <w:rsid w:val="004F703E"/>
    <w:rsid w:val="004F7171"/>
    <w:rsid w:val="004F724F"/>
    <w:rsid w:val="004F774A"/>
    <w:rsid w:val="004F7863"/>
    <w:rsid w:val="004F79FB"/>
    <w:rsid w:val="004F7AE8"/>
    <w:rsid w:val="004F7BC9"/>
    <w:rsid w:val="004F7D42"/>
    <w:rsid w:val="004F7D73"/>
    <w:rsid w:val="004F7FAB"/>
    <w:rsid w:val="0050001B"/>
    <w:rsid w:val="005001B9"/>
    <w:rsid w:val="005001DC"/>
    <w:rsid w:val="00500255"/>
    <w:rsid w:val="00500395"/>
    <w:rsid w:val="00500420"/>
    <w:rsid w:val="00500465"/>
    <w:rsid w:val="00500A33"/>
    <w:rsid w:val="00500BE4"/>
    <w:rsid w:val="00500F58"/>
    <w:rsid w:val="00500F99"/>
    <w:rsid w:val="00500FCB"/>
    <w:rsid w:val="00500FD3"/>
    <w:rsid w:val="0050110B"/>
    <w:rsid w:val="00501435"/>
    <w:rsid w:val="00501585"/>
    <w:rsid w:val="00501637"/>
    <w:rsid w:val="00501AE5"/>
    <w:rsid w:val="00501C1A"/>
    <w:rsid w:val="00501CC1"/>
    <w:rsid w:val="005021C6"/>
    <w:rsid w:val="005022CC"/>
    <w:rsid w:val="0050230F"/>
    <w:rsid w:val="0050261F"/>
    <w:rsid w:val="00502622"/>
    <w:rsid w:val="0050265C"/>
    <w:rsid w:val="00502806"/>
    <w:rsid w:val="00502892"/>
    <w:rsid w:val="00502BA4"/>
    <w:rsid w:val="005030DE"/>
    <w:rsid w:val="00503436"/>
    <w:rsid w:val="0050353B"/>
    <w:rsid w:val="005037DA"/>
    <w:rsid w:val="00503814"/>
    <w:rsid w:val="00503C12"/>
    <w:rsid w:val="00503CB2"/>
    <w:rsid w:val="00504035"/>
    <w:rsid w:val="0050433E"/>
    <w:rsid w:val="00504422"/>
    <w:rsid w:val="0050485E"/>
    <w:rsid w:val="005049E5"/>
    <w:rsid w:val="00504AF8"/>
    <w:rsid w:val="00504B5D"/>
    <w:rsid w:val="00504CA3"/>
    <w:rsid w:val="00504CA4"/>
    <w:rsid w:val="00504D28"/>
    <w:rsid w:val="00504E6E"/>
    <w:rsid w:val="00504FC2"/>
    <w:rsid w:val="0050531F"/>
    <w:rsid w:val="0050546B"/>
    <w:rsid w:val="00505550"/>
    <w:rsid w:val="00505619"/>
    <w:rsid w:val="00505862"/>
    <w:rsid w:val="005058F5"/>
    <w:rsid w:val="00505BE2"/>
    <w:rsid w:val="00505D33"/>
    <w:rsid w:val="00505E2F"/>
    <w:rsid w:val="00506140"/>
    <w:rsid w:val="0050620C"/>
    <w:rsid w:val="00506451"/>
    <w:rsid w:val="005064EE"/>
    <w:rsid w:val="005064FC"/>
    <w:rsid w:val="005065B6"/>
    <w:rsid w:val="00506655"/>
    <w:rsid w:val="005066B1"/>
    <w:rsid w:val="00506718"/>
    <w:rsid w:val="005067FA"/>
    <w:rsid w:val="00506801"/>
    <w:rsid w:val="00506B31"/>
    <w:rsid w:val="00506D73"/>
    <w:rsid w:val="00506EBC"/>
    <w:rsid w:val="00506FE5"/>
    <w:rsid w:val="00506FF6"/>
    <w:rsid w:val="0050742C"/>
    <w:rsid w:val="00507617"/>
    <w:rsid w:val="0050787F"/>
    <w:rsid w:val="0050797F"/>
    <w:rsid w:val="005079C2"/>
    <w:rsid w:val="00507B1A"/>
    <w:rsid w:val="00507B89"/>
    <w:rsid w:val="00507BEF"/>
    <w:rsid w:val="00507D3E"/>
    <w:rsid w:val="00507E6B"/>
    <w:rsid w:val="005100BD"/>
    <w:rsid w:val="00510163"/>
    <w:rsid w:val="0051022B"/>
    <w:rsid w:val="00510688"/>
    <w:rsid w:val="00510AF5"/>
    <w:rsid w:val="00510F41"/>
    <w:rsid w:val="00511061"/>
    <w:rsid w:val="00511069"/>
    <w:rsid w:val="005111E9"/>
    <w:rsid w:val="00511331"/>
    <w:rsid w:val="00511559"/>
    <w:rsid w:val="00511AE7"/>
    <w:rsid w:val="00511C87"/>
    <w:rsid w:val="00511CB1"/>
    <w:rsid w:val="00511EA7"/>
    <w:rsid w:val="00512080"/>
    <w:rsid w:val="005122C3"/>
    <w:rsid w:val="0051238B"/>
    <w:rsid w:val="00512E52"/>
    <w:rsid w:val="00512F87"/>
    <w:rsid w:val="0051300C"/>
    <w:rsid w:val="005130D5"/>
    <w:rsid w:val="00513440"/>
    <w:rsid w:val="00513662"/>
    <w:rsid w:val="005136BC"/>
    <w:rsid w:val="005137B8"/>
    <w:rsid w:val="005139D2"/>
    <w:rsid w:val="00513B15"/>
    <w:rsid w:val="00513B3C"/>
    <w:rsid w:val="00513DC1"/>
    <w:rsid w:val="00513EA8"/>
    <w:rsid w:val="005140B9"/>
    <w:rsid w:val="00514134"/>
    <w:rsid w:val="0051427D"/>
    <w:rsid w:val="005145C2"/>
    <w:rsid w:val="005148CC"/>
    <w:rsid w:val="005148EF"/>
    <w:rsid w:val="00514AB6"/>
    <w:rsid w:val="00514B80"/>
    <w:rsid w:val="00514BF9"/>
    <w:rsid w:val="00514BFA"/>
    <w:rsid w:val="00514D11"/>
    <w:rsid w:val="00514F31"/>
    <w:rsid w:val="00515326"/>
    <w:rsid w:val="00515377"/>
    <w:rsid w:val="005154EE"/>
    <w:rsid w:val="005154FB"/>
    <w:rsid w:val="00515506"/>
    <w:rsid w:val="00515762"/>
    <w:rsid w:val="00515956"/>
    <w:rsid w:val="00515B92"/>
    <w:rsid w:val="00515C2D"/>
    <w:rsid w:val="00515DF6"/>
    <w:rsid w:val="0051633C"/>
    <w:rsid w:val="005163E5"/>
    <w:rsid w:val="005168A8"/>
    <w:rsid w:val="0051690F"/>
    <w:rsid w:val="0051699E"/>
    <w:rsid w:val="00516A35"/>
    <w:rsid w:val="00516A61"/>
    <w:rsid w:val="00516D86"/>
    <w:rsid w:val="00516EFC"/>
    <w:rsid w:val="00516FB8"/>
    <w:rsid w:val="005171BC"/>
    <w:rsid w:val="00517235"/>
    <w:rsid w:val="005172BE"/>
    <w:rsid w:val="00517464"/>
    <w:rsid w:val="00517A45"/>
    <w:rsid w:val="00517A50"/>
    <w:rsid w:val="00517D87"/>
    <w:rsid w:val="005202BD"/>
    <w:rsid w:val="0052043D"/>
    <w:rsid w:val="00520656"/>
    <w:rsid w:val="0052068D"/>
    <w:rsid w:val="00520865"/>
    <w:rsid w:val="00520BC0"/>
    <w:rsid w:val="00520D5B"/>
    <w:rsid w:val="00520DFD"/>
    <w:rsid w:val="00520DFF"/>
    <w:rsid w:val="00520E52"/>
    <w:rsid w:val="00520F14"/>
    <w:rsid w:val="00520FBD"/>
    <w:rsid w:val="005210A0"/>
    <w:rsid w:val="00521102"/>
    <w:rsid w:val="00521240"/>
    <w:rsid w:val="00521301"/>
    <w:rsid w:val="00521635"/>
    <w:rsid w:val="005216BC"/>
    <w:rsid w:val="00521787"/>
    <w:rsid w:val="0052183A"/>
    <w:rsid w:val="00521878"/>
    <w:rsid w:val="005223C1"/>
    <w:rsid w:val="00522443"/>
    <w:rsid w:val="00522471"/>
    <w:rsid w:val="00522979"/>
    <w:rsid w:val="005229E6"/>
    <w:rsid w:val="00522D81"/>
    <w:rsid w:val="00522EB3"/>
    <w:rsid w:val="00522F1F"/>
    <w:rsid w:val="005231E6"/>
    <w:rsid w:val="0052331A"/>
    <w:rsid w:val="0052353B"/>
    <w:rsid w:val="005239D0"/>
    <w:rsid w:val="00523E1A"/>
    <w:rsid w:val="00523EE4"/>
    <w:rsid w:val="00523F7A"/>
    <w:rsid w:val="00523FB8"/>
    <w:rsid w:val="0052417E"/>
    <w:rsid w:val="00524323"/>
    <w:rsid w:val="005245F3"/>
    <w:rsid w:val="00524689"/>
    <w:rsid w:val="00524750"/>
    <w:rsid w:val="00524A35"/>
    <w:rsid w:val="00524E50"/>
    <w:rsid w:val="00524FCB"/>
    <w:rsid w:val="00525036"/>
    <w:rsid w:val="0052509A"/>
    <w:rsid w:val="00525183"/>
    <w:rsid w:val="00525290"/>
    <w:rsid w:val="005252BA"/>
    <w:rsid w:val="0052531F"/>
    <w:rsid w:val="0052539C"/>
    <w:rsid w:val="005253B6"/>
    <w:rsid w:val="00525506"/>
    <w:rsid w:val="005259A4"/>
    <w:rsid w:val="00525C11"/>
    <w:rsid w:val="00525E92"/>
    <w:rsid w:val="0052600F"/>
    <w:rsid w:val="0052621A"/>
    <w:rsid w:val="00526244"/>
    <w:rsid w:val="00526431"/>
    <w:rsid w:val="00526603"/>
    <w:rsid w:val="00526C5A"/>
    <w:rsid w:val="00526CD5"/>
    <w:rsid w:val="00526D7D"/>
    <w:rsid w:val="005273CC"/>
    <w:rsid w:val="00527581"/>
    <w:rsid w:val="00530110"/>
    <w:rsid w:val="005302E4"/>
    <w:rsid w:val="00530428"/>
    <w:rsid w:val="0053044C"/>
    <w:rsid w:val="00530462"/>
    <w:rsid w:val="005304EF"/>
    <w:rsid w:val="00530509"/>
    <w:rsid w:val="00530619"/>
    <w:rsid w:val="00530714"/>
    <w:rsid w:val="00530785"/>
    <w:rsid w:val="00530991"/>
    <w:rsid w:val="005309F1"/>
    <w:rsid w:val="00530A8A"/>
    <w:rsid w:val="00530AA7"/>
    <w:rsid w:val="00530AFD"/>
    <w:rsid w:val="00530F51"/>
    <w:rsid w:val="00530FA8"/>
    <w:rsid w:val="00530FFE"/>
    <w:rsid w:val="005312FF"/>
    <w:rsid w:val="0053136C"/>
    <w:rsid w:val="0053136E"/>
    <w:rsid w:val="00531453"/>
    <w:rsid w:val="00531456"/>
    <w:rsid w:val="005316B6"/>
    <w:rsid w:val="0053180C"/>
    <w:rsid w:val="00531AC0"/>
    <w:rsid w:val="00531B18"/>
    <w:rsid w:val="00531D36"/>
    <w:rsid w:val="00531FDA"/>
    <w:rsid w:val="0053228A"/>
    <w:rsid w:val="00532511"/>
    <w:rsid w:val="005329F2"/>
    <w:rsid w:val="00532C3B"/>
    <w:rsid w:val="00532DE1"/>
    <w:rsid w:val="005331C8"/>
    <w:rsid w:val="0053389B"/>
    <w:rsid w:val="00533C25"/>
    <w:rsid w:val="00533C54"/>
    <w:rsid w:val="00533D5F"/>
    <w:rsid w:val="00533E19"/>
    <w:rsid w:val="00533F13"/>
    <w:rsid w:val="0053400B"/>
    <w:rsid w:val="005344FF"/>
    <w:rsid w:val="00534721"/>
    <w:rsid w:val="00534750"/>
    <w:rsid w:val="005347A1"/>
    <w:rsid w:val="005347BA"/>
    <w:rsid w:val="005348C5"/>
    <w:rsid w:val="005348CA"/>
    <w:rsid w:val="00534B57"/>
    <w:rsid w:val="00534C51"/>
    <w:rsid w:val="00534C8F"/>
    <w:rsid w:val="00534E65"/>
    <w:rsid w:val="00534EC5"/>
    <w:rsid w:val="005354D4"/>
    <w:rsid w:val="005355C7"/>
    <w:rsid w:val="005355C9"/>
    <w:rsid w:val="005356FA"/>
    <w:rsid w:val="005357C1"/>
    <w:rsid w:val="0053583D"/>
    <w:rsid w:val="00535AA8"/>
    <w:rsid w:val="00535AAE"/>
    <w:rsid w:val="00535B17"/>
    <w:rsid w:val="00535E11"/>
    <w:rsid w:val="00535FCC"/>
    <w:rsid w:val="00536007"/>
    <w:rsid w:val="005360C3"/>
    <w:rsid w:val="005360E0"/>
    <w:rsid w:val="0053618E"/>
    <w:rsid w:val="00536302"/>
    <w:rsid w:val="00536360"/>
    <w:rsid w:val="00536375"/>
    <w:rsid w:val="005367EC"/>
    <w:rsid w:val="00536B63"/>
    <w:rsid w:val="00536E2F"/>
    <w:rsid w:val="00536F22"/>
    <w:rsid w:val="00536F43"/>
    <w:rsid w:val="0053707B"/>
    <w:rsid w:val="00537343"/>
    <w:rsid w:val="00537444"/>
    <w:rsid w:val="00537448"/>
    <w:rsid w:val="0053752D"/>
    <w:rsid w:val="00537558"/>
    <w:rsid w:val="005376CD"/>
    <w:rsid w:val="00537893"/>
    <w:rsid w:val="00537B7C"/>
    <w:rsid w:val="005401FF"/>
    <w:rsid w:val="00540275"/>
    <w:rsid w:val="00540401"/>
    <w:rsid w:val="00540424"/>
    <w:rsid w:val="005404A2"/>
    <w:rsid w:val="00540543"/>
    <w:rsid w:val="005405AB"/>
    <w:rsid w:val="005405B2"/>
    <w:rsid w:val="005405D9"/>
    <w:rsid w:val="00540611"/>
    <w:rsid w:val="005407FB"/>
    <w:rsid w:val="00540CFD"/>
    <w:rsid w:val="00540D2C"/>
    <w:rsid w:val="005413CA"/>
    <w:rsid w:val="00541578"/>
    <w:rsid w:val="0054190E"/>
    <w:rsid w:val="00541AB8"/>
    <w:rsid w:val="00541C1B"/>
    <w:rsid w:val="00542062"/>
    <w:rsid w:val="0054220D"/>
    <w:rsid w:val="005422BC"/>
    <w:rsid w:val="005423A4"/>
    <w:rsid w:val="0054243E"/>
    <w:rsid w:val="005424CA"/>
    <w:rsid w:val="00542732"/>
    <w:rsid w:val="0054273A"/>
    <w:rsid w:val="0054274E"/>
    <w:rsid w:val="005428CD"/>
    <w:rsid w:val="005428F5"/>
    <w:rsid w:val="00542A1F"/>
    <w:rsid w:val="00542C44"/>
    <w:rsid w:val="00542D69"/>
    <w:rsid w:val="00542E74"/>
    <w:rsid w:val="00542EC3"/>
    <w:rsid w:val="005430D8"/>
    <w:rsid w:val="00543185"/>
    <w:rsid w:val="005431EE"/>
    <w:rsid w:val="00543291"/>
    <w:rsid w:val="005432C2"/>
    <w:rsid w:val="005432CF"/>
    <w:rsid w:val="00543510"/>
    <w:rsid w:val="005435FF"/>
    <w:rsid w:val="0054360E"/>
    <w:rsid w:val="00543636"/>
    <w:rsid w:val="00543842"/>
    <w:rsid w:val="00543A31"/>
    <w:rsid w:val="00543B3C"/>
    <w:rsid w:val="005440C7"/>
    <w:rsid w:val="00544178"/>
    <w:rsid w:val="00544397"/>
    <w:rsid w:val="0054447E"/>
    <w:rsid w:val="00544519"/>
    <w:rsid w:val="005445E8"/>
    <w:rsid w:val="005449E0"/>
    <w:rsid w:val="005449F0"/>
    <w:rsid w:val="00544A2B"/>
    <w:rsid w:val="00544A9C"/>
    <w:rsid w:val="00544C4D"/>
    <w:rsid w:val="0054515B"/>
    <w:rsid w:val="005451AB"/>
    <w:rsid w:val="005453FF"/>
    <w:rsid w:val="00545576"/>
    <w:rsid w:val="005455E2"/>
    <w:rsid w:val="005456B2"/>
    <w:rsid w:val="0054574E"/>
    <w:rsid w:val="00545975"/>
    <w:rsid w:val="00545E40"/>
    <w:rsid w:val="00546063"/>
    <w:rsid w:val="00546288"/>
    <w:rsid w:val="00546743"/>
    <w:rsid w:val="00546DD8"/>
    <w:rsid w:val="00546F9F"/>
    <w:rsid w:val="00546FAB"/>
    <w:rsid w:val="005470A8"/>
    <w:rsid w:val="00547170"/>
    <w:rsid w:val="005471E5"/>
    <w:rsid w:val="00547286"/>
    <w:rsid w:val="00547376"/>
    <w:rsid w:val="00547453"/>
    <w:rsid w:val="005474F7"/>
    <w:rsid w:val="00547539"/>
    <w:rsid w:val="00547BC3"/>
    <w:rsid w:val="00547FFB"/>
    <w:rsid w:val="0055008C"/>
    <w:rsid w:val="00550449"/>
    <w:rsid w:val="00550582"/>
    <w:rsid w:val="005505C8"/>
    <w:rsid w:val="00550673"/>
    <w:rsid w:val="0055073B"/>
    <w:rsid w:val="00550818"/>
    <w:rsid w:val="0055083E"/>
    <w:rsid w:val="0055085F"/>
    <w:rsid w:val="005508D9"/>
    <w:rsid w:val="005509D6"/>
    <w:rsid w:val="00550A01"/>
    <w:rsid w:val="00550B96"/>
    <w:rsid w:val="00550C2C"/>
    <w:rsid w:val="00550CF5"/>
    <w:rsid w:val="00550CFD"/>
    <w:rsid w:val="00550DA1"/>
    <w:rsid w:val="00550EFE"/>
    <w:rsid w:val="00550F72"/>
    <w:rsid w:val="00551051"/>
    <w:rsid w:val="005510C9"/>
    <w:rsid w:val="005510E4"/>
    <w:rsid w:val="005511D9"/>
    <w:rsid w:val="005513E2"/>
    <w:rsid w:val="005517F0"/>
    <w:rsid w:val="00551801"/>
    <w:rsid w:val="00551A24"/>
    <w:rsid w:val="005520B1"/>
    <w:rsid w:val="0055230B"/>
    <w:rsid w:val="00552455"/>
    <w:rsid w:val="005525A3"/>
    <w:rsid w:val="0055293C"/>
    <w:rsid w:val="00552CA7"/>
    <w:rsid w:val="00552F8D"/>
    <w:rsid w:val="00553373"/>
    <w:rsid w:val="00553387"/>
    <w:rsid w:val="0055347F"/>
    <w:rsid w:val="00553482"/>
    <w:rsid w:val="00553494"/>
    <w:rsid w:val="00553504"/>
    <w:rsid w:val="00553586"/>
    <w:rsid w:val="00553599"/>
    <w:rsid w:val="0055361A"/>
    <w:rsid w:val="005536FB"/>
    <w:rsid w:val="00553B7A"/>
    <w:rsid w:val="00553BC3"/>
    <w:rsid w:val="0055401D"/>
    <w:rsid w:val="0055409B"/>
    <w:rsid w:val="00554280"/>
    <w:rsid w:val="005544F1"/>
    <w:rsid w:val="0055454E"/>
    <w:rsid w:val="00554654"/>
    <w:rsid w:val="00554789"/>
    <w:rsid w:val="005547FA"/>
    <w:rsid w:val="005548EF"/>
    <w:rsid w:val="00554967"/>
    <w:rsid w:val="00554AB8"/>
    <w:rsid w:val="00554AF8"/>
    <w:rsid w:val="00554DD9"/>
    <w:rsid w:val="00554E74"/>
    <w:rsid w:val="00554FC8"/>
    <w:rsid w:val="0055521C"/>
    <w:rsid w:val="005553C3"/>
    <w:rsid w:val="00555447"/>
    <w:rsid w:val="005554A5"/>
    <w:rsid w:val="005555FC"/>
    <w:rsid w:val="005557DB"/>
    <w:rsid w:val="00555928"/>
    <w:rsid w:val="00555AE0"/>
    <w:rsid w:val="00555CA6"/>
    <w:rsid w:val="00555FF6"/>
    <w:rsid w:val="00556195"/>
    <w:rsid w:val="005561C9"/>
    <w:rsid w:val="0055623A"/>
    <w:rsid w:val="00556276"/>
    <w:rsid w:val="005562B1"/>
    <w:rsid w:val="00556607"/>
    <w:rsid w:val="00556612"/>
    <w:rsid w:val="005566FB"/>
    <w:rsid w:val="0055672B"/>
    <w:rsid w:val="00556928"/>
    <w:rsid w:val="00556A4A"/>
    <w:rsid w:val="00556AAA"/>
    <w:rsid w:val="00556AB3"/>
    <w:rsid w:val="00556B11"/>
    <w:rsid w:val="00556D8C"/>
    <w:rsid w:val="00556E03"/>
    <w:rsid w:val="00556E64"/>
    <w:rsid w:val="00556F9C"/>
    <w:rsid w:val="00557054"/>
    <w:rsid w:val="005570A5"/>
    <w:rsid w:val="0055712E"/>
    <w:rsid w:val="00557153"/>
    <w:rsid w:val="005571A8"/>
    <w:rsid w:val="005571F2"/>
    <w:rsid w:val="0055720A"/>
    <w:rsid w:val="005573A2"/>
    <w:rsid w:val="00557579"/>
    <w:rsid w:val="00557586"/>
    <w:rsid w:val="005575A9"/>
    <w:rsid w:val="0055761A"/>
    <w:rsid w:val="005578BD"/>
    <w:rsid w:val="005579FB"/>
    <w:rsid w:val="00557A4F"/>
    <w:rsid w:val="00557D88"/>
    <w:rsid w:val="00557E3F"/>
    <w:rsid w:val="00557EC5"/>
    <w:rsid w:val="00557FB6"/>
    <w:rsid w:val="00560082"/>
    <w:rsid w:val="005600E9"/>
    <w:rsid w:val="00560245"/>
    <w:rsid w:val="0056030B"/>
    <w:rsid w:val="00560455"/>
    <w:rsid w:val="005609C1"/>
    <w:rsid w:val="00560F45"/>
    <w:rsid w:val="00560FC8"/>
    <w:rsid w:val="0056112D"/>
    <w:rsid w:val="00561141"/>
    <w:rsid w:val="00561274"/>
    <w:rsid w:val="005612DD"/>
    <w:rsid w:val="005615E6"/>
    <w:rsid w:val="0056179F"/>
    <w:rsid w:val="00561875"/>
    <w:rsid w:val="005618DF"/>
    <w:rsid w:val="00561D05"/>
    <w:rsid w:val="00562009"/>
    <w:rsid w:val="00562196"/>
    <w:rsid w:val="005621D7"/>
    <w:rsid w:val="00562283"/>
    <w:rsid w:val="0056238F"/>
    <w:rsid w:val="00562486"/>
    <w:rsid w:val="00562521"/>
    <w:rsid w:val="0056270D"/>
    <w:rsid w:val="0056276C"/>
    <w:rsid w:val="00562AFC"/>
    <w:rsid w:val="00562BDD"/>
    <w:rsid w:val="00562C0C"/>
    <w:rsid w:val="00562D9A"/>
    <w:rsid w:val="00563022"/>
    <w:rsid w:val="005630C9"/>
    <w:rsid w:val="0056312D"/>
    <w:rsid w:val="005631AF"/>
    <w:rsid w:val="005636A4"/>
    <w:rsid w:val="00563A00"/>
    <w:rsid w:val="00563A8D"/>
    <w:rsid w:val="00563AB2"/>
    <w:rsid w:val="00563C17"/>
    <w:rsid w:val="00563F65"/>
    <w:rsid w:val="00564299"/>
    <w:rsid w:val="005642CB"/>
    <w:rsid w:val="005643DF"/>
    <w:rsid w:val="00564426"/>
    <w:rsid w:val="005644BA"/>
    <w:rsid w:val="005645EC"/>
    <w:rsid w:val="00564931"/>
    <w:rsid w:val="0056495A"/>
    <w:rsid w:val="00564A79"/>
    <w:rsid w:val="00564AA9"/>
    <w:rsid w:val="00564BA2"/>
    <w:rsid w:val="00564C64"/>
    <w:rsid w:val="00564C65"/>
    <w:rsid w:val="00565232"/>
    <w:rsid w:val="0056544E"/>
    <w:rsid w:val="00565800"/>
    <w:rsid w:val="00565975"/>
    <w:rsid w:val="00565B22"/>
    <w:rsid w:val="00565BBF"/>
    <w:rsid w:val="00565D61"/>
    <w:rsid w:val="00565DB5"/>
    <w:rsid w:val="00565DC8"/>
    <w:rsid w:val="005665DA"/>
    <w:rsid w:val="005665E8"/>
    <w:rsid w:val="0056664D"/>
    <w:rsid w:val="005667B5"/>
    <w:rsid w:val="00566857"/>
    <w:rsid w:val="005669BF"/>
    <w:rsid w:val="00566C60"/>
    <w:rsid w:val="00566E5D"/>
    <w:rsid w:val="00566F53"/>
    <w:rsid w:val="00566F92"/>
    <w:rsid w:val="005673D6"/>
    <w:rsid w:val="00567483"/>
    <w:rsid w:val="00567C27"/>
    <w:rsid w:val="00567D09"/>
    <w:rsid w:val="00567FE8"/>
    <w:rsid w:val="005707B1"/>
    <w:rsid w:val="005707F8"/>
    <w:rsid w:val="005708C0"/>
    <w:rsid w:val="00570959"/>
    <w:rsid w:val="00570B17"/>
    <w:rsid w:val="00570B41"/>
    <w:rsid w:val="00570E24"/>
    <w:rsid w:val="00570F78"/>
    <w:rsid w:val="00570FD2"/>
    <w:rsid w:val="005711AD"/>
    <w:rsid w:val="00571736"/>
    <w:rsid w:val="00571744"/>
    <w:rsid w:val="00571798"/>
    <w:rsid w:val="00572173"/>
    <w:rsid w:val="005724B5"/>
    <w:rsid w:val="0057273A"/>
    <w:rsid w:val="0057280E"/>
    <w:rsid w:val="0057283F"/>
    <w:rsid w:val="005729EC"/>
    <w:rsid w:val="00572ACA"/>
    <w:rsid w:val="00572B68"/>
    <w:rsid w:val="00572D07"/>
    <w:rsid w:val="00572E21"/>
    <w:rsid w:val="00572E97"/>
    <w:rsid w:val="00572EA8"/>
    <w:rsid w:val="00573017"/>
    <w:rsid w:val="005731A4"/>
    <w:rsid w:val="00573373"/>
    <w:rsid w:val="00573526"/>
    <w:rsid w:val="00573587"/>
    <w:rsid w:val="005735F1"/>
    <w:rsid w:val="00573967"/>
    <w:rsid w:val="00573ACD"/>
    <w:rsid w:val="00573B16"/>
    <w:rsid w:val="00573B8C"/>
    <w:rsid w:val="00573CDB"/>
    <w:rsid w:val="00573FA7"/>
    <w:rsid w:val="00574277"/>
    <w:rsid w:val="0057432D"/>
    <w:rsid w:val="00574468"/>
    <w:rsid w:val="00574DA0"/>
    <w:rsid w:val="00574E52"/>
    <w:rsid w:val="00574F3B"/>
    <w:rsid w:val="005751C3"/>
    <w:rsid w:val="0057525A"/>
    <w:rsid w:val="0057539F"/>
    <w:rsid w:val="005753C5"/>
    <w:rsid w:val="0057545B"/>
    <w:rsid w:val="005754A5"/>
    <w:rsid w:val="00575592"/>
    <w:rsid w:val="0057561C"/>
    <w:rsid w:val="005757BE"/>
    <w:rsid w:val="005759C4"/>
    <w:rsid w:val="00575BBE"/>
    <w:rsid w:val="00575BF8"/>
    <w:rsid w:val="00575EAB"/>
    <w:rsid w:val="0057637A"/>
    <w:rsid w:val="005763F9"/>
    <w:rsid w:val="00576465"/>
    <w:rsid w:val="00576534"/>
    <w:rsid w:val="00576A2F"/>
    <w:rsid w:val="00576A6A"/>
    <w:rsid w:val="00576AD4"/>
    <w:rsid w:val="00576B02"/>
    <w:rsid w:val="00576F3F"/>
    <w:rsid w:val="00576F99"/>
    <w:rsid w:val="00577008"/>
    <w:rsid w:val="0057702E"/>
    <w:rsid w:val="00577171"/>
    <w:rsid w:val="00577220"/>
    <w:rsid w:val="0057731C"/>
    <w:rsid w:val="0057743C"/>
    <w:rsid w:val="005774F6"/>
    <w:rsid w:val="005777B7"/>
    <w:rsid w:val="005777C4"/>
    <w:rsid w:val="005777DF"/>
    <w:rsid w:val="00577948"/>
    <w:rsid w:val="0057796F"/>
    <w:rsid w:val="00577B46"/>
    <w:rsid w:val="00577F37"/>
    <w:rsid w:val="00577FF3"/>
    <w:rsid w:val="0058005D"/>
    <w:rsid w:val="0058011C"/>
    <w:rsid w:val="0058024F"/>
    <w:rsid w:val="00580485"/>
    <w:rsid w:val="0058050A"/>
    <w:rsid w:val="005807CD"/>
    <w:rsid w:val="0058095B"/>
    <w:rsid w:val="0058098D"/>
    <w:rsid w:val="00580BF8"/>
    <w:rsid w:val="00580D6D"/>
    <w:rsid w:val="00580D9F"/>
    <w:rsid w:val="00580E0F"/>
    <w:rsid w:val="00580F01"/>
    <w:rsid w:val="00581023"/>
    <w:rsid w:val="005810BD"/>
    <w:rsid w:val="005811D3"/>
    <w:rsid w:val="005813B2"/>
    <w:rsid w:val="00581411"/>
    <w:rsid w:val="00581466"/>
    <w:rsid w:val="005814B1"/>
    <w:rsid w:val="005815C9"/>
    <w:rsid w:val="005819A0"/>
    <w:rsid w:val="00581B8E"/>
    <w:rsid w:val="00581CA9"/>
    <w:rsid w:val="00581F45"/>
    <w:rsid w:val="00581F8A"/>
    <w:rsid w:val="0058216C"/>
    <w:rsid w:val="00582A51"/>
    <w:rsid w:val="00582FFF"/>
    <w:rsid w:val="005831D6"/>
    <w:rsid w:val="005835C3"/>
    <w:rsid w:val="0058375F"/>
    <w:rsid w:val="00583929"/>
    <w:rsid w:val="00583959"/>
    <w:rsid w:val="005839CA"/>
    <w:rsid w:val="00583DF1"/>
    <w:rsid w:val="00583DFA"/>
    <w:rsid w:val="00583E28"/>
    <w:rsid w:val="00584093"/>
    <w:rsid w:val="005840D2"/>
    <w:rsid w:val="00584281"/>
    <w:rsid w:val="00584314"/>
    <w:rsid w:val="0058436A"/>
    <w:rsid w:val="005844EE"/>
    <w:rsid w:val="0058454C"/>
    <w:rsid w:val="005845EF"/>
    <w:rsid w:val="005847F3"/>
    <w:rsid w:val="0058481D"/>
    <w:rsid w:val="00584853"/>
    <w:rsid w:val="00584A06"/>
    <w:rsid w:val="00584BCA"/>
    <w:rsid w:val="00584D3F"/>
    <w:rsid w:val="00584EAA"/>
    <w:rsid w:val="005850F4"/>
    <w:rsid w:val="0058520D"/>
    <w:rsid w:val="00585288"/>
    <w:rsid w:val="00585383"/>
    <w:rsid w:val="005856D6"/>
    <w:rsid w:val="00585964"/>
    <w:rsid w:val="005859BB"/>
    <w:rsid w:val="00585CA7"/>
    <w:rsid w:val="00585EF5"/>
    <w:rsid w:val="00585FDA"/>
    <w:rsid w:val="00586057"/>
    <w:rsid w:val="00586364"/>
    <w:rsid w:val="0058637C"/>
    <w:rsid w:val="005864F3"/>
    <w:rsid w:val="005867FD"/>
    <w:rsid w:val="005868F0"/>
    <w:rsid w:val="00586908"/>
    <w:rsid w:val="00586C62"/>
    <w:rsid w:val="00586C6D"/>
    <w:rsid w:val="00586D4B"/>
    <w:rsid w:val="00587204"/>
    <w:rsid w:val="005878D4"/>
    <w:rsid w:val="00587C44"/>
    <w:rsid w:val="00587CB8"/>
    <w:rsid w:val="00587D8D"/>
    <w:rsid w:val="00587E7F"/>
    <w:rsid w:val="00590116"/>
    <w:rsid w:val="005903BC"/>
    <w:rsid w:val="00590A33"/>
    <w:rsid w:val="00590B66"/>
    <w:rsid w:val="00590BAC"/>
    <w:rsid w:val="00590EC5"/>
    <w:rsid w:val="00590F70"/>
    <w:rsid w:val="005910B0"/>
    <w:rsid w:val="005910C3"/>
    <w:rsid w:val="005913E2"/>
    <w:rsid w:val="005913F3"/>
    <w:rsid w:val="005914CC"/>
    <w:rsid w:val="00591632"/>
    <w:rsid w:val="0059196C"/>
    <w:rsid w:val="00591C06"/>
    <w:rsid w:val="00591C14"/>
    <w:rsid w:val="00591C3F"/>
    <w:rsid w:val="00591D2A"/>
    <w:rsid w:val="00591DDF"/>
    <w:rsid w:val="00591F2C"/>
    <w:rsid w:val="00591F32"/>
    <w:rsid w:val="00592401"/>
    <w:rsid w:val="0059247D"/>
    <w:rsid w:val="00592612"/>
    <w:rsid w:val="00592645"/>
    <w:rsid w:val="005928DD"/>
    <w:rsid w:val="00592E35"/>
    <w:rsid w:val="00592E80"/>
    <w:rsid w:val="00592EB9"/>
    <w:rsid w:val="00592ED2"/>
    <w:rsid w:val="0059305F"/>
    <w:rsid w:val="005932B8"/>
    <w:rsid w:val="00593643"/>
    <w:rsid w:val="005938C2"/>
    <w:rsid w:val="00593D1F"/>
    <w:rsid w:val="00593ED8"/>
    <w:rsid w:val="00594075"/>
    <w:rsid w:val="00594221"/>
    <w:rsid w:val="005944C7"/>
    <w:rsid w:val="005944EA"/>
    <w:rsid w:val="0059451E"/>
    <w:rsid w:val="00594592"/>
    <w:rsid w:val="0059528E"/>
    <w:rsid w:val="005954A8"/>
    <w:rsid w:val="00595716"/>
    <w:rsid w:val="00595E0B"/>
    <w:rsid w:val="00596014"/>
    <w:rsid w:val="0059655B"/>
    <w:rsid w:val="00596686"/>
    <w:rsid w:val="005966D9"/>
    <w:rsid w:val="00596781"/>
    <w:rsid w:val="0059685E"/>
    <w:rsid w:val="00596AAB"/>
    <w:rsid w:val="00596ADF"/>
    <w:rsid w:val="00596B82"/>
    <w:rsid w:val="00596EAC"/>
    <w:rsid w:val="005970F5"/>
    <w:rsid w:val="0059714C"/>
    <w:rsid w:val="00597417"/>
    <w:rsid w:val="00597469"/>
    <w:rsid w:val="00597618"/>
    <w:rsid w:val="0059771A"/>
    <w:rsid w:val="005978C9"/>
    <w:rsid w:val="00597A9A"/>
    <w:rsid w:val="00597B7B"/>
    <w:rsid w:val="005A0281"/>
    <w:rsid w:val="005A0A18"/>
    <w:rsid w:val="005A0C20"/>
    <w:rsid w:val="005A0D3A"/>
    <w:rsid w:val="005A0EEB"/>
    <w:rsid w:val="005A11D9"/>
    <w:rsid w:val="005A12C4"/>
    <w:rsid w:val="005A1349"/>
    <w:rsid w:val="005A1370"/>
    <w:rsid w:val="005A1765"/>
    <w:rsid w:val="005A185D"/>
    <w:rsid w:val="005A1AB6"/>
    <w:rsid w:val="005A1B77"/>
    <w:rsid w:val="005A1CB8"/>
    <w:rsid w:val="005A1CE1"/>
    <w:rsid w:val="005A1CEE"/>
    <w:rsid w:val="005A1D00"/>
    <w:rsid w:val="005A1D1C"/>
    <w:rsid w:val="005A1DAE"/>
    <w:rsid w:val="005A1FE8"/>
    <w:rsid w:val="005A207E"/>
    <w:rsid w:val="005A2462"/>
    <w:rsid w:val="005A2650"/>
    <w:rsid w:val="005A2676"/>
    <w:rsid w:val="005A2868"/>
    <w:rsid w:val="005A28B4"/>
    <w:rsid w:val="005A2920"/>
    <w:rsid w:val="005A293B"/>
    <w:rsid w:val="005A2AC9"/>
    <w:rsid w:val="005A2AFA"/>
    <w:rsid w:val="005A2C75"/>
    <w:rsid w:val="005A2FB7"/>
    <w:rsid w:val="005A303D"/>
    <w:rsid w:val="005A3095"/>
    <w:rsid w:val="005A331B"/>
    <w:rsid w:val="005A3372"/>
    <w:rsid w:val="005A372E"/>
    <w:rsid w:val="005A3944"/>
    <w:rsid w:val="005A3DA0"/>
    <w:rsid w:val="005A45C0"/>
    <w:rsid w:val="005A4657"/>
    <w:rsid w:val="005A470E"/>
    <w:rsid w:val="005A48E8"/>
    <w:rsid w:val="005A49B4"/>
    <w:rsid w:val="005A4C20"/>
    <w:rsid w:val="005A4C70"/>
    <w:rsid w:val="005A4FC3"/>
    <w:rsid w:val="005A5246"/>
    <w:rsid w:val="005A52A4"/>
    <w:rsid w:val="005A533F"/>
    <w:rsid w:val="005A5390"/>
    <w:rsid w:val="005A5460"/>
    <w:rsid w:val="005A5465"/>
    <w:rsid w:val="005A57D3"/>
    <w:rsid w:val="005A5A83"/>
    <w:rsid w:val="005A5ABD"/>
    <w:rsid w:val="005A5AF7"/>
    <w:rsid w:val="005A5D7B"/>
    <w:rsid w:val="005A5DC2"/>
    <w:rsid w:val="005A5F57"/>
    <w:rsid w:val="005A61BD"/>
    <w:rsid w:val="005A6387"/>
    <w:rsid w:val="005A63FD"/>
    <w:rsid w:val="005A6568"/>
    <w:rsid w:val="005A6763"/>
    <w:rsid w:val="005A69EF"/>
    <w:rsid w:val="005A6E34"/>
    <w:rsid w:val="005A6ECB"/>
    <w:rsid w:val="005A6ECE"/>
    <w:rsid w:val="005A6FB0"/>
    <w:rsid w:val="005A7227"/>
    <w:rsid w:val="005A73A7"/>
    <w:rsid w:val="005A7619"/>
    <w:rsid w:val="005A763D"/>
    <w:rsid w:val="005A7B15"/>
    <w:rsid w:val="005A7BB9"/>
    <w:rsid w:val="005A7CF8"/>
    <w:rsid w:val="005B00DE"/>
    <w:rsid w:val="005B0395"/>
    <w:rsid w:val="005B05B3"/>
    <w:rsid w:val="005B0650"/>
    <w:rsid w:val="005B0713"/>
    <w:rsid w:val="005B08AD"/>
    <w:rsid w:val="005B094D"/>
    <w:rsid w:val="005B0D60"/>
    <w:rsid w:val="005B0D9F"/>
    <w:rsid w:val="005B11DE"/>
    <w:rsid w:val="005B142A"/>
    <w:rsid w:val="005B153B"/>
    <w:rsid w:val="005B1912"/>
    <w:rsid w:val="005B1971"/>
    <w:rsid w:val="005B1D08"/>
    <w:rsid w:val="005B1DE4"/>
    <w:rsid w:val="005B1EB4"/>
    <w:rsid w:val="005B249C"/>
    <w:rsid w:val="005B24EB"/>
    <w:rsid w:val="005B2578"/>
    <w:rsid w:val="005B26CB"/>
    <w:rsid w:val="005B26FA"/>
    <w:rsid w:val="005B27FA"/>
    <w:rsid w:val="005B28B0"/>
    <w:rsid w:val="005B2A26"/>
    <w:rsid w:val="005B2AAD"/>
    <w:rsid w:val="005B2C48"/>
    <w:rsid w:val="005B2E0D"/>
    <w:rsid w:val="005B2E3B"/>
    <w:rsid w:val="005B305E"/>
    <w:rsid w:val="005B336F"/>
    <w:rsid w:val="005B374F"/>
    <w:rsid w:val="005B3888"/>
    <w:rsid w:val="005B3898"/>
    <w:rsid w:val="005B38C9"/>
    <w:rsid w:val="005B3D1C"/>
    <w:rsid w:val="005B3E35"/>
    <w:rsid w:val="005B3F8D"/>
    <w:rsid w:val="005B3FA9"/>
    <w:rsid w:val="005B4062"/>
    <w:rsid w:val="005B406D"/>
    <w:rsid w:val="005B412D"/>
    <w:rsid w:val="005B4619"/>
    <w:rsid w:val="005B4621"/>
    <w:rsid w:val="005B476B"/>
    <w:rsid w:val="005B478D"/>
    <w:rsid w:val="005B4914"/>
    <w:rsid w:val="005B4A45"/>
    <w:rsid w:val="005B4FC6"/>
    <w:rsid w:val="005B5184"/>
    <w:rsid w:val="005B550E"/>
    <w:rsid w:val="005B58DB"/>
    <w:rsid w:val="005B5FE9"/>
    <w:rsid w:val="005B62C9"/>
    <w:rsid w:val="005B6394"/>
    <w:rsid w:val="005B63F3"/>
    <w:rsid w:val="005B674F"/>
    <w:rsid w:val="005B68A9"/>
    <w:rsid w:val="005B68EA"/>
    <w:rsid w:val="005B6B30"/>
    <w:rsid w:val="005B6DE6"/>
    <w:rsid w:val="005B6E03"/>
    <w:rsid w:val="005B6E86"/>
    <w:rsid w:val="005B6F38"/>
    <w:rsid w:val="005B6F58"/>
    <w:rsid w:val="005B7116"/>
    <w:rsid w:val="005B72A8"/>
    <w:rsid w:val="005B7450"/>
    <w:rsid w:val="005B74BB"/>
    <w:rsid w:val="005B75A4"/>
    <w:rsid w:val="005B75D8"/>
    <w:rsid w:val="005B78CD"/>
    <w:rsid w:val="005B79AF"/>
    <w:rsid w:val="005C020F"/>
    <w:rsid w:val="005C026A"/>
    <w:rsid w:val="005C02AA"/>
    <w:rsid w:val="005C02F5"/>
    <w:rsid w:val="005C075E"/>
    <w:rsid w:val="005C08A7"/>
    <w:rsid w:val="005C0959"/>
    <w:rsid w:val="005C09E7"/>
    <w:rsid w:val="005C0A7B"/>
    <w:rsid w:val="005C0A9B"/>
    <w:rsid w:val="005C0AEB"/>
    <w:rsid w:val="005C0BBD"/>
    <w:rsid w:val="005C0E88"/>
    <w:rsid w:val="005C10F2"/>
    <w:rsid w:val="005C113C"/>
    <w:rsid w:val="005C119B"/>
    <w:rsid w:val="005C15ED"/>
    <w:rsid w:val="005C1790"/>
    <w:rsid w:val="005C1A23"/>
    <w:rsid w:val="005C1D21"/>
    <w:rsid w:val="005C2148"/>
    <w:rsid w:val="005C21D7"/>
    <w:rsid w:val="005C245A"/>
    <w:rsid w:val="005C258D"/>
    <w:rsid w:val="005C26E2"/>
    <w:rsid w:val="005C2A2C"/>
    <w:rsid w:val="005C2BCD"/>
    <w:rsid w:val="005C310F"/>
    <w:rsid w:val="005C32D3"/>
    <w:rsid w:val="005C3372"/>
    <w:rsid w:val="005C3434"/>
    <w:rsid w:val="005C35C9"/>
    <w:rsid w:val="005C3638"/>
    <w:rsid w:val="005C3B57"/>
    <w:rsid w:val="005C3CE3"/>
    <w:rsid w:val="005C3D2B"/>
    <w:rsid w:val="005C3D5C"/>
    <w:rsid w:val="005C3EF5"/>
    <w:rsid w:val="005C3F79"/>
    <w:rsid w:val="005C40E7"/>
    <w:rsid w:val="005C4142"/>
    <w:rsid w:val="005C428D"/>
    <w:rsid w:val="005C4362"/>
    <w:rsid w:val="005C4396"/>
    <w:rsid w:val="005C49D5"/>
    <w:rsid w:val="005C4ACD"/>
    <w:rsid w:val="005C4AEE"/>
    <w:rsid w:val="005C4C82"/>
    <w:rsid w:val="005C4D1B"/>
    <w:rsid w:val="005C4DD1"/>
    <w:rsid w:val="005C4F5E"/>
    <w:rsid w:val="005C4FCC"/>
    <w:rsid w:val="005C54F8"/>
    <w:rsid w:val="005C5564"/>
    <w:rsid w:val="005C560C"/>
    <w:rsid w:val="005C5665"/>
    <w:rsid w:val="005C57B0"/>
    <w:rsid w:val="005C589E"/>
    <w:rsid w:val="005C5B01"/>
    <w:rsid w:val="005C5CA4"/>
    <w:rsid w:val="005C5F28"/>
    <w:rsid w:val="005C5FA3"/>
    <w:rsid w:val="005C610E"/>
    <w:rsid w:val="005C63EE"/>
    <w:rsid w:val="005C6510"/>
    <w:rsid w:val="005C666D"/>
    <w:rsid w:val="005C68D9"/>
    <w:rsid w:val="005C6B53"/>
    <w:rsid w:val="005C6B74"/>
    <w:rsid w:val="005C6D5D"/>
    <w:rsid w:val="005C7225"/>
    <w:rsid w:val="005C72A5"/>
    <w:rsid w:val="005C7405"/>
    <w:rsid w:val="005C7428"/>
    <w:rsid w:val="005C763C"/>
    <w:rsid w:val="005C772F"/>
    <w:rsid w:val="005C7AE8"/>
    <w:rsid w:val="005C7BDF"/>
    <w:rsid w:val="005C7CD9"/>
    <w:rsid w:val="005C7EF8"/>
    <w:rsid w:val="005C7F50"/>
    <w:rsid w:val="005D023E"/>
    <w:rsid w:val="005D035C"/>
    <w:rsid w:val="005D06F2"/>
    <w:rsid w:val="005D0783"/>
    <w:rsid w:val="005D07EC"/>
    <w:rsid w:val="005D0936"/>
    <w:rsid w:val="005D0B1F"/>
    <w:rsid w:val="005D0E68"/>
    <w:rsid w:val="005D0FF6"/>
    <w:rsid w:val="005D10C3"/>
    <w:rsid w:val="005D11F5"/>
    <w:rsid w:val="005D144F"/>
    <w:rsid w:val="005D148C"/>
    <w:rsid w:val="005D14D2"/>
    <w:rsid w:val="005D15CD"/>
    <w:rsid w:val="005D17BF"/>
    <w:rsid w:val="005D183D"/>
    <w:rsid w:val="005D188C"/>
    <w:rsid w:val="005D1962"/>
    <w:rsid w:val="005D19D4"/>
    <w:rsid w:val="005D1A3A"/>
    <w:rsid w:val="005D1C2F"/>
    <w:rsid w:val="005D20F2"/>
    <w:rsid w:val="005D2120"/>
    <w:rsid w:val="005D2134"/>
    <w:rsid w:val="005D21A0"/>
    <w:rsid w:val="005D244F"/>
    <w:rsid w:val="005D253B"/>
    <w:rsid w:val="005D263F"/>
    <w:rsid w:val="005D2738"/>
    <w:rsid w:val="005D2B1D"/>
    <w:rsid w:val="005D2B3C"/>
    <w:rsid w:val="005D2BA1"/>
    <w:rsid w:val="005D2F83"/>
    <w:rsid w:val="005D2FF3"/>
    <w:rsid w:val="005D3013"/>
    <w:rsid w:val="005D3144"/>
    <w:rsid w:val="005D3482"/>
    <w:rsid w:val="005D34E4"/>
    <w:rsid w:val="005D35DA"/>
    <w:rsid w:val="005D3816"/>
    <w:rsid w:val="005D3897"/>
    <w:rsid w:val="005D392E"/>
    <w:rsid w:val="005D3A0D"/>
    <w:rsid w:val="005D3B03"/>
    <w:rsid w:val="005D3B2A"/>
    <w:rsid w:val="005D3BA7"/>
    <w:rsid w:val="005D3D58"/>
    <w:rsid w:val="005D3DCE"/>
    <w:rsid w:val="005D3F2A"/>
    <w:rsid w:val="005D3F92"/>
    <w:rsid w:val="005D4128"/>
    <w:rsid w:val="005D41AF"/>
    <w:rsid w:val="005D45A9"/>
    <w:rsid w:val="005D45F8"/>
    <w:rsid w:val="005D45FD"/>
    <w:rsid w:val="005D4730"/>
    <w:rsid w:val="005D4865"/>
    <w:rsid w:val="005D4CDB"/>
    <w:rsid w:val="005D4ED8"/>
    <w:rsid w:val="005D4F5C"/>
    <w:rsid w:val="005D4F66"/>
    <w:rsid w:val="005D513F"/>
    <w:rsid w:val="005D530F"/>
    <w:rsid w:val="005D54A3"/>
    <w:rsid w:val="005D56D9"/>
    <w:rsid w:val="005D58A2"/>
    <w:rsid w:val="005D5AAC"/>
    <w:rsid w:val="005D5B15"/>
    <w:rsid w:val="005D5B79"/>
    <w:rsid w:val="005D5B9F"/>
    <w:rsid w:val="005D6113"/>
    <w:rsid w:val="005D64CB"/>
    <w:rsid w:val="005D64D6"/>
    <w:rsid w:val="005D694B"/>
    <w:rsid w:val="005D6A19"/>
    <w:rsid w:val="005D6A77"/>
    <w:rsid w:val="005D6AE1"/>
    <w:rsid w:val="005D6B27"/>
    <w:rsid w:val="005D6C93"/>
    <w:rsid w:val="005D6DF1"/>
    <w:rsid w:val="005D6F3B"/>
    <w:rsid w:val="005D6F41"/>
    <w:rsid w:val="005D7209"/>
    <w:rsid w:val="005D7368"/>
    <w:rsid w:val="005D73ED"/>
    <w:rsid w:val="005D799A"/>
    <w:rsid w:val="005D79C8"/>
    <w:rsid w:val="005D79E5"/>
    <w:rsid w:val="005D7A7E"/>
    <w:rsid w:val="005D7ABB"/>
    <w:rsid w:val="005D7BE3"/>
    <w:rsid w:val="005D7D11"/>
    <w:rsid w:val="005D7DFD"/>
    <w:rsid w:val="005E0389"/>
    <w:rsid w:val="005E057E"/>
    <w:rsid w:val="005E0651"/>
    <w:rsid w:val="005E06D2"/>
    <w:rsid w:val="005E0826"/>
    <w:rsid w:val="005E0F76"/>
    <w:rsid w:val="005E112C"/>
    <w:rsid w:val="005E115A"/>
    <w:rsid w:val="005E12B3"/>
    <w:rsid w:val="005E13B9"/>
    <w:rsid w:val="005E1518"/>
    <w:rsid w:val="005E15CB"/>
    <w:rsid w:val="005E16AE"/>
    <w:rsid w:val="005E1C79"/>
    <w:rsid w:val="005E1DB8"/>
    <w:rsid w:val="005E1DC6"/>
    <w:rsid w:val="005E213F"/>
    <w:rsid w:val="005E23E3"/>
    <w:rsid w:val="005E263F"/>
    <w:rsid w:val="005E26FD"/>
    <w:rsid w:val="005E28D0"/>
    <w:rsid w:val="005E2A13"/>
    <w:rsid w:val="005E2A65"/>
    <w:rsid w:val="005E2AF9"/>
    <w:rsid w:val="005E2D09"/>
    <w:rsid w:val="005E30BC"/>
    <w:rsid w:val="005E30EF"/>
    <w:rsid w:val="005E334C"/>
    <w:rsid w:val="005E34D2"/>
    <w:rsid w:val="005E3605"/>
    <w:rsid w:val="005E3757"/>
    <w:rsid w:val="005E389A"/>
    <w:rsid w:val="005E3A70"/>
    <w:rsid w:val="005E3B4C"/>
    <w:rsid w:val="005E3C15"/>
    <w:rsid w:val="005E3CA7"/>
    <w:rsid w:val="005E3D1A"/>
    <w:rsid w:val="005E4157"/>
    <w:rsid w:val="005E41BA"/>
    <w:rsid w:val="005E4254"/>
    <w:rsid w:val="005E425A"/>
    <w:rsid w:val="005E4547"/>
    <w:rsid w:val="005E455E"/>
    <w:rsid w:val="005E49F0"/>
    <w:rsid w:val="005E4BF8"/>
    <w:rsid w:val="005E4C46"/>
    <w:rsid w:val="005E52B2"/>
    <w:rsid w:val="005E5570"/>
    <w:rsid w:val="005E58F1"/>
    <w:rsid w:val="005E5A5A"/>
    <w:rsid w:val="005E5FEB"/>
    <w:rsid w:val="005E63A0"/>
    <w:rsid w:val="005E64FB"/>
    <w:rsid w:val="005E68B9"/>
    <w:rsid w:val="005E6A5A"/>
    <w:rsid w:val="005E6B56"/>
    <w:rsid w:val="005E71EF"/>
    <w:rsid w:val="005E720B"/>
    <w:rsid w:val="005E746E"/>
    <w:rsid w:val="005E756B"/>
    <w:rsid w:val="005E7608"/>
    <w:rsid w:val="005E772D"/>
    <w:rsid w:val="005E77EC"/>
    <w:rsid w:val="005E7856"/>
    <w:rsid w:val="005E7B78"/>
    <w:rsid w:val="005E7ED7"/>
    <w:rsid w:val="005E7FC6"/>
    <w:rsid w:val="005F0210"/>
    <w:rsid w:val="005F03CF"/>
    <w:rsid w:val="005F05B1"/>
    <w:rsid w:val="005F07E4"/>
    <w:rsid w:val="005F0AB7"/>
    <w:rsid w:val="005F0DCF"/>
    <w:rsid w:val="005F0E2C"/>
    <w:rsid w:val="005F0F5B"/>
    <w:rsid w:val="005F1233"/>
    <w:rsid w:val="005F15F7"/>
    <w:rsid w:val="005F1725"/>
    <w:rsid w:val="005F199C"/>
    <w:rsid w:val="005F19A5"/>
    <w:rsid w:val="005F1BCC"/>
    <w:rsid w:val="005F1C3C"/>
    <w:rsid w:val="005F1D12"/>
    <w:rsid w:val="005F1F35"/>
    <w:rsid w:val="005F1F8F"/>
    <w:rsid w:val="005F20F4"/>
    <w:rsid w:val="005F23F1"/>
    <w:rsid w:val="005F250B"/>
    <w:rsid w:val="005F25C2"/>
    <w:rsid w:val="005F26AD"/>
    <w:rsid w:val="005F26F3"/>
    <w:rsid w:val="005F28EB"/>
    <w:rsid w:val="005F2976"/>
    <w:rsid w:val="005F2E4D"/>
    <w:rsid w:val="005F2FAA"/>
    <w:rsid w:val="005F3699"/>
    <w:rsid w:val="005F37CF"/>
    <w:rsid w:val="005F3871"/>
    <w:rsid w:val="005F390F"/>
    <w:rsid w:val="005F39C7"/>
    <w:rsid w:val="005F39EC"/>
    <w:rsid w:val="005F3BAB"/>
    <w:rsid w:val="005F3D37"/>
    <w:rsid w:val="005F3DF0"/>
    <w:rsid w:val="005F3F51"/>
    <w:rsid w:val="005F3F67"/>
    <w:rsid w:val="005F41B5"/>
    <w:rsid w:val="005F420F"/>
    <w:rsid w:val="005F4448"/>
    <w:rsid w:val="005F44CC"/>
    <w:rsid w:val="005F44ED"/>
    <w:rsid w:val="005F4504"/>
    <w:rsid w:val="005F4579"/>
    <w:rsid w:val="005F45A4"/>
    <w:rsid w:val="005F462D"/>
    <w:rsid w:val="005F47FB"/>
    <w:rsid w:val="005F499C"/>
    <w:rsid w:val="005F4A63"/>
    <w:rsid w:val="005F4BCB"/>
    <w:rsid w:val="005F4C94"/>
    <w:rsid w:val="005F4D87"/>
    <w:rsid w:val="005F4EEA"/>
    <w:rsid w:val="005F4F9F"/>
    <w:rsid w:val="005F51E6"/>
    <w:rsid w:val="005F576A"/>
    <w:rsid w:val="005F5838"/>
    <w:rsid w:val="005F5A87"/>
    <w:rsid w:val="005F5AD4"/>
    <w:rsid w:val="005F5C1A"/>
    <w:rsid w:val="005F5FE7"/>
    <w:rsid w:val="005F6120"/>
    <w:rsid w:val="005F621F"/>
    <w:rsid w:val="005F6246"/>
    <w:rsid w:val="005F6379"/>
    <w:rsid w:val="005F65C2"/>
    <w:rsid w:val="005F6679"/>
    <w:rsid w:val="005F6AC5"/>
    <w:rsid w:val="005F6B2F"/>
    <w:rsid w:val="005F6BAA"/>
    <w:rsid w:val="005F6C12"/>
    <w:rsid w:val="005F6F91"/>
    <w:rsid w:val="005F7064"/>
    <w:rsid w:val="005F7160"/>
    <w:rsid w:val="005F76BC"/>
    <w:rsid w:val="005F76C8"/>
    <w:rsid w:val="005F7722"/>
    <w:rsid w:val="005F7794"/>
    <w:rsid w:val="005F7C52"/>
    <w:rsid w:val="005F7C7D"/>
    <w:rsid w:val="005F7CAB"/>
    <w:rsid w:val="0060004C"/>
    <w:rsid w:val="006000C8"/>
    <w:rsid w:val="00600131"/>
    <w:rsid w:val="00600191"/>
    <w:rsid w:val="0060022F"/>
    <w:rsid w:val="00600629"/>
    <w:rsid w:val="006009A3"/>
    <w:rsid w:val="006009F3"/>
    <w:rsid w:val="00600B4A"/>
    <w:rsid w:val="00600D26"/>
    <w:rsid w:val="00600DAD"/>
    <w:rsid w:val="00600EDE"/>
    <w:rsid w:val="00601020"/>
    <w:rsid w:val="0060108B"/>
    <w:rsid w:val="00601145"/>
    <w:rsid w:val="00601237"/>
    <w:rsid w:val="00601256"/>
    <w:rsid w:val="006012D2"/>
    <w:rsid w:val="006013B1"/>
    <w:rsid w:val="006013B5"/>
    <w:rsid w:val="0060147E"/>
    <w:rsid w:val="0060163F"/>
    <w:rsid w:val="00601758"/>
    <w:rsid w:val="00601857"/>
    <w:rsid w:val="00601B9F"/>
    <w:rsid w:val="00601D0A"/>
    <w:rsid w:val="00601D6A"/>
    <w:rsid w:val="00601EA1"/>
    <w:rsid w:val="0060230F"/>
    <w:rsid w:val="0060247C"/>
    <w:rsid w:val="006024CB"/>
    <w:rsid w:val="006025F4"/>
    <w:rsid w:val="00602710"/>
    <w:rsid w:val="00602AFC"/>
    <w:rsid w:val="00602B08"/>
    <w:rsid w:val="00603296"/>
    <w:rsid w:val="006032A5"/>
    <w:rsid w:val="0060358A"/>
    <w:rsid w:val="006036A4"/>
    <w:rsid w:val="006037DB"/>
    <w:rsid w:val="0060380E"/>
    <w:rsid w:val="0060389E"/>
    <w:rsid w:val="006039C3"/>
    <w:rsid w:val="006039C7"/>
    <w:rsid w:val="00603C06"/>
    <w:rsid w:val="00603D2F"/>
    <w:rsid w:val="00603DF9"/>
    <w:rsid w:val="006040EA"/>
    <w:rsid w:val="00604148"/>
    <w:rsid w:val="0060452E"/>
    <w:rsid w:val="00604558"/>
    <w:rsid w:val="00604730"/>
    <w:rsid w:val="00604852"/>
    <w:rsid w:val="006049E0"/>
    <w:rsid w:val="00604A64"/>
    <w:rsid w:val="00604B4C"/>
    <w:rsid w:val="00604CDB"/>
    <w:rsid w:val="00604DE0"/>
    <w:rsid w:val="00604F83"/>
    <w:rsid w:val="00604FA6"/>
    <w:rsid w:val="0060509E"/>
    <w:rsid w:val="00605125"/>
    <w:rsid w:val="006052C8"/>
    <w:rsid w:val="0060530E"/>
    <w:rsid w:val="006056A4"/>
    <w:rsid w:val="00605983"/>
    <w:rsid w:val="00605EBC"/>
    <w:rsid w:val="00605FED"/>
    <w:rsid w:val="0060608B"/>
    <w:rsid w:val="00606122"/>
    <w:rsid w:val="006064F2"/>
    <w:rsid w:val="006066CE"/>
    <w:rsid w:val="00606727"/>
    <w:rsid w:val="006067A6"/>
    <w:rsid w:val="006067B3"/>
    <w:rsid w:val="00606B5E"/>
    <w:rsid w:val="00606CEA"/>
    <w:rsid w:val="00606D0D"/>
    <w:rsid w:val="0060707D"/>
    <w:rsid w:val="006070C3"/>
    <w:rsid w:val="006072CA"/>
    <w:rsid w:val="0060732D"/>
    <w:rsid w:val="00607709"/>
    <w:rsid w:val="0061038E"/>
    <w:rsid w:val="006109D5"/>
    <w:rsid w:val="00610DF4"/>
    <w:rsid w:val="00610E93"/>
    <w:rsid w:val="00610EC7"/>
    <w:rsid w:val="00610F15"/>
    <w:rsid w:val="00610FC8"/>
    <w:rsid w:val="0061122A"/>
    <w:rsid w:val="006113A5"/>
    <w:rsid w:val="00611572"/>
    <w:rsid w:val="0061162E"/>
    <w:rsid w:val="006116C8"/>
    <w:rsid w:val="006118B1"/>
    <w:rsid w:val="0061193D"/>
    <w:rsid w:val="006119EC"/>
    <w:rsid w:val="00611AA3"/>
    <w:rsid w:val="00611BBE"/>
    <w:rsid w:val="00611C36"/>
    <w:rsid w:val="00611DD8"/>
    <w:rsid w:val="00612502"/>
    <w:rsid w:val="00612589"/>
    <w:rsid w:val="0061262A"/>
    <w:rsid w:val="006127C3"/>
    <w:rsid w:val="0061296E"/>
    <w:rsid w:val="00612A31"/>
    <w:rsid w:val="00612C8E"/>
    <w:rsid w:val="00612FE0"/>
    <w:rsid w:val="0061334F"/>
    <w:rsid w:val="0061347B"/>
    <w:rsid w:val="0061376B"/>
    <w:rsid w:val="00613811"/>
    <w:rsid w:val="006138A5"/>
    <w:rsid w:val="006138AB"/>
    <w:rsid w:val="00613909"/>
    <w:rsid w:val="006139A1"/>
    <w:rsid w:val="00613A9B"/>
    <w:rsid w:val="00613B2B"/>
    <w:rsid w:val="00613BD1"/>
    <w:rsid w:val="00613C3D"/>
    <w:rsid w:val="00613E53"/>
    <w:rsid w:val="0061405A"/>
    <w:rsid w:val="006140F7"/>
    <w:rsid w:val="00614299"/>
    <w:rsid w:val="006144F3"/>
    <w:rsid w:val="0061453C"/>
    <w:rsid w:val="0061453F"/>
    <w:rsid w:val="006146F3"/>
    <w:rsid w:val="006147B9"/>
    <w:rsid w:val="00614BC6"/>
    <w:rsid w:val="00614C2F"/>
    <w:rsid w:val="00614CA9"/>
    <w:rsid w:val="00614CCD"/>
    <w:rsid w:val="00614D30"/>
    <w:rsid w:val="00614E58"/>
    <w:rsid w:val="00614EF9"/>
    <w:rsid w:val="00614F59"/>
    <w:rsid w:val="00614FB4"/>
    <w:rsid w:val="00614FB8"/>
    <w:rsid w:val="006150F9"/>
    <w:rsid w:val="00615289"/>
    <w:rsid w:val="006154F1"/>
    <w:rsid w:val="006157FC"/>
    <w:rsid w:val="006158D3"/>
    <w:rsid w:val="00615A06"/>
    <w:rsid w:val="00615C2C"/>
    <w:rsid w:val="00615D36"/>
    <w:rsid w:val="00615D5E"/>
    <w:rsid w:val="00615E50"/>
    <w:rsid w:val="006166D6"/>
    <w:rsid w:val="006167D2"/>
    <w:rsid w:val="006168FC"/>
    <w:rsid w:val="006169FF"/>
    <w:rsid w:val="00616D35"/>
    <w:rsid w:val="00617157"/>
    <w:rsid w:val="00617537"/>
    <w:rsid w:val="00617787"/>
    <w:rsid w:val="00617ADB"/>
    <w:rsid w:val="00617B51"/>
    <w:rsid w:val="00617C0B"/>
    <w:rsid w:val="00617C70"/>
    <w:rsid w:val="00617CBC"/>
    <w:rsid w:val="00617D05"/>
    <w:rsid w:val="00617E09"/>
    <w:rsid w:val="00617EF8"/>
    <w:rsid w:val="00617F8D"/>
    <w:rsid w:val="00620014"/>
    <w:rsid w:val="00620593"/>
    <w:rsid w:val="0062063B"/>
    <w:rsid w:val="00620663"/>
    <w:rsid w:val="0062096D"/>
    <w:rsid w:val="00620A1B"/>
    <w:rsid w:val="00620C2F"/>
    <w:rsid w:val="00620D59"/>
    <w:rsid w:val="00620F51"/>
    <w:rsid w:val="0062103A"/>
    <w:rsid w:val="00621175"/>
    <w:rsid w:val="006211CF"/>
    <w:rsid w:val="00621206"/>
    <w:rsid w:val="006212B4"/>
    <w:rsid w:val="0062152F"/>
    <w:rsid w:val="0062181A"/>
    <w:rsid w:val="00621C41"/>
    <w:rsid w:val="00621DF4"/>
    <w:rsid w:val="00621FA0"/>
    <w:rsid w:val="00622249"/>
    <w:rsid w:val="0062246B"/>
    <w:rsid w:val="006225BB"/>
    <w:rsid w:val="00622692"/>
    <w:rsid w:val="006226E7"/>
    <w:rsid w:val="006227F3"/>
    <w:rsid w:val="00622817"/>
    <w:rsid w:val="00622971"/>
    <w:rsid w:val="006229E8"/>
    <w:rsid w:val="00622BAE"/>
    <w:rsid w:val="00622C0E"/>
    <w:rsid w:val="00622C21"/>
    <w:rsid w:val="00622F0B"/>
    <w:rsid w:val="00622FCC"/>
    <w:rsid w:val="0062312A"/>
    <w:rsid w:val="006233C5"/>
    <w:rsid w:val="00623452"/>
    <w:rsid w:val="0062366A"/>
    <w:rsid w:val="006237E2"/>
    <w:rsid w:val="00623867"/>
    <w:rsid w:val="00624028"/>
    <w:rsid w:val="006241A3"/>
    <w:rsid w:val="006241B2"/>
    <w:rsid w:val="006242A8"/>
    <w:rsid w:val="006242BB"/>
    <w:rsid w:val="006242CC"/>
    <w:rsid w:val="006243CE"/>
    <w:rsid w:val="00624553"/>
    <w:rsid w:val="00624925"/>
    <w:rsid w:val="0062499F"/>
    <w:rsid w:val="006249E5"/>
    <w:rsid w:val="00624E0C"/>
    <w:rsid w:val="00624F07"/>
    <w:rsid w:val="0062507B"/>
    <w:rsid w:val="006250C8"/>
    <w:rsid w:val="00625291"/>
    <w:rsid w:val="0062548C"/>
    <w:rsid w:val="00625659"/>
    <w:rsid w:val="006256E8"/>
    <w:rsid w:val="006258A5"/>
    <w:rsid w:val="00625934"/>
    <w:rsid w:val="00625A5F"/>
    <w:rsid w:val="00625B74"/>
    <w:rsid w:val="00625D1E"/>
    <w:rsid w:val="00625D84"/>
    <w:rsid w:val="00625FF0"/>
    <w:rsid w:val="006263A4"/>
    <w:rsid w:val="006264BC"/>
    <w:rsid w:val="006265E7"/>
    <w:rsid w:val="0062681D"/>
    <w:rsid w:val="00626941"/>
    <w:rsid w:val="00626CBC"/>
    <w:rsid w:val="00626CBE"/>
    <w:rsid w:val="00626CF0"/>
    <w:rsid w:val="00626CFD"/>
    <w:rsid w:val="00626DE3"/>
    <w:rsid w:val="00626EFA"/>
    <w:rsid w:val="006270E4"/>
    <w:rsid w:val="0062742B"/>
    <w:rsid w:val="00627440"/>
    <w:rsid w:val="006274D9"/>
    <w:rsid w:val="00627718"/>
    <w:rsid w:val="00627846"/>
    <w:rsid w:val="00627906"/>
    <w:rsid w:val="00627978"/>
    <w:rsid w:val="00627A8A"/>
    <w:rsid w:val="00627A93"/>
    <w:rsid w:val="00627C2A"/>
    <w:rsid w:val="00627CE1"/>
    <w:rsid w:val="00627D27"/>
    <w:rsid w:val="00627F56"/>
    <w:rsid w:val="00627F63"/>
    <w:rsid w:val="00630014"/>
    <w:rsid w:val="006300F0"/>
    <w:rsid w:val="006301ED"/>
    <w:rsid w:val="006303C1"/>
    <w:rsid w:val="00630478"/>
    <w:rsid w:val="00630507"/>
    <w:rsid w:val="0063067B"/>
    <w:rsid w:val="0063077C"/>
    <w:rsid w:val="006309CD"/>
    <w:rsid w:val="006309DF"/>
    <w:rsid w:val="00630E33"/>
    <w:rsid w:val="00631056"/>
    <w:rsid w:val="006311F2"/>
    <w:rsid w:val="0063167A"/>
    <w:rsid w:val="00631AB1"/>
    <w:rsid w:val="00631BD4"/>
    <w:rsid w:val="00631F86"/>
    <w:rsid w:val="006325BE"/>
    <w:rsid w:val="006325BF"/>
    <w:rsid w:val="00632764"/>
    <w:rsid w:val="00632908"/>
    <w:rsid w:val="00632E81"/>
    <w:rsid w:val="00632EA5"/>
    <w:rsid w:val="00632EA7"/>
    <w:rsid w:val="0063319A"/>
    <w:rsid w:val="006333AB"/>
    <w:rsid w:val="00633970"/>
    <w:rsid w:val="00633972"/>
    <w:rsid w:val="0063399D"/>
    <w:rsid w:val="00633A5F"/>
    <w:rsid w:val="00633DE8"/>
    <w:rsid w:val="00633FA3"/>
    <w:rsid w:val="00634002"/>
    <w:rsid w:val="0063420D"/>
    <w:rsid w:val="00634548"/>
    <w:rsid w:val="0063460E"/>
    <w:rsid w:val="00634916"/>
    <w:rsid w:val="00634A31"/>
    <w:rsid w:val="00634F47"/>
    <w:rsid w:val="00634F7E"/>
    <w:rsid w:val="00635005"/>
    <w:rsid w:val="00635022"/>
    <w:rsid w:val="006352B5"/>
    <w:rsid w:val="00635485"/>
    <w:rsid w:val="0063554A"/>
    <w:rsid w:val="006355CF"/>
    <w:rsid w:val="006356B5"/>
    <w:rsid w:val="006357DF"/>
    <w:rsid w:val="006359DC"/>
    <w:rsid w:val="00635CA7"/>
    <w:rsid w:val="00635F5A"/>
    <w:rsid w:val="006360EB"/>
    <w:rsid w:val="00636150"/>
    <w:rsid w:val="006361AE"/>
    <w:rsid w:val="006364CA"/>
    <w:rsid w:val="00636634"/>
    <w:rsid w:val="006367B3"/>
    <w:rsid w:val="00636808"/>
    <w:rsid w:val="00636824"/>
    <w:rsid w:val="006368E1"/>
    <w:rsid w:val="0063693B"/>
    <w:rsid w:val="00636D64"/>
    <w:rsid w:val="00636DCF"/>
    <w:rsid w:val="00636F0C"/>
    <w:rsid w:val="006370D7"/>
    <w:rsid w:val="00637268"/>
    <w:rsid w:val="00637288"/>
    <w:rsid w:val="0063754A"/>
    <w:rsid w:val="0063784C"/>
    <w:rsid w:val="006379B4"/>
    <w:rsid w:val="00637B1D"/>
    <w:rsid w:val="00637B47"/>
    <w:rsid w:val="00637B8D"/>
    <w:rsid w:val="00637D56"/>
    <w:rsid w:val="00637F19"/>
    <w:rsid w:val="00637F38"/>
    <w:rsid w:val="00640054"/>
    <w:rsid w:val="006404C4"/>
    <w:rsid w:val="00640527"/>
    <w:rsid w:val="00640CA7"/>
    <w:rsid w:val="00640CCC"/>
    <w:rsid w:val="00640DA4"/>
    <w:rsid w:val="00640DB3"/>
    <w:rsid w:val="00640E75"/>
    <w:rsid w:val="006410C7"/>
    <w:rsid w:val="006412B1"/>
    <w:rsid w:val="006413BE"/>
    <w:rsid w:val="00641429"/>
    <w:rsid w:val="00641613"/>
    <w:rsid w:val="00641674"/>
    <w:rsid w:val="006416B1"/>
    <w:rsid w:val="00641F37"/>
    <w:rsid w:val="00641FF7"/>
    <w:rsid w:val="00642101"/>
    <w:rsid w:val="006422F2"/>
    <w:rsid w:val="00642342"/>
    <w:rsid w:val="006423E5"/>
    <w:rsid w:val="0064264D"/>
    <w:rsid w:val="006428B6"/>
    <w:rsid w:val="00642A5E"/>
    <w:rsid w:val="00642A78"/>
    <w:rsid w:val="00642D58"/>
    <w:rsid w:val="00642D74"/>
    <w:rsid w:val="00642DD6"/>
    <w:rsid w:val="006432FB"/>
    <w:rsid w:val="00643596"/>
    <w:rsid w:val="00643611"/>
    <w:rsid w:val="006436F3"/>
    <w:rsid w:val="00643860"/>
    <w:rsid w:val="006438AE"/>
    <w:rsid w:val="00643968"/>
    <w:rsid w:val="00643C76"/>
    <w:rsid w:val="00643D37"/>
    <w:rsid w:val="00643D6D"/>
    <w:rsid w:val="00643FA5"/>
    <w:rsid w:val="006440FA"/>
    <w:rsid w:val="00644369"/>
    <w:rsid w:val="006443BE"/>
    <w:rsid w:val="00644496"/>
    <w:rsid w:val="00644D47"/>
    <w:rsid w:val="00644DF6"/>
    <w:rsid w:val="00644E8D"/>
    <w:rsid w:val="0064512C"/>
    <w:rsid w:val="00645297"/>
    <w:rsid w:val="00645325"/>
    <w:rsid w:val="0064547D"/>
    <w:rsid w:val="00645A61"/>
    <w:rsid w:val="00645F34"/>
    <w:rsid w:val="0064628A"/>
    <w:rsid w:val="006464FA"/>
    <w:rsid w:val="00646649"/>
    <w:rsid w:val="006469FE"/>
    <w:rsid w:val="00646A00"/>
    <w:rsid w:val="00646AD1"/>
    <w:rsid w:val="00646C4C"/>
    <w:rsid w:val="00646E31"/>
    <w:rsid w:val="00646F9B"/>
    <w:rsid w:val="006470AF"/>
    <w:rsid w:val="00647112"/>
    <w:rsid w:val="00647137"/>
    <w:rsid w:val="006472D0"/>
    <w:rsid w:val="006472D4"/>
    <w:rsid w:val="006475BF"/>
    <w:rsid w:val="0064779B"/>
    <w:rsid w:val="006477CB"/>
    <w:rsid w:val="00647982"/>
    <w:rsid w:val="00647DFF"/>
    <w:rsid w:val="00647EF3"/>
    <w:rsid w:val="00647F84"/>
    <w:rsid w:val="00650328"/>
    <w:rsid w:val="006503B5"/>
    <w:rsid w:val="006503CC"/>
    <w:rsid w:val="0065062D"/>
    <w:rsid w:val="00650750"/>
    <w:rsid w:val="006508CE"/>
    <w:rsid w:val="00650A07"/>
    <w:rsid w:val="00650B7E"/>
    <w:rsid w:val="00650CEE"/>
    <w:rsid w:val="00650FBB"/>
    <w:rsid w:val="00650FF4"/>
    <w:rsid w:val="0065112C"/>
    <w:rsid w:val="00651149"/>
    <w:rsid w:val="006517B8"/>
    <w:rsid w:val="006517FD"/>
    <w:rsid w:val="0065183E"/>
    <w:rsid w:val="006519F4"/>
    <w:rsid w:val="00651D62"/>
    <w:rsid w:val="00651D91"/>
    <w:rsid w:val="00651EF3"/>
    <w:rsid w:val="00651F98"/>
    <w:rsid w:val="00652066"/>
    <w:rsid w:val="0065207F"/>
    <w:rsid w:val="006520AE"/>
    <w:rsid w:val="006521BF"/>
    <w:rsid w:val="00652308"/>
    <w:rsid w:val="00652449"/>
    <w:rsid w:val="0065248F"/>
    <w:rsid w:val="00652944"/>
    <w:rsid w:val="00652A31"/>
    <w:rsid w:val="00652D7A"/>
    <w:rsid w:val="00652EF3"/>
    <w:rsid w:val="00652F57"/>
    <w:rsid w:val="00653491"/>
    <w:rsid w:val="006534FB"/>
    <w:rsid w:val="00653552"/>
    <w:rsid w:val="006535B3"/>
    <w:rsid w:val="006538E0"/>
    <w:rsid w:val="00653B78"/>
    <w:rsid w:val="00653E2E"/>
    <w:rsid w:val="00653F15"/>
    <w:rsid w:val="00653FD4"/>
    <w:rsid w:val="006541EC"/>
    <w:rsid w:val="0065420B"/>
    <w:rsid w:val="0065435F"/>
    <w:rsid w:val="0065437B"/>
    <w:rsid w:val="00654421"/>
    <w:rsid w:val="00654623"/>
    <w:rsid w:val="006547F6"/>
    <w:rsid w:val="006548A4"/>
    <w:rsid w:val="00654914"/>
    <w:rsid w:val="006549FC"/>
    <w:rsid w:val="00654A7B"/>
    <w:rsid w:val="00654B57"/>
    <w:rsid w:val="00654BFC"/>
    <w:rsid w:val="00654C38"/>
    <w:rsid w:val="00654F2B"/>
    <w:rsid w:val="00655173"/>
    <w:rsid w:val="006554AC"/>
    <w:rsid w:val="006554B4"/>
    <w:rsid w:val="006555D6"/>
    <w:rsid w:val="00655808"/>
    <w:rsid w:val="00655A66"/>
    <w:rsid w:val="00655F10"/>
    <w:rsid w:val="006560F8"/>
    <w:rsid w:val="006563D7"/>
    <w:rsid w:val="006564DA"/>
    <w:rsid w:val="00656744"/>
    <w:rsid w:val="00656838"/>
    <w:rsid w:val="00656AFA"/>
    <w:rsid w:val="00656D6F"/>
    <w:rsid w:val="00656F20"/>
    <w:rsid w:val="00657053"/>
    <w:rsid w:val="0065708E"/>
    <w:rsid w:val="006570DD"/>
    <w:rsid w:val="00657182"/>
    <w:rsid w:val="00657510"/>
    <w:rsid w:val="0065754D"/>
    <w:rsid w:val="006575AE"/>
    <w:rsid w:val="00657718"/>
    <w:rsid w:val="00657A51"/>
    <w:rsid w:val="00657AF0"/>
    <w:rsid w:val="00657C61"/>
    <w:rsid w:val="00657CB9"/>
    <w:rsid w:val="00657FD0"/>
    <w:rsid w:val="00660073"/>
    <w:rsid w:val="00660177"/>
    <w:rsid w:val="0066030F"/>
    <w:rsid w:val="00660553"/>
    <w:rsid w:val="0066058C"/>
    <w:rsid w:val="0066061C"/>
    <w:rsid w:val="006608FC"/>
    <w:rsid w:val="00660924"/>
    <w:rsid w:val="00660AFD"/>
    <w:rsid w:val="00660B3A"/>
    <w:rsid w:val="00660B41"/>
    <w:rsid w:val="00660EFD"/>
    <w:rsid w:val="00660F8C"/>
    <w:rsid w:val="0066119A"/>
    <w:rsid w:val="0066166F"/>
    <w:rsid w:val="00661778"/>
    <w:rsid w:val="00661ADE"/>
    <w:rsid w:val="00661CFC"/>
    <w:rsid w:val="00661D2A"/>
    <w:rsid w:val="00661EA6"/>
    <w:rsid w:val="00662336"/>
    <w:rsid w:val="006623B7"/>
    <w:rsid w:val="006623D5"/>
    <w:rsid w:val="00662730"/>
    <w:rsid w:val="006627C9"/>
    <w:rsid w:val="006627D0"/>
    <w:rsid w:val="0066282E"/>
    <w:rsid w:val="00662839"/>
    <w:rsid w:val="006628E4"/>
    <w:rsid w:val="00662A10"/>
    <w:rsid w:val="00662B71"/>
    <w:rsid w:val="0066304D"/>
    <w:rsid w:val="00663091"/>
    <w:rsid w:val="0066389B"/>
    <w:rsid w:val="006639BA"/>
    <w:rsid w:val="006639D2"/>
    <w:rsid w:val="00663CC2"/>
    <w:rsid w:val="00663E2B"/>
    <w:rsid w:val="00664329"/>
    <w:rsid w:val="00664594"/>
    <w:rsid w:val="006645CF"/>
    <w:rsid w:val="006646AB"/>
    <w:rsid w:val="006648CC"/>
    <w:rsid w:val="006648E9"/>
    <w:rsid w:val="00664B30"/>
    <w:rsid w:val="00664CE2"/>
    <w:rsid w:val="00664F76"/>
    <w:rsid w:val="00665023"/>
    <w:rsid w:val="00665835"/>
    <w:rsid w:val="00665AC1"/>
    <w:rsid w:val="00665C98"/>
    <w:rsid w:val="00665CFA"/>
    <w:rsid w:val="00665EED"/>
    <w:rsid w:val="00665F0B"/>
    <w:rsid w:val="006660AB"/>
    <w:rsid w:val="006662A6"/>
    <w:rsid w:val="00666447"/>
    <w:rsid w:val="00666674"/>
    <w:rsid w:val="00666706"/>
    <w:rsid w:val="00666791"/>
    <w:rsid w:val="006668E8"/>
    <w:rsid w:val="00666920"/>
    <w:rsid w:val="00666971"/>
    <w:rsid w:val="006669F4"/>
    <w:rsid w:val="00666AA4"/>
    <w:rsid w:val="00666B82"/>
    <w:rsid w:val="00666C73"/>
    <w:rsid w:val="00666DF5"/>
    <w:rsid w:val="00666E02"/>
    <w:rsid w:val="00666E9A"/>
    <w:rsid w:val="00666F72"/>
    <w:rsid w:val="006670A9"/>
    <w:rsid w:val="00667156"/>
    <w:rsid w:val="00667470"/>
    <w:rsid w:val="006674CA"/>
    <w:rsid w:val="006674EC"/>
    <w:rsid w:val="0066754B"/>
    <w:rsid w:val="00667728"/>
    <w:rsid w:val="0066783C"/>
    <w:rsid w:val="0066796E"/>
    <w:rsid w:val="00667A27"/>
    <w:rsid w:val="00667DFC"/>
    <w:rsid w:val="00667F29"/>
    <w:rsid w:val="00670099"/>
    <w:rsid w:val="006700DE"/>
    <w:rsid w:val="00670564"/>
    <w:rsid w:val="0067063A"/>
    <w:rsid w:val="0067080D"/>
    <w:rsid w:val="00670ADD"/>
    <w:rsid w:val="00670BCA"/>
    <w:rsid w:val="00670D71"/>
    <w:rsid w:val="00670D9A"/>
    <w:rsid w:val="00670DC9"/>
    <w:rsid w:val="00670EA9"/>
    <w:rsid w:val="00670F30"/>
    <w:rsid w:val="00670F3D"/>
    <w:rsid w:val="00671017"/>
    <w:rsid w:val="006711AE"/>
    <w:rsid w:val="00671ABB"/>
    <w:rsid w:val="00671C92"/>
    <w:rsid w:val="00672127"/>
    <w:rsid w:val="006721FE"/>
    <w:rsid w:val="006722C6"/>
    <w:rsid w:val="006723FD"/>
    <w:rsid w:val="00672411"/>
    <w:rsid w:val="0067261A"/>
    <w:rsid w:val="00672766"/>
    <w:rsid w:val="006727E2"/>
    <w:rsid w:val="00672BF5"/>
    <w:rsid w:val="00672C56"/>
    <w:rsid w:val="00672C88"/>
    <w:rsid w:val="00672E2E"/>
    <w:rsid w:val="00672EF1"/>
    <w:rsid w:val="00672F17"/>
    <w:rsid w:val="00672F2C"/>
    <w:rsid w:val="00673002"/>
    <w:rsid w:val="0067307B"/>
    <w:rsid w:val="00673195"/>
    <w:rsid w:val="006732A2"/>
    <w:rsid w:val="006732CA"/>
    <w:rsid w:val="006733E6"/>
    <w:rsid w:val="006735AF"/>
    <w:rsid w:val="006735C6"/>
    <w:rsid w:val="0067375B"/>
    <w:rsid w:val="0067391D"/>
    <w:rsid w:val="00673A97"/>
    <w:rsid w:val="00673FD7"/>
    <w:rsid w:val="006740D5"/>
    <w:rsid w:val="0067423C"/>
    <w:rsid w:val="00674400"/>
    <w:rsid w:val="0067450C"/>
    <w:rsid w:val="0067457B"/>
    <w:rsid w:val="006746AB"/>
    <w:rsid w:val="00674746"/>
    <w:rsid w:val="00674833"/>
    <w:rsid w:val="00674895"/>
    <w:rsid w:val="006748E8"/>
    <w:rsid w:val="00674A50"/>
    <w:rsid w:val="00675023"/>
    <w:rsid w:val="00675113"/>
    <w:rsid w:val="00675172"/>
    <w:rsid w:val="00675174"/>
    <w:rsid w:val="00675652"/>
    <w:rsid w:val="006756D9"/>
    <w:rsid w:val="00675A6C"/>
    <w:rsid w:val="00675ACF"/>
    <w:rsid w:val="00675B0F"/>
    <w:rsid w:val="00675B7C"/>
    <w:rsid w:val="00675C40"/>
    <w:rsid w:val="00675C46"/>
    <w:rsid w:val="00675E1B"/>
    <w:rsid w:val="00675E63"/>
    <w:rsid w:val="00675ECA"/>
    <w:rsid w:val="00675F5E"/>
    <w:rsid w:val="00676041"/>
    <w:rsid w:val="006760BD"/>
    <w:rsid w:val="00676643"/>
    <w:rsid w:val="00676691"/>
    <w:rsid w:val="00676788"/>
    <w:rsid w:val="00676D72"/>
    <w:rsid w:val="006772EE"/>
    <w:rsid w:val="006773AF"/>
    <w:rsid w:val="00677546"/>
    <w:rsid w:val="006776AA"/>
    <w:rsid w:val="00677802"/>
    <w:rsid w:val="00677AA1"/>
    <w:rsid w:val="00677E4C"/>
    <w:rsid w:val="00677EFD"/>
    <w:rsid w:val="00677F50"/>
    <w:rsid w:val="00680072"/>
    <w:rsid w:val="00680477"/>
    <w:rsid w:val="00680578"/>
    <w:rsid w:val="00680A2D"/>
    <w:rsid w:val="00680FC3"/>
    <w:rsid w:val="00681062"/>
    <w:rsid w:val="00681349"/>
    <w:rsid w:val="006815AE"/>
    <w:rsid w:val="006819C7"/>
    <w:rsid w:val="00681B74"/>
    <w:rsid w:val="00681C3E"/>
    <w:rsid w:val="00681CE3"/>
    <w:rsid w:val="00681D98"/>
    <w:rsid w:val="00681EAD"/>
    <w:rsid w:val="00681FD2"/>
    <w:rsid w:val="00682329"/>
    <w:rsid w:val="00682371"/>
    <w:rsid w:val="006823B0"/>
    <w:rsid w:val="006826FD"/>
    <w:rsid w:val="00682704"/>
    <w:rsid w:val="0068278A"/>
    <w:rsid w:val="00682957"/>
    <w:rsid w:val="00682974"/>
    <w:rsid w:val="00682B65"/>
    <w:rsid w:val="00682CB7"/>
    <w:rsid w:val="0068377A"/>
    <w:rsid w:val="00683833"/>
    <w:rsid w:val="006838B6"/>
    <w:rsid w:val="006838BA"/>
    <w:rsid w:val="00683A57"/>
    <w:rsid w:val="00683A93"/>
    <w:rsid w:val="00683AB9"/>
    <w:rsid w:val="00683C77"/>
    <w:rsid w:val="00683ED1"/>
    <w:rsid w:val="00683FB3"/>
    <w:rsid w:val="00684202"/>
    <w:rsid w:val="006842A0"/>
    <w:rsid w:val="006843AD"/>
    <w:rsid w:val="0068454F"/>
    <w:rsid w:val="00684BC6"/>
    <w:rsid w:val="006851BB"/>
    <w:rsid w:val="00685212"/>
    <w:rsid w:val="006852EF"/>
    <w:rsid w:val="00685309"/>
    <w:rsid w:val="00685721"/>
    <w:rsid w:val="00685A23"/>
    <w:rsid w:val="00685AAB"/>
    <w:rsid w:val="00686101"/>
    <w:rsid w:val="00686170"/>
    <w:rsid w:val="00686301"/>
    <w:rsid w:val="006865B9"/>
    <w:rsid w:val="006865EA"/>
    <w:rsid w:val="0068679E"/>
    <w:rsid w:val="006867AA"/>
    <w:rsid w:val="00686FC1"/>
    <w:rsid w:val="0068703B"/>
    <w:rsid w:val="006870A5"/>
    <w:rsid w:val="0068722F"/>
    <w:rsid w:val="006873DF"/>
    <w:rsid w:val="006874DF"/>
    <w:rsid w:val="00687863"/>
    <w:rsid w:val="00687D03"/>
    <w:rsid w:val="006900E0"/>
    <w:rsid w:val="006902E4"/>
    <w:rsid w:val="00690420"/>
    <w:rsid w:val="0069070A"/>
    <w:rsid w:val="00690944"/>
    <w:rsid w:val="006909B0"/>
    <w:rsid w:val="00690CEF"/>
    <w:rsid w:val="00691185"/>
    <w:rsid w:val="00691381"/>
    <w:rsid w:val="00691440"/>
    <w:rsid w:val="00691803"/>
    <w:rsid w:val="006919BB"/>
    <w:rsid w:val="00691EDD"/>
    <w:rsid w:val="006921A8"/>
    <w:rsid w:val="006923F5"/>
    <w:rsid w:val="00692466"/>
    <w:rsid w:val="0069267E"/>
    <w:rsid w:val="006926C4"/>
    <w:rsid w:val="006927A2"/>
    <w:rsid w:val="00692A25"/>
    <w:rsid w:val="00692ADF"/>
    <w:rsid w:val="00692C94"/>
    <w:rsid w:val="00692DC5"/>
    <w:rsid w:val="0069300B"/>
    <w:rsid w:val="006932A1"/>
    <w:rsid w:val="00693365"/>
    <w:rsid w:val="0069342F"/>
    <w:rsid w:val="006937B4"/>
    <w:rsid w:val="006939A0"/>
    <w:rsid w:val="00693A45"/>
    <w:rsid w:val="00693AB9"/>
    <w:rsid w:val="00693B39"/>
    <w:rsid w:val="00693C88"/>
    <w:rsid w:val="00693E38"/>
    <w:rsid w:val="00693FBF"/>
    <w:rsid w:val="00693FFC"/>
    <w:rsid w:val="00694020"/>
    <w:rsid w:val="006941E6"/>
    <w:rsid w:val="00694206"/>
    <w:rsid w:val="00694333"/>
    <w:rsid w:val="006944E7"/>
    <w:rsid w:val="006945AF"/>
    <w:rsid w:val="00694B9F"/>
    <w:rsid w:val="00694BBF"/>
    <w:rsid w:val="00694FE0"/>
    <w:rsid w:val="0069500F"/>
    <w:rsid w:val="00695059"/>
    <w:rsid w:val="00695155"/>
    <w:rsid w:val="006952C8"/>
    <w:rsid w:val="006956B7"/>
    <w:rsid w:val="006958B8"/>
    <w:rsid w:val="00695A64"/>
    <w:rsid w:val="00695BA7"/>
    <w:rsid w:val="00695C60"/>
    <w:rsid w:val="00695C61"/>
    <w:rsid w:val="00695DA9"/>
    <w:rsid w:val="00696247"/>
    <w:rsid w:val="0069635B"/>
    <w:rsid w:val="006966F6"/>
    <w:rsid w:val="00696BDF"/>
    <w:rsid w:val="00696CAC"/>
    <w:rsid w:val="00696E21"/>
    <w:rsid w:val="00697026"/>
    <w:rsid w:val="00697066"/>
    <w:rsid w:val="006970DE"/>
    <w:rsid w:val="0069750C"/>
    <w:rsid w:val="00697781"/>
    <w:rsid w:val="00697A95"/>
    <w:rsid w:val="00697C85"/>
    <w:rsid w:val="00697DBC"/>
    <w:rsid w:val="00697DFC"/>
    <w:rsid w:val="00697E89"/>
    <w:rsid w:val="00697FF6"/>
    <w:rsid w:val="006A012A"/>
    <w:rsid w:val="006A01BC"/>
    <w:rsid w:val="006A0215"/>
    <w:rsid w:val="006A035E"/>
    <w:rsid w:val="006A03DC"/>
    <w:rsid w:val="006A0633"/>
    <w:rsid w:val="006A07C3"/>
    <w:rsid w:val="006A0826"/>
    <w:rsid w:val="006A09D9"/>
    <w:rsid w:val="006A0B14"/>
    <w:rsid w:val="006A0FBF"/>
    <w:rsid w:val="006A1301"/>
    <w:rsid w:val="006A1334"/>
    <w:rsid w:val="006A1486"/>
    <w:rsid w:val="006A1495"/>
    <w:rsid w:val="006A151A"/>
    <w:rsid w:val="006A17C1"/>
    <w:rsid w:val="006A181F"/>
    <w:rsid w:val="006A194A"/>
    <w:rsid w:val="006A19A1"/>
    <w:rsid w:val="006A1A75"/>
    <w:rsid w:val="006A1B18"/>
    <w:rsid w:val="006A1B1A"/>
    <w:rsid w:val="006A1B28"/>
    <w:rsid w:val="006A1B78"/>
    <w:rsid w:val="006A1B7C"/>
    <w:rsid w:val="006A1D01"/>
    <w:rsid w:val="006A1D98"/>
    <w:rsid w:val="006A1EBE"/>
    <w:rsid w:val="006A1ED6"/>
    <w:rsid w:val="006A1EDD"/>
    <w:rsid w:val="006A1EF8"/>
    <w:rsid w:val="006A1F54"/>
    <w:rsid w:val="006A2007"/>
    <w:rsid w:val="006A236D"/>
    <w:rsid w:val="006A23FC"/>
    <w:rsid w:val="006A244D"/>
    <w:rsid w:val="006A25DC"/>
    <w:rsid w:val="006A2653"/>
    <w:rsid w:val="006A2845"/>
    <w:rsid w:val="006A28A5"/>
    <w:rsid w:val="006A28B2"/>
    <w:rsid w:val="006A299A"/>
    <w:rsid w:val="006A2AE3"/>
    <w:rsid w:val="006A2BC7"/>
    <w:rsid w:val="006A321B"/>
    <w:rsid w:val="006A324B"/>
    <w:rsid w:val="006A327F"/>
    <w:rsid w:val="006A3572"/>
    <w:rsid w:val="006A368F"/>
    <w:rsid w:val="006A3872"/>
    <w:rsid w:val="006A3B6A"/>
    <w:rsid w:val="006A3D3B"/>
    <w:rsid w:val="006A3F53"/>
    <w:rsid w:val="006A3F83"/>
    <w:rsid w:val="006A3F8E"/>
    <w:rsid w:val="006A40D8"/>
    <w:rsid w:val="006A414D"/>
    <w:rsid w:val="006A4293"/>
    <w:rsid w:val="006A45CB"/>
    <w:rsid w:val="006A45DA"/>
    <w:rsid w:val="006A45F7"/>
    <w:rsid w:val="006A46EB"/>
    <w:rsid w:val="006A477C"/>
    <w:rsid w:val="006A4B32"/>
    <w:rsid w:val="006A4C21"/>
    <w:rsid w:val="006A4CA3"/>
    <w:rsid w:val="006A4FFC"/>
    <w:rsid w:val="006A5055"/>
    <w:rsid w:val="006A50BB"/>
    <w:rsid w:val="006A5154"/>
    <w:rsid w:val="006A533E"/>
    <w:rsid w:val="006A5655"/>
    <w:rsid w:val="006A5D85"/>
    <w:rsid w:val="006A5E96"/>
    <w:rsid w:val="006A5EE3"/>
    <w:rsid w:val="006A6062"/>
    <w:rsid w:val="006A60DF"/>
    <w:rsid w:val="006A612F"/>
    <w:rsid w:val="006A63AD"/>
    <w:rsid w:val="006A6559"/>
    <w:rsid w:val="006A6689"/>
    <w:rsid w:val="006A6757"/>
    <w:rsid w:val="006A69B7"/>
    <w:rsid w:val="006A6AD2"/>
    <w:rsid w:val="006A6DE0"/>
    <w:rsid w:val="006A6E72"/>
    <w:rsid w:val="006A6EC1"/>
    <w:rsid w:val="006A73F2"/>
    <w:rsid w:val="006A768B"/>
    <w:rsid w:val="006A7721"/>
    <w:rsid w:val="006A77BB"/>
    <w:rsid w:val="006A77DB"/>
    <w:rsid w:val="006A792E"/>
    <w:rsid w:val="006A79BD"/>
    <w:rsid w:val="006A79C2"/>
    <w:rsid w:val="006A79F7"/>
    <w:rsid w:val="006A7E7D"/>
    <w:rsid w:val="006B00FE"/>
    <w:rsid w:val="006B052C"/>
    <w:rsid w:val="006B0736"/>
    <w:rsid w:val="006B07FC"/>
    <w:rsid w:val="006B0821"/>
    <w:rsid w:val="006B0945"/>
    <w:rsid w:val="006B0C60"/>
    <w:rsid w:val="006B0CBE"/>
    <w:rsid w:val="006B0DDA"/>
    <w:rsid w:val="006B0E44"/>
    <w:rsid w:val="006B0F80"/>
    <w:rsid w:val="006B0FAA"/>
    <w:rsid w:val="006B1002"/>
    <w:rsid w:val="006B1139"/>
    <w:rsid w:val="006B1208"/>
    <w:rsid w:val="006B1390"/>
    <w:rsid w:val="006B1950"/>
    <w:rsid w:val="006B19FC"/>
    <w:rsid w:val="006B1A70"/>
    <w:rsid w:val="006B1C0A"/>
    <w:rsid w:val="006B1D9F"/>
    <w:rsid w:val="006B1E9A"/>
    <w:rsid w:val="006B1F25"/>
    <w:rsid w:val="006B21E9"/>
    <w:rsid w:val="006B25D9"/>
    <w:rsid w:val="006B26DE"/>
    <w:rsid w:val="006B2712"/>
    <w:rsid w:val="006B272E"/>
    <w:rsid w:val="006B274E"/>
    <w:rsid w:val="006B2935"/>
    <w:rsid w:val="006B2B76"/>
    <w:rsid w:val="006B2E15"/>
    <w:rsid w:val="006B30E4"/>
    <w:rsid w:val="006B359F"/>
    <w:rsid w:val="006B3670"/>
    <w:rsid w:val="006B37C5"/>
    <w:rsid w:val="006B3A00"/>
    <w:rsid w:val="006B3A9A"/>
    <w:rsid w:val="006B3CF4"/>
    <w:rsid w:val="006B4252"/>
    <w:rsid w:val="006B42DC"/>
    <w:rsid w:val="006B43B2"/>
    <w:rsid w:val="006B4482"/>
    <w:rsid w:val="006B457D"/>
    <w:rsid w:val="006B47DE"/>
    <w:rsid w:val="006B4C39"/>
    <w:rsid w:val="006B4EE2"/>
    <w:rsid w:val="006B4FD2"/>
    <w:rsid w:val="006B4FEA"/>
    <w:rsid w:val="006B50A9"/>
    <w:rsid w:val="006B5267"/>
    <w:rsid w:val="006B53F6"/>
    <w:rsid w:val="006B54A0"/>
    <w:rsid w:val="006B5521"/>
    <w:rsid w:val="006B5E00"/>
    <w:rsid w:val="006B60C5"/>
    <w:rsid w:val="006B67D3"/>
    <w:rsid w:val="006B6960"/>
    <w:rsid w:val="006B6B28"/>
    <w:rsid w:val="006B6D46"/>
    <w:rsid w:val="006B6E3C"/>
    <w:rsid w:val="006B6E83"/>
    <w:rsid w:val="006B6F02"/>
    <w:rsid w:val="006B708E"/>
    <w:rsid w:val="006B70E1"/>
    <w:rsid w:val="006B70F2"/>
    <w:rsid w:val="006B7120"/>
    <w:rsid w:val="006B7121"/>
    <w:rsid w:val="006B77A0"/>
    <w:rsid w:val="006B7A7F"/>
    <w:rsid w:val="006B7B3C"/>
    <w:rsid w:val="006B7B5C"/>
    <w:rsid w:val="006B7BF5"/>
    <w:rsid w:val="006B7CAD"/>
    <w:rsid w:val="006B7D35"/>
    <w:rsid w:val="006B7D80"/>
    <w:rsid w:val="006B7F96"/>
    <w:rsid w:val="006B7FCC"/>
    <w:rsid w:val="006C06A9"/>
    <w:rsid w:val="006C07AF"/>
    <w:rsid w:val="006C07DE"/>
    <w:rsid w:val="006C1596"/>
    <w:rsid w:val="006C16BE"/>
    <w:rsid w:val="006C1751"/>
    <w:rsid w:val="006C17CC"/>
    <w:rsid w:val="006C189C"/>
    <w:rsid w:val="006C22FB"/>
    <w:rsid w:val="006C2359"/>
    <w:rsid w:val="006C2451"/>
    <w:rsid w:val="006C250A"/>
    <w:rsid w:val="006C2534"/>
    <w:rsid w:val="006C2855"/>
    <w:rsid w:val="006C28A0"/>
    <w:rsid w:val="006C29FB"/>
    <w:rsid w:val="006C2AFB"/>
    <w:rsid w:val="006C2D71"/>
    <w:rsid w:val="006C2D94"/>
    <w:rsid w:val="006C2E54"/>
    <w:rsid w:val="006C315F"/>
    <w:rsid w:val="006C36D6"/>
    <w:rsid w:val="006C387B"/>
    <w:rsid w:val="006C3981"/>
    <w:rsid w:val="006C3A51"/>
    <w:rsid w:val="006C3AB4"/>
    <w:rsid w:val="006C3E05"/>
    <w:rsid w:val="006C3F78"/>
    <w:rsid w:val="006C3F94"/>
    <w:rsid w:val="006C4440"/>
    <w:rsid w:val="006C4469"/>
    <w:rsid w:val="006C4782"/>
    <w:rsid w:val="006C483D"/>
    <w:rsid w:val="006C48C7"/>
    <w:rsid w:val="006C4D39"/>
    <w:rsid w:val="006C4EC9"/>
    <w:rsid w:val="006C512F"/>
    <w:rsid w:val="006C5210"/>
    <w:rsid w:val="006C5418"/>
    <w:rsid w:val="006C55FF"/>
    <w:rsid w:val="006C568A"/>
    <w:rsid w:val="006C575B"/>
    <w:rsid w:val="006C589F"/>
    <w:rsid w:val="006C5942"/>
    <w:rsid w:val="006C5DDF"/>
    <w:rsid w:val="006C5E84"/>
    <w:rsid w:val="006C607F"/>
    <w:rsid w:val="006C666D"/>
    <w:rsid w:val="006C699A"/>
    <w:rsid w:val="006C6DCE"/>
    <w:rsid w:val="006C7237"/>
    <w:rsid w:val="006C72D4"/>
    <w:rsid w:val="006C7555"/>
    <w:rsid w:val="006C7755"/>
    <w:rsid w:val="006C78A3"/>
    <w:rsid w:val="006C7A36"/>
    <w:rsid w:val="006C7B7D"/>
    <w:rsid w:val="006C7DA6"/>
    <w:rsid w:val="006C7ECB"/>
    <w:rsid w:val="006C7FE4"/>
    <w:rsid w:val="006D03B0"/>
    <w:rsid w:val="006D042C"/>
    <w:rsid w:val="006D05D9"/>
    <w:rsid w:val="006D05F8"/>
    <w:rsid w:val="006D066E"/>
    <w:rsid w:val="006D07FE"/>
    <w:rsid w:val="006D09CF"/>
    <w:rsid w:val="006D0A04"/>
    <w:rsid w:val="006D0BC7"/>
    <w:rsid w:val="006D0E24"/>
    <w:rsid w:val="006D1419"/>
    <w:rsid w:val="006D1571"/>
    <w:rsid w:val="006D158C"/>
    <w:rsid w:val="006D168C"/>
    <w:rsid w:val="006D1695"/>
    <w:rsid w:val="006D16C7"/>
    <w:rsid w:val="006D1723"/>
    <w:rsid w:val="006D17F3"/>
    <w:rsid w:val="006D1868"/>
    <w:rsid w:val="006D1B1B"/>
    <w:rsid w:val="006D1CF0"/>
    <w:rsid w:val="006D1D0B"/>
    <w:rsid w:val="006D1DBF"/>
    <w:rsid w:val="006D1E91"/>
    <w:rsid w:val="006D23A6"/>
    <w:rsid w:val="006D23B0"/>
    <w:rsid w:val="006D2485"/>
    <w:rsid w:val="006D285B"/>
    <w:rsid w:val="006D2894"/>
    <w:rsid w:val="006D2950"/>
    <w:rsid w:val="006D2D58"/>
    <w:rsid w:val="006D2D7D"/>
    <w:rsid w:val="006D2F25"/>
    <w:rsid w:val="006D2FC6"/>
    <w:rsid w:val="006D3009"/>
    <w:rsid w:val="006D3221"/>
    <w:rsid w:val="006D34C8"/>
    <w:rsid w:val="006D351B"/>
    <w:rsid w:val="006D36F7"/>
    <w:rsid w:val="006D37B0"/>
    <w:rsid w:val="006D380F"/>
    <w:rsid w:val="006D3843"/>
    <w:rsid w:val="006D3973"/>
    <w:rsid w:val="006D3D87"/>
    <w:rsid w:val="006D3D8F"/>
    <w:rsid w:val="006D3DA4"/>
    <w:rsid w:val="006D3DE9"/>
    <w:rsid w:val="006D40BC"/>
    <w:rsid w:val="006D423A"/>
    <w:rsid w:val="006D45B6"/>
    <w:rsid w:val="006D474C"/>
    <w:rsid w:val="006D4825"/>
    <w:rsid w:val="006D48D4"/>
    <w:rsid w:val="006D4ACA"/>
    <w:rsid w:val="006D4B02"/>
    <w:rsid w:val="006D51D0"/>
    <w:rsid w:val="006D5625"/>
    <w:rsid w:val="006D586F"/>
    <w:rsid w:val="006D592F"/>
    <w:rsid w:val="006D5BE1"/>
    <w:rsid w:val="006D5C6D"/>
    <w:rsid w:val="006D5DAD"/>
    <w:rsid w:val="006D5E5F"/>
    <w:rsid w:val="006D5E8F"/>
    <w:rsid w:val="006D5E90"/>
    <w:rsid w:val="006D62D9"/>
    <w:rsid w:val="006D6609"/>
    <w:rsid w:val="006D66D2"/>
    <w:rsid w:val="006D6764"/>
    <w:rsid w:val="006D67A8"/>
    <w:rsid w:val="006D6829"/>
    <w:rsid w:val="006D6914"/>
    <w:rsid w:val="006D6C94"/>
    <w:rsid w:val="006D6D29"/>
    <w:rsid w:val="006D6E52"/>
    <w:rsid w:val="006D6EA5"/>
    <w:rsid w:val="006D6EFE"/>
    <w:rsid w:val="006D71E5"/>
    <w:rsid w:val="006D7334"/>
    <w:rsid w:val="006D7381"/>
    <w:rsid w:val="006D7619"/>
    <w:rsid w:val="006D799B"/>
    <w:rsid w:val="006D7A19"/>
    <w:rsid w:val="006D7C94"/>
    <w:rsid w:val="006D7CC7"/>
    <w:rsid w:val="006D7CCF"/>
    <w:rsid w:val="006D7D6F"/>
    <w:rsid w:val="006D7E3C"/>
    <w:rsid w:val="006D7F2D"/>
    <w:rsid w:val="006E03C3"/>
    <w:rsid w:val="006E0544"/>
    <w:rsid w:val="006E05D1"/>
    <w:rsid w:val="006E0667"/>
    <w:rsid w:val="006E06D4"/>
    <w:rsid w:val="006E070B"/>
    <w:rsid w:val="006E083C"/>
    <w:rsid w:val="006E086E"/>
    <w:rsid w:val="006E0883"/>
    <w:rsid w:val="006E08B6"/>
    <w:rsid w:val="006E0CFA"/>
    <w:rsid w:val="006E0D6B"/>
    <w:rsid w:val="006E0D75"/>
    <w:rsid w:val="006E0EF5"/>
    <w:rsid w:val="006E0F6C"/>
    <w:rsid w:val="006E108E"/>
    <w:rsid w:val="006E138F"/>
    <w:rsid w:val="006E14E6"/>
    <w:rsid w:val="006E1539"/>
    <w:rsid w:val="006E1861"/>
    <w:rsid w:val="006E1987"/>
    <w:rsid w:val="006E19C8"/>
    <w:rsid w:val="006E1A6C"/>
    <w:rsid w:val="006E1B71"/>
    <w:rsid w:val="006E1CB1"/>
    <w:rsid w:val="006E1FD3"/>
    <w:rsid w:val="006E2041"/>
    <w:rsid w:val="006E2059"/>
    <w:rsid w:val="006E223C"/>
    <w:rsid w:val="006E227B"/>
    <w:rsid w:val="006E2693"/>
    <w:rsid w:val="006E27C4"/>
    <w:rsid w:val="006E2899"/>
    <w:rsid w:val="006E2985"/>
    <w:rsid w:val="006E29DC"/>
    <w:rsid w:val="006E2A49"/>
    <w:rsid w:val="006E2B9A"/>
    <w:rsid w:val="006E2C6A"/>
    <w:rsid w:val="006E2CA0"/>
    <w:rsid w:val="006E2E08"/>
    <w:rsid w:val="006E2E18"/>
    <w:rsid w:val="006E2F18"/>
    <w:rsid w:val="006E311F"/>
    <w:rsid w:val="006E3415"/>
    <w:rsid w:val="006E34FB"/>
    <w:rsid w:val="006E37D0"/>
    <w:rsid w:val="006E3A4C"/>
    <w:rsid w:val="006E3C14"/>
    <w:rsid w:val="006E3DBF"/>
    <w:rsid w:val="006E3F46"/>
    <w:rsid w:val="006E3FD0"/>
    <w:rsid w:val="006E3FEE"/>
    <w:rsid w:val="006E429B"/>
    <w:rsid w:val="006E43F4"/>
    <w:rsid w:val="006E460D"/>
    <w:rsid w:val="006E4672"/>
    <w:rsid w:val="006E4720"/>
    <w:rsid w:val="006E47D1"/>
    <w:rsid w:val="006E4CD1"/>
    <w:rsid w:val="006E4E06"/>
    <w:rsid w:val="006E50CB"/>
    <w:rsid w:val="006E526E"/>
    <w:rsid w:val="006E52A6"/>
    <w:rsid w:val="006E551D"/>
    <w:rsid w:val="006E5599"/>
    <w:rsid w:val="006E579B"/>
    <w:rsid w:val="006E5B3B"/>
    <w:rsid w:val="006E5BB8"/>
    <w:rsid w:val="006E5BE4"/>
    <w:rsid w:val="006E5D08"/>
    <w:rsid w:val="006E6139"/>
    <w:rsid w:val="006E6654"/>
    <w:rsid w:val="006E6658"/>
    <w:rsid w:val="006E68AD"/>
    <w:rsid w:val="006E6B24"/>
    <w:rsid w:val="006E6C06"/>
    <w:rsid w:val="006E6CDB"/>
    <w:rsid w:val="006E6E03"/>
    <w:rsid w:val="006E6F6D"/>
    <w:rsid w:val="006E6F84"/>
    <w:rsid w:val="006E71F2"/>
    <w:rsid w:val="006E72B8"/>
    <w:rsid w:val="006E784B"/>
    <w:rsid w:val="006E7CA3"/>
    <w:rsid w:val="006E7CBB"/>
    <w:rsid w:val="006E7F4A"/>
    <w:rsid w:val="006E7F88"/>
    <w:rsid w:val="006E7FF4"/>
    <w:rsid w:val="006F00D9"/>
    <w:rsid w:val="006F0361"/>
    <w:rsid w:val="006F081B"/>
    <w:rsid w:val="006F0C52"/>
    <w:rsid w:val="006F0CD8"/>
    <w:rsid w:val="006F0D91"/>
    <w:rsid w:val="006F0F3D"/>
    <w:rsid w:val="006F10FF"/>
    <w:rsid w:val="006F110F"/>
    <w:rsid w:val="006F1205"/>
    <w:rsid w:val="006F127C"/>
    <w:rsid w:val="006F1289"/>
    <w:rsid w:val="006F15AF"/>
    <w:rsid w:val="006F15BF"/>
    <w:rsid w:val="006F181C"/>
    <w:rsid w:val="006F1839"/>
    <w:rsid w:val="006F19A0"/>
    <w:rsid w:val="006F1A61"/>
    <w:rsid w:val="006F1B40"/>
    <w:rsid w:val="006F1BAE"/>
    <w:rsid w:val="006F1C97"/>
    <w:rsid w:val="006F1ECE"/>
    <w:rsid w:val="006F21FC"/>
    <w:rsid w:val="006F2489"/>
    <w:rsid w:val="006F2494"/>
    <w:rsid w:val="006F27FE"/>
    <w:rsid w:val="006F2C87"/>
    <w:rsid w:val="006F2E96"/>
    <w:rsid w:val="006F2EEF"/>
    <w:rsid w:val="006F302D"/>
    <w:rsid w:val="006F30AC"/>
    <w:rsid w:val="006F3186"/>
    <w:rsid w:val="006F344C"/>
    <w:rsid w:val="006F381B"/>
    <w:rsid w:val="006F39D2"/>
    <w:rsid w:val="006F3B6E"/>
    <w:rsid w:val="006F3B85"/>
    <w:rsid w:val="006F3C06"/>
    <w:rsid w:val="006F3CA8"/>
    <w:rsid w:val="006F3F2B"/>
    <w:rsid w:val="006F4014"/>
    <w:rsid w:val="006F41D8"/>
    <w:rsid w:val="006F4269"/>
    <w:rsid w:val="006F46EF"/>
    <w:rsid w:val="006F4763"/>
    <w:rsid w:val="006F47B5"/>
    <w:rsid w:val="006F4F78"/>
    <w:rsid w:val="006F4FA2"/>
    <w:rsid w:val="006F5028"/>
    <w:rsid w:val="006F5065"/>
    <w:rsid w:val="006F50F1"/>
    <w:rsid w:val="006F5317"/>
    <w:rsid w:val="006F53AF"/>
    <w:rsid w:val="006F54A3"/>
    <w:rsid w:val="006F5677"/>
    <w:rsid w:val="006F57AA"/>
    <w:rsid w:val="006F5D6E"/>
    <w:rsid w:val="006F5D88"/>
    <w:rsid w:val="006F5F7F"/>
    <w:rsid w:val="006F5FF2"/>
    <w:rsid w:val="006F6170"/>
    <w:rsid w:val="006F6412"/>
    <w:rsid w:val="006F64C7"/>
    <w:rsid w:val="006F687A"/>
    <w:rsid w:val="006F688C"/>
    <w:rsid w:val="006F6998"/>
    <w:rsid w:val="006F6B30"/>
    <w:rsid w:val="006F6C53"/>
    <w:rsid w:val="006F700D"/>
    <w:rsid w:val="006F7192"/>
    <w:rsid w:val="006F71F4"/>
    <w:rsid w:val="006F727C"/>
    <w:rsid w:val="006F7376"/>
    <w:rsid w:val="006F739E"/>
    <w:rsid w:val="006F73D9"/>
    <w:rsid w:val="006F740B"/>
    <w:rsid w:val="006F744A"/>
    <w:rsid w:val="006F7463"/>
    <w:rsid w:val="006F751D"/>
    <w:rsid w:val="006F7715"/>
    <w:rsid w:val="006F797B"/>
    <w:rsid w:val="006F7E06"/>
    <w:rsid w:val="006F7E3A"/>
    <w:rsid w:val="006F7F49"/>
    <w:rsid w:val="00700091"/>
    <w:rsid w:val="00700100"/>
    <w:rsid w:val="0070015B"/>
    <w:rsid w:val="00700160"/>
    <w:rsid w:val="007001EC"/>
    <w:rsid w:val="0070031D"/>
    <w:rsid w:val="007006BC"/>
    <w:rsid w:val="00700723"/>
    <w:rsid w:val="007009EE"/>
    <w:rsid w:val="00700F06"/>
    <w:rsid w:val="00700FDD"/>
    <w:rsid w:val="00701767"/>
    <w:rsid w:val="00701944"/>
    <w:rsid w:val="00701986"/>
    <w:rsid w:val="00701A52"/>
    <w:rsid w:val="00701C33"/>
    <w:rsid w:val="0070216C"/>
    <w:rsid w:val="00702299"/>
    <w:rsid w:val="007022BE"/>
    <w:rsid w:val="00702507"/>
    <w:rsid w:val="00702668"/>
    <w:rsid w:val="00702A7C"/>
    <w:rsid w:val="00702A7F"/>
    <w:rsid w:val="00702B32"/>
    <w:rsid w:val="00702C2A"/>
    <w:rsid w:val="00702C50"/>
    <w:rsid w:val="00702D3A"/>
    <w:rsid w:val="007031E1"/>
    <w:rsid w:val="007032F7"/>
    <w:rsid w:val="00703387"/>
    <w:rsid w:val="00703445"/>
    <w:rsid w:val="00703722"/>
    <w:rsid w:val="007038B8"/>
    <w:rsid w:val="00703AFD"/>
    <w:rsid w:val="00703D05"/>
    <w:rsid w:val="00703DBC"/>
    <w:rsid w:val="0070417A"/>
    <w:rsid w:val="00704315"/>
    <w:rsid w:val="00704483"/>
    <w:rsid w:val="00704493"/>
    <w:rsid w:val="007047C0"/>
    <w:rsid w:val="0070483D"/>
    <w:rsid w:val="00704A8E"/>
    <w:rsid w:val="00704CDA"/>
    <w:rsid w:val="00704D4E"/>
    <w:rsid w:val="00704E24"/>
    <w:rsid w:val="0070520A"/>
    <w:rsid w:val="00705B70"/>
    <w:rsid w:val="00705C70"/>
    <w:rsid w:val="00705DAE"/>
    <w:rsid w:val="00705DD0"/>
    <w:rsid w:val="00705FD2"/>
    <w:rsid w:val="00706081"/>
    <w:rsid w:val="007061B2"/>
    <w:rsid w:val="00706299"/>
    <w:rsid w:val="00706387"/>
    <w:rsid w:val="007063D1"/>
    <w:rsid w:val="00706645"/>
    <w:rsid w:val="00706662"/>
    <w:rsid w:val="00706828"/>
    <w:rsid w:val="00706829"/>
    <w:rsid w:val="00706B42"/>
    <w:rsid w:val="00706ED8"/>
    <w:rsid w:val="00706FE6"/>
    <w:rsid w:val="0070709F"/>
    <w:rsid w:val="007070C1"/>
    <w:rsid w:val="0070724F"/>
    <w:rsid w:val="007074D6"/>
    <w:rsid w:val="0070761F"/>
    <w:rsid w:val="00707734"/>
    <w:rsid w:val="00707BDC"/>
    <w:rsid w:val="00707E24"/>
    <w:rsid w:val="00710134"/>
    <w:rsid w:val="0071024E"/>
    <w:rsid w:val="007102EB"/>
    <w:rsid w:val="00710414"/>
    <w:rsid w:val="0071041C"/>
    <w:rsid w:val="007104E5"/>
    <w:rsid w:val="00710727"/>
    <w:rsid w:val="00710832"/>
    <w:rsid w:val="00710834"/>
    <w:rsid w:val="00710A74"/>
    <w:rsid w:val="00710B6E"/>
    <w:rsid w:val="00710E94"/>
    <w:rsid w:val="007110EC"/>
    <w:rsid w:val="007110F5"/>
    <w:rsid w:val="0071140B"/>
    <w:rsid w:val="007114C9"/>
    <w:rsid w:val="007114EC"/>
    <w:rsid w:val="00711748"/>
    <w:rsid w:val="007117F1"/>
    <w:rsid w:val="007119A5"/>
    <w:rsid w:val="00711AEB"/>
    <w:rsid w:val="00711C76"/>
    <w:rsid w:val="00711D94"/>
    <w:rsid w:val="00711F13"/>
    <w:rsid w:val="0071229A"/>
    <w:rsid w:val="007124D2"/>
    <w:rsid w:val="00712526"/>
    <w:rsid w:val="00712707"/>
    <w:rsid w:val="00712822"/>
    <w:rsid w:val="007129F6"/>
    <w:rsid w:val="007130A5"/>
    <w:rsid w:val="007131AA"/>
    <w:rsid w:val="00713214"/>
    <w:rsid w:val="007132D0"/>
    <w:rsid w:val="007135FC"/>
    <w:rsid w:val="007136C0"/>
    <w:rsid w:val="00713704"/>
    <w:rsid w:val="00713AD7"/>
    <w:rsid w:val="00713CBC"/>
    <w:rsid w:val="00713CC4"/>
    <w:rsid w:val="00713FCA"/>
    <w:rsid w:val="00714068"/>
    <w:rsid w:val="00714180"/>
    <w:rsid w:val="007141C7"/>
    <w:rsid w:val="00714232"/>
    <w:rsid w:val="00714383"/>
    <w:rsid w:val="0071440D"/>
    <w:rsid w:val="0071480D"/>
    <w:rsid w:val="007149AA"/>
    <w:rsid w:val="00714AE8"/>
    <w:rsid w:val="00714D5D"/>
    <w:rsid w:val="007152D7"/>
    <w:rsid w:val="007153FB"/>
    <w:rsid w:val="0071548B"/>
    <w:rsid w:val="007155E7"/>
    <w:rsid w:val="007155EB"/>
    <w:rsid w:val="00715641"/>
    <w:rsid w:val="0071591E"/>
    <w:rsid w:val="00715A8A"/>
    <w:rsid w:val="00715B63"/>
    <w:rsid w:val="0071600E"/>
    <w:rsid w:val="0071651F"/>
    <w:rsid w:val="007167C9"/>
    <w:rsid w:val="00716802"/>
    <w:rsid w:val="007168E8"/>
    <w:rsid w:val="00716A31"/>
    <w:rsid w:val="00716B30"/>
    <w:rsid w:val="00716C86"/>
    <w:rsid w:val="00716DDC"/>
    <w:rsid w:val="00716F91"/>
    <w:rsid w:val="00716FCF"/>
    <w:rsid w:val="007172B4"/>
    <w:rsid w:val="007173C9"/>
    <w:rsid w:val="007175F6"/>
    <w:rsid w:val="00717829"/>
    <w:rsid w:val="00717963"/>
    <w:rsid w:val="00717E2F"/>
    <w:rsid w:val="00717EEF"/>
    <w:rsid w:val="00720142"/>
    <w:rsid w:val="007202E8"/>
    <w:rsid w:val="00720536"/>
    <w:rsid w:val="0072069F"/>
    <w:rsid w:val="007208C9"/>
    <w:rsid w:val="00720980"/>
    <w:rsid w:val="007209BF"/>
    <w:rsid w:val="00720B13"/>
    <w:rsid w:val="00720B4F"/>
    <w:rsid w:val="00720BF0"/>
    <w:rsid w:val="00720CA5"/>
    <w:rsid w:val="00720CFE"/>
    <w:rsid w:val="00720EDE"/>
    <w:rsid w:val="00720EFC"/>
    <w:rsid w:val="007215E4"/>
    <w:rsid w:val="00721867"/>
    <w:rsid w:val="00721A4A"/>
    <w:rsid w:val="00721BCB"/>
    <w:rsid w:val="00721E13"/>
    <w:rsid w:val="00721F03"/>
    <w:rsid w:val="0072202C"/>
    <w:rsid w:val="0072223F"/>
    <w:rsid w:val="0072231A"/>
    <w:rsid w:val="00722463"/>
    <w:rsid w:val="00722892"/>
    <w:rsid w:val="007228CE"/>
    <w:rsid w:val="00722A0E"/>
    <w:rsid w:val="00722A5D"/>
    <w:rsid w:val="00722AAC"/>
    <w:rsid w:val="00722AF8"/>
    <w:rsid w:val="00722BEE"/>
    <w:rsid w:val="00722DB5"/>
    <w:rsid w:val="00722DCF"/>
    <w:rsid w:val="00722E22"/>
    <w:rsid w:val="00722E57"/>
    <w:rsid w:val="00722F77"/>
    <w:rsid w:val="00722F93"/>
    <w:rsid w:val="00723272"/>
    <w:rsid w:val="007233A7"/>
    <w:rsid w:val="0072356D"/>
    <w:rsid w:val="00723574"/>
    <w:rsid w:val="0072363F"/>
    <w:rsid w:val="00723846"/>
    <w:rsid w:val="00723FE6"/>
    <w:rsid w:val="00724070"/>
    <w:rsid w:val="00724125"/>
    <w:rsid w:val="00724143"/>
    <w:rsid w:val="00724197"/>
    <w:rsid w:val="007243E1"/>
    <w:rsid w:val="00724CA4"/>
    <w:rsid w:val="00724D22"/>
    <w:rsid w:val="00724F2D"/>
    <w:rsid w:val="00724FC3"/>
    <w:rsid w:val="007250A2"/>
    <w:rsid w:val="0072517B"/>
    <w:rsid w:val="00725566"/>
    <w:rsid w:val="007256C1"/>
    <w:rsid w:val="00725964"/>
    <w:rsid w:val="00725D2A"/>
    <w:rsid w:val="00726288"/>
    <w:rsid w:val="00726699"/>
    <w:rsid w:val="00726733"/>
    <w:rsid w:val="007268DA"/>
    <w:rsid w:val="00726B45"/>
    <w:rsid w:val="00726C04"/>
    <w:rsid w:val="00726D08"/>
    <w:rsid w:val="00726E69"/>
    <w:rsid w:val="00727166"/>
    <w:rsid w:val="0072737B"/>
    <w:rsid w:val="0072776D"/>
    <w:rsid w:val="00727861"/>
    <w:rsid w:val="007279AA"/>
    <w:rsid w:val="00727B18"/>
    <w:rsid w:val="00727B3D"/>
    <w:rsid w:val="00727BA7"/>
    <w:rsid w:val="00727C66"/>
    <w:rsid w:val="00730100"/>
    <w:rsid w:val="00730186"/>
    <w:rsid w:val="00730236"/>
    <w:rsid w:val="007302D8"/>
    <w:rsid w:val="00730498"/>
    <w:rsid w:val="00730509"/>
    <w:rsid w:val="00730584"/>
    <w:rsid w:val="0073068A"/>
    <w:rsid w:val="0073089F"/>
    <w:rsid w:val="00730947"/>
    <w:rsid w:val="00730CCB"/>
    <w:rsid w:val="00730DF3"/>
    <w:rsid w:val="00730E99"/>
    <w:rsid w:val="00731046"/>
    <w:rsid w:val="00731126"/>
    <w:rsid w:val="0073125E"/>
    <w:rsid w:val="00731355"/>
    <w:rsid w:val="007315D3"/>
    <w:rsid w:val="00731C06"/>
    <w:rsid w:val="0073213D"/>
    <w:rsid w:val="00732282"/>
    <w:rsid w:val="007322AF"/>
    <w:rsid w:val="007325B3"/>
    <w:rsid w:val="0073261B"/>
    <w:rsid w:val="00732753"/>
    <w:rsid w:val="0073276B"/>
    <w:rsid w:val="00732813"/>
    <w:rsid w:val="00732EEE"/>
    <w:rsid w:val="007332DC"/>
    <w:rsid w:val="0073347B"/>
    <w:rsid w:val="007338DC"/>
    <w:rsid w:val="00733DBD"/>
    <w:rsid w:val="00733DC8"/>
    <w:rsid w:val="00733E46"/>
    <w:rsid w:val="00734240"/>
    <w:rsid w:val="007348FF"/>
    <w:rsid w:val="00734981"/>
    <w:rsid w:val="007349EF"/>
    <w:rsid w:val="00734DA0"/>
    <w:rsid w:val="007351AE"/>
    <w:rsid w:val="007354CA"/>
    <w:rsid w:val="007356FE"/>
    <w:rsid w:val="00735844"/>
    <w:rsid w:val="0073585D"/>
    <w:rsid w:val="00735A84"/>
    <w:rsid w:val="00735B26"/>
    <w:rsid w:val="00737026"/>
    <w:rsid w:val="0073725B"/>
    <w:rsid w:val="0073726F"/>
    <w:rsid w:val="00737293"/>
    <w:rsid w:val="0073731D"/>
    <w:rsid w:val="00737338"/>
    <w:rsid w:val="0073737B"/>
    <w:rsid w:val="0073740E"/>
    <w:rsid w:val="00737660"/>
    <w:rsid w:val="007376C8"/>
    <w:rsid w:val="0073770E"/>
    <w:rsid w:val="00737719"/>
    <w:rsid w:val="00737896"/>
    <w:rsid w:val="007378F4"/>
    <w:rsid w:val="0073799C"/>
    <w:rsid w:val="00737B66"/>
    <w:rsid w:val="00737BDC"/>
    <w:rsid w:val="00737C01"/>
    <w:rsid w:val="00737C13"/>
    <w:rsid w:val="00737CB4"/>
    <w:rsid w:val="00737DB3"/>
    <w:rsid w:val="00740341"/>
    <w:rsid w:val="007404EC"/>
    <w:rsid w:val="0074066A"/>
    <w:rsid w:val="007406DC"/>
    <w:rsid w:val="00740CF0"/>
    <w:rsid w:val="00740DB3"/>
    <w:rsid w:val="00740F4F"/>
    <w:rsid w:val="00741496"/>
    <w:rsid w:val="007414DF"/>
    <w:rsid w:val="00741535"/>
    <w:rsid w:val="007416B2"/>
    <w:rsid w:val="007416E0"/>
    <w:rsid w:val="007417C4"/>
    <w:rsid w:val="00741B2E"/>
    <w:rsid w:val="00741B90"/>
    <w:rsid w:val="00741C26"/>
    <w:rsid w:val="00741D2A"/>
    <w:rsid w:val="007423FD"/>
    <w:rsid w:val="00742437"/>
    <w:rsid w:val="0074297E"/>
    <w:rsid w:val="007429FF"/>
    <w:rsid w:val="00742B0A"/>
    <w:rsid w:val="00742CD2"/>
    <w:rsid w:val="00742DD8"/>
    <w:rsid w:val="0074303D"/>
    <w:rsid w:val="007430D4"/>
    <w:rsid w:val="00743434"/>
    <w:rsid w:val="00743467"/>
    <w:rsid w:val="00743637"/>
    <w:rsid w:val="00743839"/>
    <w:rsid w:val="0074383D"/>
    <w:rsid w:val="007438ED"/>
    <w:rsid w:val="007439AD"/>
    <w:rsid w:val="00743B1D"/>
    <w:rsid w:val="00743B21"/>
    <w:rsid w:val="00743C62"/>
    <w:rsid w:val="00743E67"/>
    <w:rsid w:val="00743FE8"/>
    <w:rsid w:val="007441AE"/>
    <w:rsid w:val="007443F5"/>
    <w:rsid w:val="00744663"/>
    <w:rsid w:val="007446FB"/>
    <w:rsid w:val="00744846"/>
    <w:rsid w:val="00744942"/>
    <w:rsid w:val="007449F0"/>
    <w:rsid w:val="00744A69"/>
    <w:rsid w:val="00744A8E"/>
    <w:rsid w:val="00744A90"/>
    <w:rsid w:val="00744C48"/>
    <w:rsid w:val="00744D9D"/>
    <w:rsid w:val="007450AD"/>
    <w:rsid w:val="007450D4"/>
    <w:rsid w:val="00745128"/>
    <w:rsid w:val="007454C1"/>
    <w:rsid w:val="007455AB"/>
    <w:rsid w:val="0074567F"/>
    <w:rsid w:val="0074568D"/>
    <w:rsid w:val="007456AD"/>
    <w:rsid w:val="00745923"/>
    <w:rsid w:val="00745CB5"/>
    <w:rsid w:val="00745EE3"/>
    <w:rsid w:val="00745EF5"/>
    <w:rsid w:val="00745F3A"/>
    <w:rsid w:val="00746214"/>
    <w:rsid w:val="00746388"/>
    <w:rsid w:val="007463EC"/>
    <w:rsid w:val="00746655"/>
    <w:rsid w:val="0074688F"/>
    <w:rsid w:val="00746BD4"/>
    <w:rsid w:val="00746D20"/>
    <w:rsid w:val="00746E4E"/>
    <w:rsid w:val="00747082"/>
    <w:rsid w:val="00747089"/>
    <w:rsid w:val="00747180"/>
    <w:rsid w:val="007472E1"/>
    <w:rsid w:val="00747755"/>
    <w:rsid w:val="00747AB6"/>
    <w:rsid w:val="00747C88"/>
    <w:rsid w:val="00747E0E"/>
    <w:rsid w:val="00747EB9"/>
    <w:rsid w:val="00747EE5"/>
    <w:rsid w:val="007503FD"/>
    <w:rsid w:val="00750403"/>
    <w:rsid w:val="007505A0"/>
    <w:rsid w:val="007505CA"/>
    <w:rsid w:val="00750782"/>
    <w:rsid w:val="00750785"/>
    <w:rsid w:val="0075079B"/>
    <w:rsid w:val="0075080D"/>
    <w:rsid w:val="00750919"/>
    <w:rsid w:val="0075097C"/>
    <w:rsid w:val="00750A0F"/>
    <w:rsid w:val="00750C15"/>
    <w:rsid w:val="00750DF5"/>
    <w:rsid w:val="00750E27"/>
    <w:rsid w:val="007510F6"/>
    <w:rsid w:val="007511AA"/>
    <w:rsid w:val="007511DF"/>
    <w:rsid w:val="00751273"/>
    <w:rsid w:val="00751467"/>
    <w:rsid w:val="0075146E"/>
    <w:rsid w:val="007517F0"/>
    <w:rsid w:val="00751A67"/>
    <w:rsid w:val="00751EAB"/>
    <w:rsid w:val="00751F58"/>
    <w:rsid w:val="0075205F"/>
    <w:rsid w:val="00752383"/>
    <w:rsid w:val="007523BA"/>
    <w:rsid w:val="00752709"/>
    <w:rsid w:val="00752A64"/>
    <w:rsid w:val="00752C83"/>
    <w:rsid w:val="00752DD5"/>
    <w:rsid w:val="00752E3A"/>
    <w:rsid w:val="00752EDC"/>
    <w:rsid w:val="007531EE"/>
    <w:rsid w:val="0075326F"/>
    <w:rsid w:val="007536EC"/>
    <w:rsid w:val="0075381A"/>
    <w:rsid w:val="0075383B"/>
    <w:rsid w:val="00753B63"/>
    <w:rsid w:val="00753B78"/>
    <w:rsid w:val="00753C75"/>
    <w:rsid w:val="00753E25"/>
    <w:rsid w:val="00753E5A"/>
    <w:rsid w:val="00753E79"/>
    <w:rsid w:val="00753F40"/>
    <w:rsid w:val="00753F5B"/>
    <w:rsid w:val="00753FA1"/>
    <w:rsid w:val="00754004"/>
    <w:rsid w:val="0075409D"/>
    <w:rsid w:val="007540D0"/>
    <w:rsid w:val="007542F5"/>
    <w:rsid w:val="007543FB"/>
    <w:rsid w:val="007545FD"/>
    <w:rsid w:val="0075468C"/>
    <w:rsid w:val="007546B4"/>
    <w:rsid w:val="0075470D"/>
    <w:rsid w:val="00754721"/>
    <w:rsid w:val="0075481C"/>
    <w:rsid w:val="00754AD2"/>
    <w:rsid w:val="00754B1D"/>
    <w:rsid w:val="00754C0A"/>
    <w:rsid w:val="00754D08"/>
    <w:rsid w:val="00754F61"/>
    <w:rsid w:val="00754FFD"/>
    <w:rsid w:val="00755185"/>
    <w:rsid w:val="00755281"/>
    <w:rsid w:val="007559CB"/>
    <w:rsid w:val="00755A5A"/>
    <w:rsid w:val="00755B68"/>
    <w:rsid w:val="00755D96"/>
    <w:rsid w:val="00755E62"/>
    <w:rsid w:val="00755FAC"/>
    <w:rsid w:val="00755FB3"/>
    <w:rsid w:val="007560B9"/>
    <w:rsid w:val="0075621A"/>
    <w:rsid w:val="0075624D"/>
    <w:rsid w:val="0075646A"/>
    <w:rsid w:val="00756566"/>
    <w:rsid w:val="0075670D"/>
    <w:rsid w:val="00756A81"/>
    <w:rsid w:val="00756E62"/>
    <w:rsid w:val="00756F65"/>
    <w:rsid w:val="00756F77"/>
    <w:rsid w:val="007570B8"/>
    <w:rsid w:val="00757172"/>
    <w:rsid w:val="007572DA"/>
    <w:rsid w:val="0075739C"/>
    <w:rsid w:val="0075754F"/>
    <w:rsid w:val="00757828"/>
    <w:rsid w:val="00757920"/>
    <w:rsid w:val="00757CC3"/>
    <w:rsid w:val="00757E22"/>
    <w:rsid w:val="00757E9D"/>
    <w:rsid w:val="00757FA0"/>
    <w:rsid w:val="0076000E"/>
    <w:rsid w:val="00760076"/>
    <w:rsid w:val="0076040B"/>
    <w:rsid w:val="00760491"/>
    <w:rsid w:val="007605E9"/>
    <w:rsid w:val="007607D7"/>
    <w:rsid w:val="0076091F"/>
    <w:rsid w:val="00760A48"/>
    <w:rsid w:val="00760E55"/>
    <w:rsid w:val="00760E9D"/>
    <w:rsid w:val="00761153"/>
    <w:rsid w:val="0076125D"/>
    <w:rsid w:val="007615E3"/>
    <w:rsid w:val="007618DE"/>
    <w:rsid w:val="007618EC"/>
    <w:rsid w:val="0076194E"/>
    <w:rsid w:val="00761A1D"/>
    <w:rsid w:val="00761AB0"/>
    <w:rsid w:val="00761AF7"/>
    <w:rsid w:val="00761D38"/>
    <w:rsid w:val="00761D45"/>
    <w:rsid w:val="00761E59"/>
    <w:rsid w:val="00761EF4"/>
    <w:rsid w:val="00761FA3"/>
    <w:rsid w:val="00762696"/>
    <w:rsid w:val="00762913"/>
    <w:rsid w:val="00762A6D"/>
    <w:rsid w:val="00762AF8"/>
    <w:rsid w:val="00762BB5"/>
    <w:rsid w:val="00762E57"/>
    <w:rsid w:val="00762EE3"/>
    <w:rsid w:val="00762FA2"/>
    <w:rsid w:val="0076318C"/>
    <w:rsid w:val="0076331A"/>
    <w:rsid w:val="007633E1"/>
    <w:rsid w:val="007634B1"/>
    <w:rsid w:val="00763532"/>
    <w:rsid w:val="00763760"/>
    <w:rsid w:val="00763838"/>
    <w:rsid w:val="00763941"/>
    <w:rsid w:val="00763A27"/>
    <w:rsid w:val="00763E8D"/>
    <w:rsid w:val="007642CB"/>
    <w:rsid w:val="0076433E"/>
    <w:rsid w:val="007644D4"/>
    <w:rsid w:val="0076451E"/>
    <w:rsid w:val="0076467E"/>
    <w:rsid w:val="00764BB1"/>
    <w:rsid w:val="00764BFA"/>
    <w:rsid w:val="00764C58"/>
    <w:rsid w:val="00764D90"/>
    <w:rsid w:val="00764D9C"/>
    <w:rsid w:val="00764DF9"/>
    <w:rsid w:val="00765320"/>
    <w:rsid w:val="00765382"/>
    <w:rsid w:val="007653C9"/>
    <w:rsid w:val="00765615"/>
    <w:rsid w:val="00765B0B"/>
    <w:rsid w:val="00765B77"/>
    <w:rsid w:val="00765BD0"/>
    <w:rsid w:val="00765BEA"/>
    <w:rsid w:val="007661E3"/>
    <w:rsid w:val="007664EE"/>
    <w:rsid w:val="007665A4"/>
    <w:rsid w:val="0076661C"/>
    <w:rsid w:val="00766A72"/>
    <w:rsid w:val="00766DA9"/>
    <w:rsid w:val="00766F32"/>
    <w:rsid w:val="00766F99"/>
    <w:rsid w:val="007670AC"/>
    <w:rsid w:val="00767269"/>
    <w:rsid w:val="007673C4"/>
    <w:rsid w:val="00767516"/>
    <w:rsid w:val="0076773A"/>
    <w:rsid w:val="0076799C"/>
    <w:rsid w:val="00767D6C"/>
    <w:rsid w:val="00770239"/>
    <w:rsid w:val="007702D6"/>
    <w:rsid w:val="007702E7"/>
    <w:rsid w:val="0077040E"/>
    <w:rsid w:val="00770410"/>
    <w:rsid w:val="007705B7"/>
    <w:rsid w:val="007707E3"/>
    <w:rsid w:val="00770ABA"/>
    <w:rsid w:val="00770AC5"/>
    <w:rsid w:val="00770E01"/>
    <w:rsid w:val="00770E1E"/>
    <w:rsid w:val="00770F92"/>
    <w:rsid w:val="0077111F"/>
    <w:rsid w:val="00771266"/>
    <w:rsid w:val="00771362"/>
    <w:rsid w:val="0077183A"/>
    <w:rsid w:val="0077187B"/>
    <w:rsid w:val="00771A8A"/>
    <w:rsid w:val="00771AA6"/>
    <w:rsid w:val="00771DBC"/>
    <w:rsid w:val="00771DD1"/>
    <w:rsid w:val="00771F7B"/>
    <w:rsid w:val="0077212C"/>
    <w:rsid w:val="007721E5"/>
    <w:rsid w:val="007722A2"/>
    <w:rsid w:val="007722BA"/>
    <w:rsid w:val="007722C6"/>
    <w:rsid w:val="007723B3"/>
    <w:rsid w:val="0077247E"/>
    <w:rsid w:val="007725B8"/>
    <w:rsid w:val="00772731"/>
    <w:rsid w:val="0077280A"/>
    <w:rsid w:val="007728E2"/>
    <w:rsid w:val="00772A06"/>
    <w:rsid w:val="00772B24"/>
    <w:rsid w:val="00772B85"/>
    <w:rsid w:val="00772E38"/>
    <w:rsid w:val="00772E45"/>
    <w:rsid w:val="00772E96"/>
    <w:rsid w:val="007731E1"/>
    <w:rsid w:val="00773227"/>
    <w:rsid w:val="0077327C"/>
    <w:rsid w:val="00773604"/>
    <w:rsid w:val="0077373F"/>
    <w:rsid w:val="0077374D"/>
    <w:rsid w:val="007738D1"/>
    <w:rsid w:val="00773B8D"/>
    <w:rsid w:val="00773BFF"/>
    <w:rsid w:val="00773E79"/>
    <w:rsid w:val="00774082"/>
    <w:rsid w:val="00774084"/>
    <w:rsid w:val="007740E6"/>
    <w:rsid w:val="007741CF"/>
    <w:rsid w:val="0077475B"/>
    <w:rsid w:val="00774780"/>
    <w:rsid w:val="00774BA6"/>
    <w:rsid w:val="00774D28"/>
    <w:rsid w:val="00774FB0"/>
    <w:rsid w:val="00775043"/>
    <w:rsid w:val="00775129"/>
    <w:rsid w:val="00775234"/>
    <w:rsid w:val="0077574A"/>
    <w:rsid w:val="00775C84"/>
    <w:rsid w:val="00775C92"/>
    <w:rsid w:val="00775E1D"/>
    <w:rsid w:val="00775F5E"/>
    <w:rsid w:val="00775FED"/>
    <w:rsid w:val="007761D6"/>
    <w:rsid w:val="0077630A"/>
    <w:rsid w:val="00776457"/>
    <w:rsid w:val="007765B3"/>
    <w:rsid w:val="00776862"/>
    <w:rsid w:val="00776C85"/>
    <w:rsid w:val="00776CB6"/>
    <w:rsid w:val="00776F86"/>
    <w:rsid w:val="007770EE"/>
    <w:rsid w:val="007771AE"/>
    <w:rsid w:val="0077731F"/>
    <w:rsid w:val="007774EC"/>
    <w:rsid w:val="00777D96"/>
    <w:rsid w:val="00780429"/>
    <w:rsid w:val="007805A5"/>
    <w:rsid w:val="00780AEA"/>
    <w:rsid w:val="00780CC5"/>
    <w:rsid w:val="00780F76"/>
    <w:rsid w:val="00781025"/>
    <w:rsid w:val="00781106"/>
    <w:rsid w:val="00781199"/>
    <w:rsid w:val="0078188A"/>
    <w:rsid w:val="007818EE"/>
    <w:rsid w:val="00781913"/>
    <w:rsid w:val="00781AAE"/>
    <w:rsid w:val="00781CA1"/>
    <w:rsid w:val="00781E9A"/>
    <w:rsid w:val="00781F87"/>
    <w:rsid w:val="00782088"/>
    <w:rsid w:val="007827B3"/>
    <w:rsid w:val="0078289C"/>
    <w:rsid w:val="007829EC"/>
    <w:rsid w:val="00782AE4"/>
    <w:rsid w:val="00782F79"/>
    <w:rsid w:val="00783102"/>
    <w:rsid w:val="007832BF"/>
    <w:rsid w:val="007835AB"/>
    <w:rsid w:val="0078361D"/>
    <w:rsid w:val="007836D3"/>
    <w:rsid w:val="0078374F"/>
    <w:rsid w:val="007838C1"/>
    <w:rsid w:val="0078396B"/>
    <w:rsid w:val="00783A72"/>
    <w:rsid w:val="00783B3E"/>
    <w:rsid w:val="00783BF0"/>
    <w:rsid w:val="00783F04"/>
    <w:rsid w:val="0078411F"/>
    <w:rsid w:val="0078424F"/>
    <w:rsid w:val="007842E5"/>
    <w:rsid w:val="0078446D"/>
    <w:rsid w:val="00784491"/>
    <w:rsid w:val="00784560"/>
    <w:rsid w:val="00784791"/>
    <w:rsid w:val="00784BCA"/>
    <w:rsid w:val="00784E2A"/>
    <w:rsid w:val="00784EB4"/>
    <w:rsid w:val="00785060"/>
    <w:rsid w:val="0078513F"/>
    <w:rsid w:val="007851D3"/>
    <w:rsid w:val="007854AD"/>
    <w:rsid w:val="007856D5"/>
    <w:rsid w:val="0078574F"/>
    <w:rsid w:val="00785941"/>
    <w:rsid w:val="007859BA"/>
    <w:rsid w:val="007859BF"/>
    <w:rsid w:val="00785C58"/>
    <w:rsid w:val="00785C84"/>
    <w:rsid w:val="00785D54"/>
    <w:rsid w:val="007860D4"/>
    <w:rsid w:val="007863F1"/>
    <w:rsid w:val="007864B3"/>
    <w:rsid w:val="007867E9"/>
    <w:rsid w:val="00786B4B"/>
    <w:rsid w:val="00786C55"/>
    <w:rsid w:val="00786CBE"/>
    <w:rsid w:val="00786D73"/>
    <w:rsid w:val="00786FE7"/>
    <w:rsid w:val="0078712C"/>
    <w:rsid w:val="0078730D"/>
    <w:rsid w:val="0078742C"/>
    <w:rsid w:val="0078755B"/>
    <w:rsid w:val="007875BE"/>
    <w:rsid w:val="007876DF"/>
    <w:rsid w:val="00787A53"/>
    <w:rsid w:val="00787A6A"/>
    <w:rsid w:val="00787BB1"/>
    <w:rsid w:val="00787C81"/>
    <w:rsid w:val="00790845"/>
    <w:rsid w:val="00790B72"/>
    <w:rsid w:val="00790E6C"/>
    <w:rsid w:val="00790F05"/>
    <w:rsid w:val="00791298"/>
    <w:rsid w:val="007914F7"/>
    <w:rsid w:val="007917E9"/>
    <w:rsid w:val="00791897"/>
    <w:rsid w:val="007918AD"/>
    <w:rsid w:val="00792042"/>
    <w:rsid w:val="00792340"/>
    <w:rsid w:val="0079253A"/>
    <w:rsid w:val="0079285D"/>
    <w:rsid w:val="007929CA"/>
    <w:rsid w:val="00792F67"/>
    <w:rsid w:val="007931C2"/>
    <w:rsid w:val="00793507"/>
    <w:rsid w:val="0079352B"/>
    <w:rsid w:val="0079355F"/>
    <w:rsid w:val="00793746"/>
    <w:rsid w:val="00793B39"/>
    <w:rsid w:val="00793B7F"/>
    <w:rsid w:val="00793C4B"/>
    <w:rsid w:val="00793E03"/>
    <w:rsid w:val="00793F06"/>
    <w:rsid w:val="00793F54"/>
    <w:rsid w:val="00794574"/>
    <w:rsid w:val="0079474D"/>
    <w:rsid w:val="00794896"/>
    <w:rsid w:val="00794DB2"/>
    <w:rsid w:val="00794E13"/>
    <w:rsid w:val="00794E54"/>
    <w:rsid w:val="007951FF"/>
    <w:rsid w:val="007952CB"/>
    <w:rsid w:val="00795438"/>
    <w:rsid w:val="0079556C"/>
    <w:rsid w:val="00795645"/>
    <w:rsid w:val="007956F3"/>
    <w:rsid w:val="00795F74"/>
    <w:rsid w:val="00796008"/>
    <w:rsid w:val="00796090"/>
    <w:rsid w:val="007962D9"/>
    <w:rsid w:val="00796309"/>
    <w:rsid w:val="00796312"/>
    <w:rsid w:val="007964EC"/>
    <w:rsid w:val="007964ED"/>
    <w:rsid w:val="0079671B"/>
    <w:rsid w:val="00796893"/>
    <w:rsid w:val="00796903"/>
    <w:rsid w:val="007969F7"/>
    <w:rsid w:val="00796ACC"/>
    <w:rsid w:val="00796AE5"/>
    <w:rsid w:val="00796CC9"/>
    <w:rsid w:val="00796D0C"/>
    <w:rsid w:val="00796F89"/>
    <w:rsid w:val="007976D3"/>
    <w:rsid w:val="0079781A"/>
    <w:rsid w:val="007978C7"/>
    <w:rsid w:val="00797A3B"/>
    <w:rsid w:val="00797BC9"/>
    <w:rsid w:val="00797D8D"/>
    <w:rsid w:val="00797EC8"/>
    <w:rsid w:val="007A004E"/>
    <w:rsid w:val="007A0A49"/>
    <w:rsid w:val="007A0A5A"/>
    <w:rsid w:val="007A0A91"/>
    <w:rsid w:val="007A0C02"/>
    <w:rsid w:val="007A0CDE"/>
    <w:rsid w:val="007A0EF8"/>
    <w:rsid w:val="007A0F76"/>
    <w:rsid w:val="007A0FA4"/>
    <w:rsid w:val="007A1233"/>
    <w:rsid w:val="007A12EF"/>
    <w:rsid w:val="007A1360"/>
    <w:rsid w:val="007A1551"/>
    <w:rsid w:val="007A1560"/>
    <w:rsid w:val="007A16CE"/>
    <w:rsid w:val="007A189A"/>
    <w:rsid w:val="007A189F"/>
    <w:rsid w:val="007A1956"/>
    <w:rsid w:val="007A1BCF"/>
    <w:rsid w:val="007A1F2D"/>
    <w:rsid w:val="007A1FDE"/>
    <w:rsid w:val="007A2477"/>
    <w:rsid w:val="007A2597"/>
    <w:rsid w:val="007A2CD8"/>
    <w:rsid w:val="007A2E8D"/>
    <w:rsid w:val="007A2EEE"/>
    <w:rsid w:val="007A2F1F"/>
    <w:rsid w:val="007A3004"/>
    <w:rsid w:val="007A3359"/>
    <w:rsid w:val="007A35DB"/>
    <w:rsid w:val="007A38D1"/>
    <w:rsid w:val="007A3D33"/>
    <w:rsid w:val="007A426F"/>
    <w:rsid w:val="007A45F3"/>
    <w:rsid w:val="007A48F5"/>
    <w:rsid w:val="007A4CE5"/>
    <w:rsid w:val="007A4F3F"/>
    <w:rsid w:val="007A5081"/>
    <w:rsid w:val="007A53D6"/>
    <w:rsid w:val="007A556B"/>
    <w:rsid w:val="007A563E"/>
    <w:rsid w:val="007A579B"/>
    <w:rsid w:val="007A5A05"/>
    <w:rsid w:val="007A5B6A"/>
    <w:rsid w:val="007A5E5D"/>
    <w:rsid w:val="007A5F48"/>
    <w:rsid w:val="007A5FBB"/>
    <w:rsid w:val="007A60B9"/>
    <w:rsid w:val="007A624A"/>
    <w:rsid w:val="007A6809"/>
    <w:rsid w:val="007A6BF2"/>
    <w:rsid w:val="007A6C09"/>
    <w:rsid w:val="007A6C28"/>
    <w:rsid w:val="007A6D49"/>
    <w:rsid w:val="007A6E89"/>
    <w:rsid w:val="007A6EB1"/>
    <w:rsid w:val="007A6ECA"/>
    <w:rsid w:val="007A6F45"/>
    <w:rsid w:val="007A6F88"/>
    <w:rsid w:val="007A7068"/>
    <w:rsid w:val="007A7475"/>
    <w:rsid w:val="007A77B2"/>
    <w:rsid w:val="007A7AAF"/>
    <w:rsid w:val="007A7B76"/>
    <w:rsid w:val="007A7B97"/>
    <w:rsid w:val="007A7CAE"/>
    <w:rsid w:val="007A7DA9"/>
    <w:rsid w:val="007A7E84"/>
    <w:rsid w:val="007A7E90"/>
    <w:rsid w:val="007A7ED6"/>
    <w:rsid w:val="007A7F91"/>
    <w:rsid w:val="007B0076"/>
    <w:rsid w:val="007B00B4"/>
    <w:rsid w:val="007B014A"/>
    <w:rsid w:val="007B0251"/>
    <w:rsid w:val="007B026A"/>
    <w:rsid w:val="007B03C4"/>
    <w:rsid w:val="007B03EE"/>
    <w:rsid w:val="007B04A5"/>
    <w:rsid w:val="007B07EA"/>
    <w:rsid w:val="007B0931"/>
    <w:rsid w:val="007B0A61"/>
    <w:rsid w:val="007B0B40"/>
    <w:rsid w:val="007B0C7D"/>
    <w:rsid w:val="007B0E87"/>
    <w:rsid w:val="007B0F32"/>
    <w:rsid w:val="007B0FA3"/>
    <w:rsid w:val="007B1109"/>
    <w:rsid w:val="007B11A8"/>
    <w:rsid w:val="007B161E"/>
    <w:rsid w:val="007B1707"/>
    <w:rsid w:val="007B1835"/>
    <w:rsid w:val="007B1A0D"/>
    <w:rsid w:val="007B1B52"/>
    <w:rsid w:val="007B1D0A"/>
    <w:rsid w:val="007B1D3E"/>
    <w:rsid w:val="007B1D5D"/>
    <w:rsid w:val="007B22EC"/>
    <w:rsid w:val="007B237C"/>
    <w:rsid w:val="007B26EC"/>
    <w:rsid w:val="007B2966"/>
    <w:rsid w:val="007B29A0"/>
    <w:rsid w:val="007B2AE4"/>
    <w:rsid w:val="007B2B1B"/>
    <w:rsid w:val="007B2DAE"/>
    <w:rsid w:val="007B2DCC"/>
    <w:rsid w:val="007B2E63"/>
    <w:rsid w:val="007B3443"/>
    <w:rsid w:val="007B3661"/>
    <w:rsid w:val="007B369A"/>
    <w:rsid w:val="007B38C9"/>
    <w:rsid w:val="007B38D0"/>
    <w:rsid w:val="007B3CFB"/>
    <w:rsid w:val="007B417E"/>
    <w:rsid w:val="007B4830"/>
    <w:rsid w:val="007B48A0"/>
    <w:rsid w:val="007B4CDB"/>
    <w:rsid w:val="007B50DA"/>
    <w:rsid w:val="007B511C"/>
    <w:rsid w:val="007B5142"/>
    <w:rsid w:val="007B5297"/>
    <w:rsid w:val="007B5341"/>
    <w:rsid w:val="007B5444"/>
    <w:rsid w:val="007B579D"/>
    <w:rsid w:val="007B57CD"/>
    <w:rsid w:val="007B57F6"/>
    <w:rsid w:val="007B5860"/>
    <w:rsid w:val="007B5A50"/>
    <w:rsid w:val="007B5B15"/>
    <w:rsid w:val="007B5CE9"/>
    <w:rsid w:val="007B5DC9"/>
    <w:rsid w:val="007B6196"/>
    <w:rsid w:val="007B63C1"/>
    <w:rsid w:val="007B6572"/>
    <w:rsid w:val="007B6713"/>
    <w:rsid w:val="007B6868"/>
    <w:rsid w:val="007B6AE5"/>
    <w:rsid w:val="007B6CD7"/>
    <w:rsid w:val="007B6D20"/>
    <w:rsid w:val="007B7022"/>
    <w:rsid w:val="007B70B3"/>
    <w:rsid w:val="007B71FD"/>
    <w:rsid w:val="007B72E8"/>
    <w:rsid w:val="007B743F"/>
    <w:rsid w:val="007B74A3"/>
    <w:rsid w:val="007B7524"/>
    <w:rsid w:val="007B7869"/>
    <w:rsid w:val="007B7943"/>
    <w:rsid w:val="007B7AF8"/>
    <w:rsid w:val="007B7BC7"/>
    <w:rsid w:val="007B7C6D"/>
    <w:rsid w:val="007B7CB8"/>
    <w:rsid w:val="007B7CE0"/>
    <w:rsid w:val="007B7D54"/>
    <w:rsid w:val="007B7DE7"/>
    <w:rsid w:val="007B7E22"/>
    <w:rsid w:val="007C00F3"/>
    <w:rsid w:val="007C0139"/>
    <w:rsid w:val="007C01F5"/>
    <w:rsid w:val="007C0691"/>
    <w:rsid w:val="007C0712"/>
    <w:rsid w:val="007C0BE8"/>
    <w:rsid w:val="007C11ED"/>
    <w:rsid w:val="007C120C"/>
    <w:rsid w:val="007C1256"/>
    <w:rsid w:val="007C155A"/>
    <w:rsid w:val="007C1CBB"/>
    <w:rsid w:val="007C1D7A"/>
    <w:rsid w:val="007C218B"/>
    <w:rsid w:val="007C22CF"/>
    <w:rsid w:val="007C23DF"/>
    <w:rsid w:val="007C2420"/>
    <w:rsid w:val="007C2798"/>
    <w:rsid w:val="007C29D8"/>
    <w:rsid w:val="007C2B49"/>
    <w:rsid w:val="007C2F85"/>
    <w:rsid w:val="007C31D7"/>
    <w:rsid w:val="007C3232"/>
    <w:rsid w:val="007C3264"/>
    <w:rsid w:val="007C34F0"/>
    <w:rsid w:val="007C3523"/>
    <w:rsid w:val="007C361B"/>
    <w:rsid w:val="007C37C8"/>
    <w:rsid w:val="007C3BB5"/>
    <w:rsid w:val="007C3CA3"/>
    <w:rsid w:val="007C3CC6"/>
    <w:rsid w:val="007C3E3F"/>
    <w:rsid w:val="007C3F85"/>
    <w:rsid w:val="007C3FD8"/>
    <w:rsid w:val="007C415F"/>
    <w:rsid w:val="007C4348"/>
    <w:rsid w:val="007C4369"/>
    <w:rsid w:val="007C4384"/>
    <w:rsid w:val="007C438A"/>
    <w:rsid w:val="007C458C"/>
    <w:rsid w:val="007C45CA"/>
    <w:rsid w:val="007C45DB"/>
    <w:rsid w:val="007C493D"/>
    <w:rsid w:val="007C4AB6"/>
    <w:rsid w:val="007C4B0A"/>
    <w:rsid w:val="007C4D73"/>
    <w:rsid w:val="007C4E5D"/>
    <w:rsid w:val="007C4F46"/>
    <w:rsid w:val="007C505F"/>
    <w:rsid w:val="007C5110"/>
    <w:rsid w:val="007C5181"/>
    <w:rsid w:val="007C5248"/>
    <w:rsid w:val="007C53F9"/>
    <w:rsid w:val="007C5411"/>
    <w:rsid w:val="007C553D"/>
    <w:rsid w:val="007C57D8"/>
    <w:rsid w:val="007C588B"/>
    <w:rsid w:val="007C59F3"/>
    <w:rsid w:val="007C5CC9"/>
    <w:rsid w:val="007C5D51"/>
    <w:rsid w:val="007C5DE1"/>
    <w:rsid w:val="007C60B3"/>
    <w:rsid w:val="007C6364"/>
    <w:rsid w:val="007C63C0"/>
    <w:rsid w:val="007C643E"/>
    <w:rsid w:val="007C64C5"/>
    <w:rsid w:val="007C6567"/>
    <w:rsid w:val="007C6ABC"/>
    <w:rsid w:val="007C6C83"/>
    <w:rsid w:val="007C6D55"/>
    <w:rsid w:val="007C6DF8"/>
    <w:rsid w:val="007C6E46"/>
    <w:rsid w:val="007C6E78"/>
    <w:rsid w:val="007C6E94"/>
    <w:rsid w:val="007C6F15"/>
    <w:rsid w:val="007C6FA4"/>
    <w:rsid w:val="007C7097"/>
    <w:rsid w:val="007C71CB"/>
    <w:rsid w:val="007C736F"/>
    <w:rsid w:val="007C74C9"/>
    <w:rsid w:val="007C7560"/>
    <w:rsid w:val="007C760E"/>
    <w:rsid w:val="007C7656"/>
    <w:rsid w:val="007C7A3C"/>
    <w:rsid w:val="007C7A72"/>
    <w:rsid w:val="007C7C93"/>
    <w:rsid w:val="007C7F95"/>
    <w:rsid w:val="007D01A2"/>
    <w:rsid w:val="007D025D"/>
    <w:rsid w:val="007D028D"/>
    <w:rsid w:val="007D048A"/>
    <w:rsid w:val="007D060E"/>
    <w:rsid w:val="007D0657"/>
    <w:rsid w:val="007D06BA"/>
    <w:rsid w:val="007D06E3"/>
    <w:rsid w:val="007D08DF"/>
    <w:rsid w:val="007D0B80"/>
    <w:rsid w:val="007D0D4F"/>
    <w:rsid w:val="007D0DCC"/>
    <w:rsid w:val="007D0DFC"/>
    <w:rsid w:val="007D139F"/>
    <w:rsid w:val="007D13DF"/>
    <w:rsid w:val="007D149E"/>
    <w:rsid w:val="007D1803"/>
    <w:rsid w:val="007D185B"/>
    <w:rsid w:val="007D18CA"/>
    <w:rsid w:val="007D1C9E"/>
    <w:rsid w:val="007D1C9F"/>
    <w:rsid w:val="007D1D3E"/>
    <w:rsid w:val="007D1D41"/>
    <w:rsid w:val="007D1DF2"/>
    <w:rsid w:val="007D2064"/>
    <w:rsid w:val="007D20D1"/>
    <w:rsid w:val="007D214C"/>
    <w:rsid w:val="007D2277"/>
    <w:rsid w:val="007D2407"/>
    <w:rsid w:val="007D2427"/>
    <w:rsid w:val="007D247E"/>
    <w:rsid w:val="007D2CB5"/>
    <w:rsid w:val="007D2EBD"/>
    <w:rsid w:val="007D3043"/>
    <w:rsid w:val="007D32D3"/>
    <w:rsid w:val="007D32FF"/>
    <w:rsid w:val="007D35A8"/>
    <w:rsid w:val="007D35BD"/>
    <w:rsid w:val="007D39E2"/>
    <w:rsid w:val="007D4060"/>
    <w:rsid w:val="007D4098"/>
    <w:rsid w:val="007D41FB"/>
    <w:rsid w:val="007D42CF"/>
    <w:rsid w:val="007D43FB"/>
    <w:rsid w:val="007D47E4"/>
    <w:rsid w:val="007D4ABE"/>
    <w:rsid w:val="007D4C65"/>
    <w:rsid w:val="007D50C4"/>
    <w:rsid w:val="007D5422"/>
    <w:rsid w:val="007D5831"/>
    <w:rsid w:val="007D5AD1"/>
    <w:rsid w:val="007D5B41"/>
    <w:rsid w:val="007D602B"/>
    <w:rsid w:val="007D61EA"/>
    <w:rsid w:val="007D62AD"/>
    <w:rsid w:val="007D635E"/>
    <w:rsid w:val="007D64B3"/>
    <w:rsid w:val="007D65F3"/>
    <w:rsid w:val="007D6766"/>
    <w:rsid w:val="007D686C"/>
    <w:rsid w:val="007D6AF1"/>
    <w:rsid w:val="007D6CC3"/>
    <w:rsid w:val="007D6E23"/>
    <w:rsid w:val="007D6E66"/>
    <w:rsid w:val="007D6F97"/>
    <w:rsid w:val="007D75C3"/>
    <w:rsid w:val="007D7696"/>
    <w:rsid w:val="007D77E7"/>
    <w:rsid w:val="007D784E"/>
    <w:rsid w:val="007D7896"/>
    <w:rsid w:val="007D7952"/>
    <w:rsid w:val="007D79CB"/>
    <w:rsid w:val="007D79D6"/>
    <w:rsid w:val="007D7A41"/>
    <w:rsid w:val="007D7AD3"/>
    <w:rsid w:val="007D7BEC"/>
    <w:rsid w:val="007D7C23"/>
    <w:rsid w:val="007D7C66"/>
    <w:rsid w:val="007D7E71"/>
    <w:rsid w:val="007D7F49"/>
    <w:rsid w:val="007E0018"/>
    <w:rsid w:val="007E0285"/>
    <w:rsid w:val="007E02AE"/>
    <w:rsid w:val="007E0386"/>
    <w:rsid w:val="007E03F7"/>
    <w:rsid w:val="007E050D"/>
    <w:rsid w:val="007E0589"/>
    <w:rsid w:val="007E05F4"/>
    <w:rsid w:val="007E091E"/>
    <w:rsid w:val="007E096F"/>
    <w:rsid w:val="007E09BD"/>
    <w:rsid w:val="007E0A2A"/>
    <w:rsid w:val="007E0B7F"/>
    <w:rsid w:val="007E0CA8"/>
    <w:rsid w:val="007E107C"/>
    <w:rsid w:val="007E1513"/>
    <w:rsid w:val="007E17B5"/>
    <w:rsid w:val="007E1811"/>
    <w:rsid w:val="007E1A37"/>
    <w:rsid w:val="007E1AF4"/>
    <w:rsid w:val="007E1C36"/>
    <w:rsid w:val="007E1D0E"/>
    <w:rsid w:val="007E1F66"/>
    <w:rsid w:val="007E2123"/>
    <w:rsid w:val="007E29BE"/>
    <w:rsid w:val="007E2A06"/>
    <w:rsid w:val="007E2A1C"/>
    <w:rsid w:val="007E2A97"/>
    <w:rsid w:val="007E2E3C"/>
    <w:rsid w:val="007E2EB3"/>
    <w:rsid w:val="007E2EE3"/>
    <w:rsid w:val="007E2FCD"/>
    <w:rsid w:val="007E2FEE"/>
    <w:rsid w:val="007E307F"/>
    <w:rsid w:val="007E3125"/>
    <w:rsid w:val="007E3136"/>
    <w:rsid w:val="007E35E5"/>
    <w:rsid w:val="007E3622"/>
    <w:rsid w:val="007E3DA0"/>
    <w:rsid w:val="007E3F85"/>
    <w:rsid w:val="007E4065"/>
    <w:rsid w:val="007E40AF"/>
    <w:rsid w:val="007E47D5"/>
    <w:rsid w:val="007E4835"/>
    <w:rsid w:val="007E4949"/>
    <w:rsid w:val="007E4B63"/>
    <w:rsid w:val="007E5249"/>
    <w:rsid w:val="007E5424"/>
    <w:rsid w:val="007E5548"/>
    <w:rsid w:val="007E56F6"/>
    <w:rsid w:val="007E57AE"/>
    <w:rsid w:val="007E5951"/>
    <w:rsid w:val="007E5C44"/>
    <w:rsid w:val="007E5EAC"/>
    <w:rsid w:val="007E6454"/>
    <w:rsid w:val="007E64AB"/>
    <w:rsid w:val="007E6ACD"/>
    <w:rsid w:val="007E6BCB"/>
    <w:rsid w:val="007E6CD7"/>
    <w:rsid w:val="007E6EAF"/>
    <w:rsid w:val="007E6EB2"/>
    <w:rsid w:val="007E6F15"/>
    <w:rsid w:val="007E6F65"/>
    <w:rsid w:val="007E6F8A"/>
    <w:rsid w:val="007E6FC8"/>
    <w:rsid w:val="007E7010"/>
    <w:rsid w:val="007E72AA"/>
    <w:rsid w:val="007E72E0"/>
    <w:rsid w:val="007E7383"/>
    <w:rsid w:val="007E7384"/>
    <w:rsid w:val="007E74DA"/>
    <w:rsid w:val="007E7682"/>
    <w:rsid w:val="007E785E"/>
    <w:rsid w:val="007E78AD"/>
    <w:rsid w:val="007E7B8C"/>
    <w:rsid w:val="007E7BB0"/>
    <w:rsid w:val="007E7CCE"/>
    <w:rsid w:val="007E7DBB"/>
    <w:rsid w:val="007E7DE5"/>
    <w:rsid w:val="007E7E87"/>
    <w:rsid w:val="007F02BB"/>
    <w:rsid w:val="007F04BF"/>
    <w:rsid w:val="007F069D"/>
    <w:rsid w:val="007F080E"/>
    <w:rsid w:val="007F08EE"/>
    <w:rsid w:val="007F0A52"/>
    <w:rsid w:val="007F0AAD"/>
    <w:rsid w:val="007F0D73"/>
    <w:rsid w:val="007F0D7D"/>
    <w:rsid w:val="007F0FE0"/>
    <w:rsid w:val="007F0FE5"/>
    <w:rsid w:val="007F11BA"/>
    <w:rsid w:val="007F137A"/>
    <w:rsid w:val="007F1380"/>
    <w:rsid w:val="007F1464"/>
    <w:rsid w:val="007F1573"/>
    <w:rsid w:val="007F15DA"/>
    <w:rsid w:val="007F1763"/>
    <w:rsid w:val="007F18C9"/>
    <w:rsid w:val="007F1908"/>
    <w:rsid w:val="007F19F3"/>
    <w:rsid w:val="007F1A57"/>
    <w:rsid w:val="007F1C61"/>
    <w:rsid w:val="007F2093"/>
    <w:rsid w:val="007F21D4"/>
    <w:rsid w:val="007F2481"/>
    <w:rsid w:val="007F2759"/>
    <w:rsid w:val="007F2AF1"/>
    <w:rsid w:val="007F2B6C"/>
    <w:rsid w:val="007F2D0A"/>
    <w:rsid w:val="007F2D0C"/>
    <w:rsid w:val="007F2D2F"/>
    <w:rsid w:val="007F2DC7"/>
    <w:rsid w:val="007F2E67"/>
    <w:rsid w:val="007F30D6"/>
    <w:rsid w:val="007F314C"/>
    <w:rsid w:val="007F3195"/>
    <w:rsid w:val="007F3239"/>
    <w:rsid w:val="007F3471"/>
    <w:rsid w:val="007F3695"/>
    <w:rsid w:val="007F3757"/>
    <w:rsid w:val="007F38AD"/>
    <w:rsid w:val="007F3C53"/>
    <w:rsid w:val="007F3D73"/>
    <w:rsid w:val="007F3D9A"/>
    <w:rsid w:val="007F4319"/>
    <w:rsid w:val="007F434C"/>
    <w:rsid w:val="007F45C8"/>
    <w:rsid w:val="007F4810"/>
    <w:rsid w:val="007F4AA5"/>
    <w:rsid w:val="007F4BDF"/>
    <w:rsid w:val="007F4EA4"/>
    <w:rsid w:val="007F4F51"/>
    <w:rsid w:val="007F52CD"/>
    <w:rsid w:val="007F5575"/>
    <w:rsid w:val="007F558B"/>
    <w:rsid w:val="007F565A"/>
    <w:rsid w:val="007F58B0"/>
    <w:rsid w:val="007F592B"/>
    <w:rsid w:val="007F5CAF"/>
    <w:rsid w:val="007F5F46"/>
    <w:rsid w:val="007F5FBA"/>
    <w:rsid w:val="007F6459"/>
    <w:rsid w:val="007F6552"/>
    <w:rsid w:val="007F6A07"/>
    <w:rsid w:val="007F7101"/>
    <w:rsid w:val="007F7287"/>
    <w:rsid w:val="007F7478"/>
    <w:rsid w:val="007F74A6"/>
    <w:rsid w:val="007F763C"/>
    <w:rsid w:val="007F770B"/>
    <w:rsid w:val="007F7735"/>
    <w:rsid w:val="007F77C6"/>
    <w:rsid w:val="007F7D48"/>
    <w:rsid w:val="007F7E83"/>
    <w:rsid w:val="007F7F66"/>
    <w:rsid w:val="007F7F6A"/>
    <w:rsid w:val="007F7F7E"/>
    <w:rsid w:val="008002A8"/>
    <w:rsid w:val="008002E5"/>
    <w:rsid w:val="008003C2"/>
    <w:rsid w:val="00800604"/>
    <w:rsid w:val="00800897"/>
    <w:rsid w:val="008009A8"/>
    <w:rsid w:val="00800CA4"/>
    <w:rsid w:val="00800D8A"/>
    <w:rsid w:val="00800DAF"/>
    <w:rsid w:val="00801138"/>
    <w:rsid w:val="008012AE"/>
    <w:rsid w:val="008012DB"/>
    <w:rsid w:val="0080174D"/>
    <w:rsid w:val="00801828"/>
    <w:rsid w:val="00801A16"/>
    <w:rsid w:val="00801CD7"/>
    <w:rsid w:val="00801F1A"/>
    <w:rsid w:val="00802033"/>
    <w:rsid w:val="008023AC"/>
    <w:rsid w:val="008025AA"/>
    <w:rsid w:val="00802738"/>
    <w:rsid w:val="0080280B"/>
    <w:rsid w:val="00802A5C"/>
    <w:rsid w:val="00802CDF"/>
    <w:rsid w:val="00802D48"/>
    <w:rsid w:val="00802D7B"/>
    <w:rsid w:val="00802F38"/>
    <w:rsid w:val="00802F63"/>
    <w:rsid w:val="00803109"/>
    <w:rsid w:val="00803119"/>
    <w:rsid w:val="0080315D"/>
    <w:rsid w:val="0080321F"/>
    <w:rsid w:val="00803269"/>
    <w:rsid w:val="0080349A"/>
    <w:rsid w:val="008037BB"/>
    <w:rsid w:val="008037F8"/>
    <w:rsid w:val="00803824"/>
    <w:rsid w:val="0080389A"/>
    <w:rsid w:val="00803998"/>
    <w:rsid w:val="00803B7D"/>
    <w:rsid w:val="00803D82"/>
    <w:rsid w:val="00803F8E"/>
    <w:rsid w:val="0080403A"/>
    <w:rsid w:val="00804084"/>
    <w:rsid w:val="00804100"/>
    <w:rsid w:val="00804206"/>
    <w:rsid w:val="008043DA"/>
    <w:rsid w:val="00804738"/>
    <w:rsid w:val="0080473B"/>
    <w:rsid w:val="0080498C"/>
    <w:rsid w:val="00804BA4"/>
    <w:rsid w:val="00804D82"/>
    <w:rsid w:val="008053F6"/>
    <w:rsid w:val="008054C9"/>
    <w:rsid w:val="008057D0"/>
    <w:rsid w:val="00805874"/>
    <w:rsid w:val="00805B49"/>
    <w:rsid w:val="00805BFC"/>
    <w:rsid w:val="00805C92"/>
    <w:rsid w:val="00805E29"/>
    <w:rsid w:val="008060DC"/>
    <w:rsid w:val="0080618A"/>
    <w:rsid w:val="0080643F"/>
    <w:rsid w:val="0080645D"/>
    <w:rsid w:val="008066D2"/>
    <w:rsid w:val="0080676C"/>
    <w:rsid w:val="00806AFE"/>
    <w:rsid w:val="00806C23"/>
    <w:rsid w:val="00806D93"/>
    <w:rsid w:val="00806DAB"/>
    <w:rsid w:val="00806E81"/>
    <w:rsid w:val="00807185"/>
    <w:rsid w:val="00807273"/>
    <w:rsid w:val="008078D7"/>
    <w:rsid w:val="00807974"/>
    <w:rsid w:val="008079CD"/>
    <w:rsid w:val="00807D7D"/>
    <w:rsid w:val="00807E09"/>
    <w:rsid w:val="00810319"/>
    <w:rsid w:val="00810441"/>
    <w:rsid w:val="008104D6"/>
    <w:rsid w:val="008107D2"/>
    <w:rsid w:val="00810A0A"/>
    <w:rsid w:val="00810B3F"/>
    <w:rsid w:val="00810BB9"/>
    <w:rsid w:val="00810E9A"/>
    <w:rsid w:val="00811054"/>
    <w:rsid w:val="0081143B"/>
    <w:rsid w:val="00811455"/>
    <w:rsid w:val="00811509"/>
    <w:rsid w:val="008117BB"/>
    <w:rsid w:val="00811891"/>
    <w:rsid w:val="00811ACD"/>
    <w:rsid w:val="00811C99"/>
    <w:rsid w:val="0081225B"/>
    <w:rsid w:val="008123B8"/>
    <w:rsid w:val="008126FF"/>
    <w:rsid w:val="0081298A"/>
    <w:rsid w:val="00812A4E"/>
    <w:rsid w:val="00812B3F"/>
    <w:rsid w:val="00812C7F"/>
    <w:rsid w:val="008130D7"/>
    <w:rsid w:val="008130DA"/>
    <w:rsid w:val="0081329D"/>
    <w:rsid w:val="008132D1"/>
    <w:rsid w:val="00813417"/>
    <w:rsid w:val="00813584"/>
    <w:rsid w:val="00813697"/>
    <w:rsid w:val="008137DC"/>
    <w:rsid w:val="00813945"/>
    <w:rsid w:val="00813B7D"/>
    <w:rsid w:val="00813CF3"/>
    <w:rsid w:val="008141BF"/>
    <w:rsid w:val="008142A3"/>
    <w:rsid w:val="008142D1"/>
    <w:rsid w:val="00814465"/>
    <w:rsid w:val="00814606"/>
    <w:rsid w:val="008146DA"/>
    <w:rsid w:val="00814777"/>
    <w:rsid w:val="0081481C"/>
    <w:rsid w:val="00814E34"/>
    <w:rsid w:val="0081502D"/>
    <w:rsid w:val="008150DB"/>
    <w:rsid w:val="008151A0"/>
    <w:rsid w:val="0081539A"/>
    <w:rsid w:val="008153AB"/>
    <w:rsid w:val="00815508"/>
    <w:rsid w:val="0081555C"/>
    <w:rsid w:val="0081568C"/>
    <w:rsid w:val="00815930"/>
    <w:rsid w:val="00815AD1"/>
    <w:rsid w:val="00815BBE"/>
    <w:rsid w:val="008160B4"/>
    <w:rsid w:val="00816479"/>
    <w:rsid w:val="00816660"/>
    <w:rsid w:val="008167EC"/>
    <w:rsid w:val="00816889"/>
    <w:rsid w:val="0081694D"/>
    <w:rsid w:val="00816AA4"/>
    <w:rsid w:val="00816B0C"/>
    <w:rsid w:val="00816DB9"/>
    <w:rsid w:val="00816EEB"/>
    <w:rsid w:val="00816F57"/>
    <w:rsid w:val="00817056"/>
    <w:rsid w:val="00817180"/>
    <w:rsid w:val="00817493"/>
    <w:rsid w:val="00817671"/>
    <w:rsid w:val="0081768D"/>
    <w:rsid w:val="0081771E"/>
    <w:rsid w:val="00817988"/>
    <w:rsid w:val="00817AB0"/>
    <w:rsid w:val="00817BD0"/>
    <w:rsid w:val="00817CE5"/>
    <w:rsid w:val="00817E19"/>
    <w:rsid w:val="0082002C"/>
    <w:rsid w:val="0082009C"/>
    <w:rsid w:val="008201C5"/>
    <w:rsid w:val="008201D3"/>
    <w:rsid w:val="008202C2"/>
    <w:rsid w:val="008203C0"/>
    <w:rsid w:val="00820503"/>
    <w:rsid w:val="0082051E"/>
    <w:rsid w:val="00820610"/>
    <w:rsid w:val="00820718"/>
    <w:rsid w:val="0082083C"/>
    <w:rsid w:val="00820A85"/>
    <w:rsid w:val="00820B68"/>
    <w:rsid w:val="00820D4E"/>
    <w:rsid w:val="00820D7C"/>
    <w:rsid w:val="00820F54"/>
    <w:rsid w:val="00820FF8"/>
    <w:rsid w:val="00821518"/>
    <w:rsid w:val="0082164F"/>
    <w:rsid w:val="0082168C"/>
    <w:rsid w:val="00821ACB"/>
    <w:rsid w:val="00821ADA"/>
    <w:rsid w:val="00821B46"/>
    <w:rsid w:val="00821C87"/>
    <w:rsid w:val="00821DDA"/>
    <w:rsid w:val="00821DFA"/>
    <w:rsid w:val="00822143"/>
    <w:rsid w:val="008221A7"/>
    <w:rsid w:val="0082225E"/>
    <w:rsid w:val="0082233F"/>
    <w:rsid w:val="0082244F"/>
    <w:rsid w:val="00822541"/>
    <w:rsid w:val="008227DD"/>
    <w:rsid w:val="008228AD"/>
    <w:rsid w:val="008229CE"/>
    <w:rsid w:val="00822AC2"/>
    <w:rsid w:val="00822C38"/>
    <w:rsid w:val="00822CBC"/>
    <w:rsid w:val="00822EEF"/>
    <w:rsid w:val="00822FFC"/>
    <w:rsid w:val="0082321E"/>
    <w:rsid w:val="00823283"/>
    <w:rsid w:val="00823581"/>
    <w:rsid w:val="008236C9"/>
    <w:rsid w:val="008236D6"/>
    <w:rsid w:val="008236F1"/>
    <w:rsid w:val="008238E4"/>
    <w:rsid w:val="0082395E"/>
    <w:rsid w:val="00823A0E"/>
    <w:rsid w:val="00823E0A"/>
    <w:rsid w:val="00824122"/>
    <w:rsid w:val="00824192"/>
    <w:rsid w:val="008244DF"/>
    <w:rsid w:val="008246B7"/>
    <w:rsid w:val="0082476A"/>
    <w:rsid w:val="00824A1E"/>
    <w:rsid w:val="00824B2C"/>
    <w:rsid w:val="00824E10"/>
    <w:rsid w:val="00824F62"/>
    <w:rsid w:val="00825179"/>
    <w:rsid w:val="00825497"/>
    <w:rsid w:val="0082550B"/>
    <w:rsid w:val="0082555D"/>
    <w:rsid w:val="0082562B"/>
    <w:rsid w:val="00825725"/>
    <w:rsid w:val="00825C39"/>
    <w:rsid w:val="00825CF8"/>
    <w:rsid w:val="0082601A"/>
    <w:rsid w:val="00826021"/>
    <w:rsid w:val="00826146"/>
    <w:rsid w:val="0082616A"/>
    <w:rsid w:val="008261D5"/>
    <w:rsid w:val="008263C3"/>
    <w:rsid w:val="008263EA"/>
    <w:rsid w:val="0082658C"/>
    <w:rsid w:val="00826672"/>
    <w:rsid w:val="00826773"/>
    <w:rsid w:val="00826BA5"/>
    <w:rsid w:val="00826D8B"/>
    <w:rsid w:val="00827184"/>
    <w:rsid w:val="00827186"/>
    <w:rsid w:val="00827276"/>
    <w:rsid w:val="0082743A"/>
    <w:rsid w:val="008274F7"/>
    <w:rsid w:val="0082763D"/>
    <w:rsid w:val="008278A6"/>
    <w:rsid w:val="00827EA5"/>
    <w:rsid w:val="008300DD"/>
    <w:rsid w:val="00830146"/>
    <w:rsid w:val="0083017F"/>
    <w:rsid w:val="008301CB"/>
    <w:rsid w:val="00830364"/>
    <w:rsid w:val="0083046D"/>
    <w:rsid w:val="00830610"/>
    <w:rsid w:val="0083061D"/>
    <w:rsid w:val="008307F4"/>
    <w:rsid w:val="008308ED"/>
    <w:rsid w:val="00830A14"/>
    <w:rsid w:val="00830D6F"/>
    <w:rsid w:val="00830DDB"/>
    <w:rsid w:val="00830E2C"/>
    <w:rsid w:val="00831047"/>
    <w:rsid w:val="00831099"/>
    <w:rsid w:val="00831271"/>
    <w:rsid w:val="00831312"/>
    <w:rsid w:val="008318E3"/>
    <w:rsid w:val="00831A5B"/>
    <w:rsid w:val="00831A89"/>
    <w:rsid w:val="00831D4D"/>
    <w:rsid w:val="00831E83"/>
    <w:rsid w:val="00831F51"/>
    <w:rsid w:val="00832093"/>
    <w:rsid w:val="008320EA"/>
    <w:rsid w:val="0083218A"/>
    <w:rsid w:val="0083248A"/>
    <w:rsid w:val="00832724"/>
    <w:rsid w:val="00832786"/>
    <w:rsid w:val="00832851"/>
    <w:rsid w:val="00832A14"/>
    <w:rsid w:val="00832C17"/>
    <w:rsid w:val="00832C95"/>
    <w:rsid w:val="00832DB4"/>
    <w:rsid w:val="00832FF7"/>
    <w:rsid w:val="0083310D"/>
    <w:rsid w:val="008332F0"/>
    <w:rsid w:val="00833567"/>
    <w:rsid w:val="00833594"/>
    <w:rsid w:val="008336A8"/>
    <w:rsid w:val="00833E9B"/>
    <w:rsid w:val="00833F5A"/>
    <w:rsid w:val="0083415F"/>
    <w:rsid w:val="008341BB"/>
    <w:rsid w:val="00834275"/>
    <w:rsid w:val="00834550"/>
    <w:rsid w:val="00834722"/>
    <w:rsid w:val="00834C1B"/>
    <w:rsid w:val="00834DCD"/>
    <w:rsid w:val="00835135"/>
    <w:rsid w:val="00835174"/>
    <w:rsid w:val="008352A7"/>
    <w:rsid w:val="008352E9"/>
    <w:rsid w:val="008353CB"/>
    <w:rsid w:val="0083545B"/>
    <w:rsid w:val="008355B9"/>
    <w:rsid w:val="0083567F"/>
    <w:rsid w:val="00835A83"/>
    <w:rsid w:val="00835B03"/>
    <w:rsid w:val="00835B38"/>
    <w:rsid w:val="00835E26"/>
    <w:rsid w:val="008361E7"/>
    <w:rsid w:val="00836230"/>
    <w:rsid w:val="008362EA"/>
    <w:rsid w:val="00836398"/>
    <w:rsid w:val="008363CB"/>
    <w:rsid w:val="0083674B"/>
    <w:rsid w:val="00836810"/>
    <w:rsid w:val="00836B27"/>
    <w:rsid w:val="00836CF4"/>
    <w:rsid w:val="00836D2C"/>
    <w:rsid w:val="00836D8F"/>
    <w:rsid w:val="00836FB7"/>
    <w:rsid w:val="008371CB"/>
    <w:rsid w:val="00837370"/>
    <w:rsid w:val="008373E1"/>
    <w:rsid w:val="0083741C"/>
    <w:rsid w:val="0083758D"/>
    <w:rsid w:val="008375E0"/>
    <w:rsid w:val="00837A39"/>
    <w:rsid w:val="00837A47"/>
    <w:rsid w:val="00837B77"/>
    <w:rsid w:val="00837BD8"/>
    <w:rsid w:val="00837DA9"/>
    <w:rsid w:val="00837EA1"/>
    <w:rsid w:val="00840171"/>
    <w:rsid w:val="008402AA"/>
    <w:rsid w:val="0084042D"/>
    <w:rsid w:val="00840523"/>
    <w:rsid w:val="008406BD"/>
    <w:rsid w:val="008407D9"/>
    <w:rsid w:val="00840A78"/>
    <w:rsid w:val="00840C58"/>
    <w:rsid w:val="00840E08"/>
    <w:rsid w:val="00840F1C"/>
    <w:rsid w:val="00841116"/>
    <w:rsid w:val="00841245"/>
    <w:rsid w:val="00841331"/>
    <w:rsid w:val="008416A5"/>
    <w:rsid w:val="008418D4"/>
    <w:rsid w:val="00841A77"/>
    <w:rsid w:val="00841AC4"/>
    <w:rsid w:val="00841B12"/>
    <w:rsid w:val="00841F70"/>
    <w:rsid w:val="00841F81"/>
    <w:rsid w:val="00841FC1"/>
    <w:rsid w:val="0084209D"/>
    <w:rsid w:val="00842374"/>
    <w:rsid w:val="00842802"/>
    <w:rsid w:val="00842917"/>
    <w:rsid w:val="00842BC6"/>
    <w:rsid w:val="00842D94"/>
    <w:rsid w:val="00842DA4"/>
    <w:rsid w:val="00842E0A"/>
    <w:rsid w:val="00842E16"/>
    <w:rsid w:val="00843302"/>
    <w:rsid w:val="008435C0"/>
    <w:rsid w:val="00843639"/>
    <w:rsid w:val="008436CE"/>
    <w:rsid w:val="00843881"/>
    <w:rsid w:val="00843C16"/>
    <w:rsid w:val="00843C6A"/>
    <w:rsid w:val="00843D31"/>
    <w:rsid w:val="00843D91"/>
    <w:rsid w:val="00843DB5"/>
    <w:rsid w:val="00843DF5"/>
    <w:rsid w:val="00843DFC"/>
    <w:rsid w:val="00843E76"/>
    <w:rsid w:val="00843F49"/>
    <w:rsid w:val="0084434B"/>
    <w:rsid w:val="008443C4"/>
    <w:rsid w:val="00844594"/>
    <w:rsid w:val="00844922"/>
    <w:rsid w:val="00844A68"/>
    <w:rsid w:val="00844F6A"/>
    <w:rsid w:val="008454E5"/>
    <w:rsid w:val="00845539"/>
    <w:rsid w:val="0084559B"/>
    <w:rsid w:val="008455E0"/>
    <w:rsid w:val="008455EC"/>
    <w:rsid w:val="00845795"/>
    <w:rsid w:val="008457E2"/>
    <w:rsid w:val="0084587F"/>
    <w:rsid w:val="008459A9"/>
    <w:rsid w:val="00845AFB"/>
    <w:rsid w:val="00845D2F"/>
    <w:rsid w:val="008462EC"/>
    <w:rsid w:val="008465AE"/>
    <w:rsid w:val="00846793"/>
    <w:rsid w:val="0084681E"/>
    <w:rsid w:val="00846845"/>
    <w:rsid w:val="008468BE"/>
    <w:rsid w:val="008468F6"/>
    <w:rsid w:val="00846DEB"/>
    <w:rsid w:val="00846F2B"/>
    <w:rsid w:val="00846F96"/>
    <w:rsid w:val="00847030"/>
    <w:rsid w:val="00847146"/>
    <w:rsid w:val="0084721C"/>
    <w:rsid w:val="00847469"/>
    <w:rsid w:val="00847572"/>
    <w:rsid w:val="00847805"/>
    <w:rsid w:val="00847A98"/>
    <w:rsid w:val="008501D6"/>
    <w:rsid w:val="0085030D"/>
    <w:rsid w:val="0085082D"/>
    <w:rsid w:val="008509D3"/>
    <w:rsid w:val="008509DD"/>
    <w:rsid w:val="00850F86"/>
    <w:rsid w:val="00850FB3"/>
    <w:rsid w:val="0085131F"/>
    <w:rsid w:val="00851472"/>
    <w:rsid w:val="008514D6"/>
    <w:rsid w:val="008514FF"/>
    <w:rsid w:val="008516B9"/>
    <w:rsid w:val="008516E0"/>
    <w:rsid w:val="00851A99"/>
    <w:rsid w:val="00851BFB"/>
    <w:rsid w:val="00851C60"/>
    <w:rsid w:val="00852223"/>
    <w:rsid w:val="0085224F"/>
    <w:rsid w:val="00852338"/>
    <w:rsid w:val="008524D8"/>
    <w:rsid w:val="0085298C"/>
    <w:rsid w:val="00852B41"/>
    <w:rsid w:val="00852E38"/>
    <w:rsid w:val="00852E6D"/>
    <w:rsid w:val="0085306E"/>
    <w:rsid w:val="0085364E"/>
    <w:rsid w:val="00853698"/>
    <w:rsid w:val="008537E6"/>
    <w:rsid w:val="00853B06"/>
    <w:rsid w:val="00853EAB"/>
    <w:rsid w:val="00853F80"/>
    <w:rsid w:val="008541FA"/>
    <w:rsid w:val="008542D9"/>
    <w:rsid w:val="00854381"/>
    <w:rsid w:val="008543E6"/>
    <w:rsid w:val="008544D6"/>
    <w:rsid w:val="0085467B"/>
    <w:rsid w:val="00854905"/>
    <w:rsid w:val="008549AE"/>
    <w:rsid w:val="00854A84"/>
    <w:rsid w:val="00854B2D"/>
    <w:rsid w:val="00854CCE"/>
    <w:rsid w:val="00854E36"/>
    <w:rsid w:val="00854FDC"/>
    <w:rsid w:val="00854FEF"/>
    <w:rsid w:val="0085533E"/>
    <w:rsid w:val="00855565"/>
    <w:rsid w:val="0085564C"/>
    <w:rsid w:val="00855666"/>
    <w:rsid w:val="0085572F"/>
    <w:rsid w:val="0085579F"/>
    <w:rsid w:val="00855966"/>
    <w:rsid w:val="0085637C"/>
    <w:rsid w:val="00856425"/>
    <w:rsid w:val="00856492"/>
    <w:rsid w:val="008564D5"/>
    <w:rsid w:val="008564E1"/>
    <w:rsid w:val="00856791"/>
    <w:rsid w:val="008567E2"/>
    <w:rsid w:val="00856B94"/>
    <w:rsid w:val="00856C68"/>
    <w:rsid w:val="00856DC8"/>
    <w:rsid w:val="00856E65"/>
    <w:rsid w:val="00856FFF"/>
    <w:rsid w:val="008571F5"/>
    <w:rsid w:val="00857669"/>
    <w:rsid w:val="00857751"/>
    <w:rsid w:val="008577C4"/>
    <w:rsid w:val="00857912"/>
    <w:rsid w:val="00857C14"/>
    <w:rsid w:val="0086009D"/>
    <w:rsid w:val="00860475"/>
    <w:rsid w:val="008606E7"/>
    <w:rsid w:val="0086073F"/>
    <w:rsid w:val="00860955"/>
    <w:rsid w:val="00860D12"/>
    <w:rsid w:val="00860EDD"/>
    <w:rsid w:val="00861294"/>
    <w:rsid w:val="00861612"/>
    <w:rsid w:val="00861964"/>
    <w:rsid w:val="00861BA0"/>
    <w:rsid w:val="00861CF5"/>
    <w:rsid w:val="00861DFD"/>
    <w:rsid w:val="00862082"/>
    <w:rsid w:val="00862115"/>
    <w:rsid w:val="0086227A"/>
    <w:rsid w:val="008622C8"/>
    <w:rsid w:val="00862456"/>
    <w:rsid w:val="008625B6"/>
    <w:rsid w:val="008625F4"/>
    <w:rsid w:val="00862B1F"/>
    <w:rsid w:val="00862C86"/>
    <w:rsid w:val="00862C95"/>
    <w:rsid w:val="00862E80"/>
    <w:rsid w:val="00863265"/>
    <w:rsid w:val="00863344"/>
    <w:rsid w:val="008633F5"/>
    <w:rsid w:val="00863534"/>
    <w:rsid w:val="008636D9"/>
    <w:rsid w:val="0086375E"/>
    <w:rsid w:val="008637CD"/>
    <w:rsid w:val="00863ADC"/>
    <w:rsid w:val="00863CA9"/>
    <w:rsid w:val="00863FB5"/>
    <w:rsid w:val="00864036"/>
    <w:rsid w:val="00864065"/>
    <w:rsid w:val="0086431E"/>
    <w:rsid w:val="00864422"/>
    <w:rsid w:val="008648BE"/>
    <w:rsid w:val="00865022"/>
    <w:rsid w:val="0086551A"/>
    <w:rsid w:val="0086583D"/>
    <w:rsid w:val="0086589B"/>
    <w:rsid w:val="008659AE"/>
    <w:rsid w:val="00865F0E"/>
    <w:rsid w:val="00865FFE"/>
    <w:rsid w:val="008661A4"/>
    <w:rsid w:val="008662B7"/>
    <w:rsid w:val="008664D0"/>
    <w:rsid w:val="0086655F"/>
    <w:rsid w:val="00866565"/>
    <w:rsid w:val="008666AC"/>
    <w:rsid w:val="00866988"/>
    <w:rsid w:val="00866B39"/>
    <w:rsid w:val="00866B98"/>
    <w:rsid w:val="00866D6E"/>
    <w:rsid w:val="0086740A"/>
    <w:rsid w:val="0086741F"/>
    <w:rsid w:val="008675CA"/>
    <w:rsid w:val="00867730"/>
    <w:rsid w:val="0086780D"/>
    <w:rsid w:val="00867814"/>
    <w:rsid w:val="00867842"/>
    <w:rsid w:val="0086797F"/>
    <w:rsid w:val="00867BFE"/>
    <w:rsid w:val="00867C77"/>
    <w:rsid w:val="00867EC5"/>
    <w:rsid w:val="00870053"/>
    <w:rsid w:val="008700ED"/>
    <w:rsid w:val="00870250"/>
    <w:rsid w:val="0087040A"/>
    <w:rsid w:val="00870565"/>
    <w:rsid w:val="00870829"/>
    <w:rsid w:val="0087092E"/>
    <w:rsid w:val="008709A3"/>
    <w:rsid w:val="00870B83"/>
    <w:rsid w:val="00870D54"/>
    <w:rsid w:val="00870E49"/>
    <w:rsid w:val="00870F0C"/>
    <w:rsid w:val="00870F6F"/>
    <w:rsid w:val="008710EF"/>
    <w:rsid w:val="008711CC"/>
    <w:rsid w:val="00871261"/>
    <w:rsid w:val="008713BC"/>
    <w:rsid w:val="008716ED"/>
    <w:rsid w:val="0087184F"/>
    <w:rsid w:val="008718C0"/>
    <w:rsid w:val="0087198D"/>
    <w:rsid w:val="00871B2E"/>
    <w:rsid w:val="00871E55"/>
    <w:rsid w:val="00872006"/>
    <w:rsid w:val="008721B8"/>
    <w:rsid w:val="00872433"/>
    <w:rsid w:val="00872647"/>
    <w:rsid w:val="00872687"/>
    <w:rsid w:val="008727CE"/>
    <w:rsid w:val="00872B99"/>
    <w:rsid w:val="00872B9D"/>
    <w:rsid w:val="00872BC5"/>
    <w:rsid w:val="00872C2B"/>
    <w:rsid w:val="00872C82"/>
    <w:rsid w:val="00872C86"/>
    <w:rsid w:val="00872CCF"/>
    <w:rsid w:val="00872DF5"/>
    <w:rsid w:val="008733B0"/>
    <w:rsid w:val="008733CE"/>
    <w:rsid w:val="0087360B"/>
    <w:rsid w:val="00873B83"/>
    <w:rsid w:val="00874151"/>
    <w:rsid w:val="00874164"/>
    <w:rsid w:val="008741D2"/>
    <w:rsid w:val="00874634"/>
    <w:rsid w:val="008746EF"/>
    <w:rsid w:val="0087476C"/>
    <w:rsid w:val="008747AB"/>
    <w:rsid w:val="00874979"/>
    <w:rsid w:val="00874A16"/>
    <w:rsid w:val="00874B3E"/>
    <w:rsid w:val="00874D27"/>
    <w:rsid w:val="00874D2E"/>
    <w:rsid w:val="00874DC1"/>
    <w:rsid w:val="00874E6D"/>
    <w:rsid w:val="00874F4D"/>
    <w:rsid w:val="00875546"/>
    <w:rsid w:val="0087575B"/>
    <w:rsid w:val="008757BF"/>
    <w:rsid w:val="008757FA"/>
    <w:rsid w:val="008758FB"/>
    <w:rsid w:val="00875EC5"/>
    <w:rsid w:val="00875ECE"/>
    <w:rsid w:val="00876246"/>
    <w:rsid w:val="00876303"/>
    <w:rsid w:val="0087636B"/>
    <w:rsid w:val="0087658D"/>
    <w:rsid w:val="008765A7"/>
    <w:rsid w:val="00876663"/>
    <w:rsid w:val="00876C35"/>
    <w:rsid w:val="00876D50"/>
    <w:rsid w:val="00876D5D"/>
    <w:rsid w:val="00876E6C"/>
    <w:rsid w:val="0087742D"/>
    <w:rsid w:val="0087755D"/>
    <w:rsid w:val="00877BD1"/>
    <w:rsid w:val="00877CB2"/>
    <w:rsid w:val="00877CBF"/>
    <w:rsid w:val="00877D7C"/>
    <w:rsid w:val="00877D94"/>
    <w:rsid w:val="00877E95"/>
    <w:rsid w:val="00877EF8"/>
    <w:rsid w:val="00877FF3"/>
    <w:rsid w:val="0088018B"/>
    <w:rsid w:val="00880315"/>
    <w:rsid w:val="00880408"/>
    <w:rsid w:val="00880608"/>
    <w:rsid w:val="00880668"/>
    <w:rsid w:val="0088066B"/>
    <w:rsid w:val="00880701"/>
    <w:rsid w:val="008809D3"/>
    <w:rsid w:val="00880BA3"/>
    <w:rsid w:val="00881067"/>
    <w:rsid w:val="008810C5"/>
    <w:rsid w:val="008810CC"/>
    <w:rsid w:val="00881226"/>
    <w:rsid w:val="0088177A"/>
    <w:rsid w:val="008818E5"/>
    <w:rsid w:val="008819C9"/>
    <w:rsid w:val="008819CA"/>
    <w:rsid w:val="00881A90"/>
    <w:rsid w:val="00881AD0"/>
    <w:rsid w:val="00881C5B"/>
    <w:rsid w:val="00881EC3"/>
    <w:rsid w:val="00881F53"/>
    <w:rsid w:val="0088236C"/>
    <w:rsid w:val="00882441"/>
    <w:rsid w:val="008824E9"/>
    <w:rsid w:val="008828B4"/>
    <w:rsid w:val="00882B6A"/>
    <w:rsid w:val="00882ED1"/>
    <w:rsid w:val="00883046"/>
    <w:rsid w:val="00883424"/>
    <w:rsid w:val="0088357C"/>
    <w:rsid w:val="00883E7F"/>
    <w:rsid w:val="00883EFF"/>
    <w:rsid w:val="00884191"/>
    <w:rsid w:val="0088420A"/>
    <w:rsid w:val="0088436E"/>
    <w:rsid w:val="008845E6"/>
    <w:rsid w:val="008845FC"/>
    <w:rsid w:val="00884F13"/>
    <w:rsid w:val="00884F88"/>
    <w:rsid w:val="00884FB3"/>
    <w:rsid w:val="00885056"/>
    <w:rsid w:val="00885075"/>
    <w:rsid w:val="008850C7"/>
    <w:rsid w:val="0088510A"/>
    <w:rsid w:val="008851F9"/>
    <w:rsid w:val="008853C6"/>
    <w:rsid w:val="008854A3"/>
    <w:rsid w:val="00885902"/>
    <w:rsid w:val="00885BFE"/>
    <w:rsid w:val="00885EF9"/>
    <w:rsid w:val="00885F78"/>
    <w:rsid w:val="008860B7"/>
    <w:rsid w:val="008861E4"/>
    <w:rsid w:val="008861FE"/>
    <w:rsid w:val="008864AB"/>
    <w:rsid w:val="00886570"/>
    <w:rsid w:val="008865C9"/>
    <w:rsid w:val="0088665B"/>
    <w:rsid w:val="00886AE9"/>
    <w:rsid w:val="00886AFF"/>
    <w:rsid w:val="00886B9E"/>
    <w:rsid w:val="00886BCE"/>
    <w:rsid w:val="00886CD9"/>
    <w:rsid w:val="00886F29"/>
    <w:rsid w:val="0088742E"/>
    <w:rsid w:val="008874D0"/>
    <w:rsid w:val="008874EC"/>
    <w:rsid w:val="00887591"/>
    <w:rsid w:val="00887611"/>
    <w:rsid w:val="0088781D"/>
    <w:rsid w:val="00887B62"/>
    <w:rsid w:val="00887BCA"/>
    <w:rsid w:val="00887E07"/>
    <w:rsid w:val="00887F76"/>
    <w:rsid w:val="00890068"/>
    <w:rsid w:val="00890078"/>
    <w:rsid w:val="0089028D"/>
    <w:rsid w:val="008906A6"/>
    <w:rsid w:val="00890730"/>
    <w:rsid w:val="008909D3"/>
    <w:rsid w:val="00890B80"/>
    <w:rsid w:val="00890ECE"/>
    <w:rsid w:val="00891060"/>
    <w:rsid w:val="008910B8"/>
    <w:rsid w:val="00891268"/>
    <w:rsid w:val="008915FC"/>
    <w:rsid w:val="00891644"/>
    <w:rsid w:val="0089168E"/>
    <w:rsid w:val="008916E1"/>
    <w:rsid w:val="0089184B"/>
    <w:rsid w:val="00891D33"/>
    <w:rsid w:val="00891DA3"/>
    <w:rsid w:val="00891EAB"/>
    <w:rsid w:val="00891F59"/>
    <w:rsid w:val="00891FAA"/>
    <w:rsid w:val="008922EE"/>
    <w:rsid w:val="008923B0"/>
    <w:rsid w:val="0089242D"/>
    <w:rsid w:val="0089264F"/>
    <w:rsid w:val="00892A1D"/>
    <w:rsid w:val="00892CFC"/>
    <w:rsid w:val="00892DDD"/>
    <w:rsid w:val="00892DF5"/>
    <w:rsid w:val="00893134"/>
    <w:rsid w:val="00893189"/>
    <w:rsid w:val="0089318C"/>
    <w:rsid w:val="0089327C"/>
    <w:rsid w:val="0089328C"/>
    <w:rsid w:val="00893310"/>
    <w:rsid w:val="0089336B"/>
    <w:rsid w:val="00893972"/>
    <w:rsid w:val="00893AAF"/>
    <w:rsid w:val="00893E3C"/>
    <w:rsid w:val="00894047"/>
    <w:rsid w:val="008942A1"/>
    <w:rsid w:val="008945EC"/>
    <w:rsid w:val="0089486C"/>
    <w:rsid w:val="00894BF0"/>
    <w:rsid w:val="00894DBB"/>
    <w:rsid w:val="00894E32"/>
    <w:rsid w:val="008950BA"/>
    <w:rsid w:val="0089549C"/>
    <w:rsid w:val="008956F9"/>
    <w:rsid w:val="008959E9"/>
    <w:rsid w:val="00895A7F"/>
    <w:rsid w:val="00895A9C"/>
    <w:rsid w:val="00895C70"/>
    <w:rsid w:val="00895CE0"/>
    <w:rsid w:val="00895CEE"/>
    <w:rsid w:val="00895DA7"/>
    <w:rsid w:val="00895EA2"/>
    <w:rsid w:val="008960B6"/>
    <w:rsid w:val="008964BB"/>
    <w:rsid w:val="00896540"/>
    <w:rsid w:val="00896585"/>
    <w:rsid w:val="0089676A"/>
    <w:rsid w:val="00896A25"/>
    <w:rsid w:val="00896D0A"/>
    <w:rsid w:val="00896E06"/>
    <w:rsid w:val="00896EFA"/>
    <w:rsid w:val="00896F38"/>
    <w:rsid w:val="008970FD"/>
    <w:rsid w:val="0089711E"/>
    <w:rsid w:val="008974B8"/>
    <w:rsid w:val="008974BB"/>
    <w:rsid w:val="00897660"/>
    <w:rsid w:val="0089774A"/>
    <w:rsid w:val="008977B6"/>
    <w:rsid w:val="00897848"/>
    <w:rsid w:val="008978E4"/>
    <w:rsid w:val="0089790F"/>
    <w:rsid w:val="00897941"/>
    <w:rsid w:val="0089799D"/>
    <w:rsid w:val="00897A5D"/>
    <w:rsid w:val="00897A9C"/>
    <w:rsid w:val="00897B0C"/>
    <w:rsid w:val="00897C74"/>
    <w:rsid w:val="00897D2D"/>
    <w:rsid w:val="00897DF3"/>
    <w:rsid w:val="008A0524"/>
    <w:rsid w:val="008A0958"/>
    <w:rsid w:val="008A0962"/>
    <w:rsid w:val="008A0AEE"/>
    <w:rsid w:val="008A0BFD"/>
    <w:rsid w:val="008A0E13"/>
    <w:rsid w:val="008A0F7B"/>
    <w:rsid w:val="008A11D8"/>
    <w:rsid w:val="008A14CD"/>
    <w:rsid w:val="008A14E2"/>
    <w:rsid w:val="008A1960"/>
    <w:rsid w:val="008A1A95"/>
    <w:rsid w:val="008A1CE4"/>
    <w:rsid w:val="008A1D50"/>
    <w:rsid w:val="008A1E36"/>
    <w:rsid w:val="008A1E94"/>
    <w:rsid w:val="008A1F0B"/>
    <w:rsid w:val="008A21D5"/>
    <w:rsid w:val="008A23A3"/>
    <w:rsid w:val="008A23BC"/>
    <w:rsid w:val="008A24B9"/>
    <w:rsid w:val="008A24E3"/>
    <w:rsid w:val="008A26C2"/>
    <w:rsid w:val="008A270E"/>
    <w:rsid w:val="008A2997"/>
    <w:rsid w:val="008A2BDE"/>
    <w:rsid w:val="008A2F2B"/>
    <w:rsid w:val="008A317E"/>
    <w:rsid w:val="008A3435"/>
    <w:rsid w:val="008A3459"/>
    <w:rsid w:val="008A34E5"/>
    <w:rsid w:val="008A36A1"/>
    <w:rsid w:val="008A3931"/>
    <w:rsid w:val="008A3A81"/>
    <w:rsid w:val="008A3AEF"/>
    <w:rsid w:val="008A3BA8"/>
    <w:rsid w:val="008A3BEC"/>
    <w:rsid w:val="008A3E63"/>
    <w:rsid w:val="008A4214"/>
    <w:rsid w:val="008A4394"/>
    <w:rsid w:val="008A4400"/>
    <w:rsid w:val="008A453C"/>
    <w:rsid w:val="008A4CBA"/>
    <w:rsid w:val="008A4CF5"/>
    <w:rsid w:val="008A4DE1"/>
    <w:rsid w:val="008A5321"/>
    <w:rsid w:val="008A55C4"/>
    <w:rsid w:val="008A56BC"/>
    <w:rsid w:val="008A5847"/>
    <w:rsid w:val="008A5882"/>
    <w:rsid w:val="008A5AE2"/>
    <w:rsid w:val="008A5BAB"/>
    <w:rsid w:val="008A5C0F"/>
    <w:rsid w:val="008A5C44"/>
    <w:rsid w:val="008A5EDC"/>
    <w:rsid w:val="008A61E8"/>
    <w:rsid w:val="008A6404"/>
    <w:rsid w:val="008A642B"/>
    <w:rsid w:val="008A67CE"/>
    <w:rsid w:val="008A6844"/>
    <w:rsid w:val="008A69AF"/>
    <w:rsid w:val="008A6A88"/>
    <w:rsid w:val="008A6AD4"/>
    <w:rsid w:val="008A6B76"/>
    <w:rsid w:val="008A6DBC"/>
    <w:rsid w:val="008A6E4B"/>
    <w:rsid w:val="008A6EC7"/>
    <w:rsid w:val="008A6EE5"/>
    <w:rsid w:val="008A6FFA"/>
    <w:rsid w:val="008A727D"/>
    <w:rsid w:val="008A7554"/>
    <w:rsid w:val="008A7B18"/>
    <w:rsid w:val="008A7BE7"/>
    <w:rsid w:val="008A7C01"/>
    <w:rsid w:val="008A7C12"/>
    <w:rsid w:val="008A7C55"/>
    <w:rsid w:val="008A7F4C"/>
    <w:rsid w:val="008B018F"/>
    <w:rsid w:val="008B0242"/>
    <w:rsid w:val="008B03AE"/>
    <w:rsid w:val="008B03C8"/>
    <w:rsid w:val="008B07BD"/>
    <w:rsid w:val="008B0902"/>
    <w:rsid w:val="008B094F"/>
    <w:rsid w:val="008B0B26"/>
    <w:rsid w:val="008B0BA3"/>
    <w:rsid w:val="008B0BF2"/>
    <w:rsid w:val="008B0EE2"/>
    <w:rsid w:val="008B1226"/>
    <w:rsid w:val="008B1409"/>
    <w:rsid w:val="008B14FC"/>
    <w:rsid w:val="008B161B"/>
    <w:rsid w:val="008B174F"/>
    <w:rsid w:val="008B17BA"/>
    <w:rsid w:val="008B18BC"/>
    <w:rsid w:val="008B1A46"/>
    <w:rsid w:val="008B1D63"/>
    <w:rsid w:val="008B1DE0"/>
    <w:rsid w:val="008B1E5D"/>
    <w:rsid w:val="008B1F6B"/>
    <w:rsid w:val="008B2042"/>
    <w:rsid w:val="008B2087"/>
    <w:rsid w:val="008B2257"/>
    <w:rsid w:val="008B236D"/>
    <w:rsid w:val="008B249F"/>
    <w:rsid w:val="008B25D3"/>
    <w:rsid w:val="008B2669"/>
    <w:rsid w:val="008B27C2"/>
    <w:rsid w:val="008B27D4"/>
    <w:rsid w:val="008B2BCB"/>
    <w:rsid w:val="008B36FC"/>
    <w:rsid w:val="008B3895"/>
    <w:rsid w:val="008B3A1D"/>
    <w:rsid w:val="008B3DF1"/>
    <w:rsid w:val="008B4093"/>
    <w:rsid w:val="008B42E7"/>
    <w:rsid w:val="008B4546"/>
    <w:rsid w:val="008B45D6"/>
    <w:rsid w:val="008B46B4"/>
    <w:rsid w:val="008B4A30"/>
    <w:rsid w:val="008B4C7E"/>
    <w:rsid w:val="008B4CEB"/>
    <w:rsid w:val="008B4F23"/>
    <w:rsid w:val="008B52A6"/>
    <w:rsid w:val="008B5456"/>
    <w:rsid w:val="008B5458"/>
    <w:rsid w:val="008B59EB"/>
    <w:rsid w:val="008B5A38"/>
    <w:rsid w:val="008B5CA3"/>
    <w:rsid w:val="008B5E44"/>
    <w:rsid w:val="008B5EE2"/>
    <w:rsid w:val="008B5FE9"/>
    <w:rsid w:val="008B623B"/>
    <w:rsid w:val="008B6249"/>
    <w:rsid w:val="008B6981"/>
    <w:rsid w:val="008B6A00"/>
    <w:rsid w:val="008B6C1D"/>
    <w:rsid w:val="008B6D97"/>
    <w:rsid w:val="008B71A5"/>
    <w:rsid w:val="008B71F4"/>
    <w:rsid w:val="008B72A8"/>
    <w:rsid w:val="008B7442"/>
    <w:rsid w:val="008B74C8"/>
    <w:rsid w:val="008B761B"/>
    <w:rsid w:val="008B7A5E"/>
    <w:rsid w:val="008B7B67"/>
    <w:rsid w:val="008B7D76"/>
    <w:rsid w:val="008B7F1C"/>
    <w:rsid w:val="008B7F2D"/>
    <w:rsid w:val="008C0250"/>
    <w:rsid w:val="008C0293"/>
    <w:rsid w:val="008C042D"/>
    <w:rsid w:val="008C05F3"/>
    <w:rsid w:val="008C06EE"/>
    <w:rsid w:val="008C076D"/>
    <w:rsid w:val="008C0C4A"/>
    <w:rsid w:val="008C0ED5"/>
    <w:rsid w:val="008C1391"/>
    <w:rsid w:val="008C14FE"/>
    <w:rsid w:val="008C1596"/>
    <w:rsid w:val="008C18DE"/>
    <w:rsid w:val="008C1A25"/>
    <w:rsid w:val="008C1C93"/>
    <w:rsid w:val="008C1F60"/>
    <w:rsid w:val="008C207B"/>
    <w:rsid w:val="008C240C"/>
    <w:rsid w:val="008C25C6"/>
    <w:rsid w:val="008C28FE"/>
    <w:rsid w:val="008C2A33"/>
    <w:rsid w:val="008C2BA9"/>
    <w:rsid w:val="008C2BFF"/>
    <w:rsid w:val="008C2DA1"/>
    <w:rsid w:val="008C2DD2"/>
    <w:rsid w:val="008C2F65"/>
    <w:rsid w:val="008C32E2"/>
    <w:rsid w:val="008C3448"/>
    <w:rsid w:val="008C3541"/>
    <w:rsid w:val="008C36EA"/>
    <w:rsid w:val="008C3858"/>
    <w:rsid w:val="008C3AB0"/>
    <w:rsid w:val="008C3C19"/>
    <w:rsid w:val="008C3F09"/>
    <w:rsid w:val="008C42FB"/>
    <w:rsid w:val="008C47E1"/>
    <w:rsid w:val="008C497D"/>
    <w:rsid w:val="008C4A23"/>
    <w:rsid w:val="008C4A8A"/>
    <w:rsid w:val="008C4AA7"/>
    <w:rsid w:val="008C4AC0"/>
    <w:rsid w:val="008C4BD5"/>
    <w:rsid w:val="008C4D32"/>
    <w:rsid w:val="008C4E09"/>
    <w:rsid w:val="008C50C9"/>
    <w:rsid w:val="008C5233"/>
    <w:rsid w:val="008C5240"/>
    <w:rsid w:val="008C5348"/>
    <w:rsid w:val="008C53F0"/>
    <w:rsid w:val="008C562E"/>
    <w:rsid w:val="008C59A4"/>
    <w:rsid w:val="008C59FB"/>
    <w:rsid w:val="008C5BE7"/>
    <w:rsid w:val="008C5E76"/>
    <w:rsid w:val="008C5E97"/>
    <w:rsid w:val="008C5FC9"/>
    <w:rsid w:val="008C60BE"/>
    <w:rsid w:val="008C6104"/>
    <w:rsid w:val="008C637F"/>
    <w:rsid w:val="008C63B9"/>
    <w:rsid w:val="008C6640"/>
    <w:rsid w:val="008C672A"/>
    <w:rsid w:val="008C69F0"/>
    <w:rsid w:val="008C6A01"/>
    <w:rsid w:val="008C6B77"/>
    <w:rsid w:val="008C707E"/>
    <w:rsid w:val="008C71C2"/>
    <w:rsid w:val="008C71EE"/>
    <w:rsid w:val="008C7353"/>
    <w:rsid w:val="008C74E3"/>
    <w:rsid w:val="008C75E3"/>
    <w:rsid w:val="008C7642"/>
    <w:rsid w:val="008C7B28"/>
    <w:rsid w:val="008C7C8A"/>
    <w:rsid w:val="008C7C8B"/>
    <w:rsid w:val="008C7EBD"/>
    <w:rsid w:val="008D02F2"/>
    <w:rsid w:val="008D0470"/>
    <w:rsid w:val="008D07BA"/>
    <w:rsid w:val="008D08B9"/>
    <w:rsid w:val="008D09D0"/>
    <w:rsid w:val="008D0B59"/>
    <w:rsid w:val="008D0D92"/>
    <w:rsid w:val="008D133D"/>
    <w:rsid w:val="008D145A"/>
    <w:rsid w:val="008D1553"/>
    <w:rsid w:val="008D17E9"/>
    <w:rsid w:val="008D19FF"/>
    <w:rsid w:val="008D1A0C"/>
    <w:rsid w:val="008D1B7B"/>
    <w:rsid w:val="008D1DBC"/>
    <w:rsid w:val="008D1E30"/>
    <w:rsid w:val="008D2095"/>
    <w:rsid w:val="008D2370"/>
    <w:rsid w:val="008D2495"/>
    <w:rsid w:val="008D24F3"/>
    <w:rsid w:val="008D25DE"/>
    <w:rsid w:val="008D27B3"/>
    <w:rsid w:val="008D27C7"/>
    <w:rsid w:val="008D27ED"/>
    <w:rsid w:val="008D27FC"/>
    <w:rsid w:val="008D29D9"/>
    <w:rsid w:val="008D2A56"/>
    <w:rsid w:val="008D2A83"/>
    <w:rsid w:val="008D2C1F"/>
    <w:rsid w:val="008D349C"/>
    <w:rsid w:val="008D36B4"/>
    <w:rsid w:val="008D3998"/>
    <w:rsid w:val="008D3A3A"/>
    <w:rsid w:val="008D3D83"/>
    <w:rsid w:val="008D426F"/>
    <w:rsid w:val="008D42EF"/>
    <w:rsid w:val="008D45A7"/>
    <w:rsid w:val="008D45C5"/>
    <w:rsid w:val="008D469C"/>
    <w:rsid w:val="008D46B3"/>
    <w:rsid w:val="008D47C5"/>
    <w:rsid w:val="008D4912"/>
    <w:rsid w:val="008D49BD"/>
    <w:rsid w:val="008D4A36"/>
    <w:rsid w:val="008D4B4B"/>
    <w:rsid w:val="008D4CF1"/>
    <w:rsid w:val="008D4EB3"/>
    <w:rsid w:val="008D4FB3"/>
    <w:rsid w:val="008D4FC0"/>
    <w:rsid w:val="008D505A"/>
    <w:rsid w:val="008D521A"/>
    <w:rsid w:val="008D530F"/>
    <w:rsid w:val="008D553F"/>
    <w:rsid w:val="008D5601"/>
    <w:rsid w:val="008D5BDC"/>
    <w:rsid w:val="008D5CE4"/>
    <w:rsid w:val="008D5D5D"/>
    <w:rsid w:val="008D5F41"/>
    <w:rsid w:val="008D60B0"/>
    <w:rsid w:val="008D6303"/>
    <w:rsid w:val="008D656A"/>
    <w:rsid w:val="008D66DB"/>
    <w:rsid w:val="008D688F"/>
    <w:rsid w:val="008D6A18"/>
    <w:rsid w:val="008D6A22"/>
    <w:rsid w:val="008D6AAE"/>
    <w:rsid w:val="008D6B83"/>
    <w:rsid w:val="008D6C57"/>
    <w:rsid w:val="008D70B8"/>
    <w:rsid w:val="008D7111"/>
    <w:rsid w:val="008D73B2"/>
    <w:rsid w:val="008D7747"/>
    <w:rsid w:val="008D77FE"/>
    <w:rsid w:val="008D7D04"/>
    <w:rsid w:val="008D7D98"/>
    <w:rsid w:val="008E0112"/>
    <w:rsid w:val="008E03E8"/>
    <w:rsid w:val="008E04B6"/>
    <w:rsid w:val="008E07E9"/>
    <w:rsid w:val="008E09A8"/>
    <w:rsid w:val="008E0AFB"/>
    <w:rsid w:val="008E0EA5"/>
    <w:rsid w:val="008E0EAC"/>
    <w:rsid w:val="008E0EE2"/>
    <w:rsid w:val="008E0FB6"/>
    <w:rsid w:val="008E108A"/>
    <w:rsid w:val="008E1300"/>
    <w:rsid w:val="008E1430"/>
    <w:rsid w:val="008E15A4"/>
    <w:rsid w:val="008E17BB"/>
    <w:rsid w:val="008E1823"/>
    <w:rsid w:val="008E1935"/>
    <w:rsid w:val="008E19F7"/>
    <w:rsid w:val="008E1A64"/>
    <w:rsid w:val="008E1D4B"/>
    <w:rsid w:val="008E1FB2"/>
    <w:rsid w:val="008E2077"/>
    <w:rsid w:val="008E22A0"/>
    <w:rsid w:val="008E22F7"/>
    <w:rsid w:val="008E24C3"/>
    <w:rsid w:val="008E250C"/>
    <w:rsid w:val="008E25BE"/>
    <w:rsid w:val="008E297A"/>
    <w:rsid w:val="008E2BC4"/>
    <w:rsid w:val="008E2C6B"/>
    <w:rsid w:val="008E2CFC"/>
    <w:rsid w:val="008E2F7B"/>
    <w:rsid w:val="008E3094"/>
    <w:rsid w:val="008E31F3"/>
    <w:rsid w:val="008E35D1"/>
    <w:rsid w:val="008E3639"/>
    <w:rsid w:val="008E3655"/>
    <w:rsid w:val="008E3CC2"/>
    <w:rsid w:val="008E4066"/>
    <w:rsid w:val="008E40A0"/>
    <w:rsid w:val="008E4371"/>
    <w:rsid w:val="008E4488"/>
    <w:rsid w:val="008E45B8"/>
    <w:rsid w:val="008E45FA"/>
    <w:rsid w:val="008E462E"/>
    <w:rsid w:val="008E48C3"/>
    <w:rsid w:val="008E4C74"/>
    <w:rsid w:val="008E4E7E"/>
    <w:rsid w:val="008E5078"/>
    <w:rsid w:val="008E590E"/>
    <w:rsid w:val="008E5CD6"/>
    <w:rsid w:val="008E5CE5"/>
    <w:rsid w:val="008E5E33"/>
    <w:rsid w:val="008E5EF1"/>
    <w:rsid w:val="008E5F8C"/>
    <w:rsid w:val="008E5FE4"/>
    <w:rsid w:val="008E60C9"/>
    <w:rsid w:val="008E6210"/>
    <w:rsid w:val="008E636F"/>
    <w:rsid w:val="008E67D9"/>
    <w:rsid w:val="008E683D"/>
    <w:rsid w:val="008E68B5"/>
    <w:rsid w:val="008E6917"/>
    <w:rsid w:val="008E6990"/>
    <w:rsid w:val="008E6BC2"/>
    <w:rsid w:val="008E70C1"/>
    <w:rsid w:val="008E72BF"/>
    <w:rsid w:val="008E74DA"/>
    <w:rsid w:val="008E75CD"/>
    <w:rsid w:val="008E7681"/>
    <w:rsid w:val="008E7A94"/>
    <w:rsid w:val="008E7AC8"/>
    <w:rsid w:val="008E7BEB"/>
    <w:rsid w:val="008E7EB4"/>
    <w:rsid w:val="008F0011"/>
    <w:rsid w:val="008F0316"/>
    <w:rsid w:val="008F03E2"/>
    <w:rsid w:val="008F05B1"/>
    <w:rsid w:val="008F05C8"/>
    <w:rsid w:val="008F05ED"/>
    <w:rsid w:val="008F0811"/>
    <w:rsid w:val="008F086B"/>
    <w:rsid w:val="008F0B95"/>
    <w:rsid w:val="008F10F5"/>
    <w:rsid w:val="008F10FD"/>
    <w:rsid w:val="008F12B0"/>
    <w:rsid w:val="008F15FA"/>
    <w:rsid w:val="008F16A5"/>
    <w:rsid w:val="008F1787"/>
    <w:rsid w:val="008F17AF"/>
    <w:rsid w:val="008F185F"/>
    <w:rsid w:val="008F188E"/>
    <w:rsid w:val="008F18CE"/>
    <w:rsid w:val="008F1AA5"/>
    <w:rsid w:val="008F1C92"/>
    <w:rsid w:val="008F1CAA"/>
    <w:rsid w:val="008F1EAF"/>
    <w:rsid w:val="008F216A"/>
    <w:rsid w:val="008F2186"/>
    <w:rsid w:val="008F22A0"/>
    <w:rsid w:val="008F26F6"/>
    <w:rsid w:val="008F273A"/>
    <w:rsid w:val="008F27B7"/>
    <w:rsid w:val="008F2A4A"/>
    <w:rsid w:val="008F2CB9"/>
    <w:rsid w:val="008F2E3E"/>
    <w:rsid w:val="008F2E54"/>
    <w:rsid w:val="008F2F32"/>
    <w:rsid w:val="008F3065"/>
    <w:rsid w:val="008F3080"/>
    <w:rsid w:val="008F31AC"/>
    <w:rsid w:val="008F329D"/>
    <w:rsid w:val="008F3416"/>
    <w:rsid w:val="008F3424"/>
    <w:rsid w:val="008F3761"/>
    <w:rsid w:val="008F37D0"/>
    <w:rsid w:val="008F39D8"/>
    <w:rsid w:val="008F3BE7"/>
    <w:rsid w:val="008F3D59"/>
    <w:rsid w:val="008F3E0C"/>
    <w:rsid w:val="008F4285"/>
    <w:rsid w:val="008F4523"/>
    <w:rsid w:val="008F47F5"/>
    <w:rsid w:val="008F4B32"/>
    <w:rsid w:val="008F4B8C"/>
    <w:rsid w:val="008F4BBF"/>
    <w:rsid w:val="008F4DC7"/>
    <w:rsid w:val="008F4E68"/>
    <w:rsid w:val="008F4FA3"/>
    <w:rsid w:val="008F53D4"/>
    <w:rsid w:val="008F5430"/>
    <w:rsid w:val="008F54B0"/>
    <w:rsid w:val="008F5628"/>
    <w:rsid w:val="008F5771"/>
    <w:rsid w:val="008F57C7"/>
    <w:rsid w:val="008F5827"/>
    <w:rsid w:val="008F58D2"/>
    <w:rsid w:val="008F5C47"/>
    <w:rsid w:val="008F5ED7"/>
    <w:rsid w:val="008F6313"/>
    <w:rsid w:val="008F63B9"/>
    <w:rsid w:val="008F6515"/>
    <w:rsid w:val="008F66FF"/>
    <w:rsid w:val="008F6936"/>
    <w:rsid w:val="008F6B56"/>
    <w:rsid w:val="008F6E02"/>
    <w:rsid w:val="008F6E1A"/>
    <w:rsid w:val="008F6E3C"/>
    <w:rsid w:val="008F70E8"/>
    <w:rsid w:val="008F74E3"/>
    <w:rsid w:val="008F74F3"/>
    <w:rsid w:val="008F75A0"/>
    <w:rsid w:val="008F7788"/>
    <w:rsid w:val="008F7ABD"/>
    <w:rsid w:val="008F7C91"/>
    <w:rsid w:val="008F7E14"/>
    <w:rsid w:val="008F7F2D"/>
    <w:rsid w:val="009004BB"/>
    <w:rsid w:val="009006CD"/>
    <w:rsid w:val="009009ED"/>
    <w:rsid w:val="00900A73"/>
    <w:rsid w:val="00900A7E"/>
    <w:rsid w:val="00900BFA"/>
    <w:rsid w:val="00900C03"/>
    <w:rsid w:val="00900C35"/>
    <w:rsid w:val="00900E83"/>
    <w:rsid w:val="00900F3E"/>
    <w:rsid w:val="009013E8"/>
    <w:rsid w:val="009014A5"/>
    <w:rsid w:val="00901548"/>
    <w:rsid w:val="00901641"/>
    <w:rsid w:val="00901977"/>
    <w:rsid w:val="0090198E"/>
    <w:rsid w:val="00901AA2"/>
    <w:rsid w:val="00901D83"/>
    <w:rsid w:val="00901D8F"/>
    <w:rsid w:val="00901E26"/>
    <w:rsid w:val="00901F2D"/>
    <w:rsid w:val="00901FF2"/>
    <w:rsid w:val="00901FF8"/>
    <w:rsid w:val="00902061"/>
    <w:rsid w:val="00902158"/>
    <w:rsid w:val="009021F2"/>
    <w:rsid w:val="0090231C"/>
    <w:rsid w:val="009027BA"/>
    <w:rsid w:val="009027EC"/>
    <w:rsid w:val="009028D4"/>
    <w:rsid w:val="009028F9"/>
    <w:rsid w:val="00902934"/>
    <w:rsid w:val="00902A89"/>
    <w:rsid w:val="00902C5E"/>
    <w:rsid w:val="00902C77"/>
    <w:rsid w:val="00902CBA"/>
    <w:rsid w:val="00902D0D"/>
    <w:rsid w:val="00902FE2"/>
    <w:rsid w:val="009032C4"/>
    <w:rsid w:val="009032E2"/>
    <w:rsid w:val="00903340"/>
    <w:rsid w:val="009033F7"/>
    <w:rsid w:val="00903609"/>
    <w:rsid w:val="009036FC"/>
    <w:rsid w:val="00903916"/>
    <w:rsid w:val="00903A9E"/>
    <w:rsid w:val="00903D16"/>
    <w:rsid w:val="009042AE"/>
    <w:rsid w:val="00904397"/>
    <w:rsid w:val="00904449"/>
    <w:rsid w:val="009046BF"/>
    <w:rsid w:val="00904844"/>
    <w:rsid w:val="00904C1C"/>
    <w:rsid w:val="00904EAB"/>
    <w:rsid w:val="00904F79"/>
    <w:rsid w:val="00905251"/>
    <w:rsid w:val="009052A3"/>
    <w:rsid w:val="009055E4"/>
    <w:rsid w:val="009059C7"/>
    <w:rsid w:val="00905BB1"/>
    <w:rsid w:val="00905C9B"/>
    <w:rsid w:val="00905FFA"/>
    <w:rsid w:val="009063BE"/>
    <w:rsid w:val="009063DD"/>
    <w:rsid w:val="00906644"/>
    <w:rsid w:val="00906883"/>
    <w:rsid w:val="00906CE9"/>
    <w:rsid w:val="00906E2C"/>
    <w:rsid w:val="00906EF8"/>
    <w:rsid w:val="00906F9C"/>
    <w:rsid w:val="009075E1"/>
    <w:rsid w:val="00907627"/>
    <w:rsid w:val="00907779"/>
    <w:rsid w:val="009077B5"/>
    <w:rsid w:val="009078C7"/>
    <w:rsid w:val="00907A6D"/>
    <w:rsid w:val="0091020A"/>
    <w:rsid w:val="0091032B"/>
    <w:rsid w:val="009105E5"/>
    <w:rsid w:val="00910654"/>
    <w:rsid w:val="0091082D"/>
    <w:rsid w:val="009109F3"/>
    <w:rsid w:val="00910AA6"/>
    <w:rsid w:val="00910EA9"/>
    <w:rsid w:val="00910EDC"/>
    <w:rsid w:val="00910EE3"/>
    <w:rsid w:val="0091183E"/>
    <w:rsid w:val="00911900"/>
    <w:rsid w:val="00911B3E"/>
    <w:rsid w:val="00911EB9"/>
    <w:rsid w:val="00912362"/>
    <w:rsid w:val="00912732"/>
    <w:rsid w:val="009128A9"/>
    <w:rsid w:val="00912C6C"/>
    <w:rsid w:val="00912D0C"/>
    <w:rsid w:val="00912E5D"/>
    <w:rsid w:val="00912E9F"/>
    <w:rsid w:val="009131A8"/>
    <w:rsid w:val="00913312"/>
    <w:rsid w:val="0091339B"/>
    <w:rsid w:val="009133C1"/>
    <w:rsid w:val="00913557"/>
    <w:rsid w:val="009136B9"/>
    <w:rsid w:val="00913715"/>
    <w:rsid w:val="009137FF"/>
    <w:rsid w:val="00913877"/>
    <w:rsid w:val="009139CE"/>
    <w:rsid w:val="00913C0A"/>
    <w:rsid w:val="00913D31"/>
    <w:rsid w:val="00913D7B"/>
    <w:rsid w:val="0091436C"/>
    <w:rsid w:val="00914433"/>
    <w:rsid w:val="009147F8"/>
    <w:rsid w:val="00914894"/>
    <w:rsid w:val="00914B6A"/>
    <w:rsid w:val="00914BC6"/>
    <w:rsid w:val="00914C25"/>
    <w:rsid w:val="00914CFA"/>
    <w:rsid w:val="00914D47"/>
    <w:rsid w:val="00914DF7"/>
    <w:rsid w:val="00914F2A"/>
    <w:rsid w:val="00915036"/>
    <w:rsid w:val="00915198"/>
    <w:rsid w:val="00915232"/>
    <w:rsid w:val="009152D5"/>
    <w:rsid w:val="0091561E"/>
    <w:rsid w:val="00915960"/>
    <w:rsid w:val="00915A0F"/>
    <w:rsid w:val="00915AC2"/>
    <w:rsid w:val="00915DCC"/>
    <w:rsid w:val="00915ECF"/>
    <w:rsid w:val="00915FA4"/>
    <w:rsid w:val="009160AB"/>
    <w:rsid w:val="00916132"/>
    <w:rsid w:val="009164A0"/>
    <w:rsid w:val="009164CA"/>
    <w:rsid w:val="009164CC"/>
    <w:rsid w:val="0091664D"/>
    <w:rsid w:val="0091669D"/>
    <w:rsid w:val="009169D7"/>
    <w:rsid w:val="00916A71"/>
    <w:rsid w:val="00916C98"/>
    <w:rsid w:val="00916DF3"/>
    <w:rsid w:val="00916E7C"/>
    <w:rsid w:val="00916F83"/>
    <w:rsid w:val="009172FD"/>
    <w:rsid w:val="0091730C"/>
    <w:rsid w:val="00917323"/>
    <w:rsid w:val="009177C5"/>
    <w:rsid w:val="00917832"/>
    <w:rsid w:val="00917A7B"/>
    <w:rsid w:val="00917AC2"/>
    <w:rsid w:val="00917E4A"/>
    <w:rsid w:val="00917ED7"/>
    <w:rsid w:val="00917F03"/>
    <w:rsid w:val="009201C7"/>
    <w:rsid w:val="0092050A"/>
    <w:rsid w:val="009205C9"/>
    <w:rsid w:val="0092062C"/>
    <w:rsid w:val="0092067D"/>
    <w:rsid w:val="009207A3"/>
    <w:rsid w:val="00920BDC"/>
    <w:rsid w:val="00920BDE"/>
    <w:rsid w:val="00920C36"/>
    <w:rsid w:val="00920CA1"/>
    <w:rsid w:val="00920F8E"/>
    <w:rsid w:val="00920FC9"/>
    <w:rsid w:val="009210EE"/>
    <w:rsid w:val="00921373"/>
    <w:rsid w:val="00921392"/>
    <w:rsid w:val="009213B1"/>
    <w:rsid w:val="009213C9"/>
    <w:rsid w:val="009214A9"/>
    <w:rsid w:val="009214ED"/>
    <w:rsid w:val="00921559"/>
    <w:rsid w:val="00921654"/>
    <w:rsid w:val="00921869"/>
    <w:rsid w:val="00921B4B"/>
    <w:rsid w:val="00921BD9"/>
    <w:rsid w:val="00921DAC"/>
    <w:rsid w:val="00921F1E"/>
    <w:rsid w:val="009220B1"/>
    <w:rsid w:val="0092221C"/>
    <w:rsid w:val="009225FE"/>
    <w:rsid w:val="009227DA"/>
    <w:rsid w:val="00922AB4"/>
    <w:rsid w:val="00922CA8"/>
    <w:rsid w:val="00922CAF"/>
    <w:rsid w:val="00922E2D"/>
    <w:rsid w:val="00922E3C"/>
    <w:rsid w:val="00922E7C"/>
    <w:rsid w:val="00922FBC"/>
    <w:rsid w:val="00923154"/>
    <w:rsid w:val="009231E6"/>
    <w:rsid w:val="009231FD"/>
    <w:rsid w:val="0092320B"/>
    <w:rsid w:val="0092333E"/>
    <w:rsid w:val="00923530"/>
    <w:rsid w:val="009235CB"/>
    <w:rsid w:val="0092378A"/>
    <w:rsid w:val="009239F5"/>
    <w:rsid w:val="00923A1D"/>
    <w:rsid w:val="00923AF9"/>
    <w:rsid w:val="00923D79"/>
    <w:rsid w:val="00923FD4"/>
    <w:rsid w:val="0092436F"/>
    <w:rsid w:val="0092457B"/>
    <w:rsid w:val="00924590"/>
    <w:rsid w:val="009246CC"/>
    <w:rsid w:val="00924F0F"/>
    <w:rsid w:val="009250BF"/>
    <w:rsid w:val="0092534F"/>
    <w:rsid w:val="009255BD"/>
    <w:rsid w:val="00925606"/>
    <w:rsid w:val="009259C8"/>
    <w:rsid w:val="00925AE2"/>
    <w:rsid w:val="00925EA7"/>
    <w:rsid w:val="009264A3"/>
    <w:rsid w:val="0092687F"/>
    <w:rsid w:val="00926A40"/>
    <w:rsid w:val="00926AD7"/>
    <w:rsid w:val="00926B54"/>
    <w:rsid w:val="00926CDF"/>
    <w:rsid w:val="00926D3F"/>
    <w:rsid w:val="00926D41"/>
    <w:rsid w:val="00926D51"/>
    <w:rsid w:val="00926E87"/>
    <w:rsid w:val="009271BC"/>
    <w:rsid w:val="00927276"/>
    <w:rsid w:val="009273D8"/>
    <w:rsid w:val="009273F2"/>
    <w:rsid w:val="0092745F"/>
    <w:rsid w:val="00927691"/>
    <w:rsid w:val="00927BC5"/>
    <w:rsid w:val="00927C59"/>
    <w:rsid w:val="00927C79"/>
    <w:rsid w:val="00927CB2"/>
    <w:rsid w:val="00927DD3"/>
    <w:rsid w:val="00927E7E"/>
    <w:rsid w:val="00927FFE"/>
    <w:rsid w:val="00930383"/>
    <w:rsid w:val="0093045E"/>
    <w:rsid w:val="0093074C"/>
    <w:rsid w:val="00930BA2"/>
    <w:rsid w:val="00930BB5"/>
    <w:rsid w:val="00930C6C"/>
    <w:rsid w:val="00930CF2"/>
    <w:rsid w:val="00930ED7"/>
    <w:rsid w:val="009311C8"/>
    <w:rsid w:val="009312C8"/>
    <w:rsid w:val="009312D0"/>
    <w:rsid w:val="0093147D"/>
    <w:rsid w:val="00931642"/>
    <w:rsid w:val="009316F4"/>
    <w:rsid w:val="009317C5"/>
    <w:rsid w:val="0093188C"/>
    <w:rsid w:val="00931E16"/>
    <w:rsid w:val="00931EED"/>
    <w:rsid w:val="0093200C"/>
    <w:rsid w:val="009322A7"/>
    <w:rsid w:val="00932461"/>
    <w:rsid w:val="00932491"/>
    <w:rsid w:val="0093250B"/>
    <w:rsid w:val="009325F3"/>
    <w:rsid w:val="00932803"/>
    <w:rsid w:val="00932ABE"/>
    <w:rsid w:val="00932B61"/>
    <w:rsid w:val="0093315F"/>
    <w:rsid w:val="0093356E"/>
    <w:rsid w:val="009335A8"/>
    <w:rsid w:val="0093387D"/>
    <w:rsid w:val="009338EF"/>
    <w:rsid w:val="00933919"/>
    <w:rsid w:val="00933CC7"/>
    <w:rsid w:val="00933DAA"/>
    <w:rsid w:val="00933F2B"/>
    <w:rsid w:val="009342FD"/>
    <w:rsid w:val="00934426"/>
    <w:rsid w:val="0093442A"/>
    <w:rsid w:val="00934460"/>
    <w:rsid w:val="0093462C"/>
    <w:rsid w:val="009348F8"/>
    <w:rsid w:val="00934A28"/>
    <w:rsid w:val="00934D64"/>
    <w:rsid w:val="00934DB8"/>
    <w:rsid w:val="0093502D"/>
    <w:rsid w:val="0093521E"/>
    <w:rsid w:val="009353FB"/>
    <w:rsid w:val="00935400"/>
    <w:rsid w:val="009358D9"/>
    <w:rsid w:val="00935B0A"/>
    <w:rsid w:val="00935C0B"/>
    <w:rsid w:val="00935C71"/>
    <w:rsid w:val="00935FC3"/>
    <w:rsid w:val="00936099"/>
    <w:rsid w:val="009365E7"/>
    <w:rsid w:val="0093688A"/>
    <w:rsid w:val="0093692B"/>
    <w:rsid w:val="00936BB9"/>
    <w:rsid w:val="00936CF7"/>
    <w:rsid w:val="00936E79"/>
    <w:rsid w:val="00936F83"/>
    <w:rsid w:val="009371E2"/>
    <w:rsid w:val="0093765C"/>
    <w:rsid w:val="00937660"/>
    <w:rsid w:val="009376CC"/>
    <w:rsid w:val="0093775C"/>
    <w:rsid w:val="00937907"/>
    <w:rsid w:val="00937AF9"/>
    <w:rsid w:val="00937B97"/>
    <w:rsid w:val="00937BA7"/>
    <w:rsid w:val="00937BCB"/>
    <w:rsid w:val="00937DE9"/>
    <w:rsid w:val="00937E0B"/>
    <w:rsid w:val="00937EFC"/>
    <w:rsid w:val="00940146"/>
    <w:rsid w:val="009407D1"/>
    <w:rsid w:val="0094082E"/>
    <w:rsid w:val="0094087C"/>
    <w:rsid w:val="00940881"/>
    <w:rsid w:val="009408D3"/>
    <w:rsid w:val="009409C1"/>
    <w:rsid w:val="00940B5C"/>
    <w:rsid w:val="00941106"/>
    <w:rsid w:val="009411DF"/>
    <w:rsid w:val="00941691"/>
    <w:rsid w:val="00941A0E"/>
    <w:rsid w:val="00941D35"/>
    <w:rsid w:val="00941D7D"/>
    <w:rsid w:val="00941DAB"/>
    <w:rsid w:val="00941E91"/>
    <w:rsid w:val="009420AA"/>
    <w:rsid w:val="009420BA"/>
    <w:rsid w:val="00942235"/>
    <w:rsid w:val="0094223F"/>
    <w:rsid w:val="009422B5"/>
    <w:rsid w:val="00942359"/>
    <w:rsid w:val="00942420"/>
    <w:rsid w:val="00942750"/>
    <w:rsid w:val="00942A9A"/>
    <w:rsid w:val="00942DF1"/>
    <w:rsid w:val="00942E1B"/>
    <w:rsid w:val="00942E63"/>
    <w:rsid w:val="00942EF3"/>
    <w:rsid w:val="00942FE1"/>
    <w:rsid w:val="009431B8"/>
    <w:rsid w:val="009432C8"/>
    <w:rsid w:val="0094366C"/>
    <w:rsid w:val="0094379B"/>
    <w:rsid w:val="009439C3"/>
    <w:rsid w:val="00943C26"/>
    <w:rsid w:val="0094400C"/>
    <w:rsid w:val="00944225"/>
    <w:rsid w:val="009443FD"/>
    <w:rsid w:val="009445E8"/>
    <w:rsid w:val="009445FA"/>
    <w:rsid w:val="0094487C"/>
    <w:rsid w:val="0094493C"/>
    <w:rsid w:val="00944D33"/>
    <w:rsid w:val="00944D74"/>
    <w:rsid w:val="0094504D"/>
    <w:rsid w:val="009450B2"/>
    <w:rsid w:val="00945189"/>
    <w:rsid w:val="009452CF"/>
    <w:rsid w:val="0094531A"/>
    <w:rsid w:val="0094533B"/>
    <w:rsid w:val="0094569B"/>
    <w:rsid w:val="0094578E"/>
    <w:rsid w:val="00945940"/>
    <w:rsid w:val="0094595E"/>
    <w:rsid w:val="00945981"/>
    <w:rsid w:val="00945996"/>
    <w:rsid w:val="00945A49"/>
    <w:rsid w:val="00945AE3"/>
    <w:rsid w:val="00945C37"/>
    <w:rsid w:val="00945D11"/>
    <w:rsid w:val="00945D6E"/>
    <w:rsid w:val="00945DEF"/>
    <w:rsid w:val="00945E8E"/>
    <w:rsid w:val="00945EED"/>
    <w:rsid w:val="0094612E"/>
    <w:rsid w:val="0094645D"/>
    <w:rsid w:val="0094645E"/>
    <w:rsid w:val="0094672D"/>
    <w:rsid w:val="00946A52"/>
    <w:rsid w:val="00946E44"/>
    <w:rsid w:val="00947398"/>
    <w:rsid w:val="00947520"/>
    <w:rsid w:val="00947562"/>
    <w:rsid w:val="0094757B"/>
    <w:rsid w:val="009475CD"/>
    <w:rsid w:val="00947EC4"/>
    <w:rsid w:val="00950321"/>
    <w:rsid w:val="009506BB"/>
    <w:rsid w:val="00950757"/>
    <w:rsid w:val="00950917"/>
    <w:rsid w:val="00950A60"/>
    <w:rsid w:val="00950EBC"/>
    <w:rsid w:val="00951022"/>
    <w:rsid w:val="0095199D"/>
    <w:rsid w:val="00951AAE"/>
    <w:rsid w:val="00951B4D"/>
    <w:rsid w:val="00951BB3"/>
    <w:rsid w:val="00951CB0"/>
    <w:rsid w:val="00951D8B"/>
    <w:rsid w:val="00951DC2"/>
    <w:rsid w:val="00951DF3"/>
    <w:rsid w:val="00952186"/>
    <w:rsid w:val="009522B0"/>
    <w:rsid w:val="00952542"/>
    <w:rsid w:val="00952AD2"/>
    <w:rsid w:val="00952BD6"/>
    <w:rsid w:val="00952C33"/>
    <w:rsid w:val="00952D0A"/>
    <w:rsid w:val="00952D47"/>
    <w:rsid w:val="00952EDA"/>
    <w:rsid w:val="0095302D"/>
    <w:rsid w:val="009531CB"/>
    <w:rsid w:val="009533D4"/>
    <w:rsid w:val="0095342A"/>
    <w:rsid w:val="00953446"/>
    <w:rsid w:val="00953455"/>
    <w:rsid w:val="009538F6"/>
    <w:rsid w:val="0095392C"/>
    <w:rsid w:val="00953A64"/>
    <w:rsid w:val="00953B37"/>
    <w:rsid w:val="00953CD8"/>
    <w:rsid w:val="00953DA6"/>
    <w:rsid w:val="00953F4F"/>
    <w:rsid w:val="00954400"/>
    <w:rsid w:val="009544EF"/>
    <w:rsid w:val="00954841"/>
    <w:rsid w:val="00954864"/>
    <w:rsid w:val="0095493F"/>
    <w:rsid w:val="009549B9"/>
    <w:rsid w:val="00954A22"/>
    <w:rsid w:val="00954AA9"/>
    <w:rsid w:val="00954AB2"/>
    <w:rsid w:val="00954B6A"/>
    <w:rsid w:val="00954E06"/>
    <w:rsid w:val="00954F17"/>
    <w:rsid w:val="00954F99"/>
    <w:rsid w:val="009550BF"/>
    <w:rsid w:val="0095515E"/>
    <w:rsid w:val="009553B7"/>
    <w:rsid w:val="009557C4"/>
    <w:rsid w:val="00955986"/>
    <w:rsid w:val="00955D31"/>
    <w:rsid w:val="00955D90"/>
    <w:rsid w:val="00955EF8"/>
    <w:rsid w:val="00955F81"/>
    <w:rsid w:val="009560D3"/>
    <w:rsid w:val="009562C3"/>
    <w:rsid w:val="009567C4"/>
    <w:rsid w:val="009567CC"/>
    <w:rsid w:val="009567CE"/>
    <w:rsid w:val="00956895"/>
    <w:rsid w:val="00956A02"/>
    <w:rsid w:val="00956B76"/>
    <w:rsid w:val="00956EEB"/>
    <w:rsid w:val="00957041"/>
    <w:rsid w:val="009570FE"/>
    <w:rsid w:val="00957228"/>
    <w:rsid w:val="0095726F"/>
    <w:rsid w:val="00957275"/>
    <w:rsid w:val="009573D1"/>
    <w:rsid w:val="009577E2"/>
    <w:rsid w:val="00957C78"/>
    <w:rsid w:val="00957F55"/>
    <w:rsid w:val="00957F8A"/>
    <w:rsid w:val="0096010C"/>
    <w:rsid w:val="009602A5"/>
    <w:rsid w:val="00960430"/>
    <w:rsid w:val="0096053F"/>
    <w:rsid w:val="0096061B"/>
    <w:rsid w:val="009606AF"/>
    <w:rsid w:val="00960908"/>
    <w:rsid w:val="00960D66"/>
    <w:rsid w:val="00960E36"/>
    <w:rsid w:val="009610BC"/>
    <w:rsid w:val="00961268"/>
    <w:rsid w:val="00961349"/>
    <w:rsid w:val="00961723"/>
    <w:rsid w:val="0096182F"/>
    <w:rsid w:val="00961903"/>
    <w:rsid w:val="00961AD2"/>
    <w:rsid w:val="00961DA2"/>
    <w:rsid w:val="00962032"/>
    <w:rsid w:val="00962072"/>
    <w:rsid w:val="009620DF"/>
    <w:rsid w:val="00962252"/>
    <w:rsid w:val="0096277E"/>
    <w:rsid w:val="00962856"/>
    <w:rsid w:val="009628CF"/>
    <w:rsid w:val="0096292F"/>
    <w:rsid w:val="00962DA7"/>
    <w:rsid w:val="00962DD3"/>
    <w:rsid w:val="00962F29"/>
    <w:rsid w:val="009631E2"/>
    <w:rsid w:val="009633CA"/>
    <w:rsid w:val="00963487"/>
    <w:rsid w:val="009634B5"/>
    <w:rsid w:val="009636C2"/>
    <w:rsid w:val="00963744"/>
    <w:rsid w:val="00963886"/>
    <w:rsid w:val="00963A0F"/>
    <w:rsid w:val="00963A18"/>
    <w:rsid w:val="00963B6F"/>
    <w:rsid w:val="00963E51"/>
    <w:rsid w:val="00963EBD"/>
    <w:rsid w:val="00963F60"/>
    <w:rsid w:val="00964055"/>
    <w:rsid w:val="009643B4"/>
    <w:rsid w:val="00964496"/>
    <w:rsid w:val="009644E7"/>
    <w:rsid w:val="0096457D"/>
    <w:rsid w:val="00964703"/>
    <w:rsid w:val="009649D0"/>
    <w:rsid w:val="00964B95"/>
    <w:rsid w:val="00965082"/>
    <w:rsid w:val="009659E4"/>
    <w:rsid w:val="009663D2"/>
    <w:rsid w:val="0096648D"/>
    <w:rsid w:val="0096666B"/>
    <w:rsid w:val="0096688F"/>
    <w:rsid w:val="00966A76"/>
    <w:rsid w:val="00966D2B"/>
    <w:rsid w:val="00967266"/>
    <w:rsid w:val="00967893"/>
    <w:rsid w:val="009678B9"/>
    <w:rsid w:val="00967901"/>
    <w:rsid w:val="00967F0F"/>
    <w:rsid w:val="00970057"/>
    <w:rsid w:val="00970086"/>
    <w:rsid w:val="0097010C"/>
    <w:rsid w:val="00970313"/>
    <w:rsid w:val="0097050F"/>
    <w:rsid w:val="00970574"/>
    <w:rsid w:val="0097057B"/>
    <w:rsid w:val="00970600"/>
    <w:rsid w:val="0097062F"/>
    <w:rsid w:val="0097069E"/>
    <w:rsid w:val="00970856"/>
    <w:rsid w:val="00970929"/>
    <w:rsid w:val="009709CC"/>
    <w:rsid w:val="00970C48"/>
    <w:rsid w:val="00970CC7"/>
    <w:rsid w:val="00970D53"/>
    <w:rsid w:val="00970DF6"/>
    <w:rsid w:val="00970EBE"/>
    <w:rsid w:val="00970FFE"/>
    <w:rsid w:val="00971221"/>
    <w:rsid w:val="00971393"/>
    <w:rsid w:val="0097141F"/>
    <w:rsid w:val="00971497"/>
    <w:rsid w:val="0097162C"/>
    <w:rsid w:val="00971863"/>
    <w:rsid w:val="0097194C"/>
    <w:rsid w:val="009719E5"/>
    <w:rsid w:val="0097227F"/>
    <w:rsid w:val="00972528"/>
    <w:rsid w:val="0097255A"/>
    <w:rsid w:val="009725E3"/>
    <w:rsid w:val="009725E8"/>
    <w:rsid w:val="00972970"/>
    <w:rsid w:val="00972A98"/>
    <w:rsid w:val="00972B47"/>
    <w:rsid w:val="00972BAF"/>
    <w:rsid w:val="00973008"/>
    <w:rsid w:val="009732B2"/>
    <w:rsid w:val="009734AE"/>
    <w:rsid w:val="0097363D"/>
    <w:rsid w:val="00973759"/>
    <w:rsid w:val="00973761"/>
    <w:rsid w:val="00973858"/>
    <w:rsid w:val="0097395D"/>
    <w:rsid w:val="009739E1"/>
    <w:rsid w:val="00973A37"/>
    <w:rsid w:val="00973C24"/>
    <w:rsid w:val="00973DBC"/>
    <w:rsid w:val="00973DFC"/>
    <w:rsid w:val="00973E6F"/>
    <w:rsid w:val="00973F38"/>
    <w:rsid w:val="00974801"/>
    <w:rsid w:val="0097490A"/>
    <w:rsid w:val="00974993"/>
    <w:rsid w:val="00974AC2"/>
    <w:rsid w:val="00974B19"/>
    <w:rsid w:val="00974B33"/>
    <w:rsid w:val="00974E35"/>
    <w:rsid w:val="00975048"/>
    <w:rsid w:val="00975156"/>
    <w:rsid w:val="009752F4"/>
    <w:rsid w:val="009753FC"/>
    <w:rsid w:val="00975501"/>
    <w:rsid w:val="00975CEE"/>
    <w:rsid w:val="00975E65"/>
    <w:rsid w:val="009766B8"/>
    <w:rsid w:val="00976A6E"/>
    <w:rsid w:val="00976E9F"/>
    <w:rsid w:val="00976F7D"/>
    <w:rsid w:val="0097706B"/>
    <w:rsid w:val="0097708A"/>
    <w:rsid w:val="009771F7"/>
    <w:rsid w:val="0097756C"/>
    <w:rsid w:val="0097761B"/>
    <w:rsid w:val="0097773C"/>
    <w:rsid w:val="00977EC4"/>
    <w:rsid w:val="00980080"/>
    <w:rsid w:val="00980081"/>
    <w:rsid w:val="009801C0"/>
    <w:rsid w:val="009803C3"/>
    <w:rsid w:val="0098079E"/>
    <w:rsid w:val="009807DD"/>
    <w:rsid w:val="00980D4C"/>
    <w:rsid w:val="00980FBD"/>
    <w:rsid w:val="009811F5"/>
    <w:rsid w:val="00981263"/>
    <w:rsid w:val="009813A5"/>
    <w:rsid w:val="009813DF"/>
    <w:rsid w:val="009814CC"/>
    <w:rsid w:val="009816CC"/>
    <w:rsid w:val="009817A5"/>
    <w:rsid w:val="009817B4"/>
    <w:rsid w:val="0098185D"/>
    <w:rsid w:val="0098193A"/>
    <w:rsid w:val="00981ADF"/>
    <w:rsid w:val="00981D0A"/>
    <w:rsid w:val="00981F4A"/>
    <w:rsid w:val="00981F51"/>
    <w:rsid w:val="009820A4"/>
    <w:rsid w:val="00982403"/>
    <w:rsid w:val="00982470"/>
    <w:rsid w:val="00982548"/>
    <w:rsid w:val="0098258E"/>
    <w:rsid w:val="009827E1"/>
    <w:rsid w:val="00982812"/>
    <w:rsid w:val="009828D3"/>
    <w:rsid w:val="00982BB7"/>
    <w:rsid w:val="00982C3F"/>
    <w:rsid w:val="00982DF3"/>
    <w:rsid w:val="00982F9A"/>
    <w:rsid w:val="00983176"/>
    <w:rsid w:val="009831C0"/>
    <w:rsid w:val="009831ED"/>
    <w:rsid w:val="009834B5"/>
    <w:rsid w:val="00983605"/>
    <w:rsid w:val="00983854"/>
    <w:rsid w:val="00983920"/>
    <w:rsid w:val="00983A83"/>
    <w:rsid w:val="00983B95"/>
    <w:rsid w:val="00983C8B"/>
    <w:rsid w:val="00983CE9"/>
    <w:rsid w:val="00983ED6"/>
    <w:rsid w:val="00983F62"/>
    <w:rsid w:val="00983F6D"/>
    <w:rsid w:val="0098422C"/>
    <w:rsid w:val="009842FF"/>
    <w:rsid w:val="009844D9"/>
    <w:rsid w:val="009846B5"/>
    <w:rsid w:val="00984AC6"/>
    <w:rsid w:val="00984B51"/>
    <w:rsid w:val="00984E7E"/>
    <w:rsid w:val="00985063"/>
    <w:rsid w:val="0098528F"/>
    <w:rsid w:val="009852A2"/>
    <w:rsid w:val="0098586F"/>
    <w:rsid w:val="00985AF2"/>
    <w:rsid w:val="00985B7E"/>
    <w:rsid w:val="00985BD7"/>
    <w:rsid w:val="00985DBB"/>
    <w:rsid w:val="009862C0"/>
    <w:rsid w:val="00986731"/>
    <w:rsid w:val="009867D8"/>
    <w:rsid w:val="0098698B"/>
    <w:rsid w:val="00986A2B"/>
    <w:rsid w:val="00986A72"/>
    <w:rsid w:val="00986B6A"/>
    <w:rsid w:val="00986E51"/>
    <w:rsid w:val="00986F0F"/>
    <w:rsid w:val="009871D5"/>
    <w:rsid w:val="00987476"/>
    <w:rsid w:val="009874C9"/>
    <w:rsid w:val="0098779A"/>
    <w:rsid w:val="0098781A"/>
    <w:rsid w:val="00987877"/>
    <w:rsid w:val="00987A57"/>
    <w:rsid w:val="00987AA9"/>
    <w:rsid w:val="00987AD1"/>
    <w:rsid w:val="00987BBC"/>
    <w:rsid w:val="00987CCF"/>
    <w:rsid w:val="00987D0B"/>
    <w:rsid w:val="00987D47"/>
    <w:rsid w:val="00987E0B"/>
    <w:rsid w:val="00987F5B"/>
    <w:rsid w:val="00987FC2"/>
    <w:rsid w:val="00987FF9"/>
    <w:rsid w:val="00990082"/>
    <w:rsid w:val="009900C8"/>
    <w:rsid w:val="00990258"/>
    <w:rsid w:val="0099061E"/>
    <w:rsid w:val="0099069C"/>
    <w:rsid w:val="00990778"/>
    <w:rsid w:val="009908C2"/>
    <w:rsid w:val="0099093E"/>
    <w:rsid w:val="00990975"/>
    <w:rsid w:val="00990CE9"/>
    <w:rsid w:val="00990CF9"/>
    <w:rsid w:val="00990D58"/>
    <w:rsid w:val="00990F12"/>
    <w:rsid w:val="00990F73"/>
    <w:rsid w:val="009911A3"/>
    <w:rsid w:val="009911FE"/>
    <w:rsid w:val="00991362"/>
    <w:rsid w:val="00991416"/>
    <w:rsid w:val="00991449"/>
    <w:rsid w:val="00991820"/>
    <w:rsid w:val="0099185D"/>
    <w:rsid w:val="00991959"/>
    <w:rsid w:val="00991B17"/>
    <w:rsid w:val="00991C6F"/>
    <w:rsid w:val="00991DB4"/>
    <w:rsid w:val="0099204D"/>
    <w:rsid w:val="00992135"/>
    <w:rsid w:val="00992358"/>
    <w:rsid w:val="00992470"/>
    <w:rsid w:val="0099268F"/>
    <w:rsid w:val="0099295C"/>
    <w:rsid w:val="00992A23"/>
    <w:rsid w:val="00992A7C"/>
    <w:rsid w:val="00992B8A"/>
    <w:rsid w:val="00992C3F"/>
    <w:rsid w:val="00992DB0"/>
    <w:rsid w:val="00992F0D"/>
    <w:rsid w:val="0099326B"/>
    <w:rsid w:val="009932E8"/>
    <w:rsid w:val="009934F4"/>
    <w:rsid w:val="009935DF"/>
    <w:rsid w:val="00993622"/>
    <w:rsid w:val="00993C4C"/>
    <w:rsid w:val="0099401A"/>
    <w:rsid w:val="0099409C"/>
    <w:rsid w:val="0099424A"/>
    <w:rsid w:val="00994504"/>
    <w:rsid w:val="0099451F"/>
    <w:rsid w:val="009946A3"/>
    <w:rsid w:val="00994BDC"/>
    <w:rsid w:val="00994D21"/>
    <w:rsid w:val="00994E0D"/>
    <w:rsid w:val="00995276"/>
    <w:rsid w:val="0099561D"/>
    <w:rsid w:val="0099586E"/>
    <w:rsid w:val="00995A87"/>
    <w:rsid w:val="00995C57"/>
    <w:rsid w:val="00995FC2"/>
    <w:rsid w:val="0099632C"/>
    <w:rsid w:val="00996543"/>
    <w:rsid w:val="00996C3D"/>
    <w:rsid w:val="00996C87"/>
    <w:rsid w:val="00996CE5"/>
    <w:rsid w:val="00996CE7"/>
    <w:rsid w:val="00996EB8"/>
    <w:rsid w:val="00996FBF"/>
    <w:rsid w:val="009973A4"/>
    <w:rsid w:val="0099750D"/>
    <w:rsid w:val="00997E01"/>
    <w:rsid w:val="00997E1D"/>
    <w:rsid w:val="009A008D"/>
    <w:rsid w:val="009A0486"/>
    <w:rsid w:val="009A056F"/>
    <w:rsid w:val="009A0725"/>
    <w:rsid w:val="009A0934"/>
    <w:rsid w:val="009A0A3F"/>
    <w:rsid w:val="009A0CCD"/>
    <w:rsid w:val="009A0FE3"/>
    <w:rsid w:val="009A1105"/>
    <w:rsid w:val="009A11E1"/>
    <w:rsid w:val="009A1434"/>
    <w:rsid w:val="009A17D8"/>
    <w:rsid w:val="009A188F"/>
    <w:rsid w:val="009A1AC6"/>
    <w:rsid w:val="009A1AFF"/>
    <w:rsid w:val="009A1C75"/>
    <w:rsid w:val="009A22F8"/>
    <w:rsid w:val="009A2332"/>
    <w:rsid w:val="009A2409"/>
    <w:rsid w:val="009A2440"/>
    <w:rsid w:val="009A24E6"/>
    <w:rsid w:val="009A270E"/>
    <w:rsid w:val="009A2744"/>
    <w:rsid w:val="009A2C23"/>
    <w:rsid w:val="009A2D12"/>
    <w:rsid w:val="009A2FC3"/>
    <w:rsid w:val="009A3036"/>
    <w:rsid w:val="009A305C"/>
    <w:rsid w:val="009A3092"/>
    <w:rsid w:val="009A3418"/>
    <w:rsid w:val="009A354F"/>
    <w:rsid w:val="009A35D3"/>
    <w:rsid w:val="009A3927"/>
    <w:rsid w:val="009A399C"/>
    <w:rsid w:val="009A3A71"/>
    <w:rsid w:val="009A3B1F"/>
    <w:rsid w:val="009A3C82"/>
    <w:rsid w:val="009A3FB2"/>
    <w:rsid w:val="009A4236"/>
    <w:rsid w:val="009A4323"/>
    <w:rsid w:val="009A4355"/>
    <w:rsid w:val="009A4407"/>
    <w:rsid w:val="009A4568"/>
    <w:rsid w:val="009A45DA"/>
    <w:rsid w:val="009A491C"/>
    <w:rsid w:val="009A4D12"/>
    <w:rsid w:val="009A4D61"/>
    <w:rsid w:val="009A4E9C"/>
    <w:rsid w:val="009A5092"/>
    <w:rsid w:val="009A512E"/>
    <w:rsid w:val="009A5200"/>
    <w:rsid w:val="009A5352"/>
    <w:rsid w:val="009A55A8"/>
    <w:rsid w:val="009A5681"/>
    <w:rsid w:val="009A583B"/>
    <w:rsid w:val="009A5B36"/>
    <w:rsid w:val="009A5C5F"/>
    <w:rsid w:val="009A67E1"/>
    <w:rsid w:val="009A689E"/>
    <w:rsid w:val="009A69ED"/>
    <w:rsid w:val="009A6C05"/>
    <w:rsid w:val="009A6E24"/>
    <w:rsid w:val="009A71F1"/>
    <w:rsid w:val="009A7372"/>
    <w:rsid w:val="009A7383"/>
    <w:rsid w:val="009A73F1"/>
    <w:rsid w:val="009A77A8"/>
    <w:rsid w:val="009A79D2"/>
    <w:rsid w:val="009A7BAF"/>
    <w:rsid w:val="009A7C52"/>
    <w:rsid w:val="009A7DB3"/>
    <w:rsid w:val="009A7E67"/>
    <w:rsid w:val="009A7F1C"/>
    <w:rsid w:val="009A7F28"/>
    <w:rsid w:val="009A7FA4"/>
    <w:rsid w:val="009B01ED"/>
    <w:rsid w:val="009B044E"/>
    <w:rsid w:val="009B05B4"/>
    <w:rsid w:val="009B063C"/>
    <w:rsid w:val="009B0A3C"/>
    <w:rsid w:val="009B0DD0"/>
    <w:rsid w:val="009B122E"/>
    <w:rsid w:val="009B13B6"/>
    <w:rsid w:val="009B1639"/>
    <w:rsid w:val="009B16E0"/>
    <w:rsid w:val="009B196E"/>
    <w:rsid w:val="009B19BC"/>
    <w:rsid w:val="009B1E81"/>
    <w:rsid w:val="009B1F82"/>
    <w:rsid w:val="009B200D"/>
    <w:rsid w:val="009B2324"/>
    <w:rsid w:val="009B2500"/>
    <w:rsid w:val="009B25B7"/>
    <w:rsid w:val="009B288F"/>
    <w:rsid w:val="009B28C5"/>
    <w:rsid w:val="009B29DE"/>
    <w:rsid w:val="009B2B4D"/>
    <w:rsid w:val="009B2C45"/>
    <w:rsid w:val="009B2CD7"/>
    <w:rsid w:val="009B2EB7"/>
    <w:rsid w:val="009B2ED6"/>
    <w:rsid w:val="009B2F9F"/>
    <w:rsid w:val="009B31BC"/>
    <w:rsid w:val="009B31F1"/>
    <w:rsid w:val="009B326D"/>
    <w:rsid w:val="009B332A"/>
    <w:rsid w:val="009B346A"/>
    <w:rsid w:val="009B3736"/>
    <w:rsid w:val="009B39BB"/>
    <w:rsid w:val="009B3DB7"/>
    <w:rsid w:val="009B3F51"/>
    <w:rsid w:val="009B4041"/>
    <w:rsid w:val="009B40D2"/>
    <w:rsid w:val="009B4158"/>
    <w:rsid w:val="009B4482"/>
    <w:rsid w:val="009B451D"/>
    <w:rsid w:val="009B45D4"/>
    <w:rsid w:val="009B468E"/>
    <w:rsid w:val="009B4693"/>
    <w:rsid w:val="009B4EFA"/>
    <w:rsid w:val="009B508D"/>
    <w:rsid w:val="009B5258"/>
    <w:rsid w:val="009B53DD"/>
    <w:rsid w:val="009B5451"/>
    <w:rsid w:val="009B545B"/>
    <w:rsid w:val="009B5514"/>
    <w:rsid w:val="009B5562"/>
    <w:rsid w:val="009B566A"/>
    <w:rsid w:val="009B5691"/>
    <w:rsid w:val="009B56D3"/>
    <w:rsid w:val="009B57F3"/>
    <w:rsid w:val="009B5A47"/>
    <w:rsid w:val="009B5B12"/>
    <w:rsid w:val="009B5B80"/>
    <w:rsid w:val="009B5DAB"/>
    <w:rsid w:val="009B5E7D"/>
    <w:rsid w:val="009B609C"/>
    <w:rsid w:val="009B60F6"/>
    <w:rsid w:val="009B61D8"/>
    <w:rsid w:val="009B63D9"/>
    <w:rsid w:val="009B642F"/>
    <w:rsid w:val="009B64F3"/>
    <w:rsid w:val="009B67C1"/>
    <w:rsid w:val="009B6A08"/>
    <w:rsid w:val="009B6A2C"/>
    <w:rsid w:val="009B6C47"/>
    <w:rsid w:val="009B6F10"/>
    <w:rsid w:val="009B757D"/>
    <w:rsid w:val="009B76EE"/>
    <w:rsid w:val="009B7C16"/>
    <w:rsid w:val="009B7CD2"/>
    <w:rsid w:val="009B7E71"/>
    <w:rsid w:val="009B7FFE"/>
    <w:rsid w:val="009C00DF"/>
    <w:rsid w:val="009C015B"/>
    <w:rsid w:val="009C021D"/>
    <w:rsid w:val="009C0280"/>
    <w:rsid w:val="009C029E"/>
    <w:rsid w:val="009C04B6"/>
    <w:rsid w:val="009C04FB"/>
    <w:rsid w:val="009C050A"/>
    <w:rsid w:val="009C051E"/>
    <w:rsid w:val="009C0F7B"/>
    <w:rsid w:val="009C10E5"/>
    <w:rsid w:val="009C1134"/>
    <w:rsid w:val="009C122C"/>
    <w:rsid w:val="009C1583"/>
    <w:rsid w:val="009C18AA"/>
    <w:rsid w:val="009C1C3F"/>
    <w:rsid w:val="009C1C94"/>
    <w:rsid w:val="009C1E81"/>
    <w:rsid w:val="009C1F4D"/>
    <w:rsid w:val="009C1FE6"/>
    <w:rsid w:val="009C20FC"/>
    <w:rsid w:val="009C2120"/>
    <w:rsid w:val="009C2242"/>
    <w:rsid w:val="009C2451"/>
    <w:rsid w:val="009C24AE"/>
    <w:rsid w:val="009C2547"/>
    <w:rsid w:val="009C2561"/>
    <w:rsid w:val="009C26FA"/>
    <w:rsid w:val="009C2A55"/>
    <w:rsid w:val="009C2A99"/>
    <w:rsid w:val="009C2B89"/>
    <w:rsid w:val="009C2C5E"/>
    <w:rsid w:val="009C2E01"/>
    <w:rsid w:val="009C3098"/>
    <w:rsid w:val="009C32C7"/>
    <w:rsid w:val="009C3535"/>
    <w:rsid w:val="009C35D0"/>
    <w:rsid w:val="009C3829"/>
    <w:rsid w:val="009C3948"/>
    <w:rsid w:val="009C3D51"/>
    <w:rsid w:val="009C3FA9"/>
    <w:rsid w:val="009C4010"/>
    <w:rsid w:val="009C4080"/>
    <w:rsid w:val="009C4103"/>
    <w:rsid w:val="009C4234"/>
    <w:rsid w:val="009C4300"/>
    <w:rsid w:val="009C451E"/>
    <w:rsid w:val="009C4930"/>
    <w:rsid w:val="009C49BA"/>
    <w:rsid w:val="009C511F"/>
    <w:rsid w:val="009C548C"/>
    <w:rsid w:val="009C54B5"/>
    <w:rsid w:val="009C5743"/>
    <w:rsid w:val="009C59A5"/>
    <w:rsid w:val="009C5AB9"/>
    <w:rsid w:val="009C5ADC"/>
    <w:rsid w:val="009C5B4E"/>
    <w:rsid w:val="009C5B7D"/>
    <w:rsid w:val="009C5BA5"/>
    <w:rsid w:val="009C5D31"/>
    <w:rsid w:val="009C5E24"/>
    <w:rsid w:val="009C5EBB"/>
    <w:rsid w:val="009C61B8"/>
    <w:rsid w:val="009C6308"/>
    <w:rsid w:val="009C6339"/>
    <w:rsid w:val="009C6763"/>
    <w:rsid w:val="009C676A"/>
    <w:rsid w:val="009C6A16"/>
    <w:rsid w:val="009C6ABE"/>
    <w:rsid w:val="009C6B02"/>
    <w:rsid w:val="009C6BA9"/>
    <w:rsid w:val="009C6C63"/>
    <w:rsid w:val="009C6D80"/>
    <w:rsid w:val="009C7471"/>
    <w:rsid w:val="009C75E6"/>
    <w:rsid w:val="009C794B"/>
    <w:rsid w:val="009C7DF5"/>
    <w:rsid w:val="009D0472"/>
    <w:rsid w:val="009D05A0"/>
    <w:rsid w:val="009D08CB"/>
    <w:rsid w:val="009D09AB"/>
    <w:rsid w:val="009D0A13"/>
    <w:rsid w:val="009D0B0A"/>
    <w:rsid w:val="009D0B4E"/>
    <w:rsid w:val="009D0B90"/>
    <w:rsid w:val="009D0BB6"/>
    <w:rsid w:val="009D0D64"/>
    <w:rsid w:val="009D0E4F"/>
    <w:rsid w:val="009D0ECE"/>
    <w:rsid w:val="009D1000"/>
    <w:rsid w:val="009D1156"/>
    <w:rsid w:val="009D11EE"/>
    <w:rsid w:val="009D1392"/>
    <w:rsid w:val="009D198F"/>
    <w:rsid w:val="009D1A36"/>
    <w:rsid w:val="009D1DCD"/>
    <w:rsid w:val="009D1ED2"/>
    <w:rsid w:val="009D2010"/>
    <w:rsid w:val="009D22B5"/>
    <w:rsid w:val="009D23EC"/>
    <w:rsid w:val="009D23EE"/>
    <w:rsid w:val="009D24F9"/>
    <w:rsid w:val="009D2734"/>
    <w:rsid w:val="009D2951"/>
    <w:rsid w:val="009D2952"/>
    <w:rsid w:val="009D2ADB"/>
    <w:rsid w:val="009D2BD1"/>
    <w:rsid w:val="009D2D9C"/>
    <w:rsid w:val="009D2DD6"/>
    <w:rsid w:val="009D2E2B"/>
    <w:rsid w:val="009D2F7D"/>
    <w:rsid w:val="009D2FC5"/>
    <w:rsid w:val="009D3056"/>
    <w:rsid w:val="009D3127"/>
    <w:rsid w:val="009D329A"/>
    <w:rsid w:val="009D33FE"/>
    <w:rsid w:val="009D345B"/>
    <w:rsid w:val="009D36F4"/>
    <w:rsid w:val="009D3924"/>
    <w:rsid w:val="009D4117"/>
    <w:rsid w:val="009D44C2"/>
    <w:rsid w:val="009D47CA"/>
    <w:rsid w:val="009D4979"/>
    <w:rsid w:val="009D4A54"/>
    <w:rsid w:val="009D4ACD"/>
    <w:rsid w:val="009D4CF0"/>
    <w:rsid w:val="009D4DF2"/>
    <w:rsid w:val="009D531C"/>
    <w:rsid w:val="009D53F6"/>
    <w:rsid w:val="009D55B4"/>
    <w:rsid w:val="009D5880"/>
    <w:rsid w:val="009D58BD"/>
    <w:rsid w:val="009D5EB5"/>
    <w:rsid w:val="009D5F6D"/>
    <w:rsid w:val="009D6078"/>
    <w:rsid w:val="009D60DF"/>
    <w:rsid w:val="009D6131"/>
    <w:rsid w:val="009D61D2"/>
    <w:rsid w:val="009D6652"/>
    <w:rsid w:val="009D6704"/>
    <w:rsid w:val="009D670D"/>
    <w:rsid w:val="009D6769"/>
    <w:rsid w:val="009D6965"/>
    <w:rsid w:val="009D69E7"/>
    <w:rsid w:val="009D6A89"/>
    <w:rsid w:val="009D6ADA"/>
    <w:rsid w:val="009D6CBF"/>
    <w:rsid w:val="009D6E0F"/>
    <w:rsid w:val="009D727A"/>
    <w:rsid w:val="009D72F7"/>
    <w:rsid w:val="009D7375"/>
    <w:rsid w:val="009D7729"/>
    <w:rsid w:val="009D78D4"/>
    <w:rsid w:val="009D7E65"/>
    <w:rsid w:val="009D7E98"/>
    <w:rsid w:val="009D7F82"/>
    <w:rsid w:val="009E01EF"/>
    <w:rsid w:val="009E03A7"/>
    <w:rsid w:val="009E0457"/>
    <w:rsid w:val="009E04E2"/>
    <w:rsid w:val="009E065B"/>
    <w:rsid w:val="009E06A0"/>
    <w:rsid w:val="009E08C0"/>
    <w:rsid w:val="009E0C65"/>
    <w:rsid w:val="009E0C7D"/>
    <w:rsid w:val="009E0D2E"/>
    <w:rsid w:val="009E111A"/>
    <w:rsid w:val="009E12E9"/>
    <w:rsid w:val="009E1389"/>
    <w:rsid w:val="009E1A48"/>
    <w:rsid w:val="009E1D3D"/>
    <w:rsid w:val="009E1ECE"/>
    <w:rsid w:val="009E1EFF"/>
    <w:rsid w:val="009E2153"/>
    <w:rsid w:val="009E224D"/>
    <w:rsid w:val="009E233B"/>
    <w:rsid w:val="009E23B8"/>
    <w:rsid w:val="009E2629"/>
    <w:rsid w:val="009E2642"/>
    <w:rsid w:val="009E278E"/>
    <w:rsid w:val="009E2AEF"/>
    <w:rsid w:val="009E2BD7"/>
    <w:rsid w:val="009E2EFA"/>
    <w:rsid w:val="009E3189"/>
    <w:rsid w:val="009E339A"/>
    <w:rsid w:val="009E35A3"/>
    <w:rsid w:val="009E3734"/>
    <w:rsid w:val="009E3922"/>
    <w:rsid w:val="009E3927"/>
    <w:rsid w:val="009E39C0"/>
    <w:rsid w:val="009E3DED"/>
    <w:rsid w:val="009E3F93"/>
    <w:rsid w:val="009E40A1"/>
    <w:rsid w:val="009E40D7"/>
    <w:rsid w:val="009E47B0"/>
    <w:rsid w:val="009E47BD"/>
    <w:rsid w:val="009E48B7"/>
    <w:rsid w:val="009E49F3"/>
    <w:rsid w:val="009E4D7F"/>
    <w:rsid w:val="009E4E6C"/>
    <w:rsid w:val="009E4E9A"/>
    <w:rsid w:val="009E4EFC"/>
    <w:rsid w:val="009E501F"/>
    <w:rsid w:val="009E50BD"/>
    <w:rsid w:val="009E519D"/>
    <w:rsid w:val="009E51EF"/>
    <w:rsid w:val="009E52A4"/>
    <w:rsid w:val="009E533F"/>
    <w:rsid w:val="009E5A32"/>
    <w:rsid w:val="009E5DFB"/>
    <w:rsid w:val="009E5FAC"/>
    <w:rsid w:val="009E60B2"/>
    <w:rsid w:val="009E61AB"/>
    <w:rsid w:val="009E63ED"/>
    <w:rsid w:val="009E6462"/>
    <w:rsid w:val="009E64FD"/>
    <w:rsid w:val="009E6589"/>
    <w:rsid w:val="009E661B"/>
    <w:rsid w:val="009E66BC"/>
    <w:rsid w:val="009E67BC"/>
    <w:rsid w:val="009E6B2C"/>
    <w:rsid w:val="009E6E75"/>
    <w:rsid w:val="009E70EE"/>
    <w:rsid w:val="009E7371"/>
    <w:rsid w:val="009E73EB"/>
    <w:rsid w:val="009E7443"/>
    <w:rsid w:val="009E7730"/>
    <w:rsid w:val="009E77E3"/>
    <w:rsid w:val="009E77FB"/>
    <w:rsid w:val="009E78FF"/>
    <w:rsid w:val="009E7AC3"/>
    <w:rsid w:val="009E7B2B"/>
    <w:rsid w:val="009E7C42"/>
    <w:rsid w:val="009E7C7B"/>
    <w:rsid w:val="009E7D84"/>
    <w:rsid w:val="009E7F15"/>
    <w:rsid w:val="009E7FB0"/>
    <w:rsid w:val="009E7FF9"/>
    <w:rsid w:val="009F00F8"/>
    <w:rsid w:val="009F018C"/>
    <w:rsid w:val="009F026B"/>
    <w:rsid w:val="009F03C6"/>
    <w:rsid w:val="009F03CC"/>
    <w:rsid w:val="009F0409"/>
    <w:rsid w:val="009F04E5"/>
    <w:rsid w:val="009F0519"/>
    <w:rsid w:val="009F082C"/>
    <w:rsid w:val="009F093A"/>
    <w:rsid w:val="009F0975"/>
    <w:rsid w:val="009F0A52"/>
    <w:rsid w:val="009F0BB1"/>
    <w:rsid w:val="009F0F09"/>
    <w:rsid w:val="009F1408"/>
    <w:rsid w:val="009F14ED"/>
    <w:rsid w:val="009F1678"/>
    <w:rsid w:val="009F182E"/>
    <w:rsid w:val="009F1B4A"/>
    <w:rsid w:val="009F1B6B"/>
    <w:rsid w:val="009F1C36"/>
    <w:rsid w:val="009F1E0F"/>
    <w:rsid w:val="009F246D"/>
    <w:rsid w:val="009F2527"/>
    <w:rsid w:val="009F26C8"/>
    <w:rsid w:val="009F281F"/>
    <w:rsid w:val="009F2B56"/>
    <w:rsid w:val="009F2BD2"/>
    <w:rsid w:val="009F2C11"/>
    <w:rsid w:val="009F2D67"/>
    <w:rsid w:val="009F3052"/>
    <w:rsid w:val="009F3054"/>
    <w:rsid w:val="009F31CA"/>
    <w:rsid w:val="009F32E3"/>
    <w:rsid w:val="009F3533"/>
    <w:rsid w:val="009F3BCF"/>
    <w:rsid w:val="009F3D06"/>
    <w:rsid w:val="009F3E50"/>
    <w:rsid w:val="009F447C"/>
    <w:rsid w:val="009F4898"/>
    <w:rsid w:val="009F495E"/>
    <w:rsid w:val="009F4B66"/>
    <w:rsid w:val="009F4B86"/>
    <w:rsid w:val="009F4BD3"/>
    <w:rsid w:val="009F4D25"/>
    <w:rsid w:val="009F5010"/>
    <w:rsid w:val="009F52C9"/>
    <w:rsid w:val="009F5310"/>
    <w:rsid w:val="009F578E"/>
    <w:rsid w:val="009F58BD"/>
    <w:rsid w:val="009F5930"/>
    <w:rsid w:val="009F5BD6"/>
    <w:rsid w:val="009F5D69"/>
    <w:rsid w:val="009F61EE"/>
    <w:rsid w:val="009F622C"/>
    <w:rsid w:val="009F640D"/>
    <w:rsid w:val="009F64AB"/>
    <w:rsid w:val="009F64F0"/>
    <w:rsid w:val="009F65EE"/>
    <w:rsid w:val="009F6618"/>
    <w:rsid w:val="009F6738"/>
    <w:rsid w:val="009F6B4C"/>
    <w:rsid w:val="009F6B74"/>
    <w:rsid w:val="009F6E2C"/>
    <w:rsid w:val="009F6F8E"/>
    <w:rsid w:val="009F72B4"/>
    <w:rsid w:val="009F739B"/>
    <w:rsid w:val="009F74CD"/>
    <w:rsid w:val="009F74D0"/>
    <w:rsid w:val="009F75F1"/>
    <w:rsid w:val="009F78E2"/>
    <w:rsid w:val="009F7A88"/>
    <w:rsid w:val="009F7CDA"/>
    <w:rsid w:val="00A00129"/>
    <w:rsid w:val="00A003DF"/>
    <w:rsid w:val="00A00600"/>
    <w:rsid w:val="00A00686"/>
    <w:rsid w:val="00A00B1D"/>
    <w:rsid w:val="00A00EB2"/>
    <w:rsid w:val="00A00F5C"/>
    <w:rsid w:val="00A0132A"/>
    <w:rsid w:val="00A01407"/>
    <w:rsid w:val="00A01479"/>
    <w:rsid w:val="00A01574"/>
    <w:rsid w:val="00A015DD"/>
    <w:rsid w:val="00A0184D"/>
    <w:rsid w:val="00A01980"/>
    <w:rsid w:val="00A019D4"/>
    <w:rsid w:val="00A019DD"/>
    <w:rsid w:val="00A01B3B"/>
    <w:rsid w:val="00A01C6B"/>
    <w:rsid w:val="00A01D04"/>
    <w:rsid w:val="00A01DCB"/>
    <w:rsid w:val="00A01DD8"/>
    <w:rsid w:val="00A01EE2"/>
    <w:rsid w:val="00A01F69"/>
    <w:rsid w:val="00A0219F"/>
    <w:rsid w:val="00A02E5C"/>
    <w:rsid w:val="00A02E95"/>
    <w:rsid w:val="00A03166"/>
    <w:rsid w:val="00A03178"/>
    <w:rsid w:val="00A031D6"/>
    <w:rsid w:val="00A032E6"/>
    <w:rsid w:val="00A03550"/>
    <w:rsid w:val="00A03680"/>
    <w:rsid w:val="00A03810"/>
    <w:rsid w:val="00A038FA"/>
    <w:rsid w:val="00A039A2"/>
    <w:rsid w:val="00A03D98"/>
    <w:rsid w:val="00A040CE"/>
    <w:rsid w:val="00A0444C"/>
    <w:rsid w:val="00A045B2"/>
    <w:rsid w:val="00A047EC"/>
    <w:rsid w:val="00A049AE"/>
    <w:rsid w:val="00A04BE7"/>
    <w:rsid w:val="00A04C4E"/>
    <w:rsid w:val="00A050C3"/>
    <w:rsid w:val="00A0529F"/>
    <w:rsid w:val="00A05366"/>
    <w:rsid w:val="00A055D3"/>
    <w:rsid w:val="00A057E7"/>
    <w:rsid w:val="00A058DB"/>
    <w:rsid w:val="00A059B8"/>
    <w:rsid w:val="00A05A5D"/>
    <w:rsid w:val="00A05D5C"/>
    <w:rsid w:val="00A05DAF"/>
    <w:rsid w:val="00A05E1F"/>
    <w:rsid w:val="00A05E35"/>
    <w:rsid w:val="00A05E7F"/>
    <w:rsid w:val="00A060DA"/>
    <w:rsid w:val="00A063BE"/>
    <w:rsid w:val="00A064BF"/>
    <w:rsid w:val="00A06504"/>
    <w:rsid w:val="00A0659C"/>
    <w:rsid w:val="00A06626"/>
    <w:rsid w:val="00A06989"/>
    <w:rsid w:val="00A069BF"/>
    <w:rsid w:val="00A06AD3"/>
    <w:rsid w:val="00A06B15"/>
    <w:rsid w:val="00A06B72"/>
    <w:rsid w:val="00A06B7A"/>
    <w:rsid w:val="00A06D8F"/>
    <w:rsid w:val="00A06DE5"/>
    <w:rsid w:val="00A06F77"/>
    <w:rsid w:val="00A07119"/>
    <w:rsid w:val="00A0716C"/>
    <w:rsid w:val="00A07288"/>
    <w:rsid w:val="00A0733B"/>
    <w:rsid w:val="00A07676"/>
    <w:rsid w:val="00A076DC"/>
    <w:rsid w:val="00A07996"/>
    <w:rsid w:val="00A07A9A"/>
    <w:rsid w:val="00A07B03"/>
    <w:rsid w:val="00A07B31"/>
    <w:rsid w:val="00A07FB7"/>
    <w:rsid w:val="00A10497"/>
    <w:rsid w:val="00A108DF"/>
    <w:rsid w:val="00A10C53"/>
    <w:rsid w:val="00A10CEA"/>
    <w:rsid w:val="00A10F53"/>
    <w:rsid w:val="00A10F81"/>
    <w:rsid w:val="00A110C6"/>
    <w:rsid w:val="00A11135"/>
    <w:rsid w:val="00A1113D"/>
    <w:rsid w:val="00A111D7"/>
    <w:rsid w:val="00A11223"/>
    <w:rsid w:val="00A11540"/>
    <w:rsid w:val="00A118E2"/>
    <w:rsid w:val="00A11AA5"/>
    <w:rsid w:val="00A11C15"/>
    <w:rsid w:val="00A11C3F"/>
    <w:rsid w:val="00A11CC8"/>
    <w:rsid w:val="00A11E71"/>
    <w:rsid w:val="00A11F16"/>
    <w:rsid w:val="00A12050"/>
    <w:rsid w:val="00A1252F"/>
    <w:rsid w:val="00A12874"/>
    <w:rsid w:val="00A12A48"/>
    <w:rsid w:val="00A12C9F"/>
    <w:rsid w:val="00A12EAE"/>
    <w:rsid w:val="00A12F04"/>
    <w:rsid w:val="00A1304D"/>
    <w:rsid w:val="00A1304E"/>
    <w:rsid w:val="00A13343"/>
    <w:rsid w:val="00A1354C"/>
    <w:rsid w:val="00A13755"/>
    <w:rsid w:val="00A13770"/>
    <w:rsid w:val="00A138E0"/>
    <w:rsid w:val="00A13CC8"/>
    <w:rsid w:val="00A13E65"/>
    <w:rsid w:val="00A13F72"/>
    <w:rsid w:val="00A13F77"/>
    <w:rsid w:val="00A14281"/>
    <w:rsid w:val="00A14427"/>
    <w:rsid w:val="00A14632"/>
    <w:rsid w:val="00A147ED"/>
    <w:rsid w:val="00A149EB"/>
    <w:rsid w:val="00A14ED5"/>
    <w:rsid w:val="00A15240"/>
    <w:rsid w:val="00A153FC"/>
    <w:rsid w:val="00A15628"/>
    <w:rsid w:val="00A15833"/>
    <w:rsid w:val="00A158F3"/>
    <w:rsid w:val="00A159B6"/>
    <w:rsid w:val="00A15B5F"/>
    <w:rsid w:val="00A15E92"/>
    <w:rsid w:val="00A15ED3"/>
    <w:rsid w:val="00A15EE0"/>
    <w:rsid w:val="00A16460"/>
    <w:rsid w:val="00A164CC"/>
    <w:rsid w:val="00A1657C"/>
    <w:rsid w:val="00A169BD"/>
    <w:rsid w:val="00A169E9"/>
    <w:rsid w:val="00A169FA"/>
    <w:rsid w:val="00A16AC3"/>
    <w:rsid w:val="00A16BBB"/>
    <w:rsid w:val="00A16BC1"/>
    <w:rsid w:val="00A16C22"/>
    <w:rsid w:val="00A16C66"/>
    <w:rsid w:val="00A172BB"/>
    <w:rsid w:val="00A173A0"/>
    <w:rsid w:val="00A176BF"/>
    <w:rsid w:val="00A17878"/>
    <w:rsid w:val="00A179C6"/>
    <w:rsid w:val="00A17ABD"/>
    <w:rsid w:val="00A17D1D"/>
    <w:rsid w:val="00A17EA8"/>
    <w:rsid w:val="00A2008D"/>
    <w:rsid w:val="00A201C6"/>
    <w:rsid w:val="00A201CD"/>
    <w:rsid w:val="00A20539"/>
    <w:rsid w:val="00A20666"/>
    <w:rsid w:val="00A20AF7"/>
    <w:rsid w:val="00A20DBC"/>
    <w:rsid w:val="00A210BB"/>
    <w:rsid w:val="00A21276"/>
    <w:rsid w:val="00A2159F"/>
    <w:rsid w:val="00A216A2"/>
    <w:rsid w:val="00A218F1"/>
    <w:rsid w:val="00A219CE"/>
    <w:rsid w:val="00A219FE"/>
    <w:rsid w:val="00A21B88"/>
    <w:rsid w:val="00A21D83"/>
    <w:rsid w:val="00A21FE6"/>
    <w:rsid w:val="00A220D0"/>
    <w:rsid w:val="00A22180"/>
    <w:rsid w:val="00A225D7"/>
    <w:rsid w:val="00A22700"/>
    <w:rsid w:val="00A2273D"/>
    <w:rsid w:val="00A227AE"/>
    <w:rsid w:val="00A229D1"/>
    <w:rsid w:val="00A22B1C"/>
    <w:rsid w:val="00A22B3C"/>
    <w:rsid w:val="00A22C1A"/>
    <w:rsid w:val="00A22D50"/>
    <w:rsid w:val="00A2310A"/>
    <w:rsid w:val="00A232EC"/>
    <w:rsid w:val="00A2347A"/>
    <w:rsid w:val="00A236DE"/>
    <w:rsid w:val="00A238A7"/>
    <w:rsid w:val="00A23A2B"/>
    <w:rsid w:val="00A23DAC"/>
    <w:rsid w:val="00A24045"/>
    <w:rsid w:val="00A24188"/>
    <w:rsid w:val="00A24257"/>
    <w:rsid w:val="00A24494"/>
    <w:rsid w:val="00A246F1"/>
    <w:rsid w:val="00A24ACA"/>
    <w:rsid w:val="00A24C6D"/>
    <w:rsid w:val="00A24D07"/>
    <w:rsid w:val="00A24F80"/>
    <w:rsid w:val="00A25014"/>
    <w:rsid w:val="00A251C4"/>
    <w:rsid w:val="00A25202"/>
    <w:rsid w:val="00A252BF"/>
    <w:rsid w:val="00A2541F"/>
    <w:rsid w:val="00A2545E"/>
    <w:rsid w:val="00A254E7"/>
    <w:rsid w:val="00A254FB"/>
    <w:rsid w:val="00A2565F"/>
    <w:rsid w:val="00A257D2"/>
    <w:rsid w:val="00A25879"/>
    <w:rsid w:val="00A25A22"/>
    <w:rsid w:val="00A25A69"/>
    <w:rsid w:val="00A25CB9"/>
    <w:rsid w:val="00A25D9C"/>
    <w:rsid w:val="00A261DA"/>
    <w:rsid w:val="00A262A6"/>
    <w:rsid w:val="00A266AF"/>
    <w:rsid w:val="00A267AE"/>
    <w:rsid w:val="00A2690A"/>
    <w:rsid w:val="00A269D2"/>
    <w:rsid w:val="00A26B52"/>
    <w:rsid w:val="00A26BC1"/>
    <w:rsid w:val="00A26BE7"/>
    <w:rsid w:val="00A26DC5"/>
    <w:rsid w:val="00A26E41"/>
    <w:rsid w:val="00A26E46"/>
    <w:rsid w:val="00A2722D"/>
    <w:rsid w:val="00A27287"/>
    <w:rsid w:val="00A2728E"/>
    <w:rsid w:val="00A274BD"/>
    <w:rsid w:val="00A27552"/>
    <w:rsid w:val="00A27696"/>
    <w:rsid w:val="00A2787C"/>
    <w:rsid w:val="00A27C6E"/>
    <w:rsid w:val="00A27D4B"/>
    <w:rsid w:val="00A3022D"/>
    <w:rsid w:val="00A302AD"/>
    <w:rsid w:val="00A3047A"/>
    <w:rsid w:val="00A308CC"/>
    <w:rsid w:val="00A30999"/>
    <w:rsid w:val="00A30AAF"/>
    <w:rsid w:val="00A30EBC"/>
    <w:rsid w:val="00A31090"/>
    <w:rsid w:val="00A31092"/>
    <w:rsid w:val="00A312A5"/>
    <w:rsid w:val="00A31434"/>
    <w:rsid w:val="00A3149A"/>
    <w:rsid w:val="00A319E1"/>
    <w:rsid w:val="00A31A1B"/>
    <w:rsid w:val="00A31B36"/>
    <w:rsid w:val="00A321F7"/>
    <w:rsid w:val="00A3250C"/>
    <w:rsid w:val="00A325C3"/>
    <w:rsid w:val="00A325F7"/>
    <w:rsid w:val="00A3276E"/>
    <w:rsid w:val="00A32960"/>
    <w:rsid w:val="00A32AFF"/>
    <w:rsid w:val="00A32B03"/>
    <w:rsid w:val="00A32C05"/>
    <w:rsid w:val="00A32CF4"/>
    <w:rsid w:val="00A32EEA"/>
    <w:rsid w:val="00A33066"/>
    <w:rsid w:val="00A331FA"/>
    <w:rsid w:val="00A33587"/>
    <w:rsid w:val="00A3393C"/>
    <w:rsid w:val="00A33A77"/>
    <w:rsid w:val="00A33ACD"/>
    <w:rsid w:val="00A33D0E"/>
    <w:rsid w:val="00A33F1C"/>
    <w:rsid w:val="00A33F49"/>
    <w:rsid w:val="00A33FD8"/>
    <w:rsid w:val="00A3407B"/>
    <w:rsid w:val="00A34527"/>
    <w:rsid w:val="00A3469E"/>
    <w:rsid w:val="00A34900"/>
    <w:rsid w:val="00A34C09"/>
    <w:rsid w:val="00A34CE7"/>
    <w:rsid w:val="00A34D9D"/>
    <w:rsid w:val="00A351A2"/>
    <w:rsid w:val="00A351AF"/>
    <w:rsid w:val="00A35273"/>
    <w:rsid w:val="00A355EF"/>
    <w:rsid w:val="00A35663"/>
    <w:rsid w:val="00A358CA"/>
    <w:rsid w:val="00A3594A"/>
    <w:rsid w:val="00A35ABB"/>
    <w:rsid w:val="00A35BC7"/>
    <w:rsid w:val="00A35E35"/>
    <w:rsid w:val="00A35ED2"/>
    <w:rsid w:val="00A35EF4"/>
    <w:rsid w:val="00A363F6"/>
    <w:rsid w:val="00A36462"/>
    <w:rsid w:val="00A36494"/>
    <w:rsid w:val="00A365A3"/>
    <w:rsid w:val="00A365BC"/>
    <w:rsid w:val="00A366AC"/>
    <w:rsid w:val="00A367F2"/>
    <w:rsid w:val="00A36820"/>
    <w:rsid w:val="00A368DC"/>
    <w:rsid w:val="00A36C6F"/>
    <w:rsid w:val="00A36E5A"/>
    <w:rsid w:val="00A36EAE"/>
    <w:rsid w:val="00A36EF2"/>
    <w:rsid w:val="00A36F03"/>
    <w:rsid w:val="00A37284"/>
    <w:rsid w:val="00A374FE"/>
    <w:rsid w:val="00A37671"/>
    <w:rsid w:val="00A3794C"/>
    <w:rsid w:val="00A37FD1"/>
    <w:rsid w:val="00A40056"/>
    <w:rsid w:val="00A400DD"/>
    <w:rsid w:val="00A40202"/>
    <w:rsid w:val="00A40357"/>
    <w:rsid w:val="00A4050C"/>
    <w:rsid w:val="00A405DA"/>
    <w:rsid w:val="00A4076E"/>
    <w:rsid w:val="00A40831"/>
    <w:rsid w:val="00A40875"/>
    <w:rsid w:val="00A40A03"/>
    <w:rsid w:val="00A40B4F"/>
    <w:rsid w:val="00A40C64"/>
    <w:rsid w:val="00A40D26"/>
    <w:rsid w:val="00A40D2F"/>
    <w:rsid w:val="00A40D51"/>
    <w:rsid w:val="00A40DB4"/>
    <w:rsid w:val="00A41105"/>
    <w:rsid w:val="00A4115E"/>
    <w:rsid w:val="00A4146B"/>
    <w:rsid w:val="00A41504"/>
    <w:rsid w:val="00A41592"/>
    <w:rsid w:val="00A415A4"/>
    <w:rsid w:val="00A41649"/>
    <w:rsid w:val="00A4180A"/>
    <w:rsid w:val="00A419BC"/>
    <w:rsid w:val="00A41AE7"/>
    <w:rsid w:val="00A41D99"/>
    <w:rsid w:val="00A41F76"/>
    <w:rsid w:val="00A420FB"/>
    <w:rsid w:val="00A421DF"/>
    <w:rsid w:val="00A422FC"/>
    <w:rsid w:val="00A42476"/>
    <w:rsid w:val="00A424B2"/>
    <w:rsid w:val="00A425F1"/>
    <w:rsid w:val="00A426DF"/>
    <w:rsid w:val="00A4279F"/>
    <w:rsid w:val="00A42935"/>
    <w:rsid w:val="00A42BE8"/>
    <w:rsid w:val="00A42C71"/>
    <w:rsid w:val="00A42FA5"/>
    <w:rsid w:val="00A43194"/>
    <w:rsid w:val="00A433A2"/>
    <w:rsid w:val="00A435D2"/>
    <w:rsid w:val="00A43B35"/>
    <w:rsid w:val="00A43C36"/>
    <w:rsid w:val="00A43CA9"/>
    <w:rsid w:val="00A440AF"/>
    <w:rsid w:val="00A441B0"/>
    <w:rsid w:val="00A4429E"/>
    <w:rsid w:val="00A442D2"/>
    <w:rsid w:val="00A443FA"/>
    <w:rsid w:val="00A445A0"/>
    <w:rsid w:val="00A445AF"/>
    <w:rsid w:val="00A44A0F"/>
    <w:rsid w:val="00A44BCE"/>
    <w:rsid w:val="00A44C2B"/>
    <w:rsid w:val="00A44E44"/>
    <w:rsid w:val="00A45004"/>
    <w:rsid w:val="00A452DF"/>
    <w:rsid w:val="00A453A9"/>
    <w:rsid w:val="00A4584D"/>
    <w:rsid w:val="00A45860"/>
    <w:rsid w:val="00A45993"/>
    <w:rsid w:val="00A45A6A"/>
    <w:rsid w:val="00A45A7C"/>
    <w:rsid w:val="00A45D99"/>
    <w:rsid w:val="00A45ECE"/>
    <w:rsid w:val="00A4603C"/>
    <w:rsid w:val="00A461E3"/>
    <w:rsid w:val="00A463BD"/>
    <w:rsid w:val="00A46534"/>
    <w:rsid w:val="00A46579"/>
    <w:rsid w:val="00A4682A"/>
    <w:rsid w:val="00A46849"/>
    <w:rsid w:val="00A46925"/>
    <w:rsid w:val="00A469B7"/>
    <w:rsid w:val="00A46A3E"/>
    <w:rsid w:val="00A46A7F"/>
    <w:rsid w:val="00A46BA7"/>
    <w:rsid w:val="00A46BD4"/>
    <w:rsid w:val="00A46C65"/>
    <w:rsid w:val="00A46CF1"/>
    <w:rsid w:val="00A46D22"/>
    <w:rsid w:val="00A46D70"/>
    <w:rsid w:val="00A46DEA"/>
    <w:rsid w:val="00A46EF1"/>
    <w:rsid w:val="00A46FD5"/>
    <w:rsid w:val="00A46FFA"/>
    <w:rsid w:val="00A47624"/>
    <w:rsid w:val="00A47948"/>
    <w:rsid w:val="00A47ABE"/>
    <w:rsid w:val="00A47C6D"/>
    <w:rsid w:val="00A500CE"/>
    <w:rsid w:val="00A50147"/>
    <w:rsid w:val="00A502E8"/>
    <w:rsid w:val="00A50384"/>
    <w:rsid w:val="00A505EF"/>
    <w:rsid w:val="00A50660"/>
    <w:rsid w:val="00A506DE"/>
    <w:rsid w:val="00A507AB"/>
    <w:rsid w:val="00A507F4"/>
    <w:rsid w:val="00A50931"/>
    <w:rsid w:val="00A50A95"/>
    <w:rsid w:val="00A50B79"/>
    <w:rsid w:val="00A50B9C"/>
    <w:rsid w:val="00A50D56"/>
    <w:rsid w:val="00A50E16"/>
    <w:rsid w:val="00A50F8B"/>
    <w:rsid w:val="00A51017"/>
    <w:rsid w:val="00A5120B"/>
    <w:rsid w:val="00A5181F"/>
    <w:rsid w:val="00A51A89"/>
    <w:rsid w:val="00A51E12"/>
    <w:rsid w:val="00A51FB8"/>
    <w:rsid w:val="00A52019"/>
    <w:rsid w:val="00A5225C"/>
    <w:rsid w:val="00A523D1"/>
    <w:rsid w:val="00A52449"/>
    <w:rsid w:val="00A527C9"/>
    <w:rsid w:val="00A52811"/>
    <w:rsid w:val="00A5281D"/>
    <w:rsid w:val="00A52889"/>
    <w:rsid w:val="00A52BCA"/>
    <w:rsid w:val="00A52E3E"/>
    <w:rsid w:val="00A53017"/>
    <w:rsid w:val="00A530BA"/>
    <w:rsid w:val="00A531A8"/>
    <w:rsid w:val="00A534AC"/>
    <w:rsid w:val="00A53BB5"/>
    <w:rsid w:val="00A53F84"/>
    <w:rsid w:val="00A5475D"/>
    <w:rsid w:val="00A54AE5"/>
    <w:rsid w:val="00A54C25"/>
    <w:rsid w:val="00A54C49"/>
    <w:rsid w:val="00A54CB2"/>
    <w:rsid w:val="00A54D9D"/>
    <w:rsid w:val="00A551AC"/>
    <w:rsid w:val="00A551C1"/>
    <w:rsid w:val="00A5534F"/>
    <w:rsid w:val="00A55456"/>
    <w:rsid w:val="00A55577"/>
    <w:rsid w:val="00A55787"/>
    <w:rsid w:val="00A55857"/>
    <w:rsid w:val="00A55C4C"/>
    <w:rsid w:val="00A55EE7"/>
    <w:rsid w:val="00A56137"/>
    <w:rsid w:val="00A5639C"/>
    <w:rsid w:val="00A56429"/>
    <w:rsid w:val="00A564B1"/>
    <w:rsid w:val="00A566B1"/>
    <w:rsid w:val="00A5679A"/>
    <w:rsid w:val="00A56B26"/>
    <w:rsid w:val="00A56C54"/>
    <w:rsid w:val="00A56D61"/>
    <w:rsid w:val="00A56E02"/>
    <w:rsid w:val="00A56F84"/>
    <w:rsid w:val="00A56FA2"/>
    <w:rsid w:val="00A570C4"/>
    <w:rsid w:val="00A5716C"/>
    <w:rsid w:val="00A572AF"/>
    <w:rsid w:val="00A57417"/>
    <w:rsid w:val="00A57451"/>
    <w:rsid w:val="00A575E1"/>
    <w:rsid w:val="00A575F6"/>
    <w:rsid w:val="00A57996"/>
    <w:rsid w:val="00A579B4"/>
    <w:rsid w:val="00A579D2"/>
    <w:rsid w:val="00A57A1E"/>
    <w:rsid w:val="00A57BFE"/>
    <w:rsid w:val="00A57E07"/>
    <w:rsid w:val="00A57E2A"/>
    <w:rsid w:val="00A6001D"/>
    <w:rsid w:val="00A600F2"/>
    <w:rsid w:val="00A60133"/>
    <w:rsid w:val="00A60415"/>
    <w:rsid w:val="00A60420"/>
    <w:rsid w:val="00A60651"/>
    <w:rsid w:val="00A60808"/>
    <w:rsid w:val="00A60A18"/>
    <w:rsid w:val="00A60C22"/>
    <w:rsid w:val="00A60C8F"/>
    <w:rsid w:val="00A61286"/>
    <w:rsid w:val="00A6154C"/>
    <w:rsid w:val="00A61884"/>
    <w:rsid w:val="00A61A54"/>
    <w:rsid w:val="00A61BB2"/>
    <w:rsid w:val="00A61E6F"/>
    <w:rsid w:val="00A622C9"/>
    <w:rsid w:val="00A62587"/>
    <w:rsid w:val="00A6268E"/>
    <w:rsid w:val="00A626B4"/>
    <w:rsid w:val="00A62927"/>
    <w:rsid w:val="00A629C1"/>
    <w:rsid w:val="00A62BB3"/>
    <w:rsid w:val="00A62C58"/>
    <w:rsid w:val="00A63000"/>
    <w:rsid w:val="00A6311C"/>
    <w:rsid w:val="00A63207"/>
    <w:rsid w:val="00A6327E"/>
    <w:rsid w:val="00A632F3"/>
    <w:rsid w:val="00A634D9"/>
    <w:rsid w:val="00A6365A"/>
    <w:rsid w:val="00A63674"/>
    <w:rsid w:val="00A6390C"/>
    <w:rsid w:val="00A63A3B"/>
    <w:rsid w:val="00A63CD7"/>
    <w:rsid w:val="00A6402E"/>
    <w:rsid w:val="00A64046"/>
    <w:rsid w:val="00A64090"/>
    <w:rsid w:val="00A6422B"/>
    <w:rsid w:val="00A644D9"/>
    <w:rsid w:val="00A64625"/>
    <w:rsid w:val="00A64702"/>
    <w:rsid w:val="00A64703"/>
    <w:rsid w:val="00A64793"/>
    <w:rsid w:val="00A64891"/>
    <w:rsid w:val="00A64A80"/>
    <w:rsid w:val="00A64B0D"/>
    <w:rsid w:val="00A64BA6"/>
    <w:rsid w:val="00A64BF6"/>
    <w:rsid w:val="00A64D27"/>
    <w:rsid w:val="00A64FEE"/>
    <w:rsid w:val="00A65166"/>
    <w:rsid w:val="00A6534A"/>
    <w:rsid w:val="00A65357"/>
    <w:rsid w:val="00A65486"/>
    <w:rsid w:val="00A65535"/>
    <w:rsid w:val="00A6557D"/>
    <w:rsid w:val="00A65AF4"/>
    <w:rsid w:val="00A65C15"/>
    <w:rsid w:val="00A65C29"/>
    <w:rsid w:val="00A65C96"/>
    <w:rsid w:val="00A65D00"/>
    <w:rsid w:val="00A65E11"/>
    <w:rsid w:val="00A661A8"/>
    <w:rsid w:val="00A662E4"/>
    <w:rsid w:val="00A663AC"/>
    <w:rsid w:val="00A66418"/>
    <w:rsid w:val="00A66468"/>
    <w:rsid w:val="00A66910"/>
    <w:rsid w:val="00A66FE6"/>
    <w:rsid w:val="00A6732F"/>
    <w:rsid w:val="00A67425"/>
    <w:rsid w:val="00A67572"/>
    <w:rsid w:val="00A67671"/>
    <w:rsid w:val="00A6778E"/>
    <w:rsid w:val="00A677BA"/>
    <w:rsid w:val="00A677CA"/>
    <w:rsid w:val="00A67A8B"/>
    <w:rsid w:val="00A67F4B"/>
    <w:rsid w:val="00A67F62"/>
    <w:rsid w:val="00A67F80"/>
    <w:rsid w:val="00A7006D"/>
    <w:rsid w:val="00A70190"/>
    <w:rsid w:val="00A70225"/>
    <w:rsid w:val="00A702CB"/>
    <w:rsid w:val="00A7077E"/>
    <w:rsid w:val="00A70926"/>
    <w:rsid w:val="00A70B91"/>
    <w:rsid w:val="00A70C50"/>
    <w:rsid w:val="00A70D26"/>
    <w:rsid w:val="00A70F63"/>
    <w:rsid w:val="00A71150"/>
    <w:rsid w:val="00A71176"/>
    <w:rsid w:val="00A711B1"/>
    <w:rsid w:val="00A7124B"/>
    <w:rsid w:val="00A712B6"/>
    <w:rsid w:val="00A713CB"/>
    <w:rsid w:val="00A714DA"/>
    <w:rsid w:val="00A714E0"/>
    <w:rsid w:val="00A71733"/>
    <w:rsid w:val="00A71792"/>
    <w:rsid w:val="00A7181C"/>
    <w:rsid w:val="00A7192C"/>
    <w:rsid w:val="00A71941"/>
    <w:rsid w:val="00A719A7"/>
    <w:rsid w:val="00A71B25"/>
    <w:rsid w:val="00A71B47"/>
    <w:rsid w:val="00A71F58"/>
    <w:rsid w:val="00A71FEC"/>
    <w:rsid w:val="00A724E0"/>
    <w:rsid w:val="00A7250A"/>
    <w:rsid w:val="00A725B4"/>
    <w:rsid w:val="00A72693"/>
    <w:rsid w:val="00A7274A"/>
    <w:rsid w:val="00A72810"/>
    <w:rsid w:val="00A729B6"/>
    <w:rsid w:val="00A72B2A"/>
    <w:rsid w:val="00A72C6C"/>
    <w:rsid w:val="00A72FA7"/>
    <w:rsid w:val="00A730CE"/>
    <w:rsid w:val="00A73186"/>
    <w:rsid w:val="00A731EE"/>
    <w:rsid w:val="00A73245"/>
    <w:rsid w:val="00A73281"/>
    <w:rsid w:val="00A73294"/>
    <w:rsid w:val="00A7352C"/>
    <w:rsid w:val="00A73532"/>
    <w:rsid w:val="00A73A71"/>
    <w:rsid w:val="00A73A85"/>
    <w:rsid w:val="00A73BBE"/>
    <w:rsid w:val="00A74083"/>
    <w:rsid w:val="00A7411F"/>
    <w:rsid w:val="00A74771"/>
    <w:rsid w:val="00A74DEB"/>
    <w:rsid w:val="00A74DF2"/>
    <w:rsid w:val="00A74EE3"/>
    <w:rsid w:val="00A74F71"/>
    <w:rsid w:val="00A74F87"/>
    <w:rsid w:val="00A752F4"/>
    <w:rsid w:val="00A75A1B"/>
    <w:rsid w:val="00A75E1B"/>
    <w:rsid w:val="00A75E64"/>
    <w:rsid w:val="00A7603C"/>
    <w:rsid w:val="00A764D8"/>
    <w:rsid w:val="00A7654A"/>
    <w:rsid w:val="00A76583"/>
    <w:rsid w:val="00A7660A"/>
    <w:rsid w:val="00A76669"/>
    <w:rsid w:val="00A76996"/>
    <w:rsid w:val="00A76D83"/>
    <w:rsid w:val="00A77086"/>
    <w:rsid w:val="00A7735A"/>
    <w:rsid w:val="00A77367"/>
    <w:rsid w:val="00A773BB"/>
    <w:rsid w:val="00A77A39"/>
    <w:rsid w:val="00A77BD6"/>
    <w:rsid w:val="00A77E34"/>
    <w:rsid w:val="00A77E5D"/>
    <w:rsid w:val="00A77F42"/>
    <w:rsid w:val="00A77F4C"/>
    <w:rsid w:val="00A80265"/>
    <w:rsid w:val="00A80290"/>
    <w:rsid w:val="00A802AA"/>
    <w:rsid w:val="00A80395"/>
    <w:rsid w:val="00A80487"/>
    <w:rsid w:val="00A806E4"/>
    <w:rsid w:val="00A8075F"/>
    <w:rsid w:val="00A80823"/>
    <w:rsid w:val="00A80950"/>
    <w:rsid w:val="00A80A05"/>
    <w:rsid w:val="00A80B96"/>
    <w:rsid w:val="00A80BD5"/>
    <w:rsid w:val="00A80C9F"/>
    <w:rsid w:val="00A80E7A"/>
    <w:rsid w:val="00A80E7F"/>
    <w:rsid w:val="00A81306"/>
    <w:rsid w:val="00A8137F"/>
    <w:rsid w:val="00A8184A"/>
    <w:rsid w:val="00A819DB"/>
    <w:rsid w:val="00A819E9"/>
    <w:rsid w:val="00A81A38"/>
    <w:rsid w:val="00A81B74"/>
    <w:rsid w:val="00A81EFD"/>
    <w:rsid w:val="00A81F87"/>
    <w:rsid w:val="00A821BA"/>
    <w:rsid w:val="00A821EA"/>
    <w:rsid w:val="00A82203"/>
    <w:rsid w:val="00A82395"/>
    <w:rsid w:val="00A82766"/>
    <w:rsid w:val="00A82AF0"/>
    <w:rsid w:val="00A82CB4"/>
    <w:rsid w:val="00A82F23"/>
    <w:rsid w:val="00A82FF3"/>
    <w:rsid w:val="00A83311"/>
    <w:rsid w:val="00A8336D"/>
    <w:rsid w:val="00A833F9"/>
    <w:rsid w:val="00A833FA"/>
    <w:rsid w:val="00A83472"/>
    <w:rsid w:val="00A83491"/>
    <w:rsid w:val="00A8377A"/>
    <w:rsid w:val="00A83CA2"/>
    <w:rsid w:val="00A83E60"/>
    <w:rsid w:val="00A83EA9"/>
    <w:rsid w:val="00A83EC6"/>
    <w:rsid w:val="00A83FDB"/>
    <w:rsid w:val="00A8433A"/>
    <w:rsid w:val="00A84386"/>
    <w:rsid w:val="00A84572"/>
    <w:rsid w:val="00A84611"/>
    <w:rsid w:val="00A84771"/>
    <w:rsid w:val="00A84832"/>
    <w:rsid w:val="00A84A2A"/>
    <w:rsid w:val="00A84A3C"/>
    <w:rsid w:val="00A84A70"/>
    <w:rsid w:val="00A84C9A"/>
    <w:rsid w:val="00A84CB3"/>
    <w:rsid w:val="00A84F0A"/>
    <w:rsid w:val="00A84F17"/>
    <w:rsid w:val="00A84F4C"/>
    <w:rsid w:val="00A8565E"/>
    <w:rsid w:val="00A858E4"/>
    <w:rsid w:val="00A85A78"/>
    <w:rsid w:val="00A85B72"/>
    <w:rsid w:val="00A85F72"/>
    <w:rsid w:val="00A86231"/>
    <w:rsid w:val="00A86281"/>
    <w:rsid w:val="00A864DC"/>
    <w:rsid w:val="00A864F9"/>
    <w:rsid w:val="00A8656C"/>
    <w:rsid w:val="00A86602"/>
    <w:rsid w:val="00A86712"/>
    <w:rsid w:val="00A86737"/>
    <w:rsid w:val="00A8690E"/>
    <w:rsid w:val="00A86AD6"/>
    <w:rsid w:val="00A86C9A"/>
    <w:rsid w:val="00A86D05"/>
    <w:rsid w:val="00A86F82"/>
    <w:rsid w:val="00A87046"/>
    <w:rsid w:val="00A87127"/>
    <w:rsid w:val="00A8715C"/>
    <w:rsid w:val="00A87658"/>
    <w:rsid w:val="00A87783"/>
    <w:rsid w:val="00A87892"/>
    <w:rsid w:val="00A87901"/>
    <w:rsid w:val="00A87A7D"/>
    <w:rsid w:val="00A87CFE"/>
    <w:rsid w:val="00A9001F"/>
    <w:rsid w:val="00A90089"/>
    <w:rsid w:val="00A901B9"/>
    <w:rsid w:val="00A90297"/>
    <w:rsid w:val="00A902EE"/>
    <w:rsid w:val="00A9037C"/>
    <w:rsid w:val="00A906CB"/>
    <w:rsid w:val="00A90884"/>
    <w:rsid w:val="00A90DE0"/>
    <w:rsid w:val="00A91092"/>
    <w:rsid w:val="00A91174"/>
    <w:rsid w:val="00A912FC"/>
    <w:rsid w:val="00A91474"/>
    <w:rsid w:val="00A91618"/>
    <w:rsid w:val="00A916B7"/>
    <w:rsid w:val="00A918F7"/>
    <w:rsid w:val="00A91949"/>
    <w:rsid w:val="00A91A4A"/>
    <w:rsid w:val="00A91BDC"/>
    <w:rsid w:val="00A91D50"/>
    <w:rsid w:val="00A91FF7"/>
    <w:rsid w:val="00A92049"/>
    <w:rsid w:val="00A920B9"/>
    <w:rsid w:val="00A92127"/>
    <w:rsid w:val="00A922E4"/>
    <w:rsid w:val="00A9230E"/>
    <w:rsid w:val="00A923A8"/>
    <w:rsid w:val="00A9245E"/>
    <w:rsid w:val="00A9253F"/>
    <w:rsid w:val="00A92720"/>
    <w:rsid w:val="00A928BA"/>
    <w:rsid w:val="00A9299D"/>
    <w:rsid w:val="00A92C97"/>
    <w:rsid w:val="00A92CD4"/>
    <w:rsid w:val="00A93340"/>
    <w:rsid w:val="00A9334D"/>
    <w:rsid w:val="00A93547"/>
    <w:rsid w:val="00A93588"/>
    <w:rsid w:val="00A937C1"/>
    <w:rsid w:val="00A93861"/>
    <w:rsid w:val="00A939FD"/>
    <w:rsid w:val="00A93B33"/>
    <w:rsid w:val="00A93C9B"/>
    <w:rsid w:val="00A93D89"/>
    <w:rsid w:val="00A93EAF"/>
    <w:rsid w:val="00A93F13"/>
    <w:rsid w:val="00A93FB2"/>
    <w:rsid w:val="00A93FCD"/>
    <w:rsid w:val="00A93FEE"/>
    <w:rsid w:val="00A9448D"/>
    <w:rsid w:val="00A946A3"/>
    <w:rsid w:val="00A94845"/>
    <w:rsid w:val="00A94899"/>
    <w:rsid w:val="00A948CC"/>
    <w:rsid w:val="00A948D3"/>
    <w:rsid w:val="00A94A27"/>
    <w:rsid w:val="00A94A5E"/>
    <w:rsid w:val="00A94BE9"/>
    <w:rsid w:val="00A94C43"/>
    <w:rsid w:val="00A94F12"/>
    <w:rsid w:val="00A94F56"/>
    <w:rsid w:val="00A9503A"/>
    <w:rsid w:val="00A95171"/>
    <w:rsid w:val="00A95451"/>
    <w:rsid w:val="00A95456"/>
    <w:rsid w:val="00A954E5"/>
    <w:rsid w:val="00A95595"/>
    <w:rsid w:val="00A955E7"/>
    <w:rsid w:val="00A9568B"/>
    <w:rsid w:val="00A956FE"/>
    <w:rsid w:val="00A957B1"/>
    <w:rsid w:val="00A95E5E"/>
    <w:rsid w:val="00A96075"/>
    <w:rsid w:val="00A96115"/>
    <w:rsid w:val="00A9612A"/>
    <w:rsid w:val="00A96282"/>
    <w:rsid w:val="00A96390"/>
    <w:rsid w:val="00A96480"/>
    <w:rsid w:val="00A965BA"/>
    <w:rsid w:val="00A96673"/>
    <w:rsid w:val="00A9672F"/>
    <w:rsid w:val="00A9680F"/>
    <w:rsid w:val="00A96836"/>
    <w:rsid w:val="00A969A8"/>
    <w:rsid w:val="00A96C1D"/>
    <w:rsid w:val="00A96D2B"/>
    <w:rsid w:val="00A97028"/>
    <w:rsid w:val="00A972DC"/>
    <w:rsid w:val="00A97471"/>
    <w:rsid w:val="00A9753C"/>
    <w:rsid w:val="00A975B6"/>
    <w:rsid w:val="00A976D0"/>
    <w:rsid w:val="00A97888"/>
    <w:rsid w:val="00A97EDF"/>
    <w:rsid w:val="00AA0142"/>
    <w:rsid w:val="00AA018B"/>
    <w:rsid w:val="00AA0292"/>
    <w:rsid w:val="00AA075A"/>
    <w:rsid w:val="00AA0BBF"/>
    <w:rsid w:val="00AA0C7E"/>
    <w:rsid w:val="00AA0E37"/>
    <w:rsid w:val="00AA0F68"/>
    <w:rsid w:val="00AA0FD9"/>
    <w:rsid w:val="00AA11BA"/>
    <w:rsid w:val="00AA1248"/>
    <w:rsid w:val="00AA140F"/>
    <w:rsid w:val="00AA17C0"/>
    <w:rsid w:val="00AA1936"/>
    <w:rsid w:val="00AA1B50"/>
    <w:rsid w:val="00AA1C33"/>
    <w:rsid w:val="00AA1DAA"/>
    <w:rsid w:val="00AA2053"/>
    <w:rsid w:val="00AA20ED"/>
    <w:rsid w:val="00AA23AC"/>
    <w:rsid w:val="00AA246D"/>
    <w:rsid w:val="00AA2602"/>
    <w:rsid w:val="00AA2614"/>
    <w:rsid w:val="00AA2655"/>
    <w:rsid w:val="00AA285E"/>
    <w:rsid w:val="00AA2BAD"/>
    <w:rsid w:val="00AA2CF0"/>
    <w:rsid w:val="00AA2E3F"/>
    <w:rsid w:val="00AA3028"/>
    <w:rsid w:val="00AA311E"/>
    <w:rsid w:val="00AA32A8"/>
    <w:rsid w:val="00AA32BA"/>
    <w:rsid w:val="00AA3501"/>
    <w:rsid w:val="00AA3780"/>
    <w:rsid w:val="00AA37B8"/>
    <w:rsid w:val="00AA3B67"/>
    <w:rsid w:val="00AA3D54"/>
    <w:rsid w:val="00AA4000"/>
    <w:rsid w:val="00AA402D"/>
    <w:rsid w:val="00AA4348"/>
    <w:rsid w:val="00AA47FD"/>
    <w:rsid w:val="00AA4D9E"/>
    <w:rsid w:val="00AA5162"/>
    <w:rsid w:val="00AA5691"/>
    <w:rsid w:val="00AA56D1"/>
    <w:rsid w:val="00AA5A62"/>
    <w:rsid w:val="00AA5B2B"/>
    <w:rsid w:val="00AA649E"/>
    <w:rsid w:val="00AA6C8E"/>
    <w:rsid w:val="00AA6C92"/>
    <w:rsid w:val="00AA6D30"/>
    <w:rsid w:val="00AA6FDA"/>
    <w:rsid w:val="00AA7118"/>
    <w:rsid w:val="00AA72CF"/>
    <w:rsid w:val="00AA72FC"/>
    <w:rsid w:val="00AA7444"/>
    <w:rsid w:val="00AA745A"/>
    <w:rsid w:val="00AA75B7"/>
    <w:rsid w:val="00AA76FA"/>
    <w:rsid w:val="00AA7D63"/>
    <w:rsid w:val="00AB0255"/>
    <w:rsid w:val="00AB0589"/>
    <w:rsid w:val="00AB07B7"/>
    <w:rsid w:val="00AB0BDE"/>
    <w:rsid w:val="00AB0CA6"/>
    <w:rsid w:val="00AB0DDC"/>
    <w:rsid w:val="00AB0E27"/>
    <w:rsid w:val="00AB0F66"/>
    <w:rsid w:val="00AB0FFC"/>
    <w:rsid w:val="00AB1280"/>
    <w:rsid w:val="00AB170E"/>
    <w:rsid w:val="00AB1793"/>
    <w:rsid w:val="00AB1863"/>
    <w:rsid w:val="00AB1A3B"/>
    <w:rsid w:val="00AB1AA0"/>
    <w:rsid w:val="00AB1ECE"/>
    <w:rsid w:val="00AB1FF3"/>
    <w:rsid w:val="00AB2078"/>
    <w:rsid w:val="00AB21D8"/>
    <w:rsid w:val="00AB2747"/>
    <w:rsid w:val="00AB275C"/>
    <w:rsid w:val="00AB2876"/>
    <w:rsid w:val="00AB2988"/>
    <w:rsid w:val="00AB2E57"/>
    <w:rsid w:val="00AB2EE6"/>
    <w:rsid w:val="00AB2F7D"/>
    <w:rsid w:val="00AB311E"/>
    <w:rsid w:val="00AB31DC"/>
    <w:rsid w:val="00AB333D"/>
    <w:rsid w:val="00AB3471"/>
    <w:rsid w:val="00AB3537"/>
    <w:rsid w:val="00AB35B4"/>
    <w:rsid w:val="00AB36D8"/>
    <w:rsid w:val="00AB3878"/>
    <w:rsid w:val="00AB3964"/>
    <w:rsid w:val="00AB3A9E"/>
    <w:rsid w:val="00AB3AB9"/>
    <w:rsid w:val="00AB3B46"/>
    <w:rsid w:val="00AB3D1F"/>
    <w:rsid w:val="00AB4022"/>
    <w:rsid w:val="00AB429B"/>
    <w:rsid w:val="00AB4366"/>
    <w:rsid w:val="00AB4395"/>
    <w:rsid w:val="00AB4495"/>
    <w:rsid w:val="00AB44F9"/>
    <w:rsid w:val="00AB46EF"/>
    <w:rsid w:val="00AB46F1"/>
    <w:rsid w:val="00AB4879"/>
    <w:rsid w:val="00AB4A11"/>
    <w:rsid w:val="00AB4ABC"/>
    <w:rsid w:val="00AB4C08"/>
    <w:rsid w:val="00AB4C68"/>
    <w:rsid w:val="00AB4E09"/>
    <w:rsid w:val="00AB4EAB"/>
    <w:rsid w:val="00AB50B4"/>
    <w:rsid w:val="00AB50EC"/>
    <w:rsid w:val="00AB524C"/>
    <w:rsid w:val="00AB5303"/>
    <w:rsid w:val="00AB565C"/>
    <w:rsid w:val="00AB5975"/>
    <w:rsid w:val="00AB6220"/>
    <w:rsid w:val="00AB6371"/>
    <w:rsid w:val="00AB6447"/>
    <w:rsid w:val="00AB6471"/>
    <w:rsid w:val="00AB687E"/>
    <w:rsid w:val="00AB68CF"/>
    <w:rsid w:val="00AB6986"/>
    <w:rsid w:val="00AB6E15"/>
    <w:rsid w:val="00AB6F84"/>
    <w:rsid w:val="00AB70B5"/>
    <w:rsid w:val="00AB718F"/>
    <w:rsid w:val="00AB71AC"/>
    <w:rsid w:val="00AB738E"/>
    <w:rsid w:val="00AB74F2"/>
    <w:rsid w:val="00AB764B"/>
    <w:rsid w:val="00AB76DA"/>
    <w:rsid w:val="00AB7C37"/>
    <w:rsid w:val="00AB7C99"/>
    <w:rsid w:val="00AC0041"/>
    <w:rsid w:val="00AC027B"/>
    <w:rsid w:val="00AC059E"/>
    <w:rsid w:val="00AC08BB"/>
    <w:rsid w:val="00AC0A02"/>
    <w:rsid w:val="00AC0BA0"/>
    <w:rsid w:val="00AC0BDB"/>
    <w:rsid w:val="00AC0C57"/>
    <w:rsid w:val="00AC0D01"/>
    <w:rsid w:val="00AC101B"/>
    <w:rsid w:val="00AC11E2"/>
    <w:rsid w:val="00AC196E"/>
    <w:rsid w:val="00AC24BF"/>
    <w:rsid w:val="00AC2978"/>
    <w:rsid w:val="00AC2A74"/>
    <w:rsid w:val="00AC2C15"/>
    <w:rsid w:val="00AC2C7E"/>
    <w:rsid w:val="00AC2F56"/>
    <w:rsid w:val="00AC3425"/>
    <w:rsid w:val="00AC3537"/>
    <w:rsid w:val="00AC35DF"/>
    <w:rsid w:val="00AC386E"/>
    <w:rsid w:val="00AC38F2"/>
    <w:rsid w:val="00AC3A32"/>
    <w:rsid w:val="00AC3D8A"/>
    <w:rsid w:val="00AC3E5A"/>
    <w:rsid w:val="00AC4009"/>
    <w:rsid w:val="00AC4014"/>
    <w:rsid w:val="00AC4084"/>
    <w:rsid w:val="00AC40B0"/>
    <w:rsid w:val="00AC4376"/>
    <w:rsid w:val="00AC4747"/>
    <w:rsid w:val="00AC47FE"/>
    <w:rsid w:val="00AC4816"/>
    <w:rsid w:val="00AC48C8"/>
    <w:rsid w:val="00AC4BAC"/>
    <w:rsid w:val="00AC4C55"/>
    <w:rsid w:val="00AC4CD1"/>
    <w:rsid w:val="00AC4FA9"/>
    <w:rsid w:val="00AC513C"/>
    <w:rsid w:val="00AC51B2"/>
    <w:rsid w:val="00AC51FA"/>
    <w:rsid w:val="00AC5364"/>
    <w:rsid w:val="00AC5560"/>
    <w:rsid w:val="00AC56E3"/>
    <w:rsid w:val="00AC57A5"/>
    <w:rsid w:val="00AC5927"/>
    <w:rsid w:val="00AC5C46"/>
    <w:rsid w:val="00AC5EA5"/>
    <w:rsid w:val="00AC6072"/>
    <w:rsid w:val="00AC60BC"/>
    <w:rsid w:val="00AC629C"/>
    <w:rsid w:val="00AC6311"/>
    <w:rsid w:val="00AC638E"/>
    <w:rsid w:val="00AC6455"/>
    <w:rsid w:val="00AC665E"/>
    <w:rsid w:val="00AC67A0"/>
    <w:rsid w:val="00AC6809"/>
    <w:rsid w:val="00AC6A4A"/>
    <w:rsid w:val="00AC6B3B"/>
    <w:rsid w:val="00AC6CB9"/>
    <w:rsid w:val="00AC6DBE"/>
    <w:rsid w:val="00AC6E15"/>
    <w:rsid w:val="00AC732A"/>
    <w:rsid w:val="00AC7363"/>
    <w:rsid w:val="00AC75BF"/>
    <w:rsid w:val="00AC75F5"/>
    <w:rsid w:val="00AC77A3"/>
    <w:rsid w:val="00AC798B"/>
    <w:rsid w:val="00AC7B8A"/>
    <w:rsid w:val="00AC7F98"/>
    <w:rsid w:val="00AD0301"/>
    <w:rsid w:val="00AD039E"/>
    <w:rsid w:val="00AD04FB"/>
    <w:rsid w:val="00AD056C"/>
    <w:rsid w:val="00AD05D7"/>
    <w:rsid w:val="00AD0644"/>
    <w:rsid w:val="00AD0ADC"/>
    <w:rsid w:val="00AD0E9E"/>
    <w:rsid w:val="00AD11FE"/>
    <w:rsid w:val="00AD12C3"/>
    <w:rsid w:val="00AD1626"/>
    <w:rsid w:val="00AD18D1"/>
    <w:rsid w:val="00AD19AB"/>
    <w:rsid w:val="00AD19E5"/>
    <w:rsid w:val="00AD1C09"/>
    <w:rsid w:val="00AD1C62"/>
    <w:rsid w:val="00AD1D4F"/>
    <w:rsid w:val="00AD1DCA"/>
    <w:rsid w:val="00AD2082"/>
    <w:rsid w:val="00AD211F"/>
    <w:rsid w:val="00AD21B3"/>
    <w:rsid w:val="00AD23D7"/>
    <w:rsid w:val="00AD2720"/>
    <w:rsid w:val="00AD2807"/>
    <w:rsid w:val="00AD2CA3"/>
    <w:rsid w:val="00AD2E8E"/>
    <w:rsid w:val="00AD2F34"/>
    <w:rsid w:val="00AD3391"/>
    <w:rsid w:val="00AD3729"/>
    <w:rsid w:val="00AD3AF6"/>
    <w:rsid w:val="00AD3AFF"/>
    <w:rsid w:val="00AD3B19"/>
    <w:rsid w:val="00AD3C02"/>
    <w:rsid w:val="00AD3CEA"/>
    <w:rsid w:val="00AD3DA0"/>
    <w:rsid w:val="00AD3F0B"/>
    <w:rsid w:val="00AD3FAC"/>
    <w:rsid w:val="00AD4152"/>
    <w:rsid w:val="00AD44A0"/>
    <w:rsid w:val="00AD44D1"/>
    <w:rsid w:val="00AD458E"/>
    <w:rsid w:val="00AD46F5"/>
    <w:rsid w:val="00AD4948"/>
    <w:rsid w:val="00AD4BD9"/>
    <w:rsid w:val="00AD4F42"/>
    <w:rsid w:val="00AD4F5C"/>
    <w:rsid w:val="00AD5090"/>
    <w:rsid w:val="00AD5193"/>
    <w:rsid w:val="00AD5210"/>
    <w:rsid w:val="00AD57C1"/>
    <w:rsid w:val="00AD589B"/>
    <w:rsid w:val="00AD5A22"/>
    <w:rsid w:val="00AD5B57"/>
    <w:rsid w:val="00AD5D42"/>
    <w:rsid w:val="00AD5F90"/>
    <w:rsid w:val="00AD60D9"/>
    <w:rsid w:val="00AD615A"/>
    <w:rsid w:val="00AD6267"/>
    <w:rsid w:val="00AD6362"/>
    <w:rsid w:val="00AD6422"/>
    <w:rsid w:val="00AD6A35"/>
    <w:rsid w:val="00AD6B23"/>
    <w:rsid w:val="00AD6BEC"/>
    <w:rsid w:val="00AD6D69"/>
    <w:rsid w:val="00AD7174"/>
    <w:rsid w:val="00AD719E"/>
    <w:rsid w:val="00AD73F2"/>
    <w:rsid w:val="00AD75A1"/>
    <w:rsid w:val="00AD767A"/>
    <w:rsid w:val="00AD7AE4"/>
    <w:rsid w:val="00AD7D59"/>
    <w:rsid w:val="00AE0000"/>
    <w:rsid w:val="00AE0175"/>
    <w:rsid w:val="00AE0603"/>
    <w:rsid w:val="00AE0805"/>
    <w:rsid w:val="00AE0B12"/>
    <w:rsid w:val="00AE0B22"/>
    <w:rsid w:val="00AE11BA"/>
    <w:rsid w:val="00AE1715"/>
    <w:rsid w:val="00AE1FBE"/>
    <w:rsid w:val="00AE1FCE"/>
    <w:rsid w:val="00AE2211"/>
    <w:rsid w:val="00AE2216"/>
    <w:rsid w:val="00AE221A"/>
    <w:rsid w:val="00AE236A"/>
    <w:rsid w:val="00AE283B"/>
    <w:rsid w:val="00AE2AF3"/>
    <w:rsid w:val="00AE30EC"/>
    <w:rsid w:val="00AE33DB"/>
    <w:rsid w:val="00AE33FC"/>
    <w:rsid w:val="00AE34B8"/>
    <w:rsid w:val="00AE34BD"/>
    <w:rsid w:val="00AE355E"/>
    <w:rsid w:val="00AE366D"/>
    <w:rsid w:val="00AE36E2"/>
    <w:rsid w:val="00AE3736"/>
    <w:rsid w:val="00AE3771"/>
    <w:rsid w:val="00AE38CC"/>
    <w:rsid w:val="00AE398A"/>
    <w:rsid w:val="00AE3AAB"/>
    <w:rsid w:val="00AE3ABB"/>
    <w:rsid w:val="00AE3D47"/>
    <w:rsid w:val="00AE3EBC"/>
    <w:rsid w:val="00AE3EEF"/>
    <w:rsid w:val="00AE3F36"/>
    <w:rsid w:val="00AE3F49"/>
    <w:rsid w:val="00AE4010"/>
    <w:rsid w:val="00AE408A"/>
    <w:rsid w:val="00AE45B3"/>
    <w:rsid w:val="00AE4820"/>
    <w:rsid w:val="00AE4968"/>
    <w:rsid w:val="00AE4BA9"/>
    <w:rsid w:val="00AE4BAF"/>
    <w:rsid w:val="00AE4EAD"/>
    <w:rsid w:val="00AE4F8D"/>
    <w:rsid w:val="00AE50D6"/>
    <w:rsid w:val="00AE5231"/>
    <w:rsid w:val="00AE52A1"/>
    <w:rsid w:val="00AE5337"/>
    <w:rsid w:val="00AE5556"/>
    <w:rsid w:val="00AE55F1"/>
    <w:rsid w:val="00AE588E"/>
    <w:rsid w:val="00AE59E1"/>
    <w:rsid w:val="00AE5CDD"/>
    <w:rsid w:val="00AE5D2B"/>
    <w:rsid w:val="00AE6091"/>
    <w:rsid w:val="00AE6414"/>
    <w:rsid w:val="00AE6941"/>
    <w:rsid w:val="00AE6F91"/>
    <w:rsid w:val="00AE7105"/>
    <w:rsid w:val="00AE7541"/>
    <w:rsid w:val="00AE76B0"/>
    <w:rsid w:val="00AE7831"/>
    <w:rsid w:val="00AE78F5"/>
    <w:rsid w:val="00AE7A4D"/>
    <w:rsid w:val="00AE7BCA"/>
    <w:rsid w:val="00AF011F"/>
    <w:rsid w:val="00AF02B5"/>
    <w:rsid w:val="00AF037B"/>
    <w:rsid w:val="00AF0393"/>
    <w:rsid w:val="00AF0789"/>
    <w:rsid w:val="00AF088F"/>
    <w:rsid w:val="00AF09CD"/>
    <w:rsid w:val="00AF0AF3"/>
    <w:rsid w:val="00AF0E44"/>
    <w:rsid w:val="00AF0E8E"/>
    <w:rsid w:val="00AF0EF7"/>
    <w:rsid w:val="00AF18FA"/>
    <w:rsid w:val="00AF1E3D"/>
    <w:rsid w:val="00AF1EFC"/>
    <w:rsid w:val="00AF1F06"/>
    <w:rsid w:val="00AF1FF3"/>
    <w:rsid w:val="00AF2002"/>
    <w:rsid w:val="00AF20FD"/>
    <w:rsid w:val="00AF23AF"/>
    <w:rsid w:val="00AF23F7"/>
    <w:rsid w:val="00AF2416"/>
    <w:rsid w:val="00AF2534"/>
    <w:rsid w:val="00AF26EB"/>
    <w:rsid w:val="00AF2A95"/>
    <w:rsid w:val="00AF2BFB"/>
    <w:rsid w:val="00AF34F7"/>
    <w:rsid w:val="00AF3584"/>
    <w:rsid w:val="00AF35C8"/>
    <w:rsid w:val="00AF35CB"/>
    <w:rsid w:val="00AF37FD"/>
    <w:rsid w:val="00AF3C64"/>
    <w:rsid w:val="00AF3C67"/>
    <w:rsid w:val="00AF3DC8"/>
    <w:rsid w:val="00AF3E88"/>
    <w:rsid w:val="00AF3EE5"/>
    <w:rsid w:val="00AF3F6B"/>
    <w:rsid w:val="00AF421A"/>
    <w:rsid w:val="00AF4456"/>
    <w:rsid w:val="00AF45B7"/>
    <w:rsid w:val="00AF4625"/>
    <w:rsid w:val="00AF4787"/>
    <w:rsid w:val="00AF4869"/>
    <w:rsid w:val="00AF4920"/>
    <w:rsid w:val="00AF4971"/>
    <w:rsid w:val="00AF49FD"/>
    <w:rsid w:val="00AF4A08"/>
    <w:rsid w:val="00AF4AB8"/>
    <w:rsid w:val="00AF50EF"/>
    <w:rsid w:val="00AF5216"/>
    <w:rsid w:val="00AF5454"/>
    <w:rsid w:val="00AF545D"/>
    <w:rsid w:val="00AF557B"/>
    <w:rsid w:val="00AF56C8"/>
    <w:rsid w:val="00AF579C"/>
    <w:rsid w:val="00AF5907"/>
    <w:rsid w:val="00AF5C21"/>
    <w:rsid w:val="00AF5D87"/>
    <w:rsid w:val="00AF60E6"/>
    <w:rsid w:val="00AF60E7"/>
    <w:rsid w:val="00AF61B7"/>
    <w:rsid w:val="00AF61F9"/>
    <w:rsid w:val="00AF6231"/>
    <w:rsid w:val="00AF6240"/>
    <w:rsid w:val="00AF6362"/>
    <w:rsid w:val="00AF63B9"/>
    <w:rsid w:val="00AF64BA"/>
    <w:rsid w:val="00AF6578"/>
    <w:rsid w:val="00AF6611"/>
    <w:rsid w:val="00AF6636"/>
    <w:rsid w:val="00AF6698"/>
    <w:rsid w:val="00AF689E"/>
    <w:rsid w:val="00AF6C03"/>
    <w:rsid w:val="00AF6C5A"/>
    <w:rsid w:val="00AF6E01"/>
    <w:rsid w:val="00AF6EA7"/>
    <w:rsid w:val="00AF6EDE"/>
    <w:rsid w:val="00AF7093"/>
    <w:rsid w:val="00AF715A"/>
    <w:rsid w:val="00AF7764"/>
    <w:rsid w:val="00AF77A2"/>
    <w:rsid w:val="00AF7915"/>
    <w:rsid w:val="00AF7929"/>
    <w:rsid w:val="00AF79F4"/>
    <w:rsid w:val="00AF7A42"/>
    <w:rsid w:val="00AF7AA2"/>
    <w:rsid w:val="00AF7B1B"/>
    <w:rsid w:val="00AF7C44"/>
    <w:rsid w:val="00B00019"/>
    <w:rsid w:val="00B001CD"/>
    <w:rsid w:val="00B00223"/>
    <w:rsid w:val="00B00467"/>
    <w:rsid w:val="00B004B7"/>
    <w:rsid w:val="00B006AC"/>
    <w:rsid w:val="00B0070F"/>
    <w:rsid w:val="00B007DC"/>
    <w:rsid w:val="00B00879"/>
    <w:rsid w:val="00B008EA"/>
    <w:rsid w:val="00B008FC"/>
    <w:rsid w:val="00B00B3D"/>
    <w:rsid w:val="00B00BD3"/>
    <w:rsid w:val="00B00BFE"/>
    <w:rsid w:val="00B00CB0"/>
    <w:rsid w:val="00B00CB3"/>
    <w:rsid w:val="00B00F4A"/>
    <w:rsid w:val="00B0100F"/>
    <w:rsid w:val="00B012E7"/>
    <w:rsid w:val="00B01349"/>
    <w:rsid w:val="00B0162F"/>
    <w:rsid w:val="00B0172D"/>
    <w:rsid w:val="00B017A7"/>
    <w:rsid w:val="00B01897"/>
    <w:rsid w:val="00B01B24"/>
    <w:rsid w:val="00B01C25"/>
    <w:rsid w:val="00B01E39"/>
    <w:rsid w:val="00B01EAE"/>
    <w:rsid w:val="00B02301"/>
    <w:rsid w:val="00B0235B"/>
    <w:rsid w:val="00B025C4"/>
    <w:rsid w:val="00B02615"/>
    <w:rsid w:val="00B0279F"/>
    <w:rsid w:val="00B02925"/>
    <w:rsid w:val="00B02BC3"/>
    <w:rsid w:val="00B02D3A"/>
    <w:rsid w:val="00B02E71"/>
    <w:rsid w:val="00B02ECE"/>
    <w:rsid w:val="00B03143"/>
    <w:rsid w:val="00B03311"/>
    <w:rsid w:val="00B0339B"/>
    <w:rsid w:val="00B035F8"/>
    <w:rsid w:val="00B036AF"/>
    <w:rsid w:val="00B03736"/>
    <w:rsid w:val="00B03746"/>
    <w:rsid w:val="00B0379B"/>
    <w:rsid w:val="00B03853"/>
    <w:rsid w:val="00B038B6"/>
    <w:rsid w:val="00B038E3"/>
    <w:rsid w:val="00B03933"/>
    <w:rsid w:val="00B03B41"/>
    <w:rsid w:val="00B03E1D"/>
    <w:rsid w:val="00B0400A"/>
    <w:rsid w:val="00B040D9"/>
    <w:rsid w:val="00B04410"/>
    <w:rsid w:val="00B0463E"/>
    <w:rsid w:val="00B049D4"/>
    <w:rsid w:val="00B04AFB"/>
    <w:rsid w:val="00B04C35"/>
    <w:rsid w:val="00B04D29"/>
    <w:rsid w:val="00B04E3A"/>
    <w:rsid w:val="00B04E92"/>
    <w:rsid w:val="00B050D9"/>
    <w:rsid w:val="00B05117"/>
    <w:rsid w:val="00B054F4"/>
    <w:rsid w:val="00B055E2"/>
    <w:rsid w:val="00B05689"/>
    <w:rsid w:val="00B056A2"/>
    <w:rsid w:val="00B0590F"/>
    <w:rsid w:val="00B05A99"/>
    <w:rsid w:val="00B05A9C"/>
    <w:rsid w:val="00B05CC6"/>
    <w:rsid w:val="00B05CC8"/>
    <w:rsid w:val="00B05D9B"/>
    <w:rsid w:val="00B05E84"/>
    <w:rsid w:val="00B05F38"/>
    <w:rsid w:val="00B0638E"/>
    <w:rsid w:val="00B06522"/>
    <w:rsid w:val="00B0654D"/>
    <w:rsid w:val="00B0658E"/>
    <w:rsid w:val="00B065C2"/>
    <w:rsid w:val="00B067C4"/>
    <w:rsid w:val="00B06822"/>
    <w:rsid w:val="00B06FB9"/>
    <w:rsid w:val="00B07064"/>
    <w:rsid w:val="00B070D1"/>
    <w:rsid w:val="00B071B1"/>
    <w:rsid w:val="00B0728B"/>
    <w:rsid w:val="00B076AD"/>
    <w:rsid w:val="00B076AF"/>
    <w:rsid w:val="00B079C8"/>
    <w:rsid w:val="00B07D4E"/>
    <w:rsid w:val="00B100C6"/>
    <w:rsid w:val="00B102C6"/>
    <w:rsid w:val="00B1066E"/>
    <w:rsid w:val="00B10684"/>
    <w:rsid w:val="00B10845"/>
    <w:rsid w:val="00B1089D"/>
    <w:rsid w:val="00B1098E"/>
    <w:rsid w:val="00B10B31"/>
    <w:rsid w:val="00B10E08"/>
    <w:rsid w:val="00B10E3F"/>
    <w:rsid w:val="00B10FBD"/>
    <w:rsid w:val="00B1140F"/>
    <w:rsid w:val="00B11808"/>
    <w:rsid w:val="00B11B2F"/>
    <w:rsid w:val="00B11B89"/>
    <w:rsid w:val="00B11BD5"/>
    <w:rsid w:val="00B11D53"/>
    <w:rsid w:val="00B11E03"/>
    <w:rsid w:val="00B12308"/>
    <w:rsid w:val="00B12730"/>
    <w:rsid w:val="00B12C5F"/>
    <w:rsid w:val="00B13054"/>
    <w:rsid w:val="00B13577"/>
    <w:rsid w:val="00B13899"/>
    <w:rsid w:val="00B13C08"/>
    <w:rsid w:val="00B13E55"/>
    <w:rsid w:val="00B14080"/>
    <w:rsid w:val="00B141DB"/>
    <w:rsid w:val="00B1423D"/>
    <w:rsid w:val="00B14524"/>
    <w:rsid w:val="00B14596"/>
    <w:rsid w:val="00B145B9"/>
    <w:rsid w:val="00B146CB"/>
    <w:rsid w:val="00B14718"/>
    <w:rsid w:val="00B14786"/>
    <w:rsid w:val="00B147A1"/>
    <w:rsid w:val="00B1488C"/>
    <w:rsid w:val="00B14F8D"/>
    <w:rsid w:val="00B15639"/>
    <w:rsid w:val="00B156C9"/>
    <w:rsid w:val="00B15754"/>
    <w:rsid w:val="00B1577C"/>
    <w:rsid w:val="00B1583B"/>
    <w:rsid w:val="00B1596C"/>
    <w:rsid w:val="00B15A7B"/>
    <w:rsid w:val="00B15BCD"/>
    <w:rsid w:val="00B15C19"/>
    <w:rsid w:val="00B15FAD"/>
    <w:rsid w:val="00B16013"/>
    <w:rsid w:val="00B160DD"/>
    <w:rsid w:val="00B16251"/>
    <w:rsid w:val="00B1645F"/>
    <w:rsid w:val="00B16533"/>
    <w:rsid w:val="00B16675"/>
    <w:rsid w:val="00B16A99"/>
    <w:rsid w:val="00B16B5A"/>
    <w:rsid w:val="00B16C88"/>
    <w:rsid w:val="00B16CCE"/>
    <w:rsid w:val="00B16E31"/>
    <w:rsid w:val="00B16E81"/>
    <w:rsid w:val="00B16F5E"/>
    <w:rsid w:val="00B1710A"/>
    <w:rsid w:val="00B1726D"/>
    <w:rsid w:val="00B1728C"/>
    <w:rsid w:val="00B1749A"/>
    <w:rsid w:val="00B176AC"/>
    <w:rsid w:val="00B17941"/>
    <w:rsid w:val="00B17966"/>
    <w:rsid w:val="00B1796D"/>
    <w:rsid w:val="00B17B13"/>
    <w:rsid w:val="00B17C9E"/>
    <w:rsid w:val="00B20141"/>
    <w:rsid w:val="00B20284"/>
    <w:rsid w:val="00B20352"/>
    <w:rsid w:val="00B2045B"/>
    <w:rsid w:val="00B2046A"/>
    <w:rsid w:val="00B20566"/>
    <w:rsid w:val="00B20615"/>
    <w:rsid w:val="00B20681"/>
    <w:rsid w:val="00B20698"/>
    <w:rsid w:val="00B20A13"/>
    <w:rsid w:val="00B20A90"/>
    <w:rsid w:val="00B20C5D"/>
    <w:rsid w:val="00B20CBF"/>
    <w:rsid w:val="00B20CDB"/>
    <w:rsid w:val="00B210CF"/>
    <w:rsid w:val="00B2146A"/>
    <w:rsid w:val="00B2152B"/>
    <w:rsid w:val="00B21616"/>
    <w:rsid w:val="00B2171F"/>
    <w:rsid w:val="00B21874"/>
    <w:rsid w:val="00B21B0F"/>
    <w:rsid w:val="00B21C73"/>
    <w:rsid w:val="00B21E9E"/>
    <w:rsid w:val="00B21FF1"/>
    <w:rsid w:val="00B223C1"/>
    <w:rsid w:val="00B22742"/>
    <w:rsid w:val="00B228A5"/>
    <w:rsid w:val="00B22A7B"/>
    <w:rsid w:val="00B22BDB"/>
    <w:rsid w:val="00B22C72"/>
    <w:rsid w:val="00B22D15"/>
    <w:rsid w:val="00B22D24"/>
    <w:rsid w:val="00B22DBB"/>
    <w:rsid w:val="00B22E93"/>
    <w:rsid w:val="00B23121"/>
    <w:rsid w:val="00B23160"/>
    <w:rsid w:val="00B232BB"/>
    <w:rsid w:val="00B2354D"/>
    <w:rsid w:val="00B2373D"/>
    <w:rsid w:val="00B23A84"/>
    <w:rsid w:val="00B23C23"/>
    <w:rsid w:val="00B23CEE"/>
    <w:rsid w:val="00B23D0B"/>
    <w:rsid w:val="00B23D1D"/>
    <w:rsid w:val="00B23D58"/>
    <w:rsid w:val="00B2416B"/>
    <w:rsid w:val="00B24181"/>
    <w:rsid w:val="00B241A5"/>
    <w:rsid w:val="00B2423B"/>
    <w:rsid w:val="00B246ED"/>
    <w:rsid w:val="00B24761"/>
    <w:rsid w:val="00B2476D"/>
    <w:rsid w:val="00B24799"/>
    <w:rsid w:val="00B24C7A"/>
    <w:rsid w:val="00B24DC3"/>
    <w:rsid w:val="00B24DFC"/>
    <w:rsid w:val="00B250EB"/>
    <w:rsid w:val="00B2518B"/>
    <w:rsid w:val="00B25B1A"/>
    <w:rsid w:val="00B25CA1"/>
    <w:rsid w:val="00B25CB0"/>
    <w:rsid w:val="00B25F1D"/>
    <w:rsid w:val="00B25F81"/>
    <w:rsid w:val="00B262C6"/>
    <w:rsid w:val="00B26423"/>
    <w:rsid w:val="00B264F1"/>
    <w:rsid w:val="00B2651A"/>
    <w:rsid w:val="00B267D5"/>
    <w:rsid w:val="00B26841"/>
    <w:rsid w:val="00B2693D"/>
    <w:rsid w:val="00B2695C"/>
    <w:rsid w:val="00B269EC"/>
    <w:rsid w:val="00B26B5A"/>
    <w:rsid w:val="00B26CEA"/>
    <w:rsid w:val="00B26EED"/>
    <w:rsid w:val="00B26F54"/>
    <w:rsid w:val="00B271CA"/>
    <w:rsid w:val="00B273DF"/>
    <w:rsid w:val="00B274D3"/>
    <w:rsid w:val="00B2758B"/>
    <w:rsid w:val="00B276FC"/>
    <w:rsid w:val="00B27815"/>
    <w:rsid w:val="00B27FAA"/>
    <w:rsid w:val="00B30064"/>
    <w:rsid w:val="00B30076"/>
    <w:rsid w:val="00B301EE"/>
    <w:rsid w:val="00B30372"/>
    <w:rsid w:val="00B30564"/>
    <w:rsid w:val="00B30645"/>
    <w:rsid w:val="00B30682"/>
    <w:rsid w:val="00B30860"/>
    <w:rsid w:val="00B30AA1"/>
    <w:rsid w:val="00B30AF1"/>
    <w:rsid w:val="00B30B1C"/>
    <w:rsid w:val="00B30BAE"/>
    <w:rsid w:val="00B30C88"/>
    <w:rsid w:val="00B3110E"/>
    <w:rsid w:val="00B3127A"/>
    <w:rsid w:val="00B31462"/>
    <w:rsid w:val="00B315AC"/>
    <w:rsid w:val="00B31735"/>
    <w:rsid w:val="00B318DF"/>
    <w:rsid w:val="00B31B64"/>
    <w:rsid w:val="00B31BB2"/>
    <w:rsid w:val="00B31D10"/>
    <w:rsid w:val="00B31E39"/>
    <w:rsid w:val="00B31E9D"/>
    <w:rsid w:val="00B31ED3"/>
    <w:rsid w:val="00B32706"/>
    <w:rsid w:val="00B32707"/>
    <w:rsid w:val="00B32936"/>
    <w:rsid w:val="00B32A49"/>
    <w:rsid w:val="00B330B3"/>
    <w:rsid w:val="00B331AB"/>
    <w:rsid w:val="00B331F9"/>
    <w:rsid w:val="00B33243"/>
    <w:rsid w:val="00B333D9"/>
    <w:rsid w:val="00B33514"/>
    <w:rsid w:val="00B33613"/>
    <w:rsid w:val="00B33881"/>
    <w:rsid w:val="00B33943"/>
    <w:rsid w:val="00B33A18"/>
    <w:rsid w:val="00B33BA4"/>
    <w:rsid w:val="00B33BD7"/>
    <w:rsid w:val="00B33C77"/>
    <w:rsid w:val="00B34105"/>
    <w:rsid w:val="00B341D4"/>
    <w:rsid w:val="00B34260"/>
    <w:rsid w:val="00B34445"/>
    <w:rsid w:val="00B34644"/>
    <w:rsid w:val="00B348B5"/>
    <w:rsid w:val="00B34A32"/>
    <w:rsid w:val="00B34C4E"/>
    <w:rsid w:val="00B34DA7"/>
    <w:rsid w:val="00B34E14"/>
    <w:rsid w:val="00B34E6A"/>
    <w:rsid w:val="00B350DC"/>
    <w:rsid w:val="00B35360"/>
    <w:rsid w:val="00B35396"/>
    <w:rsid w:val="00B357F7"/>
    <w:rsid w:val="00B35965"/>
    <w:rsid w:val="00B35980"/>
    <w:rsid w:val="00B36183"/>
    <w:rsid w:val="00B362CF"/>
    <w:rsid w:val="00B366AC"/>
    <w:rsid w:val="00B3674C"/>
    <w:rsid w:val="00B36821"/>
    <w:rsid w:val="00B36A2F"/>
    <w:rsid w:val="00B36D65"/>
    <w:rsid w:val="00B37113"/>
    <w:rsid w:val="00B37124"/>
    <w:rsid w:val="00B3728F"/>
    <w:rsid w:val="00B372B9"/>
    <w:rsid w:val="00B374B3"/>
    <w:rsid w:val="00B375F4"/>
    <w:rsid w:val="00B3764E"/>
    <w:rsid w:val="00B376AA"/>
    <w:rsid w:val="00B377AC"/>
    <w:rsid w:val="00B37996"/>
    <w:rsid w:val="00B37ADD"/>
    <w:rsid w:val="00B37D0E"/>
    <w:rsid w:val="00B37FEB"/>
    <w:rsid w:val="00B40125"/>
    <w:rsid w:val="00B40232"/>
    <w:rsid w:val="00B404E2"/>
    <w:rsid w:val="00B40500"/>
    <w:rsid w:val="00B40528"/>
    <w:rsid w:val="00B40642"/>
    <w:rsid w:val="00B40683"/>
    <w:rsid w:val="00B40692"/>
    <w:rsid w:val="00B40C74"/>
    <w:rsid w:val="00B40CA3"/>
    <w:rsid w:val="00B410EB"/>
    <w:rsid w:val="00B4120B"/>
    <w:rsid w:val="00B413DA"/>
    <w:rsid w:val="00B41488"/>
    <w:rsid w:val="00B416E0"/>
    <w:rsid w:val="00B4173A"/>
    <w:rsid w:val="00B4186E"/>
    <w:rsid w:val="00B419CE"/>
    <w:rsid w:val="00B41A48"/>
    <w:rsid w:val="00B41B93"/>
    <w:rsid w:val="00B41F13"/>
    <w:rsid w:val="00B41F59"/>
    <w:rsid w:val="00B41F9F"/>
    <w:rsid w:val="00B41FBA"/>
    <w:rsid w:val="00B42028"/>
    <w:rsid w:val="00B425ED"/>
    <w:rsid w:val="00B42615"/>
    <w:rsid w:val="00B428D8"/>
    <w:rsid w:val="00B42BA1"/>
    <w:rsid w:val="00B42E0B"/>
    <w:rsid w:val="00B42E46"/>
    <w:rsid w:val="00B43021"/>
    <w:rsid w:val="00B4325F"/>
    <w:rsid w:val="00B43B4C"/>
    <w:rsid w:val="00B43FA8"/>
    <w:rsid w:val="00B43FBF"/>
    <w:rsid w:val="00B440A9"/>
    <w:rsid w:val="00B445FA"/>
    <w:rsid w:val="00B4465D"/>
    <w:rsid w:val="00B446CF"/>
    <w:rsid w:val="00B44AE2"/>
    <w:rsid w:val="00B44C83"/>
    <w:rsid w:val="00B44D8E"/>
    <w:rsid w:val="00B44E8B"/>
    <w:rsid w:val="00B44EC3"/>
    <w:rsid w:val="00B44F17"/>
    <w:rsid w:val="00B4500E"/>
    <w:rsid w:val="00B45188"/>
    <w:rsid w:val="00B45220"/>
    <w:rsid w:val="00B45359"/>
    <w:rsid w:val="00B45361"/>
    <w:rsid w:val="00B453B3"/>
    <w:rsid w:val="00B45530"/>
    <w:rsid w:val="00B455DF"/>
    <w:rsid w:val="00B456E1"/>
    <w:rsid w:val="00B45888"/>
    <w:rsid w:val="00B45ACA"/>
    <w:rsid w:val="00B45EA9"/>
    <w:rsid w:val="00B45FB8"/>
    <w:rsid w:val="00B46215"/>
    <w:rsid w:val="00B46700"/>
    <w:rsid w:val="00B46B23"/>
    <w:rsid w:val="00B46B46"/>
    <w:rsid w:val="00B46B57"/>
    <w:rsid w:val="00B46D64"/>
    <w:rsid w:val="00B46E00"/>
    <w:rsid w:val="00B46E27"/>
    <w:rsid w:val="00B47063"/>
    <w:rsid w:val="00B47119"/>
    <w:rsid w:val="00B47140"/>
    <w:rsid w:val="00B472ED"/>
    <w:rsid w:val="00B47324"/>
    <w:rsid w:val="00B474A6"/>
    <w:rsid w:val="00B474EB"/>
    <w:rsid w:val="00B476D7"/>
    <w:rsid w:val="00B47A61"/>
    <w:rsid w:val="00B47D1C"/>
    <w:rsid w:val="00B47EAE"/>
    <w:rsid w:val="00B47F13"/>
    <w:rsid w:val="00B47FEB"/>
    <w:rsid w:val="00B50083"/>
    <w:rsid w:val="00B500E8"/>
    <w:rsid w:val="00B501BF"/>
    <w:rsid w:val="00B50338"/>
    <w:rsid w:val="00B503EE"/>
    <w:rsid w:val="00B507B4"/>
    <w:rsid w:val="00B509AA"/>
    <w:rsid w:val="00B50BE0"/>
    <w:rsid w:val="00B50C20"/>
    <w:rsid w:val="00B50EC5"/>
    <w:rsid w:val="00B51034"/>
    <w:rsid w:val="00B515AA"/>
    <w:rsid w:val="00B51654"/>
    <w:rsid w:val="00B5190F"/>
    <w:rsid w:val="00B51DE7"/>
    <w:rsid w:val="00B51DF0"/>
    <w:rsid w:val="00B52055"/>
    <w:rsid w:val="00B52265"/>
    <w:rsid w:val="00B525FB"/>
    <w:rsid w:val="00B526F2"/>
    <w:rsid w:val="00B52917"/>
    <w:rsid w:val="00B5296F"/>
    <w:rsid w:val="00B52A64"/>
    <w:rsid w:val="00B52AF3"/>
    <w:rsid w:val="00B52EF3"/>
    <w:rsid w:val="00B52FA8"/>
    <w:rsid w:val="00B5302D"/>
    <w:rsid w:val="00B5321E"/>
    <w:rsid w:val="00B53418"/>
    <w:rsid w:val="00B5343F"/>
    <w:rsid w:val="00B534F0"/>
    <w:rsid w:val="00B5359D"/>
    <w:rsid w:val="00B5373B"/>
    <w:rsid w:val="00B538DD"/>
    <w:rsid w:val="00B538F9"/>
    <w:rsid w:val="00B53D19"/>
    <w:rsid w:val="00B53D85"/>
    <w:rsid w:val="00B53EE8"/>
    <w:rsid w:val="00B53FB1"/>
    <w:rsid w:val="00B53FD2"/>
    <w:rsid w:val="00B5404A"/>
    <w:rsid w:val="00B542D8"/>
    <w:rsid w:val="00B5449F"/>
    <w:rsid w:val="00B54782"/>
    <w:rsid w:val="00B548AB"/>
    <w:rsid w:val="00B54B4B"/>
    <w:rsid w:val="00B54D48"/>
    <w:rsid w:val="00B5520B"/>
    <w:rsid w:val="00B5541E"/>
    <w:rsid w:val="00B55515"/>
    <w:rsid w:val="00B55A34"/>
    <w:rsid w:val="00B55AA1"/>
    <w:rsid w:val="00B55B12"/>
    <w:rsid w:val="00B55B87"/>
    <w:rsid w:val="00B55B91"/>
    <w:rsid w:val="00B55BCA"/>
    <w:rsid w:val="00B55DC4"/>
    <w:rsid w:val="00B55DD7"/>
    <w:rsid w:val="00B56024"/>
    <w:rsid w:val="00B56068"/>
    <w:rsid w:val="00B56100"/>
    <w:rsid w:val="00B5622B"/>
    <w:rsid w:val="00B56388"/>
    <w:rsid w:val="00B5644E"/>
    <w:rsid w:val="00B565DC"/>
    <w:rsid w:val="00B568DE"/>
    <w:rsid w:val="00B56AF1"/>
    <w:rsid w:val="00B56B03"/>
    <w:rsid w:val="00B575C6"/>
    <w:rsid w:val="00B5780C"/>
    <w:rsid w:val="00B579C8"/>
    <w:rsid w:val="00B57B0F"/>
    <w:rsid w:val="00B57E07"/>
    <w:rsid w:val="00B601D3"/>
    <w:rsid w:val="00B601F6"/>
    <w:rsid w:val="00B605E3"/>
    <w:rsid w:val="00B6061E"/>
    <w:rsid w:val="00B60679"/>
    <w:rsid w:val="00B608A8"/>
    <w:rsid w:val="00B60948"/>
    <w:rsid w:val="00B60BA7"/>
    <w:rsid w:val="00B60BF8"/>
    <w:rsid w:val="00B60C9B"/>
    <w:rsid w:val="00B60E74"/>
    <w:rsid w:val="00B61209"/>
    <w:rsid w:val="00B6148F"/>
    <w:rsid w:val="00B61544"/>
    <w:rsid w:val="00B615CE"/>
    <w:rsid w:val="00B617BF"/>
    <w:rsid w:val="00B6183A"/>
    <w:rsid w:val="00B618D2"/>
    <w:rsid w:val="00B61B1D"/>
    <w:rsid w:val="00B61B4C"/>
    <w:rsid w:val="00B61DF0"/>
    <w:rsid w:val="00B62309"/>
    <w:rsid w:val="00B6231A"/>
    <w:rsid w:val="00B6236A"/>
    <w:rsid w:val="00B623B9"/>
    <w:rsid w:val="00B624EB"/>
    <w:rsid w:val="00B62527"/>
    <w:rsid w:val="00B62697"/>
    <w:rsid w:val="00B626AB"/>
    <w:rsid w:val="00B62719"/>
    <w:rsid w:val="00B62887"/>
    <w:rsid w:val="00B62997"/>
    <w:rsid w:val="00B62A4D"/>
    <w:rsid w:val="00B62C11"/>
    <w:rsid w:val="00B62C71"/>
    <w:rsid w:val="00B62C91"/>
    <w:rsid w:val="00B62F3B"/>
    <w:rsid w:val="00B6312A"/>
    <w:rsid w:val="00B633AE"/>
    <w:rsid w:val="00B63442"/>
    <w:rsid w:val="00B636FD"/>
    <w:rsid w:val="00B63719"/>
    <w:rsid w:val="00B6380A"/>
    <w:rsid w:val="00B63945"/>
    <w:rsid w:val="00B63FA9"/>
    <w:rsid w:val="00B6400F"/>
    <w:rsid w:val="00B640B0"/>
    <w:rsid w:val="00B6416F"/>
    <w:rsid w:val="00B6454A"/>
    <w:rsid w:val="00B645AA"/>
    <w:rsid w:val="00B646AB"/>
    <w:rsid w:val="00B64798"/>
    <w:rsid w:val="00B6487F"/>
    <w:rsid w:val="00B64BD1"/>
    <w:rsid w:val="00B64C28"/>
    <w:rsid w:val="00B64F01"/>
    <w:rsid w:val="00B6518C"/>
    <w:rsid w:val="00B6532A"/>
    <w:rsid w:val="00B65370"/>
    <w:rsid w:val="00B6548A"/>
    <w:rsid w:val="00B6549F"/>
    <w:rsid w:val="00B65B5D"/>
    <w:rsid w:val="00B65CD4"/>
    <w:rsid w:val="00B66341"/>
    <w:rsid w:val="00B663C8"/>
    <w:rsid w:val="00B663F2"/>
    <w:rsid w:val="00B666A0"/>
    <w:rsid w:val="00B66827"/>
    <w:rsid w:val="00B66878"/>
    <w:rsid w:val="00B66BC4"/>
    <w:rsid w:val="00B66CCA"/>
    <w:rsid w:val="00B66D14"/>
    <w:rsid w:val="00B66E47"/>
    <w:rsid w:val="00B66E9C"/>
    <w:rsid w:val="00B6730B"/>
    <w:rsid w:val="00B673F0"/>
    <w:rsid w:val="00B675FC"/>
    <w:rsid w:val="00B67617"/>
    <w:rsid w:val="00B67862"/>
    <w:rsid w:val="00B67C93"/>
    <w:rsid w:val="00B67CC8"/>
    <w:rsid w:val="00B67DE8"/>
    <w:rsid w:val="00B67E02"/>
    <w:rsid w:val="00B67E05"/>
    <w:rsid w:val="00B67E41"/>
    <w:rsid w:val="00B67EB9"/>
    <w:rsid w:val="00B67FA9"/>
    <w:rsid w:val="00B70404"/>
    <w:rsid w:val="00B70405"/>
    <w:rsid w:val="00B70604"/>
    <w:rsid w:val="00B70908"/>
    <w:rsid w:val="00B70976"/>
    <w:rsid w:val="00B70B2F"/>
    <w:rsid w:val="00B70BAF"/>
    <w:rsid w:val="00B70BB2"/>
    <w:rsid w:val="00B70D6A"/>
    <w:rsid w:val="00B70F0F"/>
    <w:rsid w:val="00B70F15"/>
    <w:rsid w:val="00B70F77"/>
    <w:rsid w:val="00B710C1"/>
    <w:rsid w:val="00B710EE"/>
    <w:rsid w:val="00B711D0"/>
    <w:rsid w:val="00B713A2"/>
    <w:rsid w:val="00B71884"/>
    <w:rsid w:val="00B71931"/>
    <w:rsid w:val="00B71952"/>
    <w:rsid w:val="00B71B7C"/>
    <w:rsid w:val="00B71D11"/>
    <w:rsid w:val="00B71D8B"/>
    <w:rsid w:val="00B71FC5"/>
    <w:rsid w:val="00B7204A"/>
    <w:rsid w:val="00B7224D"/>
    <w:rsid w:val="00B724F7"/>
    <w:rsid w:val="00B72599"/>
    <w:rsid w:val="00B7281C"/>
    <w:rsid w:val="00B72B4C"/>
    <w:rsid w:val="00B72C47"/>
    <w:rsid w:val="00B72CF6"/>
    <w:rsid w:val="00B72DDE"/>
    <w:rsid w:val="00B73095"/>
    <w:rsid w:val="00B73118"/>
    <w:rsid w:val="00B73283"/>
    <w:rsid w:val="00B7339B"/>
    <w:rsid w:val="00B7346E"/>
    <w:rsid w:val="00B73531"/>
    <w:rsid w:val="00B7360D"/>
    <w:rsid w:val="00B739DF"/>
    <w:rsid w:val="00B73B22"/>
    <w:rsid w:val="00B73BE3"/>
    <w:rsid w:val="00B73F81"/>
    <w:rsid w:val="00B7407E"/>
    <w:rsid w:val="00B740AB"/>
    <w:rsid w:val="00B741C0"/>
    <w:rsid w:val="00B7439F"/>
    <w:rsid w:val="00B744E2"/>
    <w:rsid w:val="00B74516"/>
    <w:rsid w:val="00B745C8"/>
    <w:rsid w:val="00B746F7"/>
    <w:rsid w:val="00B748FF"/>
    <w:rsid w:val="00B749F0"/>
    <w:rsid w:val="00B74AB7"/>
    <w:rsid w:val="00B74D6F"/>
    <w:rsid w:val="00B74E20"/>
    <w:rsid w:val="00B74E3F"/>
    <w:rsid w:val="00B74F52"/>
    <w:rsid w:val="00B75037"/>
    <w:rsid w:val="00B75084"/>
    <w:rsid w:val="00B750A1"/>
    <w:rsid w:val="00B750E6"/>
    <w:rsid w:val="00B75149"/>
    <w:rsid w:val="00B7527C"/>
    <w:rsid w:val="00B754CC"/>
    <w:rsid w:val="00B75535"/>
    <w:rsid w:val="00B75663"/>
    <w:rsid w:val="00B759CD"/>
    <w:rsid w:val="00B75BE0"/>
    <w:rsid w:val="00B76247"/>
    <w:rsid w:val="00B762BA"/>
    <w:rsid w:val="00B7631D"/>
    <w:rsid w:val="00B7689F"/>
    <w:rsid w:val="00B768D3"/>
    <w:rsid w:val="00B76A10"/>
    <w:rsid w:val="00B76A62"/>
    <w:rsid w:val="00B76A63"/>
    <w:rsid w:val="00B76C27"/>
    <w:rsid w:val="00B76C4B"/>
    <w:rsid w:val="00B76E03"/>
    <w:rsid w:val="00B76E88"/>
    <w:rsid w:val="00B76ECB"/>
    <w:rsid w:val="00B76F4B"/>
    <w:rsid w:val="00B77461"/>
    <w:rsid w:val="00B775EC"/>
    <w:rsid w:val="00B77664"/>
    <w:rsid w:val="00B77675"/>
    <w:rsid w:val="00B776F0"/>
    <w:rsid w:val="00B7785D"/>
    <w:rsid w:val="00B779B9"/>
    <w:rsid w:val="00B779E6"/>
    <w:rsid w:val="00B77A37"/>
    <w:rsid w:val="00B77D10"/>
    <w:rsid w:val="00B77F99"/>
    <w:rsid w:val="00B80091"/>
    <w:rsid w:val="00B80231"/>
    <w:rsid w:val="00B8058E"/>
    <w:rsid w:val="00B8079F"/>
    <w:rsid w:val="00B80919"/>
    <w:rsid w:val="00B8096C"/>
    <w:rsid w:val="00B80E09"/>
    <w:rsid w:val="00B810F8"/>
    <w:rsid w:val="00B8114B"/>
    <w:rsid w:val="00B81207"/>
    <w:rsid w:val="00B81255"/>
    <w:rsid w:val="00B81582"/>
    <w:rsid w:val="00B81663"/>
    <w:rsid w:val="00B81802"/>
    <w:rsid w:val="00B8185F"/>
    <w:rsid w:val="00B81AD2"/>
    <w:rsid w:val="00B81E60"/>
    <w:rsid w:val="00B81FF8"/>
    <w:rsid w:val="00B8201B"/>
    <w:rsid w:val="00B82024"/>
    <w:rsid w:val="00B825EF"/>
    <w:rsid w:val="00B826BD"/>
    <w:rsid w:val="00B826EF"/>
    <w:rsid w:val="00B8297C"/>
    <w:rsid w:val="00B82B49"/>
    <w:rsid w:val="00B82CE8"/>
    <w:rsid w:val="00B82D22"/>
    <w:rsid w:val="00B82D87"/>
    <w:rsid w:val="00B82F3D"/>
    <w:rsid w:val="00B8322A"/>
    <w:rsid w:val="00B8363A"/>
    <w:rsid w:val="00B839F8"/>
    <w:rsid w:val="00B83D43"/>
    <w:rsid w:val="00B83F79"/>
    <w:rsid w:val="00B84094"/>
    <w:rsid w:val="00B843DC"/>
    <w:rsid w:val="00B8461E"/>
    <w:rsid w:val="00B8483B"/>
    <w:rsid w:val="00B84885"/>
    <w:rsid w:val="00B8491B"/>
    <w:rsid w:val="00B8498C"/>
    <w:rsid w:val="00B84C81"/>
    <w:rsid w:val="00B84CEA"/>
    <w:rsid w:val="00B84E76"/>
    <w:rsid w:val="00B8515C"/>
    <w:rsid w:val="00B851EF"/>
    <w:rsid w:val="00B85283"/>
    <w:rsid w:val="00B8565F"/>
    <w:rsid w:val="00B859CB"/>
    <w:rsid w:val="00B85AD7"/>
    <w:rsid w:val="00B85BDC"/>
    <w:rsid w:val="00B85C9C"/>
    <w:rsid w:val="00B85CF5"/>
    <w:rsid w:val="00B85DE0"/>
    <w:rsid w:val="00B85FA9"/>
    <w:rsid w:val="00B86132"/>
    <w:rsid w:val="00B86398"/>
    <w:rsid w:val="00B86512"/>
    <w:rsid w:val="00B8672D"/>
    <w:rsid w:val="00B8675A"/>
    <w:rsid w:val="00B868D7"/>
    <w:rsid w:val="00B869AC"/>
    <w:rsid w:val="00B86BA7"/>
    <w:rsid w:val="00B86BFA"/>
    <w:rsid w:val="00B87001"/>
    <w:rsid w:val="00B8735A"/>
    <w:rsid w:val="00B875B0"/>
    <w:rsid w:val="00B8762F"/>
    <w:rsid w:val="00B87778"/>
    <w:rsid w:val="00B8795C"/>
    <w:rsid w:val="00B87A78"/>
    <w:rsid w:val="00B87A7E"/>
    <w:rsid w:val="00B87BE0"/>
    <w:rsid w:val="00B87D10"/>
    <w:rsid w:val="00B87D39"/>
    <w:rsid w:val="00B87F10"/>
    <w:rsid w:val="00B87F19"/>
    <w:rsid w:val="00B90031"/>
    <w:rsid w:val="00B904E9"/>
    <w:rsid w:val="00B90938"/>
    <w:rsid w:val="00B90D47"/>
    <w:rsid w:val="00B90EA6"/>
    <w:rsid w:val="00B90F34"/>
    <w:rsid w:val="00B90F67"/>
    <w:rsid w:val="00B90F74"/>
    <w:rsid w:val="00B911C8"/>
    <w:rsid w:val="00B91218"/>
    <w:rsid w:val="00B912DD"/>
    <w:rsid w:val="00B915F0"/>
    <w:rsid w:val="00B91652"/>
    <w:rsid w:val="00B91B41"/>
    <w:rsid w:val="00B91E24"/>
    <w:rsid w:val="00B91E25"/>
    <w:rsid w:val="00B91EBD"/>
    <w:rsid w:val="00B91ECD"/>
    <w:rsid w:val="00B92178"/>
    <w:rsid w:val="00B921DD"/>
    <w:rsid w:val="00B924A1"/>
    <w:rsid w:val="00B924C5"/>
    <w:rsid w:val="00B9272D"/>
    <w:rsid w:val="00B9280E"/>
    <w:rsid w:val="00B928E8"/>
    <w:rsid w:val="00B92981"/>
    <w:rsid w:val="00B92ACF"/>
    <w:rsid w:val="00B92C2C"/>
    <w:rsid w:val="00B92C8A"/>
    <w:rsid w:val="00B92E06"/>
    <w:rsid w:val="00B93083"/>
    <w:rsid w:val="00B9313E"/>
    <w:rsid w:val="00B93496"/>
    <w:rsid w:val="00B9356D"/>
    <w:rsid w:val="00B9374E"/>
    <w:rsid w:val="00B93935"/>
    <w:rsid w:val="00B93A00"/>
    <w:rsid w:val="00B93D26"/>
    <w:rsid w:val="00B944C7"/>
    <w:rsid w:val="00B945B3"/>
    <w:rsid w:val="00B94703"/>
    <w:rsid w:val="00B94765"/>
    <w:rsid w:val="00B94A7D"/>
    <w:rsid w:val="00B94E66"/>
    <w:rsid w:val="00B94F35"/>
    <w:rsid w:val="00B950C8"/>
    <w:rsid w:val="00B9513A"/>
    <w:rsid w:val="00B95168"/>
    <w:rsid w:val="00B95176"/>
    <w:rsid w:val="00B95186"/>
    <w:rsid w:val="00B95558"/>
    <w:rsid w:val="00B955C5"/>
    <w:rsid w:val="00B957CA"/>
    <w:rsid w:val="00B957E4"/>
    <w:rsid w:val="00B9582F"/>
    <w:rsid w:val="00B9585B"/>
    <w:rsid w:val="00B95E9F"/>
    <w:rsid w:val="00B961F5"/>
    <w:rsid w:val="00B968C7"/>
    <w:rsid w:val="00B96940"/>
    <w:rsid w:val="00B96F5B"/>
    <w:rsid w:val="00B97310"/>
    <w:rsid w:val="00B97394"/>
    <w:rsid w:val="00B97734"/>
    <w:rsid w:val="00B978BF"/>
    <w:rsid w:val="00B97C64"/>
    <w:rsid w:val="00B97CC8"/>
    <w:rsid w:val="00B97D6B"/>
    <w:rsid w:val="00B97EE1"/>
    <w:rsid w:val="00B97F58"/>
    <w:rsid w:val="00BA0C8E"/>
    <w:rsid w:val="00BA0DDB"/>
    <w:rsid w:val="00BA0E19"/>
    <w:rsid w:val="00BA0E42"/>
    <w:rsid w:val="00BA0E64"/>
    <w:rsid w:val="00BA0E95"/>
    <w:rsid w:val="00BA1042"/>
    <w:rsid w:val="00BA1059"/>
    <w:rsid w:val="00BA10D3"/>
    <w:rsid w:val="00BA1336"/>
    <w:rsid w:val="00BA146A"/>
    <w:rsid w:val="00BA1572"/>
    <w:rsid w:val="00BA15BA"/>
    <w:rsid w:val="00BA1610"/>
    <w:rsid w:val="00BA1669"/>
    <w:rsid w:val="00BA17C2"/>
    <w:rsid w:val="00BA1C72"/>
    <w:rsid w:val="00BA1CE7"/>
    <w:rsid w:val="00BA1F10"/>
    <w:rsid w:val="00BA20EA"/>
    <w:rsid w:val="00BA2256"/>
    <w:rsid w:val="00BA2445"/>
    <w:rsid w:val="00BA25AD"/>
    <w:rsid w:val="00BA28F1"/>
    <w:rsid w:val="00BA2963"/>
    <w:rsid w:val="00BA29D5"/>
    <w:rsid w:val="00BA2A36"/>
    <w:rsid w:val="00BA2B5D"/>
    <w:rsid w:val="00BA2BA0"/>
    <w:rsid w:val="00BA2C87"/>
    <w:rsid w:val="00BA2C8D"/>
    <w:rsid w:val="00BA2CAB"/>
    <w:rsid w:val="00BA2F2C"/>
    <w:rsid w:val="00BA3002"/>
    <w:rsid w:val="00BA3287"/>
    <w:rsid w:val="00BA32DE"/>
    <w:rsid w:val="00BA370F"/>
    <w:rsid w:val="00BA37CE"/>
    <w:rsid w:val="00BA38EB"/>
    <w:rsid w:val="00BA39EC"/>
    <w:rsid w:val="00BA3CDA"/>
    <w:rsid w:val="00BA3F98"/>
    <w:rsid w:val="00BA3FBC"/>
    <w:rsid w:val="00BA410C"/>
    <w:rsid w:val="00BA45EF"/>
    <w:rsid w:val="00BA4B2C"/>
    <w:rsid w:val="00BA4BBB"/>
    <w:rsid w:val="00BA4E78"/>
    <w:rsid w:val="00BA4F3C"/>
    <w:rsid w:val="00BA50B9"/>
    <w:rsid w:val="00BA50FE"/>
    <w:rsid w:val="00BA548A"/>
    <w:rsid w:val="00BA553F"/>
    <w:rsid w:val="00BA5568"/>
    <w:rsid w:val="00BA5787"/>
    <w:rsid w:val="00BA5AB9"/>
    <w:rsid w:val="00BA5B96"/>
    <w:rsid w:val="00BA5BA5"/>
    <w:rsid w:val="00BA5D83"/>
    <w:rsid w:val="00BA5F92"/>
    <w:rsid w:val="00BA5FA7"/>
    <w:rsid w:val="00BA5FEC"/>
    <w:rsid w:val="00BA61D0"/>
    <w:rsid w:val="00BA6238"/>
    <w:rsid w:val="00BA629E"/>
    <w:rsid w:val="00BA62E1"/>
    <w:rsid w:val="00BA6303"/>
    <w:rsid w:val="00BA6504"/>
    <w:rsid w:val="00BA67AB"/>
    <w:rsid w:val="00BA6BCA"/>
    <w:rsid w:val="00BA6C3D"/>
    <w:rsid w:val="00BA6D21"/>
    <w:rsid w:val="00BA6ED8"/>
    <w:rsid w:val="00BA6FA4"/>
    <w:rsid w:val="00BA70EA"/>
    <w:rsid w:val="00BA72C2"/>
    <w:rsid w:val="00BA7659"/>
    <w:rsid w:val="00BA77EB"/>
    <w:rsid w:val="00BA795C"/>
    <w:rsid w:val="00BA798E"/>
    <w:rsid w:val="00BA7991"/>
    <w:rsid w:val="00BA7B2C"/>
    <w:rsid w:val="00BA7B2F"/>
    <w:rsid w:val="00BA7B32"/>
    <w:rsid w:val="00BA7C24"/>
    <w:rsid w:val="00BA7C74"/>
    <w:rsid w:val="00BA7D1D"/>
    <w:rsid w:val="00BA7E96"/>
    <w:rsid w:val="00BA7FF1"/>
    <w:rsid w:val="00BB001E"/>
    <w:rsid w:val="00BB009B"/>
    <w:rsid w:val="00BB050E"/>
    <w:rsid w:val="00BB06D5"/>
    <w:rsid w:val="00BB07E1"/>
    <w:rsid w:val="00BB09BC"/>
    <w:rsid w:val="00BB0A76"/>
    <w:rsid w:val="00BB0B2E"/>
    <w:rsid w:val="00BB0C30"/>
    <w:rsid w:val="00BB0DA1"/>
    <w:rsid w:val="00BB0E81"/>
    <w:rsid w:val="00BB0F19"/>
    <w:rsid w:val="00BB11F5"/>
    <w:rsid w:val="00BB1201"/>
    <w:rsid w:val="00BB1540"/>
    <w:rsid w:val="00BB16D1"/>
    <w:rsid w:val="00BB171C"/>
    <w:rsid w:val="00BB17DC"/>
    <w:rsid w:val="00BB1A31"/>
    <w:rsid w:val="00BB1BE1"/>
    <w:rsid w:val="00BB1D0E"/>
    <w:rsid w:val="00BB1D24"/>
    <w:rsid w:val="00BB208A"/>
    <w:rsid w:val="00BB21B3"/>
    <w:rsid w:val="00BB27CB"/>
    <w:rsid w:val="00BB2901"/>
    <w:rsid w:val="00BB2B76"/>
    <w:rsid w:val="00BB2BE5"/>
    <w:rsid w:val="00BB2E3F"/>
    <w:rsid w:val="00BB2EF6"/>
    <w:rsid w:val="00BB3051"/>
    <w:rsid w:val="00BB30BC"/>
    <w:rsid w:val="00BB314D"/>
    <w:rsid w:val="00BB3177"/>
    <w:rsid w:val="00BB33D0"/>
    <w:rsid w:val="00BB340A"/>
    <w:rsid w:val="00BB3436"/>
    <w:rsid w:val="00BB368C"/>
    <w:rsid w:val="00BB3882"/>
    <w:rsid w:val="00BB3896"/>
    <w:rsid w:val="00BB399E"/>
    <w:rsid w:val="00BB3CF4"/>
    <w:rsid w:val="00BB3DE8"/>
    <w:rsid w:val="00BB3EB0"/>
    <w:rsid w:val="00BB3F5B"/>
    <w:rsid w:val="00BB404E"/>
    <w:rsid w:val="00BB412C"/>
    <w:rsid w:val="00BB433D"/>
    <w:rsid w:val="00BB43F3"/>
    <w:rsid w:val="00BB4505"/>
    <w:rsid w:val="00BB4588"/>
    <w:rsid w:val="00BB4595"/>
    <w:rsid w:val="00BB4693"/>
    <w:rsid w:val="00BB4717"/>
    <w:rsid w:val="00BB47B1"/>
    <w:rsid w:val="00BB4881"/>
    <w:rsid w:val="00BB497C"/>
    <w:rsid w:val="00BB4CD4"/>
    <w:rsid w:val="00BB4D10"/>
    <w:rsid w:val="00BB4DB8"/>
    <w:rsid w:val="00BB4E06"/>
    <w:rsid w:val="00BB508F"/>
    <w:rsid w:val="00BB50C4"/>
    <w:rsid w:val="00BB515D"/>
    <w:rsid w:val="00BB5243"/>
    <w:rsid w:val="00BB554C"/>
    <w:rsid w:val="00BB5655"/>
    <w:rsid w:val="00BB588B"/>
    <w:rsid w:val="00BB593D"/>
    <w:rsid w:val="00BB5C38"/>
    <w:rsid w:val="00BB6130"/>
    <w:rsid w:val="00BB6168"/>
    <w:rsid w:val="00BB617E"/>
    <w:rsid w:val="00BB6482"/>
    <w:rsid w:val="00BB64D1"/>
    <w:rsid w:val="00BB659B"/>
    <w:rsid w:val="00BB69B4"/>
    <w:rsid w:val="00BB69FC"/>
    <w:rsid w:val="00BB6AFE"/>
    <w:rsid w:val="00BB6BFC"/>
    <w:rsid w:val="00BB6C8F"/>
    <w:rsid w:val="00BB6E3D"/>
    <w:rsid w:val="00BB72A6"/>
    <w:rsid w:val="00BB75D5"/>
    <w:rsid w:val="00BB76EE"/>
    <w:rsid w:val="00BB7760"/>
    <w:rsid w:val="00BB788A"/>
    <w:rsid w:val="00BB7A6A"/>
    <w:rsid w:val="00BB7C7E"/>
    <w:rsid w:val="00BB7DF0"/>
    <w:rsid w:val="00BB7E3B"/>
    <w:rsid w:val="00BB7EF7"/>
    <w:rsid w:val="00BB7FA2"/>
    <w:rsid w:val="00BB7FF5"/>
    <w:rsid w:val="00BC0255"/>
    <w:rsid w:val="00BC0270"/>
    <w:rsid w:val="00BC02BE"/>
    <w:rsid w:val="00BC0407"/>
    <w:rsid w:val="00BC04A9"/>
    <w:rsid w:val="00BC060F"/>
    <w:rsid w:val="00BC0879"/>
    <w:rsid w:val="00BC094B"/>
    <w:rsid w:val="00BC099A"/>
    <w:rsid w:val="00BC09DA"/>
    <w:rsid w:val="00BC1147"/>
    <w:rsid w:val="00BC1160"/>
    <w:rsid w:val="00BC1238"/>
    <w:rsid w:val="00BC1271"/>
    <w:rsid w:val="00BC145B"/>
    <w:rsid w:val="00BC1483"/>
    <w:rsid w:val="00BC16BF"/>
    <w:rsid w:val="00BC170A"/>
    <w:rsid w:val="00BC1793"/>
    <w:rsid w:val="00BC19D2"/>
    <w:rsid w:val="00BC1A63"/>
    <w:rsid w:val="00BC1AB1"/>
    <w:rsid w:val="00BC1B6F"/>
    <w:rsid w:val="00BC1CB2"/>
    <w:rsid w:val="00BC1D0D"/>
    <w:rsid w:val="00BC1D74"/>
    <w:rsid w:val="00BC1FEE"/>
    <w:rsid w:val="00BC22AB"/>
    <w:rsid w:val="00BC2327"/>
    <w:rsid w:val="00BC2476"/>
    <w:rsid w:val="00BC2573"/>
    <w:rsid w:val="00BC2577"/>
    <w:rsid w:val="00BC25E4"/>
    <w:rsid w:val="00BC2A06"/>
    <w:rsid w:val="00BC2C3F"/>
    <w:rsid w:val="00BC2E69"/>
    <w:rsid w:val="00BC30AD"/>
    <w:rsid w:val="00BC3183"/>
    <w:rsid w:val="00BC341B"/>
    <w:rsid w:val="00BC34CC"/>
    <w:rsid w:val="00BC34DE"/>
    <w:rsid w:val="00BC356E"/>
    <w:rsid w:val="00BC35B5"/>
    <w:rsid w:val="00BC3794"/>
    <w:rsid w:val="00BC390D"/>
    <w:rsid w:val="00BC3AF4"/>
    <w:rsid w:val="00BC3E2F"/>
    <w:rsid w:val="00BC43AE"/>
    <w:rsid w:val="00BC4405"/>
    <w:rsid w:val="00BC445B"/>
    <w:rsid w:val="00BC4520"/>
    <w:rsid w:val="00BC477F"/>
    <w:rsid w:val="00BC47CA"/>
    <w:rsid w:val="00BC49DD"/>
    <w:rsid w:val="00BC4B2A"/>
    <w:rsid w:val="00BC4CB7"/>
    <w:rsid w:val="00BC4EB1"/>
    <w:rsid w:val="00BC500C"/>
    <w:rsid w:val="00BC51F4"/>
    <w:rsid w:val="00BC539E"/>
    <w:rsid w:val="00BC559F"/>
    <w:rsid w:val="00BC57BC"/>
    <w:rsid w:val="00BC57CD"/>
    <w:rsid w:val="00BC5DD7"/>
    <w:rsid w:val="00BC5E56"/>
    <w:rsid w:val="00BC5F03"/>
    <w:rsid w:val="00BC5F77"/>
    <w:rsid w:val="00BC6074"/>
    <w:rsid w:val="00BC60FD"/>
    <w:rsid w:val="00BC61E0"/>
    <w:rsid w:val="00BC62AD"/>
    <w:rsid w:val="00BC656E"/>
    <w:rsid w:val="00BC65C8"/>
    <w:rsid w:val="00BC663C"/>
    <w:rsid w:val="00BC678F"/>
    <w:rsid w:val="00BC684B"/>
    <w:rsid w:val="00BC697B"/>
    <w:rsid w:val="00BC6CA8"/>
    <w:rsid w:val="00BC6CBD"/>
    <w:rsid w:val="00BC6D4C"/>
    <w:rsid w:val="00BC6EF4"/>
    <w:rsid w:val="00BC6F07"/>
    <w:rsid w:val="00BC7408"/>
    <w:rsid w:val="00BC7487"/>
    <w:rsid w:val="00BC754F"/>
    <w:rsid w:val="00BC791C"/>
    <w:rsid w:val="00BC797F"/>
    <w:rsid w:val="00BC79FA"/>
    <w:rsid w:val="00BC7A11"/>
    <w:rsid w:val="00BC7B77"/>
    <w:rsid w:val="00BC7E33"/>
    <w:rsid w:val="00BD0103"/>
    <w:rsid w:val="00BD02CF"/>
    <w:rsid w:val="00BD03C5"/>
    <w:rsid w:val="00BD0449"/>
    <w:rsid w:val="00BD0718"/>
    <w:rsid w:val="00BD08DA"/>
    <w:rsid w:val="00BD095D"/>
    <w:rsid w:val="00BD0A92"/>
    <w:rsid w:val="00BD0BA1"/>
    <w:rsid w:val="00BD0D99"/>
    <w:rsid w:val="00BD0FDE"/>
    <w:rsid w:val="00BD13FC"/>
    <w:rsid w:val="00BD1503"/>
    <w:rsid w:val="00BD1526"/>
    <w:rsid w:val="00BD1579"/>
    <w:rsid w:val="00BD15E0"/>
    <w:rsid w:val="00BD1826"/>
    <w:rsid w:val="00BD1845"/>
    <w:rsid w:val="00BD1C40"/>
    <w:rsid w:val="00BD1E1F"/>
    <w:rsid w:val="00BD1E76"/>
    <w:rsid w:val="00BD204D"/>
    <w:rsid w:val="00BD2160"/>
    <w:rsid w:val="00BD230D"/>
    <w:rsid w:val="00BD26CC"/>
    <w:rsid w:val="00BD285F"/>
    <w:rsid w:val="00BD2ABB"/>
    <w:rsid w:val="00BD2BC6"/>
    <w:rsid w:val="00BD2BF8"/>
    <w:rsid w:val="00BD2D82"/>
    <w:rsid w:val="00BD30AF"/>
    <w:rsid w:val="00BD3123"/>
    <w:rsid w:val="00BD3252"/>
    <w:rsid w:val="00BD32CE"/>
    <w:rsid w:val="00BD339D"/>
    <w:rsid w:val="00BD3785"/>
    <w:rsid w:val="00BD37D1"/>
    <w:rsid w:val="00BD388E"/>
    <w:rsid w:val="00BD38B3"/>
    <w:rsid w:val="00BD39B5"/>
    <w:rsid w:val="00BD3A31"/>
    <w:rsid w:val="00BD3A62"/>
    <w:rsid w:val="00BD3AF8"/>
    <w:rsid w:val="00BD3BF4"/>
    <w:rsid w:val="00BD3C84"/>
    <w:rsid w:val="00BD3D31"/>
    <w:rsid w:val="00BD3ED5"/>
    <w:rsid w:val="00BD4386"/>
    <w:rsid w:val="00BD43E0"/>
    <w:rsid w:val="00BD4456"/>
    <w:rsid w:val="00BD4474"/>
    <w:rsid w:val="00BD46AD"/>
    <w:rsid w:val="00BD4723"/>
    <w:rsid w:val="00BD47E0"/>
    <w:rsid w:val="00BD485F"/>
    <w:rsid w:val="00BD4DB8"/>
    <w:rsid w:val="00BD4DE2"/>
    <w:rsid w:val="00BD5520"/>
    <w:rsid w:val="00BD5607"/>
    <w:rsid w:val="00BD5A32"/>
    <w:rsid w:val="00BD5B8D"/>
    <w:rsid w:val="00BD5B90"/>
    <w:rsid w:val="00BD5BF7"/>
    <w:rsid w:val="00BD5FDF"/>
    <w:rsid w:val="00BD610E"/>
    <w:rsid w:val="00BD6122"/>
    <w:rsid w:val="00BD6193"/>
    <w:rsid w:val="00BD626F"/>
    <w:rsid w:val="00BD6379"/>
    <w:rsid w:val="00BD65DB"/>
    <w:rsid w:val="00BD67F0"/>
    <w:rsid w:val="00BD68F5"/>
    <w:rsid w:val="00BD6992"/>
    <w:rsid w:val="00BD69BB"/>
    <w:rsid w:val="00BD6B8E"/>
    <w:rsid w:val="00BD6BFF"/>
    <w:rsid w:val="00BD6DC1"/>
    <w:rsid w:val="00BD7306"/>
    <w:rsid w:val="00BD747F"/>
    <w:rsid w:val="00BD74E6"/>
    <w:rsid w:val="00BD769A"/>
    <w:rsid w:val="00BD779C"/>
    <w:rsid w:val="00BD78C8"/>
    <w:rsid w:val="00BD7B0B"/>
    <w:rsid w:val="00BD7C13"/>
    <w:rsid w:val="00BD7C91"/>
    <w:rsid w:val="00BD7D0C"/>
    <w:rsid w:val="00BD7D11"/>
    <w:rsid w:val="00BE01E0"/>
    <w:rsid w:val="00BE05B3"/>
    <w:rsid w:val="00BE0980"/>
    <w:rsid w:val="00BE0B1C"/>
    <w:rsid w:val="00BE0B2E"/>
    <w:rsid w:val="00BE0CF6"/>
    <w:rsid w:val="00BE0D3F"/>
    <w:rsid w:val="00BE0E08"/>
    <w:rsid w:val="00BE0E15"/>
    <w:rsid w:val="00BE12D8"/>
    <w:rsid w:val="00BE1430"/>
    <w:rsid w:val="00BE161E"/>
    <w:rsid w:val="00BE1689"/>
    <w:rsid w:val="00BE1731"/>
    <w:rsid w:val="00BE177A"/>
    <w:rsid w:val="00BE1882"/>
    <w:rsid w:val="00BE18FF"/>
    <w:rsid w:val="00BE1B50"/>
    <w:rsid w:val="00BE1F8F"/>
    <w:rsid w:val="00BE20AA"/>
    <w:rsid w:val="00BE20D9"/>
    <w:rsid w:val="00BE2311"/>
    <w:rsid w:val="00BE256C"/>
    <w:rsid w:val="00BE2A2C"/>
    <w:rsid w:val="00BE2C74"/>
    <w:rsid w:val="00BE2FB5"/>
    <w:rsid w:val="00BE305E"/>
    <w:rsid w:val="00BE318B"/>
    <w:rsid w:val="00BE31B8"/>
    <w:rsid w:val="00BE3392"/>
    <w:rsid w:val="00BE34FB"/>
    <w:rsid w:val="00BE35F5"/>
    <w:rsid w:val="00BE382D"/>
    <w:rsid w:val="00BE38ED"/>
    <w:rsid w:val="00BE38F8"/>
    <w:rsid w:val="00BE3A5B"/>
    <w:rsid w:val="00BE3A88"/>
    <w:rsid w:val="00BE3A98"/>
    <w:rsid w:val="00BE3AA8"/>
    <w:rsid w:val="00BE3D46"/>
    <w:rsid w:val="00BE3DD1"/>
    <w:rsid w:val="00BE412C"/>
    <w:rsid w:val="00BE4298"/>
    <w:rsid w:val="00BE45FF"/>
    <w:rsid w:val="00BE478A"/>
    <w:rsid w:val="00BE482B"/>
    <w:rsid w:val="00BE4834"/>
    <w:rsid w:val="00BE4972"/>
    <w:rsid w:val="00BE49D4"/>
    <w:rsid w:val="00BE4A40"/>
    <w:rsid w:val="00BE4AAA"/>
    <w:rsid w:val="00BE5273"/>
    <w:rsid w:val="00BE53CF"/>
    <w:rsid w:val="00BE53F6"/>
    <w:rsid w:val="00BE55C8"/>
    <w:rsid w:val="00BE590E"/>
    <w:rsid w:val="00BE594B"/>
    <w:rsid w:val="00BE599B"/>
    <w:rsid w:val="00BE59F6"/>
    <w:rsid w:val="00BE5BAA"/>
    <w:rsid w:val="00BE5D5A"/>
    <w:rsid w:val="00BE5E90"/>
    <w:rsid w:val="00BE5F29"/>
    <w:rsid w:val="00BE5F79"/>
    <w:rsid w:val="00BE6361"/>
    <w:rsid w:val="00BE676F"/>
    <w:rsid w:val="00BE67FE"/>
    <w:rsid w:val="00BE6A5A"/>
    <w:rsid w:val="00BE6A90"/>
    <w:rsid w:val="00BE6AC9"/>
    <w:rsid w:val="00BE6E00"/>
    <w:rsid w:val="00BE6E71"/>
    <w:rsid w:val="00BE70E5"/>
    <w:rsid w:val="00BE71A9"/>
    <w:rsid w:val="00BE7685"/>
    <w:rsid w:val="00BE7803"/>
    <w:rsid w:val="00BE795E"/>
    <w:rsid w:val="00BE79B8"/>
    <w:rsid w:val="00BE79E6"/>
    <w:rsid w:val="00BE7AC1"/>
    <w:rsid w:val="00BE7BC3"/>
    <w:rsid w:val="00BE7BC8"/>
    <w:rsid w:val="00BF01D8"/>
    <w:rsid w:val="00BF0226"/>
    <w:rsid w:val="00BF02E7"/>
    <w:rsid w:val="00BF0371"/>
    <w:rsid w:val="00BF041E"/>
    <w:rsid w:val="00BF0490"/>
    <w:rsid w:val="00BF0625"/>
    <w:rsid w:val="00BF0BF7"/>
    <w:rsid w:val="00BF0D63"/>
    <w:rsid w:val="00BF0DD0"/>
    <w:rsid w:val="00BF0F36"/>
    <w:rsid w:val="00BF1043"/>
    <w:rsid w:val="00BF11B0"/>
    <w:rsid w:val="00BF1494"/>
    <w:rsid w:val="00BF14CD"/>
    <w:rsid w:val="00BF14D0"/>
    <w:rsid w:val="00BF1508"/>
    <w:rsid w:val="00BF160B"/>
    <w:rsid w:val="00BF16BC"/>
    <w:rsid w:val="00BF1788"/>
    <w:rsid w:val="00BF193C"/>
    <w:rsid w:val="00BF1990"/>
    <w:rsid w:val="00BF1BFB"/>
    <w:rsid w:val="00BF1C42"/>
    <w:rsid w:val="00BF1DFD"/>
    <w:rsid w:val="00BF22F7"/>
    <w:rsid w:val="00BF2334"/>
    <w:rsid w:val="00BF233A"/>
    <w:rsid w:val="00BF2388"/>
    <w:rsid w:val="00BF2784"/>
    <w:rsid w:val="00BF28D9"/>
    <w:rsid w:val="00BF2906"/>
    <w:rsid w:val="00BF2907"/>
    <w:rsid w:val="00BF2B7B"/>
    <w:rsid w:val="00BF2C90"/>
    <w:rsid w:val="00BF2F08"/>
    <w:rsid w:val="00BF3076"/>
    <w:rsid w:val="00BF3347"/>
    <w:rsid w:val="00BF33BD"/>
    <w:rsid w:val="00BF3571"/>
    <w:rsid w:val="00BF357B"/>
    <w:rsid w:val="00BF35FC"/>
    <w:rsid w:val="00BF366A"/>
    <w:rsid w:val="00BF36BF"/>
    <w:rsid w:val="00BF385A"/>
    <w:rsid w:val="00BF38DF"/>
    <w:rsid w:val="00BF3960"/>
    <w:rsid w:val="00BF3CD6"/>
    <w:rsid w:val="00BF40B7"/>
    <w:rsid w:val="00BF4421"/>
    <w:rsid w:val="00BF479D"/>
    <w:rsid w:val="00BF49E3"/>
    <w:rsid w:val="00BF4A4C"/>
    <w:rsid w:val="00BF4CA0"/>
    <w:rsid w:val="00BF511E"/>
    <w:rsid w:val="00BF5121"/>
    <w:rsid w:val="00BF525F"/>
    <w:rsid w:val="00BF55AF"/>
    <w:rsid w:val="00BF58E9"/>
    <w:rsid w:val="00BF59A4"/>
    <w:rsid w:val="00BF5A4F"/>
    <w:rsid w:val="00BF5DAF"/>
    <w:rsid w:val="00BF5E47"/>
    <w:rsid w:val="00BF5EDB"/>
    <w:rsid w:val="00BF6CD2"/>
    <w:rsid w:val="00BF6CDE"/>
    <w:rsid w:val="00BF6FE7"/>
    <w:rsid w:val="00BF6FE8"/>
    <w:rsid w:val="00BF71FB"/>
    <w:rsid w:val="00BF7394"/>
    <w:rsid w:val="00BF74D9"/>
    <w:rsid w:val="00BF7793"/>
    <w:rsid w:val="00BF79D5"/>
    <w:rsid w:val="00BF7AC0"/>
    <w:rsid w:val="00BF7F9C"/>
    <w:rsid w:val="00BF7FBD"/>
    <w:rsid w:val="00C001A4"/>
    <w:rsid w:val="00C00216"/>
    <w:rsid w:val="00C00355"/>
    <w:rsid w:val="00C0035B"/>
    <w:rsid w:val="00C004D9"/>
    <w:rsid w:val="00C005F6"/>
    <w:rsid w:val="00C0062F"/>
    <w:rsid w:val="00C0073E"/>
    <w:rsid w:val="00C0078B"/>
    <w:rsid w:val="00C009B8"/>
    <w:rsid w:val="00C00C8B"/>
    <w:rsid w:val="00C00C90"/>
    <w:rsid w:val="00C00E02"/>
    <w:rsid w:val="00C00F66"/>
    <w:rsid w:val="00C00FA2"/>
    <w:rsid w:val="00C011D4"/>
    <w:rsid w:val="00C0159C"/>
    <w:rsid w:val="00C0160B"/>
    <w:rsid w:val="00C01722"/>
    <w:rsid w:val="00C01732"/>
    <w:rsid w:val="00C01A38"/>
    <w:rsid w:val="00C01B17"/>
    <w:rsid w:val="00C01BA7"/>
    <w:rsid w:val="00C01BE1"/>
    <w:rsid w:val="00C01D25"/>
    <w:rsid w:val="00C01E0E"/>
    <w:rsid w:val="00C0209A"/>
    <w:rsid w:val="00C02436"/>
    <w:rsid w:val="00C02527"/>
    <w:rsid w:val="00C0261D"/>
    <w:rsid w:val="00C02679"/>
    <w:rsid w:val="00C0272D"/>
    <w:rsid w:val="00C02734"/>
    <w:rsid w:val="00C0288E"/>
    <w:rsid w:val="00C0294D"/>
    <w:rsid w:val="00C02A5C"/>
    <w:rsid w:val="00C02D45"/>
    <w:rsid w:val="00C0310B"/>
    <w:rsid w:val="00C03309"/>
    <w:rsid w:val="00C03456"/>
    <w:rsid w:val="00C0352A"/>
    <w:rsid w:val="00C03775"/>
    <w:rsid w:val="00C037E4"/>
    <w:rsid w:val="00C03842"/>
    <w:rsid w:val="00C038D7"/>
    <w:rsid w:val="00C03DF4"/>
    <w:rsid w:val="00C04191"/>
    <w:rsid w:val="00C04318"/>
    <w:rsid w:val="00C0439D"/>
    <w:rsid w:val="00C0496F"/>
    <w:rsid w:val="00C049B3"/>
    <w:rsid w:val="00C04C31"/>
    <w:rsid w:val="00C04E8D"/>
    <w:rsid w:val="00C04EDA"/>
    <w:rsid w:val="00C0506E"/>
    <w:rsid w:val="00C0511F"/>
    <w:rsid w:val="00C051DC"/>
    <w:rsid w:val="00C05378"/>
    <w:rsid w:val="00C053EF"/>
    <w:rsid w:val="00C05454"/>
    <w:rsid w:val="00C0558A"/>
    <w:rsid w:val="00C05732"/>
    <w:rsid w:val="00C057E3"/>
    <w:rsid w:val="00C05AB7"/>
    <w:rsid w:val="00C05EA7"/>
    <w:rsid w:val="00C05FDC"/>
    <w:rsid w:val="00C060ED"/>
    <w:rsid w:val="00C061CB"/>
    <w:rsid w:val="00C0647A"/>
    <w:rsid w:val="00C06596"/>
    <w:rsid w:val="00C067B1"/>
    <w:rsid w:val="00C06861"/>
    <w:rsid w:val="00C0687D"/>
    <w:rsid w:val="00C06942"/>
    <w:rsid w:val="00C069C9"/>
    <w:rsid w:val="00C06B63"/>
    <w:rsid w:val="00C06BA6"/>
    <w:rsid w:val="00C06F11"/>
    <w:rsid w:val="00C06F9E"/>
    <w:rsid w:val="00C06FE7"/>
    <w:rsid w:val="00C0722D"/>
    <w:rsid w:val="00C07419"/>
    <w:rsid w:val="00C07706"/>
    <w:rsid w:val="00C07B2C"/>
    <w:rsid w:val="00C07BD6"/>
    <w:rsid w:val="00C07D25"/>
    <w:rsid w:val="00C07D91"/>
    <w:rsid w:val="00C07F6C"/>
    <w:rsid w:val="00C100C9"/>
    <w:rsid w:val="00C102C8"/>
    <w:rsid w:val="00C1050A"/>
    <w:rsid w:val="00C1051A"/>
    <w:rsid w:val="00C10724"/>
    <w:rsid w:val="00C1080D"/>
    <w:rsid w:val="00C10835"/>
    <w:rsid w:val="00C10B25"/>
    <w:rsid w:val="00C10D94"/>
    <w:rsid w:val="00C11003"/>
    <w:rsid w:val="00C1139F"/>
    <w:rsid w:val="00C1157E"/>
    <w:rsid w:val="00C118EC"/>
    <w:rsid w:val="00C119AB"/>
    <w:rsid w:val="00C11AB1"/>
    <w:rsid w:val="00C11ABB"/>
    <w:rsid w:val="00C11B93"/>
    <w:rsid w:val="00C11CC0"/>
    <w:rsid w:val="00C11D68"/>
    <w:rsid w:val="00C11E0D"/>
    <w:rsid w:val="00C11E5B"/>
    <w:rsid w:val="00C11EF8"/>
    <w:rsid w:val="00C11F81"/>
    <w:rsid w:val="00C1201B"/>
    <w:rsid w:val="00C1215D"/>
    <w:rsid w:val="00C124A9"/>
    <w:rsid w:val="00C125F5"/>
    <w:rsid w:val="00C1265A"/>
    <w:rsid w:val="00C126FA"/>
    <w:rsid w:val="00C12CCF"/>
    <w:rsid w:val="00C12D77"/>
    <w:rsid w:val="00C12EEB"/>
    <w:rsid w:val="00C12F87"/>
    <w:rsid w:val="00C13124"/>
    <w:rsid w:val="00C134DA"/>
    <w:rsid w:val="00C134E9"/>
    <w:rsid w:val="00C1352B"/>
    <w:rsid w:val="00C1359D"/>
    <w:rsid w:val="00C13622"/>
    <w:rsid w:val="00C1373F"/>
    <w:rsid w:val="00C13A43"/>
    <w:rsid w:val="00C13B17"/>
    <w:rsid w:val="00C13C25"/>
    <w:rsid w:val="00C13C5E"/>
    <w:rsid w:val="00C1408E"/>
    <w:rsid w:val="00C140E3"/>
    <w:rsid w:val="00C14194"/>
    <w:rsid w:val="00C1422D"/>
    <w:rsid w:val="00C1461B"/>
    <w:rsid w:val="00C14802"/>
    <w:rsid w:val="00C148AB"/>
    <w:rsid w:val="00C14988"/>
    <w:rsid w:val="00C14C4C"/>
    <w:rsid w:val="00C15218"/>
    <w:rsid w:val="00C152A9"/>
    <w:rsid w:val="00C15555"/>
    <w:rsid w:val="00C15A1A"/>
    <w:rsid w:val="00C15A97"/>
    <w:rsid w:val="00C15B75"/>
    <w:rsid w:val="00C15CEA"/>
    <w:rsid w:val="00C15F06"/>
    <w:rsid w:val="00C16111"/>
    <w:rsid w:val="00C16372"/>
    <w:rsid w:val="00C16504"/>
    <w:rsid w:val="00C165ED"/>
    <w:rsid w:val="00C168EC"/>
    <w:rsid w:val="00C170C1"/>
    <w:rsid w:val="00C170C9"/>
    <w:rsid w:val="00C1710D"/>
    <w:rsid w:val="00C1733F"/>
    <w:rsid w:val="00C173D0"/>
    <w:rsid w:val="00C17430"/>
    <w:rsid w:val="00C1745B"/>
    <w:rsid w:val="00C17661"/>
    <w:rsid w:val="00C17730"/>
    <w:rsid w:val="00C17783"/>
    <w:rsid w:val="00C17940"/>
    <w:rsid w:val="00C17A0C"/>
    <w:rsid w:val="00C17A18"/>
    <w:rsid w:val="00C17C0C"/>
    <w:rsid w:val="00C17C90"/>
    <w:rsid w:val="00C200EF"/>
    <w:rsid w:val="00C20175"/>
    <w:rsid w:val="00C2030F"/>
    <w:rsid w:val="00C20373"/>
    <w:rsid w:val="00C20507"/>
    <w:rsid w:val="00C206D7"/>
    <w:rsid w:val="00C2075F"/>
    <w:rsid w:val="00C2085D"/>
    <w:rsid w:val="00C20946"/>
    <w:rsid w:val="00C20994"/>
    <w:rsid w:val="00C209D6"/>
    <w:rsid w:val="00C20B58"/>
    <w:rsid w:val="00C20CBE"/>
    <w:rsid w:val="00C20D00"/>
    <w:rsid w:val="00C21069"/>
    <w:rsid w:val="00C2142A"/>
    <w:rsid w:val="00C214B9"/>
    <w:rsid w:val="00C2152A"/>
    <w:rsid w:val="00C21908"/>
    <w:rsid w:val="00C21C17"/>
    <w:rsid w:val="00C21C4F"/>
    <w:rsid w:val="00C21D91"/>
    <w:rsid w:val="00C22093"/>
    <w:rsid w:val="00C2209B"/>
    <w:rsid w:val="00C220A5"/>
    <w:rsid w:val="00C220FB"/>
    <w:rsid w:val="00C225C8"/>
    <w:rsid w:val="00C226E6"/>
    <w:rsid w:val="00C2273F"/>
    <w:rsid w:val="00C22BFE"/>
    <w:rsid w:val="00C22F74"/>
    <w:rsid w:val="00C231D8"/>
    <w:rsid w:val="00C23250"/>
    <w:rsid w:val="00C2376F"/>
    <w:rsid w:val="00C23811"/>
    <w:rsid w:val="00C238F5"/>
    <w:rsid w:val="00C23935"/>
    <w:rsid w:val="00C23A0E"/>
    <w:rsid w:val="00C23B12"/>
    <w:rsid w:val="00C2417E"/>
    <w:rsid w:val="00C24332"/>
    <w:rsid w:val="00C243B1"/>
    <w:rsid w:val="00C2458F"/>
    <w:rsid w:val="00C24753"/>
    <w:rsid w:val="00C24966"/>
    <w:rsid w:val="00C24C49"/>
    <w:rsid w:val="00C24C53"/>
    <w:rsid w:val="00C24C57"/>
    <w:rsid w:val="00C24C64"/>
    <w:rsid w:val="00C24CBD"/>
    <w:rsid w:val="00C24F9C"/>
    <w:rsid w:val="00C250FB"/>
    <w:rsid w:val="00C2530D"/>
    <w:rsid w:val="00C25335"/>
    <w:rsid w:val="00C25431"/>
    <w:rsid w:val="00C255D2"/>
    <w:rsid w:val="00C25633"/>
    <w:rsid w:val="00C2563F"/>
    <w:rsid w:val="00C256D9"/>
    <w:rsid w:val="00C25765"/>
    <w:rsid w:val="00C2580A"/>
    <w:rsid w:val="00C258C8"/>
    <w:rsid w:val="00C25CC4"/>
    <w:rsid w:val="00C25D52"/>
    <w:rsid w:val="00C25D96"/>
    <w:rsid w:val="00C2608D"/>
    <w:rsid w:val="00C26294"/>
    <w:rsid w:val="00C2636A"/>
    <w:rsid w:val="00C2667B"/>
    <w:rsid w:val="00C26755"/>
    <w:rsid w:val="00C269D0"/>
    <w:rsid w:val="00C26BB0"/>
    <w:rsid w:val="00C26E72"/>
    <w:rsid w:val="00C270F0"/>
    <w:rsid w:val="00C27168"/>
    <w:rsid w:val="00C27399"/>
    <w:rsid w:val="00C273CC"/>
    <w:rsid w:val="00C27446"/>
    <w:rsid w:val="00C274D2"/>
    <w:rsid w:val="00C275D9"/>
    <w:rsid w:val="00C275FC"/>
    <w:rsid w:val="00C277D1"/>
    <w:rsid w:val="00C277F0"/>
    <w:rsid w:val="00C27A71"/>
    <w:rsid w:val="00C27B32"/>
    <w:rsid w:val="00C27BBF"/>
    <w:rsid w:val="00C27D57"/>
    <w:rsid w:val="00C27FE8"/>
    <w:rsid w:val="00C302FF"/>
    <w:rsid w:val="00C304A5"/>
    <w:rsid w:val="00C3052C"/>
    <w:rsid w:val="00C3056D"/>
    <w:rsid w:val="00C305D7"/>
    <w:rsid w:val="00C30691"/>
    <w:rsid w:val="00C3074B"/>
    <w:rsid w:val="00C30BED"/>
    <w:rsid w:val="00C310FE"/>
    <w:rsid w:val="00C311CF"/>
    <w:rsid w:val="00C3120E"/>
    <w:rsid w:val="00C3121D"/>
    <w:rsid w:val="00C313A7"/>
    <w:rsid w:val="00C31531"/>
    <w:rsid w:val="00C31692"/>
    <w:rsid w:val="00C316AE"/>
    <w:rsid w:val="00C317A1"/>
    <w:rsid w:val="00C31C6D"/>
    <w:rsid w:val="00C31E52"/>
    <w:rsid w:val="00C32536"/>
    <w:rsid w:val="00C32E65"/>
    <w:rsid w:val="00C33060"/>
    <w:rsid w:val="00C330A0"/>
    <w:rsid w:val="00C33127"/>
    <w:rsid w:val="00C33196"/>
    <w:rsid w:val="00C334B2"/>
    <w:rsid w:val="00C3354B"/>
    <w:rsid w:val="00C3359F"/>
    <w:rsid w:val="00C33C3F"/>
    <w:rsid w:val="00C33DA9"/>
    <w:rsid w:val="00C3404C"/>
    <w:rsid w:val="00C34261"/>
    <w:rsid w:val="00C34594"/>
    <w:rsid w:val="00C34831"/>
    <w:rsid w:val="00C34ABA"/>
    <w:rsid w:val="00C34BB1"/>
    <w:rsid w:val="00C34C4C"/>
    <w:rsid w:val="00C34D6B"/>
    <w:rsid w:val="00C34DB2"/>
    <w:rsid w:val="00C34E78"/>
    <w:rsid w:val="00C34EC7"/>
    <w:rsid w:val="00C34EE1"/>
    <w:rsid w:val="00C34F45"/>
    <w:rsid w:val="00C34F5E"/>
    <w:rsid w:val="00C351FE"/>
    <w:rsid w:val="00C35222"/>
    <w:rsid w:val="00C355A3"/>
    <w:rsid w:val="00C357D5"/>
    <w:rsid w:val="00C35908"/>
    <w:rsid w:val="00C35964"/>
    <w:rsid w:val="00C35A86"/>
    <w:rsid w:val="00C35AE4"/>
    <w:rsid w:val="00C35C73"/>
    <w:rsid w:val="00C36139"/>
    <w:rsid w:val="00C361AC"/>
    <w:rsid w:val="00C3625D"/>
    <w:rsid w:val="00C3652A"/>
    <w:rsid w:val="00C366E3"/>
    <w:rsid w:val="00C36AF9"/>
    <w:rsid w:val="00C36B05"/>
    <w:rsid w:val="00C36BE1"/>
    <w:rsid w:val="00C36C85"/>
    <w:rsid w:val="00C36D76"/>
    <w:rsid w:val="00C36F4B"/>
    <w:rsid w:val="00C3731C"/>
    <w:rsid w:val="00C374F7"/>
    <w:rsid w:val="00C37754"/>
    <w:rsid w:val="00C3785C"/>
    <w:rsid w:val="00C37940"/>
    <w:rsid w:val="00C37E29"/>
    <w:rsid w:val="00C37E43"/>
    <w:rsid w:val="00C37E80"/>
    <w:rsid w:val="00C37FD0"/>
    <w:rsid w:val="00C40462"/>
    <w:rsid w:val="00C40562"/>
    <w:rsid w:val="00C405E8"/>
    <w:rsid w:val="00C40791"/>
    <w:rsid w:val="00C40950"/>
    <w:rsid w:val="00C409C2"/>
    <w:rsid w:val="00C40B90"/>
    <w:rsid w:val="00C40BE8"/>
    <w:rsid w:val="00C40C5E"/>
    <w:rsid w:val="00C40D07"/>
    <w:rsid w:val="00C40DEA"/>
    <w:rsid w:val="00C40F7B"/>
    <w:rsid w:val="00C40FD6"/>
    <w:rsid w:val="00C4118B"/>
    <w:rsid w:val="00C41321"/>
    <w:rsid w:val="00C41328"/>
    <w:rsid w:val="00C41830"/>
    <w:rsid w:val="00C419B6"/>
    <w:rsid w:val="00C419DE"/>
    <w:rsid w:val="00C41D31"/>
    <w:rsid w:val="00C42083"/>
    <w:rsid w:val="00C421C9"/>
    <w:rsid w:val="00C4270E"/>
    <w:rsid w:val="00C42CDB"/>
    <w:rsid w:val="00C433CA"/>
    <w:rsid w:val="00C43427"/>
    <w:rsid w:val="00C434C4"/>
    <w:rsid w:val="00C43743"/>
    <w:rsid w:val="00C4375E"/>
    <w:rsid w:val="00C437BB"/>
    <w:rsid w:val="00C43B5D"/>
    <w:rsid w:val="00C43BA6"/>
    <w:rsid w:val="00C43C06"/>
    <w:rsid w:val="00C43CFD"/>
    <w:rsid w:val="00C441B2"/>
    <w:rsid w:val="00C441B8"/>
    <w:rsid w:val="00C443A1"/>
    <w:rsid w:val="00C4440D"/>
    <w:rsid w:val="00C44544"/>
    <w:rsid w:val="00C44634"/>
    <w:rsid w:val="00C4474E"/>
    <w:rsid w:val="00C448F4"/>
    <w:rsid w:val="00C449FC"/>
    <w:rsid w:val="00C44A02"/>
    <w:rsid w:val="00C44B78"/>
    <w:rsid w:val="00C44D56"/>
    <w:rsid w:val="00C44DA6"/>
    <w:rsid w:val="00C44EB2"/>
    <w:rsid w:val="00C44EF1"/>
    <w:rsid w:val="00C44F82"/>
    <w:rsid w:val="00C4511F"/>
    <w:rsid w:val="00C4549E"/>
    <w:rsid w:val="00C4579A"/>
    <w:rsid w:val="00C45BE6"/>
    <w:rsid w:val="00C45C1B"/>
    <w:rsid w:val="00C45C90"/>
    <w:rsid w:val="00C45CEC"/>
    <w:rsid w:val="00C45D1A"/>
    <w:rsid w:val="00C45D3E"/>
    <w:rsid w:val="00C45F64"/>
    <w:rsid w:val="00C461AA"/>
    <w:rsid w:val="00C461AC"/>
    <w:rsid w:val="00C462E1"/>
    <w:rsid w:val="00C464B8"/>
    <w:rsid w:val="00C46615"/>
    <w:rsid w:val="00C468F9"/>
    <w:rsid w:val="00C46A68"/>
    <w:rsid w:val="00C46B1A"/>
    <w:rsid w:val="00C46B31"/>
    <w:rsid w:val="00C46D18"/>
    <w:rsid w:val="00C46D88"/>
    <w:rsid w:val="00C47177"/>
    <w:rsid w:val="00C471CF"/>
    <w:rsid w:val="00C4723A"/>
    <w:rsid w:val="00C473ED"/>
    <w:rsid w:val="00C4742B"/>
    <w:rsid w:val="00C4754F"/>
    <w:rsid w:val="00C4781C"/>
    <w:rsid w:val="00C47927"/>
    <w:rsid w:val="00C479A5"/>
    <w:rsid w:val="00C47A02"/>
    <w:rsid w:val="00C47D75"/>
    <w:rsid w:val="00C47E25"/>
    <w:rsid w:val="00C47F22"/>
    <w:rsid w:val="00C50053"/>
    <w:rsid w:val="00C500A7"/>
    <w:rsid w:val="00C50240"/>
    <w:rsid w:val="00C5024A"/>
    <w:rsid w:val="00C505FA"/>
    <w:rsid w:val="00C508C9"/>
    <w:rsid w:val="00C50954"/>
    <w:rsid w:val="00C50A25"/>
    <w:rsid w:val="00C50BB8"/>
    <w:rsid w:val="00C50C4B"/>
    <w:rsid w:val="00C50CCC"/>
    <w:rsid w:val="00C50F26"/>
    <w:rsid w:val="00C50FCE"/>
    <w:rsid w:val="00C50FD0"/>
    <w:rsid w:val="00C51078"/>
    <w:rsid w:val="00C51145"/>
    <w:rsid w:val="00C511AF"/>
    <w:rsid w:val="00C5121E"/>
    <w:rsid w:val="00C512AA"/>
    <w:rsid w:val="00C51303"/>
    <w:rsid w:val="00C513FA"/>
    <w:rsid w:val="00C5175A"/>
    <w:rsid w:val="00C51892"/>
    <w:rsid w:val="00C518EF"/>
    <w:rsid w:val="00C51A46"/>
    <w:rsid w:val="00C52369"/>
    <w:rsid w:val="00C52721"/>
    <w:rsid w:val="00C52E74"/>
    <w:rsid w:val="00C52EB5"/>
    <w:rsid w:val="00C5301C"/>
    <w:rsid w:val="00C5302C"/>
    <w:rsid w:val="00C53225"/>
    <w:rsid w:val="00C53350"/>
    <w:rsid w:val="00C53362"/>
    <w:rsid w:val="00C533CD"/>
    <w:rsid w:val="00C5343E"/>
    <w:rsid w:val="00C53B58"/>
    <w:rsid w:val="00C53ECF"/>
    <w:rsid w:val="00C53F59"/>
    <w:rsid w:val="00C54237"/>
    <w:rsid w:val="00C54406"/>
    <w:rsid w:val="00C546C1"/>
    <w:rsid w:val="00C5483B"/>
    <w:rsid w:val="00C54937"/>
    <w:rsid w:val="00C5493C"/>
    <w:rsid w:val="00C54B17"/>
    <w:rsid w:val="00C54B44"/>
    <w:rsid w:val="00C54E9A"/>
    <w:rsid w:val="00C54E9B"/>
    <w:rsid w:val="00C550CA"/>
    <w:rsid w:val="00C5537F"/>
    <w:rsid w:val="00C5550A"/>
    <w:rsid w:val="00C5558B"/>
    <w:rsid w:val="00C558B7"/>
    <w:rsid w:val="00C55A06"/>
    <w:rsid w:val="00C55A38"/>
    <w:rsid w:val="00C55A8C"/>
    <w:rsid w:val="00C55AA1"/>
    <w:rsid w:val="00C55BC6"/>
    <w:rsid w:val="00C55BFD"/>
    <w:rsid w:val="00C55F6D"/>
    <w:rsid w:val="00C5614F"/>
    <w:rsid w:val="00C5629C"/>
    <w:rsid w:val="00C566CF"/>
    <w:rsid w:val="00C56CD8"/>
    <w:rsid w:val="00C56D1D"/>
    <w:rsid w:val="00C56D9E"/>
    <w:rsid w:val="00C56E5F"/>
    <w:rsid w:val="00C56E78"/>
    <w:rsid w:val="00C56EE2"/>
    <w:rsid w:val="00C57052"/>
    <w:rsid w:val="00C570E6"/>
    <w:rsid w:val="00C57256"/>
    <w:rsid w:val="00C57471"/>
    <w:rsid w:val="00C574B0"/>
    <w:rsid w:val="00C574B1"/>
    <w:rsid w:val="00C574B2"/>
    <w:rsid w:val="00C57571"/>
    <w:rsid w:val="00C5768A"/>
    <w:rsid w:val="00C576D2"/>
    <w:rsid w:val="00C57EE1"/>
    <w:rsid w:val="00C60340"/>
    <w:rsid w:val="00C6037F"/>
    <w:rsid w:val="00C60471"/>
    <w:rsid w:val="00C604D2"/>
    <w:rsid w:val="00C60610"/>
    <w:rsid w:val="00C60771"/>
    <w:rsid w:val="00C60C1B"/>
    <w:rsid w:val="00C60E5A"/>
    <w:rsid w:val="00C60ECA"/>
    <w:rsid w:val="00C6101B"/>
    <w:rsid w:val="00C61238"/>
    <w:rsid w:val="00C61423"/>
    <w:rsid w:val="00C615A2"/>
    <w:rsid w:val="00C619AD"/>
    <w:rsid w:val="00C61A44"/>
    <w:rsid w:val="00C61C3F"/>
    <w:rsid w:val="00C61C51"/>
    <w:rsid w:val="00C61D5D"/>
    <w:rsid w:val="00C61E2A"/>
    <w:rsid w:val="00C61F25"/>
    <w:rsid w:val="00C61FDC"/>
    <w:rsid w:val="00C62222"/>
    <w:rsid w:val="00C623D5"/>
    <w:rsid w:val="00C623D8"/>
    <w:rsid w:val="00C6267F"/>
    <w:rsid w:val="00C626E1"/>
    <w:rsid w:val="00C62A67"/>
    <w:rsid w:val="00C62A9C"/>
    <w:rsid w:val="00C62C22"/>
    <w:rsid w:val="00C62D76"/>
    <w:rsid w:val="00C630A3"/>
    <w:rsid w:val="00C63104"/>
    <w:rsid w:val="00C63115"/>
    <w:rsid w:val="00C63127"/>
    <w:rsid w:val="00C631E8"/>
    <w:rsid w:val="00C631F8"/>
    <w:rsid w:val="00C638C4"/>
    <w:rsid w:val="00C63D17"/>
    <w:rsid w:val="00C641D3"/>
    <w:rsid w:val="00C64473"/>
    <w:rsid w:val="00C64732"/>
    <w:rsid w:val="00C64912"/>
    <w:rsid w:val="00C64A81"/>
    <w:rsid w:val="00C64BC1"/>
    <w:rsid w:val="00C64D0D"/>
    <w:rsid w:val="00C64F21"/>
    <w:rsid w:val="00C65155"/>
    <w:rsid w:val="00C651C2"/>
    <w:rsid w:val="00C6522F"/>
    <w:rsid w:val="00C6528B"/>
    <w:rsid w:val="00C653DB"/>
    <w:rsid w:val="00C654CB"/>
    <w:rsid w:val="00C65633"/>
    <w:rsid w:val="00C657F7"/>
    <w:rsid w:val="00C65848"/>
    <w:rsid w:val="00C65DF4"/>
    <w:rsid w:val="00C66010"/>
    <w:rsid w:val="00C6606D"/>
    <w:rsid w:val="00C6622F"/>
    <w:rsid w:val="00C6636C"/>
    <w:rsid w:val="00C66427"/>
    <w:rsid w:val="00C66492"/>
    <w:rsid w:val="00C6649C"/>
    <w:rsid w:val="00C665F3"/>
    <w:rsid w:val="00C6676A"/>
    <w:rsid w:val="00C667E9"/>
    <w:rsid w:val="00C668F4"/>
    <w:rsid w:val="00C66919"/>
    <w:rsid w:val="00C6695B"/>
    <w:rsid w:val="00C66AAD"/>
    <w:rsid w:val="00C66AFA"/>
    <w:rsid w:val="00C66B5C"/>
    <w:rsid w:val="00C66D5C"/>
    <w:rsid w:val="00C670CF"/>
    <w:rsid w:val="00C6720C"/>
    <w:rsid w:val="00C672CB"/>
    <w:rsid w:val="00C674E8"/>
    <w:rsid w:val="00C675CF"/>
    <w:rsid w:val="00C675EF"/>
    <w:rsid w:val="00C67601"/>
    <w:rsid w:val="00C676C2"/>
    <w:rsid w:val="00C6773E"/>
    <w:rsid w:val="00C678BB"/>
    <w:rsid w:val="00C67A72"/>
    <w:rsid w:val="00C67B90"/>
    <w:rsid w:val="00C67C1A"/>
    <w:rsid w:val="00C67DEB"/>
    <w:rsid w:val="00C67F5B"/>
    <w:rsid w:val="00C70173"/>
    <w:rsid w:val="00C701CC"/>
    <w:rsid w:val="00C7029C"/>
    <w:rsid w:val="00C70672"/>
    <w:rsid w:val="00C70678"/>
    <w:rsid w:val="00C7088B"/>
    <w:rsid w:val="00C708A9"/>
    <w:rsid w:val="00C70906"/>
    <w:rsid w:val="00C70979"/>
    <w:rsid w:val="00C70A9A"/>
    <w:rsid w:val="00C70AD6"/>
    <w:rsid w:val="00C7113A"/>
    <w:rsid w:val="00C711FC"/>
    <w:rsid w:val="00C7139B"/>
    <w:rsid w:val="00C7152A"/>
    <w:rsid w:val="00C715A2"/>
    <w:rsid w:val="00C7183C"/>
    <w:rsid w:val="00C718A8"/>
    <w:rsid w:val="00C71CAE"/>
    <w:rsid w:val="00C7223A"/>
    <w:rsid w:val="00C7231A"/>
    <w:rsid w:val="00C723D4"/>
    <w:rsid w:val="00C725C8"/>
    <w:rsid w:val="00C725E3"/>
    <w:rsid w:val="00C725F9"/>
    <w:rsid w:val="00C7270D"/>
    <w:rsid w:val="00C72B7A"/>
    <w:rsid w:val="00C72C54"/>
    <w:rsid w:val="00C72D7C"/>
    <w:rsid w:val="00C72DAD"/>
    <w:rsid w:val="00C72FA1"/>
    <w:rsid w:val="00C72FE7"/>
    <w:rsid w:val="00C73074"/>
    <w:rsid w:val="00C73136"/>
    <w:rsid w:val="00C7349B"/>
    <w:rsid w:val="00C7356C"/>
    <w:rsid w:val="00C735A5"/>
    <w:rsid w:val="00C736B2"/>
    <w:rsid w:val="00C737BD"/>
    <w:rsid w:val="00C73B7A"/>
    <w:rsid w:val="00C73DB6"/>
    <w:rsid w:val="00C742AA"/>
    <w:rsid w:val="00C743C2"/>
    <w:rsid w:val="00C74655"/>
    <w:rsid w:val="00C7477F"/>
    <w:rsid w:val="00C74A68"/>
    <w:rsid w:val="00C74BAA"/>
    <w:rsid w:val="00C74C94"/>
    <w:rsid w:val="00C75022"/>
    <w:rsid w:val="00C75086"/>
    <w:rsid w:val="00C75194"/>
    <w:rsid w:val="00C75288"/>
    <w:rsid w:val="00C75563"/>
    <w:rsid w:val="00C755A3"/>
    <w:rsid w:val="00C757A3"/>
    <w:rsid w:val="00C75952"/>
    <w:rsid w:val="00C760F1"/>
    <w:rsid w:val="00C76177"/>
    <w:rsid w:val="00C76208"/>
    <w:rsid w:val="00C764F7"/>
    <w:rsid w:val="00C765AE"/>
    <w:rsid w:val="00C766CE"/>
    <w:rsid w:val="00C7703A"/>
    <w:rsid w:val="00C7718C"/>
    <w:rsid w:val="00C774C9"/>
    <w:rsid w:val="00C776B4"/>
    <w:rsid w:val="00C7772D"/>
    <w:rsid w:val="00C77821"/>
    <w:rsid w:val="00C77839"/>
    <w:rsid w:val="00C77F4D"/>
    <w:rsid w:val="00C8000C"/>
    <w:rsid w:val="00C80169"/>
    <w:rsid w:val="00C804EE"/>
    <w:rsid w:val="00C8074C"/>
    <w:rsid w:val="00C807DE"/>
    <w:rsid w:val="00C8081F"/>
    <w:rsid w:val="00C80A47"/>
    <w:rsid w:val="00C80BF9"/>
    <w:rsid w:val="00C80D9E"/>
    <w:rsid w:val="00C80F07"/>
    <w:rsid w:val="00C81158"/>
    <w:rsid w:val="00C81312"/>
    <w:rsid w:val="00C815C3"/>
    <w:rsid w:val="00C81602"/>
    <w:rsid w:val="00C8181A"/>
    <w:rsid w:val="00C81890"/>
    <w:rsid w:val="00C81901"/>
    <w:rsid w:val="00C81B70"/>
    <w:rsid w:val="00C81BBA"/>
    <w:rsid w:val="00C81C55"/>
    <w:rsid w:val="00C81C76"/>
    <w:rsid w:val="00C81DC7"/>
    <w:rsid w:val="00C81DEB"/>
    <w:rsid w:val="00C82042"/>
    <w:rsid w:val="00C82187"/>
    <w:rsid w:val="00C824F4"/>
    <w:rsid w:val="00C82796"/>
    <w:rsid w:val="00C827D8"/>
    <w:rsid w:val="00C82880"/>
    <w:rsid w:val="00C82CA0"/>
    <w:rsid w:val="00C83078"/>
    <w:rsid w:val="00C830C5"/>
    <w:rsid w:val="00C8313F"/>
    <w:rsid w:val="00C83231"/>
    <w:rsid w:val="00C8326F"/>
    <w:rsid w:val="00C832A0"/>
    <w:rsid w:val="00C832B6"/>
    <w:rsid w:val="00C83305"/>
    <w:rsid w:val="00C833AD"/>
    <w:rsid w:val="00C83539"/>
    <w:rsid w:val="00C8356A"/>
    <w:rsid w:val="00C83614"/>
    <w:rsid w:val="00C83641"/>
    <w:rsid w:val="00C8364A"/>
    <w:rsid w:val="00C83BAF"/>
    <w:rsid w:val="00C83C58"/>
    <w:rsid w:val="00C83C5A"/>
    <w:rsid w:val="00C83E57"/>
    <w:rsid w:val="00C84003"/>
    <w:rsid w:val="00C840E8"/>
    <w:rsid w:val="00C840FE"/>
    <w:rsid w:val="00C843B7"/>
    <w:rsid w:val="00C844E3"/>
    <w:rsid w:val="00C84593"/>
    <w:rsid w:val="00C84650"/>
    <w:rsid w:val="00C84682"/>
    <w:rsid w:val="00C8470B"/>
    <w:rsid w:val="00C84C29"/>
    <w:rsid w:val="00C84D83"/>
    <w:rsid w:val="00C850D7"/>
    <w:rsid w:val="00C850FC"/>
    <w:rsid w:val="00C8518B"/>
    <w:rsid w:val="00C852D6"/>
    <w:rsid w:val="00C858BA"/>
    <w:rsid w:val="00C858E4"/>
    <w:rsid w:val="00C85C53"/>
    <w:rsid w:val="00C85CED"/>
    <w:rsid w:val="00C85F44"/>
    <w:rsid w:val="00C860C9"/>
    <w:rsid w:val="00C860EB"/>
    <w:rsid w:val="00C8683D"/>
    <w:rsid w:val="00C86DC9"/>
    <w:rsid w:val="00C87046"/>
    <w:rsid w:val="00C870C2"/>
    <w:rsid w:val="00C872CE"/>
    <w:rsid w:val="00C87301"/>
    <w:rsid w:val="00C87350"/>
    <w:rsid w:val="00C87446"/>
    <w:rsid w:val="00C87693"/>
    <w:rsid w:val="00C877D6"/>
    <w:rsid w:val="00C87811"/>
    <w:rsid w:val="00C87BBE"/>
    <w:rsid w:val="00C87BCD"/>
    <w:rsid w:val="00C87CA5"/>
    <w:rsid w:val="00C87CB2"/>
    <w:rsid w:val="00C87EC5"/>
    <w:rsid w:val="00C87FDA"/>
    <w:rsid w:val="00C900EA"/>
    <w:rsid w:val="00C9034A"/>
    <w:rsid w:val="00C905C7"/>
    <w:rsid w:val="00C9077B"/>
    <w:rsid w:val="00C908CF"/>
    <w:rsid w:val="00C90ABF"/>
    <w:rsid w:val="00C90AF0"/>
    <w:rsid w:val="00C90B71"/>
    <w:rsid w:val="00C90BF1"/>
    <w:rsid w:val="00C90D92"/>
    <w:rsid w:val="00C90DB1"/>
    <w:rsid w:val="00C90EB3"/>
    <w:rsid w:val="00C912DC"/>
    <w:rsid w:val="00C9132D"/>
    <w:rsid w:val="00C913A6"/>
    <w:rsid w:val="00C913F0"/>
    <w:rsid w:val="00C914A1"/>
    <w:rsid w:val="00C91833"/>
    <w:rsid w:val="00C918B7"/>
    <w:rsid w:val="00C91A83"/>
    <w:rsid w:val="00C91B4B"/>
    <w:rsid w:val="00C91BD6"/>
    <w:rsid w:val="00C91BFD"/>
    <w:rsid w:val="00C91C01"/>
    <w:rsid w:val="00C91E97"/>
    <w:rsid w:val="00C91FAA"/>
    <w:rsid w:val="00C9202B"/>
    <w:rsid w:val="00C9252D"/>
    <w:rsid w:val="00C92751"/>
    <w:rsid w:val="00C927B1"/>
    <w:rsid w:val="00C928A2"/>
    <w:rsid w:val="00C928D7"/>
    <w:rsid w:val="00C928E0"/>
    <w:rsid w:val="00C929EA"/>
    <w:rsid w:val="00C92A14"/>
    <w:rsid w:val="00C92B85"/>
    <w:rsid w:val="00C92EF7"/>
    <w:rsid w:val="00C9303B"/>
    <w:rsid w:val="00C93230"/>
    <w:rsid w:val="00C9338C"/>
    <w:rsid w:val="00C9340E"/>
    <w:rsid w:val="00C934CA"/>
    <w:rsid w:val="00C9362A"/>
    <w:rsid w:val="00C93651"/>
    <w:rsid w:val="00C93754"/>
    <w:rsid w:val="00C93756"/>
    <w:rsid w:val="00C9377C"/>
    <w:rsid w:val="00C93791"/>
    <w:rsid w:val="00C937C2"/>
    <w:rsid w:val="00C939C7"/>
    <w:rsid w:val="00C939FE"/>
    <w:rsid w:val="00C93B1E"/>
    <w:rsid w:val="00C93B6A"/>
    <w:rsid w:val="00C93BE9"/>
    <w:rsid w:val="00C93C01"/>
    <w:rsid w:val="00C93C32"/>
    <w:rsid w:val="00C93E54"/>
    <w:rsid w:val="00C93EC1"/>
    <w:rsid w:val="00C93F13"/>
    <w:rsid w:val="00C94350"/>
    <w:rsid w:val="00C9451C"/>
    <w:rsid w:val="00C946EA"/>
    <w:rsid w:val="00C9487E"/>
    <w:rsid w:val="00C94882"/>
    <w:rsid w:val="00C948F3"/>
    <w:rsid w:val="00C9496D"/>
    <w:rsid w:val="00C94A48"/>
    <w:rsid w:val="00C94AB8"/>
    <w:rsid w:val="00C94B27"/>
    <w:rsid w:val="00C94B87"/>
    <w:rsid w:val="00C94BD3"/>
    <w:rsid w:val="00C94D6F"/>
    <w:rsid w:val="00C95098"/>
    <w:rsid w:val="00C952DE"/>
    <w:rsid w:val="00C9544E"/>
    <w:rsid w:val="00C95527"/>
    <w:rsid w:val="00C95559"/>
    <w:rsid w:val="00C9573E"/>
    <w:rsid w:val="00C958BA"/>
    <w:rsid w:val="00C959C3"/>
    <w:rsid w:val="00C959FF"/>
    <w:rsid w:val="00C95AB2"/>
    <w:rsid w:val="00C95B18"/>
    <w:rsid w:val="00C95B5E"/>
    <w:rsid w:val="00C96226"/>
    <w:rsid w:val="00C964B7"/>
    <w:rsid w:val="00C964F2"/>
    <w:rsid w:val="00C9675D"/>
    <w:rsid w:val="00C96930"/>
    <w:rsid w:val="00C96A4A"/>
    <w:rsid w:val="00C970E2"/>
    <w:rsid w:val="00C97356"/>
    <w:rsid w:val="00C97369"/>
    <w:rsid w:val="00C97411"/>
    <w:rsid w:val="00C97860"/>
    <w:rsid w:val="00C978B4"/>
    <w:rsid w:val="00C978C2"/>
    <w:rsid w:val="00C97A16"/>
    <w:rsid w:val="00C97A4A"/>
    <w:rsid w:val="00C97AF7"/>
    <w:rsid w:val="00C97B2E"/>
    <w:rsid w:val="00C97C2F"/>
    <w:rsid w:val="00CA02FC"/>
    <w:rsid w:val="00CA0362"/>
    <w:rsid w:val="00CA0401"/>
    <w:rsid w:val="00CA070F"/>
    <w:rsid w:val="00CA07A7"/>
    <w:rsid w:val="00CA0AA9"/>
    <w:rsid w:val="00CA0C2D"/>
    <w:rsid w:val="00CA0EEC"/>
    <w:rsid w:val="00CA10E0"/>
    <w:rsid w:val="00CA10FA"/>
    <w:rsid w:val="00CA1424"/>
    <w:rsid w:val="00CA1491"/>
    <w:rsid w:val="00CA15A1"/>
    <w:rsid w:val="00CA15FD"/>
    <w:rsid w:val="00CA163F"/>
    <w:rsid w:val="00CA16CF"/>
    <w:rsid w:val="00CA1718"/>
    <w:rsid w:val="00CA181A"/>
    <w:rsid w:val="00CA1D96"/>
    <w:rsid w:val="00CA20AE"/>
    <w:rsid w:val="00CA21BD"/>
    <w:rsid w:val="00CA253B"/>
    <w:rsid w:val="00CA2566"/>
    <w:rsid w:val="00CA2D6D"/>
    <w:rsid w:val="00CA2DC0"/>
    <w:rsid w:val="00CA2F15"/>
    <w:rsid w:val="00CA346E"/>
    <w:rsid w:val="00CA34C1"/>
    <w:rsid w:val="00CA35C0"/>
    <w:rsid w:val="00CA3629"/>
    <w:rsid w:val="00CA3943"/>
    <w:rsid w:val="00CA3AEA"/>
    <w:rsid w:val="00CA3BA3"/>
    <w:rsid w:val="00CA3BC2"/>
    <w:rsid w:val="00CA3CC3"/>
    <w:rsid w:val="00CA3E04"/>
    <w:rsid w:val="00CA3E4E"/>
    <w:rsid w:val="00CA3EE5"/>
    <w:rsid w:val="00CA3F3E"/>
    <w:rsid w:val="00CA4069"/>
    <w:rsid w:val="00CA409C"/>
    <w:rsid w:val="00CA4141"/>
    <w:rsid w:val="00CA4375"/>
    <w:rsid w:val="00CA440F"/>
    <w:rsid w:val="00CA4546"/>
    <w:rsid w:val="00CA4689"/>
    <w:rsid w:val="00CA4988"/>
    <w:rsid w:val="00CA4A63"/>
    <w:rsid w:val="00CA4AB0"/>
    <w:rsid w:val="00CA4B54"/>
    <w:rsid w:val="00CA4DD1"/>
    <w:rsid w:val="00CA4F45"/>
    <w:rsid w:val="00CA4FA1"/>
    <w:rsid w:val="00CA5098"/>
    <w:rsid w:val="00CA5149"/>
    <w:rsid w:val="00CA5562"/>
    <w:rsid w:val="00CA58EB"/>
    <w:rsid w:val="00CA5959"/>
    <w:rsid w:val="00CA5B6E"/>
    <w:rsid w:val="00CA5CBE"/>
    <w:rsid w:val="00CA5D7E"/>
    <w:rsid w:val="00CA5E47"/>
    <w:rsid w:val="00CA65BC"/>
    <w:rsid w:val="00CA68DC"/>
    <w:rsid w:val="00CA694E"/>
    <w:rsid w:val="00CA6A1E"/>
    <w:rsid w:val="00CA6B2B"/>
    <w:rsid w:val="00CA6C94"/>
    <w:rsid w:val="00CA6EAB"/>
    <w:rsid w:val="00CA7141"/>
    <w:rsid w:val="00CA717D"/>
    <w:rsid w:val="00CA7751"/>
    <w:rsid w:val="00CA78A5"/>
    <w:rsid w:val="00CA7CB8"/>
    <w:rsid w:val="00CA7DCC"/>
    <w:rsid w:val="00CA7EC8"/>
    <w:rsid w:val="00CB0092"/>
    <w:rsid w:val="00CB0147"/>
    <w:rsid w:val="00CB0459"/>
    <w:rsid w:val="00CB054A"/>
    <w:rsid w:val="00CB0732"/>
    <w:rsid w:val="00CB0B20"/>
    <w:rsid w:val="00CB0B63"/>
    <w:rsid w:val="00CB0E9C"/>
    <w:rsid w:val="00CB0F16"/>
    <w:rsid w:val="00CB13A4"/>
    <w:rsid w:val="00CB1791"/>
    <w:rsid w:val="00CB1A95"/>
    <w:rsid w:val="00CB1F09"/>
    <w:rsid w:val="00CB2139"/>
    <w:rsid w:val="00CB244A"/>
    <w:rsid w:val="00CB2523"/>
    <w:rsid w:val="00CB256C"/>
    <w:rsid w:val="00CB27F0"/>
    <w:rsid w:val="00CB281C"/>
    <w:rsid w:val="00CB2CCE"/>
    <w:rsid w:val="00CB31CF"/>
    <w:rsid w:val="00CB31D7"/>
    <w:rsid w:val="00CB348D"/>
    <w:rsid w:val="00CB38EB"/>
    <w:rsid w:val="00CB39F2"/>
    <w:rsid w:val="00CB3A39"/>
    <w:rsid w:val="00CB3CB1"/>
    <w:rsid w:val="00CB3D65"/>
    <w:rsid w:val="00CB4030"/>
    <w:rsid w:val="00CB42A8"/>
    <w:rsid w:val="00CB4347"/>
    <w:rsid w:val="00CB4462"/>
    <w:rsid w:val="00CB44FC"/>
    <w:rsid w:val="00CB465D"/>
    <w:rsid w:val="00CB4828"/>
    <w:rsid w:val="00CB4AE0"/>
    <w:rsid w:val="00CB4D0B"/>
    <w:rsid w:val="00CB4EB6"/>
    <w:rsid w:val="00CB4F3F"/>
    <w:rsid w:val="00CB5067"/>
    <w:rsid w:val="00CB50E8"/>
    <w:rsid w:val="00CB5305"/>
    <w:rsid w:val="00CB5361"/>
    <w:rsid w:val="00CB53E7"/>
    <w:rsid w:val="00CB550A"/>
    <w:rsid w:val="00CB558E"/>
    <w:rsid w:val="00CB5631"/>
    <w:rsid w:val="00CB570D"/>
    <w:rsid w:val="00CB5897"/>
    <w:rsid w:val="00CB5CF5"/>
    <w:rsid w:val="00CB5E5F"/>
    <w:rsid w:val="00CB5E7E"/>
    <w:rsid w:val="00CB5F4A"/>
    <w:rsid w:val="00CB5FDE"/>
    <w:rsid w:val="00CB62AF"/>
    <w:rsid w:val="00CB65B6"/>
    <w:rsid w:val="00CB66DE"/>
    <w:rsid w:val="00CB67E4"/>
    <w:rsid w:val="00CB684C"/>
    <w:rsid w:val="00CB6942"/>
    <w:rsid w:val="00CB6AAB"/>
    <w:rsid w:val="00CB6C9A"/>
    <w:rsid w:val="00CB6DFC"/>
    <w:rsid w:val="00CB6E90"/>
    <w:rsid w:val="00CB72A2"/>
    <w:rsid w:val="00CB7549"/>
    <w:rsid w:val="00CB774F"/>
    <w:rsid w:val="00CB7942"/>
    <w:rsid w:val="00CB7A31"/>
    <w:rsid w:val="00CB7B75"/>
    <w:rsid w:val="00CB7C02"/>
    <w:rsid w:val="00CB7F93"/>
    <w:rsid w:val="00CC00D7"/>
    <w:rsid w:val="00CC025F"/>
    <w:rsid w:val="00CC0278"/>
    <w:rsid w:val="00CC0425"/>
    <w:rsid w:val="00CC0560"/>
    <w:rsid w:val="00CC065D"/>
    <w:rsid w:val="00CC0699"/>
    <w:rsid w:val="00CC06B4"/>
    <w:rsid w:val="00CC0879"/>
    <w:rsid w:val="00CC0942"/>
    <w:rsid w:val="00CC1086"/>
    <w:rsid w:val="00CC1273"/>
    <w:rsid w:val="00CC13DB"/>
    <w:rsid w:val="00CC15F9"/>
    <w:rsid w:val="00CC19B1"/>
    <w:rsid w:val="00CC1C29"/>
    <w:rsid w:val="00CC1C3F"/>
    <w:rsid w:val="00CC1F5F"/>
    <w:rsid w:val="00CC1F61"/>
    <w:rsid w:val="00CC1FED"/>
    <w:rsid w:val="00CC2300"/>
    <w:rsid w:val="00CC2405"/>
    <w:rsid w:val="00CC29C7"/>
    <w:rsid w:val="00CC2B86"/>
    <w:rsid w:val="00CC2C2A"/>
    <w:rsid w:val="00CC2D97"/>
    <w:rsid w:val="00CC2E15"/>
    <w:rsid w:val="00CC3104"/>
    <w:rsid w:val="00CC32D8"/>
    <w:rsid w:val="00CC32E0"/>
    <w:rsid w:val="00CC330E"/>
    <w:rsid w:val="00CC358C"/>
    <w:rsid w:val="00CC36C8"/>
    <w:rsid w:val="00CC3700"/>
    <w:rsid w:val="00CC3717"/>
    <w:rsid w:val="00CC379B"/>
    <w:rsid w:val="00CC38BF"/>
    <w:rsid w:val="00CC39B4"/>
    <w:rsid w:val="00CC3A81"/>
    <w:rsid w:val="00CC3ADA"/>
    <w:rsid w:val="00CC3BD1"/>
    <w:rsid w:val="00CC3BE5"/>
    <w:rsid w:val="00CC3E36"/>
    <w:rsid w:val="00CC3E37"/>
    <w:rsid w:val="00CC3ED5"/>
    <w:rsid w:val="00CC3F01"/>
    <w:rsid w:val="00CC4972"/>
    <w:rsid w:val="00CC499D"/>
    <w:rsid w:val="00CC4B03"/>
    <w:rsid w:val="00CC4B1F"/>
    <w:rsid w:val="00CC4BFB"/>
    <w:rsid w:val="00CC4EE6"/>
    <w:rsid w:val="00CC4F82"/>
    <w:rsid w:val="00CC4FB7"/>
    <w:rsid w:val="00CC504A"/>
    <w:rsid w:val="00CC5410"/>
    <w:rsid w:val="00CC553C"/>
    <w:rsid w:val="00CC560D"/>
    <w:rsid w:val="00CC574C"/>
    <w:rsid w:val="00CC58D3"/>
    <w:rsid w:val="00CC5A82"/>
    <w:rsid w:val="00CC5D70"/>
    <w:rsid w:val="00CC60EF"/>
    <w:rsid w:val="00CC60FC"/>
    <w:rsid w:val="00CC6111"/>
    <w:rsid w:val="00CC611F"/>
    <w:rsid w:val="00CC62A1"/>
    <w:rsid w:val="00CC644F"/>
    <w:rsid w:val="00CC64CE"/>
    <w:rsid w:val="00CC6667"/>
    <w:rsid w:val="00CC6680"/>
    <w:rsid w:val="00CC6759"/>
    <w:rsid w:val="00CC67AA"/>
    <w:rsid w:val="00CC6C08"/>
    <w:rsid w:val="00CC70C8"/>
    <w:rsid w:val="00CC7299"/>
    <w:rsid w:val="00CC74C1"/>
    <w:rsid w:val="00CC7707"/>
    <w:rsid w:val="00CC7856"/>
    <w:rsid w:val="00CC7895"/>
    <w:rsid w:val="00CC79AE"/>
    <w:rsid w:val="00CC7AEF"/>
    <w:rsid w:val="00CC7DC3"/>
    <w:rsid w:val="00CC7F1C"/>
    <w:rsid w:val="00CC7F94"/>
    <w:rsid w:val="00CD0341"/>
    <w:rsid w:val="00CD035C"/>
    <w:rsid w:val="00CD04C2"/>
    <w:rsid w:val="00CD0648"/>
    <w:rsid w:val="00CD0672"/>
    <w:rsid w:val="00CD067D"/>
    <w:rsid w:val="00CD08ED"/>
    <w:rsid w:val="00CD0BD3"/>
    <w:rsid w:val="00CD0D69"/>
    <w:rsid w:val="00CD0ECB"/>
    <w:rsid w:val="00CD10AC"/>
    <w:rsid w:val="00CD1481"/>
    <w:rsid w:val="00CD1693"/>
    <w:rsid w:val="00CD1773"/>
    <w:rsid w:val="00CD1879"/>
    <w:rsid w:val="00CD1B3D"/>
    <w:rsid w:val="00CD1C45"/>
    <w:rsid w:val="00CD1CD9"/>
    <w:rsid w:val="00CD1DFB"/>
    <w:rsid w:val="00CD1F1C"/>
    <w:rsid w:val="00CD1FBB"/>
    <w:rsid w:val="00CD2170"/>
    <w:rsid w:val="00CD22DC"/>
    <w:rsid w:val="00CD23D5"/>
    <w:rsid w:val="00CD26B4"/>
    <w:rsid w:val="00CD26D3"/>
    <w:rsid w:val="00CD274B"/>
    <w:rsid w:val="00CD2763"/>
    <w:rsid w:val="00CD28BC"/>
    <w:rsid w:val="00CD2BBC"/>
    <w:rsid w:val="00CD2DA6"/>
    <w:rsid w:val="00CD3485"/>
    <w:rsid w:val="00CD3520"/>
    <w:rsid w:val="00CD35C5"/>
    <w:rsid w:val="00CD370B"/>
    <w:rsid w:val="00CD3B3D"/>
    <w:rsid w:val="00CD3CB8"/>
    <w:rsid w:val="00CD3E77"/>
    <w:rsid w:val="00CD3FB4"/>
    <w:rsid w:val="00CD4264"/>
    <w:rsid w:val="00CD427A"/>
    <w:rsid w:val="00CD43DD"/>
    <w:rsid w:val="00CD44C6"/>
    <w:rsid w:val="00CD457A"/>
    <w:rsid w:val="00CD45E2"/>
    <w:rsid w:val="00CD4870"/>
    <w:rsid w:val="00CD48E1"/>
    <w:rsid w:val="00CD4F95"/>
    <w:rsid w:val="00CD5108"/>
    <w:rsid w:val="00CD516A"/>
    <w:rsid w:val="00CD5499"/>
    <w:rsid w:val="00CD57FE"/>
    <w:rsid w:val="00CD5A00"/>
    <w:rsid w:val="00CD5AA9"/>
    <w:rsid w:val="00CD5B24"/>
    <w:rsid w:val="00CD5B6A"/>
    <w:rsid w:val="00CD5D08"/>
    <w:rsid w:val="00CD5F29"/>
    <w:rsid w:val="00CD62B7"/>
    <w:rsid w:val="00CD67DF"/>
    <w:rsid w:val="00CD68CF"/>
    <w:rsid w:val="00CD6AD3"/>
    <w:rsid w:val="00CD71B5"/>
    <w:rsid w:val="00CD7397"/>
    <w:rsid w:val="00CD73A7"/>
    <w:rsid w:val="00CD772B"/>
    <w:rsid w:val="00CD77FA"/>
    <w:rsid w:val="00CD7854"/>
    <w:rsid w:val="00CD7888"/>
    <w:rsid w:val="00CD7B1D"/>
    <w:rsid w:val="00CD7BB0"/>
    <w:rsid w:val="00CD7D88"/>
    <w:rsid w:val="00CD7D92"/>
    <w:rsid w:val="00CD7E63"/>
    <w:rsid w:val="00CD7E85"/>
    <w:rsid w:val="00CD7FBE"/>
    <w:rsid w:val="00CD7FF5"/>
    <w:rsid w:val="00CE015F"/>
    <w:rsid w:val="00CE0249"/>
    <w:rsid w:val="00CE02B6"/>
    <w:rsid w:val="00CE0420"/>
    <w:rsid w:val="00CE0CA1"/>
    <w:rsid w:val="00CE1036"/>
    <w:rsid w:val="00CE1214"/>
    <w:rsid w:val="00CE12D7"/>
    <w:rsid w:val="00CE14AC"/>
    <w:rsid w:val="00CE16AE"/>
    <w:rsid w:val="00CE16BC"/>
    <w:rsid w:val="00CE1783"/>
    <w:rsid w:val="00CE17AB"/>
    <w:rsid w:val="00CE1809"/>
    <w:rsid w:val="00CE180C"/>
    <w:rsid w:val="00CE19F6"/>
    <w:rsid w:val="00CE1ACC"/>
    <w:rsid w:val="00CE1C80"/>
    <w:rsid w:val="00CE1CD3"/>
    <w:rsid w:val="00CE1CEC"/>
    <w:rsid w:val="00CE1EB8"/>
    <w:rsid w:val="00CE1FDA"/>
    <w:rsid w:val="00CE2133"/>
    <w:rsid w:val="00CE2364"/>
    <w:rsid w:val="00CE2380"/>
    <w:rsid w:val="00CE23DA"/>
    <w:rsid w:val="00CE248F"/>
    <w:rsid w:val="00CE2629"/>
    <w:rsid w:val="00CE2644"/>
    <w:rsid w:val="00CE26D7"/>
    <w:rsid w:val="00CE2CB5"/>
    <w:rsid w:val="00CE2E1B"/>
    <w:rsid w:val="00CE2E2D"/>
    <w:rsid w:val="00CE304D"/>
    <w:rsid w:val="00CE3216"/>
    <w:rsid w:val="00CE358F"/>
    <w:rsid w:val="00CE35FD"/>
    <w:rsid w:val="00CE3786"/>
    <w:rsid w:val="00CE3B89"/>
    <w:rsid w:val="00CE3CAE"/>
    <w:rsid w:val="00CE3CD3"/>
    <w:rsid w:val="00CE3CD7"/>
    <w:rsid w:val="00CE3D4D"/>
    <w:rsid w:val="00CE3DA9"/>
    <w:rsid w:val="00CE3EFF"/>
    <w:rsid w:val="00CE3F87"/>
    <w:rsid w:val="00CE4082"/>
    <w:rsid w:val="00CE413A"/>
    <w:rsid w:val="00CE47B0"/>
    <w:rsid w:val="00CE47E1"/>
    <w:rsid w:val="00CE4951"/>
    <w:rsid w:val="00CE4B8F"/>
    <w:rsid w:val="00CE4CF0"/>
    <w:rsid w:val="00CE4E18"/>
    <w:rsid w:val="00CE5158"/>
    <w:rsid w:val="00CE516A"/>
    <w:rsid w:val="00CE51A3"/>
    <w:rsid w:val="00CE523B"/>
    <w:rsid w:val="00CE540C"/>
    <w:rsid w:val="00CE5714"/>
    <w:rsid w:val="00CE592C"/>
    <w:rsid w:val="00CE5CCE"/>
    <w:rsid w:val="00CE5E99"/>
    <w:rsid w:val="00CE606D"/>
    <w:rsid w:val="00CE61C8"/>
    <w:rsid w:val="00CE65EC"/>
    <w:rsid w:val="00CE6660"/>
    <w:rsid w:val="00CE6741"/>
    <w:rsid w:val="00CE6C9B"/>
    <w:rsid w:val="00CE6DE9"/>
    <w:rsid w:val="00CE6E1A"/>
    <w:rsid w:val="00CE72DB"/>
    <w:rsid w:val="00CE73AC"/>
    <w:rsid w:val="00CE7457"/>
    <w:rsid w:val="00CE7B36"/>
    <w:rsid w:val="00CE7C08"/>
    <w:rsid w:val="00CF0046"/>
    <w:rsid w:val="00CF01FF"/>
    <w:rsid w:val="00CF06A6"/>
    <w:rsid w:val="00CF072C"/>
    <w:rsid w:val="00CF0861"/>
    <w:rsid w:val="00CF091C"/>
    <w:rsid w:val="00CF0A5A"/>
    <w:rsid w:val="00CF0C2F"/>
    <w:rsid w:val="00CF0E44"/>
    <w:rsid w:val="00CF0EA8"/>
    <w:rsid w:val="00CF1053"/>
    <w:rsid w:val="00CF1141"/>
    <w:rsid w:val="00CF114C"/>
    <w:rsid w:val="00CF1181"/>
    <w:rsid w:val="00CF11D9"/>
    <w:rsid w:val="00CF127B"/>
    <w:rsid w:val="00CF13C3"/>
    <w:rsid w:val="00CF1AA8"/>
    <w:rsid w:val="00CF2130"/>
    <w:rsid w:val="00CF26F5"/>
    <w:rsid w:val="00CF2A0E"/>
    <w:rsid w:val="00CF2A30"/>
    <w:rsid w:val="00CF2ABA"/>
    <w:rsid w:val="00CF2C2E"/>
    <w:rsid w:val="00CF2C61"/>
    <w:rsid w:val="00CF2D04"/>
    <w:rsid w:val="00CF2D8D"/>
    <w:rsid w:val="00CF2E04"/>
    <w:rsid w:val="00CF2EDA"/>
    <w:rsid w:val="00CF2FA5"/>
    <w:rsid w:val="00CF3151"/>
    <w:rsid w:val="00CF3283"/>
    <w:rsid w:val="00CF33BB"/>
    <w:rsid w:val="00CF3447"/>
    <w:rsid w:val="00CF370E"/>
    <w:rsid w:val="00CF3861"/>
    <w:rsid w:val="00CF38A5"/>
    <w:rsid w:val="00CF38E1"/>
    <w:rsid w:val="00CF3B95"/>
    <w:rsid w:val="00CF3BF3"/>
    <w:rsid w:val="00CF3E04"/>
    <w:rsid w:val="00CF3E5A"/>
    <w:rsid w:val="00CF3EC2"/>
    <w:rsid w:val="00CF427A"/>
    <w:rsid w:val="00CF42D6"/>
    <w:rsid w:val="00CF430D"/>
    <w:rsid w:val="00CF483E"/>
    <w:rsid w:val="00CF4C1A"/>
    <w:rsid w:val="00CF4D6D"/>
    <w:rsid w:val="00CF50D6"/>
    <w:rsid w:val="00CF538F"/>
    <w:rsid w:val="00CF57A1"/>
    <w:rsid w:val="00CF5805"/>
    <w:rsid w:val="00CF59E0"/>
    <w:rsid w:val="00CF5A49"/>
    <w:rsid w:val="00CF5A9F"/>
    <w:rsid w:val="00CF5CBB"/>
    <w:rsid w:val="00CF5D27"/>
    <w:rsid w:val="00CF5D6D"/>
    <w:rsid w:val="00CF6012"/>
    <w:rsid w:val="00CF607B"/>
    <w:rsid w:val="00CF61ED"/>
    <w:rsid w:val="00CF6441"/>
    <w:rsid w:val="00CF6A36"/>
    <w:rsid w:val="00CF6B05"/>
    <w:rsid w:val="00CF6B50"/>
    <w:rsid w:val="00CF6BC2"/>
    <w:rsid w:val="00CF6CCA"/>
    <w:rsid w:val="00CF6D1B"/>
    <w:rsid w:val="00CF6E9F"/>
    <w:rsid w:val="00CF6F47"/>
    <w:rsid w:val="00CF704B"/>
    <w:rsid w:val="00CF7124"/>
    <w:rsid w:val="00CF7517"/>
    <w:rsid w:val="00CF761E"/>
    <w:rsid w:val="00CF7900"/>
    <w:rsid w:val="00CF7AAF"/>
    <w:rsid w:val="00CF7ADF"/>
    <w:rsid w:val="00D006EE"/>
    <w:rsid w:val="00D007AA"/>
    <w:rsid w:val="00D009CB"/>
    <w:rsid w:val="00D009EA"/>
    <w:rsid w:val="00D00AC8"/>
    <w:rsid w:val="00D00E63"/>
    <w:rsid w:val="00D00F83"/>
    <w:rsid w:val="00D00FCE"/>
    <w:rsid w:val="00D01007"/>
    <w:rsid w:val="00D011A7"/>
    <w:rsid w:val="00D01344"/>
    <w:rsid w:val="00D013AE"/>
    <w:rsid w:val="00D015E9"/>
    <w:rsid w:val="00D01A88"/>
    <w:rsid w:val="00D01A9C"/>
    <w:rsid w:val="00D01B27"/>
    <w:rsid w:val="00D01D03"/>
    <w:rsid w:val="00D01EDF"/>
    <w:rsid w:val="00D01F0F"/>
    <w:rsid w:val="00D0227B"/>
    <w:rsid w:val="00D022C9"/>
    <w:rsid w:val="00D023BC"/>
    <w:rsid w:val="00D02543"/>
    <w:rsid w:val="00D025C2"/>
    <w:rsid w:val="00D0262F"/>
    <w:rsid w:val="00D02BF6"/>
    <w:rsid w:val="00D02FBE"/>
    <w:rsid w:val="00D03045"/>
    <w:rsid w:val="00D03261"/>
    <w:rsid w:val="00D0329F"/>
    <w:rsid w:val="00D032FF"/>
    <w:rsid w:val="00D0354A"/>
    <w:rsid w:val="00D03580"/>
    <w:rsid w:val="00D039A6"/>
    <w:rsid w:val="00D03DC0"/>
    <w:rsid w:val="00D03DEE"/>
    <w:rsid w:val="00D03E02"/>
    <w:rsid w:val="00D03E4C"/>
    <w:rsid w:val="00D0405C"/>
    <w:rsid w:val="00D04232"/>
    <w:rsid w:val="00D04390"/>
    <w:rsid w:val="00D044B2"/>
    <w:rsid w:val="00D04FFB"/>
    <w:rsid w:val="00D05196"/>
    <w:rsid w:val="00D05397"/>
    <w:rsid w:val="00D053C4"/>
    <w:rsid w:val="00D054A3"/>
    <w:rsid w:val="00D05586"/>
    <w:rsid w:val="00D05797"/>
    <w:rsid w:val="00D058B9"/>
    <w:rsid w:val="00D05F74"/>
    <w:rsid w:val="00D063A1"/>
    <w:rsid w:val="00D063A3"/>
    <w:rsid w:val="00D063E8"/>
    <w:rsid w:val="00D06563"/>
    <w:rsid w:val="00D0684B"/>
    <w:rsid w:val="00D069B4"/>
    <w:rsid w:val="00D06C22"/>
    <w:rsid w:val="00D06E5D"/>
    <w:rsid w:val="00D0706C"/>
    <w:rsid w:val="00D071C0"/>
    <w:rsid w:val="00D0720F"/>
    <w:rsid w:val="00D07758"/>
    <w:rsid w:val="00D077B2"/>
    <w:rsid w:val="00D077C3"/>
    <w:rsid w:val="00D078DD"/>
    <w:rsid w:val="00D07E83"/>
    <w:rsid w:val="00D104AB"/>
    <w:rsid w:val="00D10726"/>
    <w:rsid w:val="00D10A7F"/>
    <w:rsid w:val="00D10B4D"/>
    <w:rsid w:val="00D10D0C"/>
    <w:rsid w:val="00D10DC5"/>
    <w:rsid w:val="00D10F49"/>
    <w:rsid w:val="00D10FF5"/>
    <w:rsid w:val="00D110E1"/>
    <w:rsid w:val="00D11347"/>
    <w:rsid w:val="00D11350"/>
    <w:rsid w:val="00D11799"/>
    <w:rsid w:val="00D11816"/>
    <w:rsid w:val="00D11BB1"/>
    <w:rsid w:val="00D11BDC"/>
    <w:rsid w:val="00D11C9C"/>
    <w:rsid w:val="00D11D90"/>
    <w:rsid w:val="00D11E35"/>
    <w:rsid w:val="00D11F08"/>
    <w:rsid w:val="00D120BE"/>
    <w:rsid w:val="00D122B9"/>
    <w:rsid w:val="00D123D5"/>
    <w:rsid w:val="00D12560"/>
    <w:rsid w:val="00D12613"/>
    <w:rsid w:val="00D126AA"/>
    <w:rsid w:val="00D126D2"/>
    <w:rsid w:val="00D1282F"/>
    <w:rsid w:val="00D1292D"/>
    <w:rsid w:val="00D129DB"/>
    <w:rsid w:val="00D12C30"/>
    <w:rsid w:val="00D12E3C"/>
    <w:rsid w:val="00D130D9"/>
    <w:rsid w:val="00D132B8"/>
    <w:rsid w:val="00D13300"/>
    <w:rsid w:val="00D1330A"/>
    <w:rsid w:val="00D134D5"/>
    <w:rsid w:val="00D135B9"/>
    <w:rsid w:val="00D136FF"/>
    <w:rsid w:val="00D1371A"/>
    <w:rsid w:val="00D1376D"/>
    <w:rsid w:val="00D13E35"/>
    <w:rsid w:val="00D140F7"/>
    <w:rsid w:val="00D1422B"/>
    <w:rsid w:val="00D14252"/>
    <w:rsid w:val="00D14259"/>
    <w:rsid w:val="00D14404"/>
    <w:rsid w:val="00D14783"/>
    <w:rsid w:val="00D149C1"/>
    <w:rsid w:val="00D14D91"/>
    <w:rsid w:val="00D14FCE"/>
    <w:rsid w:val="00D15095"/>
    <w:rsid w:val="00D150CD"/>
    <w:rsid w:val="00D151D4"/>
    <w:rsid w:val="00D151E9"/>
    <w:rsid w:val="00D15866"/>
    <w:rsid w:val="00D159FC"/>
    <w:rsid w:val="00D15B49"/>
    <w:rsid w:val="00D15BE1"/>
    <w:rsid w:val="00D15C60"/>
    <w:rsid w:val="00D15D21"/>
    <w:rsid w:val="00D15DD2"/>
    <w:rsid w:val="00D15DF9"/>
    <w:rsid w:val="00D15EC3"/>
    <w:rsid w:val="00D16145"/>
    <w:rsid w:val="00D162B9"/>
    <w:rsid w:val="00D1634C"/>
    <w:rsid w:val="00D1637E"/>
    <w:rsid w:val="00D163FF"/>
    <w:rsid w:val="00D16709"/>
    <w:rsid w:val="00D16798"/>
    <w:rsid w:val="00D16B3B"/>
    <w:rsid w:val="00D16BD6"/>
    <w:rsid w:val="00D16C3C"/>
    <w:rsid w:val="00D16D51"/>
    <w:rsid w:val="00D16DAF"/>
    <w:rsid w:val="00D17380"/>
    <w:rsid w:val="00D175A4"/>
    <w:rsid w:val="00D1790A"/>
    <w:rsid w:val="00D17B18"/>
    <w:rsid w:val="00D17D0B"/>
    <w:rsid w:val="00D17D9E"/>
    <w:rsid w:val="00D17DB6"/>
    <w:rsid w:val="00D17E86"/>
    <w:rsid w:val="00D20260"/>
    <w:rsid w:val="00D202E6"/>
    <w:rsid w:val="00D203B7"/>
    <w:rsid w:val="00D20665"/>
    <w:rsid w:val="00D20689"/>
    <w:rsid w:val="00D208AC"/>
    <w:rsid w:val="00D2097F"/>
    <w:rsid w:val="00D20A2F"/>
    <w:rsid w:val="00D20C62"/>
    <w:rsid w:val="00D20DF8"/>
    <w:rsid w:val="00D2150D"/>
    <w:rsid w:val="00D2154F"/>
    <w:rsid w:val="00D2185D"/>
    <w:rsid w:val="00D21948"/>
    <w:rsid w:val="00D21EBE"/>
    <w:rsid w:val="00D21F0E"/>
    <w:rsid w:val="00D220A1"/>
    <w:rsid w:val="00D2233C"/>
    <w:rsid w:val="00D223D5"/>
    <w:rsid w:val="00D225D2"/>
    <w:rsid w:val="00D2264C"/>
    <w:rsid w:val="00D228D3"/>
    <w:rsid w:val="00D22960"/>
    <w:rsid w:val="00D22AA3"/>
    <w:rsid w:val="00D22C62"/>
    <w:rsid w:val="00D22CDA"/>
    <w:rsid w:val="00D22DAC"/>
    <w:rsid w:val="00D22DC3"/>
    <w:rsid w:val="00D2303D"/>
    <w:rsid w:val="00D23154"/>
    <w:rsid w:val="00D2324B"/>
    <w:rsid w:val="00D2328F"/>
    <w:rsid w:val="00D23422"/>
    <w:rsid w:val="00D23638"/>
    <w:rsid w:val="00D23680"/>
    <w:rsid w:val="00D23732"/>
    <w:rsid w:val="00D2377C"/>
    <w:rsid w:val="00D23990"/>
    <w:rsid w:val="00D23CD1"/>
    <w:rsid w:val="00D23D9F"/>
    <w:rsid w:val="00D2409B"/>
    <w:rsid w:val="00D24218"/>
    <w:rsid w:val="00D24391"/>
    <w:rsid w:val="00D24506"/>
    <w:rsid w:val="00D2457E"/>
    <w:rsid w:val="00D245B3"/>
    <w:rsid w:val="00D24637"/>
    <w:rsid w:val="00D24779"/>
    <w:rsid w:val="00D247C5"/>
    <w:rsid w:val="00D24801"/>
    <w:rsid w:val="00D24AA3"/>
    <w:rsid w:val="00D24B7F"/>
    <w:rsid w:val="00D24B94"/>
    <w:rsid w:val="00D24E7F"/>
    <w:rsid w:val="00D25178"/>
    <w:rsid w:val="00D254D7"/>
    <w:rsid w:val="00D2557F"/>
    <w:rsid w:val="00D255B9"/>
    <w:rsid w:val="00D259E5"/>
    <w:rsid w:val="00D25B72"/>
    <w:rsid w:val="00D25BB2"/>
    <w:rsid w:val="00D25C60"/>
    <w:rsid w:val="00D25D2D"/>
    <w:rsid w:val="00D25E5F"/>
    <w:rsid w:val="00D2605F"/>
    <w:rsid w:val="00D260FE"/>
    <w:rsid w:val="00D266A4"/>
    <w:rsid w:val="00D26980"/>
    <w:rsid w:val="00D26B3B"/>
    <w:rsid w:val="00D26C5E"/>
    <w:rsid w:val="00D26D25"/>
    <w:rsid w:val="00D26D34"/>
    <w:rsid w:val="00D26DB4"/>
    <w:rsid w:val="00D26DC3"/>
    <w:rsid w:val="00D26DCF"/>
    <w:rsid w:val="00D26DED"/>
    <w:rsid w:val="00D26E01"/>
    <w:rsid w:val="00D26E1D"/>
    <w:rsid w:val="00D274DF"/>
    <w:rsid w:val="00D27554"/>
    <w:rsid w:val="00D2789C"/>
    <w:rsid w:val="00D27C7E"/>
    <w:rsid w:val="00D27CB0"/>
    <w:rsid w:val="00D27D20"/>
    <w:rsid w:val="00D27D45"/>
    <w:rsid w:val="00D3026B"/>
    <w:rsid w:val="00D3070D"/>
    <w:rsid w:val="00D30842"/>
    <w:rsid w:val="00D3098B"/>
    <w:rsid w:val="00D30C1A"/>
    <w:rsid w:val="00D30C22"/>
    <w:rsid w:val="00D30E43"/>
    <w:rsid w:val="00D3101D"/>
    <w:rsid w:val="00D310A1"/>
    <w:rsid w:val="00D3132E"/>
    <w:rsid w:val="00D31685"/>
    <w:rsid w:val="00D3171F"/>
    <w:rsid w:val="00D3172C"/>
    <w:rsid w:val="00D31AD2"/>
    <w:rsid w:val="00D31AEA"/>
    <w:rsid w:val="00D31B93"/>
    <w:rsid w:val="00D31D92"/>
    <w:rsid w:val="00D31ECF"/>
    <w:rsid w:val="00D31F9B"/>
    <w:rsid w:val="00D32318"/>
    <w:rsid w:val="00D324C6"/>
    <w:rsid w:val="00D32506"/>
    <w:rsid w:val="00D3258C"/>
    <w:rsid w:val="00D32655"/>
    <w:rsid w:val="00D32666"/>
    <w:rsid w:val="00D3295C"/>
    <w:rsid w:val="00D32C75"/>
    <w:rsid w:val="00D32F20"/>
    <w:rsid w:val="00D330F9"/>
    <w:rsid w:val="00D3321F"/>
    <w:rsid w:val="00D33535"/>
    <w:rsid w:val="00D336E3"/>
    <w:rsid w:val="00D33C1F"/>
    <w:rsid w:val="00D33D09"/>
    <w:rsid w:val="00D33DD2"/>
    <w:rsid w:val="00D33EF5"/>
    <w:rsid w:val="00D34071"/>
    <w:rsid w:val="00D34083"/>
    <w:rsid w:val="00D3409A"/>
    <w:rsid w:val="00D341F8"/>
    <w:rsid w:val="00D342C8"/>
    <w:rsid w:val="00D3439C"/>
    <w:rsid w:val="00D346A1"/>
    <w:rsid w:val="00D34863"/>
    <w:rsid w:val="00D348E7"/>
    <w:rsid w:val="00D3490D"/>
    <w:rsid w:val="00D34D23"/>
    <w:rsid w:val="00D34F4A"/>
    <w:rsid w:val="00D35230"/>
    <w:rsid w:val="00D352F7"/>
    <w:rsid w:val="00D35367"/>
    <w:rsid w:val="00D354F8"/>
    <w:rsid w:val="00D35540"/>
    <w:rsid w:val="00D355C9"/>
    <w:rsid w:val="00D358AA"/>
    <w:rsid w:val="00D35BCB"/>
    <w:rsid w:val="00D35DA9"/>
    <w:rsid w:val="00D35E59"/>
    <w:rsid w:val="00D35E68"/>
    <w:rsid w:val="00D361E7"/>
    <w:rsid w:val="00D36571"/>
    <w:rsid w:val="00D366F2"/>
    <w:rsid w:val="00D36812"/>
    <w:rsid w:val="00D36A22"/>
    <w:rsid w:val="00D36B31"/>
    <w:rsid w:val="00D36BDF"/>
    <w:rsid w:val="00D36E18"/>
    <w:rsid w:val="00D3764F"/>
    <w:rsid w:val="00D3766F"/>
    <w:rsid w:val="00D37672"/>
    <w:rsid w:val="00D37743"/>
    <w:rsid w:val="00D378FE"/>
    <w:rsid w:val="00D37987"/>
    <w:rsid w:val="00D37A55"/>
    <w:rsid w:val="00D37C0B"/>
    <w:rsid w:val="00D37C82"/>
    <w:rsid w:val="00D37CD4"/>
    <w:rsid w:val="00D37E2B"/>
    <w:rsid w:val="00D37E8A"/>
    <w:rsid w:val="00D402F1"/>
    <w:rsid w:val="00D4059A"/>
    <w:rsid w:val="00D4076D"/>
    <w:rsid w:val="00D408E3"/>
    <w:rsid w:val="00D40BE2"/>
    <w:rsid w:val="00D40E11"/>
    <w:rsid w:val="00D4111E"/>
    <w:rsid w:val="00D4114F"/>
    <w:rsid w:val="00D4127A"/>
    <w:rsid w:val="00D41329"/>
    <w:rsid w:val="00D414C4"/>
    <w:rsid w:val="00D41526"/>
    <w:rsid w:val="00D4180D"/>
    <w:rsid w:val="00D4183F"/>
    <w:rsid w:val="00D41941"/>
    <w:rsid w:val="00D41980"/>
    <w:rsid w:val="00D41D71"/>
    <w:rsid w:val="00D41DF1"/>
    <w:rsid w:val="00D420FE"/>
    <w:rsid w:val="00D42255"/>
    <w:rsid w:val="00D4230E"/>
    <w:rsid w:val="00D4237B"/>
    <w:rsid w:val="00D42437"/>
    <w:rsid w:val="00D4247F"/>
    <w:rsid w:val="00D42490"/>
    <w:rsid w:val="00D425CC"/>
    <w:rsid w:val="00D42790"/>
    <w:rsid w:val="00D42A13"/>
    <w:rsid w:val="00D42A51"/>
    <w:rsid w:val="00D42EAF"/>
    <w:rsid w:val="00D43411"/>
    <w:rsid w:val="00D4366D"/>
    <w:rsid w:val="00D437A3"/>
    <w:rsid w:val="00D43866"/>
    <w:rsid w:val="00D43885"/>
    <w:rsid w:val="00D43E98"/>
    <w:rsid w:val="00D442F3"/>
    <w:rsid w:val="00D44304"/>
    <w:rsid w:val="00D443A0"/>
    <w:rsid w:val="00D443EE"/>
    <w:rsid w:val="00D44520"/>
    <w:rsid w:val="00D44728"/>
    <w:rsid w:val="00D44921"/>
    <w:rsid w:val="00D44B9E"/>
    <w:rsid w:val="00D44CEA"/>
    <w:rsid w:val="00D44CEC"/>
    <w:rsid w:val="00D44DEA"/>
    <w:rsid w:val="00D44E7A"/>
    <w:rsid w:val="00D44EB6"/>
    <w:rsid w:val="00D451AA"/>
    <w:rsid w:val="00D4522F"/>
    <w:rsid w:val="00D45295"/>
    <w:rsid w:val="00D453FB"/>
    <w:rsid w:val="00D4548F"/>
    <w:rsid w:val="00D459AE"/>
    <w:rsid w:val="00D459F2"/>
    <w:rsid w:val="00D45CB7"/>
    <w:rsid w:val="00D45D67"/>
    <w:rsid w:val="00D46071"/>
    <w:rsid w:val="00D4619D"/>
    <w:rsid w:val="00D4621A"/>
    <w:rsid w:val="00D46220"/>
    <w:rsid w:val="00D46540"/>
    <w:rsid w:val="00D465BF"/>
    <w:rsid w:val="00D467F1"/>
    <w:rsid w:val="00D46950"/>
    <w:rsid w:val="00D469AC"/>
    <w:rsid w:val="00D46A10"/>
    <w:rsid w:val="00D46AAF"/>
    <w:rsid w:val="00D46AD4"/>
    <w:rsid w:val="00D46E04"/>
    <w:rsid w:val="00D46F06"/>
    <w:rsid w:val="00D470CE"/>
    <w:rsid w:val="00D47161"/>
    <w:rsid w:val="00D476B1"/>
    <w:rsid w:val="00D476D3"/>
    <w:rsid w:val="00D47B43"/>
    <w:rsid w:val="00D47B9F"/>
    <w:rsid w:val="00D47CC3"/>
    <w:rsid w:val="00D47CCA"/>
    <w:rsid w:val="00D47DF1"/>
    <w:rsid w:val="00D47EF2"/>
    <w:rsid w:val="00D47F8B"/>
    <w:rsid w:val="00D47FF2"/>
    <w:rsid w:val="00D5021A"/>
    <w:rsid w:val="00D50520"/>
    <w:rsid w:val="00D5075C"/>
    <w:rsid w:val="00D50772"/>
    <w:rsid w:val="00D50899"/>
    <w:rsid w:val="00D50A8D"/>
    <w:rsid w:val="00D50EC0"/>
    <w:rsid w:val="00D51009"/>
    <w:rsid w:val="00D51032"/>
    <w:rsid w:val="00D5103D"/>
    <w:rsid w:val="00D51105"/>
    <w:rsid w:val="00D51114"/>
    <w:rsid w:val="00D5178C"/>
    <w:rsid w:val="00D51B02"/>
    <w:rsid w:val="00D51F48"/>
    <w:rsid w:val="00D521AC"/>
    <w:rsid w:val="00D521BA"/>
    <w:rsid w:val="00D5229A"/>
    <w:rsid w:val="00D52349"/>
    <w:rsid w:val="00D52656"/>
    <w:rsid w:val="00D52A75"/>
    <w:rsid w:val="00D52EC9"/>
    <w:rsid w:val="00D52F70"/>
    <w:rsid w:val="00D52FEE"/>
    <w:rsid w:val="00D53258"/>
    <w:rsid w:val="00D5325C"/>
    <w:rsid w:val="00D532BD"/>
    <w:rsid w:val="00D53315"/>
    <w:rsid w:val="00D5352A"/>
    <w:rsid w:val="00D53608"/>
    <w:rsid w:val="00D5381B"/>
    <w:rsid w:val="00D53C15"/>
    <w:rsid w:val="00D53DD8"/>
    <w:rsid w:val="00D53E93"/>
    <w:rsid w:val="00D54063"/>
    <w:rsid w:val="00D5409C"/>
    <w:rsid w:val="00D540C7"/>
    <w:rsid w:val="00D54334"/>
    <w:rsid w:val="00D54354"/>
    <w:rsid w:val="00D543EA"/>
    <w:rsid w:val="00D5456A"/>
    <w:rsid w:val="00D5460D"/>
    <w:rsid w:val="00D5477A"/>
    <w:rsid w:val="00D54967"/>
    <w:rsid w:val="00D54A37"/>
    <w:rsid w:val="00D54A51"/>
    <w:rsid w:val="00D54C2C"/>
    <w:rsid w:val="00D54C37"/>
    <w:rsid w:val="00D5525A"/>
    <w:rsid w:val="00D5535F"/>
    <w:rsid w:val="00D553A2"/>
    <w:rsid w:val="00D55624"/>
    <w:rsid w:val="00D558B6"/>
    <w:rsid w:val="00D55B75"/>
    <w:rsid w:val="00D55C0B"/>
    <w:rsid w:val="00D55C9A"/>
    <w:rsid w:val="00D55D79"/>
    <w:rsid w:val="00D55E83"/>
    <w:rsid w:val="00D55ECC"/>
    <w:rsid w:val="00D560A3"/>
    <w:rsid w:val="00D560D1"/>
    <w:rsid w:val="00D56211"/>
    <w:rsid w:val="00D56655"/>
    <w:rsid w:val="00D568D9"/>
    <w:rsid w:val="00D569C6"/>
    <w:rsid w:val="00D56AC9"/>
    <w:rsid w:val="00D56AF3"/>
    <w:rsid w:val="00D56D29"/>
    <w:rsid w:val="00D56E12"/>
    <w:rsid w:val="00D56FB2"/>
    <w:rsid w:val="00D57045"/>
    <w:rsid w:val="00D5752E"/>
    <w:rsid w:val="00D57575"/>
    <w:rsid w:val="00D575F5"/>
    <w:rsid w:val="00D57666"/>
    <w:rsid w:val="00D57814"/>
    <w:rsid w:val="00D578FC"/>
    <w:rsid w:val="00D579E8"/>
    <w:rsid w:val="00D57A5D"/>
    <w:rsid w:val="00D57C02"/>
    <w:rsid w:val="00D60194"/>
    <w:rsid w:val="00D6025B"/>
    <w:rsid w:val="00D603AF"/>
    <w:rsid w:val="00D60558"/>
    <w:rsid w:val="00D60745"/>
    <w:rsid w:val="00D60BC7"/>
    <w:rsid w:val="00D60EA4"/>
    <w:rsid w:val="00D61267"/>
    <w:rsid w:val="00D612F4"/>
    <w:rsid w:val="00D61313"/>
    <w:rsid w:val="00D6137B"/>
    <w:rsid w:val="00D61497"/>
    <w:rsid w:val="00D61685"/>
    <w:rsid w:val="00D6182A"/>
    <w:rsid w:val="00D61982"/>
    <w:rsid w:val="00D619EA"/>
    <w:rsid w:val="00D61A23"/>
    <w:rsid w:val="00D61A2A"/>
    <w:rsid w:val="00D61A8D"/>
    <w:rsid w:val="00D61F1D"/>
    <w:rsid w:val="00D61FA1"/>
    <w:rsid w:val="00D62134"/>
    <w:rsid w:val="00D624C7"/>
    <w:rsid w:val="00D62EE1"/>
    <w:rsid w:val="00D62FFB"/>
    <w:rsid w:val="00D63017"/>
    <w:rsid w:val="00D630EE"/>
    <w:rsid w:val="00D63199"/>
    <w:rsid w:val="00D6330C"/>
    <w:rsid w:val="00D6342D"/>
    <w:rsid w:val="00D63596"/>
    <w:rsid w:val="00D63713"/>
    <w:rsid w:val="00D637E3"/>
    <w:rsid w:val="00D63A81"/>
    <w:rsid w:val="00D63FB8"/>
    <w:rsid w:val="00D640DD"/>
    <w:rsid w:val="00D6427C"/>
    <w:rsid w:val="00D644E7"/>
    <w:rsid w:val="00D644FC"/>
    <w:rsid w:val="00D64829"/>
    <w:rsid w:val="00D6488B"/>
    <w:rsid w:val="00D64935"/>
    <w:rsid w:val="00D6496E"/>
    <w:rsid w:val="00D64978"/>
    <w:rsid w:val="00D64A99"/>
    <w:rsid w:val="00D64AC7"/>
    <w:rsid w:val="00D64B0F"/>
    <w:rsid w:val="00D64DFA"/>
    <w:rsid w:val="00D64E6A"/>
    <w:rsid w:val="00D64E95"/>
    <w:rsid w:val="00D65007"/>
    <w:rsid w:val="00D650F8"/>
    <w:rsid w:val="00D65181"/>
    <w:rsid w:val="00D653AD"/>
    <w:rsid w:val="00D653B5"/>
    <w:rsid w:val="00D6548F"/>
    <w:rsid w:val="00D6574F"/>
    <w:rsid w:val="00D65841"/>
    <w:rsid w:val="00D65CA2"/>
    <w:rsid w:val="00D660E0"/>
    <w:rsid w:val="00D6610C"/>
    <w:rsid w:val="00D666BE"/>
    <w:rsid w:val="00D66A48"/>
    <w:rsid w:val="00D66A9B"/>
    <w:rsid w:val="00D66CB8"/>
    <w:rsid w:val="00D66D0C"/>
    <w:rsid w:val="00D66DF4"/>
    <w:rsid w:val="00D66F7C"/>
    <w:rsid w:val="00D671E2"/>
    <w:rsid w:val="00D67231"/>
    <w:rsid w:val="00D67601"/>
    <w:rsid w:val="00D67643"/>
    <w:rsid w:val="00D67B56"/>
    <w:rsid w:val="00D67B78"/>
    <w:rsid w:val="00D67C6A"/>
    <w:rsid w:val="00D67D3F"/>
    <w:rsid w:val="00D67D7F"/>
    <w:rsid w:val="00D67EF4"/>
    <w:rsid w:val="00D70104"/>
    <w:rsid w:val="00D70197"/>
    <w:rsid w:val="00D70342"/>
    <w:rsid w:val="00D703A3"/>
    <w:rsid w:val="00D7056F"/>
    <w:rsid w:val="00D7066E"/>
    <w:rsid w:val="00D70694"/>
    <w:rsid w:val="00D70CFB"/>
    <w:rsid w:val="00D70F04"/>
    <w:rsid w:val="00D710FA"/>
    <w:rsid w:val="00D71153"/>
    <w:rsid w:val="00D71454"/>
    <w:rsid w:val="00D71455"/>
    <w:rsid w:val="00D71470"/>
    <w:rsid w:val="00D71533"/>
    <w:rsid w:val="00D716DF"/>
    <w:rsid w:val="00D717E9"/>
    <w:rsid w:val="00D719EA"/>
    <w:rsid w:val="00D71A81"/>
    <w:rsid w:val="00D71B78"/>
    <w:rsid w:val="00D71B99"/>
    <w:rsid w:val="00D71F79"/>
    <w:rsid w:val="00D72372"/>
    <w:rsid w:val="00D724D0"/>
    <w:rsid w:val="00D725B9"/>
    <w:rsid w:val="00D72727"/>
    <w:rsid w:val="00D7283C"/>
    <w:rsid w:val="00D72D13"/>
    <w:rsid w:val="00D72D51"/>
    <w:rsid w:val="00D72F93"/>
    <w:rsid w:val="00D7306C"/>
    <w:rsid w:val="00D73129"/>
    <w:rsid w:val="00D73217"/>
    <w:rsid w:val="00D732C0"/>
    <w:rsid w:val="00D73315"/>
    <w:rsid w:val="00D733AF"/>
    <w:rsid w:val="00D733B2"/>
    <w:rsid w:val="00D7343C"/>
    <w:rsid w:val="00D73489"/>
    <w:rsid w:val="00D73573"/>
    <w:rsid w:val="00D735B1"/>
    <w:rsid w:val="00D7366B"/>
    <w:rsid w:val="00D73694"/>
    <w:rsid w:val="00D73D02"/>
    <w:rsid w:val="00D73E2F"/>
    <w:rsid w:val="00D74007"/>
    <w:rsid w:val="00D7401F"/>
    <w:rsid w:val="00D740FF"/>
    <w:rsid w:val="00D74391"/>
    <w:rsid w:val="00D743A4"/>
    <w:rsid w:val="00D7488E"/>
    <w:rsid w:val="00D74B78"/>
    <w:rsid w:val="00D74E5E"/>
    <w:rsid w:val="00D74E73"/>
    <w:rsid w:val="00D74EB7"/>
    <w:rsid w:val="00D74EE8"/>
    <w:rsid w:val="00D74F8A"/>
    <w:rsid w:val="00D7501A"/>
    <w:rsid w:val="00D75117"/>
    <w:rsid w:val="00D751A4"/>
    <w:rsid w:val="00D752C2"/>
    <w:rsid w:val="00D75479"/>
    <w:rsid w:val="00D755D3"/>
    <w:rsid w:val="00D758A8"/>
    <w:rsid w:val="00D75946"/>
    <w:rsid w:val="00D75AA9"/>
    <w:rsid w:val="00D75F14"/>
    <w:rsid w:val="00D760BC"/>
    <w:rsid w:val="00D76482"/>
    <w:rsid w:val="00D765CD"/>
    <w:rsid w:val="00D76A1D"/>
    <w:rsid w:val="00D76ABC"/>
    <w:rsid w:val="00D76C0E"/>
    <w:rsid w:val="00D76D53"/>
    <w:rsid w:val="00D76D6D"/>
    <w:rsid w:val="00D76E49"/>
    <w:rsid w:val="00D76EBB"/>
    <w:rsid w:val="00D77001"/>
    <w:rsid w:val="00D7764F"/>
    <w:rsid w:val="00D7768E"/>
    <w:rsid w:val="00D77694"/>
    <w:rsid w:val="00D776B6"/>
    <w:rsid w:val="00D777DB"/>
    <w:rsid w:val="00D778B0"/>
    <w:rsid w:val="00D77ABD"/>
    <w:rsid w:val="00D77B1C"/>
    <w:rsid w:val="00D77D89"/>
    <w:rsid w:val="00D77F5F"/>
    <w:rsid w:val="00D800DE"/>
    <w:rsid w:val="00D80599"/>
    <w:rsid w:val="00D806FC"/>
    <w:rsid w:val="00D80A72"/>
    <w:rsid w:val="00D80AE1"/>
    <w:rsid w:val="00D80B54"/>
    <w:rsid w:val="00D80CFB"/>
    <w:rsid w:val="00D80DE2"/>
    <w:rsid w:val="00D80E21"/>
    <w:rsid w:val="00D80EB6"/>
    <w:rsid w:val="00D80F6D"/>
    <w:rsid w:val="00D814DF"/>
    <w:rsid w:val="00D8169D"/>
    <w:rsid w:val="00D817DB"/>
    <w:rsid w:val="00D818B8"/>
    <w:rsid w:val="00D818FD"/>
    <w:rsid w:val="00D82022"/>
    <w:rsid w:val="00D82140"/>
    <w:rsid w:val="00D82182"/>
    <w:rsid w:val="00D8223D"/>
    <w:rsid w:val="00D82385"/>
    <w:rsid w:val="00D82543"/>
    <w:rsid w:val="00D8265A"/>
    <w:rsid w:val="00D827CE"/>
    <w:rsid w:val="00D828B9"/>
    <w:rsid w:val="00D829C6"/>
    <w:rsid w:val="00D82A8A"/>
    <w:rsid w:val="00D82A8B"/>
    <w:rsid w:val="00D82C0F"/>
    <w:rsid w:val="00D8300A"/>
    <w:rsid w:val="00D83077"/>
    <w:rsid w:val="00D833A0"/>
    <w:rsid w:val="00D83587"/>
    <w:rsid w:val="00D83833"/>
    <w:rsid w:val="00D838DE"/>
    <w:rsid w:val="00D83A12"/>
    <w:rsid w:val="00D83AB1"/>
    <w:rsid w:val="00D83CAE"/>
    <w:rsid w:val="00D83DE5"/>
    <w:rsid w:val="00D8400A"/>
    <w:rsid w:val="00D84020"/>
    <w:rsid w:val="00D84022"/>
    <w:rsid w:val="00D84368"/>
    <w:rsid w:val="00D84682"/>
    <w:rsid w:val="00D846F5"/>
    <w:rsid w:val="00D847A3"/>
    <w:rsid w:val="00D849B1"/>
    <w:rsid w:val="00D84A63"/>
    <w:rsid w:val="00D84B43"/>
    <w:rsid w:val="00D84C08"/>
    <w:rsid w:val="00D84D0E"/>
    <w:rsid w:val="00D84DDB"/>
    <w:rsid w:val="00D84EB0"/>
    <w:rsid w:val="00D84EFD"/>
    <w:rsid w:val="00D850E6"/>
    <w:rsid w:val="00D851C7"/>
    <w:rsid w:val="00D85207"/>
    <w:rsid w:val="00D85251"/>
    <w:rsid w:val="00D8527C"/>
    <w:rsid w:val="00D85286"/>
    <w:rsid w:val="00D852B3"/>
    <w:rsid w:val="00D8530D"/>
    <w:rsid w:val="00D85311"/>
    <w:rsid w:val="00D85381"/>
    <w:rsid w:val="00D85428"/>
    <w:rsid w:val="00D854AE"/>
    <w:rsid w:val="00D8551A"/>
    <w:rsid w:val="00D8577F"/>
    <w:rsid w:val="00D85BDE"/>
    <w:rsid w:val="00D85BE9"/>
    <w:rsid w:val="00D85C52"/>
    <w:rsid w:val="00D85EA3"/>
    <w:rsid w:val="00D85EAE"/>
    <w:rsid w:val="00D85EE3"/>
    <w:rsid w:val="00D86070"/>
    <w:rsid w:val="00D8616A"/>
    <w:rsid w:val="00D8653E"/>
    <w:rsid w:val="00D86618"/>
    <w:rsid w:val="00D86B1E"/>
    <w:rsid w:val="00D86B30"/>
    <w:rsid w:val="00D86D94"/>
    <w:rsid w:val="00D86E61"/>
    <w:rsid w:val="00D872C0"/>
    <w:rsid w:val="00D87570"/>
    <w:rsid w:val="00D8763D"/>
    <w:rsid w:val="00D87AFE"/>
    <w:rsid w:val="00D87B41"/>
    <w:rsid w:val="00D87C58"/>
    <w:rsid w:val="00D87C5C"/>
    <w:rsid w:val="00D87C5D"/>
    <w:rsid w:val="00D87D4D"/>
    <w:rsid w:val="00D9010A"/>
    <w:rsid w:val="00D9019E"/>
    <w:rsid w:val="00D901B1"/>
    <w:rsid w:val="00D90571"/>
    <w:rsid w:val="00D905C6"/>
    <w:rsid w:val="00D905F8"/>
    <w:rsid w:val="00D90683"/>
    <w:rsid w:val="00D9071C"/>
    <w:rsid w:val="00D9090E"/>
    <w:rsid w:val="00D90AA5"/>
    <w:rsid w:val="00D90E6F"/>
    <w:rsid w:val="00D91083"/>
    <w:rsid w:val="00D91646"/>
    <w:rsid w:val="00D91724"/>
    <w:rsid w:val="00D9181F"/>
    <w:rsid w:val="00D91846"/>
    <w:rsid w:val="00D91AE9"/>
    <w:rsid w:val="00D91C8F"/>
    <w:rsid w:val="00D91C99"/>
    <w:rsid w:val="00D91CB8"/>
    <w:rsid w:val="00D92000"/>
    <w:rsid w:val="00D92044"/>
    <w:rsid w:val="00D92076"/>
    <w:rsid w:val="00D92113"/>
    <w:rsid w:val="00D9216B"/>
    <w:rsid w:val="00D92341"/>
    <w:rsid w:val="00D9241F"/>
    <w:rsid w:val="00D92441"/>
    <w:rsid w:val="00D924A5"/>
    <w:rsid w:val="00D926E9"/>
    <w:rsid w:val="00D92D39"/>
    <w:rsid w:val="00D92DE5"/>
    <w:rsid w:val="00D92F09"/>
    <w:rsid w:val="00D93225"/>
    <w:rsid w:val="00D93270"/>
    <w:rsid w:val="00D934CA"/>
    <w:rsid w:val="00D934F0"/>
    <w:rsid w:val="00D936A1"/>
    <w:rsid w:val="00D937CF"/>
    <w:rsid w:val="00D93A1C"/>
    <w:rsid w:val="00D93ACF"/>
    <w:rsid w:val="00D93C08"/>
    <w:rsid w:val="00D93C7D"/>
    <w:rsid w:val="00D93F7E"/>
    <w:rsid w:val="00D94243"/>
    <w:rsid w:val="00D94715"/>
    <w:rsid w:val="00D9488C"/>
    <w:rsid w:val="00D94913"/>
    <w:rsid w:val="00D94A6E"/>
    <w:rsid w:val="00D94B34"/>
    <w:rsid w:val="00D94BFB"/>
    <w:rsid w:val="00D94DE0"/>
    <w:rsid w:val="00D94DF9"/>
    <w:rsid w:val="00D94F48"/>
    <w:rsid w:val="00D94F70"/>
    <w:rsid w:val="00D950B7"/>
    <w:rsid w:val="00D951AA"/>
    <w:rsid w:val="00D9522E"/>
    <w:rsid w:val="00D9531B"/>
    <w:rsid w:val="00D95428"/>
    <w:rsid w:val="00D95772"/>
    <w:rsid w:val="00D957ED"/>
    <w:rsid w:val="00D9583F"/>
    <w:rsid w:val="00D9591D"/>
    <w:rsid w:val="00D95FE7"/>
    <w:rsid w:val="00D9610B"/>
    <w:rsid w:val="00D961BE"/>
    <w:rsid w:val="00D961E4"/>
    <w:rsid w:val="00D96302"/>
    <w:rsid w:val="00D964C7"/>
    <w:rsid w:val="00D966D1"/>
    <w:rsid w:val="00D9676A"/>
    <w:rsid w:val="00D9689C"/>
    <w:rsid w:val="00D9689D"/>
    <w:rsid w:val="00D969CC"/>
    <w:rsid w:val="00D96B35"/>
    <w:rsid w:val="00D96B9D"/>
    <w:rsid w:val="00D96D6C"/>
    <w:rsid w:val="00D96DD8"/>
    <w:rsid w:val="00D97018"/>
    <w:rsid w:val="00D971EF"/>
    <w:rsid w:val="00D972D4"/>
    <w:rsid w:val="00D972E8"/>
    <w:rsid w:val="00D9752D"/>
    <w:rsid w:val="00D97827"/>
    <w:rsid w:val="00D97981"/>
    <w:rsid w:val="00D97AD4"/>
    <w:rsid w:val="00D97B66"/>
    <w:rsid w:val="00D97CEB"/>
    <w:rsid w:val="00D97E58"/>
    <w:rsid w:val="00D97F4F"/>
    <w:rsid w:val="00D97F50"/>
    <w:rsid w:val="00D97FE8"/>
    <w:rsid w:val="00DA00A4"/>
    <w:rsid w:val="00DA01D7"/>
    <w:rsid w:val="00DA069B"/>
    <w:rsid w:val="00DA078F"/>
    <w:rsid w:val="00DA07D5"/>
    <w:rsid w:val="00DA0ABD"/>
    <w:rsid w:val="00DA0C53"/>
    <w:rsid w:val="00DA0ED9"/>
    <w:rsid w:val="00DA1100"/>
    <w:rsid w:val="00DA1180"/>
    <w:rsid w:val="00DA12CF"/>
    <w:rsid w:val="00DA1427"/>
    <w:rsid w:val="00DA1750"/>
    <w:rsid w:val="00DA18E9"/>
    <w:rsid w:val="00DA1BF3"/>
    <w:rsid w:val="00DA1C76"/>
    <w:rsid w:val="00DA23EE"/>
    <w:rsid w:val="00DA242E"/>
    <w:rsid w:val="00DA253C"/>
    <w:rsid w:val="00DA2968"/>
    <w:rsid w:val="00DA2CD4"/>
    <w:rsid w:val="00DA322F"/>
    <w:rsid w:val="00DA32AB"/>
    <w:rsid w:val="00DA3462"/>
    <w:rsid w:val="00DA3529"/>
    <w:rsid w:val="00DA353D"/>
    <w:rsid w:val="00DA38A1"/>
    <w:rsid w:val="00DA3913"/>
    <w:rsid w:val="00DA3A39"/>
    <w:rsid w:val="00DA3B7B"/>
    <w:rsid w:val="00DA3BB4"/>
    <w:rsid w:val="00DA3BE5"/>
    <w:rsid w:val="00DA3C40"/>
    <w:rsid w:val="00DA3D7F"/>
    <w:rsid w:val="00DA3DC7"/>
    <w:rsid w:val="00DA4212"/>
    <w:rsid w:val="00DA4247"/>
    <w:rsid w:val="00DA4249"/>
    <w:rsid w:val="00DA43A5"/>
    <w:rsid w:val="00DA43F8"/>
    <w:rsid w:val="00DA463D"/>
    <w:rsid w:val="00DA4677"/>
    <w:rsid w:val="00DA49D9"/>
    <w:rsid w:val="00DA4A67"/>
    <w:rsid w:val="00DA50EF"/>
    <w:rsid w:val="00DA51B0"/>
    <w:rsid w:val="00DA51C1"/>
    <w:rsid w:val="00DA5399"/>
    <w:rsid w:val="00DA5407"/>
    <w:rsid w:val="00DA5510"/>
    <w:rsid w:val="00DA56AB"/>
    <w:rsid w:val="00DA56E5"/>
    <w:rsid w:val="00DA5814"/>
    <w:rsid w:val="00DA5F27"/>
    <w:rsid w:val="00DA5F85"/>
    <w:rsid w:val="00DA5FCA"/>
    <w:rsid w:val="00DA63F2"/>
    <w:rsid w:val="00DA679B"/>
    <w:rsid w:val="00DA6982"/>
    <w:rsid w:val="00DA6C95"/>
    <w:rsid w:val="00DA6DBA"/>
    <w:rsid w:val="00DA6E59"/>
    <w:rsid w:val="00DA7115"/>
    <w:rsid w:val="00DA712A"/>
    <w:rsid w:val="00DA73C5"/>
    <w:rsid w:val="00DA7437"/>
    <w:rsid w:val="00DA7634"/>
    <w:rsid w:val="00DA7642"/>
    <w:rsid w:val="00DA76F0"/>
    <w:rsid w:val="00DA7A11"/>
    <w:rsid w:val="00DA7EB4"/>
    <w:rsid w:val="00DB01E9"/>
    <w:rsid w:val="00DB0371"/>
    <w:rsid w:val="00DB038F"/>
    <w:rsid w:val="00DB0709"/>
    <w:rsid w:val="00DB088B"/>
    <w:rsid w:val="00DB0A1E"/>
    <w:rsid w:val="00DB0B86"/>
    <w:rsid w:val="00DB0BFC"/>
    <w:rsid w:val="00DB0FE3"/>
    <w:rsid w:val="00DB10F1"/>
    <w:rsid w:val="00DB114A"/>
    <w:rsid w:val="00DB124A"/>
    <w:rsid w:val="00DB124C"/>
    <w:rsid w:val="00DB125E"/>
    <w:rsid w:val="00DB16EC"/>
    <w:rsid w:val="00DB176E"/>
    <w:rsid w:val="00DB1990"/>
    <w:rsid w:val="00DB1A89"/>
    <w:rsid w:val="00DB1CB3"/>
    <w:rsid w:val="00DB1D00"/>
    <w:rsid w:val="00DB1D63"/>
    <w:rsid w:val="00DB1E1A"/>
    <w:rsid w:val="00DB1E97"/>
    <w:rsid w:val="00DB1F40"/>
    <w:rsid w:val="00DB1F95"/>
    <w:rsid w:val="00DB21D1"/>
    <w:rsid w:val="00DB2348"/>
    <w:rsid w:val="00DB23B0"/>
    <w:rsid w:val="00DB26DC"/>
    <w:rsid w:val="00DB2722"/>
    <w:rsid w:val="00DB2FF1"/>
    <w:rsid w:val="00DB31EA"/>
    <w:rsid w:val="00DB34A4"/>
    <w:rsid w:val="00DB368C"/>
    <w:rsid w:val="00DB370B"/>
    <w:rsid w:val="00DB3B40"/>
    <w:rsid w:val="00DB3CEA"/>
    <w:rsid w:val="00DB408E"/>
    <w:rsid w:val="00DB438D"/>
    <w:rsid w:val="00DB4411"/>
    <w:rsid w:val="00DB477C"/>
    <w:rsid w:val="00DB47BA"/>
    <w:rsid w:val="00DB4958"/>
    <w:rsid w:val="00DB4BE6"/>
    <w:rsid w:val="00DB4D03"/>
    <w:rsid w:val="00DB4D81"/>
    <w:rsid w:val="00DB4DEA"/>
    <w:rsid w:val="00DB5163"/>
    <w:rsid w:val="00DB51E1"/>
    <w:rsid w:val="00DB53B8"/>
    <w:rsid w:val="00DB53E2"/>
    <w:rsid w:val="00DB5973"/>
    <w:rsid w:val="00DB59B8"/>
    <w:rsid w:val="00DB5B5C"/>
    <w:rsid w:val="00DB5BF5"/>
    <w:rsid w:val="00DB5E13"/>
    <w:rsid w:val="00DB61BB"/>
    <w:rsid w:val="00DB626A"/>
    <w:rsid w:val="00DB6507"/>
    <w:rsid w:val="00DB673F"/>
    <w:rsid w:val="00DB6800"/>
    <w:rsid w:val="00DB68A9"/>
    <w:rsid w:val="00DB6956"/>
    <w:rsid w:val="00DB6DE3"/>
    <w:rsid w:val="00DB70DB"/>
    <w:rsid w:val="00DB785F"/>
    <w:rsid w:val="00DB7A35"/>
    <w:rsid w:val="00DB7C8C"/>
    <w:rsid w:val="00DC00D0"/>
    <w:rsid w:val="00DC00D2"/>
    <w:rsid w:val="00DC021A"/>
    <w:rsid w:val="00DC0352"/>
    <w:rsid w:val="00DC07EF"/>
    <w:rsid w:val="00DC08E1"/>
    <w:rsid w:val="00DC08E5"/>
    <w:rsid w:val="00DC0AB5"/>
    <w:rsid w:val="00DC0B64"/>
    <w:rsid w:val="00DC0CB9"/>
    <w:rsid w:val="00DC0D4E"/>
    <w:rsid w:val="00DC0F0B"/>
    <w:rsid w:val="00DC1287"/>
    <w:rsid w:val="00DC129B"/>
    <w:rsid w:val="00DC1382"/>
    <w:rsid w:val="00DC14DA"/>
    <w:rsid w:val="00DC159F"/>
    <w:rsid w:val="00DC16BF"/>
    <w:rsid w:val="00DC16CE"/>
    <w:rsid w:val="00DC1855"/>
    <w:rsid w:val="00DC1ADC"/>
    <w:rsid w:val="00DC1D25"/>
    <w:rsid w:val="00DC1E67"/>
    <w:rsid w:val="00DC1EE5"/>
    <w:rsid w:val="00DC1F80"/>
    <w:rsid w:val="00DC1F9B"/>
    <w:rsid w:val="00DC24F6"/>
    <w:rsid w:val="00DC263D"/>
    <w:rsid w:val="00DC272C"/>
    <w:rsid w:val="00DC2806"/>
    <w:rsid w:val="00DC29DB"/>
    <w:rsid w:val="00DC2A15"/>
    <w:rsid w:val="00DC2B96"/>
    <w:rsid w:val="00DC2CC2"/>
    <w:rsid w:val="00DC2DB0"/>
    <w:rsid w:val="00DC2E1A"/>
    <w:rsid w:val="00DC2E45"/>
    <w:rsid w:val="00DC3170"/>
    <w:rsid w:val="00DC32FF"/>
    <w:rsid w:val="00DC3389"/>
    <w:rsid w:val="00DC36A8"/>
    <w:rsid w:val="00DC3889"/>
    <w:rsid w:val="00DC3ADA"/>
    <w:rsid w:val="00DC3BA0"/>
    <w:rsid w:val="00DC3D89"/>
    <w:rsid w:val="00DC4038"/>
    <w:rsid w:val="00DC429C"/>
    <w:rsid w:val="00DC43D4"/>
    <w:rsid w:val="00DC47A6"/>
    <w:rsid w:val="00DC49A6"/>
    <w:rsid w:val="00DC4B78"/>
    <w:rsid w:val="00DC5125"/>
    <w:rsid w:val="00DC55AA"/>
    <w:rsid w:val="00DC575B"/>
    <w:rsid w:val="00DC57AB"/>
    <w:rsid w:val="00DC5CC4"/>
    <w:rsid w:val="00DC5E10"/>
    <w:rsid w:val="00DC5EA1"/>
    <w:rsid w:val="00DC6135"/>
    <w:rsid w:val="00DC6183"/>
    <w:rsid w:val="00DC6208"/>
    <w:rsid w:val="00DC62AB"/>
    <w:rsid w:val="00DC6393"/>
    <w:rsid w:val="00DC6529"/>
    <w:rsid w:val="00DC67FC"/>
    <w:rsid w:val="00DC6801"/>
    <w:rsid w:val="00DC6932"/>
    <w:rsid w:val="00DC6B0B"/>
    <w:rsid w:val="00DC6BC3"/>
    <w:rsid w:val="00DC6BD1"/>
    <w:rsid w:val="00DC6C08"/>
    <w:rsid w:val="00DC6D6C"/>
    <w:rsid w:val="00DC6E23"/>
    <w:rsid w:val="00DC6E4D"/>
    <w:rsid w:val="00DC6FE6"/>
    <w:rsid w:val="00DC6FEA"/>
    <w:rsid w:val="00DC7056"/>
    <w:rsid w:val="00DC70C5"/>
    <w:rsid w:val="00DC7281"/>
    <w:rsid w:val="00DC74D5"/>
    <w:rsid w:val="00DC755A"/>
    <w:rsid w:val="00DC75B2"/>
    <w:rsid w:val="00DC774F"/>
    <w:rsid w:val="00DC7764"/>
    <w:rsid w:val="00DC79FC"/>
    <w:rsid w:val="00DC7B72"/>
    <w:rsid w:val="00DC7CF5"/>
    <w:rsid w:val="00DC7FA4"/>
    <w:rsid w:val="00DD00BC"/>
    <w:rsid w:val="00DD029F"/>
    <w:rsid w:val="00DD038C"/>
    <w:rsid w:val="00DD04B0"/>
    <w:rsid w:val="00DD06F2"/>
    <w:rsid w:val="00DD090E"/>
    <w:rsid w:val="00DD1147"/>
    <w:rsid w:val="00DD140E"/>
    <w:rsid w:val="00DD1630"/>
    <w:rsid w:val="00DD175B"/>
    <w:rsid w:val="00DD185B"/>
    <w:rsid w:val="00DD1937"/>
    <w:rsid w:val="00DD1A4F"/>
    <w:rsid w:val="00DD1CF6"/>
    <w:rsid w:val="00DD1F38"/>
    <w:rsid w:val="00DD2027"/>
    <w:rsid w:val="00DD213B"/>
    <w:rsid w:val="00DD21E2"/>
    <w:rsid w:val="00DD23F8"/>
    <w:rsid w:val="00DD24EA"/>
    <w:rsid w:val="00DD272D"/>
    <w:rsid w:val="00DD2808"/>
    <w:rsid w:val="00DD2977"/>
    <w:rsid w:val="00DD2A26"/>
    <w:rsid w:val="00DD2B0B"/>
    <w:rsid w:val="00DD2D1F"/>
    <w:rsid w:val="00DD2D7E"/>
    <w:rsid w:val="00DD2EB1"/>
    <w:rsid w:val="00DD3118"/>
    <w:rsid w:val="00DD31BF"/>
    <w:rsid w:val="00DD322E"/>
    <w:rsid w:val="00DD3502"/>
    <w:rsid w:val="00DD36DA"/>
    <w:rsid w:val="00DD3742"/>
    <w:rsid w:val="00DD3A0F"/>
    <w:rsid w:val="00DD3D9B"/>
    <w:rsid w:val="00DD497B"/>
    <w:rsid w:val="00DD497D"/>
    <w:rsid w:val="00DD4A7D"/>
    <w:rsid w:val="00DD4AE4"/>
    <w:rsid w:val="00DD4B02"/>
    <w:rsid w:val="00DD4D12"/>
    <w:rsid w:val="00DD4DD1"/>
    <w:rsid w:val="00DD4EC1"/>
    <w:rsid w:val="00DD4F0D"/>
    <w:rsid w:val="00DD4F19"/>
    <w:rsid w:val="00DD539C"/>
    <w:rsid w:val="00DD54EB"/>
    <w:rsid w:val="00DD5545"/>
    <w:rsid w:val="00DD56D1"/>
    <w:rsid w:val="00DD56E6"/>
    <w:rsid w:val="00DD5990"/>
    <w:rsid w:val="00DD5A4E"/>
    <w:rsid w:val="00DD5B42"/>
    <w:rsid w:val="00DD5FA6"/>
    <w:rsid w:val="00DD6060"/>
    <w:rsid w:val="00DD6110"/>
    <w:rsid w:val="00DD65F9"/>
    <w:rsid w:val="00DD661E"/>
    <w:rsid w:val="00DD6751"/>
    <w:rsid w:val="00DD6858"/>
    <w:rsid w:val="00DD6933"/>
    <w:rsid w:val="00DD6AF2"/>
    <w:rsid w:val="00DD6C47"/>
    <w:rsid w:val="00DD6EC5"/>
    <w:rsid w:val="00DD70BE"/>
    <w:rsid w:val="00DD7212"/>
    <w:rsid w:val="00DD7253"/>
    <w:rsid w:val="00DD72FC"/>
    <w:rsid w:val="00DD7509"/>
    <w:rsid w:val="00DD7B33"/>
    <w:rsid w:val="00DD7C32"/>
    <w:rsid w:val="00DD7CAE"/>
    <w:rsid w:val="00DD7D91"/>
    <w:rsid w:val="00DD7DEC"/>
    <w:rsid w:val="00DD7E0C"/>
    <w:rsid w:val="00DD7F3D"/>
    <w:rsid w:val="00DD7F97"/>
    <w:rsid w:val="00DE00C5"/>
    <w:rsid w:val="00DE019B"/>
    <w:rsid w:val="00DE0219"/>
    <w:rsid w:val="00DE048F"/>
    <w:rsid w:val="00DE0675"/>
    <w:rsid w:val="00DE0A4C"/>
    <w:rsid w:val="00DE0EFF"/>
    <w:rsid w:val="00DE109B"/>
    <w:rsid w:val="00DE11C8"/>
    <w:rsid w:val="00DE15F8"/>
    <w:rsid w:val="00DE17AF"/>
    <w:rsid w:val="00DE1971"/>
    <w:rsid w:val="00DE1A09"/>
    <w:rsid w:val="00DE1CA9"/>
    <w:rsid w:val="00DE1ED6"/>
    <w:rsid w:val="00DE1F2C"/>
    <w:rsid w:val="00DE2015"/>
    <w:rsid w:val="00DE2042"/>
    <w:rsid w:val="00DE216F"/>
    <w:rsid w:val="00DE238B"/>
    <w:rsid w:val="00DE23E5"/>
    <w:rsid w:val="00DE25A5"/>
    <w:rsid w:val="00DE2661"/>
    <w:rsid w:val="00DE26D8"/>
    <w:rsid w:val="00DE28A5"/>
    <w:rsid w:val="00DE2B8B"/>
    <w:rsid w:val="00DE2C2F"/>
    <w:rsid w:val="00DE30A6"/>
    <w:rsid w:val="00DE3184"/>
    <w:rsid w:val="00DE3353"/>
    <w:rsid w:val="00DE373F"/>
    <w:rsid w:val="00DE393E"/>
    <w:rsid w:val="00DE3B7B"/>
    <w:rsid w:val="00DE3C16"/>
    <w:rsid w:val="00DE3D6E"/>
    <w:rsid w:val="00DE4113"/>
    <w:rsid w:val="00DE42FF"/>
    <w:rsid w:val="00DE4313"/>
    <w:rsid w:val="00DE4455"/>
    <w:rsid w:val="00DE458E"/>
    <w:rsid w:val="00DE4B8C"/>
    <w:rsid w:val="00DE4DC9"/>
    <w:rsid w:val="00DE4DEA"/>
    <w:rsid w:val="00DE5299"/>
    <w:rsid w:val="00DE530C"/>
    <w:rsid w:val="00DE53B7"/>
    <w:rsid w:val="00DE5407"/>
    <w:rsid w:val="00DE566D"/>
    <w:rsid w:val="00DE57FB"/>
    <w:rsid w:val="00DE588F"/>
    <w:rsid w:val="00DE594B"/>
    <w:rsid w:val="00DE59C0"/>
    <w:rsid w:val="00DE59D4"/>
    <w:rsid w:val="00DE5AAE"/>
    <w:rsid w:val="00DE5CDA"/>
    <w:rsid w:val="00DE5D00"/>
    <w:rsid w:val="00DE5D61"/>
    <w:rsid w:val="00DE5EE8"/>
    <w:rsid w:val="00DE5EF1"/>
    <w:rsid w:val="00DE5F1B"/>
    <w:rsid w:val="00DE65C6"/>
    <w:rsid w:val="00DE67A7"/>
    <w:rsid w:val="00DE6964"/>
    <w:rsid w:val="00DE6ACA"/>
    <w:rsid w:val="00DE6C9F"/>
    <w:rsid w:val="00DE6D84"/>
    <w:rsid w:val="00DE6FDF"/>
    <w:rsid w:val="00DE7105"/>
    <w:rsid w:val="00DE7124"/>
    <w:rsid w:val="00DE71E9"/>
    <w:rsid w:val="00DE72E4"/>
    <w:rsid w:val="00DE7444"/>
    <w:rsid w:val="00DE7668"/>
    <w:rsid w:val="00DE7988"/>
    <w:rsid w:val="00DE7A32"/>
    <w:rsid w:val="00DE7A84"/>
    <w:rsid w:val="00DE7CF5"/>
    <w:rsid w:val="00DE7E55"/>
    <w:rsid w:val="00DE7F20"/>
    <w:rsid w:val="00DF0118"/>
    <w:rsid w:val="00DF02D3"/>
    <w:rsid w:val="00DF0698"/>
    <w:rsid w:val="00DF0FC9"/>
    <w:rsid w:val="00DF1192"/>
    <w:rsid w:val="00DF16D1"/>
    <w:rsid w:val="00DF1820"/>
    <w:rsid w:val="00DF1A56"/>
    <w:rsid w:val="00DF1B17"/>
    <w:rsid w:val="00DF1FE8"/>
    <w:rsid w:val="00DF27C7"/>
    <w:rsid w:val="00DF28BC"/>
    <w:rsid w:val="00DF295C"/>
    <w:rsid w:val="00DF2AFE"/>
    <w:rsid w:val="00DF2CDC"/>
    <w:rsid w:val="00DF2DE7"/>
    <w:rsid w:val="00DF304D"/>
    <w:rsid w:val="00DF31D8"/>
    <w:rsid w:val="00DF3231"/>
    <w:rsid w:val="00DF33EA"/>
    <w:rsid w:val="00DF3477"/>
    <w:rsid w:val="00DF35B0"/>
    <w:rsid w:val="00DF35F6"/>
    <w:rsid w:val="00DF369C"/>
    <w:rsid w:val="00DF36BA"/>
    <w:rsid w:val="00DF36BD"/>
    <w:rsid w:val="00DF37C2"/>
    <w:rsid w:val="00DF39DD"/>
    <w:rsid w:val="00DF3B8D"/>
    <w:rsid w:val="00DF3CCE"/>
    <w:rsid w:val="00DF3D00"/>
    <w:rsid w:val="00DF4015"/>
    <w:rsid w:val="00DF4208"/>
    <w:rsid w:val="00DF42BD"/>
    <w:rsid w:val="00DF465A"/>
    <w:rsid w:val="00DF47DF"/>
    <w:rsid w:val="00DF4B30"/>
    <w:rsid w:val="00DF4B51"/>
    <w:rsid w:val="00DF4B88"/>
    <w:rsid w:val="00DF4C08"/>
    <w:rsid w:val="00DF4D66"/>
    <w:rsid w:val="00DF4F55"/>
    <w:rsid w:val="00DF519B"/>
    <w:rsid w:val="00DF59CA"/>
    <w:rsid w:val="00DF5A96"/>
    <w:rsid w:val="00DF5B30"/>
    <w:rsid w:val="00DF5C9C"/>
    <w:rsid w:val="00DF5FC9"/>
    <w:rsid w:val="00DF640D"/>
    <w:rsid w:val="00DF641C"/>
    <w:rsid w:val="00DF67F0"/>
    <w:rsid w:val="00DF6AFA"/>
    <w:rsid w:val="00DF6B72"/>
    <w:rsid w:val="00DF6CF6"/>
    <w:rsid w:val="00DF6D2C"/>
    <w:rsid w:val="00DF701E"/>
    <w:rsid w:val="00DF7176"/>
    <w:rsid w:val="00DF72A6"/>
    <w:rsid w:val="00DF7337"/>
    <w:rsid w:val="00DF754E"/>
    <w:rsid w:val="00DF760C"/>
    <w:rsid w:val="00DF76C7"/>
    <w:rsid w:val="00DF7834"/>
    <w:rsid w:val="00DF78C6"/>
    <w:rsid w:val="00DF7D62"/>
    <w:rsid w:val="00DF7DED"/>
    <w:rsid w:val="00DF7FE1"/>
    <w:rsid w:val="00E0009E"/>
    <w:rsid w:val="00E0036D"/>
    <w:rsid w:val="00E0041A"/>
    <w:rsid w:val="00E0048D"/>
    <w:rsid w:val="00E00515"/>
    <w:rsid w:val="00E006E6"/>
    <w:rsid w:val="00E009A5"/>
    <w:rsid w:val="00E00A09"/>
    <w:rsid w:val="00E00EF8"/>
    <w:rsid w:val="00E00FBD"/>
    <w:rsid w:val="00E01232"/>
    <w:rsid w:val="00E01291"/>
    <w:rsid w:val="00E01332"/>
    <w:rsid w:val="00E01383"/>
    <w:rsid w:val="00E0138B"/>
    <w:rsid w:val="00E0162F"/>
    <w:rsid w:val="00E01A5A"/>
    <w:rsid w:val="00E01B3E"/>
    <w:rsid w:val="00E01B92"/>
    <w:rsid w:val="00E01D75"/>
    <w:rsid w:val="00E01FAE"/>
    <w:rsid w:val="00E021AD"/>
    <w:rsid w:val="00E022C6"/>
    <w:rsid w:val="00E022CF"/>
    <w:rsid w:val="00E02562"/>
    <w:rsid w:val="00E0265B"/>
    <w:rsid w:val="00E02728"/>
    <w:rsid w:val="00E02862"/>
    <w:rsid w:val="00E028C9"/>
    <w:rsid w:val="00E02AAB"/>
    <w:rsid w:val="00E02BF4"/>
    <w:rsid w:val="00E02D7C"/>
    <w:rsid w:val="00E02DB3"/>
    <w:rsid w:val="00E02DC4"/>
    <w:rsid w:val="00E02E2F"/>
    <w:rsid w:val="00E02F4E"/>
    <w:rsid w:val="00E03011"/>
    <w:rsid w:val="00E0319E"/>
    <w:rsid w:val="00E031FD"/>
    <w:rsid w:val="00E03216"/>
    <w:rsid w:val="00E03314"/>
    <w:rsid w:val="00E038E2"/>
    <w:rsid w:val="00E03956"/>
    <w:rsid w:val="00E03A84"/>
    <w:rsid w:val="00E03CA8"/>
    <w:rsid w:val="00E041E2"/>
    <w:rsid w:val="00E04321"/>
    <w:rsid w:val="00E043AC"/>
    <w:rsid w:val="00E04510"/>
    <w:rsid w:val="00E046B8"/>
    <w:rsid w:val="00E048EE"/>
    <w:rsid w:val="00E04BDA"/>
    <w:rsid w:val="00E04C76"/>
    <w:rsid w:val="00E04ED0"/>
    <w:rsid w:val="00E04F35"/>
    <w:rsid w:val="00E05193"/>
    <w:rsid w:val="00E052B4"/>
    <w:rsid w:val="00E052D6"/>
    <w:rsid w:val="00E05341"/>
    <w:rsid w:val="00E05426"/>
    <w:rsid w:val="00E05FED"/>
    <w:rsid w:val="00E06229"/>
    <w:rsid w:val="00E064A5"/>
    <w:rsid w:val="00E06519"/>
    <w:rsid w:val="00E06555"/>
    <w:rsid w:val="00E065CF"/>
    <w:rsid w:val="00E06C14"/>
    <w:rsid w:val="00E06D36"/>
    <w:rsid w:val="00E06E3B"/>
    <w:rsid w:val="00E06F4E"/>
    <w:rsid w:val="00E07246"/>
    <w:rsid w:val="00E073A6"/>
    <w:rsid w:val="00E07440"/>
    <w:rsid w:val="00E074A3"/>
    <w:rsid w:val="00E074CD"/>
    <w:rsid w:val="00E074E9"/>
    <w:rsid w:val="00E074F8"/>
    <w:rsid w:val="00E07B06"/>
    <w:rsid w:val="00E07C1B"/>
    <w:rsid w:val="00E07C48"/>
    <w:rsid w:val="00E07C4D"/>
    <w:rsid w:val="00E07DC4"/>
    <w:rsid w:val="00E07FA9"/>
    <w:rsid w:val="00E10585"/>
    <w:rsid w:val="00E10886"/>
    <w:rsid w:val="00E1095B"/>
    <w:rsid w:val="00E10A2E"/>
    <w:rsid w:val="00E10ED4"/>
    <w:rsid w:val="00E10F21"/>
    <w:rsid w:val="00E113B6"/>
    <w:rsid w:val="00E11447"/>
    <w:rsid w:val="00E115DD"/>
    <w:rsid w:val="00E11887"/>
    <w:rsid w:val="00E118E4"/>
    <w:rsid w:val="00E11A79"/>
    <w:rsid w:val="00E11BDD"/>
    <w:rsid w:val="00E11BE3"/>
    <w:rsid w:val="00E11D2A"/>
    <w:rsid w:val="00E11D70"/>
    <w:rsid w:val="00E11ECA"/>
    <w:rsid w:val="00E11F65"/>
    <w:rsid w:val="00E12647"/>
    <w:rsid w:val="00E1265A"/>
    <w:rsid w:val="00E1294A"/>
    <w:rsid w:val="00E12AB7"/>
    <w:rsid w:val="00E12C19"/>
    <w:rsid w:val="00E12CA9"/>
    <w:rsid w:val="00E12D5B"/>
    <w:rsid w:val="00E13051"/>
    <w:rsid w:val="00E13228"/>
    <w:rsid w:val="00E132AF"/>
    <w:rsid w:val="00E132F9"/>
    <w:rsid w:val="00E13468"/>
    <w:rsid w:val="00E13899"/>
    <w:rsid w:val="00E13BA8"/>
    <w:rsid w:val="00E1402D"/>
    <w:rsid w:val="00E140B5"/>
    <w:rsid w:val="00E141AA"/>
    <w:rsid w:val="00E144C5"/>
    <w:rsid w:val="00E1452D"/>
    <w:rsid w:val="00E146FE"/>
    <w:rsid w:val="00E1494C"/>
    <w:rsid w:val="00E1496A"/>
    <w:rsid w:val="00E14E2E"/>
    <w:rsid w:val="00E14EC2"/>
    <w:rsid w:val="00E14F88"/>
    <w:rsid w:val="00E15457"/>
    <w:rsid w:val="00E15488"/>
    <w:rsid w:val="00E15549"/>
    <w:rsid w:val="00E157BF"/>
    <w:rsid w:val="00E158B5"/>
    <w:rsid w:val="00E15B8B"/>
    <w:rsid w:val="00E15BA7"/>
    <w:rsid w:val="00E15D01"/>
    <w:rsid w:val="00E15EE2"/>
    <w:rsid w:val="00E160E7"/>
    <w:rsid w:val="00E16113"/>
    <w:rsid w:val="00E16298"/>
    <w:rsid w:val="00E16318"/>
    <w:rsid w:val="00E1653E"/>
    <w:rsid w:val="00E168A1"/>
    <w:rsid w:val="00E169D3"/>
    <w:rsid w:val="00E16A6B"/>
    <w:rsid w:val="00E16DD3"/>
    <w:rsid w:val="00E16DF5"/>
    <w:rsid w:val="00E170C6"/>
    <w:rsid w:val="00E17801"/>
    <w:rsid w:val="00E1780B"/>
    <w:rsid w:val="00E17939"/>
    <w:rsid w:val="00E17A1D"/>
    <w:rsid w:val="00E17B01"/>
    <w:rsid w:val="00E17C10"/>
    <w:rsid w:val="00E17DAA"/>
    <w:rsid w:val="00E17FA5"/>
    <w:rsid w:val="00E201F7"/>
    <w:rsid w:val="00E20692"/>
    <w:rsid w:val="00E207AF"/>
    <w:rsid w:val="00E2080C"/>
    <w:rsid w:val="00E2089B"/>
    <w:rsid w:val="00E20926"/>
    <w:rsid w:val="00E20B92"/>
    <w:rsid w:val="00E20D45"/>
    <w:rsid w:val="00E20D65"/>
    <w:rsid w:val="00E20D74"/>
    <w:rsid w:val="00E20E1D"/>
    <w:rsid w:val="00E20F70"/>
    <w:rsid w:val="00E20F73"/>
    <w:rsid w:val="00E20F9F"/>
    <w:rsid w:val="00E20FED"/>
    <w:rsid w:val="00E21084"/>
    <w:rsid w:val="00E2110E"/>
    <w:rsid w:val="00E211A0"/>
    <w:rsid w:val="00E2123B"/>
    <w:rsid w:val="00E212AA"/>
    <w:rsid w:val="00E213E9"/>
    <w:rsid w:val="00E214F7"/>
    <w:rsid w:val="00E2155C"/>
    <w:rsid w:val="00E215FD"/>
    <w:rsid w:val="00E218E8"/>
    <w:rsid w:val="00E21A54"/>
    <w:rsid w:val="00E21A63"/>
    <w:rsid w:val="00E21A7E"/>
    <w:rsid w:val="00E21ADC"/>
    <w:rsid w:val="00E21C5E"/>
    <w:rsid w:val="00E21F3A"/>
    <w:rsid w:val="00E21FD4"/>
    <w:rsid w:val="00E220AE"/>
    <w:rsid w:val="00E2215B"/>
    <w:rsid w:val="00E2216A"/>
    <w:rsid w:val="00E224C2"/>
    <w:rsid w:val="00E224D3"/>
    <w:rsid w:val="00E227C2"/>
    <w:rsid w:val="00E22946"/>
    <w:rsid w:val="00E22980"/>
    <w:rsid w:val="00E22D09"/>
    <w:rsid w:val="00E22E92"/>
    <w:rsid w:val="00E22ECF"/>
    <w:rsid w:val="00E230EE"/>
    <w:rsid w:val="00E23145"/>
    <w:rsid w:val="00E23286"/>
    <w:rsid w:val="00E232E7"/>
    <w:rsid w:val="00E236E1"/>
    <w:rsid w:val="00E23880"/>
    <w:rsid w:val="00E23A1B"/>
    <w:rsid w:val="00E23B9D"/>
    <w:rsid w:val="00E23C5A"/>
    <w:rsid w:val="00E23E80"/>
    <w:rsid w:val="00E24102"/>
    <w:rsid w:val="00E24109"/>
    <w:rsid w:val="00E2436C"/>
    <w:rsid w:val="00E24433"/>
    <w:rsid w:val="00E24789"/>
    <w:rsid w:val="00E2482F"/>
    <w:rsid w:val="00E2499F"/>
    <w:rsid w:val="00E24B80"/>
    <w:rsid w:val="00E24BA9"/>
    <w:rsid w:val="00E24DF7"/>
    <w:rsid w:val="00E24E04"/>
    <w:rsid w:val="00E24F56"/>
    <w:rsid w:val="00E2517C"/>
    <w:rsid w:val="00E25354"/>
    <w:rsid w:val="00E253D0"/>
    <w:rsid w:val="00E2555E"/>
    <w:rsid w:val="00E2572C"/>
    <w:rsid w:val="00E25927"/>
    <w:rsid w:val="00E25BBB"/>
    <w:rsid w:val="00E25FC6"/>
    <w:rsid w:val="00E26015"/>
    <w:rsid w:val="00E261FF"/>
    <w:rsid w:val="00E2623B"/>
    <w:rsid w:val="00E262FA"/>
    <w:rsid w:val="00E26648"/>
    <w:rsid w:val="00E26688"/>
    <w:rsid w:val="00E26694"/>
    <w:rsid w:val="00E266F9"/>
    <w:rsid w:val="00E2670E"/>
    <w:rsid w:val="00E267C4"/>
    <w:rsid w:val="00E26814"/>
    <w:rsid w:val="00E26884"/>
    <w:rsid w:val="00E26B22"/>
    <w:rsid w:val="00E26BD0"/>
    <w:rsid w:val="00E26EB4"/>
    <w:rsid w:val="00E2737D"/>
    <w:rsid w:val="00E274AE"/>
    <w:rsid w:val="00E276E1"/>
    <w:rsid w:val="00E27733"/>
    <w:rsid w:val="00E277F0"/>
    <w:rsid w:val="00E2789A"/>
    <w:rsid w:val="00E27FFE"/>
    <w:rsid w:val="00E30004"/>
    <w:rsid w:val="00E300BC"/>
    <w:rsid w:val="00E301BE"/>
    <w:rsid w:val="00E30238"/>
    <w:rsid w:val="00E30371"/>
    <w:rsid w:val="00E30454"/>
    <w:rsid w:val="00E305BF"/>
    <w:rsid w:val="00E30684"/>
    <w:rsid w:val="00E3085B"/>
    <w:rsid w:val="00E30985"/>
    <w:rsid w:val="00E30A36"/>
    <w:rsid w:val="00E30BBC"/>
    <w:rsid w:val="00E30E30"/>
    <w:rsid w:val="00E30E3F"/>
    <w:rsid w:val="00E31184"/>
    <w:rsid w:val="00E311B6"/>
    <w:rsid w:val="00E3129B"/>
    <w:rsid w:val="00E31358"/>
    <w:rsid w:val="00E314E5"/>
    <w:rsid w:val="00E3171D"/>
    <w:rsid w:val="00E317BE"/>
    <w:rsid w:val="00E31804"/>
    <w:rsid w:val="00E31998"/>
    <w:rsid w:val="00E31B8A"/>
    <w:rsid w:val="00E31CCB"/>
    <w:rsid w:val="00E322E8"/>
    <w:rsid w:val="00E32363"/>
    <w:rsid w:val="00E3243D"/>
    <w:rsid w:val="00E3244B"/>
    <w:rsid w:val="00E3250E"/>
    <w:rsid w:val="00E326EE"/>
    <w:rsid w:val="00E328E8"/>
    <w:rsid w:val="00E33023"/>
    <w:rsid w:val="00E3302E"/>
    <w:rsid w:val="00E330E9"/>
    <w:rsid w:val="00E331A3"/>
    <w:rsid w:val="00E333AB"/>
    <w:rsid w:val="00E333CA"/>
    <w:rsid w:val="00E33D72"/>
    <w:rsid w:val="00E33EF9"/>
    <w:rsid w:val="00E33F99"/>
    <w:rsid w:val="00E33FD7"/>
    <w:rsid w:val="00E341C9"/>
    <w:rsid w:val="00E34201"/>
    <w:rsid w:val="00E3429E"/>
    <w:rsid w:val="00E34378"/>
    <w:rsid w:val="00E34663"/>
    <w:rsid w:val="00E3475E"/>
    <w:rsid w:val="00E347FC"/>
    <w:rsid w:val="00E3493E"/>
    <w:rsid w:val="00E349C9"/>
    <w:rsid w:val="00E349CF"/>
    <w:rsid w:val="00E34AFC"/>
    <w:rsid w:val="00E34C6B"/>
    <w:rsid w:val="00E34DEE"/>
    <w:rsid w:val="00E34EE8"/>
    <w:rsid w:val="00E34F1D"/>
    <w:rsid w:val="00E34FEB"/>
    <w:rsid w:val="00E350FE"/>
    <w:rsid w:val="00E35172"/>
    <w:rsid w:val="00E35691"/>
    <w:rsid w:val="00E357BB"/>
    <w:rsid w:val="00E35803"/>
    <w:rsid w:val="00E35BF2"/>
    <w:rsid w:val="00E35C0C"/>
    <w:rsid w:val="00E36058"/>
    <w:rsid w:val="00E360DD"/>
    <w:rsid w:val="00E36377"/>
    <w:rsid w:val="00E36930"/>
    <w:rsid w:val="00E36AE5"/>
    <w:rsid w:val="00E36B00"/>
    <w:rsid w:val="00E36C46"/>
    <w:rsid w:val="00E36CF4"/>
    <w:rsid w:val="00E36DDE"/>
    <w:rsid w:val="00E36E2A"/>
    <w:rsid w:val="00E37040"/>
    <w:rsid w:val="00E371E9"/>
    <w:rsid w:val="00E374DF"/>
    <w:rsid w:val="00E37510"/>
    <w:rsid w:val="00E37639"/>
    <w:rsid w:val="00E377BB"/>
    <w:rsid w:val="00E37B73"/>
    <w:rsid w:val="00E37D04"/>
    <w:rsid w:val="00E37EC2"/>
    <w:rsid w:val="00E37FFA"/>
    <w:rsid w:val="00E4004B"/>
    <w:rsid w:val="00E400BB"/>
    <w:rsid w:val="00E403E6"/>
    <w:rsid w:val="00E4054C"/>
    <w:rsid w:val="00E407D4"/>
    <w:rsid w:val="00E408DD"/>
    <w:rsid w:val="00E40A33"/>
    <w:rsid w:val="00E40AA8"/>
    <w:rsid w:val="00E40B26"/>
    <w:rsid w:val="00E40C82"/>
    <w:rsid w:val="00E40F19"/>
    <w:rsid w:val="00E410F3"/>
    <w:rsid w:val="00E41205"/>
    <w:rsid w:val="00E413F5"/>
    <w:rsid w:val="00E41663"/>
    <w:rsid w:val="00E41678"/>
    <w:rsid w:val="00E41699"/>
    <w:rsid w:val="00E41A55"/>
    <w:rsid w:val="00E41B56"/>
    <w:rsid w:val="00E41E45"/>
    <w:rsid w:val="00E41F9A"/>
    <w:rsid w:val="00E4207D"/>
    <w:rsid w:val="00E4230D"/>
    <w:rsid w:val="00E4239B"/>
    <w:rsid w:val="00E42487"/>
    <w:rsid w:val="00E425C3"/>
    <w:rsid w:val="00E42929"/>
    <w:rsid w:val="00E4295E"/>
    <w:rsid w:val="00E42A09"/>
    <w:rsid w:val="00E42B07"/>
    <w:rsid w:val="00E430E3"/>
    <w:rsid w:val="00E43414"/>
    <w:rsid w:val="00E434F7"/>
    <w:rsid w:val="00E43793"/>
    <w:rsid w:val="00E43833"/>
    <w:rsid w:val="00E43961"/>
    <w:rsid w:val="00E43C09"/>
    <w:rsid w:val="00E43D68"/>
    <w:rsid w:val="00E43D6B"/>
    <w:rsid w:val="00E440DF"/>
    <w:rsid w:val="00E44137"/>
    <w:rsid w:val="00E443EC"/>
    <w:rsid w:val="00E44744"/>
    <w:rsid w:val="00E44A0F"/>
    <w:rsid w:val="00E44ACC"/>
    <w:rsid w:val="00E45377"/>
    <w:rsid w:val="00E45403"/>
    <w:rsid w:val="00E45419"/>
    <w:rsid w:val="00E454C4"/>
    <w:rsid w:val="00E45730"/>
    <w:rsid w:val="00E4576F"/>
    <w:rsid w:val="00E457BB"/>
    <w:rsid w:val="00E457EB"/>
    <w:rsid w:val="00E45C8C"/>
    <w:rsid w:val="00E45D53"/>
    <w:rsid w:val="00E45E71"/>
    <w:rsid w:val="00E45EBE"/>
    <w:rsid w:val="00E45F2E"/>
    <w:rsid w:val="00E460DE"/>
    <w:rsid w:val="00E4631E"/>
    <w:rsid w:val="00E463FB"/>
    <w:rsid w:val="00E46438"/>
    <w:rsid w:val="00E465EE"/>
    <w:rsid w:val="00E4661F"/>
    <w:rsid w:val="00E4676E"/>
    <w:rsid w:val="00E4689A"/>
    <w:rsid w:val="00E46D17"/>
    <w:rsid w:val="00E46E34"/>
    <w:rsid w:val="00E46EB3"/>
    <w:rsid w:val="00E4717D"/>
    <w:rsid w:val="00E47213"/>
    <w:rsid w:val="00E4721E"/>
    <w:rsid w:val="00E47548"/>
    <w:rsid w:val="00E4780C"/>
    <w:rsid w:val="00E47BFA"/>
    <w:rsid w:val="00E47D36"/>
    <w:rsid w:val="00E50142"/>
    <w:rsid w:val="00E501BA"/>
    <w:rsid w:val="00E50211"/>
    <w:rsid w:val="00E502F9"/>
    <w:rsid w:val="00E505DF"/>
    <w:rsid w:val="00E506D9"/>
    <w:rsid w:val="00E50707"/>
    <w:rsid w:val="00E5075A"/>
    <w:rsid w:val="00E5080B"/>
    <w:rsid w:val="00E5087E"/>
    <w:rsid w:val="00E50C65"/>
    <w:rsid w:val="00E50ECC"/>
    <w:rsid w:val="00E5101C"/>
    <w:rsid w:val="00E512CA"/>
    <w:rsid w:val="00E515BC"/>
    <w:rsid w:val="00E516C3"/>
    <w:rsid w:val="00E51823"/>
    <w:rsid w:val="00E519FE"/>
    <w:rsid w:val="00E51C3C"/>
    <w:rsid w:val="00E51C6F"/>
    <w:rsid w:val="00E51CEB"/>
    <w:rsid w:val="00E51EB7"/>
    <w:rsid w:val="00E51FA6"/>
    <w:rsid w:val="00E52054"/>
    <w:rsid w:val="00E52D24"/>
    <w:rsid w:val="00E53714"/>
    <w:rsid w:val="00E53732"/>
    <w:rsid w:val="00E539A7"/>
    <w:rsid w:val="00E53CA3"/>
    <w:rsid w:val="00E53CB2"/>
    <w:rsid w:val="00E53F53"/>
    <w:rsid w:val="00E53F6F"/>
    <w:rsid w:val="00E541A7"/>
    <w:rsid w:val="00E54383"/>
    <w:rsid w:val="00E543C7"/>
    <w:rsid w:val="00E54641"/>
    <w:rsid w:val="00E5468B"/>
    <w:rsid w:val="00E54731"/>
    <w:rsid w:val="00E54BF4"/>
    <w:rsid w:val="00E54F6A"/>
    <w:rsid w:val="00E54FBC"/>
    <w:rsid w:val="00E550D9"/>
    <w:rsid w:val="00E550DD"/>
    <w:rsid w:val="00E551B5"/>
    <w:rsid w:val="00E551CF"/>
    <w:rsid w:val="00E5522F"/>
    <w:rsid w:val="00E553B2"/>
    <w:rsid w:val="00E55732"/>
    <w:rsid w:val="00E55833"/>
    <w:rsid w:val="00E55878"/>
    <w:rsid w:val="00E55959"/>
    <w:rsid w:val="00E559B2"/>
    <w:rsid w:val="00E55B46"/>
    <w:rsid w:val="00E55C07"/>
    <w:rsid w:val="00E55C86"/>
    <w:rsid w:val="00E56130"/>
    <w:rsid w:val="00E562AE"/>
    <w:rsid w:val="00E56401"/>
    <w:rsid w:val="00E56442"/>
    <w:rsid w:val="00E56472"/>
    <w:rsid w:val="00E56508"/>
    <w:rsid w:val="00E56545"/>
    <w:rsid w:val="00E56602"/>
    <w:rsid w:val="00E5671D"/>
    <w:rsid w:val="00E56760"/>
    <w:rsid w:val="00E56C37"/>
    <w:rsid w:val="00E56C40"/>
    <w:rsid w:val="00E56DAB"/>
    <w:rsid w:val="00E56E05"/>
    <w:rsid w:val="00E56EE8"/>
    <w:rsid w:val="00E57028"/>
    <w:rsid w:val="00E570BE"/>
    <w:rsid w:val="00E5722B"/>
    <w:rsid w:val="00E572AE"/>
    <w:rsid w:val="00E57314"/>
    <w:rsid w:val="00E5735E"/>
    <w:rsid w:val="00E57385"/>
    <w:rsid w:val="00E574CF"/>
    <w:rsid w:val="00E576E3"/>
    <w:rsid w:val="00E577DC"/>
    <w:rsid w:val="00E57875"/>
    <w:rsid w:val="00E57CB7"/>
    <w:rsid w:val="00E57D74"/>
    <w:rsid w:val="00E57D78"/>
    <w:rsid w:val="00E57FEA"/>
    <w:rsid w:val="00E6026F"/>
    <w:rsid w:val="00E603AD"/>
    <w:rsid w:val="00E60515"/>
    <w:rsid w:val="00E60548"/>
    <w:rsid w:val="00E6054E"/>
    <w:rsid w:val="00E60B12"/>
    <w:rsid w:val="00E60B1D"/>
    <w:rsid w:val="00E60C0B"/>
    <w:rsid w:val="00E60C31"/>
    <w:rsid w:val="00E60C49"/>
    <w:rsid w:val="00E6102F"/>
    <w:rsid w:val="00E61211"/>
    <w:rsid w:val="00E6123B"/>
    <w:rsid w:val="00E61876"/>
    <w:rsid w:val="00E61BDA"/>
    <w:rsid w:val="00E61E3A"/>
    <w:rsid w:val="00E62007"/>
    <w:rsid w:val="00E6208B"/>
    <w:rsid w:val="00E62141"/>
    <w:rsid w:val="00E62DAD"/>
    <w:rsid w:val="00E62EC4"/>
    <w:rsid w:val="00E6309A"/>
    <w:rsid w:val="00E63151"/>
    <w:rsid w:val="00E6345E"/>
    <w:rsid w:val="00E63632"/>
    <w:rsid w:val="00E636C2"/>
    <w:rsid w:val="00E63990"/>
    <w:rsid w:val="00E639BC"/>
    <w:rsid w:val="00E63C82"/>
    <w:rsid w:val="00E63F76"/>
    <w:rsid w:val="00E63FE3"/>
    <w:rsid w:val="00E6407A"/>
    <w:rsid w:val="00E641C7"/>
    <w:rsid w:val="00E6421F"/>
    <w:rsid w:val="00E64324"/>
    <w:rsid w:val="00E64364"/>
    <w:rsid w:val="00E64615"/>
    <w:rsid w:val="00E646BF"/>
    <w:rsid w:val="00E64843"/>
    <w:rsid w:val="00E64C07"/>
    <w:rsid w:val="00E6509F"/>
    <w:rsid w:val="00E650B5"/>
    <w:rsid w:val="00E65855"/>
    <w:rsid w:val="00E65A7A"/>
    <w:rsid w:val="00E65B7C"/>
    <w:rsid w:val="00E65BE8"/>
    <w:rsid w:val="00E65DA3"/>
    <w:rsid w:val="00E65E14"/>
    <w:rsid w:val="00E65E6E"/>
    <w:rsid w:val="00E65FCF"/>
    <w:rsid w:val="00E6618C"/>
    <w:rsid w:val="00E6625C"/>
    <w:rsid w:val="00E662FB"/>
    <w:rsid w:val="00E663EA"/>
    <w:rsid w:val="00E664BC"/>
    <w:rsid w:val="00E66522"/>
    <w:rsid w:val="00E66741"/>
    <w:rsid w:val="00E6685F"/>
    <w:rsid w:val="00E66931"/>
    <w:rsid w:val="00E66971"/>
    <w:rsid w:val="00E669DB"/>
    <w:rsid w:val="00E66BC0"/>
    <w:rsid w:val="00E66C58"/>
    <w:rsid w:val="00E66D33"/>
    <w:rsid w:val="00E66D6D"/>
    <w:rsid w:val="00E66F8D"/>
    <w:rsid w:val="00E6712D"/>
    <w:rsid w:val="00E67379"/>
    <w:rsid w:val="00E6743B"/>
    <w:rsid w:val="00E674C4"/>
    <w:rsid w:val="00E67727"/>
    <w:rsid w:val="00E677BB"/>
    <w:rsid w:val="00E67964"/>
    <w:rsid w:val="00E679FF"/>
    <w:rsid w:val="00E67C13"/>
    <w:rsid w:val="00E67CF7"/>
    <w:rsid w:val="00E67D09"/>
    <w:rsid w:val="00E67D14"/>
    <w:rsid w:val="00E67DC7"/>
    <w:rsid w:val="00E67F19"/>
    <w:rsid w:val="00E67FE7"/>
    <w:rsid w:val="00E70079"/>
    <w:rsid w:val="00E702F9"/>
    <w:rsid w:val="00E70394"/>
    <w:rsid w:val="00E703AC"/>
    <w:rsid w:val="00E704AF"/>
    <w:rsid w:val="00E704B0"/>
    <w:rsid w:val="00E7060A"/>
    <w:rsid w:val="00E708F9"/>
    <w:rsid w:val="00E70B89"/>
    <w:rsid w:val="00E70F11"/>
    <w:rsid w:val="00E710CA"/>
    <w:rsid w:val="00E711CD"/>
    <w:rsid w:val="00E71BBF"/>
    <w:rsid w:val="00E71BD8"/>
    <w:rsid w:val="00E71C1A"/>
    <w:rsid w:val="00E71CA9"/>
    <w:rsid w:val="00E71E37"/>
    <w:rsid w:val="00E71F78"/>
    <w:rsid w:val="00E71F81"/>
    <w:rsid w:val="00E71F97"/>
    <w:rsid w:val="00E72227"/>
    <w:rsid w:val="00E72360"/>
    <w:rsid w:val="00E72393"/>
    <w:rsid w:val="00E72462"/>
    <w:rsid w:val="00E72511"/>
    <w:rsid w:val="00E72526"/>
    <w:rsid w:val="00E725CC"/>
    <w:rsid w:val="00E727BE"/>
    <w:rsid w:val="00E72944"/>
    <w:rsid w:val="00E7295F"/>
    <w:rsid w:val="00E729C7"/>
    <w:rsid w:val="00E729E0"/>
    <w:rsid w:val="00E72DCC"/>
    <w:rsid w:val="00E72E26"/>
    <w:rsid w:val="00E732C6"/>
    <w:rsid w:val="00E73317"/>
    <w:rsid w:val="00E7347F"/>
    <w:rsid w:val="00E73722"/>
    <w:rsid w:val="00E737BF"/>
    <w:rsid w:val="00E73961"/>
    <w:rsid w:val="00E739DC"/>
    <w:rsid w:val="00E73B2F"/>
    <w:rsid w:val="00E73E63"/>
    <w:rsid w:val="00E73FE0"/>
    <w:rsid w:val="00E742AC"/>
    <w:rsid w:val="00E7441D"/>
    <w:rsid w:val="00E745B5"/>
    <w:rsid w:val="00E7472A"/>
    <w:rsid w:val="00E74921"/>
    <w:rsid w:val="00E7492A"/>
    <w:rsid w:val="00E749DB"/>
    <w:rsid w:val="00E74C5A"/>
    <w:rsid w:val="00E74DB1"/>
    <w:rsid w:val="00E7511D"/>
    <w:rsid w:val="00E75268"/>
    <w:rsid w:val="00E75271"/>
    <w:rsid w:val="00E75645"/>
    <w:rsid w:val="00E7571A"/>
    <w:rsid w:val="00E75797"/>
    <w:rsid w:val="00E757BC"/>
    <w:rsid w:val="00E75899"/>
    <w:rsid w:val="00E75C23"/>
    <w:rsid w:val="00E75D4C"/>
    <w:rsid w:val="00E75F20"/>
    <w:rsid w:val="00E760CB"/>
    <w:rsid w:val="00E7650A"/>
    <w:rsid w:val="00E76AA6"/>
    <w:rsid w:val="00E76D93"/>
    <w:rsid w:val="00E773DC"/>
    <w:rsid w:val="00E77499"/>
    <w:rsid w:val="00E77504"/>
    <w:rsid w:val="00E7788F"/>
    <w:rsid w:val="00E8005A"/>
    <w:rsid w:val="00E802D3"/>
    <w:rsid w:val="00E8030D"/>
    <w:rsid w:val="00E80C47"/>
    <w:rsid w:val="00E80D45"/>
    <w:rsid w:val="00E80DAF"/>
    <w:rsid w:val="00E80DE3"/>
    <w:rsid w:val="00E80E45"/>
    <w:rsid w:val="00E81098"/>
    <w:rsid w:val="00E810DE"/>
    <w:rsid w:val="00E81718"/>
    <w:rsid w:val="00E8186A"/>
    <w:rsid w:val="00E8191D"/>
    <w:rsid w:val="00E81ACC"/>
    <w:rsid w:val="00E81B9C"/>
    <w:rsid w:val="00E81C17"/>
    <w:rsid w:val="00E82095"/>
    <w:rsid w:val="00E82128"/>
    <w:rsid w:val="00E821FD"/>
    <w:rsid w:val="00E82251"/>
    <w:rsid w:val="00E822BD"/>
    <w:rsid w:val="00E8231E"/>
    <w:rsid w:val="00E82445"/>
    <w:rsid w:val="00E8278B"/>
    <w:rsid w:val="00E827AF"/>
    <w:rsid w:val="00E828E8"/>
    <w:rsid w:val="00E82902"/>
    <w:rsid w:val="00E829DE"/>
    <w:rsid w:val="00E829E1"/>
    <w:rsid w:val="00E82A66"/>
    <w:rsid w:val="00E82CF2"/>
    <w:rsid w:val="00E82D2F"/>
    <w:rsid w:val="00E82E4D"/>
    <w:rsid w:val="00E8306F"/>
    <w:rsid w:val="00E832B8"/>
    <w:rsid w:val="00E832F9"/>
    <w:rsid w:val="00E83394"/>
    <w:rsid w:val="00E833BD"/>
    <w:rsid w:val="00E833D7"/>
    <w:rsid w:val="00E8341A"/>
    <w:rsid w:val="00E835BC"/>
    <w:rsid w:val="00E8374E"/>
    <w:rsid w:val="00E83757"/>
    <w:rsid w:val="00E837C0"/>
    <w:rsid w:val="00E83869"/>
    <w:rsid w:val="00E83936"/>
    <w:rsid w:val="00E83A29"/>
    <w:rsid w:val="00E83D8A"/>
    <w:rsid w:val="00E83FB6"/>
    <w:rsid w:val="00E83FE5"/>
    <w:rsid w:val="00E84135"/>
    <w:rsid w:val="00E8439B"/>
    <w:rsid w:val="00E84466"/>
    <w:rsid w:val="00E84888"/>
    <w:rsid w:val="00E848B8"/>
    <w:rsid w:val="00E84B2B"/>
    <w:rsid w:val="00E84BB0"/>
    <w:rsid w:val="00E84C7B"/>
    <w:rsid w:val="00E84CDF"/>
    <w:rsid w:val="00E84DB7"/>
    <w:rsid w:val="00E84ED0"/>
    <w:rsid w:val="00E84F0F"/>
    <w:rsid w:val="00E84F6F"/>
    <w:rsid w:val="00E85023"/>
    <w:rsid w:val="00E8548E"/>
    <w:rsid w:val="00E85546"/>
    <w:rsid w:val="00E855F6"/>
    <w:rsid w:val="00E85884"/>
    <w:rsid w:val="00E85998"/>
    <w:rsid w:val="00E85F26"/>
    <w:rsid w:val="00E85FC4"/>
    <w:rsid w:val="00E86016"/>
    <w:rsid w:val="00E8609F"/>
    <w:rsid w:val="00E86305"/>
    <w:rsid w:val="00E863DE"/>
    <w:rsid w:val="00E86459"/>
    <w:rsid w:val="00E8661E"/>
    <w:rsid w:val="00E86818"/>
    <w:rsid w:val="00E8694F"/>
    <w:rsid w:val="00E86DB5"/>
    <w:rsid w:val="00E86F0D"/>
    <w:rsid w:val="00E870A6"/>
    <w:rsid w:val="00E87112"/>
    <w:rsid w:val="00E87153"/>
    <w:rsid w:val="00E871BB"/>
    <w:rsid w:val="00E87BA0"/>
    <w:rsid w:val="00E87D19"/>
    <w:rsid w:val="00E87D2C"/>
    <w:rsid w:val="00E87D76"/>
    <w:rsid w:val="00E87E6B"/>
    <w:rsid w:val="00E900C8"/>
    <w:rsid w:val="00E900D6"/>
    <w:rsid w:val="00E90314"/>
    <w:rsid w:val="00E90393"/>
    <w:rsid w:val="00E903A4"/>
    <w:rsid w:val="00E90A2D"/>
    <w:rsid w:val="00E90DC1"/>
    <w:rsid w:val="00E91211"/>
    <w:rsid w:val="00E9125C"/>
    <w:rsid w:val="00E912B9"/>
    <w:rsid w:val="00E915A6"/>
    <w:rsid w:val="00E91CEC"/>
    <w:rsid w:val="00E91E44"/>
    <w:rsid w:val="00E91EEC"/>
    <w:rsid w:val="00E920AB"/>
    <w:rsid w:val="00E92121"/>
    <w:rsid w:val="00E92483"/>
    <w:rsid w:val="00E9266A"/>
    <w:rsid w:val="00E929C5"/>
    <w:rsid w:val="00E92AE0"/>
    <w:rsid w:val="00E931FD"/>
    <w:rsid w:val="00E93239"/>
    <w:rsid w:val="00E9373C"/>
    <w:rsid w:val="00E938C4"/>
    <w:rsid w:val="00E9396D"/>
    <w:rsid w:val="00E93A58"/>
    <w:rsid w:val="00E93A80"/>
    <w:rsid w:val="00E93B86"/>
    <w:rsid w:val="00E93E3F"/>
    <w:rsid w:val="00E93E41"/>
    <w:rsid w:val="00E93FF6"/>
    <w:rsid w:val="00E94018"/>
    <w:rsid w:val="00E940C3"/>
    <w:rsid w:val="00E940DC"/>
    <w:rsid w:val="00E94391"/>
    <w:rsid w:val="00E9449E"/>
    <w:rsid w:val="00E94734"/>
    <w:rsid w:val="00E949EF"/>
    <w:rsid w:val="00E94A8A"/>
    <w:rsid w:val="00E94C9E"/>
    <w:rsid w:val="00E94D34"/>
    <w:rsid w:val="00E94D4E"/>
    <w:rsid w:val="00E94DD3"/>
    <w:rsid w:val="00E94E75"/>
    <w:rsid w:val="00E9507A"/>
    <w:rsid w:val="00E95096"/>
    <w:rsid w:val="00E95165"/>
    <w:rsid w:val="00E953FE"/>
    <w:rsid w:val="00E95498"/>
    <w:rsid w:val="00E954C7"/>
    <w:rsid w:val="00E954C8"/>
    <w:rsid w:val="00E9568E"/>
    <w:rsid w:val="00E95C66"/>
    <w:rsid w:val="00E95D90"/>
    <w:rsid w:val="00E95DCA"/>
    <w:rsid w:val="00E96116"/>
    <w:rsid w:val="00E9617B"/>
    <w:rsid w:val="00E9656F"/>
    <w:rsid w:val="00E96BD7"/>
    <w:rsid w:val="00E96EF4"/>
    <w:rsid w:val="00E96F20"/>
    <w:rsid w:val="00E96FA8"/>
    <w:rsid w:val="00E970A6"/>
    <w:rsid w:val="00E9765C"/>
    <w:rsid w:val="00E976D2"/>
    <w:rsid w:val="00E976F8"/>
    <w:rsid w:val="00E9773C"/>
    <w:rsid w:val="00E9793E"/>
    <w:rsid w:val="00E97A25"/>
    <w:rsid w:val="00E97A4B"/>
    <w:rsid w:val="00E97A93"/>
    <w:rsid w:val="00E97AF9"/>
    <w:rsid w:val="00E97BDE"/>
    <w:rsid w:val="00E97C7D"/>
    <w:rsid w:val="00E97CA8"/>
    <w:rsid w:val="00E97D42"/>
    <w:rsid w:val="00E97DC2"/>
    <w:rsid w:val="00EA0156"/>
    <w:rsid w:val="00EA02A5"/>
    <w:rsid w:val="00EA038A"/>
    <w:rsid w:val="00EA08FA"/>
    <w:rsid w:val="00EA0D84"/>
    <w:rsid w:val="00EA0F24"/>
    <w:rsid w:val="00EA0F59"/>
    <w:rsid w:val="00EA10EE"/>
    <w:rsid w:val="00EA1166"/>
    <w:rsid w:val="00EA127E"/>
    <w:rsid w:val="00EA12F9"/>
    <w:rsid w:val="00EA1375"/>
    <w:rsid w:val="00EA13AA"/>
    <w:rsid w:val="00EA19EE"/>
    <w:rsid w:val="00EA1AB4"/>
    <w:rsid w:val="00EA1AF6"/>
    <w:rsid w:val="00EA1BA5"/>
    <w:rsid w:val="00EA1CAC"/>
    <w:rsid w:val="00EA22D7"/>
    <w:rsid w:val="00EA2772"/>
    <w:rsid w:val="00EA2A1F"/>
    <w:rsid w:val="00EA2A60"/>
    <w:rsid w:val="00EA2CE7"/>
    <w:rsid w:val="00EA30AE"/>
    <w:rsid w:val="00EA31A8"/>
    <w:rsid w:val="00EA330E"/>
    <w:rsid w:val="00EA3593"/>
    <w:rsid w:val="00EA3709"/>
    <w:rsid w:val="00EA378F"/>
    <w:rsid w:val="00EA37DD"/>
    <w:rsid w:val="00EA3B27"/>
    <w:rsid w:val="00EA3C4E"/>
    <w:rsid w:val="00EA3CE3"/>
    <w:rsid w:val="00EA3D74"/>
    <w:rsid w:val="00EA3FE7"/>
    <w:rsid w:val="00EA4413"/>
    <w:rsid w:val="00EA4642"/>
    <w:rsid w:val="00EA475A"/>
    <w:rsid w:val="00EA47AF"/>
    <w:rsid w:val="00EA4B7B"/>
    <w:rsid w:val="00EA4C52"/>
    <w:rsid w:val="00EA4D01"/>
    <w:rsid w:val="00EA4E00"/>
    <w:rsid w:val="00EA4F64"/>
    <w:rsid w:val="00EA4F71"/>
    <w:rsid w:val="00EA5032"/>
    <w:rsid w:val="00EA50A7"/>
    <w:rsid w:val="00EA51FD"/>
    <w:rsid w:val="00EA52EA"/>
    <w:rsid w:val="00EA5366"/>
    <w:rsid w:val="00EA54E6"/>
    <w:rsid w:val="00EA5A35"/>
    <w:rsid w:val="00EA5AE8"/>
    <w:rsid w:val="00EA5B28"/>
    <w:rsid w:val="00EA5BF4"/>
    <w:rsid w:val="00EA5CED"/>
    <w:rsid w:val="00EA5F91"/>
    <w:rsid w:val="00EA62D2"/>
    <w:rsid w:val="00EA631F"/>
    <w:rsid w:val="00EA67D2"/>
    <w:rsid w:val="00EA6887"/>
    <w:rsid w:val="00EA6A8B"/>
    <w:rsid w:val="00EA6CAA"/>
    <w:rsid w:val="00EA6E1B"/>
    <w:rsid w:val="00EA7006"/>
    <w:rsid w:val="00EA716D"/>
    <w:rsid w:val="00EA7417"/>
    <w:rsid w:val="00EA7514"/>
    <w:rsid w:val="00EA77D8"/>
    <w:rsid w:val="00EA78AF"/>
    <w:rsid w:val="00EA7A0D"/>
    <w:rsid w:val="00EA7A6B"/>
    <w:rsid w:val="00EA7B6D"/>
    <w:rsid w:val="00EA7B71"/>
    <w:rsid w:val="00EA7D2E"/>
    <w:rsid w:val="00EA7F70"/>
    <w:rsid w:val="00EB02F0"/>
    <w:rsid w:val="00EB0326"/>
    <w:rsid w:val="00EB0461"/>
    <w:rsid w:val="00EB065E"/>
    <w:rsid w:val="00EB06ED"/>
    <w:rsid w:val="00EB08D0"/>
    <w:rsid w:val="00EB0A47"/>
    <w:rsid w:val="00EB0B1A"/>
    <w:rsid w:val="00EB0B55"/>
    <w:rsid w:val="00EB0B6A"/>
    <w:rsid w:val="00EB0CAF"/>
    <w:rsid w:val="00EB0CE5"/>
    <w:rsid w:val="00EB0D1C"/>
    <w:rsid w:val="00EB0E2C"/>
    <w:rsid w:val="00EB0EFF"/>
    <w:rsid w:val="00EB0F5E"/>
    <w:rsid w:val="00EB1094"/>
    <w:rsid w:val="00EB1108"/>
    <w:rsid w:val="00EB1423"/>
    <w:rsid w:val="00EB15F1"/>
    <w:rsid w:val="00EB19A9"/>
    <w:rsid w:val="00EB1A41"/>
    <w:rsid w:val="00EB1AF3"/>
    <w:rsid w:val="00EB205D"/>
    <w:rsid w:val="00EB219D"/>
    <w:rsid w:val="00EB2507"/>
    <w:rsid w:val="00EB251B"/>
    <w:rsid w:val="00EB2651"/>
    <w:rsid w:val="00EB27D6"/>
    <w:rsid w:val="00EB27E0"/>
    <w:rsid w:val="00EB2811"/>
    <w:rsid w:val="00EB2887"/>
    <w:rsid w:val="00EB2AED"/>
    <w:rsid w:val="00EB2C4D"/>
    <w:rsid w:val="00EB2CE1"/>
    <w:rsid w:val="00EB2EA5"/>
    <w:rsid w:val="00EB2EF0"/>
    <w:rsid w:val="00EB2F2C"/>
    <w:rsid w:val="00EB32C1"/>
    <w:rsid w:val="00EB3339"/>
    <w:rsid w:val="00EB33A6"/>
    <w:rsid w:val="00EB3559"/>
    <w:rsid w:val="00EB385E"/>
    <w:rsid w:val="00EB3A2B"/>
    <w:rsid w:val="00EB3A67"/>
    <w:rsid w:val="00EB3EBC"/>
    <w:rsid w:val="00EB3ED4"/>
    <w:rsid w:val="00EB4178"/>
    <w:rsid w:val="00EB4589"/>
    <w:rsid w:val="00EB47AC"/>
    <w:rsid w:val="00EB48B7"/>
    <w:rsid w:val="00EB4920"/>
    <w:rsid w:val="00EB4CD1"/>
    <w:rsid w:val="00EB504A"/>
    <w:rsid w:val="00EB5053"/>
    <w:rsid w:val="00EB518E"/>
    <w:rsid w:val="00EB5198"/>
    <w:rsid w:val="00EB5340"/>
    <w:rsid w:val="00EB543F"/>
    <w:rsid w:val="00EB587B"/>
    <w:rsid w:val="00EB596E"/>
    <w:rsid w:val="00EB5AA4"/>
    <w:rsid w:val="00EB5B38"/>
    <w:rsid w:val="00EB5C8A"/>
    <w:rsid w:val="00EB610A"/>
    <w:rsid w:val="00EB6397"/>
    <w:rsid w:val="00EB662E"/>
    <w:rsid w:val="00EB6710"/>
    <w:rsid w:val="00EB67BD"/>
    <w:rsid w:val="00EB6889"/>
    <w:rsid w:val="00EB6A5C"/>
    <w:rsid w:val="00EB6BDD"/>
    <w:rsid w:val="00EB6D54"/>
    <w:rsid w:val="00EB6D6E"/>
    <w:rsid w:val="00EB6E4F"/>
    <w:rsid w:val="00EB6F26"/>
    <w:rsid w:val="00EB747D"/>
    <w:rsid w:val="00EB7739"/>
    <w:rsid w:val="00EB791D"/>
    <w:rsid w:val="00EB7B02"/>
    <w:rsid w:val="00EB7BA9"/>
    <w:rsid w:val="00EB7C27"/>
    <w:rsid w:val="00EB7E1B"/>
    <w:rsid w:val="00EB7E58"/>
    <w:rsid w:val="00EC01EB"/>
    <w:rsid w:val="00EC0724"/>
    <w:rsid w:val="00EC0C7A"/>
    <w:rsid w:val="00EC0CDA"/>
    <w:rsid w:val="00EC0FA5"/>
    <w:rsid w:val="00EC118A"/>
    <w:rsid w:val="00EC1387"/>
    <w:rsid w:val="00EC150A"/>
    <w:rsid w:val="00EC1632"/>
    <w:rsid w:val="00EC17F4"/>
    <w:rsid w:val="00EC1823"/>
    <w:rsid w:val="00EC1846"/>
    <w:rsid w:val="00EC18D3"/>
    <w:rsid w:val="00EC1A91"/>
    <w:rsid w:val="00EC1CD9"/>
    <w:rsid w:val="00EC1EA1"/>
    <w:rsid w:val="00EC2180"/>
    <w:rsid w:val="00EC2386"/>
    <w:rsid w:val="00EC23A0"/>
    <w:rsid w:val="00EC2436"/>
    <w:rsid w:val="00EC24AA"/>
    <w:rsid w:val="00EC282C"/>
    <w:rsid w:val="00EC2A60"/>
    <w:rsid w:val="00EC2A98"/>
    <w:rsid w:val="00EC2E9A"/>
    <w:rsid w:val="00EC30E0"/>
    <w:rsid w:val="00EC36D3"/>
    <w:rsid w:val="00EC370D"/>
    <w:rsid w:val="00EC3856"/>
    <w:rsid w:val="00EC3B35"/>
    <w:rsid w:val="00EC3BE2"/>
    <w:rsid w:val="00EC3CEC"/>
    <w:rsid w:val="00EC3F53"/>
    <w:rsid w:val="00EC40E3"/>
    <w:rsid w:val="00EC41AD"/>
    <w:rsid w:val="00EC4323"/>
    <w:rsid w:val="00EC43B1"/>
    <w:rsid w:val="00EC4846"/>
    <w:rsid w:val="00EC4BA0"/>
    <w:rsid w:val="00EC4D96"/>
    <w:rsid w:val="00EC4E2E"/>
    <w:rsid w:val="00EC505C"/>
    <w:rsid w:val="00EC5084"/>
    <w:rsid w:val="00EC51AE"/>
    <w:rsid w:val="00EC53B9"/>
    <w:rsid w:val="00EC5512"/>
    <w:rsid w:val="00EC555E"/>
    <w:rsid w:val="00EC574E"/>
    <w:rsid w:val="00EC5A09"/>
    <w:rsid w:val="00EC5A4E"/>
    <w:rsid w:val="00EC5A96"/>
    <w:rsid w:val="00EC5B3D"/>
    <w:rsid w:val="00EC5BD9"/>
    <w:rsid w:val="00EC5E5B"/>
    <w:rsid w:val="00EC5FF5"/>
    <w:rsid w:val="00EC6343"/>
    <w:rsid w:val="00EC6357"/>
    <w:rsid w:val="00EC6510"/>
    <w:rsid w:val="00EC6645"/>
    <w:rsid w:val="00EC6914"/>
    <w:rsid w:val="00EC6CCF"/>
    <w:rsid w:val="00EC6ED9"/>
    <w:rsid w:val="00EC6F61"/>
    <w:rsid w:val="00EC6F93"/>
    <w:rsid w:val="00EC72A5"/>
    <w:rsid w:val="00EC748D"/>
    <w:rsid w:val="00EC75F2"/>
    <w:rsid w:val="00EC7607"/>
    <w:rsid w:val="00EC766C"/>
    <w:rsid w:val="00EC77CC"/>
    <w:rsid w:val="00EC79CA"/>
    <w:rsid w:val="00EC7A35"/>
    <w:rsid w:val="00EC7AB3"/>
    <w:rsid w:val="00EC7CF5"/>
    <w:rsid w:val="00EC7E3D"/>
    <w:rsid w:val="00EC7EFC"/>
    <w:rsid w:val="00EC7F36"/>
    <w:rsid w:val="00ED0136"/>
    <w:rsid w:val="00ED01A2"/>
    <w:rsid w:val="00ED033A"/>
    <w:rsid w:val="00ED0342"/>
    <w:rsid w:val="00ED05DE"/>
    <w:rsid w:val="00ED097B"/>
    <w:rsid w:val="00ED0E59"/>
    <w:rsid w:val="00ED0F75"/>
    <w:rsid w:val="00ED0F7E"/>
    <w:rsid w:val="00ED0FB0"/>
    <w:rsid w:val="00ED101B"/>
    <w:rsid w:val="00ED1047"/>
    <w:rsid w:val="00ED146E"/>
    <w:rsid w:val="00ED15B2"/>
    <w:rsid w:val="00ED16D9"/>
    <w:rsid w:val="00ED17E4"/>
    <w:rsid w:val="00ED1802"/>
    <w:rsid w:val="00ED181A"/>
    <w:rsid w:val="00ED18E6"/>
    <w:rsid w:val="00ED1964"/>
    <w:rsid w:val="00ED2320"/>
    <w:rsid w:val="00ED2438"/>
    <w:rsid w:val="00ED26F6"/>
    <w:rsid w:val="00ED2758"/>
    <w:rsid w:val="00ED284E"/>
    <w:rsid w:val="00ED2BF8"/>
    <w:rsid w:val="00ED2C0B"/>
    <w:rsid w:val="00ED2CF7"/>
    <w:rsid w:val="00ED2F31"/>
    <w:rsid w:val="00ED3035"/>
    <w:rsid w:val="00ED3075"/>
    <w:rsid w:val="00ED30B0"/>
    <w:rsid w:val="00ED3173"/>
    <w:rsid w:val="00ED3392"/>
    <w:rsid w:val="00ED340B"/>
    <w:rsid w:val="00ED359E"/>
    <w:rsid w:val="00ED35DE"/>
    <w:rsid w:val="00ED360B"/>
    <w:rsid w:val="00ED388C"/>
    <w:rsid w:val="00ED39E1"/>
    <w:rsid w:val="00ED3C0B"/>
    <w:rsid w:val="00ED3F68"/>
    <w:rsid w:val="00ED3FDA"/>
    <w:rsid w:val="00ED442E"/>
    <w:rsid w:val="00ED45F8"/>
    <w:rsid w:val="00ED49F4"/>
    <w:rsid w:val="00ED4C12"/>
    <w:rsid w:val="00ED4EC7"/>
    <w:rsid w:val="00ED501E"/>
    <w:rsid w:val="00ED504C"/>
    <w:rsid w:val="00ED537F"/>
    <w:rsid w:val="00ED544D"/>
    <w:rsid w:val="00ED5519"/>
    <w:rsid w:val="00ED5799"/>
    <w:rsid w:val="00ED58A6"/>
    <w:rsid w:val="00ED5A21"/>
    <w:rsid w:val="00ED5B6B"/>
    <w:rsid w:val="00ED5C5A"/>
    <w:rsid w:val="00ED5DBC"/>
    <w:rsid w:val="00ED5FAD"/>
    <w:rsid w:val="00ED6313"/>
    <w:rsid w:val="00ED6378"/>
    <w:rsid w:val="00ED641F"/>
    <w:rsid w:val="00ED642E"/>
    <w:rsid w:val="00ED6537"/>
    <w:rsid w:val="00ED67B5"/>
    <w:rsid w:val="00ED67D3"/>
    <w:rsid w:val="00ED6B00"/>
    <w:rsid w:val="00ED6B9B"/>
    <w:rsid w:val="00ED6C8C"/>
    <w:rsid w:val="00ED6DD3"/>
    <w:rsid w:val="00ED771E"/>
    <w:rsid w:val="00ED7A5C"/>
    <w:rsid w:val="00ED7DA2"/>
    <w:rsid w:val="00ED7F0C"/>
    <w:rsid w:val="00EE01B8"/>
    <w:rsid w:val="00EE020D"/>
    <w:rsid w:val="00EE0519"/>
    <w:rsid w:val="00EE0778"/>
    <w:rsid w:val="00EE09C3"/>
    <w:rsid w:val="00EE0B55"/>
    <w:rsid w:val="00EE0DD6"/>
    <w:rsid w:val="00EE0DD9"/>
    <w:rsid w:val="00EE0E3B"/>
    <w:rsid w:val="00EE0FAC"/>
    <w:rsid w:val="00EE11F7"/>
    <w:rsid w:val="00EE125B"/>
    <w:rsid w:val="00EE13C3"/>
    <w:rsid w:val="00EE1457"/>
    <w:rsid w:val="00EE1808"/>
    <w:rsid w:val="00EE1E59"/>
    <w:rsid w:val="00EE1EDE"/>
    <w:rsid w:val="00EE1F09"/>
    <w:rsid w:val="00EE1FC2"/>
    <w:rsid w:val="00EE2427"/>
    <w:rsid w:val="00EE24C3"/>
    <w:rsid w:val="00EE27BE"/>
    <w:rsid w:val="00EE27FC"/>
    <w:rsid w:val="00EE29E8"/>
    <w:rsid w:val="00EE2C47"/>
    <w:rsid w:val="00EE2D76"/>
    <w:rsid w:val="00EE2EC6"/>
    <w:rsid w:val="00EE314D"/>
    <w:rsid w:val="00EE3924"/>
    <w:rsid w:val="00EE3D7D"/>
    <w:rsid w:val="00EE3EA2"/>
    <w:rsid w:val="00EE3ED7"/>
    <w:rsid w:val="00EE3F7E"/>
    <w:rsid w:val="00EE4011"/>
    <w:rsid w:val="00EE435A"/>
    <w:rsid w:val="00EE443D"/>
    <w:rsid w:val="00EE450F"/>
    <w:rsid w:val="00EE46AC"/>
    <w:rsid w:val="00EE473E"/>
    <w:rsid w:val="00EE4A51"/>
    <w:rsid w:val="00EE4CD7"/>
    <w:rsid w:val="00EE4D22"/>
    <w:rsid w:val="00EE4E85"/>
    <w:rsid w:val="00EE4EFA"/>
    <w:rsid w:val="00EE501E"/>
    <w:rsid w:val="00EE52EB"/>
    <w:rsid w:val="00EE5551"/>
    <w:rsid w:val="00EE5581"/>
    <w:rsid w:val="00EE55E1"/>
    <w:rsid w:val="00EE5602"/>
    <w:rsid w:val="00EE5821"/>
    <w:rsid w:val="00EE599B"/>
    <w:rsid w:val="00EE5B0B"/>
    <w:rsid w:val="00EE5C60"/>
    <w:rsid w:val="00EE5C9E"/>
    <w:rsid w:val="00EE60E2"/>
    <w:rsid w:val="00EE63CA"/>
    <w:rsid w:val="00EE6486"/>
    <w:rsid w:val="00EE6592"/>
    <w:rsid w:val="00EE685E"/>
    <w:rsid w:val="00EE6950"/>
    <w:rsid w:val="00EE6953"/>
    <w:rsid w:val="00EE6B46"/>
    <w:rsid w:val="00EE6DB1"/>
    <w:rsid w:val="00EE6DBB"/>
    <w:rsid w:val="00EE6FAB"/>
    <w:rsid w:val="00EE7063"/>
    <w:rsid w:val="00EE7211"/>
    <w:rsid w:val="00EE7322"/>
    <w:rsid w:val="00EE73C9"/>
    <w:rsid w:val="00EE757C"/>
    <w:rsid w:val="00EE77E8"/>
    <w:rsid w:val="00EE7846"/>
    <w:rsid w:val="00EE78D9"/>
    <w:rsid w:val="00EE7938"/>
    <w:rsid w:val="00EE7ABB"/>
    <w:rsid w:val="00EE7AFE"/>
    <w:rsid w:val="00EE7B9A"/>
    <w:rsid w:val="00EE7D12"/>
    <w:rsid w:val="00EE7E60"/>
    <w:rsid w:val="00EF0012"/>
    <w:rsid w:val="00EF0282"/>
    <w:rsid w:val="00EF043F"/>
    <w:rsid w:val="00EF077C"/>
    <w:rsid w:val="00EF085D"/>
    <w:rsid w:val="00EF08F6"/>
    <w:rsid w:val="00EF091C"/>
    <w:rsid w:val="00EF0923"/>
    <w:rsid w:val="00EF0A98"/>
    <w:rsid w:val="00EF0C52"/>
    <w:rsid w:val="00EF112E"/>
    <w:rsid w:val="00EF122D"/>
    <w:rsid w:val="00EF1438"/>
    <w:rsid w:val="00EF170D"/>
    <w:rsid w:val="00EF1788"/>
    <w:rsid w:val="00EF18F3"/>
    <w:rsid w:val="00EF192A"/>
    <w:rsid w:val="00EF19D7"/>
    <w:rsid w:val="00EF1C56"/>
    <w:rsid w:val="00EF1CD0"/>
    <w:rsid w:val="00EF1EB5"/>
    <w:rsid w:val="00EF1F40"/>
    <w:rsid w:val="00EF1FB8"/>
    <w:rsid w:val="00EF20A9"/>
    <w:rsid w:val="00EF231D"/>
    <w:rsid w:val="00EF24F6"/>
    <w:rsid w:val="00EF25FD"/>
    <w:rsid w:val="00EF260B"/>
    <w:rsid w:val="00EF26D4"/>
    <w:rsid w:val="00EF27A5"/>
    <w:rsid w:val="00EF27D6"/>
    <w:rsid w:val="00EF2848"/>
    <w:rsid w:val="00EF28C9"/>
    <w:rsid w:val="00EF2C04"/>
    <w:rsid w:val="00EF2E38"/>
    <w:rsid w:val="00EF2E84"/>
    <w:rsid w:val="00EF30D3"/>
    <w:rsid w:val="00EF311B"/>
    <w:rsid w:val="00EF3172"/>
    <w:rsid w:val="00EF3235"/>
    <w:rsid w:val="00EF3253"/>
    <w:rsid w:val="00EF3376"/>
    <w:rsid w:val="00EF3562"/>
    <w:rsid w:val="00EF35FC"/>
    <w:rsid w:val="00EF365F"/>
    <w:rsid w:val="00EF36AF"/>
    <w:rsid w:val="00EF3765"/>
    <w:rsid w:val="00EF3C33"/>
    <w:rsid w:val="00EF3FFB"/>
    <w:rsid w:val="00EF413F"/>
    <w:rsid w:val="00EF41A4"/>
    <w:rsid w:val="00EF4337"/>
    <w:rsid w:val="00EF43F5"/>
    <w:rsid w:val="00EF4451"/>
    <w:rsid w:val="00EF44DC"/>
    <w:rsid w:val="00EF4868"/>
    <w:rsid w:val="00EF48D0"/>
    <w:rsid w:val="00EF4931"/>
    <w:rsid w:val="00EF4954"/>
    <w:rsid w:val="00EF49D2"/>
    <w:rsid w:val="00EF4CD4"/>
    <w:rsid w:val="00EF4EE4"/>
    <w:rsid w:val="00EF5023"/>
    <w:rsid w:val="00EF51A8"/>
    <w:rsid w:val="00EF531E"/>
    <w:rsid w:val="00EF54DE"/>
    <w:rsid w:val="00EF587B"/>
    <w:rsid w:val="00EF5886"/>
    <w:rsid w:val="00EF5ACD"/>
    <w:rsid w:val="00EF5C25"/>
    <w:rsid w:val="00EF5E72"/>
    <w:rsid w:val="00EF5FEC"/>
    <w:rsid w:val="00EF61BA"/>
    <w:rsid w:val="00EF63C0"/>
    <w:rsid w:val="00EF64A3"/>
    <w:rsid w:val="00EF674C"/>
    <w:rsid w:val="00EF6A0A"/>
    <w:rsid w:val="00EF6B3F"/>
    <w:rsid w:val="00EF6BAF"/>
    <w:rsid w:val="00EF6C37"/>
    <w:rsid w:val="00EF6FA9"/>
    <w:rsid w:val="00EF72D1"/>
    <w:rsid w:val="00EF744E"/>
    <w:rsid w:val="00EF7511"/>
    <w:rsid w:val="00EF7594"/>
    <w:rsid w:val="00EF7E08"/>
    <w:rsid w:val="00EF7E16"/>
    <w:rsid w:val="00EF7FFE"/>
    <w:rsid w:val="00F0004F"/>
    <w:rsid w:val="00F000E2"/>
    <w:rsid w:val="00F00135"/>
    <w:rsid w:val="00F0030C"/>
    <w:rsid w:val="00F006A1"/>
    <w:rsid w:val="00F00A7C"/>
    <w:rsid w:val="00F00CD5"/>
    <w:rsid w:val="00F00D22"/>
    <w:rsid w:val="00F00D5F"/>
    <w:rsid w:val="00F00DDB"/>
    <w:rsid w:val="00F0137F"/>
    <w:rsid w:val="00F01380"/>
    <w:rsid w:val="00F013ED"/>
    <w:rsid w:val="00F0145C"/>
    <w:rsid w:val="00F01465"/>
    <w:rsid w:val="00F01493"/>
    <w:rsid w:val="00F01562"/>
    <w:rsid w:val="00F01831"/>
    <w:rsid w:val="00F01A75"/>
    <w:rsid w:val="00F01BC9"/>
    <w:rsid w:val="00F02051"/>
    <w:rsid w:val="00F022E0"/>
    <w:rsid w:val="00F0238C"/>
    <w:rsid w:val="00F023EB"/>
    <w:rsid w:val="00F02466"/>
    <w:rsid w:val="00F02495"/>
    <w:rsid w:val="00F024AE"/>
    <w:rsid w:val="00F02A23"/>
    <w:rsid w:val="00F02A68"/>
    <w:rsid w:val="00F02BCF"/>
    <w:rsid w:val="00F02C67"/>
    <w:rsid w:val="00F02E5E"/>
    <w:rsid w:val="00F03047"/>
    <w:rsid w:val="00F031EC"/>
    <w:rsid w:val="00F03205"/>
    <w:rsid w:val="00F03208"/>
    <w:rsid w:val="00F0320C"/>
    <w:rsid w:val="00F0352F"/>
    <w:rsid w:val="00F035B4"/>
    <w:rsid w:val="00F03614"/>
    <w:rsid w:val="00F0383D"/>
    <w:rsid w:val="00F03D50"/>
    <w:rsid w:val="00F03D75"/>
    <w:rsid w:val="00F04249"/>
    <w:rsid w:val="00F042CD"/>
    <w:rsid w:val="00F04411"/>
    <w:rsid w:val="00F04AAD"/>
    <w:rsid w:val="00F04BA0"/>
    <w:rsid w:val="00F04C3B"/>
    <w:rsid w:val="00F04DD1"/>
    <w:rsid w:val="00F04EBE"/>
    <w:rsid w:val="00F04F37"/>
    <w:rsid w:val="00F04FC0"/>
    <w:rsid w:val="00F0537E"/>
    <w:rsid w:val="00F053C2"/>
    <w:rsid w:val="00F053EA"/>
    <w:rsid w:val="00F05597"/>
    <w:rsid w:val="00F05812"/>
    <w:rsid w:val="00F05A90"/>
    <w:rsid w:val="00F05F04"/>
    <w:rsid w:val="00F06308"/>
    <w:rsid w:val="00F063B7"/>
    <w:rsid w:val="00F0646E"/>
    <w:rsid w:val="00F064EA"/>
    <w:rsid w:val="00F0680D"/>
    <w:rsid w:val="00F068BF"/>
    <w:rsid w:val="00F068D8"/>
    <w:rsid w:val="00F06A8B"/>
    <w:rsid w:val="00F07332"/>
    <w:rsid w:val="00F0754B"/>
    <w:rsid w:val="00F07575"/>
    <w:rsid w:val="00F0776E"/>
    <w:rsid w:val="00F079B4"/>
    <w:rsid w:val="00F07D0C"/>
    <w:rsid w:val="00F1010D"/>
    <w:rsid w:val="00F1019F"/>
    <w:rsid w:val="00F101D2"/>
    <w:rsid w:val="00F102CE"/>
    <w:rsid w:val="00F10376"/>
    <w:rsid w:val="00F1049B"/>
    <w:rsid w:val="00F10587"/>
    <w:rsid w:val="00F108E6"/>
    <w:rsid w:val="00F1098D"/>
    <w:rsid w:val="00F109F2"/>
    <w:rsid w:val="00F10AF0"/>
    <w:rsid w:val="00F10D62"/>
    <w:rsid w:val="00F10D77"/>
    <w:rsid w:val="00F10E1D"/>
    <w:rsid w:val="00F10EE9"/>
    <w:rsid w:val="00F1103A"/>
    <w:rsid w:val="00F1117D"/>
    <w:rsid w:val="00F11404"/>
    <w:rsid w:val="00F114D0"/>
    <w:rsid w:val="00F115D9"/>
    <w:rsid w:val="00F119D3"/>
    <w:rsid w:val="00F11BB2"/>
    <w:rsid w:val="00F11E06"/>
    <w:rsid w:val="00F11E80"/>
    <w:rsid w:val="00F1208A"/>
    <w:rsid w:val="00F12140"/>
    <w:rsid w:val="00F12156"/>
    <w:rsid w:val="00F12749"/>
    <w:rsid w:val="00F128E8"/>
    <w:rsid w:val="00F12A6E"/>
    <w:rsid w:val="00F12ACB"/>
    <w:rsid w:val="00F12AF8"/>
    <w:rsid w:val="00F12CBE"/>
    <w:rsid w:val="00F12D90"/>
    <w:rsid w:val="00F12FC8"/>
    <w:rsid w:val="00F1300F"/>
    <w:rsid w:val="00F13143"/>
    <w:rsid w:val="00F13206"/>
    <w:rsid w:val="00F132B6"/>
    <w:rsid w:val="00F1330D"/>
    <w:rsid w:val="00F1348A"/>
    <w:rsid w:val="00F136AE"/>
    <w:rsid w:val="00F140FB"/>
    <w:rsid w:val="00F14215"/>
    <w:rsid w:val="00F142AB"/>
    <w:rsid w:val="00F14339"/>
    <w:rsid w:val="00F143A3"/>
    <w:rsid w:val="00F144F2"/>
    <w:rsid w:val="00F146D8"/>
    <w:rsid w:val="00F1488D"/>
    <w:rsid w:val="00F14AE2"/>
    <w:rsid w:val="00F14CB6"/>
    <w:rsid w:val="00F14E0F"/>
    <w:rsid w:val="00F14EDB"/>
    <w:rsid w:val="00F15107"/>
    <w:rsid w:val="00F1516F"/>
    <w:rsid w:val="00F151AD"/>
    <w:rsid w:val="00F151FA"/>
    <w:rsid w:val="00F15480"/>
    <w:rsid w:val="00F15624"/>
    <w:rsid w:val="00F15A9B"/>
    <w:rsid w:val="00F15CEE"/>
    <w:rsid w:val="00F1604A"/>
    <w:rsid w:val="00F16567"/>
    <w:rsid w:val="00F1656F"/>
    <w:rsid w:val="00F16CB7"/>
    <w:rsid w:val="00F16CF5"/>
    <w:rsid w:val="00F16D3D"/>
    <w:rsid w:val="00F16DC2"/>
    <w:rsid w:val="00F16EBB"/>
    <w:rsid w:val="00F170EB"/>
    <w:rsid w:val="00F171AE"/>
    <w:rsid w:val="00F171FC"/>
    <w:rsid w:val="00F172F1"/>
    <w:rsid w:val="00F1768C"/>
    <w:rsid w:val="00F17791"/>
    <w:rsid w:val="00F1790A"/>
    <w:rsid w:val="00F17D24"/>
    <w:rsid w:val="00F17D42"/>
    <w:rsid w:val="00F17DC0"/>
    <w:rsid w:val="00F17E59"/>
    <w:rsid w:val="00F20496"/>
    <w:rsid w:val="00F204BB"/>
    <w:rsid w:val="00F204E3"/>
    <w:rsid w:val="00F20545"/>
    <w:rsid w:val="00F205E7"/>
    <w:rsid w:val="00F20615"/>
    <w:rsid w:val="00F206C1"/>
    <w:rsid w:val="00F2073E"/>
    <w:rsid w:val="00F20947"/>
    <w:rsid w:val="00F20FCF"/>
    <w:rsid w:val="00F20FFC"/>
    <w:rsid w:val="00F211A8"/>
    <w:rsid w:val="00F213FB"/>
    <w:rsid w:val="00F214A3"/>
    <w:rsid w:val="00F2172E"/>
    <w:rsid w:val="00F21789"/>
    <w:rsid w:val="00F21BC7"/>
    <w:rsid w:val="00F21C38"/>
    <w:rsid w:val="00F21CB7"/>
    <w:rsid w:val="00F21D47"/>
    <w:rsid w:val="00F21D74"/>
    <w:rsid w:val="00F21DD0"/>
    <w:rsid w:val="00F21F54"/>
    <w:rsid w:val="00F22175"/>
    <w:rsid w:val="00F22203"/>
    <w:rsid w:val="00F22264"/>
    <w:rsid w:val="00F22345"/>
    <w:rsid w:val="00F2235D"/>
    <w:rsid w:val="00F223C7"/>
    <w:rsid w:val="00F22482"/>
    <w:rsid w:val="00F22574"/>
    <w:rsid w:val="00F225DD"/>
    <w:rsid w:val="00F22749"/>
    <w:rsid w:val="00F22801"/>
    <w:rsid w:val="00F2285B"/>
    <w:rsid w:val="00F22A19"/>
    <w:rsid w:val="00F22AFA"/>
    <w:rsid w:val="00F22CDF"/>
    <w:rsid w:val="00F230BB"/>
    <w:rsid w:val="00F23345"/>
    <w:rsid w:val="00F23363"/>
    <w:rsid w:val="00F234CA"/>
    <w:rsid w:val="00F23538"/>
    <w:rsid w:val="00F2356E"/>
    <w:rsid w:val="00F23672"/>
    <w:rsid w:val="00F23710"/>
    <w:rsid w:val="00F23CD1"/>
    <w:rsid w:val="00F24083"/>
    <w:rsid w:val="00F24307"/>
    <w:rsid w:val="00F244BA"/>
    <w:rsid w:val="00F24594"/>
    <w:rsid w:val="00F24620"/>
    <w:rsid w:val="00F2466D"/>
    <w:rsid w:val="00F2499B"/>
    <w:rsid w:val="00F24E18"/>
    <w:rsid w:val="00F24ED6"/>
    <w:rsid w:val="00F25021"/>
    <w:rsid w:val="00F2502D"/>
    <w:rsid w:val="00F2504B"/>
    <w:rsid w:val="00F25161"/>
    <w:rsid w:val="00F25224"/>
    <w:rsid w:val="00F25447"/>
    <w:rsid w:val="00F2545C"/>
    <w:rsid w:val="00F25551"/>
    <w:rsid w:val="00F2559D"/>
    <w:rsid w:val="00F25669"/>
    <w:rsid w:val="00F256D3"/>
    <w:rsid w:val="00F257A0"/>
    <w:rsid w:val="00F2583A"/>
    <w:rsid w:val="00F25947"/>
    <w:rsid w:val="00F25BBD"/>
    <w:rsid w:val="00F25E73"/>
    <w:rsid w:val="00F26127"/>
    <w:rsid w:val="00F26224"/>
    <w:rsid w:val="00F26258"/>
    <w:rsid w:val="00F26609"/>
    <w:rsid w:val="00F26637"/>
    <w:rsid w:val="00F2677E"/>
    <w:rsid w:val="00F267EB"/>
    <w:rsid w:val="00F26AA3"/>
    <w:rsid w:val="00F26C42"/>
    <w:rsid w:val="00F26C6A"/>
    <w:rsid w:val="00F26D30"/>
    <w:rsid w:val="00F26DAD"/>
    <w:rsid w:val="00F26DD2"/>
    <w:rsid w:val="00F26EB6"/>
    <w:rsid w:val="00F26F49"/>
    <w:rsid w:val="00F26F8A"/>
    <w:rsid w:val="00F2707F"/>
    <w:rsid w:val="00F270F9"/>
    <w:rsid w:val="00F271BA"/>
    <w:rsid w:val="00F27316"/>
    <w:rsid w:val="00F2748B"/>
    <w:rsid w:val="00F27713"/>
    <w:rsid w:val="00F2792B"/>
    <w:rsid w:val="00F27A45"/>
    <w:rsid w:val="00F27C4E"/>
    <w:rsid w:val="00F300E4"/>
    <w:rsid w:val="00F3021E"/>
    <w:rsid w:val="00F305B7"/>
    <w:rsid w:val="00F308FE"/>
    <w:rsid w:val="00F3094A"/>
    <w:rsid w:val="00F309AB"/>
    <w:rsid w:val="00F30A6E"/>
    <w:rsid w:val="00F30BCF"/>
    <w:rsid w:val="00F30D10"/>
    <w:rsid w:val="00F30DC6"/>
    <w:rsid w:val="00F30E39"/>
    <w:rsid w:val="00F311F1"/>
    <w:rsid w:val="00F315D2"/>
    <w:rsid w:val="00F317FA"/>
    <w:rsid w:val="00F318F1"/>
    <w:rsid w:val="00F31A56"/>
    <w:rsid w:val="00F31B0C"/>
    <w:rsid w:val="00F31C2B"/>
    <w:rsid w:val="00F31D49"/>
    <w:rsid w:val="00F32023"/>
    <w:rsid w:val="00F321B9"/>
    <w:rsid w:val="00F32546"/>
    <w:rsid w:val="00F3259D"/>
    <w:rsid w:val="00F325C6"/>
    <w:rsid w:val="00F3271D"/>
    <w:rsid w:val="00F328C4"/>
    <w:rsid w:val="00F328F5"/>
    <w:rsid w:val="00F329FC"/>
    <w:rsid w:val="00F32B3D"/>
    <w:rsid w:val="00F32CB4"/>
    <w:rsid w:val="00F32D07"/>
    <w:rsid w:val="00F32DE7"/>
    <w:rsid w:val="00F32EAC"/>
    <w:rsid w:val="00F3307E"/>
    <w:rsid w:val="00F33124"/>
    <w:rsid w:val="00F33136"/>
    <w:rsid w:val="00F3342B"/>
    <w:rsid w:val="00F33469"/>
    <w:rsid w:val="00F3352B"/>
    <w:rsid w:val="00F33674"/>
    <w:rsid w:val="00F33741"/>
    <w:rsid w:val="00F338C0"/>
    <w:rsid w:val="00F33BF3"/>
    <w:rsid w:val="00F33D97"/>
    <w:rsid w:val="00F33D99"/>
    <w:rsid w:val="00F3401C"/>
    <w:rsid w:val="00F34162"/>
    <w:rsid w:val="00F343CC"/>
    <w:rsid w:val="00F343DB"/>
    <w:rsid w:val="00F34888"/>
    <w:rsid w:val="00F3488F"/>
    <w:rsid w:val="00F348B8"/>
    <w:rsid w:val="00F34970"/>
    <w:rsid w:val="00F349AE"/>
    <w:rsid w:val="00F34A09"/>
    <w:rsid w:val="00F34B09"/>
    <w:rsid w:val="00F350E8"/>
    <w:rsid w:val="00F35155"/>
    <w:rsid w:val="00F35355"/>
    <w:rsid w:val="00F354FB"/>
    <w:rsid w:val="00F355E4"/>
    <w:rsid w:val="00F356E1"/>
    <w:rsid w:val="00F356ED"/>
    <w:rsid w:val="00F35791"/>
    <w:rsid w:val="00F35AA7"/>
    <w:rsid w:val="00F35B9D"/>
    <w:rsid w:val="00F35BE4"/>
    <w:rsid w:val="00F35CCF"/>
    <w:rsid w:val="00F35F46"/>
    <w:rsid w:val="00F35F4F"/>
    <w:rsid w:val="00F36318"/>
    <w:rsid w:val="00F3694F"/>
    <w:rsid w:val="00F3697E"/>
    <w:rsid w:val="00F36CC0"/>
    <w:rsid w:val="00F36CD2"/>
    <w:rsid w:val="00F36E5A"/>
    <w:rsid w:val="00F36E91"/>
    <w:rsid w:val="00F37291"/>
    <w:rsid w:val="00F374C0"/>
    <w:rsid w:val="00F374F7"/>
    <w:rsid w:val="00F37991"/>
    <w:rsid w:val="00F37C20"/>
    <w:rsid w:val="00F37C43"/>
    <w:rsid w:val="00F37C89"/>
    <w:rsid w:val="00F37CAD"/>
    <w:rsid w:val="00F37F2E"/>
    <w:rsid w:val="00F37F3B"/>
    <w:rsid w:val="00F40128"/>
    <w:rsid w:val="00F40185"/>
    <w:rsid w:val="00F401C4"/>
    <w:rsid w:val="00F40235"/>
    <w:rsid w:val="00F40627"/>
    <w:rsid w:val="00F406CF"/>
    <w:rsid w:val="00F4087E"/>
    <w:rsid w:val="00F40968"/>
    <w:rsid w:val="00F412A1"/>
    <w:rsid w:val="00F412BA"/>
    <w:rsid w:val="00F415B3"/>
    <w:rsid w:val="00F4198D"/>
    <w:rsid w:val="00F41996"/>
    <w:rsid w:val="00F4199B"/>
    <w:rsid w:val="00F41EB5"/>
    <w:rsid w:val="00F41F69"/>
    <w:rsid w:val="00F420F3"/>
    <w:rsid w:val="00F4224A"/>
    <w:rsid w:val="00F42266"/>
    <w:rsid w:val="00F4226D"/>
    <w:rsid w:val="00F424B6"/>
    <w:rsid w:val="00F42579"/>
    <w:rsid w:val="00F42677"/>
    <w:rsid w:val="00F4279B"/>
    <w:rsid w:val="00F42919"/>
    <w:rsid w:val="00F42964"/>
    <w:rsid w:val="00F42968"/>
    <w:rsid w:val="00F42A4B"/>
    <w:rsid w:val="00F42AC1"/>
    <w:rsid w:val="00F42B94"/>
    <w:rsid w:val="00F42BFA"/>
    <w:rsid w:val="00F42CD0"/>
    <w:rsid w:val="00F42D21"/>
    <w:rsid w:val="00F42F8A"/>
    <w:rsid w:val="00F431D6"/>
    <w:rsid w:val="00F433A9"/>
    <w:rsid w:val="00F434AD"/>
    <w:rsid w:val="00F436EC"/>
    <w:rsid w:val="00F43766"/>
    <w:rsid w:val="00F43842"/>
    <w:rsid w:val="00F439BC"/>
    <w:rsid w:val="00F43ADF"/>
    <w:rsid w:val="00F43D09"/>
    <w:rsid w:val="00F43D0F"/>
    <w:rsid w:val="00F43D4B"/>
    <w:rsid w:val="00F43DDE"/>
    <w:rsid w:val="00F43FD7"/>
    <w:rsid w:val="00F44219"/>
    <w:rsid w:val="00F44290"/>
    <w:rsid w:val="00F44299"/>
    <w:rsid w:val="00F4435F"/>
    <w:rsid w:val="00F44488"/>
    <w:rsid w:val="00F444C8"/>
    <w:rsid w:val="00F44593"/>
    <w:rsid w:val="00F44701"/>
    <w:rsid w:val="00F4470F"/>
    <w:rsid w:val="00F44786"/>
    <w:rsid w:val="00F4487A"/>
    <w:rsid w:val="00F448E8"/>
    <w:rsid w:val="00F448FF"/>
    <w:rsid w:val="00F44948"/>
    <w:rsid w:val="00F44D0F"/>
    <w:rsid w:val="00F450A7"/>
    <w:rsid w:val="00F450D2"/>
    <w:rsid w:val="00F452C1"/>
    <w:rsid w:val="00F45546"/>
    <w:rsid w:val="00F459AD"/>
    <w:rsid w:val="00F45E0B"/>
    <w:rsid w:val="00F4641D"/>
    <w:rsid w:val="00F46607"/>
    <w:rsid w:val="00F4664E"/>
    <w:rsid w:val="00F467AA"/>
    <w:rsid w:val="00F46A1D"/>
    <w:rsid w:val="00F46AD6"/>
    <w:rsid w:val="00F46D99"/>
    <w:rsid w:val="00F4724C"/>
    <w:rsid w:val="00F4728C"/>
    <w:rsid w:val="00F473A7"/>
    <w:rsid w:val="00F47785"/>
    <w:rsid w:val="00F477B4"/>
    <w:rsid w:val="00F479AB"/>
    <w:rsid w:val="00F47E61"/>
    <w:rsid w:val="00F47F51"/>
    <w:rsid w:val="00F47FAE"/>
    <w:rsid w:val="00F50289"/>
    <w:rsid w:val="00F504B8"/>
    <w:rsid w:val="00F50571"/>
    <w:rsid w:val="00F50645"/>
    <w:rsid w:val="00F50E7D"/>
    <w:rsid w:val="00F51175"/>
    <w:rsid w:val="00F512CB"/>
    <w:rsid w:val="00F5161E"/>
    <w:rsid w:val="00F516E2"/>
    <w:rsid w:val="00F51AAD"/>
    <w:rsid w:val="00F51AD2"/>
    <w:rsid w:val="00F51D0B"/>
    <w:rsid w:val="00F52019"/>
    <w:rsid w:val="00F5208B"/>
    <w:rsid w:val="00F52245"/>
    <w:rsid w:val="00F522E8"/>
    <w:rsid w:val="00F5240F"/>
    <w:rsid w:val="00F5242D"/>
    <w:rsid w:val="00F52560"/>
    <w:rsid w:val="00F525B4"/>
    <w:rsid w:val="00F528A8"/>
    <w:rsid w:val="00F529DC"/>
    <w:rsid w:val="00F5316B"/>
    <w:rsid w:val="00F53230"/>
    <w:rsid w:val="00F532D6"/>
    <w:rsid w:val="00F532F5"/>
    <w:rsid w:val="00F535D7"/>
    <w:rsid w:val="00F5363B"/>
    <w:rsid w:val="00F53791"/>
    <w:rsid w:val="00F53901"/>
    <w:rsid w:val="00F53BCC"/>
    <w:rsid w:val="00F53C1D"/>
    <w:rsid w:val="00F53C47"/>
    <w:rsid w:val="00F53C62"/>
    <w:rsid w:val="00F53C80"/>
    <w:rsid w:val="00F53D44"/>
    <w:rsid w:val="00F53FA8"/>
    <w:rsid w:val="00F54087"/>
    <w:rsid w:val="00F54230"/>
    <w:rsid w:val="00F54466"/>
    <w:rsid w:val="00F5462F"/>
    <w:rsid w:val="00F54BEE"/>
    <w:rsid w:val="00F54C00"/>
    <w:rsid w:val="00F54FA3"/>
    <w:rsid w:val="00F55386"/>
    <w:rsid w:val="00F5549D"/>
    <w:rsid w:val="00F5562A"/>
    <w:rsid w:val="00F5591C"/>
    <w:rsid w:val="00F55C79"/>
    <w:rsid w:val="00F55DFD"/>
    <w:rsid w:val="00F55F06"/>
    <w:rsid w:val="00F55FC4"/>
    <w:rsid w:val="00F56630"/>
    <w:rsid w:val="00F567C3"/>
    <w:rsid w:val="00F568AC"/>
    <w:rsid w:val="00F56A4B"/>
    <w:rsid w:val="00F56B7D"/>
    <w:rsid w:val="00F56BED"/>
    <w:rsid w:val="00F56C1B"/>
    <w:rsid w:val="00F56DA1"/>
    <w:rsid w:val="00F56FC2"/>
    <w:rsid w:val="00F570CE"/>
    <w:rsid w:val="00F570DB"/>
    <w:rsid w:val="00F570FC"/>
    <w:rsid w:val="00F57540"/>
    <w:rsid w:val="00F575AA"/>
    <w:rsid w:val="00F5762C"/>
    <w:rsid w:val="00F57676"/>
    <w:rsid w:val="00F577CC"/>
    <w:rsid w:val="00F5782A"/>
    <w:rsid w:val="00F5791C"/>
    <w:rsid w:val="00F57AEC"/>
    <w:rsid w:val="00F57AF4"/>
    <w:rsid w:val="00F57CAE"/>
    <w:rsid w:val="00F57EF8"/>
    <w:rsid w:val="00F6017C"/>
    <w:rsid w:val="00F60293"/>
    <w:rsid w:val="00F6042E"/>
    <w:rsid w:val="00F60591"/>
    <w:rsid w:val="00F6067F"/>
    <w:rsid w:val="00F606BE"/>
    <w:rsid w:val="00F606BF"/>
    <w:rsid w:val="00F608B2"/>
    <w:rsid w:val="00F60ADF"/>
    <w:rsid w:val="00F60AED"/>
    <w:rsid w:val="00F60C5D"/>
    <w:rsid w:val="00F60E68"/>
    <w:rsid w:val="00F61000"/>
    <w:rsid w:val="00F61004"/>
    <w:rsid w:val="00F61077"/>
    <w:rsid w:val="00F611E2"/>
    <w:rsid w:val="00F6160D"/>
    <w:rsid w:val="00F617F3"/>
    <w:rsid w:val="00F61817"/>
    <w:rsid w:val="00F61864"/>
    <w:rsid w:val="00F619EA"/>
    <w:rsid w:val="00F61A60"/>
    <w:rsid w:val="00F61B3F"/>
    <w:rsid w:val="00F61D7F"/>
    <w:rsid w:val="00F61DAA"/>
    <w:rsid w:val="00F62003"/>
    <w:rsid w:val="00F623F3"/>
    <w:rsid w:val="00F624BF"/>
    <w:rsid w:val="00F625B9"/>
    <w:rsid w:val="00F62A80"/>
    <w:rsid w:val="00F62EEE"/>
    <w:rsid w:val="00F635AA"/>
    <w:rsid w:val="00F63603"/>
    <w:rsid w:val="00F636E6"/>
    <w:rsid w:val="00F6373E"/>
    <w:rsid w:val="00F63782"/>
    <w:rsid w:val="00F63966"/>
    <w:rsid w:val="00F63A36"/>
    <w:rsid w:val="00F63AA6"/>
    <w:rsid w:val="00F63B83"/>
    <w:rsid w:val="00F63E08"/>
    <w:rsid w:val="00F63F54"/>
    <w:rsid w:val="00F641CD"/>
    <w:rsid w:val="00F64300"/>
    <w:rsid w:val="00F64451"/>
    <w:rsid w:val="00F6447D"/>
    <w:rsid w:val="00F644A0"/>
    <w:rsid w:val="00F64592"/>
    <w:rsid w:val="00F645DE"/>
    <w:rsid w:val="00F64760"/>
    <w:rsid w:val="00F6478A"/>
    <w:rsid w:val="00F64852"/>
    <w:rsid w:val="00F64AF6"/>
    <w:rsid w:val="00F64C94"/>
    <w:rsid w:val="00F64CD6"/>
    <w:rsid w:val="00F64D4B"/>
    <w:rsid w:val="00F650E0"/>
    <w:rsid w:val="00F651A8"/>
    <w:rsid w:val="00F651D3"/>
    <w:rsid w:val="00F65556"/>
    <w:rsid w:val="00F65595"/>
    <w:rsid w:val="00F65642"/>
    <w:rsid w:val="00F657C6"/>
    <w:rsid w:val="00F657F4"/>
    <w:rsid w:val="00F659BE"/>
    <w:rsid w:val="00F659E1"/>
    <w:rsid w:val="00F65C44"/>
    <w:rsid w:val="00F66447"/>
    <w:rsid w:val="00F66456"/>
    <w:rsid w:val="00F66491"/>
    <w:rsid w:val="00F664B9"/>
    <w:rsid w:val="00F66AA9"/>
    <w:rsid w:val="00F66C9E"/>
    <w:rsid w:val="00F66DA6"/>
    <w:rsid w:val="00F67171"/>
    <w:rsid w:val="00F67232"/>
    <w:rsid w:val="00F672A4"/>
    <w:rsid w:val="00F6733E"/>
    <w:rsid w:val="00F673B7"/>
    <w:rsid w:val="00F675DD"/>
    <w:rsid w:val="00F67688"/>
    <w:rsid w:val="00F6776E"/>
    <w:rsid w:val="00F67785"/>
    <w:rsid w:val="00F67864"/>
    <w:rsid w:val="00F67A43"/>
    <w:rsid w:val="00F67B3E"/>
    <w:rsid w:val="00F67C46"/>
    <w:rsid w:val="00F67D96"/>
    <w:rsid w:val="00F67F77"/>
    <w:rsid w:val="00F701AE"/>
    <w:rsid w:val="00F70220"/>
    <w:rsid w:val="00F7024A"/>
    <w:rsid w:val="00F7071D"/>
    <w:rsid w:val="00F70794"/>
    <w:rsid w:val="00F708FA"/>
    <w:rsid w:val="00F7097A"/>
    <w:rsid w:val="00F70A0D"/>
    <w:rsid w:val="00F70D35"/>
    <w:rsid w:val="00F70F13"/>
    <w:rsid w:val="00F71047"/>
    <w:rsid w:val="00F7128D"/>
    <w:rsid w:val="00F71360"/>
    <w:rsid w:val="00F713A9"/>
    <w:rsid w:val="00F716E4"/>
    <w:rsid w:val="00F7174A"/>
    <w:rsid w:val="00F71930"/>
    <w:rsid w:val="00F71A40"/>
    <w:rsid w:val="00F71CC4"/>
    <w:rsid w:val="00F7203C"/>
    <w:rsid w:val="00F72088"/>
    <w:rsid w:val="00F7220B"/>
    <w:rsid w:val="00F723FA"/>
    <w:rsid w:val="00F724AB"/>
    <w:rsid w:val="00F7261C"/>
    <w:rsid w:val="00F72A11"/>
    <w:rsid w:val="00F72CE0"/>
    <w:rsid w:val="00F72FC9"/>
    <w:rsid w:val="00F7305E"/>
    <w:rsid w:val="00F730E2"/>
    <w:rsid w:val="00F7324D"/>
    <w:rsid w:val="00F735F4"/>
    <w:rsid w:val="00F7362A"/>
    <w:rsid w:val="00F73796"/>
    <w:rsid w:val="00F73A89"/>
    <w:rsid w:val="00F73C89"/>
    <w:rsid w:val="00F73D37"/>
    <w:rsid w:val="00F73E2D"/>
    <w:rsid w:val="00F73F8A"/>
    <w:rsid w:val="00F741DC"/>
    <w:rsid w:val="00F743EB"/>
    <w:rsid w:val="00F74414"/>
    <w:rsid w:val="00F74B8F"/>
    <w:rsid w:val="00F74C02"/>
    <w:rsid w:val="00F74C8F"/>
    <w:rsid w:val="00F74DA2"/>
    <w:rsid w:val="00F74E3F"/>
    <w:rsid w:val="00F74EA1"/>
    <w:rsid w:val="00F74F7F"/>
    <w:rsid w:val="00F74F9C"/>
    <w:rsid w:val="00F75102"/>
    <w:rsid w:val="00F7530A"/>
    <w:rsid w:val="00F755A6"/>
    <w:rsid w:val="00F75656"/>
    <w:rsid w:val="00F757A3"/>
    <w:rsid w:val="00F75887"/>
    <w:rsid w:val="00F75B2D"/>
    <w:rsid w:val="00F75D5B"/>
    <w:rsid w:val="00F75E86"/>
    <w:rsid w:val="00F7615B"/>
    <w:rsid w:val="00F76302"/>
    <w:rsid w:val="00F763F0"/>
    <w:rsid w:val="00F7649C"/>
    <w:rsid w:val="00F7679D"/>
    <w:rsid w:val="00F768F0"/>
    <w:rsid w:val="00F76B43"/>
    <w:rsid w:val="00F76B6D"/>
    <w:rsid w:val="00F76BE6"/>
    <w:rsid w:val="00F76CD9"/>
    <w:rsid w:val="00F76D87"/>
    <w:rsid w:val="00F76DA6"/>
    <w:rsid w:val="00F76DB9"/>
    <w:rsid w:val="00F76FB6"/>
    <w:rsid w:val="00F77027"/>
    <w:rsid w:val="00F7716C"/>
    <w:rsid w:val="00F771C6"/>
    <w:rsid w:val="00F77784"/>
    <w:rsid w:val="00F77B4E"/>
    <w:rsid w:val="00F77C62"/>
    <w:rsid w:val="00F77D1A"/>
    <w:rsid w:val="00F77EB8"/>
    <w:rsid w:val="00F80087"/>
    <w:rsid w:val="00F8028B"/>
    <w:rsid w:val="00F802B4"/>
    <w:rsid w:val="00F80521"/>
    <w:rsid w:val="00F80ACF"/>
    <w:rsid w:val="00F80DEE"/>
    <w:rsid w:val="00F80E53"/>
    <w:rsid w:val="00F80E58"/>
    <w:rsid w:val="00F810B3"/>
    <w:rsid w:val="00F8128F"/>
    <w:rsid w:val="00F813BD"/>
    <w:rsid w:val="00F81511"/>
    <w:rsid w:val="00F81591"/>
    <w:rsid w:val="00F8162A"/>
    <w:rsid w:val="00F81785"/>
    <w:rsid w:val="00F817B8"/>
    <w:rsid w:val="00F819D4"/>
    <w:rsid w:val="00F81A51"/>
    <w:rsid w:val="00F81B19"/>
    <w:rsid w:val="00F81B3E"/>
    <w:rsid w:val="00F81C65"/>
    <w:rsid w:val="00F81C8A"/>
    <w:rsid w:val="00F81D49"/>
    <w:rsid w:val="00F81D91"/>
    <w:rsid w:val="00F81E8C"/>
    <w:rsid w:val="00F81EB6"/>
    <w:rsid w:val="00F81F22"/>
    <w:rsid w:val="00F8207D"/>
    <w:rsid w:val="00F82200"/>
    <w:rsid w:val="00F82216"/>
    <w:rsid w:val="00F8225D"/>
    <w:rsid w:val="00F823EB"/>
    <w:rsid w:val="00F82453"/>
    <w:rsid w:val="00F82662"/>
    <w:rsid w:val="00F82FB8"/>
    <w:rsid w:val="00F82FEA"/>
    <w:rsid w:val="00F830F8"/>
    <w:rsid w:val="00F83259"/>
    <w:rsid w:val="00F83501"/>
    <w:rsid w:val="00F835D0"/>
    <w:rsid w:val="00F83615"/>
    <w:rsid w:val="00F8374D"/>
    <w:rsid w:val="00F83867"/>
    <w:rsid w:val="00F8387E"/>
    <w:rsid w:val="00F83A81"/>
    <w:rsid w:val="00F83B75"/>
    <w:rsid w:val="00F83BB1"/>
    <w:rsid w:val="00F83CCF"/>
    <w:rsid w:val="00F83D47"/>
    <w:rsid w:val="00F83E83"/>
    <w:rsid w:val="00F83F13"/>
    <w:rsid w:val="00F83FAE"/>
    <w:rsid w:val="00F8405B"/>
    <w:rsid w:val="00F8414F"/>
    <w:rsid w:val="00F84205"/>
    <w:rsid w:val="00F84262"/>
    <w:rsid w:val="00F843EC"/>
    <w:rsid w:val="00F845A3"/>
    <w:rsid w:val="00F846CA"/>
    <w:rsid w:val="00F84861"/>
    <w:rsid w:val="00F8487C"/>
    <w:rsid w:val="00F84960"/>
    <w:rsid w:val="00F84CFA"/>
    <w:rsid w:val="00F85192"/>
    <w:rsid w:val="00F85330"/>
    <w:rsid w:val="00F85446"/>
    <w:rsid w:val="00F856BE"/>
    <w:rsid w:val="00F858D3"/>
    <w:rsid w:val="00F8595E"/>
    <w:rsid w:val="00F85AA9"/>
    <w:rsid w:val="00F85B4E"/>
    <w:rsid w:val="00F85C9F"/>
    <w:rsid w:val="00F85DC5"/>
    <w:rsid w:val="00F85E45"/>
    <w:rsid w:val="00F85E4F"/>
    <w:rsid w:val="00F85FF5"/>
    <w:rsid w:val="00F860DC"/>
    <w:rsid w:val="00F86281"/>
    <w:rsid w:val="00F865C3"/>
    <w:rsid w:val="00F865D7"/>
    <w:rsid w:val="00F867A9"/>
    <w:rsid w:val="00F86F49"/>
    <w:rsid w:val="00F870B5"/>
    <w:rsid w:val="00F873AB"/>
    <w:rsid w:val="00F873CF"/>
    <w:rsid w:val="00F873DA"/>
    <w:rsid w:val="00F875C0"/>
    <w:rsid w:val="00F878E1"/>
    <w:rsid w:val="00F87BEE"/>
    <w:rsid w:val="00F87C1E"/>
    <w:rsid w:val="00F87E1B"/>
    <w:rsid w:val="00F90051"/>
    <w:rsid w:val="00F9020D"/>
    <w:rsid w:val="00F90271"/>
    <w:rsid w:val="00F90410"/>
    <w:rsid w:val="00F904F4"/>
    <w:rsid w:val="00F907B7"/>
    <w:rsid w:val="00F907C4"/>
    <w:rsid w:val="00F90979"/>
    <w:rsid w:val="00F909B1"/>
    <w:rsid w:val="00F909C8"/>
    <w:rsid w:val="00F909E1"/>
    <w:rsid w:val="00F90A5E"/>
    <w:rsid w:val="00F90A7F"/>
    <w:rsid w:val="00F90DA3"/>
    <w:rsid w:val="00F90DEE"/>
    <w:rsid w:val="00F90F65"/>
    <w:rsid w:val="00F911AD"/>
    <w:rsid w:val="00F91382"/>
    <w:rsid w:val="00F91404"/>
    <w:rsid w:val="00F91B7E"/>
    <w:rsid w:val="00F91BCD"/>
    <w:rsid w:val="00F91BD2"/>
    <w:rsid w:val="00F91CFC"/>
    <w:rsid w:val="00F91DA5"/>
    <w:rsid w:val="00F91E0E"/>
    <w:rsid w:val="00F91E77"/>
    <w:rsid w:val="00F91EC0"/>
    <w:rsid w:val="00F921ED"/>
    <w:rsid w:val="00F9222E"/>
    <w:rsid w:val="00F9265F"/>
    <w:rsid w:val="00F927A8"/>
    <w:rsid w:val="00F928CC"/>
    <w:rsid w:val="00F92AF9"/>
    <w:rsid w:val="00F92C5A"/>
    <w:rsid w:val="00F92ED2"/>
    <w:rsid w:val="00F93053"/>
    <w:rsid w:val="00F932EC"/>
    <w:rsid w:val="00F9332F"/>
    <w:rsid w:val="00F936B7"/>
    <w:rsid w:val="00F93839"/>
    <w:rsid w:val="00F9387A"/>
    <w:rsid w:val="00F93979"/>
    <w:rsid w:val="00F93A0B"/>
    <w:rsid w:val="00F93B2C"/>
    <w:rsid w:val="00F93B8B"/>
    <w:rsid w:val="00F93D46"/>
    <w:rsid w:val="00F94057"/>
    <w:rsid w:val="00F94098"/>
    <w:rsid w:val="00F94480"/>
    <w:rsid w:val="00F94B3C"/>
    <w:rsid w:val="00F94B75"/>
    <w:rsid w:val="00F94BA6"/>
    <w:rsid w:val="00F94E16"/>
    <w:rsid w:val="00F94E88"/>
    <w:rsid w:val="00F94EF3"/>
    <w:rsid w:val="00F950DA"/>
    <w:rsid w:val="00F9521F"/>
    <w:rsid w:val="00F95329"/>
    <w:rsid w:val="00F95359"/>
    <w:rsid w:val="00F9537F"/>
    <w:rsid w:val="00F9575A"/>
    <w:rsid w:val="00F95A0B"/>
    <w:rsid w:val="00F95C20"/>
    <w:rsid w:val="00F95EA3"/>
    <w:rsid w:val="00F96013"/>
    <w:rsid w:val="00F962B6"/>
    <w:rsid w:val="00F96476"/>
    <w:rsid w:val="00F96589"/>
    <w:rsid w:val="00F96607"/>
    <w:rsid w:val="00F96971"/>
    <w:rsid w:val="00F96F8D"/>
    <w:rsid w:val="00F971AE"/>
    <w:rsid w:val="00F97596"/>
    <w:rsid w:val="00F975B4"/>
    <w:rsid w:val="00F9760B"/>
    <w:rsid w:val="00F9762A"/>
    <w:rsid w:val="00F97640"/>
    <w:rsid w:val="00F97702"/>
    <w:rsid w:val="00F97B44"/>
    <w:rsid w:val="00F97B57"/>
    <w:rsid w:val="00F97EA2"/>
    <w:rsid w:val="00FA05EF"/>
    <w:rsid w:val="00FA06EE"/>
    <w:rsid w:val="00FA0911"/>
    <w:rsid w:val="00FA097D"/>
    <w:rsid w:val="00FA0BF7"/>
    <w:rsid w:val="00FA0CC1"/>
    <w:rsid w:val="00FA11CF"/>
    <w:rsid w:val="00FA124E"/>
    <w:rsid w:val="00FA15CD"/>
    <w:rsid w:val="00FA16C9"/>
    <w:rsid w:val="00FA173B"/>
    <w:rsid w:val="00FA18C6"/>
    <w:rsid w:val="00FA1E7E"/>
    <w:rsid w:val="00FA1E96"/>
    <w:rsid w:val="00FA1EF6"/>
    <w:rsid w:val="00FA1FF0"/>
    <w:rsid w:val="00FA205D"/>
    <w:rsid w:val="00FA23BC"/>
    <w:rsid w:val="00FA23DA"/>
    <w:rsid w:val="00FA264C"/>
    <w:rsid w:val="00FA2740"/>
    <w:rsid w:val="00FA2C7C"/>
    <w:rsid w:val="00FA2CB1"/>
    <w:rsid w:val="00FA315C"/>
    <w:rsid w:val="00FA374C"/>
    <w:rsid w:val="00FA38BE"/>
    <w:rsid w:val="00FA3EB0"/>
    <w:rsid w:val="00FA40C5"/>
    <w:rsid w:val="00FA40CB"/>
    <w:rsid w:val="00FA496E"/>
    <w:rsid w:val="00FA4B32"/>
    <w:rsid w:val="00FA4C08"/>
    <w:rsid w:val="00FA4EC4"/>
    <w:rsid w:val="00FA4FD5"/>
    <w:rsid w:val="00FA4FED"/>
    <w:rsid w:val="00FA5321"/>
    <w:rsid w:val="00FA5510"/>
    <w:rsid w:val="00FA5950"/>
    <w:rsid w:val="00FA5A05"/>
    <w:rsid w:val="00FA5A55"/>
    <w:rsid w:val="00FA5EE6"/>
    <w:rsid w:val="00FA6407"/>
    <w:rsid w:val="00FA661D"/>
    <w:rsid w:val="00FA66A5"/>
    <w:rsid w:val="00FA66EC"/>
    <w:rsid w:val="00FA6BB8"/>
    <w:rsid w:val="00FA6CAA"/>
    <w:rsid w:val="00FA6DF6"/>
    <w:rsid w:val="00FA6EE2"/>
    <w:rsid w:val="00FA6FA7"/>
    <w:rsid w:val="00FA7057"/>
    <w:rsid w:val="00FA708B"/>
    <w:rsid w:val="00FA7264"/>
    <w:rsid w:val="00FA7843"/>
    <w:rsid w:val="00FA7A2A"/>
    <w:rsid w:val="00FA7A2C"/>
    <w:rsid w:val="00FA7BE9"/>
    <w:rsid w:val="00FA7DD7"/>
    <w:rsid w:val="00FA7E50"/>
    <w:rsid w:val="00FA7EA1"/>
    <w:rsid w:val="00FB019B"/>
    <w:rsid w:val="00FB01FF"/>
    <w:rsid w:val="00FB0293"/>
    <w:rsid w:val="00FB04E1"/>
    <w:rsid w:val="00FB075D"/>
    <w:rsid w:val="00FB0854"/>
    <w:rsid w:val="00FB0A34"/>
    <w:rsid w:val="00FB0C77"/>
    <w:rsid w:val="00FB0CCD"/>
    <w:rsid w:val="00FB0D8B"/>
    <w:rsid w:val="00FB0E75"/>
    <w:rsid w:val="00FB0F3C"/>
    <w:rsid w:val="00FB0FBB"/>
    <w:rsid w:val="00FB12E0"/>
    <w:rsid w:val="00FB145E"/>
    <w:rsid w:val="00FB14EF"/>
    <w:rsid w:val="00FB1503"/>
    <w:rsid w:val="00FB192A"/>
    <w:rsid w:val="00FB195F"/>
    <w:rsid w:val="00FB1B34"/>
    <w:rsid w:val="00FB1DD5"/>
    <w:rsid w:val="00FB1FB4"/>
    <w:rsid w:val="00FB2260"/>
    <w:rsid w:val="00FB2396"/>
    <w:rsid w:val="00FB25F7"/>
    <w:rsid w:val="00FB26D9"/>
    <w:rsid w:val="00FB274C"/>
    <w:rsid w:val="00FB2791"/>
    <w:rsid w:val="00FB2A04"/>
    <w:rsid w:val="00FB2AAE"/>
    <w:rsid w:val="00FB2BE5"/>
    <w:rsid w:val="00FB2E9B"/>
    <w:rsid w:val="00FB3361"/>
    <w:rsid w:val="00FB3433"/>
    <w:rsid w:val="00FB361F"/>
    <w:rsid w:val="00FB3643"/>
    <w:rsid w:val="00FB36B1"/>
    <w:rsid w:val="00FB3787"/>
    <w:rsid w:val="00FB37AA"/>
    <w:rsid w:val="00FB3870"/>
    <w:rsid w:val="00FB3974"/>
    <w:rsid w:val="00FB3994"/>
    <w:rsid w:val="00FB3C6E"/>
    <w:rsid w:val="00FB3C96"/>
    <w:rsid w:val="00FB3DEE"/>
    <w:rsid w:val="00FB3E78"/>
    <w:rsid w:val="00FB3FDA"/>
    <w:rsid w:val="00FB415F"/>
    <w:rsid w:val="00FB43C0"/>
    <w:rsid w:val="00FB46E9"/>
    <w:rsid w:val="00FB4881"/>
    <w:rsid w:val="00FB4A00"/>
    <w:rsid w:val="00FB4EAF"/>
    <w:rsid w:val="00FB4F16"/>
    <w:rsid w:val="00FB4FBD"/>
    <w:rsid w:val="00FB5242"/>
    <w:rsid w:val="00FB52E1"/>
    <w:rsid w:val="00FB5409"/>
    <w:rsid w:val="00FB5549"/>
    <w:rsid w:val="00FB5642"/>
    <w:rsid w:val="00FB5735"/>
    <w:rsid w:val="00FB588D"/>
    <w:rsid w:val="00FB58DA"/>
    <w:rsid w:val="00FB59FF"/>
    <w:rsid w:val="00FB5AD4"/>
    <w:rsid w:val="00FB5B07"/>
    <w:rsid w:val="00FB5C23"/>
    <w:rsid w:val="00FB5D02"/>
    <w:rsid w:val="00FB5DA5"/>
    <w:rsid w:val="00FB5E1B"/>
    <w:rsid w:val="00FB60DC"/>
    <w:rsid w:val="00FB6167"/>
    <w:rsid w:val="00FB61F1"/>
    <w:rsid w:val="00FB657F"/>
    <w:rsid w:val="00FB6744"/>
    <w:rsid w:val="00FB68EB"/>
    <w:rsid w:val="00FB690E"/>
    <w:rsid w:val="00FB69D2"/>
    <w:rsid w:val="00FB6C0E"/>
    <w:rsid w:val="00FB6C24"/>
    <w:rsid w:val="00FB6D03"/>
    <w:rsid w:val="00FB71AB"/>
    <w:rsid w:val="00FB723B"/>
    <w:rsid w:val="00FB74D5"/>
    <w:rsid w:val="00FB75E9"/>
    <w:rsid w:val="00FB75ED"/>
    <w:rsid w:val="00FB7638"/>
    <w:rsid w:val="00FB7715"/>
    <w:rsid w:val="00FB7832"/>
    <w:rsid w:val="00FB7A64"/>
    <w:rsid w:val="00FC0099"/>
    <w:rsid w:val="00FC0119"/>
    <w:rsid w:val="00FC0249"/>
    <w:rsid w:val="00FC0767"/>
    <w:rsid w:val="00FC07F3"/>
    <w:rsid w:val="00FC0A44"/>
    <w:rsid w:val="00FC0A58"/>
    <w:rsid w:val="00FC0B31"/>
    <w:rsid w:val="00FC0BA4"/>
    <w:rsid w:val="00FC0E18"/>
    <w:rsid w:val="00FC0E77"/>
    <w:rsid w:val="00FC0F2F"/>
    <w:rsid w:val="00FC10BA"/>
    <w:rsid w:val="00FC120C"/>
    <w:rsid w:val="00FC14DB"/>
    <w:rsid w:val="00FC1530"/>
    <w:rsid w:val="00FC1716"/>
    <w:rsid w:val="00FC1861"/>
    <w:rsid w:val="00FC1897"/>
    <w:rsid w:val="00FC18B6"/>
    <w:rsid w:val="00FC1997"/>
    <w:rsid w:val="00FC1C3C"/>
    <w:rsid w:val="00FC1DE1"/>
    <w:rsid w:val="00FC1ECA"/>
    <w:rsid w:val="00FC21A0"/>
    <w:rsid w:val="00FC220E"/>
    <w:rsid w:val="00FC227E"/>
    <w:rsid w:val="00FC2310"/>
    <w:rsid w:val="00FC2AD3"/>
    <w:rsid w:val="00FC2AE5"/>
    <w:rsid w:val="00FC2D4C"/>
    <w:rsid w:val="00FC2DDA"/>
    <w:rsid w:val="00FC2F29"/>
    <w:rsid w:val="00FC2F84"/>
    <w:rsid w:val="00FC301B"/>
    <w:rsid w:val="00FC3164"/>
    <w:rsid w:val="00FC3268"/>
    <w:rsid w:val="00FC32BB"/>
    <w:rsid w:val="00FC3632"/>
    <w:rsid w:val="00FC38D2"/>
    <w:rsid w:val="00FC3910"/>
    <w:rsid w:val="00FC39D1"/>
    <w:rsid w:val="00FC3AB7"/>
    <w:rsid w:val="00FC3CB6"/>
    <w:rsid w:val="00FC3D0B"/>
    <w:rsid w:val="00FC3D26"/>
    <w:rsid w:val="00FC3D6B"/>
    <w:rsid w:val="00FC3DFF"/>
    <w:rsid w:val="00FC3EF4"/>
    <w:rsid w:val="00FC4009"/>
    <w:rsid w:val="00FC40DE"/>
    <w:rsid w:val="00FC42AF"/>
    <w:rsid w:val="00FC46ED"/>
    <w:rsid w:val="00FC4D4E"/>
    <w:rsid w:val="00FC5261"/>
    <w:rsid w:val="00FC53D5"/>
    <w:rsid w:val="00FC57DA"/>
    <w:rsid w:val="00FC581D"/>
    <w:rsid w:val="00FC5825"/>
    <w:rsid w:val="00FC5B68"/>
    <w:rsid w:val="00FC6070"/>
    <w:rsid w:val="00FC607F"/>
    <w:rsid w:val="00FC6367"/>
    <w:rsid w:val="00FC64AB"/>
    <w:rsid w:val="00FC6639"/>
    <w:rsid w:val="00FC6761"/>
    <w:rsid w:val="00FC6B04"/>
    <w:rsid w:val="00FC6C50"/>
    <w:rsid w:val="00FC6C69"/>
    <w:rsid w:val="00FC6C9D"/>
    <w:rsid w:val="00FC6DFA"/>
    <w:rsid w:val="00FC71AB"/>
    <w:rsid w:val="00FC71C9"/>
    <w:rsid w:val="00FC72B3"/>
    <w:rsid w:val="00FC75B7"/>
    <w:rsid w:val="00FC772C"/>
    <w:rsid w:val="00FC7A93"/>
    <w:rsid w:val="00FC7B08"/>
    <w:rsid w:val="00FC7B30"/>
    <w:rsid w:val="00FC7BA5"/>
    <w:rsid w:val="00FC7CAC"/>
    <w:rsid w:val="00FC7E1E"/>
    <w:rsid w:val="00FD004B"/>
    <w:rsid w:val="00FD012A"/>
    <w:rsid w:val="00FD0192"/>
    <w:rsid w:val="00FD0231"/>
    <w:rsid w:val="00FD02AE"/>
    <w:rsid w:val="00FD0370"/>
    <w:rsid w:val="00FD03AA"/>
    <w:rsid w:val="00FD04E1"/>
    <w:rsid w:val="00FD06A9"/>
    <w:rsid w:val="00FD083C"/>
    <w:rsid w:val="00FD09C8"/>
    <w:rsid w:val="00FD09EB"/>
    <w:rsid w:val="00FD0D21"/>
    <w:rsid w:val="00FD0F57"/>
    <w:rsid w:val="00FD0F76"/>
    <w:rsid w:val="00FD13AA"/>
    <w:rsid w:val="00FD146B"/>
    <w:rsid w:val="00FD146F"/>
    <w:rsid w:val="00FD149A"/>
    <w:rsid w:val="00FD14A1"/>
    <w:rsid w:val="00FD17A3"/>
    <w:rsid w:val="00FD17DE"/>
    <w:rsid w:val="00FD18C1"/>
    <w:rsid w:val="00FD1E01"/>
    <w:rsid w:val="00FD1F1C"/>
    <w:rsid w:val="00FD1FC3"/>
    <w:rsid w:val="00FD20A9"/>
    <w:rsid w:val="00FD219E"/>
    <w:rsid w:val="00FD225E"/>
    <w:rsid w:val="00FD22FD"/>
    <w:rsid w:val="00FD2400"/>
    <w:rsid w:val="00FD24E3"/>
    <w:rsid w:val="00FD298D"/>
    <w:rsid w:val="00FD2EF4"/>
    <w:rsid w:val="00FD3489"/>
    <w:rsid w:val="00FD37CB"/>
    <w:rsid w:val="00FD383D"/>
    <w:rsid w:val="00FD387C"/>
    <w:rsid w:val="00FD38C1"/>
    <w:rsid w:val="00FD39A0"/>
    <w:rsid w:val="00FD3A3C"/>
    <w:rsid w:val="00FD3ACF"/>
    <w:rsid w:val="00FD3BC4"/>
    <w:rsid w:val="00FD3E32"/>
    <w:rsid w:val="00FD41FD"/>
    <w:rsid w:val="00FD4235"/>
    <w:rsid w:val="00FD42EA"/>
    <w:rsid w:val="00FD43E5"/>
    <w:rsid w:val="00FD4518"/>
    <w:rsid w:val="00FD4559"/>
    <w:rsid w:val="00FD48DE"/>
    <w:rsid w:val="00FD48F9"/>
    <w:rsid w:val="00FD49B7"/>
    <w:rsid w:val="00FD49DD"/>
    <w:rsid w:val="00FD4BE2"/>
    <w:rsid w:val="00FD4C1E"/>
    <w:rsid w:val="00FD4D87"/>
    <w:rsid w:val="00FD4E71"/>
    <w:rsid w:val="00FD4FF0"/>
    <w:rsid w:val="00FD5051"/>
    <w:rsid w:val="00FD5342"/>
    <w:rsid w:val="00FD5829"/>
    <w:rsid w:val="00FD5C6D"/>
    <w:rsid w:val="00FD5D6F"/>
    <w:rsid w:val="00FD5E16"/>
    <w:rsid w:val="00FD5ECF"/>
    <w:rsid w:val="00FD5F6A"/>
    <w:rsid w:val="00FD6371"/>
    <w:rsid w:val="00FD64A9"/>
    <w:rsid w:val="00FD653F"/>
    <w:rsid w:val="00FD65E7"/>
    <w:rsid w:val="00FD661A"/>
    <w:rsid w:val="00FD6A8C"/>
    <w:rsid w:val="00FD6C9A"/>
    <w:rsid w:val="00FD6CA5"/>
    <w:rsid w:val="00FD6E5B"/>
    <w:rsid w:val="00FD6E78"/>
    <w:rsid w:val="00FD6FEF"/>
    <w:rsid w:val="00FD70B8"/>
    <w:rsid w:val="00FD73D6"/>
    <w:rsid w:val="00FD74FE"/>
    <w:rsid w:val="00FD7771"/>
    <w:rsid w:val="00FD7AEA"/>
    <w:rsid w:val="00FD7F9F"/>
    <w:rsid w:val="00FE06D1"/>
    <w:rsid w:val="00FE093C"/>
    <w:rsid w:val="00FE0A99"/>
    <w:rsid w:val="00FE0BBA"/>
    <w:rsid w:val="00FE0BD0"/>
    <w:rsid w:val="00FE0BEA"/>
    <w:rsid w:val="00FE10A9"/>
    <w:rsid w:val="00FE133F"/>
    <w:rsid w:val="00FE135C"/>
    <w:rsid w:val="00FE14F1"/>
    <w:rsid w:val="00FE1816"/>
    <w:rsid w:val="00FE1914"/>
    <w:rsid w:val="00FE19A5"/>
    <w:rsid w:val="00FE1D2F"/>
    <w:rsid w:val="00FE1DCD"/>
    <w:rsid w:val="00FE1F6E"/>
    <w:rsid w:val="00FE20D5"/>
    <w:rsid w:val="00FE2144"/>
    <w:rsid w:val="00FE21E4"/>
    <w:rsid w:val="00FE2225"/>
    <w:rsid w:val="00FE233B"/>
    <w:rsid w:val="00FE2464"/>
    <w:rsid w:val="00FE2667"/>
    <w:rsid w:val="00FE28B2"/>
    <w:rsid w:val="00FE293B"/>
    <w:rsid w:val="00FE2CB8"/>
    <w:rsid w:val="00FE2D6E"/>
    <w:rsid w:val="00FE2E64"/>
    <w:rsid w:val="00FE3000"/>
    <w:rsid w:val="00FE30CF"/>
    <w:rsid w:val="00FE3186"/>
    <w:rsid w:val="00FE31F8"/>
    <w:rsid w:val="00FE34B2"/>
    <w:rsid w:val="00FE38DE"/>
    <w:rsid w:val="00FE391E"/>
    <w:rsid w:val="00FE3985"/>
    <w:rsid w:val="00FE3D41"/>
    <w:rsid w:val="00FE3E3E"/>
    <w:rsid w:val="00FE3E9E"/>
    <w:rsid w:val="00FE3F01"/>
    <w:rsid w:val="00FE4299"/>
    <w:rsid w:val="00FE4433"/>
    <w:rsid w:val="00FE4631"/>
    <w:rsid w:val="00FE46FE"/>
    <w:rsid w:val="00FE50DB"/>
    <w:rsid w:val="00FE512F"/>
    <w:rsid w:val="00FE527F"/>
    <w:rsid w:val="00FE5600"/>
    <w:rsid w:val="00FE5870"/>
    <w:rsid w:val="00FE5B93"/>
    <w:rsid w:val="00FE5E0E"/>
    <w:rsid w:val="00FE5EBC"/>
    <w:rsid w:val="00FE5EDA"/>
    <w:rsid w:val="00FE61DE"/>
    <w:rsid w:val="00FE620E"/>
    <w:rsid w:val="00FE6379"/>
    <w:rsid w:val="00FE6F0C"/>
    <w:rsid w:val="00FE7166"/>
    <w:rsid w:val="00FE716F"/>
    <w:rsid w:val="00FE722C"/>
    <w:rsid w:val="00FE735F"/>
    <w:rsid w:val="00FE74CC"/>
    <w:rsid w:val="00FE775F"/>
    <w:rsid w:val="00FE78E2"/>
    <w:rsid w:val="00FE78F1"/>
    <w:rsid w:val="00FE78F8"/>
    <w:rsid w:val="00FE79F3"/>
    <w:rsid w:val="00FF01DC"/>
    <w:rsid w:val="00FF0221"/>
    <w:rsid w:val="00FF0663"/>
    <w:rsid w:val="00FF078F"/>
    <w:rsid w:val="00FF08AE"/>
    <w:rsid w:val="00FF0991"/>
    <w:rsid w:val="00FF0A21"/>
    <w:rsid w:val="00FF0EC5"/>
    <w:rsid w:val="00FF1076"/>
    <w:rsid w:val="00FF110A"/>
    <w:rsid w:val="00FF12CB"/>
    <w:rsid w:val="00FF1313"/>
    <w:rsid w:val="00FF153B"/>
    <w:rsid w:val="00FF15D2"/>
    <w:rsid w:val="00FF17E7"/>
    <w:rsid w:val="00FF1B6E"/>
    <w:rsid w:val="00FF1D62"/>
    <w:rsid w:val="00FF1EDC"/>
    <w:rsid w:val="00FF1FDA"/>
    <w:rsid w:val="00FF2025"/>
    <w:rsid w:val="00FF2111"/>
    <w:rsid w:val="00FF27A2"/>
    <w:rsid w:val="00FF27D7"/>
    <w:rsid w:val="00FF2D02"/>
    <w:rsid w:val="00FF2E66"/>
    <w:rsid w:val="00FF2F45"/>
    <w:rsid w:val="00FF30B3"/>
    <w:rsid w:val="00FF3140"/>
    <w:rsid w:val="00FF3270"/>
    <w:rsid w:val="00FF3340"/>
    <w:rsid w:val="00FF3464"/>
    <w:rsid w:val="00FF39FB"/>
    <w:rsid w:val="00FF3AD6"/>
    <w:rsid w:val="00FF3CA8"/>
    <w:rsid w:val="00FF3F26"/>
    <w:rsid w:val="00FF3FF3"/>
    <w:rsid w:val="00FF4035"/>
    <w:rsid w:val="00FF44B3"/>
    <w:rsid w:val="00FF4738"/>
    <w:rsid w:val="00FF4811"/>
    <w:rsid w:val="00FF4899"/>
    <w:rsid w:val="00FF4B2B"/>
    <w:rsid w:val="00FF4D37"/>
    <w:rsid w:val="00FF5082"/>
    <w:rsid w:val="00FF509F"/>
    <w:rsid w:val="00FF59B9"/>
    <w:rsid w:val="00FF5B35"/>
    <w:rsid w:val="00FF5CBD"/>
    <w:rsid w:val="00FF5CE6"/>
    <w:rsid w:val="00FF5D74"/>
    <w:rsid w:val="00FF5DA3"/>
    <w:rsid w:val="00FF5E22"/>
    <w:rsid w:val="00FF5ECF"/>
    <w:rsid w:val="00FF5FD1"/>
    <w:rsid w:val="00FF5FFC"/>
    <w:rsid w:val="00FF614C"/>
    <w:rsid w:val="00FF6210"/>
    <w:rsid w:val="00FF62A6"/>
    <w:rsid w:val="00FF6401"/>
    <w:rsid w:val="00FF647C"/>
    <w:rsid w:val="00FF657B"/>
    <w:rsid w:val="00FF6767"/>
    <w:rsid w:val="00FF68AF"/>
    <w:rsid w:val="00FF6C3E"/>
    <w:rsid w:val="00FF6DB1"/>
    <w:rsid w:val="00FF6E65"/>
    <w:rsid w:val="00FF7036"/>
    <w:rsid w:val="00FF7123"/>
    <w:rsid w:val="00FF7177"/>
    <w:rsid w:val="00FF71A7"/>
    <w:rsid w:val="00FF7A4B"/>
    <w:rsid w:val="00FF7A57"/>
    <w:rsid w:val="00FF7ACF"/>
    <w:rsid w:val="00FF7B5F"/>
    <w:rsid w:val="00FF7B65"/>
    <w:rsid w:val="00FF7C68"/>
    <w:rsid w:val="00FF7C8D"/>
    <w:rsid w:val="00FF7D5B"/>
    <w:rsid w:val="00FF7E4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1B79A9"/>
  <w15:docId w15:val="{E16AAB65-183B-474D-824D-40B6F93D9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200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cs="Arial Unicode MS"/>
      <w:color w:val="000000"/>
      <w:sz w:val="24"/>
      <w:szCs w:val="24"/>
      <w:u w:color="000000"/>
      <w:lang w:val="en-US"/>
    </w:rPr>
  </w:style>
  <w:style w:type="paragraph" w:customStyle="1" w:styleId="Default">
    <w:name w:val="Default"/>
    <w:rPr>
      <w:rFonts w:ascii="Helvetica Neue" w:eastAsia="Helvetica Neue" w:hAnsi="Helvetica Neue" w:cs="Helvetica Neue"/>
      <w:color w:val="000000"/>
      <w:sz w:val="22"/>
      <w:szCs w:val="22"/>
    </w:rPr>
  </w:style>
  <w:style w:type="paragraph" w:styleId="ListParagraph">
    <w:name w:val="List Paragraph"/>
    <w:pPr>
      <w:ind w:left="720"/>
    </w:pPr>
    <w:rPr>
      <w:rFonts w:ascii="Cambria" w:eastAsia="Cambria" w:hAnsi="Cambria" w:cs="Cambria"/>
      <w:color w:val="000000"/>
      <w:sz w:val="24"/>
      <w:szCs w:val="24"/>
      <w:u w:color="000000"/>
      <w:lang w:val="en-US"/>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paragraph" w:styleId="CommentText">
    <w:name w:val="annotation text"/>
    <w:basedOn w:val="Normal"/>
    <w:link w:val="CommentTextChar"/>
    <w:uiPriority w:val="99"/>
    <w:unhideWhenUsed/>
    <w:pPr>
      <w:pBdr>
        <w:top w:val="nil"/>
        <w:left w:val="nil"/>
        <w:bottom w:val="nil"/>
        <w:right w:val="nil"/>
        <w:between w:val="nil"/>
        <w:bar w:val="nil"/>
      </w:pBdr>
    </w:pPr>
    <w:rPr>
      <w:rFonts w:eastAsia="Arial Unicode MS"/>
      <w:sz w:val="20"/>
      <w:szCs w:val="20"/>
      <w:bdr w:val="nil"/>
      <w:lang w:val="en-US"/>
    </w:rPr>
  </w:style>
  <w:style w:type="character" w:customStyle="1" w:styleId="CommentTextChar">
    <w:name w:val="Comment Text Char"/>
    <w:basedOn w:val="DefaultParagraphFont"/>
    <w:link w:val="CommentText"/>
    <w:uiPriority w:val="99"/>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40B26"/>
    <w:pPr>
      <w:pBdr>
        <w:top w:val="nil"/>
        <w:left w:val="nil"/>
        <w:bottom w:val="nil"/>
        <w:right w:val="nil"/>
        <w:between w:val="nil"/>
        <w:bar w:val="nil"/>
      </w:pBdr>
    </w:pPr>
    <w:rPr>
      <w:rFonts w:ascii="Segoe UI" w:eastAsia="Arial Unicode MS" w:hAnsi="Segoe UI" w:cs="Segoe UI"/>
      <w:sz w:val="18"/>
      <w:szCs w:val="18"/>
      <w:bdr w:val="nil"/>
      <w:lang w:val="en-US"/>
    </w:rPr>
  </w:style>
  <w:style w:type="character" w:customStyle="1" w:styleId="BalloonTextChar">
    <w:name w:val="Balloon Text Char"/>
    <w:basedOn w:val="DefaultParagraphFont"/>
    <w:link w:val="BalloonText"/>
    <w:uiPriority w:val="99"/>
    <w:semiHidden/>
    <w:rsid w:val="00E40B26"/>
    <w:rPr>
      <w:rFonts w:ascii="Segoe UI" w:hAnsi="Segoe UI" w:cs="Segoe UI"/>
      <w:sz w:val="18"/>
      <w:szCs w:val="18"/>
      <w:lang w:val="en-US" w:eastAsia="en-US"/>
    </w:rPr>
  </w:style>
  <w:style w:type="paragraph" w:styleId="Revision">
    <w:name w:val="Revision"/>
    <w:hidden/>
    <w:uiPriority w:val="99"/>
    <w:semiHidden/>
    <w:rsid w:val="00E212AA"/>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CommentSubject">
    <w:name w:val="annotation subject"/>
    <w:basedOn w:val="CommentText"/>
    <w:next w:val="CommentText"/>
    <w:link w:val="CommentSubjectChar"/>
    <w:uiPriority w:val="99"/>
    <w:semiHidden/>
    <w:unhideWhenUsed/>
    <w:rsid w:val="0083061D"/>
    <w:rPr>
      <w:b/>
      <w:bCs/>
    </w:rPr>
  </w:style>
  <w:style w:type="character" w:customStyle="1" w:styleId="CommentSubjectChar">
    <w:name w:val="Comment Subject Char"/>
    <w:basedOn w:val="CommentTextChar"/>
    <w:link w:val="CommentSubject"/>
    <w:uiPriority w:val="99"/>
    <w:semiHidden/>
    <w:rsid w:val="0083061D"/>
    <w:rPr>
      <w:b/>
      <w:bCs/>
      <w:lang w:val="en-US" w:eastAsia="en-US"/>
    </w:rPr>
  </w:style>
  <w:style w:type="character" w:styleId="PlaceholderText">
    <w:name w:val="Placeholder Text"/>
    <w:basedOn w:val="DefaultParagraphFont"/>
    <w:uiPriority w:val="99"/>
    <w:semiHidden/>
    <w:rsid w:val="001A664E"/>
    <w:rPr>
      <w:color w:val="808080"/>
    </w:rPr>
  </w:style>
  <w:style w:type="table" w:styleId="TableGrid">
    <w:name w:val="Table Grid"/>
    <w:basedOn w:val="TableNormal"/>
    <w:uiPriority w:val="39"/>
    <w:rsid w:val="00901F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71470"/>
    <w:rPr>
      <w:color w:val="808080"/>
      <w:shd w:val="clear" w:color="auto" w:fill="E6E6E6"/>
    </w:rPr>
  </w:style>
  <w:style w:type="character" w:styleId="FollowedHyperlink">
    <w:name w:val="FollowedHyperlink"/>
    <w:basedOn w:val="DefaultParagraphFont"/>
    <w:uiPriority w:val="99"/>
    <w:semiHidden/>
    <w:unhideWhenUsed/>
    <w:rsid w:val="00432593"/>
    <w:rPr>
      <w:color w:val="FF00FF" w:themeColor="followedHyperlink"/>
      <w:u w:val="single"/>
    </w:rPr>
  </w:style>
  <w:style w:type="character" w:customStyle="1" w:styleId="UnresolvedMention2">
    <w:name w:val="Unresolved Mention2"/>
    <w:basedOn w:val="DefaultParagraphFont"/>
    <w:uiPriority w:val="99"/>
    <w:semiHidden/>
    <w:unhideWhenUsed/>
    <w:rsid w:val="00DA5814"/>
    <w:rPr>
      <w:color w:val="808080"/>
      <w:shd w:val="clear" w:color="auto" w:fill="E6E6E6"/>
    </w:rPr>
  </w:style>
  <w:style w:type="character" w:styleId="LineNumber">
    <w:name w:val="line number"/>
    <w:basedOn w:val="DefaultParagraphFont"/>
    <w:uiPriority w:val="99"/>
    <w:semiHidden/>
    <w:unhideWhenUsed/>
    <w:rsid w:val="00230C7E"/>
  </w:style>
  <w:style w:type="paragraph" w:styleId="Header">
    <w:name w:val="header"/>
    <w:basedOn w:val="Normal"/>
    <w:link w:val="HeaderChar"/>
    <w:uiPriority w:val="99"/>
    <w:unhideWhenUsed/>
    <w:rsid w:val="00B34260"/>
    <w:pPr>
      <w:pBdr>
        <w:top w:val="nil"/>
        <w:left w:val="nil"/>
        <w:bottom w:val="nil"/>
        <w:right w:val="nil"/>
        <w:between w:val="nil"/>
        <w:bar w:val="nil"/>
      </w:pBdr>
      <w:tabs>
        <w:tab w:val="center" w:pos="4513"/>
        <w:tab w:val="right" w:pos="9026"/>
      </w:tabs>
    </w:pPr>
    <w:rPr>
      <w:rFonts w:eastAsia="Arial Unicode MS"/>
      <w:bdr w:val="nil"/>
      <w:lang w:val="en-US"/>
    </w:rPr>
  </w:style>
  <w:style w:type="character" w:customStyle="1" w:styleId="HeaderChar">
    <w:name w:val="Header Char"/>
    <w:basedOn w:val="DefaultParagraphFont"/>
    <w:link w:val="Header"/>
    <w:uiPriority w:val="99"/>
    <w:rsid w:val="00B34260"/>
    <w:rPr>
      <w:sz w:val="24"/>
      <w:szCs w:val="24"/>
      <w:lang w:val="en-US" w:eastAsia="en-US"/>
    </w:rPr>
  </w:style>
  <w:style w:type="paragraph" w:styleId="Footer">
    <w:name w:val="footer"/>
    <w:basedOn w:val="Normal"/>
    <w:link w:val="FooterChar"/>
    <w:uiPriority w:val="99"/>
    <w:unhideWhenUsed/>
    <w:rsid w:val="00B34260"/>
    <w:pPr>
      <w:pBdr>
        <w:top w:val="nil"/>
        <w:left w:val="nil"/>
        <w:bottom w:val="nil"/>
        <w:right w:val="nil"/>
        <w:between w:val="nil"/>
        <w:bar w:val="nil"/>
      </w:pBdr>
      <w:tabs>
        <w:tab w:val="center" w:pos="4513"/>
        <w:tab w:val="right" w:pos="9026"/>
      </w:tabs>
    </w:pPr>
    <w:rPr>
      <w:rFonts w:eastAsia="Arial Unicode MS"/>
      <w:bdr w:val="nil"/>
      <w:lang w:val="en-US"/>
    </w:rPr>
  </w:style>
  <w:style w:type="character" w:customStyle="1" w:styleId="FooterChar">
    <w:name w:val="Footer Char"/>
    <w:basedOn w:val="DefaultParagraphFont"/>
    <w:link w:val="Footer"/>
    <w:uiPriority w:val="99"/>
    <w:rsid w:val="00B34260"/>
    <w:rPr>
      <w:sz w:val="24"/>
      <w:szCs w:val="24"/>
      <w:lang w:val="en-US" w:eastAsia="en-US"/>
    </w:rPr>
  </w:style>
  <w:style w:type="paragraph" w:styleId="NormalWeb">
    <w:name w:val="Normal (Web)"/>
    <w:basedOn w:val="Normal"/>
    <w:uiPriority w:val="99"/>
    <w:semiHidden/>
    <w:unhideWhenUsed/>
    <w:rsid w:val="00B60948"/>
    <w:pPr>
      <w:spacing w:before="100" w:beforeAutospacing="1" w:after="100" w:afterAutospacing="1"/>
    </w:pPr>
  </w:style>
  <w:style w:type="character" w:styleId="Strong">
    <w:name w:val="Strong"/>
    <w:basedOn w:val="DefaultParagraphFont"/>
    <w:uiPriority w:val="22"/>
    <w:qFormat/>
    <w:rsid w:val="00504422"/>
    <w:rPr>
      <w:b/>
      <w:bCs/>
    </w:rPr>
  </w:style>
  <w:style w:type="character" w:customStyle="1" w:styleId="UnresolvedMention3">
    <w:name w:val="Unresolved Mention3"/>
    <w:basedOn w:val="DefaultParagraphFont"/>
    <w:uiPriority w:val="99"/>
    <w:semiHidden/>
    <w:unhideWhenUsed/>
    <w:rsid w:val="00853698"/>
    <w:rPr>
      <w:color w:val="605E5C"/>
      <w:shd w:val="clear" w:color="auto" w:fill="E1DFDD"/>
    </w:rPr>
  </w:style>
  <w:style w:type="character" w:customStyle="1" w:styleId="UnresolvedMention4">
    <w:name w:val="Unresolved Mention4"/>
    <w:basedOn w:val="DefaultParagraphFont"/>
    <w:uiPriority w:val="99"/>
    <w:semiHidden/>
    <w:unhideWhenUsed/>
    <w:rsid w:val="00435502"/>
    <w:rPr>
      <w:color w:val="605E5C"/>
      <w:shd w:val="clear" w:color="auto" w:fill="E1DFDD"/>
    </w:rPr>
  </w:style>
  <w:style w:type="table" w:customStyle="1" w:styleId="PlainTable11">
    <w:name w:val="Plain Table 11"/>
    <w:basedOn w:val="TableNormal"/>
    <w:uiPriority w:val="99"/>
    <w:rsid w:val="004038F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99"/>
    <w:rsid w:val="00EF001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99"/>
    <w:rsid w:val="00EF0012"/>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99"/>
    <w:rsid w:val="00EF001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431308">
      <w:bodyDiv w:val="1"/>
      <w:marLeft w:val="0"/>
      <w:marRight w:val="0"/>
      <w:marTop w:val="0"/>
      <w:marBottom w:val="0"/>
      <w:divBdr>
        <w:top w:val="none" w:sz="0" w:space="0" w:color="auto"/>
        <w:left w:val="none" w:sz="0" w:space="0" w:color="auto"/>
        <w:bottom w:val="none" w:sz="0" w:space="0" w:color="auto"/>
        <w:right w:val="none" w:sz="0" w:space="0" w:color="auto"/>
      </w:divBdr>
      <w:divsChild>
        <w:div w:id="332299366">
          <w:marLeft w:val="0"/>
          <w:marRight w:val="0"/>
          <w:marTop w:val="0"/>
          <w:marBottom w:val="0"/>
          <w:divBdr>
            <w:top w:val="none" w:sz="0" w:space="0" w:color="auto"/>
            <w:left w:val="none" w:sz="0" w:space="0" w:color="auto"/>
            <w:bottom w:val="none" w:sz="0" w:space="0" w:color="auto"/>
            <w:right w:val="none" w:sz="0" w:space="0" w:color="auto"/>
          </w:divBdr>
          <w:divsChild>
            <w:div w:id="697434366">
              <w:marLeft w:val="0"/>
              <w:marRight w:val="0"/>
              <w:marTop w:val="0"/>
              <w:marBottom w:val="0"/>
              <w:divBdr>
                <w:top w:val="none" w:sz="0" w:space="0" w:color="auto"/>
                <w:left w:val="none" w:sz="0" w:space="0" w:color="auto"/>
                <w:bottom w:val="none" w:sz="0" w:space="0" w:color="auto"/>
                <w:right w:val="none" w:sz="0" w:space="0" w:color="auto"/>
              </w:divBdr>
              <w:divsChild>
                <w:div w:id="61383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59371">
      <w:bodyDiv w:val="1"/>
      <w:marLeft w:val="0"/>
      <w:marRight w:val="0"/>
      <w:marTop w:val="0"/>
      <w:marBottom w:val="0"/>
      <w:divBdr>
        <w:top w:val="none" w:sz="0" w:space="0" w:color="auto"/>
        <w:left w:val="none" w:sz="0" w:space="0" w:color="auto"/>
        <w:bottom w:val="none" w:sz="0" w:space="0" w:color="auto"/>
        <w:right w:val="none" w:sz="0" w:space="0" w:color="auto"/>
      </w:divBdr>
      <w:divsChild>
        <w:div w:id="913048489">
          <w:marLeft w:val="0"/>
          <w:marRight w:val="0"/>
          <w:marTop w:val="0"/>
          <w:marBottom w:val="0"/>
          <w:divBdr>
            <w:top w:val="none" w:sz="0" w:space="0" w:color="auto"/>
            <w:left w:val="none" w:sz="0" w:space="0" w:color="auto"/>
            <w:bottom w:val="none" w:sz="0" w:space="0" w:color="auto"/>
            <w:right w:val="none" w:sz="0" w:space="0" w:color="auto"/>
          </w:divBdr>
          <w:divsChild>
            <w:div w:id="578714354">
              <w:marLeft w:val="0"/>
              <w:marRight w:val="0"/>
              <w:marTop w:val="0"/>
              <w:marBottom w:val="0"/>
              <w:divBdr>
                <w:top w:val="none" w:sz="0" w:space="0" w:color="auto"/>
                <w:left w:val="none" w:sz="0" w:space="0" w:color="auto"/>
                <w:bottom w:val="none" w:sz="0" w:space="0" w:color="auto"/>
                <w:right w:val="none" w:sz="0" w:space="0" w:color="auto"/>
              </w:divBdr>
              <w:divsChild>
                <w:div w:id="822352995">
                  <w:marLeft w:val="0"/>
                  <w:marRight w:val="0"/>
                  <w:marTop w:val="0"/>
                  <w:marBottom w:val="0"/>
                  <w:divBdr>
                    <w:top w:val="none" w:sz="0" w:space="0" w:color="auto"/>
                    <w:left w:val="none" w:sz="0" w:space="0" w:color="auto"/>
                    <w:bottom w:val="none" w:sz="0" w:space="0" w:color="auto"/>
                    <w:right w:val="none" w:sz="0" w:space="0" w:color="auto"/>
                  </w:divBdr>
                  <w:divsChild>
                    <w:div w:id="185186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45202">
      <w:bodyDiv w:val="1"/>
      <w:marLeft w:val="0"/>
      <w:marRight w:val="0"/>
      <w:marTop w:val="0"/>
      <w:marBottom w:val="0"/>
      <w:divBdr>
        <w:top w:val="none" w:sz="0" w:space="0" w:color="auto"/>
        <w:left w:val="none" w:sz="0" w:space="0" w:color="auto"/>
        <w:bottom w:val="none" w:sz="0" w:space="0" w:color="auto"/>
        <w:right w:val="none" w:sz="0" w:space="0" w:color="auto"/>
      </w:divBdr>
      <w:divsChild>
        <w:div w:id="1167554892">
          <w:marLeft w:val="0"/>
          <w:marRight w:val="0"/>
          <w:marTop w:val="0"/>
          <w:marBottom w:val="0"/>
          <w:divBdr>
            <w:top w:val="none" w:sz="0" w:space="0" w:color="auto"/>
            <w:left w:val="none" w:sz="0" w:space="0" w:color="auto"/>
            <w:bottom w:val="none" w:sz="0" w:space="0" w:color="auto"/>
            <w:right w:val="none" w:sz="0" w:space="0" w:color="auto"/>
          </w:divBdr>
          <w:divsChild>
            <w:div w:id="103767055">
              <w:marLeft w:val="0"/>
              <w:marRight w:val="0"/>
              <w:marTop w:val="0"/>
              <w:marBottom w:val="0"/>
              <w:divBdr>
                <w:top w:val="none" w:sz="0" w:space="0" w:color="auto"/>
                <w:left w:val="none" w:sz="0" w:space="0" w:color="auto"/>
                <w:bottom w:val="none" w:sz="0" w:space="0" w:color="auto"/>
                <w:right w:val="none" w:sz="0" w:space="0" w:color="auto"/>
              </w:divBdr>
              <w:divsChild>
                <w:div w:id="68232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0965">
      <w:bodyDiv w:val="1"/>
      <w:marLeft w:val="0"/>
      <w:marRight w:val="0"/>
      <w:marTop w:val="0"/>
      <w:marBottom w:val="0"/>
      <w:divBdr>
        <w:top w:val="none" w:sz="0" w:space="0" w:color="auto"/>
        <w:left w:val="none" w:sz="0" w:space="0" w:color="auto"/>
        <w:bottom w:val="none" w:sz="0" w:space="0" w:color="auto"/>
        <w:right w:val="none" w:sz="0" w:space="0" w:color="auto"/>
      </w:divBdr>
    </w:div>
    <w:div w:id="202669545">
      <w:bodyDiv w:val="1"/>
      <w:marLeft w:val="0"/>
      <w:marRight w:val="0"/>
      <w:marTop w:val="0"/>
      <w:marBottom w:val="0"/>
      <w:divBdr>
        <w:top w:val="none" w:sz="0" w:space="0" w:color="auto"/>
        <w:left w:val="none" w:sz="0" w:space="0" w:color="auto"/>
        <w:bottom w:val="none" w:sz="0" w:space="0" w:color="auto"/>
        <w:right w:val="none" w:sz="0" w:space="0" w:color="auto"/>
      </w:divBdr>
    </w:div>
    <w:div w:id="243154147">
      <w:bodyDiv w:val="1"/>
      <w:marLeft w:val="0"/>
      <w:marRight w:val="0"/>
      <w:marTop w:val="0"/>
      <w:marBottom w:val="0"/>
      <w:divBdr>
        <w:top w:val="none" w:sz="0" w:space="0" w:color="auto"/>
        <w:left w:val="none" w:sz="0" w:space="0" w:color="auto"/>
        <w:bottom w:val="none" w:sz="0" w:space="0" w:color="auto"/>
        <w:right w:val="none" w:sz="0" w:space="0" w:color="auto"/>
      </w:divBdr>
    </w:div>
    <w:div w:id="273023540">
      <w:bodyDiv w:val="1"/>
      <w:marLeft w:val="0"/>
      <w:marRight w:val="0"/>
      <w:marTop w:val="0"/>
      <w:marBottom w:val="0"/>
      <w:divBdr>
        <w:top w:val="none" w:sz="0" w:space="0" w:color="auto"/>
        <w:left w:val="none" w:sz="0" w:space="0" w:color="auto"/>
        <w:bottom w:val="none" w:sz="0" w:space="0" w:color="auto"/>
        <w:right w:val="none" w:sz="0" w:space="0" w:color="auto"/>
      </w:divBdr>
    </w:div>
    <w:div w:id="318967353">
      <w:bodyDiv w:val="1"/>
      <w:marLeft w:val="0"/>
      <w:marRight w:val="0"/>
      <w:marTop w:val="0"/>
      <w:marBottom w:val="0"/>
      <w:divBdr>
        <w:top w:val="none" w:sz="0" w:space="0" w:color="auto"/>
        <w:left w:val="none" w:sz="0" w:space="0" w:color="auto"/>
        <w:bottom w:val="none" w:sz="0" w:space="0" w:color="auto"/>
        <w:right w:val="none" w:sz="0" w:space="0" w:color="auto"/>
      </w:divBdr>
      <w:divsChild>
        <w:div w:id="223375372">
          <w:marLeft w:val="0"/>
          <w:marRight w:val="0"/>
          <w:marTop w:val="0"/>
          <w:marBottom w:val="0"/>
          <w:divBdr>
            <w:top w:val="none" w:sz="0" w:space="0" w:color="auto"/>
            <w:left w:val="none" w:sz="0" w:space="0" w:color="auto"/>
            <w:bottom w:val="none" w:sz="0" w:space="0" w:color="auto"/>
            <w:right w:val="none" w:sz="0" w:space="0" w:color="auto"/>
          </w:divBdr>
          <w:divsChild>
            <w:div w:id="424762331">
              <w:marLeft w:val="0"/>
              <w:marRight w:val="0"/>
              <w:marTop w:val="0"/>
              <w:marBottom w:val="0"/>
              <w:divBdr>
                <w:top w:val="none" w:sz="0" w:space="0" w:color="auto"/>
                <w:left w:val="none" w:sz="0" w:space="0" w:color="auto"/>
                <w:bottom w:val="none" w:sz="0" w:space="0" w:color="auto"/>
                <w:right w:val="none" w:sz="0" w:space="0" w:color="auto"/>
              </w:divBdr>
              <w:divsChild>
                <w:div w:id="9708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743369">
      <w:bodyDiv w:val="1"/>
      <w:marLeft w:val="0"/>
      <w:marRight w:val="0"/>
      <w:marTop w:val="0"/>
      <w:marBottom w:val="0"/>
      <w:divBdr>
        <w:top w:val="none" w:sz="0" w:space="0" w:color="auto"/>
        <w:left w:val="none" w:sz="0" w:space="0" w:color="auto"/>
        <w:bottom w:val="none" w:sz="0" w:space="0" w:color="auto"/>
        <w:right w:val="none" w:sz="0" w:space="0" w:color="auto"/>
      </w:divBdr>
    </w:div>
    <w:div w:id="327514298">
      <w:bodyDiv w:val="1"/>
      <w:marLeft w:val="0"/>
      <w:marRight w:val="0"/>
      <w:marTop w:val="0"/>
      <w:marBottom w:val="0"/>
      <w:divBdr>
        <w:top w:val="none" w:sz="0" w:space="0" w:color="auto"/>
        <w:left w:val="none" w:sz="0" w:space="0" w:color="auto"/>
        <w:bottom w:val="none" w:sz="0" w:space="0" w:color="auto"/>
        <w:right w:val="none" w:sz="0" w:space="0" w:color="auto"/>
      </w:divBdr>
      <w:divsChild>
        <w:div w:id="176888434">
          <w:marLeft w:val="0"/>
          <w:marRight w:val="0"/>
          <w:marTop w:val="0"/>
          <w:marBottom w:val="0"/>
          <w:divBdr>
            <w:top w:val="none" w:sz="0" w:space="0" w:color="auto"/>
            <w:left w:val="none" w:sz="0" w:space="0" w:color="auto"/>
            <w:bottom w:val="none" w:sz="0" w:space="0" w:color="auto"/>
            <w:right w:val="none" w:sz="0" w:space="0" w:color="auto"/>
          </w:divBdr>
          <w:divsChild>
            <w:div w:id="402488449">
              <w:marLeft w:val="0"/>
              <w:marRight w:val="0"/>
              <w:marTop w:val="0"/>
              <w:marBottom w:val="0"/>
              <w:divBdr>
                <w:top w:val="none" w:sz="0" w:space="0" w:color="auto"/>
                <w:left w:val="none" w:sz="0" w:space="0" w:color="auto"/>
                <w:bottom w:val="none" w:sz="0" w:space="0" w:color="auto"/>
                <w:right w:val="none" w:sz="0" w:space="0" w:color="auto"/>
              </w:divBdr>
              <w:divsChild>
                <w:div w:id="143243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1647">
      <w:bodyDiv w:val="1"/>
      <w:marLeft w:val="0"/>
      <w:marRight w:val="0"/>
      <w:marTop w:val="0"/>
      <w:marBottom w:val="0"/>
      <w:divBdr>
        <w:top w:val="none" w:sz="0" w:space="0" w:color="auto"/>
        <w:left w:val="none" w:sz="0" w:space="0" w:color="auto"/>
        <w:bottom w:val="none" w:sz="0" w:space="0" w:color="auto"/>
        <w:right w:val="none" w:sz="0" w:space="0" w:color="auto"/>
      </w:divBdr>
      <w:divsChild>
        <w:div w:id="1955402987">
          <w:marLeft w:val="0"/>
          <w:marRight w:val="0"/>
          <w:marTop w:val="0"/>
          <w:marBottom w:val="0"/>
          <w:divBdr>
            <w:top w:val="none" w:sz="0" w:space="0" w:color="auto"/>
            <w:left w:val="none" w:sz="0" w:space="0" w:color="auto"/>
            <w:bottom w:val="none" w:sz="0" w:space="0" w:color="auto"/>
            <w:right w:val="none" w:sz="0" w:space="0" w:color="auto"/>
          </w:divBdr>
          <w:divsChild>
            <w:div w:id="1160273276">
              <w:marLeft w:val="0"/>
              <w:marRight w:val="0"/>
              <w:marTop w:val="0"/>
              <w:marBottom w:val="0"/>
              <w:divBdr>
                <w:top w:val="none" w:sz="0" w:space="0" w:color="auto"/>
                <w:left w:val="none" w:sz="0" w:space="0" w:color="auto"/>
                <w:bottom w:val="none" w:sz="0" w:space="0" w:color="auto"/>
                <w:right w:val="none" w:sz="0" w:space="0" w:color="auto"/>
              </w:divBdr>
              <w:divsChild>
                <w:div w:id="147995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957971">
      <w:bodyDiv w:val="1"/>
      <w:marLeft w:val="0"/>
      <w:marRight w:val="0"/>
      <w:marTop w:val="0"/>
      <w:marBottom w:val="0"/>
      <w:divBdr>
        <w:top w:val="none" w:sz="0" w:space="0" w:color="auto"/>
        <w:left w:val="none" w:sz="0" w:space="0" w:color="auto"/>
        <w:bottom w:val="none" w:sz="0" w:space="0" w:color="auto"/>
        <w:right w:val="none" w:sz="0" w:space="0" w:color="auto"/>
      </w:divBdr>
    </w:div>
    <w:div w:id="383990848">
      <w:bodyDiv w:val="1"/>
      <w:marLeft w:val="0"/>
      <w:marRight w:val="0"/>
      <w:marTop w:val="0"/>
      <w:marBottom w:val="0"/>
      <w:divBdr>
        <w:top w:val="none" w:sz="0" w:space="0" w:color="auto"/>
        <w:left w:val="none" w:sz="0" w:space="0" w:color="auto"/>
        <w:bottom w:val="none" w:sz="0" w:space="0" w:color="auto"/>
        <w:right w:val="none" w:sz="0" w:space="0" w:color="auto"/>
      </w:divBdr>
      <w:divsChild>
        <w:div w:id="467745833">
          <w:marLeft w:val="0"/>
          <w:marRight w:val="0"/>
          <w:marTop w:val="0"/>
          <w:marBottom w:val="0"/>
          <w:divBdr>
            <w:top w:val="none" w:sz="0" w:space="0" w:color="auto"/>
            <w:left w:val="none" w:sz="0" w:space="0" w:color="auto"/>
            <w:bottom w:val="none" w:sz="0" w:space="0" w:color="auto"/>
            <w:right w:val="none" w:sz="0" w:space="0" w:color="auto"/>
          </w:divBdr>
          <w:divsChild>
            <w:div w:id="698509270">
              <w:marLeft w:val="0"/>
              <w:marRight w:val="0"/>
              <w:marTop w:val="0"/>
              <w:marBottom w:val="0"/>
              <w:divBdr>
                <w:top w:val="none" w:sz="0" w:space="0" w:color="auto"/>
                <w:left w:val="none" w:sz="0" w:space="0" w:color="auto"/>
                <w:bottom w:val="none" w:sz="0" w:space="0" w:color="auto"/>
                <w:right w:val="none" w:sz="0" w:space="0" w:color="auto"/>
              </w:divBdr>
              <w:divsChild>
                <w:div w:id="68302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505624">
      <w:bodyDiv w:val="1"/>
      <w:marLeft w:val="0"/>
      <w:marRight w:val="0"/>
      <w:marTop w:val="0"/>
      <w:marBottom w:val="0"/>
      <w:divBdr>
        <w:top w:val="none" w:sz="0" w:space="0" w:color="auto"/>
        <w:left w:val="none" w:sz="0" w:space="0" w:color="auto"/>
        <w:bottom w:val="none" w:sz="0" w:space="0" w:color="auto"/>
        <w:right w:val="none" w:sz="0" w:space="0" w:color="auto"/>
      </w:divBdr>
      <w:divsChild>
        <w:div w:id="1451434571">
          <w:marLeft w:val="0"/>
          <w:marRight w:val="0"/>
          <w:marTop w:val="0"/>
          <w:marBottom w:val="0"/>
          <w:divBdr>
            <w:top w:val="none" w:sz="0" w:space="0" w:color="auto"/>
            <w:left w:val="none" w:sz="0" w:space="0" w:color="auto"/>
            <w:bottom w:val="none" w:sz="0" w:space="0" w:color="auto"/>
            <w:right w:val="none" w:sz="0" w:space="0" w:color="auto"/>
          </w:divBdr>
          <w:divsChild>
            <w:div w:id="1869097065">
              <w:marLeft w:val="0"/>
              <w:marRight w:val="0"/>
              <w:marTop w:val="0"/>
              <w:marBottom w:val="0"/>
              <w:divBdr>
                <w:top w:val="none" w:sz="0" w:space="0" w:color="auto"/>
                <w:left w:val="none" w:sz="0" w:space="0" w:color="auto"/>
                <w:bottom w:val="none" w:sz="0" w:space="0" w:color="auto"/>
                <w:right w:val="none" w:sz="0" w:space="0" w:color="auto"/>
              </w:divBdr>
              <w:divsChild>
                <w:div w:id="155361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950542">
      <w:bodyDiv w:val="1"/>
      <w:marLeft w:val="0"/>
      <w:marRight w:val="0"/>
      <w:marTop w:val="0"/>
      <w:marBottom w:val="0"/>
      <w:divBdr>
        <w:top w:val="none" w:sz="0" w:space="0" w:color="auto"/>
        <w:left w:val="none" w:sz="0" w:space="0" w:color="auto"/>
        <w:bottom w:val="none" w:sz="0" w:space="0" w:color="auto"/>
        <w:right w:val="none" w:sz="0" w:space="0" w:color="auto"/>
      </w:divBdr>
    </w:div>
    <w:div w:id="647246412">
      <w:bodyDiv w:val="1"/>
      <w:marLeft w:val="0"/>
      <w:marRight w:val="0"/>
      <w:marTop w:val="0"/>
      <w:marBottom w:val="0"/>
      <w:divBdr>
        <w:top w:val="none" w:sz="0" w:space="0" w:color="auto"/>
        <w:left w:val="none" w:sz="0" w:space="0" w:color="auto"/>
        <w:bottom w:val="none" w:sz="0" w:space="0" w:color="auto"/>
        <w:right w:val="none" w:sz="0" w:space="0" w:color="auto"/>
      </w:divBdr>
    </w:div>
    <w:div w:id="711467250">
      <w:bodyDiv w:val="1"/>
      <w:marLeft w:val="0"/>
      <w:marRight w:val="0"/>
      <w:marTop w:val="0"/>
      <w:marBottom w:val="0"/>
      <w:divBdr>
        <w:top w:val="none" w:sz="0" w:space="0" w:color="auto"/>
        <w:left w:val="none" w:sz="0" w:space="0" w:color="auto"/>
        <w:bottom w:val="none" w:sz="0" w:space="0" w:color="auto"/>
        <w:right w:val="none" w:sz="0" w:space="0" w:color="auto"/>
      </w:divBdr>
      <w:divsChild>
        <w:div w:id="785655538">
          <w:marLeft w:val="0"/>
          <w:marRight w:val="0"/>
          <w:marTop w:val="0"/>
          <w:marBottom w:val="0"/>
          <w:divBdr>
            <w:top w:val="none" w:sz="0" w:space="0" w:color="auto"/>
            <w:left w:val="none" w:sz="0" w:space="0" w:color="auto"/>
            <w:bottom w:val="none" w:sz="0" w:space="0" w:color="auto"/>
            <w:right w:val="none" w:sz="0" w:space="0" w:color="auto"/>
          </w:divBdr>
          <w:divsChild>
            <w:div w:id="671026088">
              <w:marLeft w:val="0"/>
              <w:marRight w:val="0"/>
              <w:marTop w:val="0"/>
              <w:marBottom w:val="0"/>
              <w:divBdr>
                <w:top w:val="none" w:sz="0" w:space="0" w:color="auto"/>
                <w:left w:val="none" w:sz="0" w:space="0" w:color="auto"/>
                <w:bottom w:val="none" w:sz="0" w:space="0" w:color="auto"/>
                <w:right w:val="none" w:sz="0" w:space="0" w:color="auto"/>
              </w:divBdr>
              <w:divsChild>
                <w:div w:id="1236865076">
                  <w:marLeft w:val="0"/>
                  <w:marRight w:val="0"/>
                  <w:marTop w:val="0"/>
                  <w:marBottom w:val="0"/>
                  <w:divBdr>
                    <w:top w:val="none" w:sz="0" w:space="0" w:color="auto"/>
                    <w:left w:val="none" w:sz="0" w:space="0" w:color="auto"/>
                    <w:bottom w:val="none" w:sz="0" w:space="0" w:color="auto"/>
                    <w:right w:val="none" w:sz="0" w:space="0" w:color="auto"/>
                  </w:divBdr>
                  <w:divsChild>
                    <w:div w:id="19681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364023">
      <w:bodyDiv w:val="1"/>
      <w:marLeft w:val="0"/>
      <w:marRight w:val="0"/>
      <w:marTop w:val="0"/>
      <w:marBottom w:val="0"/>
      <w:divBdr>
        <w:top w:val="none" w:sz="0" w:space="0" w:color="auto"/>
        <w:left w:val="none" w:sz="0" w:space="0" w:color="auto"/>
        <w:bottom w:val="none" w:sz="0" w:space="0" w:color="auto"/>
        <w:right w:val="none" w:sz="0" w:space="0" w:color="auto"/>
      </w:divBdr>
      <w:divsChild>
        <w:div w:id="814028215">
          <w:marLeft w:val="0"/>
          <w:marRight w:val="0"/>
          <w:marTop w:val="0"/>
          <w:marBottom w:val="0"/>
          <w:divBdr>
            <w:top w:val="none" w:sz="0" w:space="0" w:color="auto"/>
            <w:left w:val="none" w:sz="0" w:space="0" w:color="auto"/>
            <w:bottom w:val="none" w:sz="0" w:space="0" w:color="auto"/>
            <w:right w:val="none" w:sz="0" w:space="0" w:color="auto"/>
          </w:divBdr>
          <w:divsChild>
            <w:div w:id="838693917">
              <w:marLeft w:val="0"/>
              <w:marRight w:val="0"/>
              <w:marTop w:val="0"/>
              <w:marBottom w:val="0"/>
              <w:divBdr>
                <w:top w:val="none" w:sz="0" w:space="0" w:color="auto"/>
                <w:left w:val="none" w:sz="0" w:space="0" w:color="auto"/>
                <w:bottom w:val="none" w:sz="0" w:space="0" w:color="auto"/>
                <w:right w:val="none" w:sz="0" w:space="0" w:color="auto"/>
              </w:divBdr>
              <w:divsChild>
                <w:div w:id="192198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9311013">
      <w:bodyDiv w:val="1"/>
      <w:marLeft w:val="0"/>
      <w:marRight w:val="0"/>
      <w:marTop w:val="0"/>
      <w:marBottom w:val="0"/>
      <w:divBdr>
        <w:top w:val="none" w:sz="0" w:space="0" w:color="auto"/>
        <w:left w:val="none" w:sz="0" w:space="0" w:color="auto"/>
        <w:bottom w:val="none" w:sz="0" w:space="0" w:color="auto"/>
        <w:right w:val="none" w:sz="0" w:space="0" w:color="auto"/>
      </w:divBdr>
      <w:divsChild>
        <w:div w:id="666859182">
          <w:marLeft w:val="0"/>
          <w:marRight w:val="0"/>
          <w:marTop w:val="0"/>
          <w:marBottom w:val="0"/>
          <w:divBdr>
            <w:top w:val="none" w:sz="0" w:space="0" w:color="auto"/>
            <w:left w:val="none" w:sz="0" w:space="0" w:color="auto"/>
            <w:bottom w:val="none" w:sz="0" w:space="0" w:color="auto"/>
            <w:right w:val="none" w:sz="0" w:space="0" w:color="auto"/>
          </w:divBdr>
          <w:divsChild>
            <w:div w:id="1957565959">
              <w:marLeft w:val="0"/>
              <w:marRight w:val="0"/>
              <w:marTop w:val="0"/>
              <w:marBottom w:val="0"/>
              <w:divBdr>
                <w:top w:val="none" w:sz="0" w:space="0" w:color="auto"/>
                <w:left w:val="none" w:sz="0" w:space="0" w:color="auto"/>
                <w:bottom w:val="none" w:sz="0" w:space="0" w:color="auto"/>
                <w:right w:val="none" w:sz="0" w:space="0" w:color="auto"/>
              </w:divBdr>
              <w:divsChild>
                <w:div w:id="29965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11330">
      <w:bodyDiv w:val="1"/>
      <w:marLeft w:val="0"/>
      <w:marRight w:val="0"/>
      <w:marTop w:val="0"/>
      <w:marBottom w:val="0"/>
      <w:divBdr>
        <w:top w:val="none" w:sz="0" w:space="0" w:color="auto"/>
        <w:left w:val="none" w:sz="0" w:space="0" w:color="auto"/>
        <w:bottom w:val="none" w:sz="0" w:space="0" w:color="auto"/>
        <w:right w:val="none" w:sz="0" w:space="0" w:color="auto"/>
      </w:divBdr>
    </w:div>
    <w:div w:id="776947443">
      <w:bodyDiv w:val="1"/>
      <w:marLeft w:val="0"/>
      <w:marRight w:val="0"/>
      <w:marTop w:val="0"/>
      <w:marBottom w:val="0"/>
      <w:divBdr>
        <w:top w:val="none" w:sz="0" w:space="0" w:color="auto"/>
        <w:left w:val="none" w:sz="0" w:space="0" w:color="auto"/>
        <w:bottom w:val="none" w:sz="0" w:space="0" w:color="auto"/>
        <w:right w:val="none" w:sz="0" w:space="0" w:color="auto"/>
      </w:divBdr>
      <w:divsChild>
        <w:div w:id="568197778">
          <w:marLeft w:val="0"/>
          <w:marRight w:val="0"/>
          <w:marTop w:val="0"/>
          <w:marBottom w:val="0"/>
          <w:divBdr>
            <w:top w:val="none" w:sz="0" w:space="0" w:color="auto"/>
            <w:left w:val="none" w:sz="0" w:space="0" w:color="auto"/>
            <w:bottom w:val="none" w:sz="0" w:space="0" w:color="auto"/>
            <w:right w:val="none" w:sz="0" w:space="0" w:color="auto"/>
          </w:divBdr>
          <w:divsChild>
            <w:div w:id="1759397977">
              <w:marLeft w:val="0"/>
              <w:marRight w:val="0"/>
              <w:marTop w:val="0"/>
              <w:marBottom w:val="0"/>
              <w:divBdr>
                <w:top w:val="none" w:sz="0" w:space="0" w:color="auto"/>
                <w:left w:val="none" w:sz="0" w:space="0" w:color="auto"/>
                <w:bottom w:val="none" w:sz="0" w:space="0" w:color="auto"/>
                <w:right w:val="none" w:sz="0" w:space="0" w:color="auto"/>
              </w:divBdr>
              <w:divsChild>
                <w:div w:id="197717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228241">
      <w:bodyDiv w:val="1"/>
      <w:marLeft w:val="0"/>
      <w:marRight w:val="0"/>
      <w:marTop w:val="0"/>
      <w:marBottom w:val="0"/>
      <w:divBdr>
        <w:top w:val="none" w:sz="0" w:space="0" w:color="auto"/>
        <w:left w:val="none" w:sz="0" w:space="0" w:color="auto"/>
        <w:bottom w:val="none" w:sz="0" w:space="0" w:color="auto"/>
        <w:right w:val="none" w:sz="0" w:space="0" w:color="auto"/>
      </w:divBdr>
    </w:div>
    <w:div w:id="909197497">
      <w:bodyDiv w:val="1"/>
      <w:marLeft w:val="0"/>
      <w:marRight w:val="0"/>
      <w:marTop w:val="0"/>
      <w:marBottom w:val="0"/>
      <w:divBdr>
        <w:top w:val="none" w:sz="0" w:space="0" w:color="auto"/>
        <w:left w:val="none" w:sz="0" w:space="0" w:color="auto"/>
        <w:bottom w:val="none" w:sz="0" w:space="0" w:color="auto"/>
        <w:right w:val="none" w:sz="0" w:space="0" w:color="auto"/>
      </w:divBdr>
    </w:div>
    <w:div w:id="1038697278">
      <w:bodyDiv w:val="1"/>
      <w:marLeft w:val="0"/>
      <w:marRight w:val="0"/>
      <w:marTop w:val="0"/>
      <w:marBottom w:val="0"/>
      <w:divBdr>
        <w:top w:val="none" w:sz="0" w:space="0" w:color="auto"/>
        <w:left w:val="none" w:sz="0" w:space="0" w:color="auto"/>
        <w:bottom w:val="none" w:sz="0" w:space="0" w:color="auto"/>
        <w:right w:val="none" w:sz="0" w:space="0" w:color="auto"/>
      </w:divBdr>
    </w:div>
    <w:div w:id="1069302351">
      <w:bodyDiv w:val="1"/>
      <w:marLeft w:val="0"/>
      <w:marRight w:val="0"/>
      <w:marTop w:val="0"/>
      <w:marBottom w:val="0"/>
      <w:divBdr>
        <w:top w:val="none" w:sz="0" w:space="0" w:color="auto"/>
        <w:left w:val="none" w:sz="0" w:space="0" w:color="auto"/>
        <w:bottom w:val="none" w:sz="0" w:space="0" w:color="auto"/>
        <w:right w:val="none" w:sz="0" w:space="0" w:color="auto"/>
      </w:divBdr>
      <w:divsChild>
        <w:div w:id="378670850">
          <w:marLeft w:val="0"/>
          <w:marRight w:val="0"/>
          <w:marTop w:val="0"/>
          <w:marBottom w:val="0"/>
          <w:divBdr>
            <w:top w:val="none" w:sz="0" w:space="0" w:color="auto"/>
            <w:left w:val="none" w:sz="0" w:space="0" w:color="auto"/>
            <w:bottom w:val="none" w:sz="0" w:space="0" w:color="auto"/>
            <w:right w:val="none" w:sz="0" w:space="0" w:color="auto"/>
          </w:divBdr>
          <w:divsChild>
            <w:div w:id="1018846018">
              <w:marLeft w:val="0"/>
              <w:marRight w:val="0"/>
              <w:marTop w:val="0"/>
              <w:marBottom w:val="0"/>
              <w:divBdr>
                <w:top w:val="none" w:sz="0" w:space="0" w:color="auto"/>
                <w:left w:val="none" w:sz="0" w:space="0" w:color="auto"/>
                <w:bottom w:val="none" w:sz="0" w:space="0" w:color="auto"/>
                <w:right w:val="none" w:sz="0" w:space="0" w:color="auto"/>
              </w:divBdr>
              <w:divsChild>
                <w:div w:id="147830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93847">
      <w:bodyDiv w:val="1"/>
      <w:marLeft w:val="0"/>
      <w:marRight w:val="0"/>
      <w:marTop w:val="0"/>
      <w:marBottom w:val="0"/>
      <w:divBdr>
        <w:top w:val="none" w:sz="0" w:space="0" w:color="auto"/>
        <w:left w:val="none" w:sz="0" w:space="0" w:color="auto"/>
        <w:bottom w:val="none" w:sz="0" w:space="0" w:color="auto"/>
        <w:right w:val="none" w:sz="0" w:space="0" w:color="auto"/>
      </w:divBdr>
    </w:div>
    <w:div w:id="1163932645">
      <w:bodyDiv w:val="1"/>
      <w:marLeft w:val="0"/>
      <w:marRight w:val="0"/>
      <w:marTop w:val="0"/>
      <w:marBottom w:val="0"/>
      <w:divBdr>
        <w:top w:val="none" w:sz="0" w:space="0" w:color="auto"/>
        <w:left w:val="none" w:sz="0" w:space="0" w:color="auto"/>
        <w:bottom w:val="none" w:sz="0" w:space="0" w:color="auto"/>
        <w:right w:val="none" w:sz="0" w:space="0" w:color="auto"/>
      </w:divBdr>
    </w:div>
    <w:div w:id="1178890983">
      <w:bodyDiv w:val="1"/>
      <w:marLeft w:val="0"/>
      <w:marRight w:val="0"/>
      <w:marTop w:val="0"/>
      <w:marBottom w:val="0"/>
      <w:divBdr>
        <w:top w:val="none" w:sz="0" w:space="0" w:color="auto"/>
        <w:left w:val="none" w:sz="0" w:space="0" w:color="auto"/>
        <w:bottom w:val="none" w:sz="0" w:space="0" w:color="auto"/>
        <w:right w:val="none" w:sz="0" w:space="0" w:color="auto"/>
      </w:divBdr>
      <w:divsChild>
        <w:div w:id="2029982770">
          <w:marLeft w:val="0"/>
          <w:marRight w:val="0"/>
          <w:marTop w:val="0"/>
          <w:marBottom w:val="0"/>
          <w:divBdr>
            <w:top w:val="none" w:sz="0" w:space="0" w:color="auto"/>
            <w:left w:val="none" w:sz="0" w:space="0" w:color="auto"/>
            <w:bottom w:val="none" w:sz="0" w:space="0" w:color="auto"/>
            <w:right w:val="none" w:sz="0" w:space="0" w:color="auto"/>
          </w:divBdr>
          <w:divsChild>
            <w:div w:id="1809780874">
              <w:marLeft w:val="0"/>
              <w:marRight w:val="0"/>
              <w:marTop w:val="0"/>
              <w:marBottom w:val="0"/>
              <w:divBdr>
                <w:top w:val="none" w:sz="0" w:space="0" w:color="auto"/>
                <w:left w:val="none" w:sz="0" w:space="0" w:color="auto"/>
                <w:bottom w:val="none" w:sz="0" w:space="0" w:color="auto"/>
                <w:right w:val="none" w:sz="0" w:space="0" w:color="auto"/>
              </w:divBdr>
              <w:divsChild>
                <w:div w:id="171187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0537">
      <w:bodyDiv w:val="1"/>
      <w:marLeft w:val="0"/>
      <w:marRight w:val="0"/>
      <w:marTop w:val="0"/>
      <w:marBottom w:val="0"/>
      <w:divBdr>
        <w:top w:val="none" w:sz="0" w:space="0" w:color="auto"/>
        <w:left w:val="none" w:sz="0" w:space="0" w:color="auto"/>
        <w:bottom w:val="none" w:sz="0" w:space="0" w:color="auto"/>
        <w:right w:val="none" w:sz="0" w:space="0" w:color="auto"/>
      </w:divBdr>
    </w:div>
    <w:div w:id="1400320631">
      <w:bodyDiv w:val="1"/>
      <w:marLeft w:val="0"/>
      <w:marRight w:val="0"/>
      <w:marTop w:val="0"/>
      <w:marBottom w:val="0"/>
      <w:divBdr>
        <w:top w:val="none" w:sz="0" w:space="0" w:color="auto"/>
        <w:left w:val="none" w:sz="0" w:space="0" w:color="auto"/>
        <w:bottom w:val="none" w:sz="0" w:space="0" w:color="auto"/>
        <w:right w:val="none" w:sz="0" w:space="0" w:color="auto"/>
      </w:divBdr>
      <w:divsChild>
        <w:div w:id="345834433">
          <w:marLeft w:val="0"/>
          <w:marRight w:val="0"/>
          <w:marTop w:val="0"/>
          <w:marBottom w:val="0"/>
          <w:divBdr>
            <w:top w:val="none" w:sz="0" w:space="0" w:color="auto"/>
            <w:left w:val="none" w:sz="0" w:space="0" w:color="auto"/>
            <w:bottom w:val="none" w:sz="0" w:space="0" w:color="auto"/>
            <w:right w:val="none" w:sz="0" w:space="0" w:color="auto"/>
          </w:divBdr>
        </w:div>
        <w:div w:id="375474623">
          <w:marLeft w:val="0"/>
          <w:marRight w:val="0"/>
          <w:marTop w:val="0"/>
          <w:marBottom w:val="0"/>
          <w:divBdr>
            <w:top w:val="none" w:sz="0" w:space="0" w:color="auto"/>
            <w:left w:val="none" w:sz="0" w:space="0" w:color="auto"/>
            <w:bottom w:val="none" w:sz="0" w:space="0" w:color="auto"/>
            <w:right w:val="none" w:sz="0" w:space="0" w:color="auto"/>
          </w:divBdr>
        </w:div>
        <w:div w:id="1303197765">
          <w:marLeft w:val="0"/>
          <w:marRight w:val="0"/>
          <w:marTop w:val="0"/>
          <w:marBottom w:val="0"/>
          <w:divBdr>
            <w:top w:val="none" w:sz="0" w:space="0" w:color="auto"/>
            <w:left w:val="none" w:sz="0" w:space="0" w:color="auto"/>
            <w:bottom w:val="none" w:sz="0" w:space="0" w:color="auto"/>
            <w:right w:val="none" w:sz="0" w:space="0" w:color="auto"/>
          </w:divBdr>
        </w:div>
      </w:divsChild>
    </w:div>
    <w:div w:id="1513567719">
      <w:bodyDiv w:val="1"/>
      <w:marLeft w:val="0"/>
      <w:marRight w:val="0"/>
      <w:marTop w:val="0"/>
      <w:marBottom w:val="0"/>
      <w:divBdr>
        <w:top w:val="none" w:sz="0" w:space="0" w:color="auto"/>
        <w:left w:val="none" w:sz="0" w:space="0" w:color="auto"/>
        <w:bottom w:val="none" w:sz="0" w:space="0" w:color="auto"/>
        <w:right w:val="none" w:sz="0" w:space="0" w:color="auto"/>
      </w:divBdr>
      <w:divsChild>
        <w:div w:id="1902131333">
          <w:marLeft w:val="0"/>
          <w:marRight w:val="0"/>
          <w:marTop w:val="0"/>
          <w:marBottom w:val="0"/>
          <w:divBdr>
            <w:top w:val="none" w:sz="0" w:space="0" w:color="auto"/>
            <w:left w:val="none" w:sz="0" w:space="0" w:color="auto"/>
            <w:bottom w:val="none" w:sz="0" w:space="0" w:color="auto"/>
            <w:right w:val="none" w:sz="0" w:space="0" w:color="auto"/>
          </w:divBdr>
          <w:divsChild>
            <w:div w:id="1358896833">
              <w:marLeft w:val="0"/>
              <w:marRight w:val="0"/>
              <w:marTop w:val="0"/>
              <w:marBottom w:val="0"/>
              <w:divBdr>
                <w:top w:val="none" w:sz="0" w:space="0" w:color="auto"/>
                <w:left w:val="none" w:sz="0" w:space="0" w:color="auto"/>
                <w:bottom w:val="none" w:sz="0" w:space="0" w:color="auto"/>
                <w:right w:val="none" w:sz="0" w:space="0" w:color="auto"/>
              </w:divBdr>
              <w:divsChild>
                <w:div w:id="679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945063">
      <w:bodyDiv w:val="1"/>
      <w:marLeft w:val="0"/>
      <w:marRight w:val="0"/>
      <w:marTop w:val="0"/>
      <w:marBottom w:val="0"/>
      <w:divBdr>
        <w:top w:val="none" w:sz="0" w:space="0" w:color="auto"/>
        <w:left w:val="none" w:sz="0" w:space="0" w:color="auto"/>
        <w:bottom w:val="none" w:sz="0" w:space="0" w:color="auto"/>
        <w:right w:val="none" w:sz="0" w:space="0" w:color="auto"/>
      </w:divBdr>
      <w:divsChild>
        <w:div w:id="686951804">
          <w:marLeft w:val="0"/>
          <w:marRight w:val="0"/>
          <w:marTop w:val="0"/>
          <w:marBottom w:val="0"/>
          <w:divBdr>
            <w:top w:val="none" w:sz="0" w:space="0" w:color="auto"/>
            <w:left w:val="none" w:sz="0" w:space="0" w:color="auto"/>
            <w:bottom w:val="none" w:sz="0" w:space="0" w:color="auto"/>
            <w:right w:val="none" w:sz="0" w:space="0" w:color="auto"/>
          </w:divBdr>
          <w:divsChild>
            <w:div w:id="1329483702">
              <w:marLeft w:val="0"/>
              <w:marRight w:val="0"/>
              <w:marTop w:val="0"/>
              <w:marBottom w:val="0"/>
              <w:divBdr>
                <w:top w:val="none" w:sz="0" w:space="0" w:color="auto"/>
                <w:left w:val="none" w:sz="0" w:space="0" w:color="auto"/>
                <w:bottom w:val="none" w:sz="0" w:space="0" w:color="auto"/>
                <w:right w:val="none" w:sz="0" w:space="0" w:color="auto"/>
              </w:divBdr>
              <w:divsChild>
                <w:div w:id="89766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100066">
      <w:bodyDiv w:val="1"/>
      <w:marLeft w:val="0"/>
      <w:marRight w:val="0"/>
      <w:marTop w:val="0"/>
      <w:marBottom w:val="0"/>
      <w:divBdr>
        <w:top w:val="none" w:sz="0" w:space="0" w:color="auto"/>
        <w:left w:val="none" w:sz="0" w:space="0" w:color="auto"/>
        <w:bottom w:val="none" w:sz="0" w:space="0" w:color="auto"/>
        <w:right w:val="none" w:sz="0" w:space="0" w:color="auto"/>
      </w:divBdr>
      <w:divsChild>
        <w:div w:id="59982958">
          <w:marLeft w:val="0"/>
          <w:marRight w:val="0"/>
          <w:marTop w:val="0"/>
          <w:marBottom w:val="0"/>
          <w:divBdr>
            <w:top w:val="none" w:sz="0" w:space="0" w:color="auto"/>
            <w:left w:val="none" w:sz="0" w:space="0" w:color="auto"/>
            <w:bottom w:val="none" w:sz="0" w:space="0" w:color="auto"/>
            <w:right w:val="none" w:sz="0" w:space="0" w:color="auto"/>
          </w:divBdr>
          <w:divsChild>
            <w:div w:id="1183327712">
              <w:marLeft w:val="0"/>
              <w:marRight w:val="0"/>
              <w:marTop w:val="0"/>
              <w:marBottom w:val="0"/>
              <w:divBdr>
                <w:top w:val="none" w:sz="0" w:space="0" w:color="auto"/>
                <w:left w:val="none" w:sz="0" w:space="0" w:color="auto"/>
                <w:bottom w:val="none" w:sz="0" w:space="0" w:color="auto"/>
                <w:right w:val="none" w:sz="0" w:space="0" w:color="auto"/>
              </w:divBdr>
              <w:divsChild>
                <w:div w:id="189353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4221353">
      <w:bodyDiv w:val="1"/>
      <w:marLeft w:val="0"/>
      <w:marRight w:val="0"/>
      <w:marTop w:val="0"/>
      <w:marBottom w:val="0"/>
      <w:divBdr>
        <w:top w:val="none" w:sz="0" w:space="0" w:color="auto"/>
        <w:left w:val="none" w:sz="0" w:space="0" w:color="auto"/>
        <w:bottom w:val="none" w:sz="0" w:space="0" w:color="auto"/>
        <w:right w:val="none" w:sz="0" w:space="0" w:color="auto"/>
      </w:divBdr>
    </w:div>
    <w:div w:id="1616405979">
      <w:bodyDiv w:val="1"/>
      <w:marLeft w:val="0"/>
      <w:marRight w:val="0"/>
      <w:marTop w:val="0"/>
      <w:marBottom w:val="0"/>
      <w:divBdr>
        <w:top w:val="none" w:sz="0" w:space="0" w:color="auto"/>
        <w:left w:val="none" w:sz="0" w:space="0" w:color="auto"/>
        <w:bottom w:val="none" w:sz="0" w:space="0" w:color="auto"/>
        <w:right w:val="none" w:sz="0" w:space="0" w:color="auto"/>
      </w:divBdr>
      <w:divsChild>
        <w:div w:id="1160198948">
          <w:marLeft w:val="0"/>
          <w:marRight w:val="0"/>
          <w:marTop w:val="0"/>
          <w:marBottom w:val="0"/>
          <w:divBdr>
            <w:top w:val="none" w:sz="0" w:space="0" w:color="auto"/>
            <w:left w:val="none" w:sz="0" w:space="0" w:color="auto"/>
            <w:bottom w:val="none" w:sz="0" w:space="0" w:color="auto"/>
            <w:right w:val="none" w:sz="0" w:space="0" w:color="auto"/>
          </w:divBdr>
          <w:divsChild>
            <w:div w:id="972442144">
              <w:marLeft w:val="0"/>
              <w:marRight w:val="0"/>
              <w:marTop w:val="0"/>
              <w:marBottom w:val="0"/>
              <w:divBdr>
                <w:top w:val="none" w:sz="0" w:space="0" w:color="auto"/>
                <w:left w:val="none" w:sz="0" w:space="0" w:color="auto"/>
                <w:bottom w:val="none" w:sz="0" w:space="0" w:color="auto"/>
                <w:right w:val="none" w:sz="0" w:space="0" w:color="auto"/>
              </w:divBdr>
              <w:divsChild>
                <w:div w:id="131479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248974">
      <w:bodyDiv w:val="1"/>
      <w:marLeft w:val="0"/>
      <w:marRight w:val="0"/>
      <w:marTop w:val="0"/>
      <w:marBottom w:val="0"/>
      <w:divBdr>
        <w:top w:val="none" w:sz="0" w:space="0" w:color="auto"/>
        <w:left w:val="none" w:sz="0" w:space="0" w:color="auto"/>
        <w:bottom w:val="none" w:sz="0" w:space="0" w:color="auto"/>
        <w:right w:val="none" w:sz="0" w:space="0" w:color="auto"/>
      </w:divBdr>
    </w:div>
    <w:div w:id="1785032537">
      <w:bodyDiv w:val="1"/>
      <w:marLeft w:val="0"/>
      <w:marRight w:val="0"/>
      <w:marTop w:val="0"/>
      <w:marBottom w:val="0"/>
      <w:divBdr>
        <w:top w:val="none" w:sz="0" w:space="0" w:color="auto"/>
        <w:left w:val="none" w:sz="0" w:space="0" w:color="auto"/>
        <w:bottom w:val="none" w:sz="0" w:space="0" w:color="auto"/>
        <w:right w:val="none" w:sz="0" w:space="0" w:color="auto"/>
      </w:divBdr>
    </w:div>
    <w:div w:id="1787655315">
      <w:bodyDiv w:val="1"/>
      <w:marLeft w:val="0"/>
      <w:marRight w:val="0"/>
      <w:marTop w:val="0"/>
      <w:marBottom w:val="0"/>
      <w:divBdr>
        <w:top w:val="none" w:sz="0" w:space="0" w:color="auto"/>
        <w:left w:val="none" w:sz="0" w:space="0" w:color="auto"/>
        <w:bottom w:val="none" w:sz="0" w:space="0" w:color="auto"/>
        <w:right w:val="none" w:sz="0" w:space="0" w:color="auto"/>
      </w:divBdr>
    </w:div>
    <w:div w:id="1828323597">
      <w:bodyDiv w:val="1"/>
      <w:marLeft w:val="0"/>
      <w:marRight w:val="0"/>
      <w:marTop w:val="0"/>
      <w:marBottom w:val="0"/>
      <w:divBdr>
        <w:top w:val="none" w:sz="0" w:space="0" w:color="auto"/>
        <w:left w:val="none" w:sz="0" w:space="0" w:color="auto"/>
        <w:bottom w:val="none" w:sz="0" w:space="0" w:color="auto"/>
        <w:right w:val="none" w:sz="0" w:space="0" w:color="auto"/>
      </w:divBdr>
      <w:divsChild>
        <w:div w:id="1262881168">
          <w:marLeft w:val="0"/>
          <w:marRight w:val="0"/>
          <w:marTop w:val="0"/>
          <w:marBottom w:val="0"/>
          <w:divBdr>
            <w:top w:val="none" w:sz="0" w:space="0" w:color="auto"/>
            <w:left w:val="none" w:sz="0" w:space="0" w:color="auto"/>
            <w:bottom w:val="none" w:sz="0" w:space="0" w:color="auto"/>
            <w:right w:val="none" w:sz="0" w:space="0" w:color="auto"/>
          </w:divBdr>
          <w:divsChild>
            <w:div w:id="335504083">
              <w:marLeft w:val="0"/>
              <w:marRight w:val="0"/>
              <w:marTop w:val="0"/>
              <w:marBottom w:val="0"/>
              <w:divBdr>
                <w:top w:val="none" w:sz="0" w:space="0" w:color="auto"/>
                <w:left w:val="none" w:sz="0" w:space="0" w:color="auto"/>
                <w:bottom w:val="none" w:sz="0" w:space="0" w:color="auto"/>
                <w:right w:val="none" w:sz="0" w:space="0" w:color="auto"/>
              </w:divBdr>
              <w:divsChild>
                <w:div w:id="95741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458886">
      <w:bodyDiv w:val="1"/>
      <w:marLeft w:val="0"/>
      <w:marRight w:val="0"/>
      <w:marTop w:val="0"/>
      <w:marBottom w:val="0"/>
      <w:divBdr>
        <w:top w:val="none" w:sz="0" w:space="0" w:color="auto"/>
        <w:left w:val="none" w:sz="0" w:space="0" w:color="auto"/>
        <w:bottom w:val="none" w:sz="0" w:space="0" w:color="auto"/>
        <w:right w:val="none" w:sz="0" w:space="0" w:color="auto"/>
      </w:divBdr>
    </w:div>
    <w:div w:id="2004553275">
      <w:bodyDiv w:val="1"/>
      <w:marLeft w:val="0"/>
      <w:marRight w:val="0"/>
      <w:marTop w:val="0"/>
      <w:marBottom w:val="0"/>
      <w:divBdr>
        <w:top w:val="none" w:sz="0" w:space="0" w:color="auto"/>
        <w:left w:val="none" w:sz="0" w:space="0" w:color="auto"/>
        <w:bottom w:val="none" w:sz="0" w:space="0" w:color="auto"/>
        <w:right w:val="none" w:sz="0" w:space="0" w:color="auto"/>
      </w:divBdr>
      <w:divsChild>
        <w:div w:id="1414233997">
          <w:marLeft w:val="0"/>
          <w:marRight w:val="0"/>
          <w:marTop w:val="0"/>
          <w:marBottom w:val="0"/>
          <w:divBdr>
            <w:top w:val="none" w:sz="0" w:space="0" w:color="auto"/>
            <w:left w:val="none" w:sz="0" w:space="0" w:color="auto"/>
            <w:bottom w:val="none" w:sz="0" w:space="0" w:color="auto"/>
            <w:right w:val="none" w:sz="0" w:space="0" w:color="auto"/>
          </w:divBdr>
          <w:divsChild>
            <w:div w:id="1865512817">
              <w:marLeft w:val="0"/>
              <w:marRight w:val="0"/>
              <w:marTop w:val="0"/>
              <w:marBottom w:val="0"/>
              <w:divBdr>
                <w:top w:val="none" w:sz="0" w:space="0" w:color="auto"/>
                <w:left w:val="none" w:sz="0" w:space="0" w:color="auto"/>
                <w:bottom w:val="none" w:sz="0" w:space="0" w:color="auto"/>
                <w:right w:val="none" w:sz="0" w:space="0" w:color="auto"/>
              </w:divBdr>
              <w:divsChild>
                <w:div w:id="93185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dc.noaa.gov/dataaccess/paleoclimatology-data/datasets/tree-ring" TargetMode="External"/><Relationship Id="rId13" Type="http://schemas.openxmlformats.org/officeDocument/2006/relationships/image" Target="media/image1.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rippsco2.ucsd.edu/data/atmospheric_co2/primary_mlo_co2_record;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ippsco2.ucsd.edu/data/atmospheric_co2/primary_mlo_co2_record;l"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crippsco2.ucsd.edu/data/atmospheric_co2/icecore_merged_products" TargetMode="External"/><Relationship Id="rId4" Type="http://schemas.openxmlformats.org/officeDocument/2006/relationships/settings" Target="settings.xml"/><Relationship Id="rId9" Type="http://schemas.openxmlformats.org/officeDocument/2006/relationships/hyperlink" Target="http://fluxnet.fluxdata.org/data" TargetMode="External"/><Relationship Id="rId14" Type="http://schemas.openxmlformats.org/officeDocument/2006/relationships/image" Target="media/image2.jpeg"/></Relationships>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hème Office">
      <a:majorFont>
        <a:latin typeface="Helvetica Neue"/>
        <a:ea typeface="Helvetica Neue"/>
        <a:cs typeface="Helvetica Neue"/>
      </a:majorFont>
      <a:minorFont>
        <a:latin typeface="Helvetica Neue"/>
        <a:ea typeface="Helvetica Neue"/>
        <a:cs typeface="Helvetica Neue"/>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2E9E2E-79AA-4040-950E-F8AED368CD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105922</Words>
  <Characters>603760</Characters>
  <Application>Microsoft Office Word</Application>
  <DocSecurity>0</DocSecurity>
  <Lines>5031</Lines>
  <Paragraphs>1416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708266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HGraven</dc:creator>
  <cp:lastModifiedBy>Sanders, Natalie E</cp:lastModifiedBy>
  <cp:revision>2</cp:revision>
  <cp:lastPrinted>2019-03-25T12:38:00Z</cp:lastPrinted>
  <dcterms:created xsi:type="dcterms:W3CDTF">2019-04-01T15:45:00Z</dcterms:created>
  <dcterms:modified xsi:type="dcterms:W3CDTF">2019-04-01T15:45:00Z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http://www.zotero.org/styles/global-change-biology</vt:lpwstr>
  </property>
  <property fmtid="{D5CDD505-2E9C-101B-9397-08002B2CF9AE}" pid="9" name="Mendeley Recent Style Name 3_1">
    <vt:lpwstr>Global Change Biology</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http://www.zotero.org/styles/journal-of-geophysical-research-biogeosciences</vt:lpwstr>
  </property>
  <property fmtid="{D5CDD505-2E9C-101B-9397-08002B2CF9AE}" pid="13" name="Mendeley Recent Style Name 5_1">
    <vt:lpwstr>Journal of Geophysical Research: Biogeosciences</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http://www.zotero.org/styles/new-phytologist</vt:lpwstr>
  </property>
  <property fmtid="{D5CDD505-2E9C-101B-9397-08002B2CF9AE}" pid="21" name="Mendeley Recent Style Name 9_1">
    <vt:lpwstr>New Phytologist</vt:lpwstr>
  </property>
  <property fmtid="{D5CDD505-2E9C-101B-9397-08002B2CF9AE}" pid="22" name="Mendeley Document_1">
    <vt:lpwstr>True</vt:lpwstr>
  </property>
  <property fmtid="{D5CDD505-2E9C-101B-9397-08002B2CF9AE}" pid="23" name="Mendeley Unique User Id_1">
    <vt:lpwstr>f261549c-b5ca-3c27-bfee-9c5ed33806fa</vt:lpwstr>
  </property>
  <property fmtid="{D5CDD505-2E9C-101B-9397-08002B2CF9AE}" pid="24" name="Mendeley Citation Style_1">
    <vt:lpwstr>http://www.zotero.org/styles/global-change-biology</vt:lpwstr>
  </property>
</Properties>
</file>