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2A2" w:rsidRPr="00BE6A33" w:rsidRDefault="006E52A2" w:rsidP="006E52A2">
      <w:pPr>
        <w:spacing w:before="240" w:line="480" w:lineRule="auto"/>
        <w:jc w:val="both"/>
        <w:rPr>
          <w:rFonts w:ascii="Times New Roman" w:hAnsi="Times New Roman" w:cs="Times New Roman"/>
          <w:sz w:val="28"/>
          <w:szCs w:val="28"/>
        </w:rPr>
      </w:pPr>
      <w:bookmarkStart w:id="0" w:name="_GoBack"/>
      <w:bookmarkEnd w:id="0"/>
      <w:r>
        <w:rPr>
          <w:rFonts w:ascii="Times New Roman" w:hAnsi="Times New Roman" w:cs="Times New Roman"/>
          <w:bCs/>
          <w:sz w:val="28"/>
          <w:szCs w:val="28"/>
        </w:rPr>
        <w:t xml:space="preserve">Appendix S1: </w:t>
      </w:r>
      <w:r w:rsidR="00BE6A33">
        <w:rPr>
          <w:rFonts w:ascii="Times New Roman" w:hAnsi="Times New Roman" w:cs="Times New Roman"/>
          <w:bCs/>
          <w:sz w:val="28"/>
          <w:szCs w:val="28"/>
        </w:rPr>
        <w:t>‘</w:t>
      </w:r>
      <w:r>
        <w:rPr>
          <w:rFonts w:ascii="Times New Roman" w:hAnsi="Times New Roman" w:cs="Times New Roman"/>
          <w:sz w:val="28"/>
          <w:szCs w:val="28"/>
        </w:rPr>
        <w:t>Relationships among hydroclimatic variables</w:t>
      </w:r>
      <w:r w:rsidR="00BE6A33">
        <w:rPr>
          <w:rFonts w:ascii="Times New Roman" w:hAnsi="Times New Roman" w:cs="Times New Roman"/>
          <w:sz w:val="28"/>
          <w:szCs w:val="28"/>
        </w:rPr>
        <w:t xml:space="preserve">’ </w:t>
      </w:r>
      <w:r w:rsidRPr="001770A5">
        <w:rPr>
          <w:rFonts w:cs="Calibri"/>
          <w:bCs/>
          <w:sz w:val="28"/>
          <w:szCs w:val="28"/>
          <w:lang w:val="en-US"/>
        </w:rPr>
        <w:t>to manuscript entitled</w:t>
      </w:r>
      <w:r w:rsidRPr="000B42D5">
        <w:rPr>
          <w:rFonts w:ascii="Times New Roman" w:hAnsi="Times New Roman" w:cs="Times New Roman"/>
          <w:bCs/>
          <w:sz w:val="28"/>
          <w:szCs w:val="28"/>
        </w:rPr>
        <w:t>:</w:t>
      </w:r>
      <w:r w:rsidRPr="000B42D5">
        <w:rPr>
          <w:rFonts w:ascii="Calibri" w:hAnsi="Calibri" w:cs="Calibri"/>
          <w:b/>
          <w:bCs/>
          <w:sz w:val="28"/>
          <w:szCs w:val="28"/>
        </w:rPr>
        <w:t xml:space="preserve"> </w:t>
      </w:r>
    </w:p>
    <w:p w:rsidR="006E52A2" w:rsidRPr="001770A5" w:rsidRDefault="006E52A2" w:rsidP="006E52A2">
      <w:pPr>
        <w:spacing w:before="240" w:line="480" w:lineRule="auto"/>
        <w:jc w:val="both"/>
        <w:rPr>
          <w:rFonts w:ascii="Calibri" w:hAnsi="Calibri" w:cs="Calibri"/>
          <w:sz w:val="28"/>
          <w:szCs w:val="28"/>
        </w:rPr>
      </w:pPr>
      <w:r>
        <w:rPr>
          <w:rFonts w:ascii="Calibri" w:hAnsi="Calibri" w:cs="Calibri"/>
          <w:b/>
          <w:bCs/>
          <w:sz w:val="28"/>
          <w:szCs w:val="28"/>
        </w:rPr>
        <w:t>Balancing the costs of carbon gain and water transport: testing a new theoretical framework for plant functional ecology</w:t>
      </w:r>
    </w:p>
    <w:p w:rsidR="006E52A2" w:rsidRDefault="006E52A2" w:rsidP="006E52A2">
      <w:pPr>
        <w:spacing w:before="240" w:line="480" w:lineRule="auto"/>
        <w:rPr>
          <w:rFonts w:ascii="Calibri" w:hAnsi="Calibri" w:cs="Calibri"/>
          <w:sz w:val="28"/>
          <w:szCs w:val="28"/>
          <w:vertAlign w:val="superscript"/>
        </w:rPr>
      </w:pPr>
      <w:r>
        <w:rPr>
          <w:rFonts w:ascii="Calibri" w:hAnsi="Calibri" w:cs="Calibri"/>
          <w:sz w:val="28"/>
          <w:szCs w:val="28"/>
        </w:rPr>
        <w:t>I. Colin Prentice</w:t>
      </w:r>
      <w:r>
        <w:rPr>
          <w:rFonts w:ascii="Calibri" w:hAnsi="Calibri" w:cs="Calibri"/>
          <w:sz w:val="28"/>
          <w:szCs w:val="28"/>
          <w:vertAlign w:val="superscript"/>
        </w:rPr>
        <w:t>1,2</w:t>
      </w:r>
      <w:r>
        <w:rPr>
          <w:rFonts w:ascii="Calibri" w:hAnsi="Calibri" w:cs="Calibri"/>
          <w:sz w:val="28"/>
          <w:szCs w:val="28"/>
        </w:rPr>
        <w:t>, Ning Dong</w:t>
      </w:r>
      <w:r>
        <w:rPr>
          <w:rFonts w:ascii="Calibri" w:hAnsi="Calibri" w:cs="Calibri"/>
          <w:sz w:val="28"/>
          <w:szCs w:val="28"/>
          <w:vertAlign w:val="superscript"/>
        </w:rPr>
        <w:t>1</w:t>
      </w:r>
      <w:r>
        <w:rPr>
          <w:rFonts w:ascii="Calibri" w:hAnsi="Calibri" w:cs="Calibri"/>
          <w:sz w:val="28"/>
          <w:szCs w:val="28"/>
        </w:rPr>
        <w:t>, Sean M. Gleason</w:t>
      </w:r>
      <w:r>
        <w:rPr>
          <w:rFonts w:ascii="Calibri" w:hAnsi="Calibri" w:cs="Calibri"/>
          <w:sz w:val="28"/>
          <w:szCs w:val="28"/>
          <w:vertAlign w:val="superscript"/>
        </w:rPr>
        <w:t>1</w:t>
      </w:r>
      <w:r>
        <w:rPr>
          <w:rFonts w:ascii="Calibri" w:hAnsi="Calibri" w:cs="Calibri"/>
          <w:sz w:val="28"/>
          <w:szCs w:val="28"/>
        </w:rPr>
        <w:t>, Vincent Maire</w:t>
      </w:r>
      <w:r>
        <w:rPr>
          <w:rFonts w:ascii="Calibri" w:hAnsi="Calibri" w:cs="Calibri"/>
          <w:sz w:val="28"/>
          <w:szCs w:val="28"/>
          <w:vertAlign w:val="superscript"/>
        </w:rPr>
        <w:t>1</w:t>
      </w:r>
      <w:r>
        <w:rPr>
          <w:rFonts w:ascii="Calibri" w:hAnsi="Calibri" w:cs="Calibri"/>
          <w:sz w:val="28"/>
          <w:szCs w:val="28"/>
        </w:rPr>
        <w:t xml:space="preserve"> and Ian J. Wright</w:t>
      </w:r>
      <w:r>
        <w:rPr>
          <w:rFonts w:ascii="Calibri" w:hAnsi="Calibri" w:cs="Calibri"/>
          <w:sz w:val="28"/>
          <w:szCs w:val="28"/>
          <w:vertAlign w:val="superscript"/>
        </w:rPr>
        <w:t>1</w:t>
      </w:r>
    </w:p>
    <w:p w:rsidR="006E52A2" w:rsidRPr="00782DB4" w:rsidRDefault="006E52A2" w:rsidP="006E52A2">
      <w:pPr>
        <w:spacing w:before="240" w:line="480" w:lineRule="auto"/>
        <w:rPr>
          <w:rFonts w:ascii="Calibri" w:hAnsi="Calibri" w:cs="Calibri"/>
        </w:rPr>
      </w:pPr>
      <w:r w:rsidRPr="00782DB4">
        <w:rPr>
          <w:rFonts w:ascii="Calibri" w:hAnsi="Calibri" w:cs="Calibri"/>
          <w:vertAlign w:val="superscript"/>
        </w:rPr>
        <w:t>1</w:t>
      </w:r>
      <w:r w:rsidRPr="00782DB4">
        <w:rPr>
          <w:rFonts w:ascii="Calibri" w:hAnsi="Calibri" w:cs="Calibri"/>
        </w:rPr>
        <w:t>Department of Biological Sciences, Macquarie University, North Ryde, NSW 2109, Australia</w:t>
      </w:r>
    </w:p>
    <w:p w:rsidR="006E52A2" w:rsidRDefault="006E52A2" w:rsidP="006E52A2">
      <w:pPr>
        <w:spacing w:line="480" w:lineRule="auto"/>
        <w:rPr>
          <w:rFonts w:ascii="Calibri" w:hAnsi="Calibri" w:cs="Calibri"/>
        </w:rPr>
      </w:pPr>
      <w:r w:rsidRPr="00782DB4">
        <w:rPr>
          <w:rFonts w:ascii="Calibri" w:hAnsi="Calibri" w:cs="Calibri"/>
          <w:vertAlign w:val="superscript"/>
        </w:rPr>
        <w:t>2</w:t>
      </w:r>
      <w:r>
        <w:rPr>
          <w:rFonts w:ascii="Calibri" w:hAnsi="Calibri" w:cs="Calibri"/>
        </w:rPr>
        <w:t xml:space="preserve">AXA Chair of Biosphere and Climate Impacts, </w:t>
      </w:r>
      <w:r w:rsidRPr="00782DB4">
        <w:rPr>
          <w:rFonts w:ascii="Calibri" w:hAnsi="Calibri" w:cs="Calibri"/>
        </w:rPr>
        <w:t>Department of Life Sciences</w:t>
      </w:r>
      <w:r>
        <w:rPr>
          <w:rFonts w:ascii="Calibri" w:hAnsi="Calibri" w:cs="Calibri"/>
        </w:rPr>
        <w:t xml:space="preserve"> and </w:t>
      </w:r>
      <w:r w:rsidRPr="00782DB4">
        <w:rPr>
          <w:rFonts w:ascii="Calibri" w:hAnsi="Calibri" w:cs="Calibri"/>
        </w:rPr>
        <w:t xml:space="preserve">Grantham Institute for Climate Change, Imperial College, </w:t>
      </w:r>
      <w:proofErr w:type="spellStart"/>
      <w:r w:rsidRPr="00782DB4">
        <w:rPr>
          <w:rFonts w:ascii="Calibri" w:hAnsi="Calibri" w:cs="Calibri"/>
        </w:rPr>
        <w:t>Silwood</w:t>
      </w:r>
      <w:proofErr w:type="spellEnd"/>
      <w:r w:rsidRPr="00782DB4">
        <w:rPr>
          <w:rFonts w:ascii="Calibri" w:hAnsi="Calibri" w:cs="Calibri"/>
        </w:rPr>
        <w:t xml:space="preserve"> Park, Ascot SL5 7PY, UK</w:t>
      </w:r>
    </w:p>
    <w:p w:rsidR="006E52A2" w:rsidRDefault="006E52A2" w:rsidP="006E52A2">
      <w:pPr>
        <w:spacing w:before="240" w:line="480" w:lineRule="auto"/>
        <w:jc w:val="both"/>
        <w:rPr>
          <w:rFonts w:ascii="Times New Roman" w:hAnsi="Times New Roman" w:cs="Times New Roman"/>
          <w:sz w:val="28"/>
          <w:szCs w:val="28"/>
        </w:rPr>
      </w:pPr>
      <w:r>
        <w:rPr>
          <w:rFonts w:ascii="Times New Roman" w:hAnsi="Times New Roman" w:cs="Times New Roman"/>
          <w:bCs/>
          <w:sz w:val="28"/>
          <w:szCs w:val="28"/>
        </w:rPr>
        <w:br w:type="page"/>
      </w:r>
    </w:p>
    <w:p w:rsidR="006E52A2" w:rsidRDefault="006E52A2" w:rsidP="006E52A2">
      <w:pPr>
        <w:spacing w:before="240" w:line="480" w:lineRule="auto"/>
        <w:jc w:val="both"/>
        <w:rPr>
          <w:rFonts w:ascii="Calibri" w:hAnsi="Calibri" w:cs="Calibri"/>
          <w:i/>
          <w:iCs/>
        </w:rPr>
      </w:pPr>
      <w:r>
        <w:rPr>
          <w:rFonts w:ascii="Calibri" w:hAnsi="Calibri" w:cs="Calibri"/>
          <w:i/>
          <w:iCs/>
        </w:rPr>
        <w:lastRenderedPageBreak/>
        <w:t>Principles</w:t>
      </w:r>
    </w:p>
    <w:p w:rsidR="006E52A2" w:rsidRPr="004858AC" w:rsidRDefault="006E52A2" w:rsidP="006E52A2">
      <w:pPr>
        <w:spacing w:before="240" w:line="480" w:lineRule="auto"/>
        <w:jc w:val="both"/>
        <w:rPr>
          <w:rFonts w:ascii="Calibri" w:hAnsi="Calibri" w:cs="Calibri"/>
          <w:i/>
          <w:iCs/>
        </w:rPr>
      </w:pPr>
      <w:r>
        <w:rPr>
          <w:rFonts w:ascii="Times New Roman" w:hAnsi="Times New Roman" w:cs="Times New Roman"/>
          <w:szCs w:val="28"/>
        </w:rPr>
        <w:t xml:space="preserve">Transpiration depends on </w:t>
      </w:r>
      <w:r>
        <w:rPr>
          <w:rFonts w:ascii="Times New Roman" w:hAnsi="Times New Roman" w:cs="Times New Roman"/>
          <w:i/>
          <w:szCs w:val="28"/>
        </w:rPr>
        <w:t>D</w:t>
      </w:r>
      <w:r>
        <w:rPr>
          <w:rFonts w:ascii="Times New Roman" w:hAnsi="Times New Roman" w:cs="Times New Roman"/>
          <w:szCs w:val="28"/>
        </w:rPr>
        <w:t xml:space="preserve"> and </w:t>
      </w:r>
      <w:proofErr w:type="spellStart"/>
      <w:r>
        <w:rPr>
          <w:rFonts w:ascii="Times New Roman" w:hAnsi="Times New Roman" w:cs="Times New Roman"/>
          <w:i/>
          <w:szCs w:val="28"/>
        </w:rPr>
        <w:t>g</w:t>
      </w:r>
      <w:r>
        <w:rPr>
          <w:rFonts w:ascii="Times New Roman" w:hAnsi="Times New Roman" w:cs="Times New Roman"/>
          <w:i/>
          <w:szCs w:val="28"/>
          <w:vertAlign w:val="subscript"/>
        </w:rPr>
        <w:t>s</w:t>
      </w:r>
      <w:proofErr w:type="spellEnd"/>
      <w:r>
        <w:rPr>
          <w:rFonts w:ascii="Times New Roman" w:hAnsi="Times New Roman" w:cs="Times New Roman"/>
          <w:szCs w:val="28"/>
        </w:rPr>
        <w:t xml:space="preserve"> according to Fick’s law:</w:t>
      </w:r>
    </w:p>
    <w:p w:rsidR="006E52A2" w:rsidRDefault="006E52A2" w:rsidP="006E52A2">
      <w:pPr>
        <w:spacing w:before="240" w:line="480" w:lineRule="auto"/>
        <w:jc w:val="both"/>
        <w:rPr>
          <w:rFonts w:ascii="Times New Roman" w:hAnsi="Times New Roman" w:cs="Times New Roman"/>
          <w:szCs w:val="28"/>
        </w:rPr>
      </w:pPr>
      <w:r>
        <w:rPr>
          <w:rFonts w:ascii="Times New Roman" w:hAnsi="Times New Roman" w:cs="Times New Roman"/>
          <w:i/>
          <w:szCs w:val="28"/>
        </w:rPr>
        <w:t>E</w:t>
      </w:r>
      <w:r>
        <w:rPr>
          <w:rFonts w:ascii="Times New Roman" w:hAnsi="Times New Roman" w:cs="Times New Roman"/>
          <w:szCs w:val="28"/>
        </w:rPr>
        <w:t xml:space="preserve">  =  1.6 </w:t>
      </w:r>
      <w:proofErr w:type="spellStart"/>
      <w:r>
        <w:rPr>
          <w:rFonts w:ascii="Times New Roman" w:hAnsi="Times New Roman" w:cs="Times New Roman"/>
          <w:i/>
          <w:szCs w:val="28"/>
        </w:rPr>
        <w:t>g</w:t>
      </w:r>
      <w:r>
        <w:rPr>
          <w:rFonts w:ascii="Times New Roman" w:hAnsi="Times New Roman" w:cs="Times New Roman"/>
          <w:i/>
          <w:szCs w:val="28"/>
          <w:vertAlign w:val="subscript"/>
        </w:rPr>
        <w:t>s</w:t>
      </w:r>
      <w:r>
        <w:rPr>
          <w:rFonts w:ascii="Times New Roman" w:hAnsi="Times New Roman" w:cs="Times New Roman"/>
          <w:i/>
          <w:szCs w:val="28"/>
        </w:rPr>
        <w:t>D</w:t>
      </w:r>
      <w:proofErr w:type="spellEnd"/>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r>
      <w:r>
        <w:rPr>
          <w:rFonts w:ascii="Times New Roman" w:hAnsi="Times New Roman" w:cs="Times New Roman"/>
          <w:szCs w:val="28"/>
        </w:rPr>
        <w:tab/>
        <w:t>(S1.1)</w:t>
      </w:r>
      <w:r>
        <w:rPr>
          <w:rFonts w:ascii="Times New Roman" w:hAnsi="Times New Roman" w:cs="Times New Roman"/>
          <w:szCs w:val="28"/>
        </w:rPr>
        <w:tab/>
      </w:r>
    </w:p>
    <w:p w:rsidR="006E52A2" w:rsidRPr="0061365B" w:rsidRDefault="006E52A2" w:rsidP="006E52A2">
      <w:pPr>
        <w:spacing w:before="240" w:line="480" w:lineRule="auto"/>
        <w:jc w:val="both"/>
        <w:rPr>
          <w:rFonts w:ascii="Times New Roman" w:hAnsi="Times New Roman" w:cs="Times New Roman"/>
          <w:i/>
          <w:szCs w:val="28"/>
        </w:rPr>
      </w:pPr>
      <w:r>
        <w:rPr>
          <w:rFonts w:ascii="Times New Roman" w:hAnsi="Times New Roman" w:cs="Times New Roman"/>
          <w:szCs w:val="28"/>
        </w:rPr>
        <w:t xml:space="preserve">Here </w:t>
      </w:r>
      <w:proofErr w:type="spellStart"/>
      <w:r>
        <w:rPr>
          <w:rFonts w:ascii="Times New Roman" w:hAnsi="Times New Roman" w:cs="Times New Roman"/>
          <w:i/>
          <w:szCs w:val="28"/>
        </w:rPr>
        <w:t>g</w:t>
      </w:r>
      <w:r>
        <w:rPr>
          <w:rFonts w:ascii="Times New Roman" w:hAnsi="Times New Roman" w:cs="Times New Roman"/>
          <w:i/>
          <w:szCs w:val="28"/>
          <w:vertAlign w:val="subscript"/>
        </w:rPr>
        <w:t>s</w:t>
      </w:r>
      <w:proofErr w:type="spellEnd"/>
      <w:r>
        <w:rPr>
          <w:rFonts w:ascii="Times New Roman" w:hAnsi="Times New Roman" w:cs="Times New Roman"/>
          <w:i/>
          <w:szCs w:val="28"/>
        </w:rPr>
        <w:t xml:space="preserve"> </w:t>
      </w:r>
      <w:r>
        <w:rPr>
          <w:rFonts w:ascii="Times New Roman" w:hAnsi="Times New Roman" w:cs="Times New Roman"/>
          <w:szCs w:val="28"/>
        </w:rPr>
        <w:t>refers to stomatal conductance to CO</w:t>
      </w:r>
      <w:r>
        <w:rPr>
          <w:rFonts w:ascii="Times New Roman" w:hAnsi="Times New Roman" w:cs="Times New Roman"/>
          <w:szCs w:val="28"/>
          <w:vertAlign w:val="subscript"/>
        </w:rPr>
        <w:t>2</w:t>
      </w:r>
      <w:r>
        <w:rPr>
          <w:rFonts w:ascii="Times New Roman" w:hAnsi="Times New Roman" w:cs="Times New Roman"/>
          <w:szCs w:val="28"/>
        </w:rPr>
        <w:t xml:space="preserve"> (hence the factor 1.6, as water vapour diffuses faster </w:t>
      </w:r>
      <w:proofErr w:type="spellStart"/>
      <w:r>
        <w:rPr>
          <w:rFonts w:ascii="Times New Roman" w:hAnsi="Times New Roman" w:cs="Times New Roman"/>
          <w:szCs w:val="28"/>
        </w:rPr>
        <w:t>then</w:t>
      </w:r>
      <w:proofErr w:type="spellEnd"/>
      <w:r>
        <w:rPr>
          <w:rFonts w:ascii="Times New Roman" w:hAnsi="Times New Roman" w:cs="Times New Roman"/>
          <w:szCs w:val="28"/>
        </w:rPr>
        <w:t xml:space="preserve"> CO</w:t>
      </w:r>
      <w:r>
        <w:rPr>
          <w:rFonts w:ascii="Times New Roman" w:hAnsi="Times New Roman" w:cs="Times New Roman"/>
          <w:szCs w:val="28"/>
          <w:vertAlign w:val="subscript"/>
        </w:rPr>
        <w:t>2</w:t>
      </w:r>
      <w:r>
        <w:rPr>
          <w:rFonts w:ascii="Times New Roman" w:hAnsi="Times New Roman" w:cs="Times New Roman"/>
          <w:szCs w:val="28"/>
        </w:rPr>
        <w:t xml:space="preserve">) and </w:t>
      </w:r>
      <w:r>
        <w:rPr>
          <w:rFonts w:ascii="Times New Roman" w:hAnsi="Times New Roman" w:cs="Times New Roman"/>
          <w:i/>
          <w:szCs w:val="28"/>
        </w:rPr>
        <w:t>D</w:t>
      </w:r>
      <w:r>
        <w:rPr>
          <w:rFonts w:ascii="Times New Roman" w:hAnsi="Times New Roman" w:cs="Times New Roman"/>
          <w:szCs w:val="28"/>
        </w:rPr>
        <w:t xml:space="preserve"> refers to the immediate driving force for transpiration, which is the vapour pressure deficit of the air surrounding the leaf. The vapour pressure deficit is (</w:t>
      </w:r>
      <w:r>
        <w:rPr>
          <w:rFonts w:ascii="Times New Roman" w:hAnsi="Times New Roman" w:cs="Times New Roman"/>
          <w:i/>
          <w:szCs w:val="28"/>
        </w:rPr>
        <w:t>e</w:t>
      </w:r>
      <w:r>
        <w:rPr>
          <w:rFonts w:ascii="Times New Roman" w:hAnsi="Times New Roman" w:cs="Times New Roman"/>
          <w:i/>
          <w:szCs w:val="28"/>
          <w:vertAlign w:val="subscript"/>
        </w:rPr>
        <w:t>s</w:t>
      </w:r>
      <w:r>
        <w:rPr>
          <w:rFonts w:ascii="Times New Roman" w:hAnsi="Times New Roman" w:cs="Times New Roman"/>
          <w:i/>
          <w:szCs w:val="28"/>
        </w:rPr>
        <w:t xml:space="preserve"> </w:t>
      </w:r>
      <w:r>
        <w:rPr>
          <w:rFonts w:ascii="Times New Roman" w:hAnsi="Times New Roman" w:cs="Times New Roman"/>
          <w:szCs w:val="28"/>
        </w:rPr>
        <w:sym w:font="Symbol" w:char="F02D"/>
      </w:r>
      <w:r>
        <w:rPr>
          <w:rFonts w:ascii="Times New Roman" w:hAnsi="Times New Roman" w:cs="Times New Roman"/>
          <w:szCs w:val="28"/>
        </w:rPr>
        <w:t xml:space="preserve"> </w:t>
      </w:r>
      <w:proofErr w:type="spellStart"/>
      <w:r>
        <w:rPr>
          <w:rFonts w:ascii="Times New Roman" w:hAnsi="Times New Roman" w:cs="Times New Roman"/>
          <w:i/>
          <w:szCs w:val="28"/>
        </w:rPr>
        <w:t>e</w:t>
      </w:r>
      <w:r>
        <w:rPr>
          <w:rFonts w:ascii="Times New Roman" w:hAnsi="Times New Roman" w:cs="Times New Roman"/>
          <w:i/>
          <w:szCs w:val="28"/>
          <w:vertAlign w:val="subscript"/>
        </w:rPr>
        <w:t>a</w:t>
      </w:r>
      <w:proofErr w:type="spellEnd"/>
      <w:r>
        <w:rPr>
          <w:rFonts w:ascii="Times New Roman" w:hAnsi="Times New Roman" w:cs="Times New Roman"/>
          <w:szCs w:val="28"/>
        </w:rPr>
        <w:t xml:space="preserve">) where </w:t>
      </w:r>
      <w:r>
        <w:rPr>
          <w:rFonts w:ascii="Times New Roman" w:hAnsi="Times New Roman" w:cs="Times New Roman"/>
          <w:i/>
          <w:szCs w:val="28"/>
        </w:rPr>
        <w:t>e</w:t>
      </w:r>
      <w:r>
        <w:rPr>
          <w:rFonts w:ascii="Times New Roman" w:hAnsi="Times New Roman" w:cs="Times New Roman"/>
          <w:i/>
          <w:szCs w:val="28"/>
          <w:vertAlign w:val="subscript"/>
        </w:rPr>
        <w:t>s</w:t>
      </w:r>
      <w:r>
        <w:rPr>
          <w:rFonts w:ascii="Times New Roman" w:hAnsi="Times New Roman" w:cs="Times New Roman"/>
          <w:szCs w:val="28"/>
        </w:rPr>
        <w:t xml:space="preserve"> is the saturated vapour pressure of water at the current temperature, and </w:t>
      </w:r>
      <w:proofErr w:type="spellStart"/>
      <w:r>
        <w:rPr>
          <w:rFonts w:ascii="Times New Roman" w:hAnsi="Times New Roman" w:cs="Times New Roman"/>
          <w:i/>
          <w:szCs w:val="28"/>
        </w:rPr>
        <w:t>e</w:t>
      </w:r>
      <w:r>
        <w:rPr>
          <w:rFonts w:ascii="Times New Roman" w:hAnsi="Times New Roman" w:cs="Times New Roman"/>
          <w:i/>
          <w:szCs w:val="28"/>
          <w:vertAlign w:val="subscript"/>
        </w:rPr>
        <w:t>a</w:t>
      </w:r>
      <w:proofErr w:type="spellEnd"/>
      <w:r>
        <w:rPr>
          <w:rFonts w:ascii="Times New Roman" w:hAnsi="Times New Roman" w:cs="Times New Roman"/>
          <w:i/>
          <w:szCs w:val="28"/>
        </w:rPr>
        <w:t xml:space="preserve"> </w:t>
      </w:r>
      <w:r>
        <w:rPr>
          <w:rFonts w:ascii="Times New Roman" w:hAnsi="Times New Roman" w:cs="Times New Roman"/>
          <w:szCs w:val="28"/>
        </w:rPr>
        <w:t xml:space="preserve">is the actual vapour pressure. The units of </w:t>
      </w:r>
      <w:r>
        <w:rPr>
          <w:rFonts w:ascii="Times New Roman" w:hAnsi="Times New Roman" w:cs="Times New Roman"/>
          <w:i/>
          <w:szCs w:val="28"/>
        </w:rPr>
        <w:t>D</w:t>
      </w:r>
      <w:r>
        <w:rPr>
          <w:rFonts w:ascii="Times New Roman" w:hAnsi="Times New Roman" w:cs="Times New Roman"/>
          <w:szCs w:val="28"/>
        </w:rPr>
        <w:t xml:space="preserve"> in equation (S1.1) are implicitly mol mol</w:t>
      </w:r>
      <w:r>
        <w:rPr>
          <w:rFonts w:ascii="Times New Roman" w:hAnsi="Times New Roman" w:cs="Times New Roman"/>
          <w:szCs w:val="28"/>
          <w:vertAlign w:val="superscript"/>
        </w:rPr>
        <w:t>-1</w:t>
      </w:r>
      <w:r>
        <w:rPr>
          <w:rFonts w:ascii="Times New Roman" w:hAnsi="Times New Roman" w:cs="Times New Roman"/>
          <w:szCs w:val="28"/>
        </w:rPr>
        <w:t xml:space="preserve"> but values measured in kPa can be readily converted to these units through division by the atmospheric pressure. </w:t>
      </w:r>
      <w:r>
        <w:rPr>
          <w:rFonts w:ascii="Times New Roman" w:hAnsi="Times New Roman" w:cs="Times New Roman"/>
          <w:i/>
          <w:szCs w:val="28"/>
        </w:rPr>
        <w:t>D</w:t>
      </w:r>
      <w:r>
        <w:rPr>
          <w:rFonts w:ascii="Times New Roman" w:hAnsi="Times New Roman" w:cs="Times New Roman"/>
          <w:szCs w:val="28"/>
        </w:rPr>
        <w:t xml:space="preserve"> varies rapidly on a </w:t>
      </w:r>
      <w:proofErr w:type="spellStart"/>
      <w:r>
        <w:rPr>
          <w:rFonts w:ascii="Times New Roman" w:hAnsi="Times New Roman" w:cs="Times New Roman"/>
          <w:szCs w:val="28"/>
        </w:rPr>
        <w:t>subdaily</w:t>
      </w:r>
      <w:proofErr w:type="spellEnd"/>
      <w:r>
        <w:rPr>
          <w:rFonts w:ascii="Times New Roman" w:hAnsi="Times New Roman" w:cs="Times New Roman"/>
          <w:szCs w:val="28"/>
        </w:rPr>
        <w:t xml:space="preserve"> time scale, above all due to variations in temperature which cause the saturated vapour pressure to change over a much larger range than the actual vapour pressure. Actual vapour pressure varies more slowly, in part according to weather conditions, and in part in response to the total evaporation rate from the surrounding land surface. Thus although vapour pressure deficit is highly dynamic on short time scales, when considered over large areas and timescales of months, variations in </w:t>
      </w:r>
      <w:r>
        <w:rPr>
          <w:rFonts w:ascii="Times New Roman" w:hAnsi="Times New Roman" w:cs="Times New Roman"/>
          <w:i/>
          <w:szCs w:val="28"/>
        </w:rPr>
        <w:t>D</w:t>
      </w:r>
      <w:r>
        <w:rPr>
          <w:rFonts w:ascii="Times New Roman" w:hAnsi="Times New Roman" w:cs="Times New Roman"/>
          <w:szCs w:val="28"/>
        </w:rPr>
        <w:t xml:space="preserve"> are expected to follow trends in the availability of water for evaporation and transpiration. So for example extended rainy periods are expected to be accompanied by mainly low values of </w:t>
      </w:r>
      <w:r>
        <w:rPr>
          <w:rFonts w:ascii="Times New Roman" w:hAnsi="Times New Roman" w:cs="Times New Roman"/>
          <w:i/>
          <w:szCs w:val="28"/>
        </w:rPr>
        <w:t>D</w:t>
      </w:r>
      <w:r>
        <w:rPr>
          <w:rFonts w:ascii="Times New Roman" w:hAnsi="Times New Roman" w:cs="Times New Roman"/>
          <w:szCs w:val="28"/>
        </w:rPr>
        <w:t xml:space="preserve">, while droughts will be accompanied by higher values of </w:t>
      </w:r>
      <w:r>
        <w:rPr>
          <w:rFonts w:ascii="Times New Roman" w:hAnsi="Times New Roman" w:cs="Times New Roman"/>
          <w:i/>
          <w:szCs w:val="28"/>
        </w:rPr>
        <w:t>D.</w:t>
      </w:r>
    </w:p>
    <w:p w:rsidR="006E52A2" w:rsidRDefault="006E52A2" w:rsidP="006E52A2">
      <w:pPr>
        <w:spacing w:before="240" w:line="480" w:lineRule="auto"/>
        <w:jc w:val="both"/>
        <w:rPr>
          <w:rFonts w:ascii="Times New Roman" w:hAnsi="Times New Roman" w:cs="Times New Roman"/>
          <w:szCs w:val="28"/>
        </w:rPr>
      </w:pPr>
      <w:r>
        <w:rPr>
          <w:rFonts w:ascii="Times New Roman" w:hAnsi="Times New Roman" w:cs="Times New Roman"/>
          <w:i/>
          <w:szCs w:val="28"/>
        </w:rPr>
        <w:t>E</w:t>
      </w:r>
      <w:r>
        <w:rPr>
          <w:rFonts w:ascii="Times New Roman" w:hAnsi="Times New Roman" w:cs="Times New Roman"/>
          <w:szCs w:val="28"/>
        </w:rPr>
        <w:t xml:space="preserve"> in equation (S1.1) refers to the instantaneous rate of water loss from the leaf by diffusion through the stomata. We are interested in the relationship between local, instantaneous fluxes and larger-scale, longer-term average quantities that can be derived from climate data. Large-scale actual evaporation (</w:t>
      </w:r>
      <w:proofErr w:type="spellStart"/>
      <w:r>
        <w:rPr>
          <w:rFonts w:ascii="Times New Roman" w:hAnsi="Times New Roman" w:cs="Times New Roman"/>
          <w:i/>
          <w:szCs w:val="28"/>
        </w:rPr>
        <w:t>E</w:t>
      </w:r>
      <w:r>
        <w:rPr>
          <w:rFonts w:ascii="Times New Roman" w:hAnsi="Times New Roman" w:cs="Times New Roman"/>
          <w:i/>
          <w:szCs w:val="28"/>
          <w:vertAlign w:val="subscript"/>
        </w:rPr>
        <w:t>a</w:t>
      </w:r>
      <w:proofErr w:type="spellEnd"/>
      <w:r>
        <w:rPr>
          <w:rFonts w:ascii="Times New Roman" w:hAnsi="Times New Roman" w:cs="Times New Roman"/>
          <w:szCs w:val="28"/>
        </w:rPr>
        <w:t xml:space="preserve">) includes transpiration, but also includes water loss from wet leaf surfaces during and after rain (interception) and by evaporation from the ground surface and </w:t>
      </w:r>
      <w:r>
        <w:rPr>
          <w:rFonts w:ascii="Times New Roman" w:hAnsi="Times New Roman" w:cs="Times New Roman"/>
          <w:szCs w:val="28"/>
        </w:rPr>
        <w:lastRenderedPageBreak/>
        <w:t xml:space="preserve">open water, if present. </w:t>
      </w:r>
      <w:proofErr w:type="spellStart"/>
      <w:r>
        <w:rPr>
          <w:rFonts w:ascii="Times New Roman" w:hAnsi="Times New Roman" w:cs="Times New Roman"/>
          <w:i/>
        </w:rPr>
        <w:t>E</w:t>
      </w:r>
      <w:r>
        <w:rPr>
          <w:rFonts w:ascii="Times New Roman" w:hAnsi="Times New Roman" w:cs="Times New Roman"/>
          <w:i/>
          <w:vertAlign w:val="subscript"/>
        </w:rPr>
        <w:t>a</w:t>
      </w:r>
      <w:proofErr w:type="spellEnd"/>
      <w:r>
        <w:rPr>
          <w:rFonts w:ascii="Times New Roman" w:hAnsi="Times New Roman" w:cs="Times New Roman"/>
          <w:i/>
        </w:rPr>
        <w:t xml:space="preserve"> </w:t>
      </w:r>
      <w:r>
        <w:rPr>
          <w:rFonts w:ascii="Times New Roman" w:hAnsi="Times New Roman" w:cs="Times New Roman"/>
        </w:rPr>
        <w:t xml:space="preserve">can be reduced by restricted water supply, reduced foliage cover, and/or stomatal closure in response to high </w:t>
      </w:r>
      <w:r>
        <w:rPr>
          <w:rFonts w:ascii="Times New Roman" w:hAnsi="Times New Roman" w:cs="Times New Roman"/>
          <w:i/>
        </w:rPr>
        <w:t>D</w:t>
      </w:r>
      <w:r>
        <w:rPr>
          <w:rFonts w:ascii="Times New Roman" w:hAnsi="Times New Roman" w:cs="Times New Roman"/>
        </w:rPr>
        <w:t xml:space="preserve"> or dry soils resulting in lowered transpiration rates. The extent of this reduction can in principle be gauged by comparing </w:t>
      </w:r>
      <w:proofErr w:type="spellStart"/>
      <w:r>
        <w:rPr>
          <w:rFonts w:ascii="Times New Roman" w:hAnsi="Times New Roman" w:cs="Times New Roman"/>
          <w:i/>
          <w:szCs w:val="28"/>
        </w:rPr>
        <w:t>E</w:t>
      </w:r>
      <w:r>
        <w:rPr>
          <w:rFonts w:ascii="Times New Roman" w:hAnsi="Times New Roman" w:cs="Times New Roman"/>
          <w:i/>
          <w:szCs w:val="28"/>
          <w:vertAlign w:val="subscript"/>
        </w:rPr>
        <w:t>a</w:t>
      </w:r>
      <w:proofErr w:type="spellEnd"/>
      <w:r>
        <w:rPr>
          <w:rFonts w:ascii="Times New Roman" w:hAnsi="Times New Roman" w:cs="Times New Roman"/>
          <w:szCs w:val="28"/>
        </w:rPr>
        <w:t xml:space="preserve"> with a ‘reference value’ of evapotranspiration, corresponding to idealized conditions with an abundant supply of water to be evaporated. This reference value is commonly called potential evapotranspiration (</w:t>
      </w:r>
      <w:r>
        <w:rPr>
          <w:rFonts w:ascii="Times New Roman" w:hAnsi="Times New Roman" w:cs="Times New Roman"/>
          <w:i/>
          <w:szCs w:val="28"/>
        </w:rPr>
        <w:t>E</w:t>
      </w:r>
      <w:r>
        <w:rPr>
          <w:rFonts w:ascii="Times New Roman" w:hAnsi="Times New Roman" w:cs="Times New Roman"/>
          <w:i/>
          <w:szCs w:val="28"/>
          <w:vertAlign w:val="subscript"/>
        </w:rPr>
        <w:t>p</w:t>
      </w:r>
      <w:r>
        <w:rPr>
          <w:rFonts w:ascii="Times New Roman" w:hAnsi="Times New Roman" w:cs="Times New Roman"/>
          <w:szCs w:val="28"/>
        </w:rPr>
        <w:t xml:space="preserve">). However, there is no universal definition of </w:t>
      </w:r>
      <w:r>
        <w:rPr>
          <w:rFonts w:ascii="Times New Roman" w:hAnsi="Times New Roman" w:cs="Times New Roman"/>
          <w:i/>
          <w:szCs w:val="28"/>
        </w:rPr>
        <w:t>E</w:t>
      </w:r>
      <w:r>
        <w:rPr>
          <w:rFonts w:ascii="Times New Roman" w:hAnsi="Times New Roman" w:cs="Times New Roman"/>
          <w:i/>
          <w:szCs w:val="28"/>
          <w:vertAlign w:val="subscript"/>
        </w:rPr>
        <w:t>p</w:t>
      </w:r>
      <w:r>
        <w:rPr>
          <w:rFonts w:ascii="Times New Roman" w:hAnsi="Times New Roman" w:cs="Times New Roman"/>
          <w:szCs w:val="28"/>
        </w:rPr>
        <w:t xml:space="preserve">. Various formulations can differ considerably (Fisher </w:t>
      </w:r>
      <w:r>
        <w:rPr>
          <w:rFonts w:ascii="Times New Roman" w:hAnsi="Times New Roman" w:cs="Times New Roman"/>
          <w:i/>
          <w:szCs w:val="28"/>
        </w:rPr>
        <w:t xml:space="preserve">et al. </w:t>
      </w:r>
      <w:r>
        <w:rPr>
          <w:rFonts w:ascii="Times New Roman" w:hAnsi="Times New Roman" w:cs="Times New Roman"/>
          <w:szCs w:val="28"/>
        </w:rPr>
        <w:t>2011). In particular, evaporation from an open water ‘pan’ located in a dry environment can considerably exceed the evapotranspiration from a stand of vegetation under well-watered conditions, although both quantities can be called ‘potential evaporation’.</w:t>
      </w:r>
    </w:p>
    <w:p w:rsidR="006E52A2" w:rsidRDefault="006E52A2" w:rsidP="006E52A2">
      <w:pPr>
        <w:spacing w:before="240" w:line="480" w:lineRule="auto"/>
        <w:jc w:val="both"/>
        <w:rPr>
          <w:rFonts w:ascii="Times New Roman" w:hAnsi="Times New Roman" w:cs="Times New Roman"/>
          <w:szCs w:val="28"/>
        </w:rPr>
      </w:pPr>
      <w:r>
        <w:rPr>
          <w:rFonts w:ascii="Times New Roman" w:hAnsi="Times New Roman" w:cs="Times New Roman"/>
          <w:szCs w:val="28"/>
        </w:rPr>
        <w:t>A better-defined reference value is the equilibrium evapotranspiration (</w:t>
      </w:r>
      <w:r>
        <w:rPr>
          <w:rFonts w:ascii="Times New Roman" w:hAnsi="Times New Roman" w:cs="Times New Roman"/>
          <w:i/>
          <w:szCs w:val="28"/>
        </w:rPr>
        <w:t>E</w:t>
      </w:r>
      <w:r>
        <w:rPr>
          <w:rFonts w:ascii="Times New Roman" w:hAnsi="Times New Roman" w:cs="Times New Roman"/>
          <w:i/>
          <w:szCs w:val="28"/>
          <w:vertAlign w:val="subscript"/>
        </w:rPr>
        <w:t>q</w:t>
      </w:r>
      <w:r>
        <w:rPr>
          <w:rFonts w:ascii="Times New Roman" w:hAnsi="Times New Roman" w:cs="Times New Roman"/>
          <w:szCs w:val="28"/>
        </w:rPr>
        <w:t xml:space="preserve">). </w:t>
      </w:r>
      <w:r>
        <w:rPr>
          <w:rFonts w:ascii="Times New Roman" w:hAnsi="Times New Roman" w:cs="Times New Roman"/>
          <w:i/>
          <w:szCs w:val="28"/>
        </w:rPr>
        <w:t>E</w:t>
      </w:r>
      <w:r>
        <w:rPr>
          <w:rFonts w:ascii="Times New Roman" w:hAnsi="Times New Roman" w:cs="Times New Roman"/>
          <w:i/>
          <w:szCs w:val="28"/>
          <w:vertAlign w:val="subscript"/>
        </w:rPr>
        <w:t>q</w:t>
      </w:r>
      <w:r>
        <w:rPr>
          <w:rFonts w:ascii="Times New Roman" w:hAnsi="Times New Roman" w:cs="Times New Roman"/>
          <w:szCs w:val="28"/>
        </w:rPr>
        <w:t xml:space="preserve"> is the evapotranspiration theoretically to be expected from a homogeneous, well-watered surface under constant atmospheric conditions (</w:t>
      </w:r>
      <w:proofErr w:type="spellStart"/>
      <w:r>
        <w:rPr>
          <w:rFonts w:ascii="Times New Roman" w:hAnsi="Times New Roman" w:cs="Times New Roman"/>
          <w:szCs w:val="28"/>
        </w:rPr>
        <w:t>Raupach</w:t>
      </w:r>
      <w:proofErr w:type="spellEnd"/>
      <w:r>
        <w:rPr>
          <w:rFonts w:ascii="Times New Roman" w:hAnsi="Times New Roman" w:cs="Times New Roman"/>
          <w:szCs w:val="28"/>
        </w:rPr>
        <w:t xml:space="preserve"> 2000). It is given by a succinct formula:</w:t>
      </w:r>
    </w:p>
    <w:p w:rsidR="006E52A2" w:rsidRPr="002D532F" w:rsidRDefault="006E52A2" w:rsidP="006E52A2">
      <w:pPr>
        <w:spacing w:before="240" w:line="480" w:lineRule="auto"/>
        <w:jc w:val="both"/>
        <w:rPr>
          <w:rFonts w:ascii="Times New Roman" w:hAnsi="Times New Roman" w:cs="Times New Roman"/>
          <w:szCs w:val="28"/>
          <w:lang w:val="el-GR"/>
        </w:rPr>
      </w:pPr>
      <w:r>
        <w:rPr>
          <w:rFonts w:ascii="Times New Roman" w:hAnsi="Times New Roman" w:cs="Times New Roman"/>
          <w:i/>
          <w:szCs w:val="28"/>
          <w:lang w:val="el-GR"/>
        </w:rPr>
        <w:t>λ</w:t>
      </w:r>
      <w:r>
        <w:rPr>
          <w:rFonts w:ascii="Times New Roman" w:hAnsi="Times New Roman" w:cs="Times New Roman"/>
          <w:i/>
          <w:szCs w:val="28"/>
        </w:rPr>
        <w:t>E</w:t>
      </w:r>
      <w:r>
        <w:rPr>
          <w:rFonts w:ascii="Times New Roman" w:hAnsi="Times New Roman" w:cs="Times New Roman"/>
          <w:i/>
          <w:szCs w:val="28"/>
          <w:vertAlign w:val="subscript"/>
        </w:rPr>
        <w:t>q</w:t>
      </w:r>
      <w:r>
        <w:rPr>
          <w:rFonts w:ascii="Times New Roman" w:hAnsi="Times New Roman" w:cs="Times New Roman"/>
          <w:szCs w:val="28"/>
        </w:rPr>
        <w:t xml:space="preserve">  =  </w:t>
      </w:r>
      <w:r>
        <w:rPr>
          <w:rFonts w:ascii="Times New Roman" w:hAnsi="Times New Roman" w:cs="Times New Roman"/>
          <w:i/>
          <w:szCs w:val="28"/>
        </w:rPr>
        <w:t>R</w:t>
      </w:r>
      <w:r>
        <w:rPr>
          <w:rFonts w:ascii="Times New Roman" w:hAnsi="Times New Roman" w:cs="Times New Roman"/>
          <w:i/>
          <w:szCs w:val="28"/>
          <w:vertAlign w:val="subscript"/>
        </w:rPr>
        <w:t>n</w:t>
      </w:r>
      <w:r>
        <w:rPr>
          <w:rFonts w:ascii="Times New Roman" w:hAnsi="Times New Roman" w:cs="Times New Roman"/>
          <w:szCs w:val="28"/>
        </w:rPr>
        <w:t xml:space="preserve">. </w:t>
      </w:r>
      <w:r>
        <w:rPr>
          <w:rFonts w:ascii="Times New Roman" w:hAnsi="Times New Roman" w:cs="Times New Roman"/>
          <w:i/>
          <w:szCs w:val="28"/>
        </w:rPr>
        <w:t>s</w:t>
      </w:r>
      <w:r>
        <w:rPr>
          <w:rFonts w:ascii="Times New Roman" w:hAnsi="Times New Roman" w:cs="Times New Roman"/>
          <w:szCs w:val="28"/>
        </w:rPr>
        <w:t>/(</w:t>
      </w:r>
      <w:r>
        <w:rPr>
          <w:rFonts w:ascii="Times New Roman" w:hAnsi="Times New Roman" w:cs="Times New Roman"/>
          <w:i/>
          <w:szCs w:val="28"/>
        </w:rPr>
        <w:t xml:space="preserve">s </w:t>
      </w:r>
      <w:r>
        <w:rPr>
          <w:rFonts w:ascii="Times New Roman" w:hAnsi="Times New Roman" w:cs="Times New Roman"/>
          <w:i/>
          <w:szCs w:val="28"/>
          <w:lang w:val="el-GR"/>
        </w:rPr>
        <w:t>+ γ)</w:t>
      </w:r>
      <w:r>
        <w:rPr>
          <w:rFonts w:ascii="Times New Roman" w:hAnsi="Times New Roman" w:cs="Times New Roman"/>
          <w:szCs w:val="28"/>
          <w:lang w:val="el-GR"/>
        </w:rPr>
        <w:tab/>
      </w:r>
      <w:r>
        <w:rPr>
          <w:rFonts w:ascii="Times New Roman" w:hAnsi="Times New Roman" w:cs="Times New Roman"/>
          <w:szCs w:val="28"/>
          <w:lang w:val="el-GR"/>
        </w:rPr>
        <w:tab/>
      </w:r>
      <w:r>
        <w:rPr>
          <w:rFonts w:ascii="Times New Roman" w:hAnsi="Times New Roman" w:cs="Times New Roman"/>
          <w:szCs w:val="28"/>
          <w:lang w:val="el-GR"/>
        </w:rPr>
        <w:tab/>
      </w:r>
      <w:r>
        <w:rPr>
          <w:rFonts w:ascii="Times New Roman" w:hAnsi="Times New Roman" w:cs="Times New Roman"/>
          <w:szCs w:val="28"/>
          <w:lang w:val="el-GR"/>
        </w:rPr>
        <w:tab/>
      </w:r>
      <w:r>
        <w:rPr>
          <w:rFonts w:ascii="Times New Roman" w:hAnsi="Times New Roman" w:cs="Times New Roman"/>
          <w:szCs w:val="28"/>
          <w:lang w:val="el-GR"/>
        </w:rPr>
        <w:tab/>
      </w:r>
      <w:r>
        <w:rPr>
          <w:rFonts w:ascii="Times New Roman" w:hAnsi="Times New Roman" w:cs="Times New Roman"/>
          <w:szCs w:val="28"/>
          <w:lang w:val="el-GR"/>
        </w:rPr>
        <w:tab/>
      </w:r>
      <w:r>
        <w:rPr>
          <w:rFonts w:ascii="Times New Roman" w:hAnsi="Times New Roman" w:cs="Times New Roman"/>
          <w:szCs w:val="28"/>
          <w:lang w:val="el-GR"/>
        </w:rPr>
        <w:tab/>
      </w:r>
      <w:r>
        <w:rPr>
          <w:rFonts w:ascii="Times New Roman" w:hAnsi="Times New Roman" w:cs="Times New Roman"/>
          <w:szCs w:val="28"/>
          <w:lang w:val="el-GR"/>
        </w:rPr>
        <w:tab/>
        <w:t>(S1.2)</w:t>
      </w:r>
    </w:p>
    <w:p w:rsidR="006E52A2" w:rsidRPr="008E4ABF" w:rsidRDefault="006E52A2" w:rsidP="006E52A2">
      <w:pPr>
        <w:spacing w:before="240" w:line="480" w:lineRule="auto"/>
        <w:jc w:val="both"/>
        <w:rPr>
          <w:rFonts w:ascii="Times New Roman" w:hAnsi="Times New Roman" w:cs="Times New Roman"/>
          <w:szCs w:val="28"/>
        </w:rPr>
      </w:pPr>
      <w:r>
        <w:rPr>
          <w:rFonts w:ascii="Times New Roman" w:hAnsi="Times New Roman" w:cs="Times New Roman"/>
          <w:szCs w:val="28"/>
        </w:rPr>
        <w:t>where</w:t>
      </w:r>
      <w:r w:rsidRPr="000A1DF0">
        <w:rPr>
          <w:rFonts w:ascii="Times New Roman" w:hAnsi="Times New Roman" w:cs="Times New Roman"/>
          <w:i/>
          <w:szCs w:val="28"/>
        </w:rPr>
        <w:t xml:space="preserve"> </w:t>
      </w:r>
      <w:r w:rsidRPr="000A1DF0">
        <w:rPr>
          <w:rFonts w:ascii="Times New Roman" w:hAnsi="Times New Roman" w:cs="Times New Roman"/>
          <w:i/>
          <w:szCs w:val="28"/>
          <w:lang w:val="el-GR"/>
        </w:rPr>
        <w:t>λ</w:t>
      </w:r>
      <w:r>
        <w:rPr>
          <w:rFonts w:ascii="Times New Roman" w:hAnsi="Times New Roman" w:cs="Times New Roman"/>
          <w:szCs w:val="28"/>
        </w:rPr>
        <w:t xml:space="preserve"> is the latent heat of vaporization of water, </w:t>
      </w:r>
      <w:r>
        <w:rPr>
          <w:rFonts w:ascii="Times New Roman" w:hAnsi="Times New Roman" w:cs="Times New Roman"/>
          <w:i/>
          <w:szCs w:val="28"/>
        </w:rPr>
        <w:t>R</w:t>
      </w:r>
      <w:r>
        <w:rPr>
          <w:rFonts w:ascii="Times New Roman" w:hAnsi="Times New Roman" w:cs="Times New Roman"/>
          <w:i/>
          <w:szCs w:val="28"/>
          <w:vertAlign w:val="subscript"/>
        </w:rPr>
        <w:t>n</w:t>
      </w:r>
      <w:r>
        <w:rPr>
          <w:rFonts w:ascii="Times New Roman" w:hAnsi="Times New Roman" w:cs="Times New Roman"/>
          <w:szCs w:val="28"/>
        </w:rPr>
        <w:t xml:space="preserve"> is the net radiation at the surface (the balance of incoming and outgoing short- and long-wave radiation), </w:t>
      </w:r>
      <w:r>
        <w:rPr>
          <w:rFonts w:ascii="Times New Roman" w:hAnsi="Times New Roman" w:cs="Times New Roman"/>
          <w:i/>
          <w:szCs w:val="28"/>
        </w:rPr>
        <w:t>s</w:t>
      </w:r>
      <w:r>
        <w:rPr>
          <w:rFonts w:ascii="Times New Roman" w:hAnsi="Times New Roman" w:cs="Times New Roman"/>
          <w:szCs w:val="28"/>
        </w:rPr>
        <w:t xml:space="preserve"> = ∂</w:t>
      </w:r>
      <w:r>
        <w:rPr>
          <w:rFonts w:ascii="Times New Roman" w:hAnsi="Times New Roman" w:cs="Times New Roman"/>
          <w:i/>
          <w:szCs w:val="28"/>
        </w:rPr>
        <w:t>e</w:t>
      </w:r>
      <w:r>
        <w:rPr>
          <w:rFonts w:ascii="Times New Roman" w:hAnsi="Times New Roman" w:cs="Times New Roman"/>
          <w:i/>
          <w:szCs w:val="28"/>
          <w:vertAlign w:val="subscript"/>
        </w:rPr>
        <w:t>s</w:t>
      </w:r>
      <w:r>
        <w:rPr>
          <w:rFonts w:ascii="Times New Roman" w:hAnsi="Times New Roman" w:cs="Times New Roman"/>
          <w:szCs w:val="28"/>
        </w:rPr>
        <w:t>/∂</w:t>
      </w:r>
      <w:r>
        <w:rPr>
          <w:rFonts w:ascii="Times New Roman" w:hAnsi="Times New Roman" w:cs="Times New Roman"/>
          <w:i/>
          <w:szCs w:val="28"/>
        </w:rPr>
        <w:t>T</w:t>
      </w:r>
      <w:r>
        <w:rPr>
          <w:rFonts w:ascii="Times New Roman" w:hAnsi="Times New Roman" w:cs="Times New Roman"/>
          <w:szCs w:val="28"/>
        </w:rPr>
        <w:t xml:space="preserve"> (the slope of the saturated vapour pressure of water as a function of temperature), and </w:t>
      </w:r>
      <w:r>
        <w:rPr>
          <w:rFonts w:ascii="Times New Roman" w:hAnsi="Times New Roman" w:cs="Times New Roman"/>
          <w:szCs w:val="28"/>
          <w:lang w:val="el-GR"/>
        </w:rPr>
        <w:t>γ</w:t>
      </w:r>
      <w:r>
        <w:rPr>
          <w:rFonts w:ascii="Times New Roman" w:hAnsi="Times New Roman" w:cs="Times New Roman"/>
          <w:szCs w:val="28"/>
        </w:rPr>
        <w:t xml:space="preserve"> is the psychrometer constant. There are standard methods to calculate most of the terms in (S1.2). </w:t>
      </w:r>
      <w:r w:rsidRPr="00D60802">
        <w:rPr>
          <w:rFonts w:ascii="Times New Roman" w:hAnsi="Times New Roman" w:cs="Times New Roman"/>
          <w:i/>
          <w:szCs w:val="28"/>
          <w:lang w:val="el-GR"/>
        </w:rPr>
        <w:t>λ</w:t>
      </w:r>
      <w:r>
        <w:rPr>
          <w:rFonts w:ascii="Times New Roman" w:hAnsi="Times New Roman" w:cs="Times New Roman"/>
          <w:szCs w:val="28"/>
        </w:rPr>
        <w:t xml:space="preserve"> is nearly constant over the temperature range of interest; </w:t>
      </w:r>
      <w:r>
        <w:rPr>
          <w:rFonts w:ascii="Times New Roman" w:hAnsi="Times New Roman" w:cs="Times New Roman"/>
          <w:szCs w:val="28"/>
          <w:lang w:val="el-GR"/>
        </w:rPr>
        <w:t>γ</w:t>
      </w:r>
      <w:r>
        <w:rPr>
          <w:rFonts w:ascii="Times New Roman" w:hAnsi="Times New Roman" w:cs="Times New Roman"/>
          <w:szCs w:val="28"/>
        </w:rPr>
        <w:t xml:space="preserve"> is dependent on atmospheric pressure; </w:t>
      </w:r>
      <w:r>
        <w:rPr>
          <w:rFonts w:ascii="Times New Roman" w:hAnsi="Times New Roman" w:cs="Times New Roman"/>
          <w:i/>
          <w:szCs w:val="28"/>
        </w:rPr>
        <w:t>s</w:t>
      </w:r>
      <w:r>
        <w:rPr>
          <w:rFonts w:ascii="Times New Roman" w:hAnsi="Times New Roman" w:cs="Times New Roman"/>
          <w:szCs w:val="28"/>
        </w:rPr>
        <w:t xml:space="preserve"> follows from the Clausius-Clapeyron relationship, for which close approximations are in common use. To estimate </w:t>
      </w:r>
      <w:r>
        <w:rPr>
          <w:rFonts w:ascii="Times New Roman" w:hAnsi="Times New Roman" w:cs="Times New Roman"/>
          <w:i/>
          <w:szCs w:val="28"/>
        </w:rPr>
        <w:t>R</w:t>
      </w:r>
      <w:r>
        <w:rPr>
          <w:rFonts w:ascii="Times New Roman" w:hAnsi="Times New Roman" w:cs="Times New Roman"/>
          <w:i/>
          <w:szCs w:val="28"/>
          <w:vertAlign w:val="subscript"/>
        </w:rPr>
        <w:t>n</w:t>
      </w:r>
      <w:r>
        <w:rPr>
          <w:rFonts w:ascii="Times New Roman" w:hAnsi="Times New Roman" w:cs="Times New Roman"/>
          <w:szCs w:val="28"/>
        </w:rPr>
        <w:t xml:space="preserve"> we use the method introduced by Linacre (1968), which requires the calculation of shortwave radiation at the top of the atmosphere, a typical value for the shortwave albedo of the vegetation surface, and data on fractional sunshine hours and temperature (Gallego-Sala </w:t>
      </w:r>
      <w:r>
        <w:rPr>
          <w:rFonts w:ascii="Times New Roman" w:hAnsi="Times New Roman" w:cs="Times New Roman"/>
          <w:i/>
          <w:szCs w:val="28"/>
        </w:rPr>
        <w:t>et al.</w:t>
      </w:r>
      <w:r>
        <w:rPr>
          <w:rFonts w:ascii="Times New Roman" w:hAnsi="Times New Roman" w:cs="Times New Roman"/>
          <w:szCs w:val="28"/>
        </w:rPr>
        <w:t xml:space="preserve"> 2010).</w:t>
      </w:r>
    </w:p>
    <w:p w:rsidR="006E52A2" w:rsidRDefault="006E52A2" w:rsidP="006E52A2">
      <w:pPr>
        <w:spacing w:before="240" w:line="480" w:lineRule="auto"/>
        <w:jc w:val="both"/>
        <w:rPr>
          <w:rFonts w:ascii="Times New Roman" w:hAnsi="Times New Roman" w:cs="Times New Roman"/>
        </w:rPr>
      </w:pPr>
      <w:r>
        <w:rPr>
          <w:rFonts w:ascii="Times New Roman" w:hAnsi="Times New Roman" w:cs="Times New Roman"/>
          <w:szCs w:val="28"/>
        </w:rPr>
        <w:lastRenderedPageBreak/>
        <w:t xml:space="preserve">A definition closely related to (S1.2) is the Priestley-Taylor potential evapotranspiration, (1 + ω) </w:t>
      </w:r>
      <w:proofErr w:type="spellStart"/>
      <w:r>
        <w:rPr>
          <w:rFonts w:ascii="Times New Roman" w:hAnsi="Times New Roman" w:cs="Times New Roman"/>
          <w:i/>
          <w:szCs w:val="28"/>
        </w:rPr>
        <w:t>Ε</w:t>
      </w:r>
      <w:r>
        <w:rPr>
          <w:rFonts w:ascii="Times New Roman" w:hAnsi="Times New Roman" w:cs="Times New Roman"/>
          <w:i/>
          <w:szCs w:val="28"/>
          <w:vertAlign w:val="subscript"/>
        </w:rPr>
        <w:t>q</w:t>
      </w:r>
      <w:proofErr w:type="spellEnd"/>
      <w:r>
        <w:rPr>
          <w:rFonts w:ascii="Times New Roman" w:hAnsi="Times New Roman" w:cs="Times New Roman"/>
          <w:szCs w:val="28"/>
        </w:rPr>
        <w:t xml:space="preserve"> where </w:t>
      </w:r>
      <w:r>
        <w:rPr>
          <w:rFonts w:ascii="Times New Roman" w:hAnsi="Times New Roman" w:cs="Times New Roman"/>
          <w:i/>
          <w:szCs w:val="28"/>
          <w:lang w:val="el-GR"/>
        </w:rPr>
        <w:t>ω</w:t>
      </w:r>
      <w:r>
        <w:rPr>
          <w:rFonts w:ascii="Times New Roman" w:hAnsi="Times New Roman" w:cs="Times New Roman"/>
          <w:szCs w:val="28"/>
        </w:rPr>
        <w:t xml:space="preserve"> ≈ 0.26. This expression arises from measurements showing that evapotranspiration under idealized conditions (for example, over open water or continuous vegetation) tends to exceed </w:t>
      </w:r>
      <w:r>
        <w:rPr>
          <w:rFonts w:ascii="Times New Roman" w:hAnsi="Times New Roman" w:cs="Times New Roman"/>
          <w:i/>
          <w:szCs w:val="28"/>
        </w:rPr>
        <w:t>E</w:t>
      </w:r>
      <w:r>
        <w:rPr>
          <w:rFonts w:ascii="Times New Roman" w:hAnsi="Times New Roman" w:cs="Times New Roman"/>
          <w:i/>
          <w:szCs w:val="28"/>
          <w:vertAlign w:val="subscript"/>
        </w:rPr>
        <w:t>q</w:t>
      </w:r>
      <w:r>
        <w:rPr>
          <w:rFonts w:ascii="Times New Roman" w:hAnsi="Times New Roman" w:cs="Times New Roman"/>
          <w:szCs w:val="28"/>
        </w:rPr>
        <w:t xml:space="preserve">. The fundamental cause for </w:t>
      </w:r>
      <w:r>
        <w:rPr>
          <w:rFonts w:ascii="Times New Roman" w:hAnsi="Times New Roman" w:cs="Times New Roman"/>
          <w:i/>
          <w:szCs w:val="28"/>
          <w:lang w:val="el-GR"/>
        </w:rPr>
        <w:t>ω</w:t>
      </w:r>
      <w:r>
        <w:rPr>
          <w:rFonts w:ascii="Times New Roman" w:hAnsi="Times New Roman" w:cs="Times New Roman"/>
          <w:szCs w:val="28"/>
          <w:lang w:val="el-GR"/>
        </w:rPr>
        <w:t xml:space="preserve"> &gt; 1 is the daily growth of the planetary boundary layer, which entrains dry air from the free atmosphere above, violating the condition of equilibrium. </w:t>
      </w:r>
      <w:r>
        <w:rPr>
          <w:rFonts w:ascii="Times New Roman" w:hAnsi="Times New Roman" w:cs="Times New Roman"/>
          <w:szCs w:val="28"/>
        </w:rPr>
        <w:t xml:space="preserve">However, </w:t>
      </w:r>
      <w:r>
        <w:rPr>
          <w:rFonts w:ascii="Times New Roman" w:hAnsi="Times New Roman" w:cs="Times New Roman"/>
          <w:i/>
          <w:szCs w:val="28"/>
          <w:lang w:val="el-GR"/>
        </w:rPr>
        <w:t>ω</w:t>
      </w:r>
      <w:r>
        <w:rPr>
          <w:rFonts w:ascii="Times New Roman" w:hAnsi="Times New Roman" w:cs="Times New Roman"/>
          <w:szCs w:val="28"/>
          <w:lang w:val="el-GR"/>
        </w:rPr>
        <w:t xml:space="preserve"> can be smaller or larger than 0.26. For simplicity, we consider </w:t>
      </w:r>
      <w:r>
        <w:rPr>
          <w:rFonts w:ascii="Times New Roman" w:hAnsi="Times New Roman" w:cs="Times New Roman"/>
          <w:i/>
          <w:szCs w:val="28"/>
          <w:lang w:val="el-GR"/>
        </w:rPr>
        <w:t xml:space="preserve">ω </w:t>
      </w:r>
      <w:r>
        <w:rPr>
          <w:rFonts w:ascii="Times New Roman" w:hAnsi="Times New Roman" w:cs="Times New Roman"/>
          <w:szCs w:val="28"/>
          <w:lang w:val="el-GR"/>
        </w:rPr>
        <w:t xml:space="preserve"> =  0</w:t>
      </w:r>
      <w:r>
        <w:rPr>
          <w:rFonts w:ascii="Times New Roman" w:hAnsi="Times New Roman" w:cs="Times New Roman"/>
          <w:szCs w:val="28"/>
        </w:rPr>
        <w:t xml:space="preserve"> in all that follows.</w:t>
      </w:r>
    </w:p>
    <w:p w:rsidR="006E52A2" w:rsidRDefault="006E52A2" w:rsidP="006E52A2">
      <w:pPr>
        <w:spacing w:before="240" w:line="480" w:lineRule="auto"/>
        <w:jc w:val="both"/>
        <w:rPr>
          <w:rFonts w:ascii="Times New Roman" w:hAnsi="Times New Roman" w:cs="Times New Roman"/>
        </w:rPr>
      </w:pPr>
      <w:r>
        <w:rPr>
          <w:rFonts w:ascii="Times New Roman" w:hAnsi="Times New Roman" w:cs="Times New Roman"/>
          <w:szCs w:val="28"/>
        </w:rPr>
        <w:t xml:space="preserve">The term </w:t>
      </w:r>
      <w:r>
        <w:rPr>
          <w:rFonts w:ascii="Times New Roman" w:hAnsi="Times New Roman" w:cs="Times New Roman"/>
          <w:i/>
          <w:szCs w:val="28"/>
          <w:lang w:val="el-GR"/>
        </w:rPr>
        <w:t>α</w:t>
      </w:r>
      <w:r>
        <w:rPr>
          <w:rFonts w:ascii="Times New Roman" w:hAnsi="Times New Roman" w:cs="Times New Roman"/>
          <w:szCs w:val="28"/>
        </w:rPr>
        <w:t xml:space="preserve"> is commonly used for the ratio </w:t>
      </w:r>
      <w:proofErr w:type="spellStart"/>
      <w:r>
        <w:rPr>
          <w:rFonts w:ascii="Times New Roman" w:hAnsi="Times New Roman" w:cs="Times New Roman"/>
          <w:i/>
          <w:szCs w:val="28"/>
        </w:rPr>
        <w:t>E</w:t>
      </w:r>
      <w:r>
        <w:rPr>
          <w:rFonts w:ascii="Times New Roman" w:hAnsi="Times New Roman" w:cs="Times New Roman"/>
          <w:i/>
          <w:szCs w:val="28"/>
          <w:vertAlign w:val="subscript"/>
        </w:rPr>
        <w:t>a</w:t>
      </w:r>
      <w:proofErr w:type="spellEnd"/>
      <w:r>
        <w:rPr>
          <w:rFonts w:ascii="Times New Roman" w:hAnsi="Times New Roman" w:cs="Times New Roman"/>
          <w:szCs w:val="28"/>
        </w:rPr>
        <w:t>/</w:t>
      </w:r>
      <w:r>
        <w:rPr>
          <w:rFonts w:ascii="Times New Roman" w:hAnsi="Times New Roman" w:cs="Times New Roman"/>
          <w:i/>
          <w:szCs w:val="28"/>
        </w:rPr>
        <w:t>E</w:t>
      </w:r>
      <w:r>
        <w:rPr>
          <w:rFonts w:ascii="Times New Roman" w:hAnsi="Times New Roman" w:cs="Times New Roman"/>
          <w:i/>
          <w:szCs w:val="28"/>
          <w:vertAlign w:val="subscript"/>
        </w:rPr>
        <w:t>q</w:t>
      </w:r>
      <w:r>
        <w:rPr>
          <w:rFonts w:ascii="Times New Roman" w:hAnsi="Times New Roman" w:cs="Times New Roman"/>
          <w:szCs w:val="28"/>
        </w:rPr>
        <w:t xml:space="preserve">, and known as the Priestley-Taylor coefficient. If </w:t>
      </w:r>
      <w:proofErr w:type="spellStart"/>
      <w:r>
        <w:rPr>
          <w:rFonts w:ascii="Times New Roman" w:hAnsi="Times New Roman" w:cs="Times New Roman"/>
          <w:i/>
          <w:szCs w:val="28"/>
        </w:rPr>
        <w:t>E</w:t>
      </w:r>
      <w:r>
        <w:rPr>
          <w:rFonts w:ascii="Times New Roman" w:hAnsi="Times New Roman" w:cs="Times New Roman"/>
          <w:i/>
          <w:szCs w:val="28"/>
          <w:vertAlign w:val="subscript"/>
        </w:rPr>
        <w:t>a</w:t>
      </w:r>
      <w:proofErr w:type="spellEnd"/>
      <w:r>
        <w:rPr>
          <w:rFonts w:ascii="Times New Roman" w:hAnsi="Times New Roman" w:cs="Times New Roman"/>
          <w:i/>
          <w:szCs w:val="28"/>
        </w:rPr>
        <w:t xml:space="preserve"> </w:t>
      </w:r>
      <w:r>
        <w:rPr>
          <w:rFonts w:ascii="Times New Roman" w:hAnsi="Times New Roman" w:cs="Times New Roman"/>
          <w:szCs w:val="28"/>
        </w:rPr>
        <w:t xml:space="preserve">and </w:t>
      </w:r>
      <w:r>
        <w:rPr>
          <w:rFonts w:ascii="Times New Roman" w:hAnsi="Times New Roman" w:cs="Times New Roman"/>
          <w:i/>
          <w:szCs w:val="28"/>
        </w:rPr>
        <w:t>E</w:t>
      </w:r>
      <w:r>
        <w:rPr>
          <w:rFonts w:ascii="Times New Roman" w:hAnsi="Times New Roman" w:cs="Times New Roman"/>
          <w:i/>
          <w:szCs w:val="28"/>
          <w:vertAlign w:val="subscript"/>
        </w:rPr>
        <w:t>q</w:t>
      </w:r>
      <w:r>
        <w:rPr>
          <w:rFonts w:ascii="Times New Roman" w:hAnsi="Times New Roman" w:cs="Times New Roman"/>
          <w:szCs w:val="28"/>
        </w:rPr>
        <w:t xml:space="preserve"> are total annual values,</w:t>
      </w:r>
      <w:r>
        <w:rPr>
          <w:rFonts w:ascii="Times New Roman" w:hAnsi="Times New Roman" w:cs="Times New Roman"/>
        </w:rPr>
        <w:t xml:space="preserve"> </w:t>
      </w:r>
      <w:r>
        <w:rPr>
          <w:rFonts w:ascii="Times New Roman" w:hAnsi="Times New Roman" w:cs="Times New Roman"/>
          <w:i/>
        </w:rPr>
        <w:t>α</w:t>
      </w:r>
      <w:r>
        <w:rPr>
          <w:rFonts w:ascii="Times New Roman" w:hAnsi="Times New Roman" w:cs="Times New Roman"/>
        </w:rPr>
        <w:t xml:space="preserve"> has a close empirical and theoretical relationship with the ratio </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E</w:t>
      </w:r>
      <w:r>
        <w:rPr>
          <w:rFonts w:ascii="Times New Roman" w:hAnsi="Times New Roman" w:cs="Times New Roman"/>
          <w:i/>
          <w:vertAlign w:val="subscript"/>
        </w:rPr>
        <w:t>q</w:t>
      </w:r>
      <w:r>
        <w:rPr>
          <w:rFonts w:ascii="Times New Roman" w:hAnsi="Times New Roman" w:cs="Times New Roman"/>
        </w:rPr>
        <w:t>, which we refer to as the Moisture Index (</w:t>
      </w:r>
      <w:r>
        <w:rPr>
          <w:rFonts w:ascii="Times New Roman" w:hAnsi="Times New Roman" w:cs="Times New Roman"/>
          <w:i/>
        </w:rPr>
        <w:t>MI</w:t>
      </w:r>
      <w:r>
        <w:rPr>
          <w:rFonts w:ascii="Times New Roman" w:hAnsi="Times New Roman" w:cs="Times New Roman"/>
        </w:rPr>
        <w:t xml:space="preserve">). The link is the </w:t>
      </w:r>
      <w:proofErr w:type="spellStart"/>
      <w:r>
        <w:rPr>
          <w:rFonts w:ascii="Times New Roman" w:hAnsi="Times New Roman" w:cs="Times New Roman"/>
        </w:rPr>
        <w:t>Budyko</w:t>
      </w:r>
      <w:proofErr w:type="spellEnd"/>
      <w:r>
        <w:rPr>
          <w:rFonts w:ascii="Times New Roman" w:hAnsi="Times New Roman" w:cs="Times New Roman"/>
        </w:rPr>
        <w:t xml:space="preserve"> relationship, a classical hydrological concept usually applied at the river-catchment scale. In the particular mathematical formulation by Zhang </w:t>
      </w:r>
      <w:r>
        <w:rPr>
          <w:rFonts w:ascii="Times New Roman" w:hAnsi="Times New Roman" w:cs="Times New Roman"/>
          <w:i/>
        </w:rPr>
        <w:t>et al.</w:t>
      </w:r>
      <w:r>
        <w:rPr>
          <w:rFonts w:ascii="Times New Roman" w:hAnsi="Times New Roman" w:cs="Times New Roman"/>
        </w:rPr>
        <w:t xml:space="preserve"> (2004), the </w:t>
      </w:r>
      <w:proofErr w:type="spellStart"/>
      <w:r>
        <w:rPr>
          <w:rFonts w:ascii="Times New Roman" w:hAnsi="Times New Roman" w:cs="Times New Roman"/>
        </w:rPr>
        <w:t>Budyko</w:t>
      </w:r>
      <w:proofErr w:type="spellEnd"/>
      <w:r>
        <w:rPr>
          <w:rFonts w:ascii="Times New Roman" w:hAnsi="Times New Roman" w:cs="Times New Roman"/>
        </w:rPr>
        <w:t xml:space="preserve"> relationship states that:</w:t>
      </w:r>
    </w:p>
    <w:p w:rsidR="006E52A2" w:rsidRPr="007123B4" w:rsidRDefault="006E52A2" w:rsidP="006E52A2">
      <w:pPr>
        <w:spacing w:before="240" w:line="480" w:lineRule="auto"/>
        <w:jc w:val="both"/>
        <w:rPr>
          <w:rFonts w:ascii="Times New Roman" w:hAnsi="Times New Roman" w:cs="Times New Roman"/>
        </w:rPr>
      </w:pPr>
      <w:proofErr w:type="spellStart"/>
      <w:r>
        <w:rPr>
          <w:rFonts w:ascii="Times New Roman" w:hAnsi="Times New Roman" w:cs="Times New Roman"/>
          <w:i/>
        </w:rPr>
        <w:t>E</w:t>
      </w:r>
      <w:r>
        <w:rPr>
          <w:rFonts w:ascii="Times New Roman" w:hAnsi="Times New Roman" w:cs="Times New Roman"/>
          <w:i/>
          <w:vertAlign w:val="subscript"/>
        </w:rPr>
        <w:t>a</w:t>
      </w:r>
      <w:proofErr w:type="spellEnd"/>
      <w:r>
        <w:rPr>
          <w:rFonts w:ascii="Times New Roman" w:hAnsi="Times New Roman" w:cs="Times New Roman"/>
        </w:rPr>
        <w:t xml:space="preserve">  =  </w:t>
      </w:r>
      <w:r>
        <w:rPr>
          <w:rFonts w:ascii="Times New Roman" w:hAnsi="Times New Roman" w:cs="Times New Roman"/>
          <w:i/>
        </w:rPr>
        <w:t>E</w:t>
      </w:r>
      <w:r>
        <w:rPr>
          <w:rFonts w:ascii="Times New Roman" w:hAnsi="Times New Roman" w:cs="Times New Roman"/>
          <w:i/>
          <w:vertAlign w:val="subscript"/>
        </w:rPr>
        <w:t>p</w:t>
      </w:r>
      <w:r>
        <w:rPr>
          <w:rFonts w:ascii="Times New Roman" w:hAnsi="Times New Roman" w:cs="Times New Roman"/>
        </w:rPr>
        <w:t xml:space="preserve">  +  </w:t>
      </w:r>
      <w:r>
        <w:rPr>
          <w:rFonts w:ascii="Times New Roman" w:hAnsi="Times New Roman" w:cs="Times New Roman"/>
          <w:i/>
        </w:rPr>
        <w:t>P</w:t>
      </w:r>
      <w:r>
        <w:rPr>
          <w:rFonts w:ascii="Times New Roman" w:hAnsi="Times New Roman" w:cs="Times New Roman"/>
        </w:rPr>
        <w:t xml:space="preserve">  </w:t>
      </w:r>
      <w:r>
        <w:rPr>
          <w:rFonts w:ascii="Times New Roman" w:hAnsi="Times New Roman" w:cs="Times New Roman"/>
        </w:rPr>
        <w:sym w:font="Symbol" w:char="F02D"/>
      </w:r>
      <w:r>
        <w:rPr>
          <w:rFonts w:ascii="Times New Roman" w:hAnsi="Times New Roman" w:cs="Times New Roman"/>
        </w:rPr>
        <w:t xml:space="preserve">  (</w:t>
      </w:r>
      <w:proofErr w:type="spellStart"/>
      <w:r w:rsidRPr="008E4ABF">
        <w:rPr>
          <w:rFonts w:ascii="Times New Roman" w:hAnsi="Times New Roman" w:cs="Times New Roman"/>
          <w:i/>
        </w:rPr>
        <w:t>E</w:t>
      </w:r>
      <w:r w:rsidRPr="008E4ABF">
        <w:rPr>
          <w:rFonts w:ascii="Times New Roman" w:hAnsi="Times New Roman" w:cs="Times New Roman"/>
          <w:i/>
          <w:vertAlign w:val="subscript"/>
        </w:rPr>
        <w:t>p</w:t>
      </w:r>
      <w:r w:rsidRPr="008E4ABF">
        <w:rPr>
          <w:rFonts w:ascii="Times New Roman" w:hAnsi="Times New Roman" w:cs="Times New Roman"/>
          <w:i/>
          <w:vertAlign w:val="superscript"/>
        </w:rPr>
        <w:t>w</w:t>
      </w:r>
      <w:proofErr w:type="spellEnd"/>
      <w:r>
        <w:rPr>
          <w:rFonts w:ascii="Times New Roman" w:hAnsi="Times New Roman" w:cs="Times New Roman"/>
        </w:rPr>
        <w:t xml:space="preserve"> + </w:t>
      </w:r>
      <w:r w:rsidRPr="008E4ABF">
        <w:rPr>
          <w:rFonts w:ascii="Times New Roman" w:hAnsi="Times New Roman" w:cs="Times New Roman"/>
          <w:i/>
        </w:rPr>
        <w:t>P</w:t>
      </w:r>
      <w:r w:rsidRPr="008E4ABF">
        <w:rPr>
          <w:rFonts w:ascii="Times New Roman" w:hAnsi="Times New Roman" w:cs="Times New Roman"/>
          <w:i/>
          <w:vertAlign w:val="superscript"/>
        </w:rPr>
        <w:t>w</w:t>
      </w:r>
      <w:r>
        <w:rPr>
          <w:rFonts w:ascii="Times New Roman" w:hAnsi="Times New Roman" w:cs="Times New Roman"/>
        </w:rPr>
        <w:t>)</w:t>
      </w:r>
      <w:r>
        <w:rPr>
          <w:rFonts w:ascii="Times New Roman" w:hAnsi="Times New Roman" w:cs="Times New Roman"/>
          <w:vertAlign w:val="superscript"/>
        </w:rPr>
        <w:t>1/</w:t>
      </w:r>
      <w:r w:rsidRPr="008E4ABF">
        <w:rPr>
          <w:rFonts w:ascii="Times New Roman" w:hAnsi="Times New Roman" w:cs="Times New Roman"/>
          <w:i/>
          <w:vertAlign w:val="superscript"/>
        </w:rPr>
        <w:t>w</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rPr>
        <w:t>(S1.3)</w:t>
      </w:r>
    </w:p>
    <w:p w:rsidR="006E52A2" w:rsidRDefault="006E52A2" w:rsidP="006E52A2">
      <w:pPr>
        <w:spacing w:before="240" w:line="480" w:lineRule="auto"/>
        <w:jc w:val="both"/>
        <w:rPr>
          <w:rFonts w:ascii="Times New Roman" w:hAnsi="Times New Roman" w:cs="Times New Roman"/>
        </w:rPr>
      </w:pPr>
      <w:r>
        <w:rPr>
          <w:rFonts w:ascii="Times New Roman" w:hAnsi="Times New Roman" w:cs="Times New Roman"/>
        </w:rPr>
        <w:t xml:space="preserve">where </w:t>
      </w:r>
      <w:r>
        <w:rPr>
          <w:rFonts w:ascii="Times New Roman" w:hAnsi="Times New Roman" w:cs="Times New Roman"/>
          <w:i/>
        </w:rPr>
        <w:t>E</w:t>
      </w:r>
      <w:r>
        <w:rPr>
          <w:rFonts w:ascii="Times New Roman" w:hAnsi="Times New Roman" w:cs="Times New Roman"/>
          <w:i/>
          <w:vertAlign w:val="subscript"/>
        </w:rPr>
        <w:t>p</w:t>
      </w:r>
      <w:r>
        <w:rPr>
          <w:rFonts w:ascii="Times New Roman" w:hAnsi="Times New Roman" w:cs="Times New Roman"/>
        </w:rPr>
        <w:t xml:space="preserve"> is the Priestley-Taylor potential evapotranspiration, and </w:t>
      </w:r>
      <w:r>
        <w:rPr>
          <w:rFonts w:ascii="Times New Roman" w:hAnsi="Times New Roman" w:cs="Times New Roman"/>
          <w:i/>
        </w:rPr>
        <w:t>w</w:t>
      </w:r>
      <w:r>
        <w:rPr>
          <w:rFonts w:ascii="Times New Roman" w:hAnsi="Times New Roman" w:cs="Times New Roman"/>
        </w:rPr>
        <w:t xml:space="preserve"> ≈ 2 to 3. Equation (S1.3) expresses the transition between the dependence of large-area evapotranspiration on precipitation at low </w:t>
      </w:r>
      <w:r>
        <w:rPr>
          <w:rFonts w:ascii="Times New Roman" w:hAnsi="Times New Roman" w:cs="Times New Roman"/>
          <w:i/>
        </w:rPr>
        <w:t>P</w:t>
      </w:r>
      <w:r>
        <w:rPr>
          <w:rFonts w:ascii="Times New Roman" w:hAnsi="Times New Roman" w:cs="Times New Roman"/>
        </w:rPr>
        <w:t xml:space="preserve"> (‘water limitation’), and on energy supply at high </w:t>
      </w:r>
      <w:r>
        <w:rPr>
          <w:rFonts w:ascii="Times New Roman" w:hAnsi="Times New Roman" w:cs="Times New Roman"/>
          <w:i/>
        </w:rPr>
        <w:t>P</w:t>
      </w:r>
      <w:r>
        <w:rPr>
          <w:rFonts w:ascii="Times New Roman" w:hAnsi="Times New Roman" w:cs="Times New Roman"/>
        </w:rPr>
        <w:t xml:space="preserve"> (‘energy limitation’). Other, superficially different mathematical forms yield closely similar results (Arora 2002, Yang </w:t>
      </w:r>
      <w:r>
        <w:rPr>
          <w:rFonts w:ascii="Times New Roman" w:hAnsi="Times New Roman" w:cs="Times New Roman"/>
          <w:i/>
        </w:rPr>
        <w:t>et al.</w:t>
      </w:r>
      <w:r>
        <w:rPr>
          <w:rFonts w:ascii="Times New Roman" w:hAnsi="Times New Roman" w:cs="Times New Roman"/>
        </w:rPr>
        <w:t xml:space="preserve"> 2008). The corresponding relationship between the dimensionless quantities </w:t>
      </w:r>
      <w:r w:rsidRPr="007123B4">
        <w:rPr>
          <w:rFonts w:ascii="Times New Roman" w:hAnsi="Times New Roman" w:cs="Times New Roman"/>
          <w:i/>
        </w:rPr>
        <w:t>MI</w:t>
      </w:r>
      <w:r>
        <w:rPr>
          <w:rFonts w:ascii="Times New Roman" w:hAnsi="Times New Roman" w:cs="Times New Roman"/>
        </w:rPr>
        <w:t xml:space="preserve"> and </w:t>
      </w:r>
      <w:r w:rsidRPr="007123B4">
        <w:rPr>
          <w:rFonts w:ascii="Times New Roman" w:hAnsi="Times New Roman" w:cs="Times New Roman"/>
          <w:i/>
          <w:lang w:val="el-GR"/>
        </w:rPr>
        <w:t>α</w:t>
      </w:r>
      <w:r>
        <w:rPr>
          <w:rFonts w:ascii="Times New Roman" w:hAnsi="Times New Roman" w:cs="Times New Roman"/>
        </w:rPr>
        <w:t xml:space="preserve"> (neglecting </w:t>
      </w:r>
      <w:r w:rsidRPr="00114722">
        <w:rPr>
          <w:rFonts w:ascii="Times New Roman" w:hAnsi="Times New Roman" w:cs="Times New Roman"/>
          <w:i/>
          <w:lang w:val="el-GR"/>
        </w:rPr>
        <w:t>ω</w:t>
      </w:r>
      <w:r>
        <w:rPr>
          <w:rFonts w:ascii="Times New Roman" w:hAnsi="Times New Roman" w:cs="Times New Roman"/>
        </w:rPr>
        <w:t>) is:</w:t>
      </w:r>
    </w:p>
    <w:p w:rsidR="006E52A2" w:rsidRDefault="006E52A2" w:rsidP="006E52A2">
      <w:pPr>
        <w:spacing w:before="240" w:line="480" w:lineRule="auto"/>
        <w:jc w:val="both"/>
        <w:rPr>
          <w:rFonts w:ascii="Times New Roman" w:hAnsi="Times New Roman" w:cs="Times New Roman"/>
        </w:rPr>
      </w:pPr>
      <w:r>
        <w:rPr>
          <w:rFonts w:ascii="Times New Roman" w:hAnsi="Times New Roman" w:cs="Times New Roman"/>
          <w:i/>
          <w:lang w:val="el-GR"/>
        </w:rPr>
        <w:t>α</w:t>
      </w:r>
      <w:r>
        <w:rPr>
          <w:rFonts w:ascii="Times New Roman" w:hAnsi="Times New Roman" w:cs="Times New Roman"/>
        </w:rPr>
        <w:t xml:space="preserve">  =  1  +  </w:t>
      </w:r>
      <w:r>
        <w:rPr>
          <w:rFonts w:ascii="Times New Roman" w:hAnsi="Times New Roman" w:cs="Times New Roman"/>
          <w:i/>
        </w:rPr>
        <w:t>MI</w:t>
      </w:r>
      <w:r>
        <w:rPr>
          <w:rFonts w:ascii="Times New Roman" w:hAnsi="Times New Roman" w:cs="Times New Roman"/>
        </w:rPr>
        <w:t xml:space="preserve">  </w:t>
      </w:r>
      <w:r>
        <w:rPr>
          <w:rFonts w:ascii="Times New Roman" w:hAnsi="Times New Roman" w:cs="Times New Roman"/>
        </w:rPr>
        <w:sym w:font="Symbol" w:char="F02D"/>
      </w:r>
      <w:r>
        <w:rPr>
          <w:rFonts w:ascii="Times New Roman" w:hAnsi="Times New Roman" w:cs="Times New Roman"/>
        </w:rPr>
        <w:t xml:space="preserve"> (1 + </w:t>
      </w:r>
      <w:proofErr w:type="spellStart"/>
      <w:r>
        <w:rPr>
          <w:rFonts w:ascii="Times New Roman" w:hAnsi="Times New Roman" w:cs="Times New Roman"/>
          <w:i/>
        </w:rPr>
        <w:t>MI</w:t>
      </w:r>
      <w:r w:rsidRPr="007123B4">
        <w:rPr>
          <w:rFonts w:ascii="Times New Roman" w:hAnsi="Times New Roman" w:cs="Times New Roman"/>
          <w:i/>
          <w:vertAlign w:val="superscript"/>
        </w:rPr>
        <w:t>w</w:t>
      </w:r>
      <w:proofErr w:type="spellEnd"/>
      <w:r>
        <w:rPr>
          <w:rFonts w:ascii="Times New Roman" w:hAnsi="Times New Roman" w:cs="Times New Roman"/>
        </w:rPr>
        <w:t>)</w:t>
      </w:r>
      <w:r>
        <w:rPr>
          <w:rFonts w:ascii="Times New Roman" w:hAnsi="Times New Roman" w:cs="Times New Roman"/>
          <w:vertAlign w:val="superscript"/>
        </w:rPr>
        <w:t>1/</w:t>
      </w:r>
      <w:r w:rsidRPr="007123B4">
        <w:rPr>
          <w:rFonts w:ascii="Times New Roman" w:hAnsi="Times New Roman" w:cs="Times New Roman"/>
          <w:i/>
          <w:vertAlign w:val="superscript"/>
        </w:rPr>
        <w:t>w</w:t>
      </w:r>
      <w:r>
        <w:rPr>
          <w:rFonts w:ascii="Times New Roman" w:hAnsi="Times New Roman" w:cs="Times New Roman"/>
          <w:vertAlign w:val="subscript"/>
        </w:rPr>
        <w:tab/>
      </w:r>
      <w:r>
        <w:rPr>
          <w:rFonts w:ascii="Times New Roman" w:hAnsi="Times New Roman" w:cs="Times New Roman"/>
          <w:vertAlign w:val="subscript"/>
        </w:rPr>
        <w:tab/>
      </w:r>
      <w:r>
        <w:rPr>
          <w:rFonts w:ascii="Times New Roman" w:hAnsi="Times New Roman" w:cs="Times New Roman"/>
          <w:vertAlign w:val="subscript"/>
        </w:rPr>
        <w:tab/>
      </w:r>
      <w:r>
        <w:rPr>
          <w:rFonts w:ascii="Times New Roman" w:hAnsi="Times New Roman" w:cs="Times New Roman"/>
          <w:vertAlign w:val="subscript"/>
        </w:rPr>
        <w:tab/>
      </w:r>
      <w:r>
        <w:rPr>
          <w:rFonts w:ascii="Times New Roman" w:hAnsi="Times New Roman" w:cs="Times New Roman"/>
          <w:vertAlign w:val="subscript"/>
        </w:rPr>
        <w:tab/>
      </w:r>
      <w:r>
        <w:rPr>
          <w:rFonts w:ascii="Times New Roman" w:hAnsi="Times New Roman" w:cs="Times New Roman"/>
          <w:vertAlign w:val="subscript"/>
        </w:rPr>
        <w:tab/>
      </w:r>
      <w:r>
        <w:rPr>
          <w:rFonts w:ascii="Times New Roman" w:hAnsi="Times New Roman" w:cs="Times New Roman"/>
          <w:vertAlign w:val="subscript"/>
        </w:rPr>
        <w:tab/>
      </w:r>
      <w:r>
        <w:rPr>
          <w:rFonts w:ascii="Times New Roman" w:hAnsi="Times New Roman" w:cs="Times New Roman"/>
        </w:rPr>
        <w:t>(S1.4)</w:t>
      </w:r>
    </w:p>
    <w:p w:rsidR="006E52A2" w:rsidRDefault="006E52A2" w:rsidP="006E52A2">
      <w:pPr>
        <w:spacing w:before="240" w:line="480" w:lineRule="auto"/>
        <w:jc w:val="both"/>
        <w:rPr>
          <w:rFonts w:ascii="Times New Roman" w:hAnsi="Times New Roman" w:cs="Times New Roman"/>
        </w:rPr>
      </w:pPr>
      <w:r>
        <w:rPr>
          <w:rFonts w:ascii="Times New Roman" w:hAnsi="Times New Roman" w:cs="Times New Roman"/>
        </w:rPr>
        <w:t xml:space="preserve">According to (S1.4), </w:t>
      </w:r>
      <w:r>
        <w:rPr>
          <w:rFonts w:ascii="Times New Roman" w:hAnsi="Times New Roman" w:cs="Times New Roman"/>
          <w:i/>
          <w:lang w:val="el-GR"/>
        </w:rPr>
        <w:t>α</w:t>
      </w:r>
      <w:r>
        <w:rPr>
          <w:rFonts w:ascii="Times New Roman" w:hAnsi="Times New Roman" w:cs="Times New Roman"/>
        </w:rPr>
        <w:t xml:space="preserve"> is approximately proportional to </w:t>
      </w:r>
      <w:r>
        <w:rPr>
          <w:rFonts w:ascii="Times New Roman" w:hAnsi="Times New Roman" w:cs="Times New Roman"/>
          <w:i/>
        </w:rPr>
        <w:t>MI</w:t>
      </w:r>
      <w:r>
        <w:rPr>
          <w:rFonts w:ascii="Times New Roman" w:hAnsi="Times New Roman" w:cs="Times New Roman"/>
        </w:rPr>
        <w:t xml:space="preserve"> at low values of </w:t>
      </w:r>
      <w:r>
        <w:rPr>
          <w:rFonts w:ascii="Times New Roman" w:hAnsi="Times New Roman" w:cs="Times New Roman"/>
          <w:i/>
        </w:rPr>
        <w:t>MI</w:t>
      </w:r>
      <w:r>
        <w:rPr>
          <w:rFonts w:ascii="Times New Roman" w:hAnsi="Times New Roman" w:cs="Times New Roman"/>
        </w:rPr>
        <w:t>, approaching an asymptotic value</w:t>
      </w:r>
      <w:r>
        <w:rPr>
          <w:rFonts w:ascii="Times New Roman" w:hAnsi="Times New Roman" w:cs="Times New Roman"/>
          <w:i/>
        </w:rPr>
        <w:t xml:space="preserve"> </w:t>
      </w:r>
      <w:r>
        <w:rPr>
          <w:rFonts w:ascii="Times New Roman" w:hAnsi="Times New Roman" w:cs="Times New Roman"/>
        </w:rPr>
        <w:t xml:space="preserve">of unity as </w:t>
      </w:r>
      <w:r>
        <w:rPr>
          <w:rFonts w:ascii="Times New Roman" w:hAnsi="Times New Roman" w:cs="Times New Roman"/>
          <w:i/>
        </w:rPr>
        <w:t>MI</w:t>
      </w:r>
      <w:r>
        <w:rPr>
          <w:rFonts w:ascii="Times New Roman" w:hAnsi="Times New Roman" w:cs="Times New Roman"/>
        </w:rPr>
        <w:t xml:space="preserve"> becomes large. </w:t>
      </w:r>
    </w:p>
    <w:p w:rsidR="006E52A2" w:rsidRDefault="006E52A2" w:rsidP="006E52A2">
      <w:pPr>
        <w:spacing w:before="240" w:line="480" w:lineRule="auto"/>
        <w:jc w:val="both"/>
        <w:rPr>
          <w:rFonts w:ascii="Calibri" w:hAnsi="Calibri" w:cs="Calibri"/>
          <w:i/>
          <w:iCs/>
        </w:rPr>
      </w:pPr>
      <w:r>
        <w:rPr>
          <w:rFonts w:ascii="Calibri" w:hAnsi="Calibri" w:cs="Calibri"/>
          <w:i/>
          <w:iCs/>
        </w:rPr>
        <w:lastRenderedPageBreak/>
        <w:t>Measures used in this paper</w:t>
      </w:r>
    </w:p>
    <w:p w:rsidR="006E52A2" w:rsidRPr="00452E18" w:rsidRDefault="006E52A2" w:rsidP="006E52A2">
      <w:pPr>
        <w:spacing w:before="240" w:line="480" w:lineRule="auto"/>
        <w:jc w:val="both"/>
        <w:rPr>
          <w:rFonts w:ascii="Times New Roman" w:hAnsi="Times New Roman" w:cs="Times New Roman"/>
          <w:lang w:val="el-GR"/>
        </w:rPr>
      </w:pPr>
      <w:r>
        <w:rPr>
          <w:rFonts w:ascii="Times New Roman" w:hAnsi="Times New Roman" w:cs="Times New Roman"/>
        </w:rPr>
        <w:t>We use two environmental variables to characterize the site hydroclimates: Moisture Index (</w:t>
      </w:r>
      <w:r w:rsidRPr="00452E18">
        <w:rPr>
          <w:rFonts w:ascii="Times New Roman" w:hAnsi="Times New Roman" w:cs="Times New Roman"/>
          <w:i/>
        </w:rPr>
        <w:t>MI</w:t>
      </w:r>
      <w:r>
        <w:rPr>
          <w:rFonts w:ascii="Times New Roman" w:hAnsi="Times New Roman" w:cs="Times New Roman"/>
        </w:rPr>
        <w:t xml:space="preserve">) and evaporation deficit, </w:t>
      </w:r>
      <w:r w:rsidRPr="00C90D6D">
        <w:rPr>
          <w:rFonts w:ascii="Times New Roman" w:hAnsi="Times New Roman" w:cs="Times New Roman"/>
          <w:i/>
          <w:lang w:val="el-GR"/>
        </w:rPr>
        <w:t>Δ</w:t>
      </w:r>
      <w:r w:rsidRPr="00C90D6D">
        <w:rPr>
          <w:rFonts w:ascii="Times New Roman" w:hAnsi="Times New Roman" w:cs="Times New Roman"/>
          <w:i/>
        </w:rPr>
        <w:t>E</w:t>
      </w:r>
      <w:r>
        <w:rPr>
          <w:rFonts w:ascii="Times New Roman" w:hAnsi="Times New Roman" w:cs="Times New Roman"/>
        </w:rPr>
        <w:t xml:space="preserve"> = </w:t>
      </w:r>
      <w:r>
        <w:rPr>
          <w:rFonts w:ascii="Times New Roman" w:hAnsi="Times New Roman" w:cs="Times New Roman"/>
          <w:i/>
        </w:rPr>
        <w:t>E</w:t>
      </w:r>
      <w:r>
        <w:rPr>
          <w:rFonts w:ascii="Times New Roman" w:hAnsi="Times New Roman" w:cs="Times New Roman"/>
          <w:i/>
          <w:vertAlign w:val="subscript"/>
        </w:rPr>
        <w:t>q</w:t>
      </w:r>
      <w:r>
        <w:rPr>
          <w:rFonts w:ascii="Times New Roman" w:hAnsi="Times New Roman" w:cs="Times New Roman"/>
        </w:rPr>
        <w:t xml:space="preserve"> </w:t>
      </w:r>
      <w:r>
        <w:rPr>
          <w:rFonts w:ascii="Times New Roman" w:hAnsi="Times New Roman" w:cs="Times New Roman"/>
        </w:rPr>
        <w:sym w:font="Symbol" w:char="F02D"/>
      </w:r>
      <w:r>
        <w:rPr>
          <w:rFonts w:ascii="Times New Roman" w:hAnsi="Times New Roman" w:cs="Times New Roman"/>
        </w:rPr>
        <w:t xml:space="preserve"> </w:t>
      </w:r>
      <w:proofErr w:type="spellStart"/>
      <w:r>
        <w:rPr>
          <w:rFonts w:ascii="Times New Roman" w:hAnsi="Times New Roman" w:cs="Times New Roman"/>
          <w:i/>
        </w:rPr>
        <w:t>E</w:t>
      </w:r>
      <w:r>
        <w:rPr>
          <w:rFonts w:ascii="Times New Roman" w:hAnsi="Times New Roman" w:cs="Times New Roman"/>
          <w:i/>
          <w:vertAlign w:val="subscript"/>
        </w:rPr>
        <w:t>a</w:t>
      </w:r>
      <w:proofErr w:type="spellEnd"/>
      <w:r>
        <w:rPr>
          <w:rFonts w:ascii="Times New Roman" w:hAnsi="Times New Roman" w:cs="Times New Roman"/>
        </w:rPr>
        <w:t xml:space="preserve">  =  </w:t>
      </w:r>
      <w:r>
        <w:rPr>
          <w:rFonts w:ascii="Times New Roman" w:hAnsi="Times New Roman" w:cs="Times New Roman"/>
          <w:i/>
        </w:rPr>
        <w:t>E</w:t>
      </w:r>
      <w:r>
        <w:rPr>
          <w:rFonts w:ascii="Times New Roman" w:hAnsi="Times New Roman" w:cs="Times New Roman"/>
          <w:i/>
          <w:vertAlign w:val="subscript"/>
        </w:rPr>
        <w:t>q</w:t>
      </w:r>
      <w:r>
        <w:rPr>
          <w:rFonts w:ascii="Times New Roman" w:hAnsi="Times New Roman" w:cs="Times New Roman"/>
        </w:rPr>
        <w:t xml:space="preserve"> (1 </w:t>
      </w:r>
      <w:r>
        <w:rPr>
          <w:rFonts w:ascii="Times New Roman" w:hAnsi="Times New Roman" w:cs="Times New Roman"/>
        </w:rPr>
        <w:sym w:font="Symbol" w:char="F02D"/>
      </w:r>
      <w:r>
        <w:rPr>
          <w:rFonts w:ascii="Times New Roman" w:hAnsi="Times New Roman" w:cs="Times New Roman"/>
        </w:rPr>
        <w:t xml:space="preserve"> </w:t>
      </w:r>
      <w:r w:rsidRPr="00C90D6D">
        <w:rPr>
          <w:rFonts w:ascii="Times New Roman" w:hAnsi="Times New Roman" w:cs="Times New Roman"/>
          <w:i/>
          <w:lang w:val="el-GR"/>
        </w:rPr>
        <w:t>α</w:t>
      </w:r>
      <w:r>
        <w:rPr>
          <w:rFonts w:ascii="Times New Roman" w:hAnsi="Times New Roman" w:cs="Times New Roman"/>
        </w:rPr>
        <w:t xml:space="preserve">). We calculated </w:t>
      </w:r>
      <w:r w:rsidRPr="00114722">
        <w:rPr>
          <w:rFonts w:ascii="Times New Roman" w:hAnsi="Times New Roman" w:cs="Times New Roman"/>
          <w:i/>
          <w:lang w:val="el-GR"/>
        </w:rPr>
        <w:t>α</w:t>
      </w:r>
      <w:r>
        <w:rPr>
          <w:rFonts w:ascii="Times New Roman" w:hAnsi="Times New Roman" w:cs="Times New Roman"/>
        </w:rPr>
        <w:t xml:space="preserve"> from climatological data using the Cramer-Prentice algorithm (Cramer &amp; Prentice 1988, </w:t>
      </w:r>
      <w:r>
        <w:rPr>
          <w:rFonts w:ascii="Times New Roman" w:hAnsi="Times New Roman" w:cs="Times New Roman"/>
          <w:lang w:val="el-GR"/>
        </w:rPr>
        <w:t xml:space="preserve">Gallego-Sala </w:t>
      </w:r>
      <w:r>
        <w:rPr>
          <w:rFonts w:ascii="Times New Roman" w:hAnsi="Times New Roman" w:cs="Times New Roman"/>
          <w:i/>
          <w:lang w:val="el-GR"/>
        </w:rPr>
        <w:t>et al.</w:t>
      </w:r>
      <w:r>
        <w:rPr>
          <w:rFonts w:ascii="Times New Roman" w:hAnsi="Times New Roman" w:cs="Times New Roman"/>
          <w:lang w:val="el-GR"/>
        </w:rPr>
        <w:t xml:space="preserve"> 2010). This uses monthly precipitation data, and </w:t>
      </w:r>
      <w:r>
        <w:rPr>
          <w:rFonts w:ascii="Times New Roman" w:hAnsi="Times New Roman" w:cs="Times New Roman"/>
          <w:i/>
          <w:lang w:val="el-GR"/>
        </w:rPr>
        <w:t>E</w:t>
      </w:r>
      <w:r>
        <w:rPr>
          <w:rFonts w:ascii="Times New Roman" w:hAnsi="Times New Roman" w:cs="Times New Roman"/>
          <w:i/>
          <w:vertAlign w:val="subscript"/>
          <w:lang w:val="el-GR"/>
        </w:rPr>
        <w:t>q</w:t>
      </w:r>
      <w:r>
        <w:rPr>
          <w:rFonts w:ascii="Times New Roman" w:hAnsi="Times New Roman" w:cs="Times New Roman"/>
          <w:i/>
          <w:lang w:val="el-GR"/>
        </w:rPr>
        <w:t xml:space="preserve"> </w:t>
      </w:r>
      <w:r>
        <w:rPr>
          <w:rFonts w:ascii="Times New Roman" w:hAnsi="Times New Roman" w:cs="Times New Roman"/>
          <w:lang w:val="el-GR"/>
        </w:rPr>
        <w:t xml:space="preserve">values derived from Linacre’s (1968) approximation for </w:t>
      </w:r>
      <w:r>
        <w:rPr>
          <w:rFonts w:ascii="Times New Roman" w:hAnsi="Times New Roman" w:cs="Times New Roman"/>
          <w:i/>
          <w:lang w:val="el-GR"/>
        </w:rPr>
        <w:t>R</w:t>
      </w:r>
      <w:r>
        <w:rPr>
          <w:rFonts w:ascii="Times New Roman" w:hAnsi="Times New Roman" w:cs="Times New Roman"/>
          <w:i/>
          <w:vertAlign w:val="subscript"/>
          <w:lang w:val="el-GR"/>
        </w:rPr>
        <w:t>n</w:t>
      </w:r>
      <w:r>
        <w:rPr>
          <w:rFonts w:ascii="Times New Roman" w:hAnsi="Times New Roman" w:cs="Times New Roman"/>
          <w:lang w:val="el-GR"/>
        </w:rPr>
        <w:t xml:space="preserve">, to compute a generic soil water balance on a ‘quasi-daily’ timestep. In other words, the computation is made daily (for numerical stability) although the precipitation data are monthly, and precipitation is supplied to the soil steadily (in equal amounts on each day of the month) rather than more realistically in discrete events. The soil is represented as a single </w:t>
      </w:r>
      <w:r>
        <w:rPr>
          <w:rFonts w:ascii="Times New Roman" w:hAnsi="Times New Roman" w:cs="Times New Roman"/>
        </w:rPr>
        <w:t xml:space="preserve">bucket with 150 mm capacity (note that this type of model has a very low sensitivity to realistic variations in the depth of the bucket, and therefore to soil type). </w:t>
      </w:r>
      <w:r>
        <w:rPr>
          <w:rFonts w:ascii="Times New Roman" w:hAnsi="Times New Roman" w:cs="Times New Roman"/>
          <w:lang w:val="el-GR"/>
        </w:rPr>
        <w:t xml:space="preserve">At each timestep, </w:t>
      </w:r>
      <w:r>
        <w:rPr>
          <w:rFonts w:ascii="Times New Roman" w:hAnsi="Times New Roman" w:cs="Times New Roman"/>
          <w:i/>
          <w:lang w:val="el-GR"/>
        </w:rPr>
        <w:t>E</w:t>
      </w:r>
      <w:r>
        <w:rPr>
          <w:rFonts w:ascii="Times New Roman" w:hAnsi="Times New Roman" w:cs="Times New Roman"/>
          <w:i/>
          <w:vertAlign w:val="subscript"/>
          <w:lang w:val="el-GR"/>
        </w:rPr>
        <w:t>a</w:t>
      </w:r>
      <w:r>
        <w:rPr>
          <w:rFonts w:ascii="Times New Roman" w:hAnsi="Times New Roman" w:cs="Times New Roman"/>
          <w:lang w:val="el-GR"/>
        </w:rPr>
        <w:t xml:space="preserve"> is determined analytically as the daily integral (assuming an idealized sinusoidal time course of short-wave radiation, proportional to the time course of extraterrestrial radiation) of the lesser of two instantaneous quantitities: a ‘demand’ term (</w:t>
      </w:r>
      <w:r>
        <w:rPr>
          <w:rFonts w:ascii="Times New Roman" w:hAnsi="Times New Roman" w:cs="Times New Roman"/>
          <w:i/>
          <w:lang w:val="el-GR"/>
        </w:rPr>
        <w:t>E</w:t>
      </w:r>
      <w:r>
        <w:rPr>
          <w:rFonts w:ascii="Times New Roman" w:hAnsi="Times New Roman" w:cs="Times New Roman"/>
          <w:i/>
          <w:vertAlign w:val="subscript"/>
          <w:lang w:val="el-GR"/>
        </w:rPr>
        <w:t>q</w:t>
      </w:r>
      <w:r>
        <w:rPr>
          <w:rFonts w:ascii="Times New Roman" w:hAnsi="Times New Roman" w:cs="Times New Roman"/>
          <w:lang w:val="el-GR"/>
        </w:rPr>
        <w:t>) and a ‘supply’ term, taken to be a maximum rate (1 mm h</w:t>
      </w:r>
      <w:r>
        <w:rPr>
          <w:rFonts w:ascii="Times New Roman" w:hAnsi="Times New Roman" w:cs="Times New Roman"/>
          <w:vertAlign w:val="superscript"/>
          <w:lang w:val="el-GR"/>
        </w:rPr>
        <w:t>-1</w:t>
      </w:r>
      <w:r>
        <w:rPr>
          <w:rFonts w:ascii="Times New Roman" w:hAnsi="Times New Roman" w:cs="Times New Roman"/>
          <w:lang w:val="el-GR"/>
        </w:rPr>
        <w:t xml:space="preserve">) multiplied by </w:t>
      </w:r>
      <w:r w:rsidRPr="0041027A">
        <w:rPr>
          <w:rFonts w:ascii="Times New Roman" w:hAnsi="Times New Roman" w:cs="Times New Roman"/>
          <w:i/>
          <w:lang w:val="el-GR"/>
        </w:rPr>
        <w:t>W</w:t>
      </w:r>
      <w:r>
        <w:rPr>
          <w:rFonts w:ascii="Times New Roman" w:hAnsi="Times New Roman" w:cs="Times New Roman"/>
          <w:lang w:val="el-GR"/>
        </w:rPr>
        <w:t>/</w:t>
      </w:r>
      <w:r w:rsidRPr="0041027A">
        <w:rPr>
          <w:rFonts w:ascii="Times New Roman" w:hAnsi="Times New Roman" w:cs="Times New Roman"/>
          <w:i/>
          <w:lang w:val="el-GR"/>
        </w:rPr>
        <w:t>W</w:t>
      </w:r>
      <w:r w:rsidRPr="0041027A">
        <w:rPr>
          <w:rFonts w:ascii="Times New Roman" w:hAnsi="Times New Roman" w:cs="Times New Roman"/>
          <w:i/>
          <w:vertAlign w:val="subscript"/>
          <w:lang w:val="el-GR"/>
        </w:rPr>
        <w:t>max</w:t>
      </w:r>
      <w:r>
        <w:rPr>
          <w:rFonts w:ascii="Times New Roman" w:hAnsi="Times New Roman" w:cs="Times New Roman"/>
          <w:lang w:val="el-GR"/>
        </w:rPr>
        <w:t xml:space="preserve">, where </w:t>
      </w:r>
      <w:r w:rsidRPr="0041027A">
        <w:rPr>
          <w:rFonts w:ascii="Times New Roman" w:hAnsi="Times New Roman" w:cs="Times New Roman"/>
          <w:i/>
          <w:lang w:val="el-GR"/>
        </w:rPr>
        <w:t>W</w:t>
      </w:r>
      <w:r>
        <w:rPr>
          <w:rFonts w:ascii="Times New Roman" w:hAnsi="Times New Roman" w:cs="Times New Roman"/>
          <w:lang w:val="el-GR"/>
        </w:rPr>
        <w:t xml:space="preserve"> is the amount of water in the bucket and </w:t>
      </w:r>
      <w:r w:rsidRPr="0041027A">
        <w:rPr>
          <w:rFonts w:ascii="Times New Roman" w:hAnsi="Times New Roman" w:cs="Times New Roman"/>
          <w:i/>
          <w:lang w:val="el-GR"/>
        </w:rPr>
        <w:t>W</w:t>
      </w:r>
      <w:r w:rsidRPr="0041027A">
        <w:rPr>
          <w:rFonts w:ascii="Times New Roman" w:hAnsi="Times New Roman" w:cs="Times New Roman"/>
          <w:i/>
          <w:vertAlign w:val="subscript"/>
          <w:lang w:val="el-GR"/>
        </w:rPr>
        <w:t>max</w:t>
      </w:r>
      <w:r>
        <w:rPr>
          <w:rFonts w:ascii="Times New Roman" w:hAnsi="Times New Roman" w:cs="Times New Roman"/>
          <w:lang w:val="el-GR"/>
        </w:rPr>
        <w:t xml:space="preserve"> is the available water-holding capacity (150 mm). Runoff occurs whenever </w:t>
      </w:r>
      <w:r>
        <w:rPr>
          <w:rFonts w:ascii="Times New Roman" w:hAnsi="Times New Roman" w:cs="Times New Roman"/>
          <w:i/>
          <w:lang w:val="el-GR"/>
        </w:rPr>
        <w:t>W</w:t>
      </w:r>
      <w:r>
        <w:rPr>
          <w:rFonts w:ascii="Times New Roman" w:hAnsi="Times New Roman" w:cs="Times New Roman"/>
          <w:lang w:val="el-GR"/>
        </w:rPr>
        <w:t xml:space="preserve"> = </w:t>
      </w:r>
      <w:r>
        <w:rPr>
          <w:rFonts w:ascii="Times New Roman" w:hAnsi="Times New Roman" w:cs="Times New Roman"/>
          <w:i/>
          <w:lang w:val="el-GR"/>
        </w:rPr>
        <w:t>W</w:t>
      </w:r>
      <w:r>
        <w:rPr>
          <w:rFonts w:ascii="Times New Roman" w:hAnsi="Times New Roman" w:cs="Times New Roman"/>
          <w:i/>
          <w:vertAlign w:val="subscript"/>
          <w:lang w:val="el-GR"/>
        </w:rPr>
        <w:t>max</w:t>
      </w:r>
      <w:r>
        <w:rPr>
          <w:rFonts w:ascii="Times New Roman" w:hAnsi="Times New Roman" w:cs="Times New Roman"/>
          <w:lang w:val="el-GR"/>
        </w:rPr>
        <w:t xml:space="preserve">. The procedure is started with </w:t>
      </w:r>
      <w:r>
        <w:rPr>
          <w:rFonts w:ascii="Times New Roman" w:hAnsi="Times New Roman" w:cs="Times New Roman"/>
          <w:i/>
          <w:lang w:val="el-GR"/>
        </w:rPr>
        <w:t>W</w:t>
      </w:r>
      <w:r>
        <w:rPr>
          <w:rFonts w:ascii="Times New Roman" w:hAnsi="Times New Roman" w:cs="Times New Roman"/>
          <w:lang w:val="el-GR"/>
        </w:rPr>
        <w:t xml:space="preserve"> = 0 and iterated to convergence on a stable seasonal cycle of </w:t>
      </w:r>
      <w:r>
        <w:rPr>
          <w:rFonts w:ascii="Times New Roman" w:hAnsi="Times New Roman" w:cs="Times New Roman"/>
          <w:i/>
          <w:lang w:val="el-GR"/>
        </w:rPr>
        <w:t>W</w:t>
      </w:r>
      <w:r>
        <w:rPr>
          <w:rFonts w:ascii="Times New Roman" w:hAnsi="Times New Roman" w:cs="Times New Roman"/>
          <w:lang w:val="el-GR"/>
        </w:rPr>
        <w:t>.</w:t>
      </w:r>
    </w:p>
    <w:p w:rsidR="006E52A2" w:rsidRPr="00B34A59" w:rsidRDefault="006E52A2" w:rsidP="006E52A2">
      <w:pPr>
        <w:spacing w:before="240" w:line="480" w:lineRule="auto"/>
        <w:jc w:val="both"/>
        <w:rPr>
          <w:rFonts w:ascii="Times New Roman" w:hAnsi="Times New Roman" w:cs="Times New Roman"/>
        </w:rPr>
      </w:pPr>
      <w:r>
        <w:rPr>
          <w:rFonts w:ascii="Times New Roman" w:hAnsi="Times New Roman" w:cs="Times New Roman"/>
          <w:i/>
          <w:lang w:val="el-GR"/>
        </w:rPr>
        <w:t>MI</w:t>
      </w:r>
      <w:r>
        <w:rPr>
          <w:rFonts w:ascii="Times New Roman" w:hAnsi="Times New Roman" w:cs="Times New Roman"/>
          <w:lang w:val="el-GR"/>
        </w:rPr>
        <w:t xml:space="preserve"> (or its reciprocal, the Aridity Index: Arora 2002) is a simple and widely used general index of climatic water availability. It is more appropriate for many purposes than mean annual precipitation because it recognizes the importance of evaporative demand, which increases towards the tropics, through division by</w:t>
      </w:r>
      <w:r w:rsidRPr="00452E18">
        <w:rPr>
          <w:rFonts w:ascii="Times New Roman" w:hAnsi="Times New Roman" w:cs="Times New Roman"/>
          <w:i/>
          <w:lang w:val="el-GR"/>
        </w:rPr>
        <w:t xml:space="preserve"> E</w:t>
      </w:r>
      <w:r w:rsidRPr="00452E18">
        <w:rPr>
          <w:rFonts w:ascii="Times New Roman" w:hAnsi="Times New Roman" w:cs="Times New Roman"/>
          <w:i/>
          <w:vertAlign w:val="subscript"/>
          <w:lang w:val="el-GR"/>
        </w:rPr>
        <w:t>q</w:t>
      </w:r>
      <w:r>
        <w:rPr>
          <w:rFonts w:ascii="Times New Roman" w:hAnsi="Times New Roman" w:cs="Times New Roman"/>
          <w:lang w:val="el-GR"/>
        </w:rPr>
        <w:t xml:space="preserve">. An alternative rationale for </w:t>
      </w:r>
      <w:r>
        <w:rPr>
          <w:rFonts w:ascii="Times New Roman" w:hAnsi="Times New Roman" w:cs="Times New Roman"/>
          <w:i/>
          <w:lang w:val="el-GR"/>
        </w:rPr>
        <w:t>MI</w:t>
      </w:r>
      <w:r>
        <w:rPr>
          <w:rFonts w:ascii="Times New Roman" w:hAnsi="Times New Roman" w:cs="Times New Roman"/>
          <w:lang w:val="el-GR"/>
        </w:rPr>
        <w:t xml:space="preserve"> is provided by its close relationship to </w:t>
      </w:r>
      <w:r>
        <w:rPr>
          <w:rFonts w:ascii="Times New Roman" w:hAnsi="Times New Roman" w:cs="Times New Roman"/>
          <w:i/>
          <w:lang w:val="el-GR"/>
        </w:rPr>
        <w:t>α</w:t>
      </w:r>
      <w:r>
        <w:rPr>
          <w:rFonts w:ascii="Times New Roman" w:hAnsi="Times New Roman" w:cs="Times New Roman"/>
        </w:rPr>
        <w:t xml:space="preserve">, as expressed through equation (S1.4). Values of </w:t>
      </w:r>
      <w:r>
        <w:rPr>
          <w:rFonts w:ascii="Times New Roman" w:hAnsi="Times New Roman" w:cs="Times New Roman"/>
          <w:i/>
          <w:lang w:val="el-GR"/>
        </w:rPr>
        <w:t>α</w:t>
      </w:r>
      <w:r>
        <w:rPr>
          <w:rFonts w:ascii="Times New Roman" w:hAnsi="Times New Roman" w:cs="Times New Roman"/>
          <w:i/>
        </w:rPr>
        <w:t xml:space="preserve"> </w:t>
      </w:r>
      <w:r>
        <w:rPr>
          <w:rFonts w:ascii="Times New Roman" w:hAnsi="Times New Roman" w:cs="Times New Roman"/>
        </w:rPr>
        <w:t xml:space="preserve">estimated from </w:t>
      </w:r>
      <w:r>
        <w:rPr>
          <w:rFonts w:ascii="Times New Roman" w:hAnsi="Times New Roman" w:cs="Times New Roman"/>
          <w:i/>
        </w:rPr>
        <w:t>MI</w:t>
      </w:r>
      <w:r>
        <w:rPr>
          <w:rFonts w:ascii="Times New Roman" w:hAnsi="Times New Roman" w:cs="Times New Roman"/>
          <w:i/>
          <w:lang w:val="el-GR"/>
        </w:rPr>
        <w:t xml:space="preserve"> </w:t>
      </w:r>
      <w:r>
        <w:rPr>
          <w:rFonts w:ascii="Times New Roman" w:hAnsi="Times New Roman" w:cs="Times New Roman"/>
        </w:rPr>
        <w:t xml:space="preserve">following equation (S1.4) are highly correlated with </w:t>
      </w:r>
      <w:r w:rsidRPr="00CE1278">
        <w:rPr>
          <w:rFonts w:ascii="Times New Roman" w:hAnsi="Times New Roman" w:cs="Times New Roman"/>
          <w:lang w:val="el-GR"/>
        </w:rPr>
        <w:t>values</w:t>
      </w:r>
      <w:r>
        <w:rPr>
          <w:rFonts w:ascii="Times New Roman" w:hAnsi="Times New Roman" w:cs="Times New Roman"/>
          <w:i/>
          <w:lang w:val="el-GR"/>
        </w:rPr>
        <w:t xml:space="preserve"> </w:t>
      </w:r>
      <w:r>
        <w:rPr>
          <w:rFonts w:ascii="Times New Roman" w:hAnsi="Times New Roman" w:cs="Times New Roman"/>
        </w:rPr>
        <w:t xml:space="preserve">calculated using the Cramer-Prentice algorithm (Wang </w:t>
      </w:r>
      <w:r>
        <w:rPr>
          <w:rFonts w:ascii="Times New Roman" w:hAnsi="Times New Roman" w:cs="Times New Roman"/>
          <w:i/>
        </w:rPr>
        <w:t>et al.</w:t>
      </w:r>
      <w:r>
        <w:rPr>
          <w:rFonts w:ascii="Times New Roman" w:hAnsi="Times New Roman" w:cs="Times New Roman"/>
        </w:rPr>
        <w:t xml:space="preserve"> 2012). </w:t>
      </w:r>
      <w:r>
        <w:rPr>
          <w:rFonts w:ascii="Times New Roman" w:hAnsi="Times New Roman" w:cs="Times New Roman"/>
          <w:i/>
        </w:rPr>
        <w:t>MI</w:t>
      </w:r>
      <w:r>
        <w:rPr>
          <w:rFonts w:ascii="Times New Roman" w:hAnsi="Times New Roman" w:cs="Times New Roman"/>
        </w:rPr>
        <w:t xml:space="preserve"> and </w:t>
      </w:r>
      <w:r>
        <w:rPr>
          <w:rFonts w:ascii="Times New Roman" w:hAnsi="Times New Roman" w:cs="Times New Roman"/>
          <w:i/>
          <w:lang w:val="el-GR"/>
        </w:rPr>
        <w:t>α</w:t>
      </w:r>
      <w:r>
        <w:rPr>
          <w:rFonts w:ascii="Times New Roman" w:hAnsi="Times New Roman" w:cs="Times New Roman"/>
        </w:rPr>
        <w:t xml:space="preserve"> can thus be considered as alternative annual measures of the water supply available to plants. </w:t>
      </w:r>
      <w:r>
        <w:rPr>
          <w:rFonts w:ascii="Times New Roman" w:hAnsi="Times New Roman" w:cs="Times New Roman"/>
          <w:i/>
        </w:rPr>
        <w:t>MI</w:t>
      </w:r>
      <w:r>
        <w:rPr>
          <w:rFonts w:ascii="Times New Roman" w:hAnsi="Times New Roman" w:cs="Times New Roman"/>
        </w:rPr>
        <w:t xml:space="preserve"> has the advantage that high values, even after saturation of </w:t>
      </w:r>
      <w:r>
        <w:rPr>
          <w:rFonts w:ascii="Times New Roman" w:hAnsi="Times New Roman" w:cs="Times New Roman"/>
          <w:i/>
          <w:lang w:val="el-GR"/>
        </w:rPr>
        <w:t>α</w:t>
      </w:r>
      <w:r>
        <w:rPr>
          <w:rFonts w:ascii="Times New Roman" w:hAnsi="Times New Roman" w:cs="Times New Roman"/>
          <w:lang w:val="el-GR"/>
        </w:rPr>
        <w:t xml:space="preserve">, </w:t>
      </w:r>
      <w:r>
        <w:rPr>
          <w:rFonts w:ascii="Times New Roman" w:hAnsi="Times New Roman" w:cs="Times New Roman"/>
        </w:rPr>
        <w:t xml:space="preserve">may still reflect biologically meaningful climatic differences related to the frequency of dry days. Some extreme oceanic ecosystems and species depend on almost continuously wet conditions which are reflected in large values of </w:t>
      </w:r>
      <w:r>
        <w:rPr>
          <w:rFonts w:ascii="Times New Roman" w:hAnsi="Times New Roman" w:cs="Times New Roman"/>
          <w:i/>
        </w:rPr>
        <w:t>MI</w:t>
      </w:r>
      <w:r>
        <w:rPr>
          <w:rFonts w:ascii="Times New Roman" w:hAnsi="Times New Roman" w:cs="Times New Roman"/>
        </w:rPr>
        <w:t xml:space="preserve"> (Gallego-Sala &amp; Prentice 2013).</w:t>
      </w:r>
    </w:p>
    <w:p w:rsidR="006E52A2" w:rsidRDefault="006E52A2" w:rsidP="006E52A2">
      <w:pPr>
        <w:spacing w:before="240" w:line="480" w:lineRule="auto"/>
        <w:jc w:val="both"/>
        <w:rPr>
          <w:rFonts w:ascii="Times New Roman" w:hAnsi="Times New Roman" w:cs="Times New Roman"/>
        </w:rPr>
      </w:pPr>
      <w:r>
        <w:rPr>
          <w:rFonts w:ascii="Times New Roman" w:hAnsi="Times New Roman" w:cs="Times New Roman"/>
        </w:rPr>
        <w:t xml:space="preserve">On the other hand, stomata respond to variations in </w:t>
      </w:r>
      <w:r>
        <w:rPr>
          <w:rFonts w:ascii="Times New Roman" w:hAnsi="Times New Roman" w:cs="Times New Roman"/>
          <w:i/>
        </w:rPr>
        <w:t>D</w:t>
      </w:r>
      <w:r>
        <w:rPr>
          <w:rFonts w:ascii="Times New Roman" w:hAnsi="Times New Roman" w:cs="Times New Roman"/>
        </w:rPr>
        <w:t xml:space="preserve">. Maximum values of </w:t>
      </w:r>
      <w:r>
        <w:rPr>
          <w:rFonts w:ascii="Times New Roman" w:hAnsi="Times New Roman" w:cs="Times New Roman"/>
          <w:i/>
        </w:rPr>
        <w:t>D</w:t>
      </w:r>
      <w:r>
        <w:rPr>
          <w:rFonts w:ascii="Times New Roman" w:hAnsi="Times New Roman" w:cs="Times New Roman"/>
        </w:rPr>
        <w:t xml:space="preserve"> systematically increase towards the tropics because of the steep dependency of </w:t>
      </w:r>
      <w:r>
        <w:rPr>
          <w:rFonts w:ascii="Times New Roman" w:hAnsi="Times New Roman" w:cs="Times New Roman"/>
          <w:i/>
        </w:rPr>
        <w:t>e</w:t>
      </w:r>
      <w:r>
        <w:rPr>
          <w:rFonts w:ascii="Times New Roman" w:hAnsi="Times New Roman" w:cs="Times New Roman"/>
          <w:i/>
          <w:vertAlign w:val="subscript"/>
        </w:rPr>
        <w:t>s</w:t>
      </w:r>
      <w:r>
        <w:rPr>
          <w:rFonts w:ascii="Times New Roman" w:hAnsi="Times New Roman" w:cs="Times New Roman"/>
        </w:rPr>
        <w:t xml:space="preserve"> on temperature. To relate </w:t>
      </w:r>
      <w:r>
        <w:rPr>
          <w:rFonts w:ascii="Times New Roman" w:hAnsi="Times New Roman" w:cs="Times New Roman"/>
          <w:i/>
        </w:rPr>
        <w:t>D</w:t>
      </w:r>
      <w:r>
        <w:rPr>
          <w:rFonts w:ascii="Times New Roman" w:hAnsi="Times New Roman" w:cs="Times New Roman"/>
        </w:rPr>
        <w:t xml:space="preserve"> to evapotranspiration, we use the empirical large-area formula introduced by Monteith (1995):</w:t>
      </w:r>
    </w:p>
    <w:p w:rsidR="006E52A2" w:rsidRDefault="006E52A2" w:rsidP="006E52A2">
      <w:pPr>
        <w:spacing w:before="240" w:line="480" w:lineRule="auto"/>
        <w:jc w:val="both"/>
        <w:rPr>
          <w:rFonts w:ascii="Times New Roman" w:hAnsi="Times New Roman" w:cs="Times New Roman"/>
        </w:rPr>
      </w:pPr>
      <w:proofErr w:type="spellStart"/>
      <w:r>
        <w:rPr>
          <w:rFonts w:ascii="Times New Roman" w:hAnsi="Times New Roman" w:cs="Times New Roman"/>
          <w:i/>
        </w:rPr>
        <w:t>E</w:t>
      </w:r>
      <w:r>
        <w:rPr>
          <w:rFonts w:ascii="Times New Roman" w:hAnsi="Times New Roman" w:cs="Times New Roman"/>
          <w:i/>
          <w:vertAlign w:val="subscript"/>
        </w:rPr>
        <w:t>a</w:t>
      </w:r>
      <w:proofErr w:type="spellEnd"/>
      <w:r>
        <w:rPr>
          <w:rFonts w:ascii="Times New Roman" w:hAnsi="Times New Roman" w:cs="Times New Roman"/>
        </w:rPr>
        <w:t xml:space="preserve">  =  (1 + </w:t>
      </w:r>
      <w:r w:rsidRPr="00613FE8">
        <w:rPr>
          <w:rFonts w:ascii="Times New Roman" w:hAnsi="Times New Roman" w:cs="Times New Roman"/>
          <w:i/>
          <w:lang w:val="el-GR"/>
        </w:rPr>
        <w:t>ω</w:t>
      </w:r>
      <w:r>
        <w:rPr>
          <w:rFonts w:ascii="Times New Roman" w:hAnsi="Times New Roman" w:cs="Times New Roman"/>
          <w:lang w:val="el-GR"/>
        </w:rPr>
        <w:t xml:space="preserve">) </w:t>
      </w:r>
      <w:r w:rsidRPr="00613FE8">
        <w:rPr>
          <w:rFonts w:ascii="Times New Roman" w:hAnsi="Times New Roman" w:cs="Times New Roman"/>
          <w:i/>
          <w:lang w:val="el-GR"/>
        </w:rPr>
        <w:t>E</w:t>
      </w:r>
      <w:r w:rsidRPr="00613FE8">
        <w:rPr>
          <w:rFonts w:ascii="Times New Roman" w:hAnsi="Times New Roman" w:cs="Times New Roman"/>
          <w:i/>
          <w:vertAlign w:val="subscript"/>
          <w:lang w:val="el-GR"/>
        </w:rPr>
        <w:t>q</w:t>
      </w:r>
      <w:r>
        <w:rPr>
          <w:rFonts w:ascii="Times New Roman" w:hAnsi="Times New Roman" w:cs="Times New Roman"/>
          <w:lang w:val="el-GR"/>
        </w:rPr>
        <w:t xml:space="preserve"> </w:t>
      </w:r>
      <w:r>
        <w:rPr>
          <w:rFonts w:ascii="Times New Roman" w:hAnsi="Times New Roman" w:cs="Times New Roman"/>
          <w:i/>
          <w:lang w:val="el-GR"/>
        </w:rPr>
        <w:t>g</w:t>
      </w:r>
      <w:r>
        <w:rPr>
          <w:rFonts w:ascii="Times New Roman" w:hAnsi="Times New Roman" w:cs="Times New Roman"/>
          <w:i/>
          <w:vertAlign w:val="subscript"/>
          <w:lang w:val="el-GR"/>
        </w:rPr>
        <w:t>s</w:t>
      </w:r>
      <w:r>
        <w:rPr>
          <w:rFonts w:ascii="Times New Roman" w:hAnsi="Times New Roman" w:cs="Times New Roman"/>
          <w:lang w:val="el-GR"/>
        </w:rPr>
        <w:t>/(</w:t>
      </w:r>
      <w:proofErr w:type="spellStart"/>
      <w:r>
        <w:rPr>
          <w:rFonts w:ascii="Times New Roman" w:hAnsi="Times New Roman" w:cs="Times New Roman"/>
          <w:i/>
        </w:rPr>
        <w:t>g</w:t>
      </w:r>
      <w:r>
        <w:rPr>
          <w:rFonts w:ascii="Times New Roman" w:hAnsi="Times New Roman" w:cs="Times New Roman"/>
          <w:i/>
          <w:vertAlign w:val="subscript"/>
        </w:rPr>
        <w:t>s</w:t>
      </w:r>
      <w:proofErr w:type="spellEnd"/>
      <w:r>
        <w:rPr>
          <w:rFonts w:ascii="Times New Roman" w:hAnsi="Times New Roman" w:cs="Times New Roman"/>
        </w:rPr>
        <w:t xml:space="preserve"> + </w:t>
      </w:r>
      <w:r>
        <w:rPr>
          <w:rFonts w:ascii="Times New Roman" w:hAnsi="Times New Roman" w:cs="Times New Roman"/>
          <w:i/>
        </w:rPr>
        <w:t>g</w:t>
      </w:r>
      <w:r>
        <w:rPr>
          <w:rFonts w:ascii="Times New Roman" w:hAnsi="Times New Roman" w:cs="Times New Roman"/>
          <w:i/>
          <w:vertAlign w:val="subscript"/>
        </w:rPr>
        <w:t>0</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(S1.5)</w:t>
      </w:r>
    </w:p>
    <w:p w:rsidR="006E52A2" w:rsidRDefault="006E52A2" w:rsidP="006E52A2">
      <w:pPr>
        <w:spacing w:before="240" w:line="480" w:lineRule="auto"/>
        <w:jc w:val="both"/>
        <w:rPr>
          <w:rFonts w:ascii="Times New Roman" w:hAnsi="Times New Roman" w:cs="Times New Roman"/>
        </w:rPr>
      </w:pPr>
      <w:r>
        <w:rPr>
          <w:rFonts w:ascii="Times New Roman" w:hAnsi="Times New Roman" w:cs="Times New Roman"/>
        </w:rPr>
        <w:t xml:space="preserve">where </w:t>
      </w:r>
      <w:r>
        <w:rPr>
          <w:rFonts w:ascii="Times New Roman" w:hAnsi="Times New Roman" w:cs="Times New Roman"/>
          <w:i/>
        </w:rPr>
        <w:t>g</w:t>
      </w:r>
      <w:r>
        <w:rPr>
          <w:rFonts w:ascii="Times New Roman" w:hAnsi="Times New Roman" w:cs="Times New Roman"/>
          <w:i/>
          <w:vertAlign w:val="subscript"/>
        </w:rPr>
        <w:t>0</w:t>
      </w:r>
      <w:r>
        <w:rPr>
          <w:rFonts w:ascii="Times New Roman" w:hAnsi="Times New Roman" w:cs="Times New Roman"/>
        </w:rPr>
        <w:t xml:space="preserve"> is an atmospheric parameter, which has been found to vary over only a limited range (</w:t>
      </w:r>
      <w:proofErr w:type="spellStart"/>
      <w:r>
        <w:rPr>
          <w:rFonts w:ascii="Times New Roman" w:hAnsi="Times New Roman" w:cs="Times New Roman"/>
        </w:rPr>
        <w:t>Huntingford</w:t>
      </w:r>
      <w:proofErr w:type="spellEnd"/>
      <w:r>
        <w:rPr>
          <w:rFonts w:ascii="Times New Roman" w:hAnsi="Times New Roman" w:cs="Times New Roman"/>
        </w:rPr>
        <w:t xml:space="preserve"> &amp; Monteith, 1998), and </w:t>
      </w:r>
      <w:proofErr w:type="spellStart"/>
      <w:r>
        <w:rPr>
          <w:rFonts w:ascii="Times New Roman" w:hAnsi="Times New Roman" w:cs="Times New Roman"/>
          <w:i/>
        </w:rPr>
        <w:t>g</w:t>
      </w:r>
      <w:r>
        <w:rPr>
          <w:rFonts w:ascii="Times New Roman" w:hAnsi="Times New Roman" w:cs="Times New Roman"/>
          <w:i/>
          <w:vertAlign w:val="subscript"/>
        </w:rPr>
        <w:t>s</w:t>
      </w:r>
      <w:proofErr w:type="spellEnd"/>
      <w:r>
        <w:rPr>
          <w:rFonts w:ascii="Times New Roman" w:hAnsi="Times New Roman" w:cs="Times New Roman"/>
          <w:i/>
        </w:rPr>
        <w:t xml:space="preserve"> </w:t>
      </w:r>
      <w:r>
        <w:rPr>
          <w:rFonts w:ascii="Times New Roman" w:hAnsi="Times New Roman" w:cs="Times New Roman"/>
        </w:rPr>
        <w:t>refers to the bulk land-surface conductance. Substituting equation (S1.1) into (S1.5) yields, after re-arrangement:</w:t>
      </w:r>
    </w:p>
    <w:p w:rsidR="006E52A2" w:rsidRDefault="006E52A2" w:rsidP="006E52A2">
      <w:pPr>
        <w:spacing w:before="240" w:line="480" w:lineRule="auto"/>
        <w:jc w:val="both"/>
        <w:rPr>
          <w:rFonts w:ascii="Times New Roman" w:hAnsi="Times New Roman" w:cs="Times New Roman"/>
        </w:rPr>
      </w:pPr>
      <w:r>
        <w:rPr>
          <w:rFonts w:ascii="Times New Roman" w:hAnsi="Times New Roman" w:cs="Times New Roman"/>
          <w:i/>
        </w:rPr>
        <w:t xml:space="preserve">D  </w:t>
      </w:r>
      <w:r>
        <w:rPr>
          <w:rFonts w:ascii="Times New Roman" w:hAnsi="Times New Roman" w:cs="Times New Roman"/>
        </w:rPr>
        <w:t xml:space="preserve">=  </w:t>
      </w:r>
      <w:r>
        <w:rPr>
          <w:rFonts w:ascii="Times New Roman" w:hAnsi="Times New Roman" w:cs="Times New Roman"/>
          <w:i/>
        </w:rPr>
        <w:t>E</w:t>
      </w:r>
      <w:r>
        <w:rPr>
          <w:rFonts w:ascii="Times New Roman" w:hAnsi="Times New Roman" w:cs="Times New Roman"/>
          <w:i/>
          <w:vertAlign w:val="subscript"/>
        </w:rPr>
        <w:t>q</w:t>
      </w:r>
      <w:r>
        <w:rPr>
          <w:rFonts w:ascii="Times New Roman" w:hAnsi="Times New Roman" w:cs="Times New Roman"/>
        </w:rPr>
        <w:t xml:space="preserve"> (1 + </w:t>
      </w:r>
      <w:r w:rsidRPr="00AF6101">
        <w:rPr>
          <w:rFonts w:ascii="Times New Roman" w:hAnsi="Times New Roman" w:cs="Times New Roman"/>
          <w:i/>
          <w:lang w:val="el-GR"/>
        </w:rPr>
        <w:t>ω</w:t>
      </w:r>
      <w:r>
        <w:rPr>
          <w:rFonts w:ascii="Times New Roman" w:hAnsi="Times New Roman" w:cs="Times New Roman"/>
        </w:rPr>
        <w:t xml:space="preserve"> </w:t>
      </w:r>
      <w:r>
        <w:rPr>
          <w:rFonts w:ascii="Times New Roman" w:hAnsi="Times New Roman" w:cs="Times New Roman"/>
        </w:rPr>
        <w:sym w:font="Symbol" w:char="F02D"/>
      </w:r>
      <w:r>
        <w:rPr>
          <w:rFonts w:ascii="Times New Roman" w:hAnsi="Times New Roman" w:cs="Times New Roman"/>
        </w:rPr>
        <w:t xml:space="preserve"> </w:t>
      </w:r>
      <w:r>
        <w:rPr>
          <w:rFonts w:ascii="Times New Roman" w:hAnsi="Times New Roman" w:cs="Times New Roman"/>
          <w:i/>
          <w:lang w:val="el-GR"/>
        </w:rPr>
        <w:t>α</w:t>
      </w:r>
      <w:r>
        <w:rPr>
          <w:rFonts w:ascii="Times New Roman" w:hAnsi="Times New Roman" w:cs="Times New Roman"/>
        </w:rPr>
        <w:t>)/</w:t>
      </w:r>
      <w:r>
        <w:rPr>
          <w:rFonts w:ascii="Times New Roman" w:hAnsi="Times New Roman" w:cs="Times New Roman"/>
          <w:i/>
        </w:rPr>
        <w:t>g</w:t>
      </w:r>
      <w:r>
        <w:rPr>
          <w:rFonts w:ascii="Times New Roman" w:hAnsi="Times New Roman" w:cs="Times New Roman"/>
          <w:i/>
          <w:vertAlign w:val="subscript"/>
        </w:rPr>
        <w:t>0</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(S1.6)</w:t>
      </w:r>
    </w:p>
    <w:p w:rsidR="006E52A2" w:rsidRDefault="006E52A2" w:rsidP="006E52A2">
      <w:pPr>
        <w:spacing w:before="240" w:line="480" w:lineRule="auto"/>
        <w:jc w:val="both"/>
        <w:rPr>
          <w:rFonts w:ascii="Times New Roman" w:hAnsi="Times New Roman" w:cs="Times New Roman"/>
        </w:rPr>
      </w:pPr>
      <w:r>
        <w:rPr>
          <w:rFonts w:ascii="Times New Roman" w:hAnsi="Times New Roman" w:cs="Times New Roman"/>
        </w:rPr>
        <w:t xml:space="preserve">This relationship allows us to derive a long-term ‘effective value’ of </w:t>
      </w:r>
      <w:r>
        <w:rPr>
          <w:rFonts w:ascii="Times New Roman" w:hAnsi="Times New Roman" w:cs="Times New Roman"/>
          <w:i/>
        </w:rPr>
        <w:t>D</w:t>
      </w:r>
      <w:r>
        <w:rPr>
          <w:rFonts w:ascii="Times New Roman" w:hAnsi="Times New Roman" w:cs="Times New Roman"/>
        </w:rPr>
        <w:t xml:space="preserve"> from climatological values of </w:t>
      </w:r>
      <w:r>
        <w:rPr>
          <w:rFonts w:ascii="Times New Roman" w:hAnsi="Times New Roman" w:cs="Times New Roman"/>
          <w:i/>
        </w:rPr>
        <w:t>E</w:t>
      </w:r>
      <w:r>
        <w:rPr>
          <w:rFonts w:ascii="Times New Roman" w:hAnsi="Times New Roman" w:cs="Times New Roman"/>
          <w:i/>
          <w:vertAlign w:val="subscript"/>
        </w:rPr>
        <w:t>q</w:t>
      </w:r>
      <w:r>
        <w:rPr>
          <w:rFonts w:ascii="Times New Roman" w:hAnsi="Times New Roman" w:cs="Times New Roman"/>
        </w:rPr>
        <w:t xml:space="preserve"> and </w:t>
      </w:r>
      <w:r w:rsidRPr="00AF6101">
        <w:rPr>
          <w:rFonts w:ascii="Times New Roman" w:hAnsi="Times New Roman" w:cs="Times New Roman"/>
          <w:i/>
          <w:lang w:val="el-GR"/>
        </w:rPr>
        <w:t>α</w:t>
      </w:r>
      <w:r>
        <w:rPr>
          <w:rFonts w:ascii="Times New Roman" w:hAnsi="Times New Roman" w:cs="Times New Roman"/>
        </w:rPr>
        <w:t xml:space="preserve">. Treating </w:t>
      </w:r>
      <w:r>
        <w:rPr>
          <w:rFonts w:ascii="Times New Roman" w:hAnsi="Times New Roman" w:cs="Times New Roman"/>
          <w:i/>
        </w:rPr>
        <w:t>g</w:t>
      </w:r>
      <w:r>
        <w:rPr>
          <w:rFonts w:ascii="Times New Roman" w:hAnsi="Times New Roman" w:cs="Times New Roman"/>
          <w:i/>
          <w:vertAlign w:val="subscript"/>
        </w:rPr>
        <w:t>0</w:t>
      </w:r>
      <w:r>
        <w:rPr>
          <w:rFonts w:ascii="Times New Roman" w:hAnsi="Times New Roman" w:cs="Times New Roman"/>
        </w:rPr>
        <w:t xml:space="preserve"> as constant and neglecting </w:t>
      </w:r>
      <w:r w:rsidRPr="00AF6101">
        <w:rPr>
          <w:rFonts w:ascii="Times New Roman" w:hAnsi="Times New Roman" w:cs="Times New Roman"/>
          <w:i/>
          <w:lang w:val="el-GR"/>
        </w:rPr>
        <w:t>ω</w:t>
      </w:r>
      <w:r>
        <w:rPr>
          <w:rFonts w:ascii="Times New Roman" w:hAnsi="Times New Roman" w:cs="Times New Roman"/>
          <w:lang w:val="el-GR"/>
        </w:rPr>
        <w:t xml:space="preserve">, we obtain proportionality between </w:t>
      </w:r>
      <w:r>
        <w:rPr>
          <w:rFonts w:ascii="Times New Roman" w:hAnsi="Times New Roman" w:cs="Times New Roman"/>
          <w:i/>
          <w:lang w:val="el-GR"/>
        </w:rPr>
        <w:t>Δ</w:t>
      </w:r>
      <w:r>
        <w:rPr>
          <w:rFonts w:ascii="Times New Roman" w:hAnsi="Times New Roman" w:cs="Times New Roman"/>
          <w:i/>
        </w:rPr>
        <w:t>E</w:t>
      </w:r>
      <w:r>
        <w:rPr>
          <w:rFonts w:ascii="Times New Roman" w:hAnsi="Times New Roman" w:cs="Times New Roman"/>
        </w:rPr>
        <w:t xml:space="preserve"> </w:t>
      </w:r>
      <w:r>
        <w:rPr>
          <w:rFonts w:ascii="Times New Roman" w:hAnsi="Times New Roman" w:cs="Times New Roman"/>
          <w:lang w:val="el-GR"/>
        </w:rPr>
        <w:t xml:space="preserve">and </w:t>
      </w:r>
      <w:r>
        <w:rPr>
          <w:rFonts w:ascii="Times New Roman" w:hAnsi="Times New Roman" w:cs="Times New Roman"/>
          <w:i/>
          <w:lang w:val="el-GR"/>
        </w:rPr>
        <w:t>D</w:t>
      </w:r>
      <w:r>
        <w:rPr>
          <w:rFonts w:ascii="Times New Roman" w:hAnsi="Times New Roman" w:cs="Times New Roman"/>
          <w:lang w:val="el-GR"/>
        </w:rPr>
        <w:t xml:space="preserve"> and</w:t>
      </w:r>
      <w:r>
        <w:rPr>
          <w:rFonts w:ascii="Times New Roman" w:hAnsi="Times New Roman" w:cs="Times New Roman"/>
        </w:rPr>
        <w:t xml:space="preserve"> can therefore use the former as a proxy for the latter.</w:t>
      </w:r>
    </w:p>
    <w:p w:rsidR="006E52A2" w:rsidRDefault="006E52A2" w:rsidP="006E52A2">
      <w:pPr>
        <w:spacing w:before="240" w:line="480" w:lineRule="auto"/>
        <w:jc w:val="both"/>
        <w:rPr>
          <w:rFonts w:ascii="Times New Roman" w:hAnsi="Times New Roman" w:cs="Times New Roman"/>
        </w:rPr>
      </w:pPr>
      <w:r>
        <w:rPr>
          <w:rFonts w:ascii="Times New Roman" w:hAnsi="Times New Roman" w:cs="Times New Roman"/>
        </w:rPr>
        <w:t>Additional references not cited in the main text</w:t>
      </w:r>
    </w:p>
    <w:p w:rsidR="006E52A2" w:rsidRPr="00282DF1" w:rsidRDefault="006E52A2" w:rsidP="006E52A2">
      <w:pPr>
        <w:spacing w:before="240" w:line="480" w:lineRule="auto"/>
        <w:ind w:left="720" w:hanging="720"/>
        <w:jc w:val="both"/>
        <w:rPr>
          <w:rFonts w:ascii="Times New Roman" w:hAnsi="Times New Roman" w:cs="Times New Roman"/>
        </w:rPr>
      </w:pPr>
      <w:r>
        <w:rPr>
          <w:rFonts w:ascii="Times New Roman" w:hAnsi="Times New Roman" w:cs="Times New Roman"/>
        </w:rPr>
        <w:t xml:space="preserve">Arora, V.K. (2002). The use of the aridity index to assess climate change effect on annual runoff. </w:t>
      </w:r>
      <w:r w:rsidRPr="009E6D94">
        <w:rPr>
          <w:rFonts w:ascii="Times New Roman" w:hAnsi="Times New Roman" w:cs="Times New Roman"/>
          <w:i/>
        </w:rPr>
        <w:t xml:space="preserve">J. </w:t>
      </w:r>
      <w:proofErr w:type="spellStart"/>
      <w:r w:rsidRPr="009E6D94">
        <w:rPr>
          <w:rFonts w:ascii="Times New Roman" w:hAnsi="Times New Roman" w:cs="Times New Roman"/>
          <w:i/>
        </w:rPr>
        <w:t>Hydrol</w:t>
      </w:r>
      <w:proofErr w:type="spellEnd"/>
      <w:r w:rsidRPr="009E6D94">
        <w:rPr>
          <w:rFonts w:ascii="Times New Roman" w:hAnsi="Times New Roman" w:cs="Times New Roman"/>
          <w:i/>
        </w:rPr>
        <w:t>.</w:t>
      </w:r>
      <w:r>
        <w:rPr>
          <w:rFonts w:ascii="Times New Roman" w:hAnsi="Times New Roman" w:cs="Times New Roman"/>
        </w:rPr>
        <w:t>, 265, 164-177.</w:t>
      </w:r>
    </w:p>
    <w:p w:rsidR="006E52A2" w:rsidRPr="009A6428" w:rsidRDefault="006E52A2" w:rsidP="006E52A2">
      <w:pPr>
        <w:spacing w:before="240" w:line="480" w:lineRule="auto"/>
        <w:ind w:left="720" w:hanging="720"/>
        <w:jc w:val="both"/>
        <w:rPr>
          <w:rFonts w:ascii="Times New Roman" w:hAnsi="Times New Roman" w:cs="Times New Roman"/>
        </w:rPr>
      </w:pPr>
      <w:r>
        <w:rPr>
          <w:rFonts w:ascii="Times New Roman" w:hAnsi="Times New Roman" w:cs="Times New Roman"/>
        </w:rPr>
        <w:t xml:space="preserve">Cramer, W. &amp; Prentice, I.C. (1988). </w:t>
      </w:r>
      <w:r w:rsidRPr="009A6428">
        <w:rPr>
          <w:rFonts w:ascii="Times New Roman" w:hAnsi="Times New Roman"/>
        </w:rPr>
        <w:t xml:space="preserve">Simulation of regional soil moisture deficits on a European scale. </w:t>
      </w:r>
      <w:proofErr w:type="spellStart"/>
      <w:r w:rsidRPr="009E6D94">
        <w:rPr>
          <w:rFonts w:ascii="Times New Roman" w:hAnsi="Times New Roman"/>
          <w:i/>
        </w:rPr>
        <w:t>Norsk</w:t>
      </w:r>
      <w:proofErr w:type="spellEnd"/>
      <w:r w:rsidRPr="009E6D94">
        <w:rPr>
          <w:rFonts w:ascii="Times New Roman" w:hAnsi="Times New Roman"/>
          <w:i/>
        </w:rPr>
        <w:t xml:space="preserve"> </w:t>
      </w:r>
      <w:proofErr w:type="spellStart"/>
      <w:r w:rsidRPr="009E6D94">
        <w:rPr>
          <w:rFonts w:ascii="Times New Roman" w:hAnsi="Times New Roman"/>
          <w:i/>
        </w:rPr>
        <w:t>Geogr</w:t>
      </w:r>
      <w:proofErr w:type="spellEnd"/>
      <w:r w:rsidRPr="009E6D94">
        <w:rPr>
          <w:rFonts w:ascii="Times New Roman" w:hAnsi="Times New Roman"/>
          <w:i/>
        </w:rPr>
        <w:t xml:space="preserve">. </w:t>
      </w:r>
      <w:proofErr w:type="spellStart"/>
      <w:r w:rsidRPr="009E6D94">
        <w:rPr>
          <w:rFonts w:ascii="Times New Roman" w:hAnsi="Times New Roman"/>
          <w:i/>
        </w:rPr>
        <w:t>Tidsskr</w:t>
      </w:r>
      <w:proofErr w:type="spellEnd"/>
      <w:r>
        <w:rPr>
          <w:rFonts w:ascii="Times New Roman" w:hAnsi="Times New Roman"/>
        </w:rPr>
        <w:t>.,</w:t>
      </w:r>
      <w:r w:rsidRPr="009A6428">
        <w:rPr>
          <w:rFonts w:ascii="Times New Roman" w:hAnsi="Times New Roman"/>
        </w:rPr>
        <w:t xml:space="preserve"> 42</w:t>
      </w:r>
      <w:r>
        <w:rPr>
          <w:rFonts w:ascii="Times New Roman" w:hAnsi="Times New Roman"/>
        </w:rPr>
        <w:t>,</w:t>
      </w:r>
      <w:r w:rsidRPr="009A6428">
        <w:rPr>
          <w:rFonts w:ascii="Times New Roman" w:hAnsi="Times New Roman"/>
        </w:rPr>
        <w:t xml:space="preserve"> 149-151.</w:t>
      </w:r>
    </w:p>
    <w:p w:rsidR="006E52A2" w:rsidRDefault="006E52A2" w:rsidP="006E52A2">
      <w:pPr>
        <w:spacing w:before="240" w:line="480" w:lineRule="auto"/>
        <w:ind w:left="720" w:hanging="720"/>
        <w:jc w:val="both"/>
        <w:rPr>
          <w:rFonts w:ascii="Times New Roman" w:hAnsi="Times New Roman" w:cs="Times New Roman"/>
        </w:rPr>
      </w:pPr>
      <w:r>
        <w:rPr>
          <w:rFonts w:ascii="Times New Roman" w:hAnsi="Times New Roman" w:cs="Times New Roman"/>
        </w:rPr>
        <w:t xml:space="preserve">Fisher, J.B., Whittaker, R.J. &amp; </w:t>
      </w:r>
      <w:proofErr w:type="spellStart"/>
      <w:r>
        <w:rPr>
          <w:rFonts w:ascii="Times New Roman" w:hAnsi="Times New Roman" w:cs="Times New Roman"/>
        </w:rPr>
        <w:t>Malhi</w:t>
      </w:r>
      <w:proofErr w:type="spellEnd"/>
      <w:r>
        <w:rPr>
          <w:rFonts w:ascii="Times New Roman" w:hAnsi="Times New Roman" w:cs="Times New Roman"/>
        </w:rPr>
        <w:t xml:space="preserve">, Y. (2011). ET come home: potential evapotranspiration in geographical ecology. </w:t>
      </w:r>
      <w:r w:rsidRPr="009E6D94">
        <w:rPr>
          <w:rFonts w:ascii="Times New Roman" w:hAnsi="Times New Roman" w:cs="Times New Roman"/>
          <w:i/>
        </w:rPr>
        <w:t xml:space="preserve">Global Ecol. </w:t>
      </w:r>
      <w:proofErr w:type="spellStart"/>
      <w:r w:rsidRPr="009E6D94">
        <w:rPr>
          <w:rFonts w:ascii="Times New Roman" w:hAnsi="Times New Roman" w:cs="Times New Roman"/>
          <w:i/>
        </w:rPr>
        <w:t>Biogeogr</w:t>
      </w:r>
      <w:proofErr w:type="spellEnd"/>
      <w:r w:rsidRPr="009E6D94">
        <w:rPr>
          <w:rFonts w:ascii="Times New Roman" w:hAnsi="Times New Roman" w:cs="Times New Roman"/>
          <w:i/>
        </w:rPr>
        <w:t>.</w:t>
      </w:r>
      <w:r>
        <w:rPr>
          <w:rFonts w:ascii="Times New Roman" w:hAnsi="Times New Roman" w:cs="Times New Roman"/>
        </w:rPr>
        <w:t>, 20, 1-18.</w:t>
      </w:r>
    </w:p>
    <w:p w:rsidR="006E52A2" w:rsidRPr="00B86DE5" w:rsidRDefault="006E52A2" w:rsidP="006E52A2">
      <w:pPr>
        <w:spacing w:before="240" w:line="480" w:lineRule="auto"/>
        <w:ind w:left="720" w:hanging="720"/>
        <w:jc w:val="both"/>
        <w:rPr>
          <w:rFonts w:ascii="Times New Roman" w:hAnsi="Times New Roman" w:cs="Times New Roman"/>
        </w:rPr>
      </w:pPr>
      <w:r>
        <w:rPr>
          <w:rFonts w:ascii="Times New Roman" w:hAnsi="Times New Roman" w:cs="Times New Roman"/>
        </w:rPr>
        <w:t xml:space="preserve">Gallego-Sala, A. &amp; Prentice, I.C. (2013). </w:t>
      </w:r>
      <w:r w:rsidRPr="00B86DE5">
        <w:rPr>
          <w:rFonts w:ascii="Times New Roman" w:hAnsi="Times New Roman"/>
        </w:rPr>
        <w:t xml:space="preserve">Blanket peat biome endangered by climate change. </w:t>
      </w:r>
      <w:r w:rsidRPr="009E6D94">
        <w:rPr>
          <w:rFonts w:ascii="Times New Roman" w:hAnsi="Times New Roman"/>
          <w:i/>
        </w:rPr>
        <w:t>Nat</w:t>
      </w:r>
      <w:r>
        <w:rPr>
          <w:rFonts w:ascii="Times New Roman" w:hAnsi="Times New Roman"/>
          <w:i/>
        </w:rPr>
        <w:t>.</w:t>
      </w:r>
      <w:r w:rsidRPr="009E6D94">
        <w:rPr>
          <w:rFonts w:ascii="Times New Roman" w:hAnsi="Times New Roman"/>
          <w:i/>
        </w:rPr>
        <w:t xml:space="preserve"> </w:t>
      </w:r>
      <w:proofErr w:type="spellStart"/>
      <w:r w:rsidRPr="009E6D94">
        <w:rPr>
          <w:rFonts w:ascii="Times New Roman" w:hAnsi="Times New Roman"/>
          <w:i/>
        </w:rPr>
        <w:t>Clim</w:t>
      </w:r>
      <w:proofErr w:type="spellEnd"/>
      <w:r w:rsidRPr="009E6D94">
        <w:rPr>
          <w:rFonts w:ascii="Times New Roman" w:hAnsi="Times New Roman"/>
          <w:i/>
        </w:rPr>
        <w:t>. Change</w:t>
      </w:r>
      <w:r>
        <w:rPr>
          <w:rFonts w:ascii="Times New Roman" w:hAnsi="Times New Roman"/>
        </w:rPr>
        <w:t>,</w:t>
      </w:r>
      <w:r w:rsidRPr="00B86DE5">
        <w:rPr>
          <w:rFonts w:ascii="Times New Roman" w:hAnsi="Times New Roman"/>
        </w:rPr>
        <w:t xml:space="preserve"> </w:t>
      </w:r>
      <w:r w:rsidRPr="00B86DE5">
        <w:rPr>
          <w:rFonts w:ascii="Times New Roman" w:hAnsi="Times New Roman" w:cs="Calibri"/>
          <w:szCs w:val="22"/>
        </w:rPr>
        <w:t>3</w:t>
      </w:r>
      <w:r>
        <w:rPr>
          <w:rFonts w:ascii="Times New Roman" w:hAnsi="Times New Roman" w:cs="Calibri"/>
          <w:szCs w:val="22"/>
        </w:rPr>
        <w:t xml:space="preserve">, </w:t>
      </w:r>
      <w:r w:rsidRPr="00B86DE5">
        <w:rPr>
          <w:rFonts w:ascii="Times New Roman" w:hAnsi="Times New Roman" w:cs="Calibri"/>
          <w:szCs w:val="22"/>
        </w:rPr>
        <w:t>152-155.</w:t>
      </w:r>
    </w:p>
    <w:p w:rsidR="006E52A2" w:rsidRPr="00282DF1" w:rsidRDefault="006E52A2" w:rsidP="006E52A2">
      <w:pPr>
        <w:spacing w:before="240" w:line="480" w:lineRule="auto"/>
        <w:ind w:left="720" w:hanging="720"/>
        <w:jc w:val="both"/>
        <w:rPr>
          <w:rFonts w:ascii="Times New Roman" w:hAnsi="Times New Roman" w:cs="Times New Roman"/>
        </w:rPr>
      </w:pPr>
      <w:proofErr w:type="spellStart"/>
      <w:r w:rsidRPr="00B86DE5">
        <w:rPr>
          <w:rFonts w:ascii="Times New Roman" w:hAnsi="Times New Roman" w:cs="Times New Roman"/>
        </w:rPr>
        <w:t>Huntingford</w:t>
      </w:r>
      <w:proofErr w:type="spellEnd"/>
      <w:r>
        <w:rPr>
          <w:rFonts w:ascii="Times New Roman" w:hAnsi="Times New Roman" w:cs="Times New Roman"/>
        </w:rPr>
        <w:t>, C. &amp; Monteith, J.L.</w:t>
      </w:r>
      <w:r w:rsidRPr="00B86DE5">
        <w:rPr>
          <w:rFonts w:ascii="Times New Roman" w:hAnsi="Times New Roman" w:cs="Times New Roman"/>
        </w:rPr>
        <w:t xml:space="preserve"> </w:t>
      </w:r>
      <w:r>
        <w:rPr>
          <w:rFonts w:ascii="Times New Roman" w:hAnsi="Times New Roman" w:cs="Times New Roman"/>
        </w:rPr>
        <w:t xml:space="preserve">(1998). The behaviour of a mixed-layer model of the convective boundary layer coupled to a big leaf model of surface energy partitioning. </w:t>
      </w:r>
      <w:r w:rsidRPr="009E6D94">
        <w:rPr>
          <w:rFonts w:ascii="Times New Roman" w:hAnsi="Times New Roman" w:cs="Times New Roman"/>
          <w:i/>
        </w:rPr>
        <w:t>Bound</w:t>
      </w:r>
      <w:r>
        <w:rPr>
          <w:rFonts w:ascii="Times New Roman" w:hAnsi="Times New Roman" w:cs="Times New Roman"/>
          <w:i/>
        </w:rPr>
        <w:t>-</w:t>
      </w:r>
      <w:r w:rsidRPr="009E6D94">
        <w:rPr>
          <w:rFonts w:ascii="Times New Roman" w:hAnsi="Times New Roman" w:cs="Times New Roman"/>
          <w:i/>
        </w:rPr>
        <w:t>Lay</w:t>
      </w:r>
      <w:r>
        <w:rPr>
          <w:rFonts w:ascii="Times New Roman" w:hAnsi="Times New Roman" w:cs="Times New Roman"/>
          <w:i/>
        </w:rPr>
        <w:t>.</w:t>
      </w:r>
      <w:r w:rsidRPr="009E6D94">
        <w:rPr>
          <w:rFonts w:ascii="Times New Roman" w:hAnsi="Times New Roman" w:cs="Times New Roman"/>
          <w:i/>
        </w:rPr>
        <w:t xml:space="preserve"> </w:t>
      </w:r>
      <w:proofErr w:type="spellStart"/>
      <w:r w:rsidRPr="009E6D94">
        <w:rPr>
          <w:rFonts w:ascii="Times New Roman" w:hAnsi="Times New Roman" w:cs="Times New Roman"/>
          <w:i/>
        </w:rPr>
        <w:t>Meteorol</w:t>
      </w:r>
      <w:proofErr w:type="spellEnd"/>
      <w:r w:rsidRPr="009E6D94">
        <w:rPr>
          <w:rFonts w:ascii="Times New Roman" w:hAnsi="Times New Roman" w:cs="Times New Roman"/>
          <w:i/>
        </w:rPr>
        <w:t>.</w:t>
      </w:r>
      <w:r>
        <w:rPr>
          <w:rFonts w:ascii="Times New Roman" w:hAnsi="Times New Roman" w:cs="Times New Roman"/>
        </w:rPr>
        <w:t>, 88, 87-101.</w:t>
      </w:r>
    </w:p>
    <w:p w:rsidR="006E52A2" w:rsidRPr="00B86DE5" w:rsidRDefault="006E52A2" w:rsidP="006E52A2">
      <w:pPr>
        <w:spacing w:before="240" w:line="480" w:lineRule="auto"/>
        <w:ind w:left="720" w:hanging="720"/>
        <w:jc w:val="both"/>
        <w:rPr>
          <w:rFonts w:ascii="Times New Roman" w:hAnsi="Times New Roman" w:cs="Times New Roman"/>
        </w:rPr>
      </w:pPr>
      <w:r>
        <w:rPr>
          <w:rFonts w:ascii="Times New Roman" w:eastAsiaTheme="minorHAnsi" w:hAnsi="Times New Roman" w:cs="Times New Roman"/>
          <w:szCs w:val="16"/>
          <w:lang w:val="en-US"/>
        </w:rPr>
        <w:t>Linacre, E. T. (1968)</w:t>
      </w:r>
      <w:r w:rsidRPr="00B86DE5">
        <w:rPr>
          <w:rFonts w:ascii="Times New Roman" w:eastAsiaTheme="minorHAnsi" w:hAnsi="Times New Roman" w:cs="Times New Roman"/>
          <w:szCs w:val="16"/>
          <w:lang w:val="en-US"/>
        </w:rPr>
        <w:t xml:space="preserve"> Es</w:t>
      </w:r>
      <w:r>
        <w:rPr>
          <w:rFonts w:ascii="Times New Roman" w:eastAsiaTheme="minorHAnsi" w:hAnsi="Times New Roman" w:cs="Times New Roman"/>
          <w:szCs w:val="16"/>
          <w:lang w:val="en-US"/>
        </w:rPr>
        <w:t>timating the net-radiation flux.</w:t>
      </w:r>
      <w:r w:rsidRPr="00B86DE5">
        <w:rPr>
          <w:rFonts w:ascii="Times New Roman" w:eastAsiaTheme="minorHAnsi" w:hAnsi="Times New Roman" w:cs="Times New Roman"/>
          <w:szCs w:val="16"/>
          <w:lang w:val="en-US"/>
        </w:rPr>
        <w:t xml:space="preserve"> </w:t>
      </w:r>
      <w:r w:rsidRPr="009E6D94">
        <w:rPr>
          <w:rFonts w:ascii="Times New Roman" w:eastAsiaTheme="minorHAnsi" w:hAnsi="Times New Roman" w:cs="Times New Roman"/>
          <w:i/>
          <w:szCs w:val="16"/>
          <w:lang w:val="en-US"/>
        </w:rPr>
        <w:t xml:space="preserve">Agric. </w:t>
      </w:r>
      <w:proofErr w:type="spellStart"/>
      <w:r w:rsidRPr="009E6D94">
        <w:rPr>
          <w:rFonts w:ascii="Times New Roman" w:eastAsiaTheme="minorHAnsi" w:hAnsi="Times New Roman" w:cs="Times New Roman"/>
          <w:i/>
          <w:szCs w:val="16"/>
          <w:lang w:val="en-US"/>
        </w:rPr>
        <w:t>Meteorol</w:t>
      </w:r>
      <w:proofErr w:type="spellEnd"/>
      <w:r w:rsidRPr="009E6D94">
        <w:rPr>
          <w:rFonts w:ascii="Times New Roman" w:eastAsiaTheme="minorHAnsi" w:hAnsi="Times New Roman" w:cs="Times New Roman"/>
          <w:i/>
          <w:szCs w:val="16"/>
          <w:lang w:val="en-US"/>
        </w:rPr>
        <w:t>.</w:t>
      </w:r>
      <w:r w:rsidRPr="00B86DE5">
        <w:rPr>
          <w:rFonts w:ascii="Times New Roman" w:eastAsiaTheme="minorHAnsi" w:hAnsi="Times New Roman" w:cs="Times New Roman"/>
          <w:szCs w:val="16"/>
          <w:lang w:val="en-US"/>
        </w:rPr>
        <w:t>, 5, 49–</w:t>
      </w:r>
      <w:r>
        <w:rPr>
          <w:rFonts w:ascii="Times New Roman" w:eastAsiaTheme="minorHAnsi" w:hAnsi="Times New Roman" w:cs="Times New Roman"/>
          <w:szCs w:val="16"/>
          <w:lang w:val="en-US"/>
        </w:rPr>
        <w:t>63.</w:t>
      </w:r>
    </w:p>
    <w:p w:rsidR="006E52A2" w:rsidRPr="00B86DE5" w:rsidRDefault="006E52A2" w:rsidP="006E52A2">
      <w:pPr>
        <w:spacing w:before="240" w:line="480" w:lineRule="auto"/>
        <w:ind w:left="720" w:hanging="720"/>
        <w:jc w:val="both"/>
        <w:rPr>
          <w:rFonts w:ascii="Times New Roman" w:hAnsi="Times New Roman" w:cs="Times New Roman"/>
        </w:rPr>
      </w:pPr>
      <w:r w:rsidRPr="00B86DE5">
        <w:rPr>
          <w:rFonts w:ascii="Times New Roman" w:eastAsiaTheme="minorHAnsi" w:hAnsi="Times New Roman" w:cs="Times New Roman"/>
          <w:szCs w:val="16"/>
          <w:lang w:val="en-US"/>
        </w:rPr>
        <w:t>Monteith</w:t>
      </w:r>
      <w:r>
        <w:rPr>
          <w:rFonts w:ascii="Times New Roman" w:eastAsiaTheme="minorHAnsi" w:hAnsi="Times New Roman" w:cs="Times New Roman"/>
          <w:szCs w:val="16"/>
          <w:lang w:val="en-US"/>
        </w:rPr>
        <w:t xml:space="preserve">, </w:t>
      </w:r>
      <w:r w:rsidRPr="00B86DE5">
        <w:rPr>
          <w:rFonts w:ascii="Times New Roman" w:eastAsiaTheme="minorHAnsi" w:hAnsi="Times New Roman" w:cs="Times New Roman"/>
          <w:szCs w:val="16"/>
          <w:lang w:val="en-US"/>
        </w:rPr>
        <w:t>J</w:t>
      </w:r>
      <w:r>
        <w:rPr>
          <w:rFonts w:ascii="Times New Roman" w:eastAsiaTheme="minorHAnsi" w:hAnsi="Times New Roman" w:cs="Times New Roman"/>
          <w:szCs w:val="16"/>
          <w:lang w:val="en-US"/>
        </w:rPr>
        <w:t>.</w:t>
      </w:r>
      <w:r w:rsidRPr="00B86DE5">
        <w:rPr>
          <w:rFonts w:ascii="Times New Roman" w:eastAsiaTheme="minorHAnsi" w:hAnsi="Times New Roman" w:cs="Times New Roman"/>
          <w:szCs w:val="16"/>
          <w:lang w:val="en-US"/>
        </w:rPr>
        <w:t>L</w:t>
      </w:r>
      <w:r>
        <w:rPr>
          <w:rFonts w:ascii="Times New Roman" w:eastAsiaTheme="minorHAnsi" w:hAnsi="Times New Roman" w:cs="Times New Roman"/>
          <w:szCs w:val="16"/>
          <w:lang w:val="en-US"/>
        </w:rPr>
        <w:t>.</w:t>
      </w:r>
      <w:r w:rsidRPr="00B86DE5">
        <w:rPr>
          <w:rFonts w:ascii="Times New Roman" w:eastAsiaTheme="minorHAnsi" w:hAnsi="Times New Roman" w:cs="Times New Roman"/>
          <w:szCs w:val="16"/>
          <w:lang w:val="en-US"/>
        </w:rPr>
        <w:t xml:space="preserve"> (1995) Accommodation</w:t>
      </w:r>
      <w:r>
        <w:rPr>
          <w:rFonts w:ascii="Times New Roman" w:eastAsiaTheme="minorHAnsi" w:hAnsi="Times New Roman" w:cs="Times New Roman"/>
          <w:szCs w:val="16"/>
          <w:lang w:val="en-US"/>
        </w:rPr>
        <w:t xml:space="preserve"> between transpiring vegetation </w:t>
      </w:r>
      <w:r w:rsidRPr="00B86DE5">
        <w:rPr>
          <w:rFonts w:ascii="Times New Roman" w:eastAsiaTheme="minorHAnsi" w:hAnsi="Times New Roman" w:cs="Times New Roman"/>
          <w:szCs w:val="16"/>
          <w:lang w:val="en-US"/>
        </w:rPr>
        <w:t xml:space="preserve">and the convective boundary layer. </w:t>
      </w:r>
      <w:r w:rsidRPr="009E6D94">
        <w:rPr>
          <w:rFonts w:ascii="Times New Roman" w:eastAsiaTheme="minorHAnsi" w:hAnsi="Times New Roman" w:cs="Times New Roman"/>
          <w:i/>
          <w:szCs w:val="16"/>
          <w:lang w:val="en-US"/>
        </w:rPr>
        <w:t xml:space="preserve">J. </w:t>
      </w:r>
      <w:proofErr w:type="spellStart"/>
      <w:r w:rsidRPr="009E6D94">
        <w:rPr>
          <w:rFonts w:ascii="Times New Roman" w:eastAsiaTheme="minorHAnsi" w:hAnsi="Times New Roman" w:cs="Times New Roman"/>
          <w:i/>
          <w:szCs w:val="16"/>
          <w:lang w:val="en-US"/>
        </w:rPr>
        <w:t>Hydrol</w:t>
      </w:r>
      <w:proofErr w:type="spellEnd"/>
      <w:r>
        <w:rPr>
          <w:rFonts w:ascii="Times New Roman" w:eastAsiaTheme="minorHAnsi" w:hAnsi="Times New Roman" w:cs="Times New Roman"/>
          <w:szCs w:val="16"/>
          <w:lang w:val="en-US"/>
        </w:rPr>
        <w:t xml:space="preserve">., 166, </w:t>
      </w:r>
      <w:r w:rsidRPr="00B86DE5">
        <w:rPr>
          <w:rFonts w:ascii="Times New Roman" w:eastAsiaTheme="minorHAnsi" w:hAnsi="Times New Roman" w:cs="Times New Roman"/>
          <w:szCs w:val="16"/>
          <w:lang w:val="en-US"/>
        </w:rPr>
        <w:t>251–263</w:t>
      </w:r>
    </w:p>
    <w:p w:rsidR="006E52A2" w:rsidRDefault="006E52A2" w:rsidP="006E52A2">
      <w:pPr>
        <w:spacing w:before="240" w:line="480" w:lineRule="auto"/>
        <w:ind w:left="720" w:hanging="720"/>
        <w:jc w:val="both"/>
        <w:rPr>
          <w:rFonts w:ascii="Times New Roman" w:hAnsi="Times New Roman" w:cs="Times New Roman"/>
        </w:rPr>
      </w:pPr>
      <w:r>
        <w:rPr>
          <w:rFonts w:ascii="Times New Roman" w:hAnsi="Times New Roman" w:cs="Times New Roman"/>
        </w:rPr>
        <w:t>Yang, H., Yang, D., Lei, Z.</w:t>
      </w:r>
      <w:r w:rsidRPr="00282DF1">
        <w:rPr>
          <w:rFonts w:ascii="Times New Roman" w:hAnsi="Times New Roman" w:cs="Times New Roman"/>
        </w:rPr>
        <w:t xml:space="preserve"> </w:t>
      </w:r>
      <w:r>
        <w:rPr>
          <w:rFonts w:ascii="Times New Roman" w:hAnsi="Times New Roman" w:cs="Times New Roman"/>
        </w:rPr>
        <w:t>&amp; Sun, F. (2008).</w:t>
      </w:r>
      <w:r w:rsidRPr="00282DF1">
        <w:rPr>
          <w:rFonts w:ascii="Times New Roman" w:hAnsi="Times New Roman" w:cs="Times New Roman"/>
        </w:rPr>
        <w:t xml:space="preserve"> New analytical derivation of the mean annual</w:t>
      </w:r>
      <w:r>
        <w:rPr>
          <w:rFonts w:ascii="Times New Roman" w:hAnsi="Times New Roman" w:cs="Times New Roman"/>
        </w:rPr>
        <w:t xml:space="preserve"> </w:t>
      </w:r>
      <w:r w:rsidRPr="00282DF1">
        <w:rPr>
          <w:rFonts w:ascii="Times New Roman" w:hAnsi="Times New Roman" w:cs="Times New Roman"/>
        </w:rPr>
        <w:t>water-</w:t>
      </w:r>
      <w:r>
        <w:rPr>
          <w:rFonts w:ascii="Times New Roman" w:hAnsi="Times New Roman" w:cs="Times New Roman"/>
        </w:rPr>
        <w:t>energy balance equation.</w:t>
      </w:r>
      <w:r w:rsidRPr="00282DF1">
        <w:rPr>
          <w:rFonts w:ascii="Times New Roman" w:hAnsi="Times New Roman" w:cs="Times New Roman"/>
        </w:rPr>
        <w:t xml:space="preserve"> </w:t>
      </w:r>
      <w:r w:rsidRPr="009E6D94">
        <w:rPr>
          <w:rFonts w:ascii="Times New Roman" w:hAnsi="Times New Roman" w:cs="Times New Roman"/>
          <w:i/>
        </w:rPr>
        <w:t xml:space="preserve">Water </w:t>
      </w:r>
      <w:proofErr w:type="spellStart"/>
      <w:r w:rsidRPr="009E6D94">
        <w:rPr>
          <w:rFonts w:ascii="Times New Roman" w:hAnsi="Times New Roman" w:cs="Times New Roman"/>
          <w:i/>
        </w:rPr>
        <w:t>Resour</w:t>
      </w:r>
      <w:proofErr w:type="spellEnd"/>
      <w:r>
        <w:rPr>
          <w:rFonts w:ascii="Times New Roman" w:hAnsi="Times New Roman" w:cs="Times New Roman"/>
          <w:i/>
        </w:rPr>
        <w:t>.</w:t>
      </w:r>
      <w:r w:rsidRPr="009E6D94">
        <w:rPr>
          <w:rFonts w:ascii="Times New Roman" w:hAnsi="Times New Roman" w:cs="Times New Roman"/>
          <w:i/>
        </w:rPr>
        <w:t xml:space="preserve"> Res</w:t>
      </w:r>
      <w:r>
        <w:rPr>
          <w:rFonts w:ascii="Times New Roman" w:hAnsi="Times New Roman" w:cs="Times New Roman"/>
          <w:i/>
        </w:rPr>
        <w:t>.</w:t>
      </w:r>
      <w:r>
        <w:rPr>
          <w:rFonts w:ascii="Times New Roman" w:hAnsi="Times New Roman" w:cs="Times New Roman"/>
        </w:rPr>
        <w:t>, 44, W03410.</w:t>
      </w:r>
    </w:p>
    <w:p w:rsidR="006E52A2" w:rsidRDefault="006E52A2" w:rsidP="006E52A2">
      <w:pPr>
        <w:spacing w:before="240" w:line="480" w:lineRule="auto"/>
        <w:ind w:left="720" w:hanging="720"/>
        <w:jc w:val="both"/>
        <w:rPr>
          <w:rFonts w:ascii="Times New Roman" w:hAnsi="Times New Roman" w:cs="Times New Roman"/>
        </w:rPr>
      </w:pPr>
      <w:r>
        <w:rPr>
          <w:rFonts w:ascii="Times New Roman" w:hAnsi="Times New Roman" w:cs="Times New Roman"/>
        </w:rPr>
        <w:t xml:space="preserve">Zhang, L., Hickel, K., Dawes, W.R., </w:t>
      </w:r>
      <w:proofErr w:type="spellStart"/>
      <w:r>
        <w:rPr>
          <w:rFonts w:ascii="Times New Roman" w:hAnsi="Times New Roman" w:cs="Times New Roman"/>
        </w:rPr>
        <w:t>Chiew</w:t>
      </w:r>
      <w:proofErr w:type="spellEnd"/>
      <w:r>
        <w:rPr>
          <w:rFonts w:ascii="Times New Roman" w:hAnsi="Times New Roman" w:cs="Times New Roman"/>
        </w:rPr>
        <w:t xml:space="preserve">, F.H.S., Western, A.W. &amp; Briggs, P. (2004) A rational function approach for estimating mean annual evapotranspiration. </w:t>
      </w:r>
      <w:r w:rsidRPr="009E6D94">
        <w:rPr>
          <w:rFonts w:ascii="Times New Roman" w:hAnsi="Times New Roman" w:cs="Times New Roman"/>
          <w:i/>
        </w:rPr>
        <w:t xml:space="preserve">Water </w:t>
      </w:r>
      <w:proofErr w:type="spellStart"/>
      <w:r w:rsidRPr="009E6D94">
        <w:rPr>
          <w:rFonts w:ascii="Times New Roman" w:hAnsi="Times New Roman" w:cs="Times New Roman"/>
          <w:i/>
        </w:rPr>
        <w:t>Resour</w:t>
      </w:r>
      <w:proofErr w:type="spellEnd"/>
      <w:r>
        <w:rPr>
          <w:rFonts w:ascii="Times New Roman" w:hAnsi="Times New Roman" w:cs="Times New Roman"/>
          <w:i/>
        </w:rPr>
        <w:t>.</w:t>
      </w:r>
      <w:r w:rsidRPr="009E6D94">
        <w:rPr>
          <w:rFonts w:ascii="Times New Roman" w:hAnsi="Times New Roman" w:cs="Times New Roman"/>
          <w:i/>
        </w:rPr>
        <w:t xml:space="preserve"> Res</w:t>
      </w:r>
      <w:r>
        <w:rPr>
          <w:rFonts w:ascii="Times New Roman" w:hAnsi="Times New Roman" w:cs="Times New Roman"/>
        </w:rPr>
        <w:t>., 40, W02502.</w:t>
      </w:r>
    </w:p>
    <w:p w:rsidR="00C47466" w:rsidRPr="006E52A2" w:rsidRDefault="00C47466" w:rsidP="006E52A2">
      <w:pPr>
        <w:spacing w:before="240" w:line="480" w:lineRule="auto"/>
        <w:jc w:val="both"/>
        <w:rPr>
          <w:rFonts w:ascii="Times New Roman" w:hAnsi="Times New Roman" w:cs="Times New Roman"/>
        </w:rPr>
      </w:pPr>
    </w:p>
    <w:sectPr w:rsidR="00C47466" w:rsidRPr="006E52A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36B" w:rsidRDefault="00D1336B" w:rsidP="006E52A2">
      <w:r>
        <w:separator/>
      </w:r>
    </w:p>
  </w:endnote>
  <w:endnote w:type="continuationSeparator" w:id="0">
    <w:p w:rsidR="00D1336B" w:rsidRDefault="00D1336B" w:rsidP="006E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397966"/>
      <w:docPartObj>
        <w:docPartGallery w:val="Page Numbers (Bottom of Page)"/>
        <w:docPartUnique/>
      </w:docPartObj>
    </w:sdtPr>
    <w:sdtEndPr>
      <w:rPr>
        <w:noProof/>
      </w:rPr>
    </w:sdtEndPr>
    <w:sdtContent>
      <w:p w:rsidR="006E52A2" w:rsidRDefault="006E52A2">
        <w:pPr>
          <w:pStyle w:val="Footer"/>
          <w:jc w:val="center"/>
        </w:pPr>
        <w:r>
          <w:fldChar w:fldCharType="begin"/>
        </w:r>
        <w:r>
          <w:instrText xml:space="preserve"> PAGE   \* MERGEFORMAT </w:instrText>
        </w:r>
        <w:r>
          <w:fldChar w:fldCharType="separate"/>
        </w:r>
        <w:r w:rsidR="003E1EEC">
          <w:rPr>
            <w:noProof/>
          </w:rPr>
          <w:t>7</w:t>
        </w:r>
        <w:r>
          <w:rPr>
            <w:noProof/>
          </w:rPr>
          <w:fldChar w:fldCharType="end"/>
        </w:r>
      </w:p>
    </w:sdtContent>
  </w:sdt>
  <w:p w:rsidR="006E52A2" w:rsidRDefault="006E5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36B" w:rsidRDefault="00D1336B" w:rsidP="006E52A2">
      <w:r>
        <w:separator/>
      </w:r>
    </w:p>
  </w:footnote>
  <w:footnote w:type="continuationSeparator" w:id="0">
    <w:p w:rsidR="00D1336B" w:rsidRDefault="00D1336B" w:rsidP="006E5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A2"/>
    <w:rsid w:val="003E1EEC"/>
    <w:rsid w:val="00657732"/>
    <w:rsid w:val="006E52A2"/>
    <w:rsid w:val="00BE6A33"/>
    <w:rsid w:val="00C47466"/>
    <w:rsid w:val="00D1336B"/>
    <w:rsid w:val="00E86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01F68-A942-484A-9BF8-2BBFFA42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2A2"/>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2A2"/>
    <w:pPr>
      <w:tabs>
        <w:tab w:val="center" w:pos="4513"/>
        <w:tab w:val="right" w:pos="9026"/>
      </w:tabs>
    </w:pPr>
  </w:style>
  <w:style w:type="character" w:customStyle="1" w:styleId="HeaderChar">
    <w:name w:val="Header Char"/>
    <w:basedOn w:val="DefaultParagraphFont"/>
    <w:link w:val="Header"/>
    <w:uiPriority w:val="99"/>
    <w:rsid w:val="006E52A2"/>
    <w:rPr>
      <w:rFonts w:ascii="Cambria" w:eastAsia="Cambria" w:hAnsi="Cambria" w:cs="Cambria"/>
      <w:sz w:val="24"/>
      <w:szCs w:val="24"/>
    </w:rPr>
  </w:style>
  <w:style w:type="paragraph" w:styleId="Footer">
    <w:name w:val="footer"/>
    <w:basedOn w:val="Normal"/>
    <w:link w:val="FooterChar"/>
    <w:uiPriority w:val="99"/>
    <w:unhideWhenUsed/>
    <w:rsid w:val="006E52A2"/>
    <w:pPr>
      <w:tabs>
        <w:tab w:val="center" w:pos="4513"/>
        <w:tab w:val="right" w:pos="9026"/>
      </w:tabs>
    </w:pPr>
  </w:style>
  <w:style w:type="character" w:customStyle="1" w:styleId="FooterChar">
    <w:name w:val="Footer Char"/>
    <w:basedOn w:val="DefaultParagraphFont"/>
    <w:link w:val="Footer"/>
    <w:uiPriority w:val="99"/>
    <w:rsid w:val="006E52A2"/>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Macquarie University</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dc:creator>
  <cp:keywords/>
  <dc:description/>
  <cp:lastModifiedBy>Sanders, Natalie E</cp:lastModifiedBy>
  <cp:revision>2</cp:revision>
  <dcterms:created xsi:type="dcterms:W3CDTF">2019-03-28T09:19:00Z</dcterms:created>
  <dcterms:modified xsi:type="dcterms:W3CDTF">2019-03-28T09:19:00Z</dcterms:modified>
</cp:coreProperties>
</file>