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SUPPORTING INFORMATION</w:t>
      </w:r>
    </w:p>
    <w:p>
      <w:pPr>
        <w:widowControl w:val="false"/>
        <w:spacing w:before="0" w:after="0" w:line="360"/>
        <w:ind w:right="0" w:left="0" w:firstLine="0"/>
        <w:jc w:val="both"/>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Quantifying leaf trait covariation and its controls across climates and biomes</w:t>
      </w:r>
    </w:p>
    <w:p>
      <w:pPr>
        <w:spacing w:before="0" w:after="0" w:line="360"/>
        <w:ind w:right="0" w:left="0" w:firstLine="0"/>
        <w:jc w:val="both"/>
        <w:rPr>
          <w:rFonts w:ascii="Times New Roman" w:hAnsi="Times New Roman" w:cs="Times New Roman" w:eastAsia="Times New Roman"/>
          <w:b/>
          <w:color w:val="auto"/>
          <w:spacing w:val="0"/>
          <w:position w:val="0"/>
          <w:sz w:val="28"/>
          <w:shd w:fill="auto" w:val="clear"/>
        </w:rPr>
      </w:pPr>
    </w:p>
    <w:p>
      <w:pPr>
        <w:widowControl w:val="false"/>
        <w:spacing w:before="0" w:after="0" w:line="360"/>
        <w:ind w:right="0" w:left="0" w:firstLine="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Yanzheng Yang</w:t>
      </w:r>
      <w:r>
        <w:rPr>
          <w:rFonts w:ascii="Times New Roman" w:hAnsi="Times New Roman" w:cs="Times New Roman" w:eastAsia="Times New Roman"/>
          <w:color w:val="auto"/>
          <w:spacing w:val="0"/>
          <w:position w:val="0"/>
          <w:sz w:val="28"/>
          <w:shd w:fill="auto" w:val="clear"/>
          <w:vertAlign w:val="superscript"/>
        </w:rPr>
        <w:t xml:space="preserve">1,2,3,*</w:t>
      </w:r>
      <w:r>
        <w:rPr>
          <w:rFonts w:ascii="Times New Roman" w:hAnsi="Times New Roman" w:cs="Times New Roman" w:eastAsia="Times New Roman"/>
          <w:color w:val="auto"/>
          <w:spacing w:val="0"/>
          <w:position w:val="0"/>
          <w:sz w:val="28"/>
          <w:shd w:fill="auto" w:val="clear"/>
        </w:rPr>
        <w:t xml:space="preserve">, Han Wang</w:t>
      </w:r>
      <w:r>
        <w:rPr>
          <w:rFonts w:ascii="Times New Roman" w:hAnsi="Times New Roman" w:cs="Times New Roman" w:eastAsia="Times New Roman"/>
          <w:color w:val="auto"/>
          <w:spacing w:val="0"/>
          <w:position w:val="0"/>
          <w:sz w:val="28"/>
          <w:shd w:fill="auto" w:val="clear"/>
          <w:vertAlign w:val="superscript"/>
        </w:rPr>
        <w:t xml:space="preserve">1,3</w:t>
      </w:r>
      <w:r>
        <w:rPr>
          <w:rFonts w:ascii="Times New Roman" w:hAnsi="Times New Roman" w:cs="Times New Roman" w:eastAsia="Times New Roman"/>
          <w:color w:val="auto"/>
          <w:spacing w:val="0"/>
          <w:position w:val="0"/>
          <w:sz w:val="28"/>
          <w:shd w:fill="auto" w:val="clear"/>
        </w:rPr>
        <w:t xml:space="preserve">, Sandy P. Harrison</w:t>
      </w:r>
      <w:r>
        <w:rPr>
          <w:rFonts w:ascii="Times New Roman" w:hAnsi="Times New Roman" w:cs="Times New Roman" w:eastAsia="Times New Roman"/>
          <w:color w:val="auto"/>
          <w:spacing w:val="0"/>
          <w:position w:val="0"/>
          <w:sz w:val="28"/>
          <w:shd w:fill="auto" w:val="clear"/>
          <w:vertAlign w:val="superscript"/>
        </w:rPr>
        <w:t xml:space="preserve">3,4</w:t>
      </w:r>
      <w:r>
        <w:rPr>
          <w:rFonts w:ascii="Times New Roman" w:hAnsi="Times New Roman" w:cs="Times New Roman" w:eastAsia="Times New Roman"/>
          <w:color w:val="auto"/>
          <w:spacing w:val="0"/>
          <w:position w:val="0"/>
          <w:sz w:val="28"/>
          <w:shd w:fill="auto" w:val="clear"/>
        </w:rPr>
        <w:t xml:space="preserve">, I. Colin Prentice</w:t>
      </w:r>
      <w:r>
        <w:rPr>
          <w:rFonts w:ascii="Times New Roman" w:hAnsi="Times New Roman" w:cs="Times New Roman" w:eastAsia="Times New Roman"/>
          <w:color w:val="auto"/>
          <w:spacing w:val="0"/>
          <w:position w:val="0"/>
          <w:sz w:val="28"/>
          <w:shd w:fill="auto" w:val="clear"/>
          <w:vertAlign w:val="superscript"/>
        </w:rPr>
        <w:t xml:space="preserve">1,3,5,6</w:t>
      </w:r>
      <w:r>
        <w:rPr>
          <w:rFonts w:ascii="Times New Roman" w:hAnsi="Times New Roman" w:cs="Times New Roman" w:eastAsia="Times New Roman"/>
          <w:color w:val="auto"/>
          <w:spacing w:val="0"/>
          <w:position w:val="0"/>
          <w:sz w:val="28"/>
          <w:shd w:fill="auto" w:val="clear"/>
        </w:rPr>
        <w:t xml:space="preserve"> , Ian J. Wright</w:t>
      </w:r>
      <w:r>
        <w:rPr>
          <w:rFonts w:ascii="Times New Roman" w:hAnsi="Times New Roman" w:cs="Times New Roman" w:eastAsia="Times New Roman"/>
          <w:color w:val="auto"/>
          <w:spacing w:val="0"/>
          <w:position w:val="0"/>
          <w:sz w:val="28"/>
          <w:shd w:fill="auto" w:val="clear"/>
          <w:vertAlign w:val="superscript"/>
        </w:rPr>
        <w:t xml:space="preserve">6</w:t>
      </w:r>
      <w:r>
        <w:rPr>
          <w:rFonts w:ascii="Times New Roman" w:hAnsi="Times New Roman" w:cs="Times New Roman" w:eastAsia="Times New Roman"/>
          <w:color w:val="auto"/>
          <w:spacing w:val="0"/>
          <w:position w:val="0"/>
          <w:sz w:val="28"/>
          <w:shd w:fill="auto" w:val="clear"/>
        </w:rPr>
        <w:t xml:space="preserve">, Changhui Peng</w:t>
      </w:r>
      <w:r>
        <w:rPr>
          <w:rFonts w:ascii="Times New Roman" w:hAnsi="Times New Roman" w:cs="Times New Roman" w:eastAsia="Times New Roman"/>
          <w:color w:val="auto"/>
          <w:spacing w:val="0"/>
          <w:position w:val="0"/>
          <w:sz w:val="28"/>
          <w:shd w:fill="auto" w:val="clear"/>
          <w:vertAlign w:val="superscript"/>
        </w:rPr>
        <w:t xml:space="preserve">3,7,*</w:t>
      </w:r>
      <w:r>
        <w:rPr>
          <w:rFonts w:ascii="Times New Roman" w:hAnsi="Times New Roman" w:cs="Times New Roman" w:eastAsia="Times New Roman"/>
          <w:color w:val="auto"/>
          <w:spacing w:val="0"/>
          <w:position w:val="0"/>
          <w:sz w:val="28"/>
          <w:shd w:fill="auto" w:val="clear"/>
        </w:rPr>
        <w:t xml:space="preserve"> and Guanghui Lin</w:t>
      </w:r>
      <w:r>
        <w:rPr>
          <w:rFonts w:ascii="Times New Roman" w:hAnsi="Times New Roman" w:cs="Times New Roman" w:eastAsia="Times New Roman"/>
          <w:color w:val="auto"/>
          <w:spacing w:val="0"/>
          <w:position w:val="0"/>
          <w:sz w:val="28"/>
          <w:shd w:fill="auto" w:val="clear"/>
          <w:vertAlign w:val="superscript"/>
        </w:rPr>
        <w:t xml:space="preserve">1,8,*</w:t>
      </w:r>
    </w:p>
    <w:p>
      <w:pPr>
        <w:widowControl w:val="false"/>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vertAlign w:val="superscript"/>
        </w:rPr>
        <w:t xml:space="preserve">1</w:t>
      </w:r>
      <w:r>
        <w:rPr>
          <w:rFonts w:ascii="Times New Roman" w:hAnsi="Times New Roman" w:cs="Times New Roman" w:eastAsia="Times New Roman"/>
          <w:color w:val="auto"/>
          <w:spacing w:val="0"/>
          <w:position w:val="0"/>
          <w:sz w:val="22"/>
          <w:shd w:fill="auto" w:val="clear"/>
        </w:rPr>
        <w:t xml:space="preserve">Ministry of Education Key Laboratory for Earth System Modeling, Department of Earth System Science, Tsinghua University, Beijing 100084, China.</w:t>
      </w:r>
    </w:p>
    <w:p>
      <w:pPr>
        <w:widowControl w:val="false"/>
        <w:spacing w:before="0" w:after="0" w:line="36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vertAlign w:val="superscript"/>
        </w:rPr>
        <w:t xml:space="preserve">2</w:t>
      </w:r>
      <w:r>
        <w:rPr>
          <w:rFonts w:ascii="Times New Roman" w:hAnsi="Times New Roman" w:cs="Times New Roman" w:eastAsia="Times New Roman"/>
          <w:color w:val="auto"/>
          <w:spacing w:val="0"/>
          <w:position w:val="0"/>
          <w:sz w:val="22"/>
          <w:shd w:fill="auto" w:val="clear"/>
        </w:rPr>
        <w:t xml:space="preserve">Joint Center for Global Change Studies (JCGCS), Beijing 100875, China</w:t>
      </w:r>
    </w:p>
    <w:p>
      <w:pPr>
        <w:widowControl w:val="false"/>
        <w:spacing w:before="0" w:after="0" w:line="36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vertAlign w:val="superscript"/>
        </w:rPr>
        <w:t xml:space="preserve">3</w:t>
      </w:r>
      <w:r>
        <w:rPr>
          <w:rFonts w:ascii="Times New Roman" w:hAnsi="Times New Roman" w:cs="Times New Roman" w:eastAsia="Times New Roman"/>
          <w:color w:val="auto"/>
          <w:spacing w:val="0"/>
          <w:position w:val="0"/>
          <w:sz w:val="22"/>
          <w:shd w:fill="auto" w:val="clear"/>
        </w:rPr>
        <w:t xml:space="preserve">State Key Laboratory of Soil Erosion and Dryland Farming on the Loess Plateau, College of Forestry, Northwest A&amp;F University, Yangling, Shaanxi 712100, China</w:t>
      </w:r>
    </w:p>
    <w:p>
      <w:pPr>
        <w:widowControl w:val="false"/>
        <w:spacing w:before="0" w:after="0" w:line="36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vertAlign w:val="superscript"/>
        </w:rPr>
        <w:t xml:space="preserve">4</w:t>
      </w:r>
      <w:r>
        <w:rPr>
          <w:rFonts w:ascii="Times New Roman" w:hAnsi="Times New Roman" w:cs="Times New Roman" w:eastAsia="Times New Roman"/>
          <w:color w:val="auto"/>
          <w:spacing w:val="0"/>
          <w:position w:val="0"/>
          <w:sz w:val="22"/>
          <w:shd w:fill="auto" w:val="clear"/>
        </w:rPr>
        <w:t xml:space="preserve">School of Archaeology, Geography and Environmental Sciences (SAGES), University of Reading, Reading, RG6 6AH, UK</w:t>
      </w:r>
    </w:p>
    <w:p>
      <w:pPr>
        <w:widowControl w:val="false"/>
        <w:spacing w:before="0" w:after="0" w:line="36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vertAlign w:val="superscript"/>
        </w:rPr>
        <w:t xml:space="preserve">5</w:t>
      </w:r>
      <w:r>
        <w:rPr>
          <w:rFonts w:ascii="Times New Roman" w:hAnsi="Times New Roman" w:cs="Times New Roman" w:eastAsia="Times New Roman"/>
          <w:color w:val="auto"/>
          <w:spacing w:val="0"/>
          <w:position w:val="0"/>
          <w:sz w:val="22"/>
          <w:shd w:fill="auto" w:val="clear"/>
        </w:rPr>
        <w:t xml:space="preserve">AXA Chair of Biosphere and Climate Impacts, Imperial College London, Department of Life Sciences, Silwood Park Campus, Buckhurst Road, Ascot SL5 7PY, UK</w:t>
      </w:r>
    </w:p>
    <w:p>
      <w:pPr>
        <w:widowControl w:val="false"/>
        <w:spacing w:before="0" w:after="0" w:line="36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vertAlign w:val="superscript"/>
        </w:rPr>
        <w:t xml:space="preserve">6</w:t>
      </w:r>
      <w:r>
        <w:rPr>
          <w:rFonts w:ascii="Times New Roman" w:hAnsi="Times New Roman" w:cs="Times New Roman" w:eastAsia="Times New Roman"/>
          <w:color w:val="auto"/>
          <w:spacing w:val="0"/>
          <w:position w:val="0"/>
          <w:sz w:val="22"/>
          <w:shd w:fill="auto" w:val="clear"/>
        </w:rPr>
        <w:t xml:space="preserve">Department of Biological Sciences, Macquarie University, North Ryde, NSW 2109, Australia</w:t>
      </w:r>
      <w:r>
        <w:rPr>
          <w:rFonts w:ascii="Times New Roman" w:hAnsi="Times New Roman" w:cs="Times New Roman" w:eastAsia="Times New Roman"/>
          <w:b/>
          <w:color w:val="auto"/>
          <w:spacing w:val="0"/>
          <w:position w:val="0"/>
          <w:sz w:val="22"/>
          <w:shd w:fill="auto" w:val="clear"/>
        </w:rPr>
        <w:t xml:space="preserve"> </w:t>
      </w:r>
    </w:p>
    <w:p>
      <w:pPr>
        <w:widowControl w:val="false"/>
        <w:spacing w:before="0" w:after="0" w:line="36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vertAlign w:val="superscript"/>
        </w:rPr>
        <w:t xml:space="preserve">7</w:t>
      </w:r>
      <w:r>
        <w:rPr>
          <w:rFonts w:ascii="Times New Roman" w:hAnsi="Times New Roman" w:cs="Times New Roman" w:eastAsia="Times New Roman"/>
          <w:color w:val="auto"/>
          <w:spacing w:val="0"/>
          <w:position w:val="0"/>
          <w:sz w:val="22"/>
          <w:shd w:fill="auto" w:val="clear"/>
        </w:rPr>
        <w:t xml:space="preserve">Department of Biological Sciences, Institute of Environmental Sciences, University of Quebec at Montreal, C.P. 8888, Succ. Centre-Ville, Montréal H3C 3P8, QC, Canada</w:t>
      </w:r>
    </w:p>
    <w:p>
      <w:pPr>
        <w:widowControl w:val="false"/>
        <w:spacing w:before="0" w:after="0" w:line="36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vertAlign w:val="superscript"/>
        </w:rPr>
        <w:t xml:space="preserve">8</w:t>
      </w:r>
      <w:r>
        <w:rPr>
          <w:rFonts w:ascii="Times New Roman" w:hAnsi="Times New Roman" w:cs="Times New Roman" w:eastAsia="Times New Roman"/>
          <w:color w:val="auto"/>
          <w:spacing w:val="0"/>
          <w:position w:val="0"/>
          <w:sz w:val="22"/>
          <w:shd w:fill="auto" w:val="clear"/>
        </w:rPr>
        <w:t xml:space="preserve">Key Laboratory of Stable Isotope and Gulf Ecology, Graduate School at Shenzhen, Tsinghua University, Shenzhen, Guangdong 518055, China</w:t>
      </w: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4"/>
          <w:shd w:fill="auto" w:val="clear"/>
        </w:rPr>
        <w:t xml:space="preserve"> (*Authors for correspondence: tel +86(10)62797230; email </w:t>
      </w:r>
      <w:r>
        <w:rPr>
          <w:rFonts w:ascii="Times New Roman" w:hAnsi="Times New Roman" w:cs="Times New Roman" w:eastAsia="Times New Roman"/>
          <w:color w:val="auto"/>
          <w:spacing w:val="0"/>
          <w:position w:val="0"/>
          <w:sz w:val="24"/>
          <w:u w:val="single"/>
          <w:shd w:fill="auto" w:val="clear"/>
        </w:rPr>
        <w:t xml:space="preserve">yanzheng148@163.com </w:t>
      </w:r>
      <w:r>
        <w:rPr>
          <w:rFonts w:ascii="Times New Roman" w:hAnsi="Times New Roman" w:cs="Times New Roman" w:eastAsia="Times New Roman"/>
          <w:color w:val="auto"/>
          <w:spacing w:val="0"/>
          <w:position w:val="0"/>
          <w:sz w:val="24"/>
          <w:shd w:fill="auto" w:val="clear"/>
        </w:rPr>
        <w:t xml:space="preserve">(Y.Y.); tel +86(10)62797230; email </w:t>
      </w:r>
      <w:r>
        <w:rPr>
          <w:rFonts w:ascii="Times New Roman" w:hAnsi="Times New Roman" w:cs="Times New Roman" w:eastAsia="Times New Roman"/>
          <w:color w:val="auto"/>
          <w:spacing w:val="0"/>
          <w:position w:val="0"/>
          <w:sz w:val="24"/>
          <w:u w:val="single"/>
          <w:shd w:fill="auto" w:val="clear"/>
        </w:rPr>
        <w:t xml:space="preserve">lingh@tsinghua.edu.cn</w:t>
      </w:r>
      <w:r>
        <w:rPr>
          <w:rFonts w:ascii="Times New Roman" w:hAnsi="Times New Roman" w:cs="Times New Roman" w:eastAsia="Times New Roman"/>
          <w:color w:val="auto"/>
          <w:spacing w:val="0"/>
          <w:position w:val="0"/>
          <w:sz w:val="24"/>
          <w:shd w:fill="auto" w:val="clear"/>
        </w:rPr>
        <w:t xml:space="preserve"> (G.L.); tel +86(29)87080608; email </w:t>
      </w:r>
      <w:r>
        <w:rPr>
          <w:rFonts w:ascii="Times New Roman" w:hAnsi="Times New Roman" w:cs="Times New Roman" w:eastAsia="Times New Roman"/>
          <w:color w:val="auto"/>
          <w:spacing w:val="0"/>
          <w:position w:val="0"/>
          <w:sz w:val="24"/>
          <w:u w:val="single"/>
          <w:shd w:fill="auto" w:val="clear"/>
        </w:rPr>
        <w:t xml:space="preserve">cpeng86@yahoo.com </w:t>
      </w:r>
      <w:r>
        <w:rPr>
          <w:rFonts w:ascii="Times New Roman" w:hAnsi="Times New Roman" w:cs="Times New Roman" w:eastAsia="Times New Roman"/>
          <w:color w:val="auto"/>
          <w:spacing w:val="0"/>
          <w:position w:val="0"/>
          <w:sz w:val="24"/>
          <w:shd w:fill="auto" w:val="clear"/>
        </w:rPr>
        <w:t xml:space="preserve">(C.P.))</w:t>
      </w:r>
      <w:r>
        <w:rPr>
          <w:rFonts w:ascii="Times New Roman" w:hAnsi="Times New Roman" w:cs="Times New Roman" w:eastAsia="Times New Roman"/>
          <w:color w:val="auto"/>
          <w:spacing w:val="0"/>
          <w:position w:val="0"/>
          <w:sz w:val="28"/>
          <w:shd w:fill="auto" w:val="clear"/>
        </w:rPr>
        <w:t xml:space="preserve"> </w:t>
      </w:r>
    </w:p>
    <w:p>
      <w:pPr>
        <w:widowControl w:val="false"/>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 S1 Frequency distributions of traits in forest and non-forest sites. Grey bars indicate gap-filled data; green bars stand for the observed trait data. The traits are LA: leaf area, SLA: specific leaf area, LDMC: leaf dry matter content, Narea: leaf nitrogen per unit area, </w:t>
      </w:r>
      <w:r>
        <w:rPr>
          <w:rFonts w:ascii="Times New Roman" w:hAnsi="Times New Roman" w:cs="Times New Roman" w:eastAsia="Times New Roman"/>
          <w:i/>
          <w:color w:val="auto"/>
          <w:spacing w:val="0"/>
          <w:position w:val="0"/>
          <w:sz w:val="24"/>
          <w:shd w:fill="auto" w:val="clear"/>
        </w:rPr>
        <w:t xml:space="preserve">V</w:t>
      </w:r>
      <w:r>
        <w:rPr>
          <w:rFonts w:ascii="Times New Roman" w:hAnsi="Times New Roman" w:cs="Times New Roman" w:eastAsia="Times New Roman"/>
          <w:color w:val="auto"/>
          <w:spacing w:val="0"/>
          <w:position w:val="0"/>
          <w:sz w:val="24"/>
          <w:shd w:fill="auto" w:val="clear"/>
          <w:vertAlign w:val="subscript"/>
        </w:rPr>
        <w:t xml:space="preserve">cmax25</w:t>
      </w:r>
      <w:r>
        <w:rPr>
          <w:rFonts w:ascii="Times New Roman" w:hAnsi="Times New Roman" w:cs="Times New Roman" w:eastAsia="Times New Roman"/>
          <w:color w:val="auto"/>
          <w:spacing w:val="0"/>
          <w:position w:val="0"/>
          <w:sz w:val="24"/>
          <w:shd w:fill="auto" w:val="clear"/>
        </w:rPr>
        <w:t xml:space="preserve">: maximum carboxylation rate standardized to 25</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i/>
          <w:color w:val="auto"/>
          <w:spacing w:val="0"/>
          <w:position w:val="0"/>
          <w:sz w:val="24"/>
          <w:shd w:fill="auto" w:val="clear"/>
        </w:rPr>
        <w:t xml:space="preserve">J</w:t>
      </w:r>
      <w:r>
        <w:rPr>
          <w:rFonts w:ascii="Times New Roman" w:hAnsi="Times New Roman" w:cs="Times New Roman" w:eastAsia="Times New Roman"/>
          <w:color w:val="auto"/>
          <w:spacing w:val="0"/>
          <w:position w:val="0"/>
          <w:sz w:val="24"/>
          <w:shd w:fill="auto" w:val="clear"/>
          <w:vertAlign w:val="subscript"/>
        </w:rPr>
        <w:t xml:space="preserve">max25</w:t>
      </w:r>
      <w:r>
        <w:rPr>
          <w:rFonts w:ascii="Times New Roman" w:hAnsi="Times New Roman" w:cs="Times New Roman" w:eastAsia="Times New Roman"/>
          <w:color w:val="auto"/>
          <w:spacing w:val="0"/>
          <w:position w:val="0"/>
          <w:sz w:val="24"/>
          <w:shd w:fill="auto" w:val="clear"/>
        </w:rPr>
        <w:t xml:space="preserve">: maximum electron transport rate standardized to 25</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C, and </w:t>
      </w:r>
      <w:r>
        <w:rPr>
          <w:rFonts w:ascii="Times New Roman" w:hAnsi="Times New Roman" w:cs="Times New Roman" w:eastAsia="Times New Roman"/>
          <w:color w:val="auto"/>
          <w:spacing w:val="0"/>
          <w:position w:val="0"/>
          <w:sz w:val="24"/>
          <w:shd w:fill="auto" w:val="clear"/>
        </w:rPr>
        <w:t xml:space="preserve">χ :the ratio of intercellular to ambient CO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concentration.</w:t>
      </w: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object w:dxaOrig="7973" w:dyaOrig="3351">
          <v:rect xmlns:o="urn:schemas-microsoft-com:office:office" xmlns:v="urn:schemas-microsoft-com:vml" id="rectole0000000000" style="width:398.650000pt;height:167.5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widowControl w:val="false"/>
        <w:spacing w:before="0" w:after="0" w:line="360"/>
        <w:ind w:right="0" w:left="0" w:firstLine="0"/>
        <w:jc w:val="both"/>
        <w:rPr>
          <w:rFonts w:ascii="Times New Roman" w:hAnsi="Times New Roman" w:cs="Times New Roman" w:eastAsia="Times New Roman"/>
          <w:color w:val="auto"/>
          <w:spacing w:val="0"/>
          <w:position w:val="0"/>
          <w:sz w:val="20"/>
          <w:shd w:fill="auto" w:val="clear"/>
        </w:rPr>
      </w:pP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 S2 Trait dimensions from principal components analysis (sites with complete data). (a) PC1 </w:t>
      </w:r>
      <w:r>
        <w:rPr>
          <w:rFonts w:ascii="Times New Roman" w:hAnsi="Times New Roman" w:cs="Times New Roman" w:eastAsia="Times New Roman"/>
          <w:i/>
          <w:color w:val="auto"/>
          <w:spacing w:val="0"/>
          <w:position w:val="0"/>
          <w:sz w:val="24"/>
          <w:shd w:fill="auto" w:val="clear"/>
        </w:rPr>
        <w:t xml:space="preserve">versus </w:t>
      </w:r>
      <w:r>
        <w:rPr>
          <w:rFonts w:ascii="Times New Roman" w:hAnsi="Times New Roman" w:cs="Times New Roman" w:eastAsia="Times New Roman"/>
          <w:color w:val="auto"/>
          <w:spacing w:val="0"/>
          <w:position w:val="0"/>
          <w:sz w:val="24"/>
          <w:shd w:fill="auto" w:val="clear"/>
        </w:rPr>
        <w:t xml:space="preserve">PC2, (b) PC2 </w:t>
      </w:r>
      <w:r>
        <w:rPr>
          <w:rFonts w:ascii="Times New Roman" w:hAnsi="Times New Roman" w:cs="Times New Roman" w:eastAsia="Times New Roman"/>
          <w:i/>
          <w:color w:val="auto"/>
          <w:spacing w:val="0"/>
          <w:position w:val="0"/>
          <w:sz w:val="24"/>
          <w:shd w:fill="auto" w:val="clear"/>
        </w:rPr>
        <w:t xml:space="preserve">versus </w:t>
      </w:r>
      <w:r>
        <w:rPr>
          <w:rFonts w:ascii="Times New Roman" w:hAnsi="Times New Roman" w:cs="Times New Roman" w:eastAsia="Times New Roman"/>
          <w:color w:val="auto"/>
          <w:spacing w:val="0"/>
          <w:position w:val="0"/>
          <w:sz w:val="24"/>
          <w:shd w:fill="auto" w:val="clear"/>
        </w:rPr>
        <w:t xml:space="preserve">PC3, (c) PC3 </w:t>
      </w:r>
      <w:r>
        <w:rPr>
          <w:rFonts w:ascii="Times New Roman" w:hAnsi="Times New Roman" w:cs="Times New Roman" w:eastAsia="Times New Roman"/>
          <w:i/>
          <w:color w:val="auto"/>
          <w:spacing w:val="0"/>
          <w:position w:val="0"/>
          <w:sz w:val="24"/>
          <w:shd w:fill="auto" w:val="clear"/>
        </w:rPr>
        <w:t xml:space="preserve">versus </w:t>
      </w:r>
      <w:r>
        <w:rPr>
          <w:rFonts w:ascii="Times New Roman" w:hAnsi="Times New Roman" w:cs="Times New Roman" w:eastAsia="Times New Roman"/>
          <w:color w:val="auto"/>
          <w:spacing w:val="0"/>
          <w:position w:val="0"/>
          <w:sz w:val="24"/>
          <w:shd w:fill="auto" w:val="clear"/>
        </w:rPr>
        <w:t xml:space="preserve">PC4. The traits are LA: leaf area, SLA: specific leaf area, LDMC: leaf dry matter content, Narea: leaf nitrogen per unit area, </w:t>
      </w:r>
      <w:r>
        <w:rPr>
          <w:rFonts w:ascii="Times New Roman" w:hAnsi="Times New Roman" w:cs="Times New Roman" w:eastAsia="Times New Roman"/>
          <w:i/>
          <w:color w:val="auto"/>
          <w:spacing w:val="0"/>
          <w:position w:val="0"/>
          <w:sz w:val="24"/>
          <w:shd w:fill="auto" w:val="clear"/>
        </w:rPr>
        <w:t xml:space="preserve">V</w:t>
      </w:r>
      <w:r>
        <w:rPr>
          <w:rFonts w:ascii="Times New Roman" w:hAnsi="Times New Roman" w:cs="Times New Roman" w:eastAsia="Times New Roman"/>
          <w:color w:val="auto"/>
          <w:spacing w:val="0"/>
          <w:position w:val="0"/>
          <w:sz w:val="24"/>
          <w:shd w:fill="auto" w:val="clear"/>
          <w:vertAlign w:val="subscript"/>
        </w:rPr>
        <w:t xml:space="preserve">cmax25</w:t>
      </w:r>
      <w:r>
        <w:rPr>
          <w:rFonts w:ascii="Times New Roman" w:hAnsi="Times New Roman" w:cs="Times New Roman" w:eastAsia="Times New Roman"/>
          <w:color w:val="auto"/>
          <w:spacing w:val="0"/>
          <w:position w:val="0"/>
          <w:sz w:val="24"/>
          <w:shd w:fill="auto" w:val="clear"/>
        </w:rPr>
        <w:t xml:space="preserve">: maximum carboxylation rate standardized to 25</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i/>
          <w:color w:val="auto"/>
          <w:spacing w:val="0"/>
          <w:position w:val="0"/>
          <w:sz w:val="24"/>
          <w:shd w:fill="auto" w:val="clear"/>
        </w:rPr>
        <w:t xml:space="preserve">J</w:t>
      </w:r>
      <w:r>
        <w:rPr>
          <w:rFonts w:ascii="Times New Roman" w:hAnsi="Times New Roman" w:cs="Times New Roman" w:eastAsia="Times New Roman"/>
          <w:color w:val="auto"/>
          <w:spacing w:val="0"/>
          <w:position w:val="0"/>
          <w:sz w:val="24"/>
          <w:shd w:fill="auto" w:val="clear"/>
          <w:vertAlign w:val="subscript"/>
        </w:rPr>
        <w:t xml:space="preserve">max25</w:t>
      </w:r>
      <w:r>
        <w:rPr>
          <w:rFonts w:ascii="Times New Roman" w:hAnsi="Times New Roman" w:cs="Times New Roman" w:eastAsia="Times New Roman"/>
          <w:color w:val="auto"/>
          <w:spacing w:val="0"/>
          <w:position w:val="0"/>
          <w:sz w:val="24"/>
          <w:shd w:fill="auto" w:val="clear"/>
        </w:rPr>
        <w:t xml:space="preserve">: maximum electron transport rate standardized to 25</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C, and </w:t>
      </w:r>
      <w:r>
        <w:rPr>
          <w:rFonts w:ascii="Times New Roman" w:hAnsi="Times New Roman" w:cs="Times New Roman" w:eastAsia="Times New Roman"/>
          <w:color w:val="auto"/>
          <w:spacing w:val="0"/>
          <w:position w:val="0"/>
          <w:sz w:val="24"/>
          <w:shd w:fill="auto" w:val="clear"/>
        </w:rPr>
        <w:t xml:space="preserve">χ :the ratio of intercellular to ambient CO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concentration. The four axes of variability related to LA, χ, the leaf economic spectrum and the photosynthetic traits are shown by coloured ellipses on each plot. </w:t>
      </w: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3381" w:dyaOrig="9961">
          <v:rect xmlns:o="urn:schemas-microsoft-com:office:office" xmlns:v="urn:schemas-microsoft-com:vml" id="rectole0000000001" style="width:169.050000pt;height:498.0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Times New Roman" w:hAnsi="Times New Roman" w:cs="Times New Roman" w:eastAsia="Times New Roman"/>
          <w:color w:val="auto"/>
          <w:spacing w:val="0"/>
          <w:position w:val="0"/>
          <w:sz w:val="24"/>
          <w:shd w:fill="auto" w:val="clear"/>
        </w:rPr>
        <w:t xml:space="preserve"> </w:t>
      </w: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 S3 Climate-related trait dimensions from redundancy analysis (only sites with complete data): grey circles are species-site combinations and coloured dots signify named regions as defined in Fig. 1. (a) RDA1 </w:t>
      </w:r>
      <w:r>
        <w:rPr>
          <w:rFonts w:ascii="Times New Roman" w:hAnsi="Times New Roman" w:cs="Times New Roman" w:eastAsia="Times New Roman"/>
          <w:i/>
          <w:color w:val="auto"/>
          <w:spacing w:val="0"/>
          <w:position w:val="0"/>
          <w:sz w:val="24"/>
          <w:shd w:fill="auto" w:val="clear"/>
        </w:rPr>
        <w:t xml:space="preserve">versus</w:t>
      </w:r>
      <w:r>
        <w:rPr>
          <w:rFonts w:ascii="Times New Roman" w:hAnsi="Times New Roman" w:cs="Times New Roman" w:eastAsia="Times New Roman"/>
          <w:color w:val="auto"/>
          <w:spacing w:val="0"/>
          <w:position w:val="0"/>
          <w:sz w:val="24"/>
          <w:shd w:fill="auto" w:val="clear"/>
        </w:rPr>
        <w:t xml:space="preserve"> RDA2, (b) RDA2 </w:t>
      </w:r>
      <w:r>
        <w:rPr>
          <w:rFonts w:ascii="Times New Roman" w:hAnsi="Times New Roman" w:cs="Times New Roman" w:eastAsia="Times New Roman"/>
          <w:i/>
          <w:color w:val="auto"/>
          <w:spacing w:val="0"/>
          <w:position w:val="0"/>
          <w:sz w:val="24"/>
          <w:shd w:fill="auto" w:val="clear"/>
        </w:rPr>
        <w:t xml:space="preserve">versus</w:t>
      </w:r>
      <w:r>
        <w:rPr>
          <w:rFonts w:ascii="Times New Roman" w:hAnsi="Times New Roman" w:cs="Times New Roman" w:eastAsia="Times New Roman"/>
          <w:color w:val="auto"/>
          <w:spacing w:val="0"/>
          <w:position w:val="0"/>
          <w:sz w:val="24"/>
          <w:shd w:fill="auto" w:val="clear"/>
        </w:rPr>
        <w:t xml:space="preserve"> RDA3. The traits are: LA: leaf area, SLA: specific leaf area, LDMC: leaf dry matter content, </w:t>
      </w:r>
      <w:r>
        <w:rPr>
          <w:rFonts w:ascii="Times New Roman" w:hAnsi="Times New Roman" w:cs="Times New Roman" w:eastAsia="Times New Roman"/>
          <w:i/>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vertAlign w:val="subscript"/>
        </w:rPr>
        <w:t xml:space="preserve">area</w:t>
      </w:r>
      <w:r>
        <w:rPr>
          <w:rFonts w:ascii="Times New Roman" w:hAnsi="Times New Roman" w:cs="Times New Roman" w:eastAsia="Times New Roman"/>
          <w:color w:val="auto"/>
          <w:spacing w:val="0"/>
          <w:position w:val="0"/>
          <w:sz w:val="24"/>
          <w:shd w:fill="auto" w:val="clear"/>
        </w:rPr>
        <w:t xml:space="preserve">: leaf nitrogen per unit area, </w:t>
      </w:r>
      <w:r>
        <w:rPr>
          <w:rFonts w:ascii="Times New Roman" w:hAnsi="Times New Roman" w:cs="Times New Roman" w:eastAsia="Times New Roman"/>
          <w:i/>
          <w:color w:val="auto"/>
          <w:spacing w:val="0"/>
          <w:position w:val="0"/>
          <w:sz w:val="24"/>
          <w:shd w:fill="auto" w:val="clear"/>
        </w:rPr>
        <w:t xml:space="preserve">V</w:t>
      </w:r>
      <w:r>
        <w:rPr>
          <w:rFonts w:ascii="Times New Roman" w:hAnsi="Times New Roman" w:cs="Times New Roman" w:eastAsia="Times New Roman"/>
          <w:color w:val="auto"/>
          <w:spacing w:val="0"/>
          <w:position w:val="0"/>
          <w:sz w:val="24"/>
          <w:shd w:fill="auto" w:val="clear"/>
          <w:vertAlign w:val="subscript"/>
        </w:rPr>
        <w:t xml:space="preserve">cmax25:</w:t>
      </w:r>
      <w:r>
        <w:rPr>
          <w:rFonts w:ascii="Times New Roman" w:hAnsi="Times New Roman" w:cs="Times New Roman" w:eastAsia="Times New Roman"/>
          <w:color w:val="auto"/>
          <w:spacing w:val="0"/>
          <w:position w:val="0"/>
          <w:sz w:val="24"/>
          <w:shd w:fill="auto" w:val="clear"/>
        </w:rPr>
        <w:t xml:space="preserve"> maximum carboxylation rate standardized to 25</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i/>
          <w:color w:val="auto"/>
          <w:spacing w:val="0"/>
          <w:position w:val="0"/>
          <w:sz w:val="24"/>
          <w:shd w:fill="auto" w:val="clear"/>
        </w:rPr>
        <w:t xml:space="preserve">J</w:t>
      </w:r>
      <w:r>
        <w:rPr>
          <w:rFonts w:ascii="Times New Roman" w:hAnsi="Times New Roman" w:cs="Times New Roman" w:eastAsia="Times New Roman"/>
          <w:color w:val="auto"/>
          <w:spacing w:val="0"/>
          <w:position w:val="0"/>
          <w:sz w:val="24"/>
          <w:shd w:fill="auto" w:val="clear"/>
          <w:vertAlign w:val="subscript"/>
        </w:rPr>
        <w:t xml:space="preserve">max25</w:t>
      </w:r>
      <w:r>
        <w:rPr>
          <w:rFonts w:ascii="Times New Roman" w:hAnsi="Times New Roman" w:cs="Times New Roman" w:eastAsia="Times New Roman"/>
          <w:color w:val="auto"/>
          <w:spacing w:val="0"/>
          <w:position w:val="0"/>
          <w:sz w:val="24"/>
          <w:shd w:fill="auto" w:val="clear"/>
        </w:rPr>
        <w:t xml:space="preserve">: maximum electron transport rate standardized to 25</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C, and </w:t>
      </w:r>
      <w:r>
        <w:rPr>
          <w:rFonts w:ascii="Times New Roman" w:hAnsi="Times New Roman" w:cs="Times New Roman" w:eastAsia="Times New Roman"/>
          <w:i/>
          <w:color w:val="auto"/>
          <w:spacing w:val="0"/>
          <w:position w:val="0"/>
          <w:sz w:val="24"/>
          <w:shd w:fill="auto" w:val="clear"/>
        </w:rPr>
        <w:t xml:space="preserve">χ</w:t>
      </w:r>
      <w:r>
        <w:rPr>
          <w:rFonts w:ascii="Times New Roman" w:hAnsi="Times New Roman" w:cs="Times New Roman" w:eastAsia="Times New Roman"/>
          <w:color w:val="auto"/>
          <w:spacing w:val="0"/>
          <w:position w:val="0"/>
          <w:sz w:val="24"/>
          <w:shd w:fill="auto" w:val="clear"/>
        </w:rPr>
        <w:t xml:space="preserve"> :the ratio of intercellular to ambient CO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concentration. The climate variables are the ratio of mean annual precipitation to annual equilibrium evapotranspiration (MI), the accumulated photosynthetically active radiation during the thermal growing season (PAR</w:t>
      </w:r>
      <w:r>
        <w:rPr>
          <w:rFonts w:ascii="Times New Roman" w:hAnsi="Times New Roman" w:cs="Times New Roman" w:eastAsia="Times New Roman"/>
          <w:color w:val="auto"/>
          <w:spacing w:val="0"/>
          <w:position w:val="0"/>
          <w:sz w:val="24"/>
          <w:shd w:fill="auto" w:val="clear"/>
          <w:vertAlign w:val="subscript"/>
        </w:rPr>
        <w:t xml:space="preserve">0</w:t>
      </w:r>
      <w:r>
        <w:rPr>
          <w:rFonts w:ascii="Times New Roman" w:hAnsi="Times New Roman" w:cs="Times New Roman" w:eastAsia="Times New Roman"/>
          <w:color w:val="auto"/>
          <w:spacing w:val="0"/>
          <w:position w:val="0"/>
          <w:sz w:val="24"/>
          <w:shd w:fill="auto" w:val="clear"/>
        </w:rPr>
        <w:t xml:space="preserve">) and the daily mean temperature during the thermal growing season (mGDD</w:t>
      </w:r>
      <w:r>
        <w:rPr>
          <w:rFonts w:ascii="Times New Roman" w:hAnsi="Times New Roman" w:cs="Times New Roman" w:eastAsia="Times New Roman"/>
          <w:color w:val="auto"/>
          <w:spacing w:val="0"/>
          <w:position w:val="0"/>
          <w:sz w:val="24"/>
          <w:shd w:fill="auto" w:val="clear"/>
          <w:vertAlign w:val="subscript"/>
        </w:rPr>
        <w:t xml:space="preserve">0</w:t>
      </w:r>
      <w:r>
        <w:rPr>
          <w:rFonts w:ascii="Times New Roman" w:hAnsi="Times New Roman" w:cs="Times New Roman" w:eastAsia="Times New Roman"/>
          <w:color w:val="auto"/>
          <w:spacing w:val="0"/>
          <w:position w:val="0"/>
          <w:sz w:val="24"/>
          <w:shd w:fill="auto" w:val="clear"/>
        </w:rPr>
        <w:t xml:space="preserve">).</w:t>
      </w: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7973" w:dyaOrig="3338">
          <v:rect xmlns:o="urn:schemas-microsoft-com:office:office" xmlns:v="urn:schemas-microsoft-com:vml" id="rectole0000000002" style="width:398.650000pt;height:166.9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 S4 Residual (climate-independent) dimensions of trait variation (only sites with complete data): grey circles are species-site combinations. (a) PC1 </w:t>
      </w:r>
      <w:r>
        <w:rPr>
          <w:rFonts w:ascii="Times New Roman" w:hAnsi="Times New Roman" w:cs="Times New Roman" w:eastAsia="Times New Roman"/>
          <w:i/>
          <w:color w:val="auto"/>
          <w:spacing w:val="0"/>
          <w:position w:val="0"/>
          <w:sz w:val="24"/>
          <w:shd w:fill="auto" w:val="clear"/>
        </w:rPr>
        <w:t xml:space="preserve">versus </w:t>
      </w:r>
      <w:r>
        <w:rPr>
          <w:rFonts w:ascii="Times New Roman" w:hAnsi="Times New Roman" w:cs="Times New Roman" w:eastAsia="Times New Roman"/>
          <w:color w:val="auto"/>
          <w:spacing w:val="0"/>
          <w:position w:val="0"/>
          <w:sz w:val="24"/>
          <w:shd w:fill="auto" w:val="clear"/>
        </w:rPr>
        <w:t xml:space="preserve">PC2, (b) PC2 </w:t>
      </w:r>
      <w:r>
        <w:rPr>
          <w:rFonts w:ascii="Times New Roman" w:hAnsi="Times New Roman" w:cs="Times New Roman" w:eastAsia="Times New Roman"/>
          <w:i/>
          <w:color w:val="auto"/>
          <w:spacing w:val="0"/>
          <w:position w:val="0"/>
          <w:sz w:val="24"/>
          <w:shd w:fill="auto" w:val="clear"/>
        </w:rPr>
        <w:t xml:space="preserve">versus </w:t>
      </w:r>
      <w:r>
        <w:rPr>
          <w:rFonts w:ascii="Times New Roman" w:hAnsi="Times New Roman" w:cs="Times New Roman" w:eastAsia="Times New Roman"/>
          <w:color w:val="auto"/>
          <w:spacing w:val="0"/>
          <w:position w:val="0"/>
          <w:sz w:val="24"/>
          <w:shd w:fill="auto" w:val="clear"/>
        </w:rPr>
        <w:t xml:space="preserve">PC3, (c) PC3 </w:t>
      </w:r>
      <w:r>
        <w:rPr>
          <w:rFonts w:ascii="Times New Roman" w:hAnsi="Times New Roman" w:cs="Times New Roman" w:eastAsia="Times New Roman"/>
          <w:i/>
          <w:color w:val="auto"/>
          <w:spacing w:val="0"/>
          <w:position w:val="0"/>
          <w:sz w:val="24"/>
          <w:shd w:fill="auto" w:val="clear"/>
        </w:rPr>
        <w:t xml:space="preserve">versus </w:t>
      </w:r>
      <w:r>
        <w:rPr>
          <w:rFonts w:ascii="Times New Roman" w:hAnsi="Times New Roman" w:cs="Times New Roman" w:eastAsia="Times New Roman"/>
          <w:color w:val="auto"/>
          <w:spacing w:val="0"/>
          <w:position w:val="0"/>
          <w:sz w:val="24"/>
          <w:shd w:fill="auto" w:val="clear"/>
        </w:rPr>
        <w:t xml:space="preserve">PC4.The traits are: LA: leaf area, SLA: specific leaf area, LDMC: leaf dry matter content, </w:t>
      </w:r>
      <w:r>
        <w:rPr>
          <w:rFonts w:ascii="Times New Roman" w:hAnsi="Times New Roman" w:cs="Times New Roman" w:eastAsia="Times New Roman"/>
          <w:i/>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vertAlign w:val="subscript"/>
        </w:rPr>
        <w:t xml:space="preserve">area</w:t>
      </w:r>
      <w:r>
        <w:rPr>
          <w:rFonts w:ascii="Times New Roman" w:hAnsi="Times New Roman" w:cs="Times New Roman" w:eastAsia="Times New Roman"/>
          <w:color w:val="auto"/>
          <w:spacing w:val="0"/>
          <w:position w:val="0"/>
          <w:sz w:val="24"/>
          <w:shd w:fill="auto" w:val="clear"/>
        </w:rPr>
        <w:t xml:space="preserve">: leaf nitrogen per unit area, </w:t>
      </w:r>
      <w:r>
        <w:rPr>
          <w:rFonts w:ascii="Times New Roman" w:hAnsi="Times New Roman" w:cs="Times New Roman" w:eastAsia="Times New Roman"/>
          <w:i/>
          <w:color w:val="auto"/>
          <w:spacing w:val="0"/>
          <w:position w:val="0"/>
          <w:sz w:val="24"/>
          <w:shd w:fill="auto" w:val="clear"/>
        </w:rPr>
        <w:t xml:space="preserve">V</w:t>
      </w:r>
      <w:r>
        <w:rPr>
          <w:rFonts w:ascii="Times New Roman" w:hAnsi="Times New Roman" w:cs="Times New Roman" w:eastAsia="Times New Roman"/>
          <w:color w:val="auto"/>
          <w:spacing w:val="0"/>
          <w:position w:val="0"/>
          <w:sz w:val="24"/>
          <w:shd w:fill="auto" w:val="clear"/>
          <w:vertAlign w:val="subscript"/>
        </w:rPr>
        <w:t xml:space="preserve">cmax25:</w:t>
      </w:r>
      <w:r>
        <w:rPr>
          <w:rFonts w:ascii="Times New Roman" w:hAnsi="Times New Roman" w:cs="Times New Roman" w:eastAsia="Times New Roman"/>
          <w:color w:val="auto"/>
          <w:spacing w:val="0"/>
          <w:position w:val="0"/>
          <w:sz w:val="24"/>
          <w:shd w:fill="auto" w:val="clear"/>
        </w:rPr>
        <w:t xml:space="preserve"> maximum carboxylation rate standardized to 25</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i/>
          <w:color w:val="auto"/>
          <w:spacing w:val="0"/>
          <w:position w:val="0"/>
          <w:sz w:val="24"/>
          <w:shd w:fill="auto" w:val="clear"/>
        </w:rPr>
        <w:t xml:space="preserve">J</w:t>
      </w:r>
      <w:r>
        <w:rPr>
          <w:rFonts w:ascii="Times New Roman" w:hAnsi="Times New Roman" w:cs="Times New Roman" w:eastAsia="Times New Roman"/>
          <w:color w:val="auto"/>
          <w:spacing w:val="0"/>
          <w:position w:val="0"/>
          <w:sz w:val="24"/>
          <w:shd w:fill="auto" w:val="clear"/>
          <w:vertAlign w:val="subscript"/>
        </w:rPr>
        <w:t xml:space="preserve">max25</w:t>
      </w:r>
      <w:r>
        <w:rPr>
          <w:rFonts w:ascii="Times New Roman" w:hAnsi="Times New Roman" w:cs="Times New Roman" w:eastAsia="Times New Roman"/>
          <w:color w:val="auto"/>
          <w:spacing w:val="0"/>
          <w:position w:val="0"/>
          <w:sz w:val="24"/>
          <w:shd w:fill="auto" w:val="clear"/>
        </w:rPr>
        <w:t xml:space="preserve">: maximum electron transport rate standardized to 25</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C, and </w:t>
      </w:r>
      <w:r>
        <w:rPr>
          <w:rFonts w:ascii="Times New Roman" w:hAnsi="Times New Roman" w:cs="Times New Roman" w:eastAsia="Times New Roman"/>
          <w:i/>
          <w:color w:val="auto"/>
          <w:spacing w:val="0"/>
          <w:position w:val="0"/>
          <w:sz w:val="24"/>
          <w:shd w:fill="auto" w:val="clear"/>
        </w:rPr>
        <w:t xml:space="preserve">χ</w:t>
      </w:r>
      <w:r>
        <w:rPr>
          <w:rFonts w:ascii="Times New Roman" w:hAnsi="Times New Roman" w:cs="Times New Roman" w:eastAsia="Times New Roman"/>
          <w:color w:val="auto"/>
          <w:spacing w:val="0"/>
          <w:position w:val="0"/>
          <w:sz w:val="24"/>
          <w:shd w:fill="auto" w:val="clear"/>
        </w:rPr>
        <w:t xml:space="preserve"> :the ratio of intercellular to ambient CO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concentration.</w:t>
      </w: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3501" w:dyaOrig="9884">
          <v:rect xmlns:o="urn:schemas-microsoft-com:office:office" xmlns:v="urn:schemas-microsoft-com:vml" id="rectole0000000003" style="width:175.050000pt;height:494.2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 S5 Distribution of sites used to test the trait predictions globally. Leaf economics traits (SLA. LDMC, </w:t>
      </w:r>
      <w:r>
        <w:rPr>
          <w:rFonts w:ascii="Times New Roman" w:hAnsi="Times New Roman" w:cs="Times New Roman" w:eastAsia="Times New Roman"/>
          <w:i/>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vertAlign w:val="subscript"/>
        </w:rPr>
        <w:t xml:space="preserve">area</w:t>
      </w:r>
      <w:r>
        <w:rPr>
          <w:rFonts w:ascii="Times New Roman" w:hAnsi="Times New Roman" w:cs="Times New Roman" w:eastAsia="Times New Roman"/>
          <w:color w:val="auto"/>
          <w:spacing w:val="0"/>
          <w:position w:val="0"/>
          <w:sz w:val="24"/>
          <w:shd w:fill="auto" w:val="clear"/>
        </w:rPr>
        <w:t xml:space="preserve">) data are from Wright et al. (2004), </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LA from Wright et al. (2017), photosynthetic traits (</w:t>
      </w:r>
      <w:r>
        <w:rPr>
          <w:rFonts w:ascii="Times New Roman" w:hAnsi="Times New Roman" w:cs="Times New Roman" w:eastAsia="Times New Roman"/>
          <w:i/>
          <w:color w:val="auto"/>
          <w:spacing w:val="0"/>
          <w:position w:val="0"/>
          <w:sz w:val="24"/>
          <w:shd w:fill="auto" w:val="clear"/>
        </w:rPr>
        <w:t xml:space="preserve">V</w:t>
      </w:r>
      <w:r>
        <w:rPr>
          <w:rFonts w:ascii="Times New Roman" w:hAnsi="Times New Roman" w:cs="Times New Roman" w:eastAsia="Times New Roman"/>
          <w:color w:val="auto"/>
          <w:spacing w:val="0"/>
          <w:position w:val="0"/>
          <w:sz w:val="24"/>
          <w:shd w:fill="auto" w:val="clear"/>
          <w:vertAlign w:val="subscript"/>
        </w:rPr>
        <w:t xml:space="preserve">cmax25 , </w:t>
      </w:r>
      <w:r>
        <w:rPr>
          <w:rFonts w:ascii="Times New Roman" w:hAnsi="Times New Roman" w:cs="Times New Roman" w:eastAsia="Times New Roman"/>
          <w:i/>
          <w:color w:val="auto"/>
          <w:spacing w:val="0"/>
          <w:position w:val="0"/>
          <w:sz w:val="24"/>
          <w:shd w:fill="auto" w:val="clear"/>
        </w:rPr>
        <w:t xml:space="preserve">J</w:t>
      </w:r>
      <w:r>
        <w:rPr>
          <w:rFonts w:ascii="Times New Roman" w:hAnsi="Times New Roman" w:cs="Times New Roman" w:eastAsia="Times New Roman"/>
          <w:color w:val="auto"/>
          <w:spacing w:val="0"/>
          <w:position w:val="0"/>
          <w:sz w:val="24"/>
          <w:shd w:fill="auto" w:val="clear"/>
          <w:vertAlign w:val="subscript"/>
        </w:rPr>
        <w:t xml:space="preserve">max25</w:t>
      </w:r>
      <w:r>
        <w:rPr>
          <w:rFonts w:ascii="Times New Roman" w:hAnsi="Times New Roman" w:cs="Times New Roman" w:eastAsia="Times New Roman"/>
          <w:color w:val="auto"/>
          <w:spacing w:val="0"/>
          <w:position w:val="0"/>
          <w:sz w:val="24"/>
          <w:shd w:fill="auto" w:val="clear"/>
        </w:rPr>
        <w:t xml:space="preserve">) from De Kauwe et al. (2016) and χ from Cornwell et al. (2017).</w:t>
      </w: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8337" w:dyaOrig="3582">
          <v:rect xmlns:o="urn:schemas-microsoft-com:office:office" xmlns:v="urn:schemas-microsoft-com:vml" id="rectole0000000004" style="width:416.850000pt;height:179.1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 S6 Pairwise correlations between traits. (a) All sites (with gap filling of </w:t>
      </w:r>
      <w:r>
        <w:rPr>
          <w:rFonts w:ascii="Times New Roman" w:hAnsi="Times New Roman" w:cs="Times New Roman" w:eastAsia="Times New Roman"/>
          <w:i/>
          <w:color w:val="auto"/>
          <w:spacing w:val="0"/>
          <w:position w:val="0"/>
          <w:sz w:val="24"/>
          <w:shd w:fill="auto" w:val="clear"/>
        </w:rPr>
        <w:t xml:space="preserve">V</w:t>
      </w:r>
      <w:r>
        <w:rPr>
          <w:rFonts w:ascii="Times New Roman" w:hAnsi="Times New Roman" w:cs="Times New Roman" w:eastAsia="Times New Roman"/>
          <w:color w:val="auto"/>
          <w:spacing w:val="0"/>
          <w:position w:val="0"/>
          <w:sz w:val="24"/>
          <w:shd w:fill="auto" w:val="clear"/>
          <w:vertAlign w:val="subscript"/>
        </w:rPr>
        <w:t xml:space="preserve">cmax</w:t>
      </w:r>
      <w:r>
        <w:rPr>
          <w:rFonts w:ascii="Times New Roman" w:hAnsi="Times New Roman" w:cs="Times New Roman" w:eastAsia="Times New Roman"/>
          <w:color w:val="auto"/>
          <w:spacing w:val="0"/>
          <w:position w:val="0"/>
          <w:sz w:val="24"/>
          <w:shd w:fill="auto" w:val="clear"/>
        </w:rPr>
        <w:t xml:space="preserve"> and </w:t>
      </w:r>
      <w:r>
        <w:rPr>
          <w:rFonts w:ascii="Times New Roman" w:hAnsi="Times New Roman" w:cs="Times New Roman" w:eastAsia="Times New Roman"/>
          <w:i/>
          <w:color w:val="auto"/>
          <w:spacing w:val="0"/>
          <w:position w:val="0"/>
          <w:sz w:val="24"/>
          <w:shd w:fill="auto" w:val="clear"/>
        </w:rPr>
        <w:t xml:space="preserve">J</w:t>
      </w:r>
      <w:r>
        <w:rPr>
          <w:rFonts w:ascii="Times New Roman" w:hAnsi="Times New Roman" w:cs="Times New Roman" w:eastAsia="Times New Roman"/>
          <w:color w:val="auto"/>
          <w:spacing w:val="0"/>
          <w:position w:val="0"/>
          <w:sz w:val="24"/>
          <w:shd w:fill="auto" w:val="clear"/>
          <w:vertAlign w:val="subscript"/>
        </w:rPr>
        <w:t xml:space="preserve">max</w:t>
      </w:r>
      <w:r>
        <w:rPr>
          <w:rFonts w:ascii="Times New Roman" w:hAnsi="Times New Roman" w:cs="Times New Roman" w:eastAsia="Times New Roman"/>
          <w:color w:val="auto"/>
          <w:spacing w:val="0"/>
          <w:position w:val="0"/>
          <w:sz w:val="24"/>
          <w:shd w:fill="auto" w:val="clear"/>
        </w:rPr>
        <w:t xml:space="preserve">); (b) sites with complete data (without gap filling). Yellow boxes highlight the differences between panels. n.s. stands for not significant.</w:t>
      </w: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7973" w:dyaOrig="3551">
          <v:rect xmlns:o="urn:schemas-microsoft-com:office:office" xmlns:v="urn:schemas-microsoft-com:vml" id="rectole0000000005" style="width:398.650000pt;height:177.5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rPr>
          <w:rFonts w:ascii="Times New Roman" w:hAnsi="Times New Roman" w:cs="Times New Roman" w:eastAsia="Times New Roman"/>
          <w:color w:val="auto"/>
          <w:spacing w:val="0"/>
          <w:position w:val="0"/>
          <w:sz w:val="24"/>
          <w:shd w:fill="auto" w:val="clear"/>
        </w:rPr>
        <w:t xml:space="preserve"> </w:t>
      </w: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 S7 Calibration of the predictive model of trait~climate RDA relationships in China. The traits are: LA: leaf area, SLA: specific leaf area, LDMC: leaf dry matter content, </w:t>
      </w:r>
      <w:r>
        <w:rPr>
          <w:rFonts w:ascii="Times New Roman" w:hAnsi="Times New Roman" w:cs="Times New Roman" w:eastAsia="Times New Roman"/>
          <w:i/>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vertAlign w:val="subscript"/>
        </w:rPr>
        <w:t xml:space="preserve">area</w:t>
      </w:r>
      <w:r>
        <w:rPr>
          <w:rFonts w:ascii="Times New Roman" w:hAnsi="Times New Roman" w:cs="Times New Roman" w:eastAsia="Times New Roman"/>
          <w:color w:val="auto"/>
          <w:spacing w:val="0"/>
          <w:position w:val="0"/>
          <w:sz w:val="24"/>
          <w:shd w:fill="auto" w:val="clear"/>
        </w:rPr>
        <w:t xml:space="preserve">: leaf nitrogen per unit area, </w:t>
      </w:r>
      <w:r>
        <w:rPr>
          <w:rFonts w:ascii="Times New Roman" w:hAnsi="Times New Roman" w:cs="Times New Roman" w:eastAsia="Times New Roman"/>
          <w:i/>
          <w:color w:val="auto"/>
          <w:spacing w:val="0"/>
          <w:position w:val="0"/>
          <w:sz w:val="24"/>
          <w:shd w:fill="auto" w:val="clear"/>
        </w:rPr>
        <w:t xml:space="preserve">V</w:t>
      </w:r>
      <w:r>
        <w:rPr>
          <w:rFonts w:ascii="Times New Roman" w:hAnsi="Times New Roman" w:cs="Times New Roman" w:eastAsia="Times New Roman"/>
          <w:color w:val="auto"/>
          <w:spacing w:val="0"/>
          <w:position w:val="0"/>
          <w:sz w:val="24"/>
          <w:shd w:fill="auto" w:val="clear"/>
          <w:vertAlign w:val="subscript"/>
        </w:rPr>
        <w:t xml:space="preserve">cmax25:</w:t>
      </w:r>
      <w:r>
        <w:rPr>
          <w:rFonts w:ascii="Times New Roman" w:hAnsi="Times New Roman" w:cs="Times New Roman" w:eastAsia="Times New Roman"/>
          <w:color w:val="auto"/>
          <w:spacing w:val="0"/>
          <w:position w:val="0"/>
          <w:sz w:val="24"/>
          <w:shd w:fill="auto" w:val="clear"/>
        </w:rPr>
        <w:t xml:space="preserve"> maximum carboxylation rate standardized to 25</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i/>
          <w:color w:val="auto"/>
          <w:spacing w:val="0"/>
          <w:position w:val="0"/>
          <w:sz w:val="24"/>
          <w:shd w:fill="auto" w:val="clear"/>
        </w:rPr>
        <w:t xml:space="preserve">J</w:t>
      </w:r>
      <w:r>
        <w:rPr>
          <w:rFonts w:ascii="Times New Roman" w:hAnsi="Times New Roman" w:cs="Times New Roman" w:eastAsia="Times New Roman"/>
          <w:color w:val="auto"/>
          <w:spacing w:val="0"/>
          <w:position w:val="0"/>
          <w:sz w:val="24"/>
          <w:shd w:fill="auto" w:val="clear"/>
          <w:vertAlign w:val="subscript"/>
        </w:rPr>
        <w:t xml:space="preserve">max25</w:t>
      </w:r>
      <w:r>
        <w:rPr>
          <w:rFonts w:ascii="Times New Roman" w:hAnsi="Times New Roman" w:cs="Times New Roman" w:eastAsia="Times New Roman"/>
          <w:color w:val="auto"/>
          <w:spacing w:val="0"/>
          <w:position w:val="0"/>
          <w:sz w:val="24"/>
          <w:shd w:fill="auto" w:val="clear"/>
        </w:rPr>
        <w:t xml:space="preserve">: maximum electron transport rate standardized to 25</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C, and </w:t>
      </w:r>
      <w:r>
        <w:rPr>
          <w:rFonts w:ascii="Times New Roman" w:hAnsi="Times New Roman" w:cs="Times New Roman" w:eastAsia="Times New Roman"/>
          <w:i/>
          <w:color w:val="auto"/>
          <w:spacing w:val="0"/>
          <w:position w:val="0"/>
          <w:sz w:val="24"/>
          <w:shd w:fill="auto" w:val="clear"/>
        </w:rPr>
        <w:t xml:space="preserve">χ</w:t>
      </w:r>
      <w:r>
        <w:rPr>
          <w:rFonts w:ascii="Times New Roman" w:hAnsi="Times New Roman" w:cs="Times New Roman" w:eastAsia="Times New Roman"/>
          <w:color w:val="auto"/>
          <w:spacing w:val="0"/>
          <w:position w:val="0"/>
          <w:sz w:val="24"/>
          <w:shd w:fill="auto" w:val="clear"/>
        </w:rPr>
        <w:t xml:space="preserve"> :the ratio of intercellular to ambient CO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concentration. (a) Predicted log</w:t>
      </w:r>
      <w:r>
        <w:rPr>
          <w:rFonts w:ascii="Times New Roman" w:hAnsi="Times New Roman" w:cs="Times New Roman" w:eastAsia="Times New Roman"/>
          <w:color w:val="auto"/>
          <w:spacing w:val="0"/>
          <w:position w:val="0"/>
          <w:sz w:val="24"/>
          <w:shd w:fill="auto" w:val="clear"/>
          <w:vertAlign w:val="subscript"/>
        </w:rPr>
        <w:t xml:space="preserve">e</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LA versus observed log</w:t>
      </w:r>
      <w:r>
        <w:rPr>
          <w:rFonts w:ascii="Times New Roman" w:hAnsi="Times New Roman" w:cs="Times New Roman" w:eastAsia="Times New Roman"/>
          <w:color w:val="auto"/>
          <w:spacing w:val="0"/>
          <w:position w:val="0"/>
          <w:sz w:val="24"/>
          <w:shd w:fill="auto" w:val="clear"/>
          <w:vertAlign w:val="subscript"/>
        </w:rPr>
        <w:t xml:space="preserve">e</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LA. (b) Predicted log</w:t>
      </w:r>
      <w:r>
        <w:rPr>
          <w:rFonts w:ascii="Times New Roman" w:hAnsi="Times New Roman" w:cs="Times New Roman" w:eastAsia="Times New Roman"/>
          <w:color w:val="auto"/>
          <w:spacing w:val="0"/>
          <w:position w:val="0"/>
          <w:sz w:val="24"/>
          <w:shd w:fill="auto" w:val="clear"/>
          <w:vertAlign w:val="subscript"/>
        </w:rPr>
        <w:t xml:space="preserve">e</w:t>
      </w:r>
      <w:r>
        <w:rPr>
          <w:rFonts w:ascii="Times New Roman" w:hAnsi="Times New Roman" w:cs="Times New Roman" w:eastAsia="Times New Roman"/>
          <w:color w:val="auto"/>
          <w:spacing w:val="0"/>
          <w:position w:val="0"/>
          <w:sz w:val="24"/>
          <w:shd w:fill="auto" w:val="clear"/>
        </w:rPr>
        <w:t xml:space="preserve"> SLA versus observed log</w:t>
      </w:r>
      <w:r>
        <w:rPr>
          <w:rFonts w:ascii="Times New Roman" w:hAnsi="Times New Roman" w:cs="Times New Roman" w:eastAsia="Times New Roman"/>
          <w:color w:val="auto"/>
          <w:spacing w:val="0"/>
          <w:position w:val="0"/>
          <w:sz w:val="24"/>
          <w:shd w:fill="auto" w:val="clear"/>
          <w:vertAlign w:val="subscript"/>
        </w:rPr>
        <w:t xml:space="preserve">e</w:t>
      </w:r>
      <w:r>
        <w:rPr>
          <w:rFonts w:ascii="Times New Roman" w:hAnsi="Times New Roman" w:cs="Times New Roman" w:eastAsia="Times New Roman"/>
          <w:color w:val="auto"/>
          <w:spacing w:val="0"/>
          <w:position w:val="0"/>
          <w:sz w:val="24"/>
          <w:shd w:fill="auto" w:val="clear"/>
        </w:rPr>
        <w:t xml:space="preserve"> SLA. (c) Predicted log</w:t>
      </w:r>
      <w:r>
        <w:rPr>
          <w:rFonts w:ascii="Times New Roman" w:hAnsi="Times New Roman" w:cs="Times New Roman" w:eastAsia="Times New Roman"/>
          <w:color w:val="auto"/>
          <w:spacing w:val="0"/>
          <w:position w:val="0"/>
          <w:sz w:val="24"/>
          <w:shd w:fill="auto" w:val="clear"/>
          <w:vertAlign w:val="subscript"/>
        </w:rPr>
        <w:t xml:space="preserve">e</w:t>
      </w:r>
      <w:r>
        <w:rPr>
          <w:rFonts w:ascii="Times New Roman" w:hAnsi="Times New Roman" w:cs="Times New Roman" w:eastAsia="Times New Roman"/>
          <w:color w:val="auto"/>
          <w:spacing w:val="0"/>
          <w:position w:val="0"/>
          <w:sz w:val="24"/>
          <w:shd w:fill="auto" w:val="clear"/>
        </w:rPr>
        <w:t xml:space="preserve"> LDMC versus observed log</w:t>
      </w:r>
      <w:r>
        <w:rPr>
          <w:rFonts w:ascii="Times New Roman" w:hAnsi="Times New Roman" w:cs="Times New Roman" w:eastAsia="Times New Roman"/>
          <w:color w:val="auto"/>
          <w:spacing w:val="0"/>
          <w:position w:val="0"/>
          <w:sz w:val="24"/>
          <w:shd w:fill="auto" w:val="clear"/>
          <w:vertAlign w:val="subscript"/>
        </w:rPr>
        <w:t xml:space="preserve">e</w:t>
      </w:r>
      <w:r>
        <w:rPr>
          <w:rFonts w:ascii="Times New Roman" w:hAnsi="Times New Roman" w:cs="Times New Roman" w:eastAsia="Times New Roman"/>
          <w:color w:val="auto"/>
          <w:spacing w:val="0"/>
          <w:position w:val="0"/>
          <w:sz w:val="24"/>
          <w:shd w:fill="auto" w:val="clear"/>
        </w:rPr>
        <w:t xml:space="preserve"> LDMC. (d) Predicted log</w:t>
      </w:r>
      <w:r>
        <w:rPr>
          <w:rFonts w:ascii="Times New Roman" w:hAnsi="Times New Roman" w:cs="Times New Roman" w:eastAsia="Times New Roman"/>
          <w:color w:val="auto"/>
          <w:spacing w:val="0"/>
          <w:position w:val="0"/>
          <w:sz w:val="24"/>
          <w:shd w:fill="auto" w:val="clear"/>
          <w:vertAlign w:val="subscript"/>
        </w:rPr>
        <w:t xml:space="preserve">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vertAlign w:val="subscript"/>
        </w:rPr>
        <w:t xml:space="preserve">area</w:t>
      </w:r>
      <w:r>
        <w:rPr>
          <w:rFonts w:ascii="Times New Roman" w:hAnsi="Times New Roman" w:cs="Times New Roman" w:eastAsia="Times New Roman"/>
          <w:color w:val="auto"/>
          <w:spacing w:val="0"/>
          <w:position w:val="0"/>
          <w:sz w:val="24"/>
          <w:shd w:fill="auto" w:val="clear"/>
        </w:rPr>
        <w:t xml:space="preserve"> versus observed log</w:t>
      </w:r>
      <w:r>
        <w:rPr>
          <w:rFonts w:ascii="Times New Roman" w:hAnsi="Times New Roman" w:cs="Times New Roman" w:eastAsia="Times New Roman"/>
          <w:color w:val="auto"/>
          <w:spacing w:val="0"/>
          <w:position w:val="0"/>
          <w:sz w:val="24"/>
          <w:shd w:fill="auto" w:val="clear"/>
          <w:vertAlign w:val="subscript"/>
        </w:rPr>
        <w:t xml:space="preserve">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vertAlign w:val="subscript"/>
        </w:rPr>
        <w:t xml:space="preserve">area</w:t>
      </w:r>
      <w:r>
        <w:rPr>
          <w:rFonts w:ascii="Times New Roman" w:hAnsi="Times New Roman" w:cs="Times New Roman" w:eastAsia="Times New Roman"/>
          <w:color w:val="auto"/>
          <w:spacing w:val="0"/>
          <w:position w:val="0"/>
          <w:sz w:val="24"/>
          <w:shd w:fill="auto" w:val="clear"/>
        </w:rPr>
        <w:t xml:space="preserve">. (e) Predicted log</w:t>
      </w:r>
      <w:r>
        <w:rPr>
          <w:rFonts w:ascii="Times New Roman" w:hAnsi="Times New Roman" w:cs="Times New Roman" w:eastAsia="Times New Roman"/>
          <w:color w:val="auto"/>
          <w:spacing w:val="0"/>
          <w:position w:val="0"/>
          <w:sz w:val="24"/>
          <w:shd w:fill="auto" w:val="clear"/>
          <w:vertAlign w:val="subscript"/>
        </w:rPr>
        <w:t xml:space="preserve">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V</w:t>
      </w:r>
      <w:r>
        <w:rPr>
          <w:rFonts w:ascii="Times New Roman" w:hAnsi="Times New Roman" w:cs="Times New Roman" w:eastAsia="Times New Roman"/>
          <w:color w:val="auto"/>
          <w:spacing w:val="0"/>
          <w:position w:val="0"/>
          <w:sz w:val="24"/>
          <w:shd w:fill="auto" w:val="clear"/>
          <w:vertAlign w:val="subscript"/>
        </w:rPr>
        <w:t xml:space="preserve">cmax25</w:t>
      </w:r>
      <w:r>
        <w:rPr>
          <w:rFonts w:ascii="Times New Roman" w:hAnsi="Times New Roman" w:cs="Times New Roman" w:eastAsia="Times New Roman"/>
          <w:color w:val="auto"/>
          <w:spacing w:val="0"/>
          <w:position w:val="0"/>
          <w:sz w:val="24"/>
          <w:shd w:fill="auto" w:val="clear"/>
        </w:rPr>
        <w:t xml:space="preserve"> versus observed log</w:t>
      </w:r>
      <w:r>
        <w:rPr>
          <w:rFonts w:ascii="Times New Roman" w:hAnsi="Times New Roman" w:cs="Times New Roman" w:eastAsia="Times New Roman"/>
          <w:color w:val="auto"/>
          <w:spacing w:val="0"/>
          <w:position w:val="0"/>
          <w:sz w:val="24"/>
          <w:shd w:fill="auto" w:val="clear"/>
          <w:vertAlign w:val="subscript"/>
        </w:rPr>
        <w:t xml:space="preserve">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V</w:t>
      </w:r>
      <w:r>
        <w:rPr>
          <w:rFonts w:ascii="Times New Roman" w:hAnsi="Times New Roman" w:cs="Times New Roman" w:eastAsia="Times New Roman"/>
          <w:color w:val="auto"/>
          <w:spacing w:val="0"/>
          <w:position w:val="0"/>
          <w:sz w:val="24"/>
          <w:shd w:fill="auto" w:val="clear"/>
          <w:vertAlign w:val="subscript"/>
        </w:rPr>
        <w:t xml:space="preserve">cmax25</w:t>
      </w:r>
      <w:r>
        <w:rPr>
          <w:rFonts w:ascii="Times New Roman" w:hAnsi="Times New Roman" w:cs="Times New Roman" w:eastAsia="Times New Roman"/>
          <w:color w:val="auto"/>
          <w:spacing w:val="0"/>
          <w:position w:val="0"/>
          <w:sz w:val="24"/>
          <w:shd w:fill="auto" w:val="clear"/>
        </w:rPr>
        <w:t xml:space="preserve">. (f) Predicted log</w:t>
      </w:r>
      <w:r>
        <w:rPr>
          <w:rFonts w:ascii="Times New Roman" w:hAnsi="Times New Roman" w:cs="Times New Roman" w:eastAsia="Times New Roman"/>
          <w:color w:val="auto"/>
          <w:spacing w:val="0"/>
          <w:position w:val="0"/>
          <w:sz w:val="24"/>
          <w:shd w:fill="auto" w:val="clear"/>
          <w:vertAlign w:val="subscript"/>
        </w:rPr>
        <w:t xml:space="preserve">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J</w:t>
      </w:r>
      <w:r>
        <w:rPr>
          <w:rFonts w:ascii="Times New Roman" w:hAnsi="Times New Roman" w:cs="Times New Roman" w:eastAsia="Times New Roman"/>
          <w:color w:val="auto"/>
          <w:spacing w:val="0"/>
          <w:position w:val="0"/>
          <w:sz w:val="24"/>
          <w:shd w:fill="auto" w:val="clear"/>
          <w:vertAlign w:val="subscript"/>
        </w:rPr>
        <w:t xml:space="preserve">max25</w:t>
      </w:r>
      <w:r>
        <w:rPr>
          <w:rFonts w:ascii="Times New Roman" w:hAnsi="Times New Roman" w:cs="Times New Roman" w:eastAsia="Times New Roman"/>
          <w:color w:val="auto"/>
          <w:spacing w:val="0"/>
          <w:position w:val="0"/>
          <w:sz w:val="24"/>
          <w:shd w:fill="auto" w:val="clear"/>
        </w:rPr>
        <w:t xml:space="preserve"> versus observed log</w:t>
      </w:r>
      <w:r>
        <w:rPr>
          <w:rFonts w:ascii="Times New Roman" w:hAnsi="Times New Roman" w:cs="Times New Roman" w:eastAsia="Times New Roman"/>
          <w:color w:val="auto"/>
          <w:spacing w:val="0"/>
          <w:position w:val="0"/>
          <w:sz w:val="24"/>
          <w:shd w:fill="auto" w:val="clear"/>
          <w:vertAlign w:val="subscript"/>
        </w:rPr>
        <w:t xml:space="preserve">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J</w:t>
      </w:r>
      <w:r>
        <w:rPr>
          <w:rFonts w:ascii="Times New Roman" w:hAnsi="Times New Roman" w:cs="Times New Roman" w:eastAsia="Times New Roman"/>
          <w:color w:val="auto"/>
          <w:spacing w:val="0"/>
          <w:position w:val="0"/>
          <w:sz w:val="24"/>
          <w:shd w:fill="auto" w:val="clear"/>
          <w:vertAlign w:val="subscript"/>
        </w:rPr>
        <w:t xml:space="preserve">max25</w:t>
      </w:r>
      <w:r>
        <w:rPr>
          <w:rFonts w:ascii="Times New Roman" w:hAnsi="Times New Roman" w:cs="Times New Roman" w:eastAsia="Times New Roman"/>
          <w:color w:val="auto"/>
          <w:spacing w:val="0"/>
          <w:position w:val="0"/>
          <w:sz w:val="24"/>
          <w:shd w:fill="auto" w:val="clear"/>
        </w:rPr>
        <w:t xml:space="preserve">. (g) Predicted logit χ versus observed logit χ. Gray points are species trait values and red squares are site means. Blue lines are the regression line and their shades are 95% confidence intervals.</w:t>
      </w: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7901" w:dyaOrig="4624">
          <v:rect xmlns:o="urn:schemas-microsoft-com:office:office" xmlns:v="urn:schemas-microsoft-com:vml" id="rectole0000000006" style="width:395.050000pt;height:231.2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S1 Leaf traits and their ecological significance</w:t>
      </w:r>
    </w:p>
    <w:tbl>
      <w:tblPr/>
      <w:tblGrid>
        <w:gridCol w:w="851"/>
        <w:gridCol w:w="1648"/>
        <w:gridCol w:w="6125"/>
      </w:tblGrid>
      <w:tr>
        <w:trPr>
          <w:trHeight w:val="1" w:hRule="atLeast"/>
          <w:jc w:val="left"/>
        </w:trPr>
        <w:tc>
          <w:tcPr>
            <w:tcW w:w="85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1"/>
                <w:shd w:fill="auto" w:val="clear"/>
              </w:rPr>
              <w:t xml:space="preserve">Traits</w:t>
            </w:r>
          </w:p>
        </w:tc>
        <w:tc>
          <w:tcPr>
            <w:tcW w:w="1648"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1"/>
                <w:shd w:fill="auto" w:val="clear"/>
              </w:rPr>
              <w:t xml:space="preserve">Definitions</w:t>
            </w:r>
          </w:p>
        </w:tc>
        <w:tc>
          <w:tcPr>
            <w:tcW w:w="6125"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1"/>
                <w:shd w:fill="auto" w:val="clear"/>
              </w:rPr>
              <w:t xml:space="preserve">Significance</w:t>
            </w:r>
          </w:p>
        </w:tc>
      </w:tr>
      <w:tr>
        <w:trPr>
          <w:trHeight w:val="1" w:hRule="atLeast"/>
          <w:jc w:val="left"/>
        </w:trPr>
        <w:tc>
          <w:tcPr>
            <w:tcW w:w="85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1"/>
                <w:shd w:fill="auto" w:val="clear"/>
              </w:rPr>
              <w:t xml:space="preserve">LA</w:t>
            </w:r>
          </w:p>
        </w:tc>
        <w:tc>
          <w:tcPr>
            <w:tcW w:w="1648"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1"/>
                <w:shd w:fill="auto" w:val="clear"/>
              </w:rPr>
              <w:t xml:space="preserve">Projected surface area of a leaf.</w:t>
            </w:r>
          </w:p>
        </w:tc>
        <w:tc>
          <w:tcPr>
            <w:tcW w:w="6125"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both"/>
              <w:rPr>
                <w:rFonts w:ascii="Times New Roman" w:hAnsi="Times New Roman" w:cs="Times New Roman" w:eastAsia="Times New Roman"/>
                <w:color w:val="auto"/>
                <w:spacing w:val="0"/>
                <w:position w:val="0"/>
                <w:sz w:val="21"/>
                <w:shd w:fill="auto" w:val="clear"/>
              </w:rPr>
            </w:pPr>
            <w:r>
              <w:rPr>
                <w:rFonts w:ascii="Times New Roman" w:hAnsi="Times New Roman" w:cs="Times New Roman" w:eastAsia="Times New Roman"/>
                <w:color w:val="auto"/>
                <w:spacing w:val="0"/>
                <w:position w:val="0"/>
                <w:sz w:val="21"/>
                <w:shd w:fill="auto" w:val="clear"/>
              </w:rPr>
              <w:t xml:space="preserve">LA is a key trait for plant ecology, physiology and vegetation modelling. LA strongly influences light interception and leaf energy balance, and thus the temperature at which photosynthesis, respiration and evaporation from the leaf surface take place (Jones 2013). Larger leaves have thicker boundary layers, slowing energy fluxes with their surrounds. This increases the risk of heat damage under hot conditions unless ameliorated by rapid transpiration, and increases the risk of frost damage under cold conditions (Jordan &amp; Smith 1995). </w:t>
            </w:r>
            <w:r>
              <w:rPr>
                <w:rFonts w:ascii="Times New Roman" w:hAnsi="Times New Roman" w:cs="Times New Roman" w:eastAsia="Times New Roman"/>
                <w:color w:val="auto"/>
                <w:spacing w:val="0"/>
                <w:position w:val="0"/>
                <w:sz w:val="21"/>
                <w:shd w:fill="auto" w:val="clear"/>
              </w:rPr>
              <w:t xml:space="preserve">Τhe largest leaves are found in the wet tropics, where neither night frost nor daytime overheating limits the size of leaves (Wright </w:t>
            </w:r>
            <w:r>
              <w:rPr>
                <w:rFonts w:ascii="Times New Roman" w:hAnsi="Times New Roman" w:cs="Times New Roman" w:eastAsia="Times New Roman"/>
                <w:i/>
                <w:color w:val="auto"/>
                <w:spacing w:val="0"/>
                <w:position w:val="0"/>
                <w:sz w:val="21"/>
                <w:shd w:fill="auto" w:val="clear"/>
              </w:rPr>
              <w:t xml:space="preserve">et al.</w:t>
            </w:r>
            <w:r>
              <w:rPr>
                <w:rFonts w:ascii="Times New Roman" w:hAnsi="Times New Roman" w:cs="Times New Roman" w:eastAsia="Times New Roman"/>
                <w:color w:val="auto"/>
                <w:spacing w:val="0"/>
                <w:position w:val="0"/>
                <w:sz w:val="21"/>
                <w:shd w:fill="auto" w:val="clear"/>
              </w:rPr>
              <w:t xml:space="preserve">, 2017). LA differences are associated with variation in support investments, both at branch-level (Wright</w:t>
            </w:r>
            <w:r>
              <w:rPr>
                <w:rFonts w:ascii="Times New Roman" w:hAnsi="Times New Roman" w:cs="Times New Roman" w:eastAsia="Times New Roman"/>
                <w:i/>
                <w:color w:val="auto"/>
                <w:spacing w:val="0"/>
                <w:position w:val="0"/>
                <w:sz w:val="21"/>
                <w:shd w:fill="auto" w:val="clear"/>
              </w:rPr>
              <w:t xml:space="preserve"> et al., </w:t>
            </w:r>
            <w:r>
              <w:rPr>
                <w:rFonts w:ascii="Times New Roman" w:hAnsi="Times New Roman" w:cs="Times New Roman" w:eastAsia="Times New Roman"/>
                <w:color w:val="auto"/>
                <w:spacing w:val="0"/>
                <w:position w:val="0"/>
                <w:sz w:val="21"/>
                <w:shd w:fill="auto" w:val="clear"/>
              </w:rPr>
              <w:t xml:space="preserve">2006) and within leaves (Niinemets </w:t>
            </w:r>
            <w:r>
              <w:rPr>
                <w:rFonts w:ascii="Times New Roman" w:hAnsi="Times New Roman" w:cs="Times New Roman" w:eastAsia="Times New Roman"/>
                <w:i/>
                <w:color w:val="auto"/>
                <w:spacing w:val="0"/>
                <w:position w:val="0"/>
                <w:sz w:val="21"/>
                <w:shd w:fill="auto" w:val="clear"/>
              </w:rPr>
              <w:t xml:space="preserve">et al</w:t>
            </w:r>
            <w:r>
              <w:rPr>
                <w:rFonts w:ascii="Times New Roman" w:hAnsi="Times New Roman" w:cs="Times New Roman" w:eastAsia="Times New Roman"/>
                <w:color w:val="auto"/>
                <w:spacing w:val="0"/>
                <w:position w:val="0"/>
                <w:sz w:val="21"/>
                <w:shd w:fill="auto" w:val="clear"/>
              </w:rPr>
              <w:t xml:space="preserve">., 2007).</w:t>
            </w:r>
          </w:p>
          <w:p>
            <w:pPr>
              <w:widowControl w:val="false"/>
              <w:spacing w:before="0" w:after="0" w:line="240"/>
              <w:ind w:right="0" w:left="0" w:firstLine="0"/>
              <w:jc w:val="both"/>
              <w:rPr>
                <w:color w:val="auto"/>
                <w:spacing w:val="0"/>
                <w:position w:val="0"/>
                <w:shd w:fill="auto" w:val="clear"/>
              </w:rPr>
            </w:pPr>
          </w:p>
        </w:tc>
      </w:tr>
      <w:tr>
        <w:trPr>
          <w:trHeight w:val="1" w:hRule="atLeast"/>
          <w:jc w:val="left"/>
        </w:trPr>
        <w:tc>
          <w:tcPr>
            <w:tcW w:w="85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1"/>
                <w:shd w:fill="auto" w:val="clear"/>
              </w:rPr>
              <w:t xml:space="preserve">SLA</w:t>
            </w:r>
          </w:p>
        </w:tc>
        <w:tc>
          <w:tcPr>
            <w:tcW w:w="1648"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1"/>
                <w:shd w:fill="auto" w:val="clear"/>
              </w:rPr>
              <w:t xml:space="preserve">Specific leaf area (SLA) is the ratio of leaf area to dry mass.</w:t>
            </w:r>
          </w:p>
        </w:tc>
        <w:tc>
          <w:tcPr>
            <w:tcW w:w="6125"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r>
              <w:rPr>
                <w:rFonts w:ascii="Times New Roman" w:hAnsi="Times New Roman" w:cs="Times New Roman" w:eastAsia="Times New Roman"/>
                <w:color w:val="auto"/>
                <w:spacing w:val="0"/>
                <w:position w:val="0"/>
                <w:sz w:val="21"/>
                <w:shd w:fill="auto" w:val="clear"/>
              </w:rPr>
              <w:t xml:space="preserve">SLA, LDMC and Narea are key traits within the leaf economic spectrum (LES), a fundamental descriptor of plant ecological strategy (Wright </w:t>
            </w:r>
            <w:r>
              <w:rPr>
                <w:rFonts w:ascii="Times New Roman" w:hAnsi="Times New Roman" w:cs="Times New Roman" w:eastAsia="Times New Roman"/>
                <w:i/>
                <w:color w:val="auto"/>
                <w:spacing w:val="0"/>
                <w:position w:val="0"/>
                <w:sz w:val="21"/>
                <w:shd w:fill="auto" w:val="clear"/>
              </w:rPr>
              <w:t xml:space="preserve">et al</w:t>
            </w:r>
            <w:r>
              <w:rPr>
                <w:rFonts w:ascii="Times New Roman" w:hAnsi="Times New Roman" w:cs="Times New Roman" w:eastAsia="Times New Roman"/>
                <w:color w:val="auto"/>
                <w:spacing w:val="0"/>
                <w:position w:val="0"/>
                <w:sz w:val="21"/>
                <w:shd w:fill="auto" w:val="clear"/>
              </w:rPr>
              <w:t xml:space="preserve">., 2004).  High SLA leaves are thin or constructed of low density tissue, or both, and thus are less physically robust than low SLA leaves (Onoda </w:t>
            </w:r>
            <w:r>
              <w:rPr>
                <w:rFonts w:ascii="Times New Roman" w:hAnsi="Times New Roman" w:cs="Times New Roman" w:eastAsia="Times New Roman"/>
                <w:i/>
                <w:color w:val="auto"/>
                <w:spacing w:val="0"/>
                <w:position w:val="0"/>
                <w:sz w:val="21"/>
                <w:shd w:fill="auto" w:val="clear"/>
              </w:rPr>
              <w:t xml:space="preserve">et al</w:t>
            </w:r>
            <w:r>
              <w:rPr>
                <w:rFonts w:ascii="Times New Roman" w:hAnsi="Times New Roman" w:cs="Times New Roman" w:eastAsia="Times New Roman"/>
                <w:color w:val="auto"/>
                <w:spacing w:val="0"/>
                <w:position w:val="0"/>
                <w:sz w:val="21"/>
                <w:shd w:fill="auto" w:val="clear"/>
              </w:rPr>
              <w:t xml:space="preserve">., 2011). They have high N and P concentrations per mass (enhancing attractiveness to herbivores), but low per-area dry mass and nutrient investment costs. SLA has an inverse relationship to leaf longevity (Reich </w:t>
            </w:r>
            <w:r>
              <w:rPr>
                <w:rFonts w:ascii="Times New Roman" w:hAnsi="Times New Roman" w:cs="Times New Roman" w:eastAsia="Times New Roman"/>
                <w:i/>
                <w:color w:val="auto"/>
                <w:spacing w:val="0"/>
                <w:position w:val="0"/>
                <w:sz w:val="21"/>
                <w:shd w:fill="auto" w:val="clear"/>
              </w:rPr>
              <w:t xml:space="preserve">et al</w:t>
            </w:r>
            <w:r>
              <w:rPr>
                <w:rFonts w:ascii="Times New Roman" w:hAnsi="Times New Roman" w:cs="Times New Roman" w:eastAsia="Times New Roman"/>
                <w:color w:val="auto"/>
                <w:spacing w:val="0"/>
                <w:position w:val="0"/>
                <w:sz w:val="21"/>
                <w:shd w:fill="auto" w:val="clear"/>
              </w:rPr>
              <w:t xml:space="preserve">., 1997). SLA varies along environmental gradients (e.g. low SLA species predominate at arid sites) but also varies considerably among co-occurring species, especially in relation to sun exposure (Poorter </w:t>
            </w:r>
            <w:r>
              <w:rPr>
                <w:rFonts w:ascii="Times New Roman" w:hAnsi="Times New Roman" w:cs="Times New Roman" w:eastAsia="Times New Roman"/>
                <w:i/>
                <w:color w:val="auto"/>
                <w:spacing w:val="0"/>
                <w:position w:val="0"/>
                <w:sz w:val="21"/>
                <w:shd w:fill="auto" w:val="clear"/>
              </w:rPr>
              <w:t xml:space="preserve">et al</w:t>
            </w:r>
            <w:r>
              <w:rPr>
                <w:rFonts w:ascii="Times New Roman" w:hAnsi="Times New Roman" w:cs="Times New Roman" w:eastAsia="Times New Roman"/>
                <w:color w:val="auto"/>
                <w:spacing w:val="0"/>
                <w:position w:val="0"/>
                <w:sz w:val="21"/>
                <w:shd w:fill="auto" w:val="clear"/>
              </w:rPr>
              <w:t xml:space="preserve">., 2009). SLA is a key target for vegetation modelling for all of these reasons, and also because it determines the total light-intercepting leaf area constructed for a given canopy mass. </w:t>
            </w:r>
          </w:p>
          <w:p>
            <w:pPr>
              <w:spacing w:before="0" w:after="0" w:line="240"/>
              <w:ind w:right="0" w:left="0" w:firstLine="0"/>
              <w:jc w:val="both"/>
              <w:rPr>
                <w:color w:val="auto"/>
                <w:spacing w:val="0"/>
                <w:position w:val="0"/>
                <w:shd w:fill="auto" w:val="clear"/>
              </w:rPr>
            </w:pPr>
          </w:p>
        </w:tc>
      </w:tr>
      <w:tr>
        <w:trPr>
          <w:trHeight w:val="1" w:hRule="atLeast"/>
          <w:jc w:val="left"/>
        </w:trPr>
        <w:tc>
          <w:tcPr>
            <w:tcW w:w="85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1"/>
                <w:shd w:fill="auto" w:val="clear"/>
              </w:rPr>
              <w:t xml:space="preserve">LDMC</w:t>
            </w:r>
          </w:p>
        </w:tc>
        <w:tc>
          <w:tcPr>
            <w:tcW w:w="1648"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1"/>
                <w:shd w:fill="auto" w:val="clear"/>
              </w:rPr>
              <w:t xml:space="preserve">Leaf dry matter content (LDMC) is the ratio of leaf dry mass to fresh (hydrated) mass.</w:t>
            </w:r>
          </w:p>
        </w:tc>
        <w:tc>
          <w:tcPr>
            <w:tcW w:w="6125"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both"/>
              <w:rPr>
                <w:rFonts w:ascii="Times New Roman" w:hAnsi="Times New Roman" w:cs="Times New Roman" w:eastAsia="Times New Roman"/>
                <w:color w:val="auto"/>
                <w:spacing w:val="0"/>
                <w:position w:val="0"/>
                <w:sz w:val="21"/>
                <w:shd w:fill="auto" w:val="clear"/>
              </w:rPr>
            </w:pPr>
            <w:r>
              <w:rPr>
                <w:rFonts w:ascii="Times New Roman" w:hAnsi="Times New Roman" w:cs="Times New Roman" w:eastAsia="Times New Roman"/>
                <w:color w:val="auto"/>
                <w:spacing w:val="0"/>
                <w:position w:val="0"/>
                <w:sz w:val="21"/>
                <w:shd w:fill="auto" w:val="clear"/>
              </w:rPr>
              <w:t xml:space="preserve">High LDMC is often associated with low SLA, and confers resistance to both herbivory and drought. The linkage between LDMC and drought is due to its role in maintaining turgor at low leaf water potential. However, this linkage is indirect, and some other field measurements might provide more reliable indices for the turgor loss point (Bartlett </w:t>
            </w:r>
            <w:r>
              <w:rPr>
                <w:rFonts w:ascii="Times New Roman" w:hAnsi="Times New Roman" w:cs="Times New Roman" w:eastAsia="Times New Roman"/>
                <w:i/>
                <w:color w:val="auto"/>
                <w:spacing w:val="0"/>
                <w:position w:val="0"/>
                <w:sz w:val="21"/>
                <w:shd w:fill="auto" w:val="clear"/>
              </w:rPr>
              <w:t xml:space="preserve">et al</w:t>
            </w:r>
            <w:r>
              <w:rPr>
                <w:rFonts w:ascii="Times New Roman" w:hAnsi="Times New Roman" w:cs="Times New Roman" w:eastAsia="Times New Roman"/>
                <w:color w:val="auto"/>
                <w:spacing w:val="0"/>
                <w:position w:val="0"/>
                <w:sz w:val="21"/>
                <w:shd w:fill="auto" w:val="clear"/>
              </w:rPr>
              <w:t xml:space="preserve">., 2012). Most vegetation models do not represent LDMC, although they have to represent the effects of drought and do so in a variety of ways (see e.g. Drake </w:t>
            </w:r>
            <w:r>
              <w:rPr>
                <w:rFonts w:ascii="Times New Roman" w:hAnsi="Times New Roman" w:cs="Times New Roman" w:eastAsia="Times New Roman"/>
                <w:i/>
                <w:color w:val="auto"/>
                <w:spacing w:val="0"/>
                <w:position w:val="0"/>
                <w:sz w:val="21"/>
                <w:shd w:fill="auto" w:val="clear"/>
              </w:rPr>
              <w:t xml:space="preserve">et al</w:t>
            </w:r>
            <w:r>
              <w:rPr>
                <w:rFonts w:ascii="Times New Roman" w:hAnsi="Times New Roman" w:cs="Times New Roman" w:eastAsia="Times New Roman"/>
                <w:color w:val="auto"/>
                <w:spacing w:val="0"/>
                <w:position w:val="0"/>
                <w:sz w:val="21"/>
                <w:shd w:fill="auto" w:val="clear"/>
              </w:rPr>
              <w:t xml:space="preserve">., 2017).</w:t>
            </w:r>
          </w:p>
          <w:p>
            <w:pPr>
              <w:widowControl w:val="false"/>
              <w:spacing w:before="0" w:after="0" w:line="240"/>
              <w:ind w:right="0" w:left="0" w:firstLine="0"/>
              <w:jc w:val="both"/>
              <w:rPr>
                <w:color w:val="auto"/>
                <w:spacing w:val="0"/>
                <w:position w:val="0"/>
                <w:shd w:fill="auto" w:val="clear"/>
              </w:rPr>
            </w:pPr>
          </w:p>
        </w:tc>
      </w:tr>
      <w:tr>
        <w:trPr>
          <w:trHeight w:val="1" w:hRule="atLeast"/>
          <w:jc w:val="left"/>
        </w:trPr>
        <w:tc>
          <w:tcPr>
            <w:tcW w:w="85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1"/>
                <w:shd w:fill="auto" w:val="clear"/>
              </w:rPr>
              <w:t xml:space="preserve">N</w:t>
            </w:r>
            <w:r>
              <w:rPr>
                <w:rFonts w:ascii="Times New Roman" w:hAnsi="Times New Roman" w:cs="Times New Roman" w:eastAsia="Times New Roman"/>
                <w:color w:val="auto"/>
                <w:spacing w:val="0"/>
                <w:position w:val="0"/>
                <w:sz w:val="21"/>
                <w:shd w:fill="auto" w:val="clear"/>
                <w:vertAlign w:val="subscript"/>
              </w:rPr>
              <w:t xml:space="preserve">area</w:t>
            </w:r>
          </w:p>
        </w:tc>
        <w:tc>
          <w:tcPr>
            <w:tcW w:w="1648"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1"/>
                <w:shd w:fill="auto" w:val="clear"/>
              </w:rPr>
              <w:t xml:space="preserve">Leaf nitrogen per area</w:t>
            </w:r>
          </w:p>
        </w:tc>
        <w:tc>
          <w:tcPr>
            <w:tcW w:w="6125"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r>
              <w:rPr>
                <w:rFonts w:ascii="Times New Roman" w:hAnsi="Times New Roman" w:cs="Times New Roman" w:eastAsia="Times New Roman"/>
                <w:i/>
                <w:color w:val="auto"/>
                <w:spacing w:val="0"/>
                <w:position w:val="0"/>
                <w:sz w:val="21"/>
                <w:shd w:fill="auto" w:val="clear"/>
              </w:rPr>
              <w:t xml:space="preserve">N</w:t>
            </w:r>
            <w:r>
              <w:rPr>
                <w:rFonts w:ascii="Times New Roman" w:hAnsi="Times New Roman" w:cs="Times New Roman" w:eastAsia="Times New Roman"/>
                <w:color w:val="auto"/>
                <w:spacing w:val="0"/>
                <w:position w:val="0"/>
                <w:sz w:val="21"/>
                <w:shd w:fill="auto" w:val="clear"/>
                <w:vertAlign w:val="subscript"/>
              </w:rPr>
              <w:t xml:space="preserve">area </w:t>
            </w:r>
            <w:r>
              <w:rPr>
                <w:rFonts w:ascii="Times New Roman" w:hAnsi="Times New Roman" w:cs="Times New Roman" w:eastAsia="Times New Roman"/>
                <w:color w:val="auto"/>
                <w:spacing w:val="0"/>
                <w:position w:val="0"/>
                <w:sz w:val="21"/>
                <w:shd w:fill="auto" w:val="clear"/>
              </w:rPr>
              <w:t xml:space="preserve">has often been considered as an index of photosynthetic capacity, but this relationship is weak, considered globally (Wright </w:t>
            </w:r>
            <w:r>
              <w:rPr>
                <w:rFonts w:ascii="Times New Roman" w:hAnsi="Times New Roman" w:cs="Times New Roman" w:eastAsia="Times New Roman"/>
                <w:i/>
                <w:color w:val="auto"/>
                <w:spacing w:val="0"/>
                <w:position w:val="0"/>
                <w:sz w:val="21"/>
                <w:shd w:fill="auto" w:val="clear"/>
              </w:rPr>
              <w:t xml:space="preserve">et al</w:t>
            </w:r>
            <w:r>
              <w:rPr>
                <w:rFonts w:ascii="Times New Roman" w:hAnsi="Times New Roman" w:cs="Times New Roman" w:eastAsia="Times New Roman"/>
                <w:color w:val="auto"/>
                <w:spacing w:val="0"/>
                <w:position w:val="0"/>
                <w:sz w:val="21"/>
                <w:shd w:fill="auto" w:val="clear"/>
              </w:rPr>
              <w:t xml:space="preserve">., 2004; Atkin </w:t>
            </w:r>
            <w:r>
              <w:rPr>
                <w:rFonts w:ascii="Times New Roman" w:hAnsi="Times New Roman" w:cs="Times New Roman" w:eastAsia="Times New Roman"/>
                <w:i/>
                <w:color w:val="auto"/>
                <w:spacing w:val="0"/>
                <w:position w:val="0"/>
                <w:sz w:val="21"/>
                <w:shd w:fill="auto" w:val="clear"/>
              </w:rPr>
              <w:t xml:space="preserve">et al.</w:t>
            </w:r>
            <w:r>
              <w:rPr>
                <w:rFonts w:ascii="Times New Roman" w:hAnsi="Times New Roman" w:cs="Times New Roman" w:eastAsia="Times New Roman"/>
                <w:color w:val="auto"/>
                <w:spacing w:val="0"/>
                <w:position w:val="0"/>
                <w:sz w:val="21"/>
                <w:shd w:fill="auto" w:val="clear"/>
              </w:rPr>
              <w:t xml:space="preserve"> 2015). It is helpful to conceptualize </w:t>
            </w:r>
            <w:r>
              <w:rPr>
                <w:rFonts w:ascii="Times New Roman" w:hAnsi="Times New Roman" w:cs="Times New Roman" w:eastAsia="Times New Roman"/>
                <w:i/>
                <w:color w:val="auto"/>
                <w:spacing w:val="0"/>
                <w:position w:val="0"/>
                <w:sz w:val="21"/>
                <w:shd w:fill="auto" w:val="clear"/>
              </w:rPr>
              <w:t xml:space="preserve">N</w:t>
            </w:r>
            <w:r>
              <w:rPr>
                <w:rFonts w:ascii="Times New Roman" w:hAnsi="Times New Roman" w:cs="Times New Roman" w:eastAsia="Times New Roman"/>
                <w:color w:val="auto"/>
                <w:spacing w:val="0"/>
                <w:position w:val="0"/>
                <w:sz w:val="21"/>
                <w:shd w:fill="auto" w:val="clear"/>
                <w:vertAlign w:val="subscript"/>
              </w:rPr>
              <w:t xml:space="preserve">area</w:t>
            </w:r>
            <w:r>
              <w:rPr>
                <w:rFonts w:ascii="Times New Roman" w:hAnsi="Times New Roman" w:cs="Times New Roman" w:eastAsia="Times New Roman"/>
                <w:color w:val="auto"/>
                <w:spacing w:val="0"/>
                <w:position w:val="0"/>
                <w:sz w:val="21"/>
                <w:shd w:fill="auto" w:val="clear"/>
              </w:rPr>
              <w:t xml:space="preserve"> as the sum of a metabolic component, proportional to photosynthetic capacity, and a structural component, proportional to leaf mass per area (LMA), the reciprocal of SLA (Dong </w:t>
            </w:r>
            <w:r>
              <w:rPr>
                <w:rFonts w:ascii="Times New Roman" w:hAnsi="Times New Roman" w:cs="Times New Roman" w:eastAsia="Times New Roman"/>
                <w:i/>
                <w:color w:val="auto"/>
                <w:spacing w:val="0"/>
                <w:position w:val="0"/>
                <w:sz w:val="21"/>
                <w:shd w:fill="auto" w:val="clear"/>
              </w:rPr>
              <w:t xml:space="preserve">et al</w:t>
            </w:r>
            <w:r>
              <w:rPr>
                <w:rFonts w:ascii="Times New Roman" w:hAnsi="Times New Roman" w:cs="Times New Roman" w:eastAsia="Times New Roman"/>
                <w:color w:val="auto"/>
                <w:spacing w:val="0"/>
                <w:position w:val="0"/>
                <w:sz w:val="21"/>
                <w:shd w:fill="auto" w:val="clear"/>
              </w:rPr>
              <w:t xml:space="preserve">., 2017). </w:t>
            </w:r>
            <w:r>
              <w:rPr>
                <w:rFonts w:ascii="Times New Roman" w:hAnsi="Times New Roman" w:cs="Times New Roman" w:eastAsia="Times New Roman"/>
                <w:i/>
                <w:color w:val="auto"/>
                <w:spacing w:val="0"/>
                <w:position w:val="0"/>
                <w:sz w:val="21"/>
                <w:shd w:fill="auto" w:val="clear"/>
              </w:rPr>
              <w:t xml:space="preserve">N</w:t>
            </w:r>
            <w:r>
              <w:rPr>
                <w:rFonts w:ascii="Times New Roman" w:hAnsi="Times New Roman" w:cs="Times New Roman" w:eastAsia="Times New Roman"/>
                <w:color w:val="auto"/>
                <w:spacing w:val="0"/>
                <w:position w:val="0"/>
                <w:sz w:val="21"/>
                <w:shd w:fill="auto" w:val="clear"/>
                <w:vertAlign w:val="subscript"/>
              </w:rPr>
              <w:t xml:space="preserve">area</w:t>
            </w:r>
            <w:r>
              <w:rPr>
                <w:rFonts w:ascii="Times New Roman" w:hAnsi="Times New Roman" w:cs="Times New Roman" w:eastAsia="Times New Roman"/>
                <w:color w:val="auto"/>
                <w:spacing w:val="0"/>
                <w:position w:val="0"/>
                <w:sz w:val="21"/>
                <w:shd w:fill="auto" w:val="clear"/>
              </w:rPr>
              <w:t xml:space="preserve"> varies along environmental gradients; e.g. </w:t>
            </w:r>
            <w:r>
              <w:rPr>
                <w:rFonts w:ascii="Times New Roman" w:hAnsi="Times New Roman" w:cs="Times New Roman" w:eastAsia="Times New Roman"/>
                <w:i/>
                <w:color w:val="auto"/>
                <w:spacing w:val="0"/>
                <w:position w:val="0"/>
                <w:sz w:val="21"/>
                <w:shd w:fill="auto" w:val="clear"/>
              </w:rPr>
              <w:t xml:space="preserve">N</w:t>
            </w:r>
            <w:r>
              <w:rPr>
                <w:rFonts w:ascii="Times New Roman" w:hAnsi="Times New Roman" w:cs="Times New Roman" w:eastAsia="Times New Roman"/>
                <w:color w:val="auto"/>
                <w:spacing w:val="0"/>
                <w:position w:val="0"/>
                <w:sz w:val="21"/>
                <w:shd w:fill="auto" w:val="clear"/>
                <w:vertAlign w:val="subscript"/>
              </w:rPr>
              <w:t xml:space="preserve">area</w:t>
            </w:r>
            <w:r>
              <w:rPr>
                <w:rFonts w:ascii="Times New Roman" w:hAnsi="Times New Roman" w:cs="Times New Roman" w:eastAsia="Times New Roman"/>
                <w:color w:val="auto"/>
                <w:spacing w:val="0"/>
                <w:position w:val="0"/>
                <w:sz w:val="21"/>
                <w:shd w:fill="auto" w:val="clear"/>
              </w:rPr>
              <w:t xml:space="preserve"> is generally higher in more arid environments (Wright </w:t>
            </w:r>
            <w:r>
              <w:rPr>
                <w:rFonts w:ascii="Times New Roman" w:hAnsi="Times New Roman" w:cs="Times New Roman" w:eastAsia="Times New Roman"/>
                <w:i/>
                <w:color w:val="auto"/>
                <w:spacing w:val="0"/>
                <w:position w:val="0"/>
                <w:sz w:val="21"/>
                <w:shd w:fill="auto" w:val="clear"/>
              </w:rPr>
              <w:t xml:space="preserve">et al</w:t>
            </w:r>
            <w:r>
              <w:rPr>
                <w:rFonts w:ascii="Times New Roman" w:hAnsi="Times New Roman" w:cs="Times New Roman" w:eastAsia="Times New Roman"/>
                <w:color w:val="auto"/>
                <w:spacing w:val="0"/>
                <w:position w:val="0"/>
                <w:sz w:val="21"/>
                <w:shd w:fill="auto" w:val="clear"/>
              </w:rPr>
              <w:t xml:space="preserve">., 2004; Prentice </w:t>
            </w:r>
            <w:r>
              <w:rPr>
                <w:rFonts w:ascii="Times New Roman" w:hAnsi="Times New Roman" w:cs="Times New Roman" w:eastAsia="Times New Roman"/>
                <w:i/>
                <w:color w:val="auto"/>
                <w:spacing w:val="0"/>
                <w:position w:val="0"/>
                <w:sz w:val="21"/>
                <w:shd w:fill="auto" w:val="clear"/>
              </w:rPr>
              <w:t xml:space="preserve">et al</w:t>
            </w:r>
            <w:r>
              <w:rPr>
                <w:rFonts w:ascii="Times New Roman" w:hAnsi="Times New Roman" w:cs="Times New Roman" w:eastAsia="Times New Roman"/>
                <w:color w:val="auto"/>
                <w:spacing w:val="0"/>
                <w:position w:val="0"/>
                <w:sz w:val="21"/>
                <w:shd w:fill="auto" w:val="clear"/>
              </w:rPr>
              <w:t xml:space="preserve">., 2011; Dong </w:t>
            </w:r>
            <w:r>
              <w:rPr>
                <w:rFonts w:ascii="Times New Roman" w:hAnsi="Times New Roman" w:cs="Times New Roman" w:eastAsia="Times New Roman"/>
                <w:i/>
                <w:color w:val="auto"/>
                <w:spacing w:val="0"/>
                <w:position w:val="0"/>
                <w:sz w:val="21"/>
                <w:shd w:fill="auto" w:val="clear"/>
              </w:rPr>
              <w:t xml:space="preserve">et al</w:t>
            </w:r>
            <w:r>
              <w:rPr>
                <w:rFonts w:ascii="Times New Roman" w:hAnsi="Times New Roman" w:cs="Times New Roman" w:eastAsia="Times New Roman"/>
                <w:color w:val="auto"/>
                <w:spacing w:val="0"/>
                <w:position w:val="0"/>
                <w:sz w:val="21"/>
                <w:shd w:fill="auto" w:val="clear"/>
              </w:rPr>
              <w:t xml:space="preserve">., 2017), and higher in in sun versus shade leaves (REF) (Werger and Hirose 1991;Popma </w:t>
            </w:r>
            <w:r>
              <w:rPr>
                <w:rFonts w:ascii="Times New Roman" w:hAnsi="Times New Roman" w:cs="Times New Roman" w:eastAsia="Times New Roman"/>
                <w:i/>
                <w:color w:val="auto"/>
                <w:spacing w:val="0"/>
                <w:position w:val="0"/>
                <w:sz w:val="21"/>
                <w:shd w:fill="auto" w:val="clear"/>
              </w:rPr>
              <w:t xml:space="preserve">et al</w:t>
            </w:r>
            <w:r>
              <w:rPr>
                <w:rFonts w:ascii="Times New Roman" w:hAnsi="Times New Roman" w:cs="Times New Roman" w:eastAsia="Times New Roman"/>
                <w:color w:val="auto"/>
                <w:spacing w:val="0"/>
                <w:position w:val="0"/>
                <w:sz w:val="21"/>
                <w:shd w:fill="auto" w:val="clear"/>
              </w:rPr>
              <w:t xml:space="preserve">., 1992). </w:t>
            </w:r>
            <w:r>
              <w:rPr>
                <w:rFonts w:ascii="Times New Roman" w:hAnsi="Times New Roman" w:cs="Times New Roman" w:eastAsia="Times New Roman"/>
                <w:i/>
                <w:color w:val="auto"/>
                <w:spacing w:val="0"/>
                <w:position w:val="0"/>
                <w:sz w:val="21"/>
                <w:shd w:fill="auto" w:val="clear"/>
              </w:rPr>
              <w:t xml:space="preserve">N</w:t>
            </w:r>
            <w:r>
              <w:rPr>
                <w:rFonts w:ascii="Times New Roman" w:hAnsi="Times New Roman" w:cs="Times New Roman" w:eastAsia="Times New Roman"/>
                <w:color w:val="auto"/>
                <w:spacing w:val="0"/>
                <w:position w:val="0"/>
                <w:sz w:val="21"/>
                <w:shd w:fill="auto" w:val="clear"/>
                <w:vertAlign w:val="subscript"/>
              </w:rPr>
              <w:t xml:space="preserve">area</w:t>
            </w:r>
            <w:r>
              <w:rPr>
                <w:rFonts w:ascii="Times New Roman" w:hAnsi="Times New Roman" w:cs="Times New Roman" w:eastAsia="Times New Roman"/>
                <w:color w:val="auto"/>
                <w:spacing w:val="0"/>
                <w:position w:val="0"/>
                <w:sz w:val="21"/>
                <w:shd w:fill="auto" w:val="clear"/>
              </w:rPr>
              <w:t xml:space="preserve"> is a key variable for modelling for all these reasons, and because it determines the N demand of leaf construction. It is represented in many recent vegetation models that include an interactive N cycle (Zaehle </w:t>
            </w:r>
            <w:r>
              <w:rPr>
                <w:rFonts w:ascii="Times New Roman" w:hAnsi="Times New Roman" w:cs="Times New Roman" w:eastAsia="Times New Roman"/>
                <w:i/>
                <w:color w:val="auto"/>
                <w:spacing w:val="0"/>
                <w:position w:val="0"/>
                <w:sz w:val="21"/>
                <w:shd w:fill="auto" w:val="clear"/>
              </w:rPr>
              <w:t xml:space="preserve">et al</w:t>
            </w:r>
            <w:r>
              <w:rPr>
                <w:rFonts w:ascii="Times New Roman" w:hAnsi="Times New Roman" w:cs="Times New Roman" w:eastAsia="Times New Roman"/>
                <w:color w:val="auto"/>
                <w:spacing w:val="0"/>
                <w:position w:val="0"/>
                <w:sz w:val="21"/>
                <w:shd w:fill="auto" w:val="clear"/>
              </w:rPr>
              <w:t xml:space="preserve">., 2014; Stocker </w:t>
            </w:r>
            <w:r>
              <w:rPr>
                <w:rFonts w:ascii="Times New Roman" w:hAnsi="Times New Roman" w:cs="Times New Roman" w:eastAsia="Times New Roman"/>
                <w:i/>
                <w:color w:val="auto"/>
                <w:spacing w:val="0"/>
                <w:position w:val="0"/>
                <w:sz w:val="21"/>
                <w:shd w:fill="auto" w:val="clear"/>
              </w:rPr>
              <w:t xml:space="preserve">et al</w:t>
            </w:r>
            <w:r>
              <w:rPr>
                <w:rFonts w:ascii="Times New Roman" w:hAnsi="Times New Roman" w:cs="Times New Roman" w:eastAsia="Times New Roman"/>
                <w:color w:val="auto"/>
                <w:spacing w:val="0"/>
                <w:position w:val="0"/>
                <w:sz w:val="21"/>
                <w:shd w:fill="auto" w:val="clear"/>
              </w:rPr>
              <w:t xml:space="preserve">., 2016).</w:t>
            </w:r>
          </w:p>
          <w:p>
            <w:pPr>
              <w:spacing w:before="0" w:after="0" w:line="240"/>
              <w:ind w:right="0" w:left="0" w:firstLine="0"/>
              <w:jc w:val="both"/>
              <w:rPr>
                <w:color w:val="auto"/>
                <w:spacing w:val="0"/>
                <w:position w:val="0"/>
                <w:shd w:fill="auto" w:val="clear"/>
              </w:rPr>
            </w:pPr>
          </w:p>
        </w:tc>
      </w:tr>
      <w:tr>
        <w:trPr>
          <w:trHeight w:val="1" w:hRule="atLeast"/>
          <w:jc w:val="left"/>
        </w:trPr>
        <w:tc>
          <w:tcPr>
            <w:tcW w:w="85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1"/>
                <w:shd w:fill="auto" w:val="clear"/>
              </w:rPr>
              <w:t xml:space="preserve">V</w:t>
            </w:r>
            <w:r>
              <w:rPr>
                <w:rFonts w:ascii="Times New Roman" w:hAnsi="Times New Roman" w:cs="Times New Roman" w:eastAsia="Times New Roman"/>
                <w:color w:val="auto"/>
                <w:spacing w:val="0"/>
                <w:position w:val="0"/>
                <w:sz w:val="21"/>
                <w:shd w:fill="auto" w:val="clear"/>
                <w:vertAlign w:val="subscript"/>
              </w:rPr>
              <w:t xml:space="preserve">cmax</w:t>
            </w:r>
          </w:p>
        </w:tc>
        <w:tc>
          <w:tcPr>
            <w:tcW w:w="1648"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1"/>
                <w:shd w:fill="auto" w:val="clear"/>
              </w:rPr>
              <w:t xml:space="preserve">The maximum rate of carboxylation</w:t>
            </w:r>
          </w:p>
        </w:tc>
        <w:tc>
          <w:tcPr>
            <w:tcW w:w="6125"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r>
              <w:rPr>
                <w:rFonts w:ascii="Times New Roman" w:hAnsi="Times New Roman" w:cs="Times New Roman" w:eastAsia="Times New Roman"/>
                <w:i/>
                <w:color w:val="auto"/>
                <w:spacing w:val="0"/>
                <w:position w:val="0"/>
                <w:sz w:val="21"/>
                <w:shd w:fill="auto" w:val="clear"/>
              </w:rPr>
              <w:t xml:space="preserve">V</w:t>
            </w:r>
            <w:r>
              <w:rPr>
                <w:rFonts w:ascii="Times New Roman" w:hAnsi="Times New Roman" w:cs="Times New Roman" w:eastAsia="Times New Roman"/>
                <w:color w:val="auto"/>
                <w:spacing w:val="0"/>
                <w:position w:val="0"/>
                <w:sz w:val="21"/>
                <w:shd w:fill="auto" w:val="clear"/>
                <w:vertAlign w:val="subscript"/>
              </w:rPr>
              <w:t xml:space="preserve">cmax</w:t>
            </w:r>
            <w:r>
              <w:rPr>
                <w:rFonts w:ascii="Times New Roman" w:hAnsi="Times New Roman" w:cs="Times New Roman" w:eastAsia="Times New Roman"/>
                <w:color w:val="auto"/>
                <w:spacing w:val="0"/>
                <w:position w:val="0"/>
                <w:sz w:val="21"/>
                <w:shd w:fill="auto" w:val="clear"/>
              </w:rPr>
              <w:t xml:space="preserve"> and </w:t>
            </w:r>
            <w:r>
              <w:rPr>
                <w:rFonts w:ascii="Times New Roman" w:hAnsi="Times New Roman" w:cs="Times New Roman" w:eastAsia="Times New Roman"/>
                <w:i/>
                <w:color w:val="auto"/>
                <w:spacing w:val="0"/>
                <w:position w:val="0"/>
                <w:sz w:val="21"/>
                <w:shd w:fill="auto" w:val="clear"/>
              </w:rPr>
              <w:t xml:space="preserve">J</w:t>
            </w:r>
            <w:r>
              <w:rPr>
                <w:rFonts w:ascii="Times New Roman" w:hAnsi="Times New Roman" w:cs="Times New Roman" w:eastAsia="Times New Roman"/>
                <w:color w:val="auto"/>
                <w:spacing w:val="0"/>
                <w:position w:val="0"/>
                <w:sz w:val="21"/>
                <w:shd w:fill="auto" w:val="clear"/>
                <w:vertAlign w:val="subscript"/>
              </w:rPr>
              <w:t xml:space="preserve">max </w:t>
            </w:r>
            <w:r>
              <w:rPr>
                <w:rFonts w:ascii="Times New Roman" w:hAnsi="Times New Roman" w:cs="Times New Roman" w:eastAsia="Times New Roman"/>
                <w:color w:val="auto"/>
                <w:spacing w:val="0"/>
                <w:position w:val="0"/>
                <w:sz w:val="21"/>
                <w:shd w:fill="auto" w:val="clear"/>
              </w:rPr>
              <w:t xml:space="preserve">are core parameters in the standard biochemical model of photosynthesis (FvCB model; Farquhar </w:t>
            </w:r>
            <w:r>
              <w:rPr>
                <w:rFonts w:ascii="Times New Roman" w:hAnsi="Times New Roman" w:cs="Times New Roman" w:eastAsia="Times New Roman"/>
                <w:i/>
                <w:color w:val="auto"/>
                <w:spacing w:val="0"/>
                <w:position w:val="0"/>
                <w:sz w:val="21"/>
                <w:shd w:fill="auto" w:val="clear"/>
              </w:rPr>
              <w:t xml:space="preserve">et al</w:t>
            </w:r>
            <w:r>
              <w:rPr>
                <w:rFonts w:ascii="Times New Roman" w:hAnsi="Times New Roman" w:cs="Times New Roman" w:eastAsia="Times New Roman"/>
                <w:color w:val="auto"/>
                <w:spacing w:val="0"/>
                <w:position w:val="0"/>
                <w:sz w:val="21"/>
                <w:shd w:fill="auto" w:val="clear"/>
              </w:rPr>
              <w:t xml:space="preserve">., 1980). </w:t>
            </w:r>
            <w:r>
              <w:rPr>
                <w:rFonts w:ascii="Times New Roman" w:hAnsi="Times New Roman" w:cs="Times New Roman" w:eastAsia="Times New Roman"/>
                <w:i/>
                <w:color w:val="auto"/>
                <w:spacing w:val="0"/>
                <w:position w:val="0"/>
                <w:sz w:val="21"/>
                <w:shd w:fill="auto" w:val="clear"/>
              </w:rPr>
              <w:t xml:space="preserve">V</w:t>
            </w:r>
            <w:r>
              <w:rPr>
                <w:rFonts w:ascii="Times New Roman" w:hAnsi="Times New Roman" w:cs="Times New Roman" w:eastAsia="Times New Roman"/>
                <w:color w:val="auto"/>
                <w:spacing w:val="0"/>
                <w:position w:val="0"/>
                <w:sz w:val="21"/>
                <w:shd w:fill="auto" w:val="clear"/>
                <w:vertAlign w:val="subscript"/>
              </w:rPr>
              <w:t xml:space="preserve">cmax</w:t>
            </w:r>
            <w:r>
              <w:rPr>
                <w:rFonts w:ascii="Times New Roman" w:hAnsi="Times New Roman" w:cs="Times New Roman" w:eastAsia="Times New Roman"/>
                <w:color w:val="auto"/>
                <w:spacing w:val="0"/>
                <w:position w:val="0"/>
                <w:sz w:val="21"/>
                <w:shd w:fill="auto" w:val="clear"/>
              </w:rPr>
              <w:t xml:space="preserve"> determines the leaf’s capacity to fix carbon into sugars. All models that include the FvCB model for photosynthesis require specification of </w:t>
            </w:r>
            <w:r>
              <w:rPr>
                <w:rFonts w:ascii="Times New Roman" w:hAnsi="Times New Roman" w:cs="Times New Roman" w:eastAsia="Times New Roman"/>
                <w:i/>
                <w:color w:val="auto"/>
                <w:spacing w:val="0"/>
                <w:position w:val="0"/>
                <w:sz w:val="21"/>
                <w:shd w:fill="auto" w:val="clear"/>
              </w:rPr>
              <w:t xml:space="preserve">V</w:t>
            </w:r>
            <w:r>
              <w:rPr>
                <w:rFonts w:ascii="Times New Roman" w:hAnsi="Times New Roman" w:cs="Times New Roman" w:eastAsia="Times New Roman"/>
                <w:color w:val="auto"/>
                <w:spacing w:val="0"/>
                <w:position w:val="0"/>
                <w:sz w:val="21"/>
                <w:shd w:fill="auto" w:val="clear"/>
                <w:vertAlign w:val="subscript"/>
              </w:rPr>
              <w:t xml:space="preserve">cmax </w:t>
            </w:r>
            <w:r>
              <w:rPr>
                <w:rFonts w:ascii="Times New Roman" w:hAnsi="Times New Roman" w:cs="Times New Roman" w:eastAsia="Times New Roman"/>
                <w:color w:val="auto"/>
                <w:spacing w:val="0"/>
                <w:position w:val="0"/>
                <w:sz w:val="21"/>
                <w:shd w:fill="auto" w:val="clear"/>
              </w:rPr>
              <w:t xml:space="preserve">(see Rogers, 2014 for a critical review).</w:t>
            </w:r>
          </w:p>
          <w:p>
            <w:pPr>
              <w:spacing w:before="0" w:after="0" w:line="240"/>
              <w:ind w:right="0" w:left="0" w:firstLine="0"/>
              <w:jc w:val="both"/>
              <w:rPr>
                <w:color w:val="auto"/>
                <w:spacing w:val="0"/>
                <w:position w:val="0"/>
                <w:shd w:fill="auto" w:val="clear"/>
              </w:rPr>
            </w:pPr>
          </w:p>
        </w:tc>
      </w:tr>
      <w:tr>
        <w:trPr>
          <w:trHeight w:val="1" w:hRule="atLeast"/>
          <w:jc w:val="left"/>
        </w:trPr>
        <w:tc>
          <w:tcPr>
            <w:tcW w:w="85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1"/>
                <w:shd w:fill="auto" w:val="clear"/>
              </w:rPr>
              <w:t xml:space="preserve">J</w:t>
            </w:r>
            <w:r>
              <w:rPr>
                <w:rFonts w:ascii="Times New Roman" w:hAnsi="Times New Roman" w:cs="Times New Roman" w:eastAsia="Times New Roman"/>
                <w:color w:val="auto"/>
                <w:spacing w:val="0"/>
                <w:position w:val="0"/>
                <w:sz w:val="21"/>
                <w:shd w:fill="auto" w:val="clear"/>
                <w:vertAlign w:val="subscript"/>
              </w:rPr>
              <w:t xml:space="preserve">max</w:t>
            </w:r>
          </w:p>
        </w:tc>
        <w:tc>
          <w:tcPr>
            <w:tcW w:w="1648"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1"/>
                <w:shd w:fill="auto" w:val="clear"/>
              </w:rPr>
              <w:t xml:space="preserve">the maximum rate of electron transport</w:t>
            </w:r>
          </w:p>
        </w:tc>
        <w:tc>
          <w:tcPr>
            <w:tcW w:w="6125"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both"/>
              <w:rPr>
                <w:rFonts w:ascii="Times New Roman" w:hAnsi="Times New Roman" w:cs="Times New Roman" w:eastAsia="Times New Roman"/>
                <w:color w:val="auto"/>
                <w:spacing w:val="0"/>
                <w:position w:val="0"/>
                <w:sz w:val="21"/>
                <w:shd w:fill="auto" w:val="clear"/>
              </w:rPr>
            </w:pPr>
            <w:r>
              <w:rPr>
                <w:rFonts w:ascii="Times New Roman" w:hAnsi="Times New Roman" w:cs="Times New Roman" w:eastAsia="Times New Roman"/>
                <w:i/>
                <w:color w:val="auto"/>
                <w:spacing w:val="0"/>
                <w:position w:val="0"/>
                <w:sz w:val="21"/>
                <w:shd w:fill="auto" w:val="clear"/>
              </w:rPr>
              <w:t xml:space="preserve">J</w:t>
            </w:r>
            <w:r>
              <w:rPr>
                <w:rFonts w:ascii="Times New Roman" w:hAnsi="Times New Roman" w:cs="Times New Roman" w:eastAsia="Times New Roman"/>
                <w:color w:val="auto"/>
                <w:spacing w:val="0"/>
                <w:position w:val="0"/>
                <w:sz w:val="21"/>
                <w:shd w:fill="auto" w:val="clear"/>
                <w:vertAlign w:val="subscript"/>
              </w:rPr>
              <w:t xml:space="preserve">max</w:t>
            </w:r>
            <w:r>
              <w:rPr>
                <w:rFonts w:ascii="Times New Roman" w:hAnsi="Times New Roman" w:cs="Times New Roman" w:eastAsia="Times New Roman"/>
                <w:color w:val="auto"/>
                <w:spacing w:val="0"/>
                <w:position w:val="0"/>
                <w:sz w:val="21"/>
                <w:shd w:fill="auto" w:val="clear"/>
              </w:rPr>
              <w:t xml:space="preserve"> determines the leaf’s ability to supply the reducing power required for carbon fixation and additional functions including nitrate reduction, isoprene emission, and the synthesis of chlorophyll and photoprotective carotenoid pigments (Harrison </w:t>
            </w:r>
            <w:r>
              <w:rPr>
                <w:rFonts w:ascii="Times New Roman" w:hAnsi="Times New Roman" w:cs="Times New Roman" w:eastAsia="Times New Roman"/>
                <w:i/>
                <w:color w:val="auto"/>
                <w:spacing w:val="0"/>
                <w:position w:val="0"/>
                <w:sz w:val="21"/>
                <w:shd w:fill="auto" w:val="clear"/>
              </w:rPr>
              <w:t xml:space="preserve">et al</w:t>
            </w:r>
            <w:r>
              <w:rPr>
                <w:rFonts w:ascii="Times New Roman" w:hAnsi="Times New Roman" w:cs="Times New Roman" w:eastAsia="Times New Roman"/>
                <w:color w:val="auto"/>
                <w:spacing w:val="0"/>
                <w:position w:val="0"/>
                <w:sz w:val="21"/>
                <w:shd w:fill="auto" w:val="clear"/>
              </w:rPr>
              <w:t xml:space="preserve">., 2013). Some global vegetation models use a simplified FvCB model that assumes </w:t>
            </w:r>
            <w:r>
              <w:rPr>
                <w:rFonts w:ascii="Times New Roman" w:hAnsi="Times New Roman" w:cs="Times New Roman" w:eastAsia="Times New Roman"/>
                <w:i/>
                <w:color w:val="auto"/>
                <w:spacing w:val="0"/>
                <w:position w:val="0"/>
                <w:sz w:val="21"/>
                <w:shd w:fill="auto" w:val="clear"/>
              </w:rPr>
              <w:t xml:space="preserve">J</w:t>
            </w:r>
            <w:r>
              <w:rPr>
                <w:rFonts w:ascii="Times New Roman" w:hAnsi="Times New Roman" w:cs="Times New Roman" w:eastAsia="Times New Roman"/>
                <w:color w:val="auto"/>
                <w:spacing w:val="0"/>
                <w:position w:val="0"/>
                <w:sz w:val="21"/>
                <w:shd w:fill="auto" w:val="clear"/>
                <w:vertAlign w:val="subscript"/>
              </w:rPr>
              <w:t xml:space="preserve">max</w:t>
            </w:r>
            <w:r>
              <w:rPr>
                <w:rFonts w:ascii="Times New Roman" w:hAnsi="Times New Roman" w:cs="Times New Roman" w:eastAsia="Times New Roman"/>
                <w:color w:val="auto"/>
                <w:spacing w:val="0"/>
                <w:position w:val="0"/>
                <w:sz w:val="21"/>
                <w:shd w:fill="auto" w:val="clear"/>
              </w:rPr>
              <w:t xml:space="preserve"> limitation is never approached under field conditions </w:t>
            </w:r>
            <w:r>
              <w:rPr>
                <w:rFonts w:ascii="Times New Roman" w:hAnsi="Times New Roman" w:cs="Times New Roman" w:eastAsia="Times New Roman"/>
                <w:color w:val="auto"/>
                <w:spacing w:val="0"/>
                <w:position w:val="0"/>
                <w:sz w:val="21"/>
                <w:shd w:fill="auto" w:val="clear"/>
              </w:rPr>
              <w:t xml:space="preserve">–</w:t>
            </w:r>
            <w:r>
              <w:rPr>
                <w:rFonts w:ascii="Times New Roman" w:hAnsi="Times New Roman" w:cs="Times New Roman" w:eastAsia="Times New Roman"/>
                <w:color w:val="auto"/>
                <w:spacing w:val="0"/>
                <w:position w:val="0"/>
                <w:sz w:val="21"/>
                <w:shd w:fill="auto" w:val="clear"/>
              </w:rPr>
              <w:t xml:space="preserve"> thus implicitly assuming that Jmax increases in proportion with </w:t>
            </w:r>
            <w:r>
              <w:rPr>
                <w:rFonts w:ascii="Times New Roman" w:hAnsi="Times New Roman" w:cs="Times New Roman" w:eastAsia="Times New Roman"/>
                <w:i/>
                <w:color w:val="auto"/>
                <w:spacing w:val="0"/>
                <w:position w:val="0"/>
                <w:sz w:val="21"/>
                <w:shd w:fill="auto" w:val="clear"/>
              </w:rPr>
              <w:t xml:space="preserve">V</w:t>
            </w:r>
            <w:r>
              <w:rPr>
                <w:rFonts w:ascii="Times New Roman" w:hAnsi="Times New Roman" w:cs="Times New Roman" w:eastAsia="Times New Roman"/>
                <w:color w:val="auto"/>
                <w:spacing w:val="0"/>
                <w:position w:val="0"/>
                <w:sz w:val="21"/>
                <w:shd w:fill="auto" w:val="clear"/>
                <w:vertAlign w:val="subscript"/>
              </w:rPr>
              <w:t xml:space="preserve">cmax</w:t>
            </w:r>
            <w:r>
              <w:rPr>
                <w:rFonts w:ascii="Times New Roman" w:hAnsi="Times New Roman" w:cs="Times New Roman" w:eastAsia="Times New Roman"/>
                <w:color w:val="auto"/>
                <w:spacing w:val="0"/>
                <w:position w:val="0"/>
                <w:sz w:val="21"/>
                <w:shd w:fill="auto" w:val="clear"/>
              </w:rPr>
              <w:t xml:space="preserve">.</w:t>
            </w:r>
          </w:p>
          <w:p>
            <w:pPr>
              <w:widowControl w:val="false"/>
              <w:spacing w:before="0" w:after="0" w:line="240"/>
              <w:ind w:right="0" w:left="0" w:firstLine="0"/>
              <w:jc w:val="both"/>
              <w:rPr>
                <w:color w:val="auto"/>
                <w:spacing w:val="0"/>
                <w:position w:val="0"/>
                <w:shd w:fill="auto" w:val="clear"/>
              </w:rPr>
            </w:pPr>
          </w:p>
        </w:tc>
      </w:tr>
      <w:tr>
        <w:trPr>
          <w:trHeight w:val="1" w:hRule="atLeast"/>
          <w:jc w:val="left"/>
        </w:trPr>
        <w:tc>
          <w:tcPr>
            <w:tcW w:w="85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1"/>
                <w:shd w:fill="auto" w:val="clear"/>
              </w:rPr>
              <w:t xml:space="preserve">C</w:t>
            </w:r>
            <w:r>
              <w:rPr>
                <w:rFonts w:ascii="Times New Roman" w:hAnsi="Times New Roman" w:cs="Times New Roman" w:eastAsia="Times New Roman"/>
                <w:color w:val="auto"/>
                <w:spacing w:val="0"/>
                <w:position w:val="0"/>
                <w:sz w:val="21"/>
                <w:shd w:fill="auto" w:val="clear"/>
                <w:vertAlign w:val="subscript"/>
              </w:rPr>
              <w:t xml:space="preserve">i</w:t>
            </w:r>
            <w:r>
              <w:rPr>
                <w:rFonts w:ascii="Times New Roman" w:hAnsi="Times New Roman" w:cs="Times New Roman" w:eastAsia="Times New Roman"/>
                <w:color w:val="auto"/>
                <w:spacing w:val="0"/>
                <w:position w:val="0"/>
                <w:sz w:val="21"/>
                <w:shd w:fill="auto" w:val="clear"/>
              </w:rPr>
              <w:t xml:space="preserve">:C</w:t>
            </w:r>
            <w:r>
              <w:rPr>
                <w:rFonts w:ascii="Times New Roman" w:hAnsi="Times New Roman" w:cs="Times New Roman" w:eastAsia="Times New Roman"/>
                <w:color w:val="auto"/>
                <w:spacing w:val="0"/>
                <w:position w:val="0"/>
                <w:sz w:val="21"/>
                <w:shd w:fill="auto" w:val="clear"/>
                <w:vertAlign w:val="subscript"/>
              </w:rPr>
              <w:t xml:space="preserve">a</w:t>
            </w:r>
            <w:r>
              <w:rPr>
                <w:rFonts w:ascii="Times New Roman" w:hAnsi="Times New Roman" w:cs="Times New Roman" w:eastAsia="Times New Roman"/>
                <w:i/>
                <w:color w:val="auto"/>
                <w:spacing w:val="0"/>
                <w:position w:val="0"/>
                <w:sz w:val="21"/>
                <w:shd w:fill="auto" w:val="clear"/>
              </w:rPr>
              <w:t xml:space="preserve"> </w:t>
            </w:r>
            <w:r>
              <w:rPr>
                <w:rFonts w:ascii="Times New Roman" w:hAnsi="Times New Roman" w:cs="Times New Roman" w:eastAsia="Times New Roman"/>
                <w:color w:val="auto"/>
                <w:spacing w:val="0"/>
                <w:position w:val="0"/>
                <w:sz w:val="21"/>
                <w:shd w:fill="auto" w:val="clear"/>
              </w:rPr>
              <w:t xml:space="preserve">(</w:t>
            </w:r>
            <w:r>
              <w:rPr>
                <w:rFonts w:ascii="Times New Roman" w:hAnsi="Times New Roman" w:cs="Times New Roman" w:eastAsia="Times New Roman"/>
                <w:i/>
                <w:color w:val="auto"/>
                <w:spacing w:val="0"/>
                <w:position w:val="0"/>
                <w:sz w:val="21"/>
                <w:shd w:fill="auto" w:val="clear"/>
              </w:rPr>
              <w:t xml:space="preserve">χ</w:t>
            </w:r>
            <w:r>
              <w:rPr>
                <w:rFonts w:ascii="Times New Roman" w:hAnsi="Times New Roman" w:cs="Times New Roman" w:eastAsia="Times New Roman"/>
                <w:color w:val="auto"/>
                <w:spacing w:val="0"/>
                <w:position w:val="0"/>
                <w:sz w:val="21"/>
                <w:shd w:fill="auto" w:val="clear"/>
              </w:rPr>
              <w:t xml:space="preserve">)</w:t>
            </w:r>
          </w:p>
        </w:tc>
        <w:tc>
          <w:tcPr>
            <w:tcW w:w="1648"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r>
              <w:rPr>
                <w:rFonts w:ascii="Times New Roman" w:hAnsi="Times New Roman" w:cs="Times New Roman" w:eastAsia="Times New Roman"/>
                <w:color w:val="auto"/>
                <w:spacing w:val="0"/>
                <w:position w:val="0"/>
                <w:sz w:val="21"/>
                <w:shd w:fill="auto" w:val="clear"/>
              </w:rPr>
              <w:t xml:space="preserve">Ratio of intercellular to ambient CO</w:t>
            </w:r>
            <w:r>
              <w:rPr>
                <w:rFonts w:ascii="Times New Roman" w:hAnsi="Times New Roman" w:cs="Times New Roman" w:eastAsia="Times New Roman"/>
                <w:color w:val="auto"/>
                <w:spacing w:val="0"/>
                <w:position w:val="0"/>
                <w:sz w:val="21"/>
                <w:shd w:fill="auto" w:val="clear"/>
                <w:vertAlign w:val="subscript"/>
              </w:rPr>
              <w:t xml:space="preserve">2</w:t>
            </w:r>
            <w:r>
              <w:rPr>
                <w:rFonts w:ascii="Times New Roman" w:hAnsi="Times New Roman" w:cs="Times New Roman" w:eastAsia="Times New Roman"/>
                <w:color w:val="auto"/>
                <w:spacing w:val="0"/>
                <w:position w:val="0"/>
                <w:sz w:val="21"/>
                <w:shd w:fill="auto" w:val="clear"/>
              </w:rPr>
              <w:t xml:space="preserve"> concentration</w:t>
            </w:r>
          </w:p>
          <w:p>
            <w:pPr>
              <w:spacing w:before="0" w:after="0" w:line="240"/>
              <w:ind w:right="0" w:left="0" w:firstLine="0"/>
              <w:jc w:val="both"/>
              <w:rPr>
                <w:color w:val="auto"/>
                <w:spacing w:val="0"/>
                <w:position w:val="0"/>
                <w:shd w:fill="auto" w:val="clear"/>
              </w:rPr>
            </w:pPr>
          </w:p>
        </w:tc>
        <w:tc>
          <w:tcPr>
            <w:tcW w:w="6125"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1"/>
                <w:shd w:fill="auto" w:val="clear"/>
              </w:rPr>
              <w:t xml:space="preserve">The quantity </w:t>
            </w:r>
            <w:r>
              <w:rPr>
                <w:rFonts w:ascii="Times New Roman" w:hAnsi="Times New Roman" w:cs="Times New Roman" w:eastAsia="Times New Roman"/>
                <w:color w:val="auto"/>
                <w:spacing w:val="0"/>
                <w:position w:val="0"/>
                <w:sz w:val="21"/>
                <w:shd w:fill="auto" w:val="clear"/>
              </w:rPr>
              <w:t xml:space="preserve">χ is tightly regulated by the response of stomatal aperture to the environment, and determines the balance between carbon gain and water loss. Lower values are favoured in drier or colder growth conditions (Prentice </w:t>
            </w:r>
            <w:r>
              <w:rPr>
                <w:rFonts w:ascii="Times New Roman" w:hAnsi="Times New Roman" w:cs="Times New Roman" w:eastAsia="Times New Roman"/>
                <w:i/>
                <w:color w:val="auto"/>
                <w:spacing w:val="0"/>
                <w:position w:val="0"/>
                <w:sz w:val="21"/>
                <w:shd w:fill="auto" w:val="clear"/>
              </w:rPr>
              <w:t xml:space="preserve">et al</w:t>
            </w:r>
            <w:r>
              <w:rPr>
                <w:rFonts w:ascii="Times New Roman" w:hAnsi="Times New Roman" w:cs="Times New Roman" w:eastAsia="Times New Roman"/>
                <w:color w:val="auto"/>
                <w:spacing w:val="0"/>
                <w:position w:val="0"/>
                <w:sz w:val="21"/>
                <w:shd w:fill="auto" w:val="clear"/>
              </w:rPr>
              <w:t xml:space="preserve">., 2014; Wang </w:t>
            </w:r>
            <w:r>
              <w:rPr>
                <w:rFonts w:ascii="Times New Roman" w:hAnsi="Times New Roman" w:cs="Times New Roman" w:eastAsia="Times New Roman"/>
                <w:i/>
                <w:color w:val="auto"/>
                <w:spacing w:val="0"/>
                <w:position w:val="0"/>
                <w:sz w:val="21"/>
                <w:shd w:fill="auto" w:val="clear"/>
              </w:rPr>
              <w:t xml:space="preserve">et al</w:t>
            </w:r>
            <w:r>
              <w:rPr>
                <w:rFonts w:ascii="Times New Roman" w:hAnsi="Times New Roman" w:cs="Times New Roman" w:eastAsia="Times New Roman"/>
                <w:color w:val="auto"/>
                <w:spacing w:val="0"/>
                <w:position w:val="0"/>
                <w:sz w:val="21"/>
                <w:shd w:fill="auto" w:val="clear"/>
              </w:rPr>
              <w:t xml:space="preserve">., 2017a) and at high altitudes (Wang </w:t>
            </w:r>
            <w:r>
              <w:rPr>
                <w:rFonts w:ascii="Times New Roman" w:hAnsi="Times New Roman" w:cs="Times New Roman" w:eastAsia="Times New Roman"/>
                <w:i/>
                <w:color w:val="auto"/>
                <w:spacing w:val="0"/>
                <w:position w:val="0"/>
                <w:sz w:val="21"/>
                <w:shd w:fill="auto" w:val="clear"/>
              </w:rPr>
              <w:t xml:space="preserve">et al</w:t>
            </w:r>
            <w:r>
              <w:rPr>
                <w:rFonts w:ascii="Times New Roman" w:hAnsi="Times New Roman" w:cs="Times New Roman" w:eastAsia="Times New Roman"/>
                <w:color w:val="auto"/>
                <w:spacing w:val="0"/>
                <w:position w:val="0"/>
                <w:sz w:val="21"/>
                <w:shd w:fill="auto" w:val="clear"/>
              </w:rPr>
              <w:t xml:space="preserve">., 2017a, b). </w:t>
            </w:r>
            <w:r>
              <w:rPr>
                <w:rFonts w:ascii="Times New Roman" w:hAnsi="Times New Roman" w:cs="Times New Roman" w:eastAsia="Times New Roman"/>
                <w:i/>
                <w:color w:val="auto"/>
                <w:spacing w:val="0"/>
                <w:position w:val="0"/>
                <w:sz w:val="21"/>
                <w:shd w:fill="auto" w:val="clear"/>
              </w:rPr>
              <w:t xml:space="preserve">χ</w:t>
            </w:r>
            <w:r>
              <w:rPr>
                <w:rFonts w:ascii="Times New Roman" w:hAnsi="Times New Roman" w:cs="Times New Roman" w:eastAsia="Times New Roman"/>
                <w:color w:val="auto"/>
                <w:spacing w:val="0"/>
                <w:position w:val="0"/>
                <w:sz w:val="21"/>
                <w:shd w:fill="auto" w:val="clear"/>
              </w:rPr>
              <w:t xml:space="preserve"> is also an essential variable for modelling photosynthesis because, given ambient CO</w:t>
            </w:r>
            <w:r>
              <w:rPr>
                <w:rFonts w:ascii="Times New Roman" w:hAnsi="Times New Roman" w:cs="Times New Roman" w:eastAsia="Times New Roman"/>
                <w:color w:val="auto"/>
                <w:spacing w:val="0"/>
                <w:position w:val="0"/>
                <w:sz w:val="21"/>
                <w:shd w:fill="auto" w:val="clear"/>
                <w:vertAlign w:val="subscript"/>
              </w:rPr>
              <w:t xml:space="preserve">2</w:t>
            </w:r>
            <w:r>
              <w:rPr>
                <w:rFonts w:ascii="Times New Roman" w:hAnsi="Times New Roman" w:cs="Times New Roman" w:eastAsia="Times New Roman"/>
                <w:color w:val="auto"/>
                <w:spacing w:val="0"/>
                <w:position w:val="0"/>
                <w:sz w:val="21"/>
                <w:shd w:fill="auto" w:val="clear"/>
              </w:rPr>
              <w:t xml:space="preserve">, it determines the value of leaf-internal CO</w:t>
            </w:r>
            <w:r>
              <w:rPr>
                <w:rFonts w:ascii="Times New Roman" w:hAnsi="Times New Roman" w:cs="Times New Roman" w:eastAsia="Times New Roman"/>
                <w:color w:val="auto"/>
                <w:spacing w:val="0"/>
                <w:position w:val="0"/>
                <w:sz w:val="21"/>
                <w:shd w:fill="auto" w:val="clear"/>
                <w:vertAlign w:val="subscript"/>
              </w:rPr>
              <w:t xml:space="preserve">2</w:t>
            </w:r>
            <w:r>
              <w:rPr>
                <w:rFonts w:ascii="Times New Roman" w:hAnsi="Times New Roman" w:cs="Times New Roman" w:eastAsia="Times New Roman"/>
                <w:color w:val="auto"/>
                <w:spacing w:val="0"/>
                <w:position w:val="0"/>
                <w:sz w:val="21"/>
                <w:shd w:fill="auto" w:val="clear"/>
              </w:rPr>
              <w:t xml:space="preserve"> required for implementation of the FvCB model. Many models specify equations for stomatal conductance (gs) rather than χ, but the two are linked to assimilation rate via the diffusion equation. Hence, models for gs can also be formulated parsimoniously as models for χ.</w:t>
            </w:r>
          </w:p>
        </w:tc>
      </w:tr>
    </w:tbl>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S2 Characteristics of the sites.</w:t>
      </w:r>
    </w:p>
    <w:tbl>
      <w:tblPr/>
      <w:tblGrid>
        <w:gridCol w:w="1276"/>
        <w:gridCol w:w="943"/>
        <w:gridCol w:w="900"/>
        <w:gridCol w:w="1106"/>
        <w:gridCol w:w="991"/>
        <w:gridCol w:w="1021"/>
        <w:gridCol w:w="2126"/>
        <w:gridCol w:w="1565"/>
      </w:tblGrid>
      <w:tr>
        <w:trPr>
          <w:trHeight w:val="30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Site name</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Year</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Latitude</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w:t>
            </w:r>
            <w:r>
              <w:rPr>
                <w:rFonts w:ascii="Times New Roman" w:hAnsi="Times New Roman" w:cs="Times New Roman" w:eastAsia="Times New Roman"/>
                <w:b/>
                <w:color w:val="auto"/>
                <w:spacing w:val="0"/>
                <w:position w:val="0"/>
                <w:sz w:val="18"/>
                <w:shd w:fill="auto" w:val="clear"/>
              </w:rPr>
              <w:t xml:space="preserve">˚</w:t>
            </w:r>
            <w:r>
              <w:rPr>
                <w:rFonts w:ascii="Times New Roman" w:hAnsi="Times New Roman" w:cs="Times New Roman" w:eastAsia="Times New Roman"/>
                <w:b/>
                <w:color w:val="auto"/>
                <w:spacing w:val="0"/>
                <w:position w:val="0"/>
                <w:sz w:val="18"/>
                <w:shd w:fill="auto" w:val="clear"/>
              </w:rPr>
              <w:t xml:space="preserve">N)</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Longitude</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w:t>
            </w:r>
            <w:r>
              <w:rPr>
                <w:rFonts w:ascii="Times New Roman" w:hAnsi="Times New Roman" w:cs="Times New Roman" w:eastAsia="Times New Roman"/>
                <w:b/>
                <w:color w:val="auto"/>
                <w:spacing w:val="0"/>
                <w:position w:val="0"/>
                <w:sz w:val="18"/>
                <w:shd w:fill="auto" w:val="clear"/>
              </w:rPr>
              <w:t xml:space="preserve">˚</w:t>
            </w:r>
            <w:r>
              <w:rPr>
                <w:rFonts w:ascii="Times New Roman" w:hAnsi="Times New Roman" w:cs="Times New Roman" w:eastAsia="Times New Roman"/>
                <w:b/>
                <w:color w:val="auto"/>
                <w:spacing w:val="0"/>
                <w:position w:val="0"/>
                <w:sz w:val="18"/>
                <w:shd w:fill="auto" w:val="clear"/>
              </w:rPr>
              <w:t xml:space="preserve">E)</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Elevation</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(m)</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Species</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Traits</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    Region</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Ailaoshan Dwarf</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2013</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24.54</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101.03</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2637</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All</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Ailaoshan</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Ailaoshan Flux</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2013</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24.54</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101.03</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2394</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36</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All</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Ailaoshan</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Ailaoshan Mid</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2013</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24.50</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100.99</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2056</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35</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All</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Ailaoshan</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Mandan Shrub</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2013</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23.69</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101.85</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758</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32</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All</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Mandan</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Mandan Wood</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2013</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23.69</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101.86</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772</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39</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All</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Mandan</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Mohe Flux</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2016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53.47</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122.34</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290</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All</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Mohe</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Mohe Ghost-train</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2016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53.46</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122.34</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325</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All</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Mohe</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Mohe Hilltop</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2016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53.39</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122.25</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638</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All</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Mohe</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Qinling Mixed Forest</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2016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33.44</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108.44</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1514</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33</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All</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Qingling</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Long Ling 1</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2012</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21.62</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101.58</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1034</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37</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All</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XSBN</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Mengla1 Rainforest</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2012</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21.61</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101.58</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668</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42</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All</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XSBN</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Mengla 2 Midslope</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2012</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21.62</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101.58</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828</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19</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All</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XSBN</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Rainforest</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2012</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21.92</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101.27</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502</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44</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All</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XSBN</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Unholy Mt</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2012</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21.98</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101.24</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1075</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40</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All</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XSBN</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NECTS03</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43.02</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129.78</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136</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17</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Changbaishan</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NECTS04</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42.98</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130.08</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114</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15</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Changbaishan</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NECTS05</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43.30</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131.15</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289</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22</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Changbaishan</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NECTS06</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43.12</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131.00</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244</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17</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Changbaishan</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NECTS07</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43.39</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129.67</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224</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13</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Changbaishan</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NECTS08</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43.25</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128.64</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601</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10</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Changbaishan</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NECTS09</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43.73</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127.03</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390</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19</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Changbaishan</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NECTS10</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43.81</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125.68</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252</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11</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Changbaishan</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NECTS01</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42.88</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118.48</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1024</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7</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Inner Mongolia E</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NECTS02</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43.64</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119.02</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781</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13</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Inner Mongolia E</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NECTS11</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44.59</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123.51</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146</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10</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Inner Mongolia E</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NECTS12</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44.43</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123.27</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150</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6</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Inner Mongolia E</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NECTS13</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43.60</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121.84</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203</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10</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Inner Mongolia E</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NECTS14</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44.12</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121.77</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202</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5</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Inner Mongolia E</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NECTS15</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44.39</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120.55</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448</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11</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Inner Mongolia E</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NECTS16</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44.22</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120.37</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372</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10</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Inner Mongolia E</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NECTS17</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43.88</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119.38</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601</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10</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Inner Mongolia E</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NECTS18</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43.76</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119.12</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729</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12</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Inner Mongolia E</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NECTS19</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43.34</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118.49</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707</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6</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Inner Mongolia E</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NECTS20</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43.19</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117.76</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889</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10</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Inner Mongolia E</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NECTS21</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43.22</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117.24</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1259</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11</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Inner Mongolia W</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NECTS22</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43.39</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116.89</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1267</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7</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Inner Mongolia W</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NECTS23</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43.55</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116.68</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1261</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12</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Inner Mongolia W</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NECTS24</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43.69</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116.64</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1211</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Inner Mongolia W</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NECTS25</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43.91</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116.31</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1199</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11</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Inner Mongolia W</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NECTS26</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43.90</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115.32</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1196</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10</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Inner Mongolia W</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NECTS27</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43.94</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114.61</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1123</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8</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Inner Mongolia W</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NECTS28</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43.83</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113.83</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1166</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8</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Inner Mongolia W</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NECTS29</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43.80</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113.36</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1017</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6</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Inner Mongolia W</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NECTS30</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43.72</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112.59</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974</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Inner Mongolia W</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NECTS31</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43.63</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112.17</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999</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8</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Inner Mongolia W</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NECTS32</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43.66</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111.92</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1005</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8</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Inner Mongolia W</w:t>
            </w:r>
          </w:p>
        </w:tc>
      </w:tr>
      <w:tr>
        <w:trPr>
          <w:trHeight w:val="360" w:hRule="auto"/>
          <w:jc w:val="left"/>
        </w:trPr>
        <w:tc>
          <w:tcPr>
            <w:tcW w:w="127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NECTS33</w:t>
            </w:r>
          </w:p>
        </w:tc>
        <w:tc>
          <w:tcPr>
            <w:tcW w:w="9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2006</w:t>
            </w:r>
          </w:p>
        </w:tc>
        <w:tc>
          <w:tcPr>
            <w:tcW w:w="90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43.65</w:t>
            </w:r>
          </w:p>
        </w:tc>
        <w:tc>
          <w:tcPr>
            <w:tcW w:w="110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111.89</w:t>
            </w:r>
          </w:p>
        </w:tc>
        <w:tc>
          <w:tcPr>
            <w:tcW w:w="99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1017</w:t>
            </w:r>
          </w:p>
        </w:tc>
        <w:tc>
          <w:tcPr>
            <w:tcW w:w="1021"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7</w:t>
            </w:r>
          </w:p>
        </w:tc>
        <w:tc>
          <w:tcPr>
            <w:tcW w:w="2126"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LA, SLA, LDMC, N</w:t>
            </w:r>
            <w:r>
              <w:rPr>
                <w:rFonts w:ascii="Times New Roman" w:hAnsi="Times New Roman" w:cs="Times New Roman" w:eastAsia="Times New Roman"/>
                <w:color w:val="auto"/>
                <w:spacing w:val="0"/>
                <w:position w:val="0"/>
                <w:sz w:val="18"/>
                <w:shd w:fill="auto" w:val="clear"/>
                <w:vertAlign w:val="subscript"/>
              </w:rPr>
              <w:t xml:space="preserve">area</w:t>
            </w: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χ</w:t>
            </w:r>
          </w:p>
        </w:tc>
        <w:tc>
          <w:tcPr>
            <w:tcW w:w="15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Inner Mongolia W</w:t>
            </w:r>
          </w:p>
        </w:tc>
      </w:tr>
    </w:tbl>
    <w:p>
      <w:pPr>
        <w:widowControl w:val="false"/>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widowControl w:val="false"/>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S3 Total number of samples for each life form.</w:t>
      </w:r>
    </w:p>
    <w:tbl>
      <w:tblPr/>
      <w:tblGrid>
        <w:gridCol w:w="2765"/>
        <w:gridCol w:w="2765"/>
      </w:tblGrid>
      <w:tr>
        <w:trPr>
          <w:trHeight w:val="1" w:hRule="atLeast"/>
          <w:jc w:val="left"/>
        </w:trPr>
        <w:tc>
          <w:tcPr>
            <w:tcW w:w="27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Life form</w:t>
            </w:r>
          </w:p>
        </w:tc>
        <w:tc>
          <w:tcPr>
            <w:tcW w:w="27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Number</w:t>
            </w:r>
          </w:p>
        </w:tc>
      </w:tr>
      <w:tr>
        <w:trPr>
          <w:trHeight w:val="1" w:hRule="atLeast"/>
          <w:jc w:val="left"/>
        </w:trPr>
        <w:tc>
          <w:tcPr>
            <w:tcW w:w="27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Tree</w:t>
            </w:r>
          </w:p>
        </w:tc>
        <w:tc>
          <w:tcPr>
            <w:tcW w:w="27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280</w:t>
            </w:r>
          </w:p>
        </w:tc>
      </w:tr>
      <w:tr>
        <w:trPr>
          <w:trHeight w:val="1" w:hRule="atLeast"/>
          <w:jc w:val="left"/>
        </w:trPr>
        <w:tc>
          <w:tcPr>
            <w:tcW w:w="27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Small tree</w:t>
            </w:r>
          </w:p>
        </w:tc>
        <w:tc>
          <w:tcPr>
            <w:tcW w:w="27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7</w:t>
            </w:r>
          </w:p>
        </w:tc>
      </w:tr>
      <w:tr>
        <w:trPr>
          <w:trHeight w:val="1" w:hRule="atLeast"/>
          <w:jc w:val="left"/>
        </w:trPr>
        <w:tc>
          <w:tcPr>
            <w:tcW w:w="27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Shrub</w:t>
            </w:r>
          </w:p>
        </w:tc>
        <w:tc>
          <w:tcPr>
            <w:tcW w:w="27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144</w:t>
            </w:r>
          </w:p>
        </w:tc>
      </w:tr>
      <w:tr>
        <w:trPr>
          <w:trHeight w:val="1" w:hRule="atLeast"/>
          <w:jc w:val="left"/>
        </w:trPr>
        <w:tc>
          <w:tcPr>
            <w:tcW w:w="27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Liana</w:t>
            </w:r>
          </w:p>
        </w:tc>
        <w:tc>
          <w:tcPr>
            <w:tcW w:w="27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56</w:t>
            </w:r>
          </w:p>
        </w:tc>
      </w:tr>
      <w:tr>
        <w:trPr>
          <w:trHeight w:val="1" w:hRule="atLeast"/>
          <w:jc w:val="left"/>
        </w:trPr>
        <w:tc>
          <w:tcPr>
            <w:tcW w:w="27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Forb</w:t>
            </w:r>
          </w:p>
        </w:tc>
        <w:tc>
          <w:tcPr>
            <w:tcW w:w="27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160</w:t>
            </w:r>
          </w:p>
        </w:tc>
      </w:tr>
      <w:tr>
        <w:trPr>
          <w:trHeight w:val="1" w:hRule="atLeast"/>
          <w:jc w:val="left"/>
        </w:trPr>
        <w:tc>
          <w:tcPr>
            <w:tcW w:w="27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Graminoid</w:t>
            </w:r>
          </w:p>
        </w:tc>
        <w:tc>
          <w:tcPr>
            <w:tcW w:w="276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82</w:t>
            </w:r>
          </w:p>
        </w:tc>
      </w:tr>
    </w:tbl>
    <w:p>
      <w:pPr>
        <w:widowControl w:val="false"/>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widowControl w:val="false"/>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S4 Trait loadings, eigenvalues, and the percentage of trait variation explained by successive principal components in the trait PCA (only sites with complete data). Loadings &gt; 0.3 in magnitude are shown in </w:t>
      </w:r>
      <w:r>
        <w:rPr>
          <w:rFonts w:ascii="Times New Roman" w:hAnsi="Times New Roman" w:cs="Times New Roman" w:eastAsia="Times New Roman"/>
          <w:b/>
          <w:color w:val="auto"/>
          <w:spacing w:val="0"/>
          <w:position w:val="0"/>
          <w:sz w:val="24"/>
          <w:shd w:fill="auto" w:val="clear"/>
        </w:rPr>
        <w:t xml:space="preserve">bold</w:t>
      </w:r>
      <w:r>
        <w:rPr>
          <w:rFonts w:ascii="Times New Roman" w:hAnsi="Times New Roman" w:cs="Times New Roman" w:eastAsia="Times New Roman"/>
          <w:color w:val="auto"/>
          <w:spacing w:val="0"/>
          <w:position w:val="0"/>
          <w:sz w:val="24"/>
          <w:shd w:fill="auto" w:val="clear"/>
        </w:rPr>
        <w:t xml:space="preserve">. The traits are: LA: leaf area, SLA: specific leaf area, LDMC: leaf dry matter content, </w:t>
      </w:r>
      <w:r>
        <w:rPr>
          <w:rFonts w:ascii="Times New Roman" w:hAnsi="Times New Roman" w:cs="Times New Roman" w:eastAsia="Times New Roman"/>
          <w:i/>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vertAlign w:val="subscript"/>
        </w:rPr>
        <w:t xml:space="preserve">area</w:t>
      </w:r>
      <w:r>
        <w:rPr>
          <w:rFonts w:ascii="Times New Roman" w:hAnsi="Times New Roman" w:cs="Times New Roman" w:eastAsia="Times New Roman"/>
          <w:color w:val="auto"/>
          <w:spacing w:val="0"/>
          <w:position w:val="0"/>
          <w:sz w:val="24"/>
          <w:shd w:fill="auto" w:val="clear"/>
        </w:rPr>
        <w:t xml:space="preserve">: leaf nitrogen per unit area, </w:t>
      </w:r>
      <w:r>
        <w:rPr>
          <w:rFonts w:ascii="Times New Roman" w:hAnsi="Times New Roman" w:cs="Times New Roman" w:eastAsia="Times New Roman"/>
          <w:i/>
          <w:color w:val="auto"/>
          <w:spacing w:val="0"/>
          <w:position w:val="0"/>
          <w:sz w:val="24"/>
          <w:shd w:fill="auto" w:val="clear"/>
        </w:rPr>
        <w:t xml:space="preserve">V</w:t>
      </w:r>
      <w:r>
        <w:rPr>
          <w:rFonts w:ascii="Times New Roman" w:hAnsi="Times New Roman" w:cs="Times New Roman" w:eastAsia="Times New Roman"/>
          <w:color w:val="auto"/>
          <w:spacing w:val="0"/>
          <w:position w:val="0"/>
          <w:sz w:val="24"/>
          <w:shd w:fill="auto" w:val="clear"/>
          <w:vertAlign w:val="subscript"/>
        </w:rPr>
        <w:t xml:space="preserve">cmax25:</w:t>
      </w:r>
      <w:r>
        <w:rPr>
          <w:rFonts w:ascii="Times New Roman" w:hAnsi="Times New Roman" w:cs="Times New Roman" w:eastAsia="Times New Roman"/>
          <w:color w:val="auto"/>
          <w:spacing w:val="0"/>
          <w:position w:val="0"/>
          <w:sz w:val="24"/>
          <w:shd w:fill="auto" w:val="clear"/>
        </w:rPr>
        <w:t xml:space="preserve"> maximum carboxylation rate standardized to 25</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i/>
          <w:color w:val="auto"/>
          <w:spacing w:val="0"/>
          <w:position w:val="0"/>
          <w:sz w:val="24"/>
          <w:shd w:fill="auto" w:val="clear"/>
        </w:rPr>
        <w:t xml:space="preserve">J</w:t>
      </w:r>
      <w:r>
        <w:rPr>
          <w:rFonts w:ascii="Times New Roman" w:hAnsi="Times New Roman" w:cs="Times New Roman" w:eastAsia="Times New Roman"/>
          <w:color w:val="auto"/>
          <w:spacing w:val="0"/>
          <w:position w:val="0"/>
          <w:sz w:val="24"/>
          <w:shd w:fill="auto" w:val="clear"/>
          <w:vertAlign w:val="subscript"/>
        </w:rPr>
        <w:t xml:space="preserve">max25</w:t>
      </w:r>
      <w:r>
        <w:rPr>
          <w:rFonts w:ascii="Times New Roman" w:hAnsi="Times New Roman" w:cs="Times New Roman" w:eastAsia="Times New Roman"/>
          <w:color w:val="auto"/>
          <w:spacing w:val="0"/>
          <w:position w:val="0"/>
          <w:sz w:val="24"/>
          <w:shd w:fill="auto" w:val="clear"/>
        </w:rPr>
        <w:t xml:space="preserve">: maximum electron transport rate standardized to 25</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C, and </w:t>
      </w:r>
      <w:r>
        <w:rPr>
          <w:rFonts w:ascii="Times New Roman" w:hAnsi="Times New Roman" w:cs="Times New Roman" w:eastAsia="Times New Roman"/>
          <w:i/>
          <w:color w:val="auto"/>
          <w:spacing w:val="0"/>
          <w:position w:val="0"/>
          <w:sz w:val="24"/>
          <w:shd w:fill="auto" w:val="clear"/>
        </w:rPr>
        <w:t xml:space="preserve">χ</w:t>
      </w:r>
      <w:r>
        <w:rPr>
          <w:rFonts w:ascii="Times New Roman" w:hAnsi="Times New Roman" w:cs="Times New Roman" w:eastAsia="Times New Roman"/>
          <w:color w:val="auto"/>
          <w:spacing w:val="0"/>
          <w:position w:val="0"/>
          <w:sz w:val="24"/>
          <w:shd w:fill="auto" w:val="clear"/>
        </w:rPr>
        <w:t xml:space="preserve"> :the ratio of intercellular to ambient CO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concentration.</w:t>
      </w:r>
    </w:p>
    <w:tbl>
      <w:tblPr/>
      <w:tblGrid>
        <w:gridCol w:w="2694"/>
        <w:gridCol w:w="1295"/>
        <w:gridCol w:w="1439"/>
        <w:gridCol w:w="1439"/>
        <w:gridCol w:w="1439"/>
      </w:tblGrid>
      <w:tr>
        <w:trPr>
          <w:trHeight w:val="300" w:hRule="auto"/>
          <w:jc w:val="left"/>
        </w:trPr>
        <w:tc>
          <w:tcPr>
            <w:tcW w:w="2694"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both"/>
              <w:rPr>
                <w:rFonts w:ascii="Calibri" w:hAnsi="Calibri" w:cs="Calibri" w:eastAsia="Calibri"/>
                <w:color w:val="auto"/>
                <w:spacing w:val="0"/>
                <w:position w:val="0"/>
                <w:sz w:val="22"/>
                <w:shd w:fill="auto" w:val="clear"/>
              </w:rPr>
            </w:pPr>
          </w:p>
        </w:tc>
        <w:tc>
          <w:tcPr>
            <w:tcW w:w="1295"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PC1</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PC2</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PC3</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PC4</w:t>
            </w:r>
          </w:p>
        </w:tc>
      </w:tr>
      <w:tr>
        <w:trPr>
          <w:trHeight w:val="300" w:hRule="auto"/>
          <w:jc w:val="left"/>
        </w:trPr>
        <w:tc>
          <w:tcPr>
            <w:tcW w:w="2694"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log</w:t>
            </w:r>
            <w:r>
              <w:rPr>
                <w:rFonts w:ascii="Times New Roman" w:hAnsi="Times New Roman" w:cs="Times New Roman" w:eastAsia="Times New Roman"/>
                <w:color w:val="auto"/>
                <w:spacing w:val="0"/>
                <w:position w:val="0"/>
                <w:sz w:val="20"/>
                <w:shd w:fill="auto" w:val="clear"/>
                <w:vertAlign w:val="subscript"/>
              </w:rPr>
              <w:t xml:space="preserve">e</w:t>
            </w:r>
            <w:r>
              <w:rPr>
                <w:rFonts w:ascii="Times New Roman" w:hAnsi="Times New Roman" w:cs="Times New Roman" w:eastAsia="Times New Roman"/>
                <w:color w:val="auto"/>
                <w:spacing w:val="0"/>
                <w:position w:val="0"/>
                <w:sz w:val="20"/>
                <w:shd w:fill="auto" w:val="clear"/>
              </w:rPr>
              <w:t xml:space="preserve"> </w:t>
            </w:r>
            <w:r>
              <w:rPr>
                <w:rFonts w:ascii="Cambria Math" w:hAnsi="Cambria Math" w:cs="Cambria Math" w:eastAsia="Cambria Math"/>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LA</w:t>
            </w:r>
          </w:p>
        </w:tc>
        <w:tc>
          <w:tcPr>
            <w:tcW w:w="1295"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t>
            </w:r>
            <w:r>
              <w:rPr>
                <w:rFonts w:ascii="Times New Roman" w:hAnsi="Times New Roman" w:cs="Times New Roman" w:eastAsia="Times New Roman"/>
                <w:b/>
                <w:color w:val="auto"/>
                <w:spacing w:val="0"/>
                <w:position w:val="0"/>
                <w:sz w:val="22"/>
                <w:shd w:fill="auto" w:val="clear"/>
              </w:rPr>
              <w:t xml:space="preserve">0.34</w:t>
            </w:r>
            <w:r>
              <w:rPr>
                <w:rFonts w:ascii="Times New Roman" w:hAnsi="Times New Roman" w:cs="Times New Roman" w:eastAsia="Times New Roman"/>
                <w:color w:val="auto"/>
                <w:spacing w:val="0"/>
                <w:position w:val="0"/>
                <w:sz w:val="22"/>
                <w:shd w:fill="auto" w:val="clear"/>
              </w:rPr>
              <w:t xml:space="preserve"> </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0.19 </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0.88 </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0.27 </w:t>
            </w:r>
          </w:p>
        </w:tc>
      </w:tr>
      <w:tr>
        <w:trPr>
          <w:trHeight w:val="300" w:hRule="auto"/>
          <w:jc w:val="left"/>
        </w:trPr>
        <w:tc>
          <w:tcPr>
            <w:tcW w:w="2694"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log</w:t>
            </w:r>
            <w:r>
              <w:rPr>
                <w:rFonts w:ascii="Times New Roman" w:hAnsi="Times New Roman" w:cs="Times New Roman" w:eastAsia="Times New Roman"/>
                <w:color w:val="auto"/>
                <w:spacing w:val="0"/>
                <w:position w:val="0"/>
                <w:sz w:val="20"/>
                <w:shd w:fill="auto" w:val="clear"/>
                <w:vertAlign w:val="subscript"/>
              </w:rPr>
              <w:t xml:space="preserve">e</w:t>
            </w:r>
            <w:r>
              <w:rPr>
                <w:rFonts w:ascii="Times New Roman" w:hAnsi="Times New Roman" w:cs="Times New Roman" w:eastAsia="Times New Roman"/>
                <w:color w:val="auto"/>
                <w:spacing w:val="0"/>
                <w:position w:val="0"/>
                <w:sz w:val="20"/>
                <w:shd w:fill="auto" w:val="clear"/>
              </w:rPr>
              <w:t xml:space="preserve"> SLA</w:t>
            </w:r>
          </w:p>
        </w:tc>
        <w:tc>
          <w:tcPr>
            <w:tcW w:w="1295"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0.13 </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t>
            </w:r>
            <w:r>
              <w:rPr>
                <w:rFonts w:ascii="Times New Roman" w:hAnsi="Times New Roman" w:cs="Times New Roman" w:eastAsia="Times New Roman"/>
                <w:b/>
                <w:color w:val="auto"/>
                <w:spacing w:val="0"/>
                <w:position w:val="0"/>
                <w:sz w:val="22"/>
                <w:shd w:fill="auto" w:val="clear"/>
              </w:rPr>
              <w:t xml:space="preserve">0.52 </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0.06 </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0.38 </w:t>
            </w:r>
          </w:p>
        </w:tc>
      </w:tr>
      <w:tr>
        <w:trPr>
          <w:trHeight w:val="300" w:hRule="auto"/>
          <w:jc w:val="left"/>
        </w:trPr>
        <w:tc>
          <w:tcPr>
            <w:tcW w:w="2694"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log</w:t>
            </w:r>
            <w:r>
              <w:rPr>
                <w:rFonts w:ascii="Times New Roman" w:hAnsi="Times New Roman" w:cs="Times New Roman" w:eastAsia="Times New Roman"/>
                <w:color w:val="auto"/>
                <w:spacing w:val="0"/>
                <w:position w:val="0"/>
                <w:sz w:val="20"/>
                <w:shd w:fill="auto" w:val="clear"/>
                <w:vertAlign w:val="subscript"/>
              </w:rPr>
              <w:t xml:space="preserve">e</w:t>
            </w:r>
            <w:r>
              <w:rPr>
                <w:rFonts w:ascii="Times New Roman" w:hAnsi="Times New Roman" w:cs="Times New Roman" w:eastAsia="Times New Roman"/>
                <w:color w:val="auto"/>
                <w:spacing w:val="0"/>
                <w:position w:val="0"/>
                <w:sz w:val="20"/>
                <w:shd w:fill="auto" w:val="clear"/>
              </w:rPr>
              <w:t xml:space="preserve"> LDMC</w:t>
            </w:r>
          </w:p>
        </w:tc>
        <w:tc>
          <w:tcPr>
            <w:tcW w:w="1295"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0.09 </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0.28 </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0.04 </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0.19 </w:t>
            </w:r>
          </w:p>
        </w:tc>
      </w:tr>
      <w:tr>
        <w:trPr>
          <w:trHeight w:val="300" w:hRule="auto"/>
          <w:jc w:val="left"/>
        </w:trPr>
        <w:tc>
          <w:tcPr>
            <w:tcW w:w="2694"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log</w:t>
            </w:r>
            <w:r>
              <w:rPr>
                <w:rFonts w:ascii="Times New Roman" w:hAnsi="Times New Roman" w:cs="Times New Roman" w:eastAsia="Times New Roman"/>
                <w:color w:val="auto"/>
                <w:spacing w:val="0"/>
                <w:position w:val="0"/>
                <w:sz w:val="20"/>
                <w:shd w:fill="auto" w:val="clear"/>
                <w:vertAlign w:val="subscript"/>
              </w:rPr>
              <w:t xml:space="preserve">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N</w:t>
            </w:r>
            <w:r>
              <w:rPr>
                <w:rFonts w:ascii="Times New Roman" w:hAnsi="Times New Roman" w:cs="Times New Roman" w:eastAsia="Times New Roman"/>
                <w:color w:val="auto"/>
                <w:spacing w:val="0"/>
                <w:position w:val="0"/>
                <w:sz w:val="20"/>
                <w:shd w:fill="auto" w:val="clear"/>
                <w:vertAlign w:val="subscript"/>
              </w:rPr>
              <w:t xml:space="preserve">area</w:t>
            </w:r>
          </w:p>
        </w:tc>
        <w:tc>
          <w:tcPr>
            <w:tcW w:w="1295"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0.12 </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0.56 </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0.02 </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t>
            </w:r>
            <w:r>
              <w:rPr>
                <w:rFonts w:ascii="Times New Roman" w:hAnsi="Times New Roman" w:cs="Times New Roman" w:eastAsia="Times New Roman"/>
                <w:b/>
                <w:color w:val="auto"/>
                <w:spacing w:val="0"/>
                <w:position w:val="0"/>
                <w:sz w:val="22"/>
                <w:shd w:fill="auto" w:val="clear"/>
              </w:rPr>
              <w:t xml:space="preserve">0.34 </w:t>
            </w:r>
          </w:p>
        </w:tc>
      </w:tr>
      <w:tr>
        <w:trPr>
          <w:trHeight w:val="300" w:hRule="auto"/>
          <w:jc w:val="left"/>
        </w:trPr>
        <w:tc>
          <w:tcPr>
            <w:tcW w:w="2694"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log</w:t>
            </w:r>
            <w:r>
              <w:rPr>
                <w:rFonts w:ascii="Times New Roman" w:hAnsi="Times New Roman" w:cs="Times New Roman" w:eastAsia="Times New Roman"/>
                <w:color w:val="auto"/>
                <w:spacing w:val="0"/>
                <w:position w:val="0"/>
                <w:sz w:val="20"/>
                <w:shd w:fill="auto" w:val="clear"/>
                <w:vertAlign w:val="subscript"/>
              </w:rPr>
              <w:t xml:space="preserve">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V</w:t>
            </w:r>
            <w:r>
              <w:rPr>
                <w:rFonts w:ascii="Times New Roman" w:hAnsi="Times New Roman" w:cs="Times New Roman" w:eastAsia="Times New Roman"/>
                <w:color w:val="auto"/>
                <w:spacing w:val="0"/>
                <w:position w:val="0"/>
                <w:sz w:val="20"/>
                <w:shd w:fill="auto" w:val="clear"/>
                <w:vertAlign w:val="subscript"/>
              </w:rPr>
              <w:t xml:space="preserve">cmax,25</w:t>
            </w:r>
          </w:p>
        </w:tc>
        <w:tc>
          <w:tcPr>
            <w:tcW w:w="1295"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0.26 </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0.37 </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0.13 </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0.65 </w:t>
            </w:r>
          </w:p>
        </w:tc>
      </w:tr>
      <w:tr>
        <w:trPr>
          <w:trHeight w:val="300" w:hRule="auto"/>
          <w:jc w:val="left"/>
        </w:trPr>
        <w:tc>
          <w:tcPr>
            <w:tcW w:w="2694"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log</w:t>
            </w:r>
            <w:r>
              <w:rPr>
                <w:rFonts w:ascii="Times New Roman" w:hAnsi="Times New Roman" w:cs="Times New Roman" w:eastAsia="Times New Roman"/>
                <w:color w:val="auto"/>
                <w:spacing w:val="0"/>
                <w:position w:val="0"/>
                <w:sz w:val="20"/>
                <w:shd w:fill="auto" w:val="clear"/>
                <w:vertAlign w:val="subscript"/>
              </w:rPr>
              <w:t xml:space="preserve">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J</w:t>
            </w:r>
            <w:r>
              <w:rPr>
                <w:rFonts w:ascii="Times New Roman" w:hAnsi="Times New Roman" w:cs="Times New Roman" w:eastAsia="Times New Roman"/>
                <w:color w:val="auto"/>
                <w:spacing w:val="0"/>
                <w:position w:val="0"/>
                <w:sz w:val="20"/>
                <w:shd w:fill="auto" w:val="clear"/>
                <w:vertAlign w:val="subscript"/>
              </w:rPr>
              <w:t xml:space="preserve">max,25</w:t>
            </w:r>
          </w:p>
        </w:tc>
        <w:tc>
          <w:tcPr>
            <w:tcW w:w="1295"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0.25 </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0.27 </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0.15 </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0.44 </w:t>
            </w:r>
          </w:p>
        </w:tc>
      </w:tr>
      <w:tr>
        <w:trPr>
          <w:trHeight w:val="315" w:hRule="auto"/>
          <w:jc w:val="left"/>
        </w:trPr>
        <w:tc>
          <w:tcPr>
            <w:tcW w:w="2694"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logit </w:t>
            </w:r>
            <w:r>
              <w:rPr>
                <w:rFonts w:ascii="Times New Roman" w:hAnsi="Times New Roman" w:cs="Times New Roman" w:eastAsia="Times New Roman"/>
                <w:i/>
                <w:color w:val="auto"/>
                <w:spacing w:val="0"/>
                <w:position w:val="0"/>
                <w:sz w:val="20"/>
                <w:shd w:fill="auto" w:val="clear"/>
              </w:rPr>
              <w:t xml:space="preserve">χ</w:t>
            </w:r>
          </w:p>
        </w:tc>
        <w:tc>
          <w:tcPr>
            <w:tcW w:w="1295"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t>
            </w:r>
            <w:r>
              <w:rPr>
                <w:rFonts w:ascii="Times New Roman" w:hAnsi="Times New Roman" w:cs="Times New Roman" w:eastAsia="Times New Roman"/>
                <w:b/>
                <w:color w:val="auto"/>
                <w:spacing w:val="0"/>
                <w:position w:val="0"/>
                <w:sz w:val="22"/>
                <w:shd w:fill="auto" w:val="clear"/>
              </w:rPr>
              <w:t xml:space="preserve">0.84 </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0.31 </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t>
            </w:r>
            <w:r>
              <w:rPr>
                <w:rFonts w:ascii="Times New Roman" w:hAnsi="Times New Roman" w:cs="Times New Roman" w:eastAsia="Times New Roman"/>
                <w:b/>
                <w:color w:val="auto"/>
                <w:spacing w:val="0"/>
                <w:position w:val="0"/>
                <w:sz w:val="22"/>
                <w:shd w:fill="auto" w:val="clear"/>
              </w:rPr>
              <w:t xml:space="preserve">0.43 </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0.10 </w:t>
            </w:r>
          </w:p>
        </w:tc>
      </w:tr>
      <w:tr>
        <w:trPr>
          <w:trHeight w:val="352" w:hRule="auto"/>
          <w:jc w:val="left"/>
        </w:trPr>
        <w:tc>
          <w:tcPr>
            <w:tcW w:w="2694"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both"/>
              <w:rPr>
                <w:rFonts w:ascii="Times New Roman" w:hAnsi="Times New Roman" w:cs="Times New Roman" w:eastAsia="Times New Roman"/>
                <w:b/>
                <w:color w:val="auto"/>
                <w:spacing w:val="0"/>
                <w:position w:val="0"/>
                <w:sz w:val="20"/>
                <w:shd w:fill="auto" w:val="clear"/>
              </w:rPr>
            </w:pPr>
          </w:p>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Eigenvalue</w:t>
            </w:r>
          </w:p>
        </w:tc>
        <w:tc>
          <w:tcPr>
            <w:tcW w:w="1295"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1.37</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0.52</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0.50</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0.31</w:t>
            </w:r>
          </w:p>
        </w:tc>
      </w:tr>
      <w:tr>
        <w:trPr>
          <w:trHeight w:val="300" w:hRule="auto"/>
          <w:jc w:val="left"/>
        </w:trPr>
        <w:tc>
          <w:tcPr>
            <w:tcW w:w="2694"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Explained (%)</w:t>
            </w:r>
          </w:p>
        </w:tc>
        <w:tc>
          <w:tcPr>
            <w:tcW w:w="1295"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46.84 </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17.89 </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17.27 </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10.53 </w:t>
            </w:r>
          </w:p>
        </w:tc>
      </w:tr>
      <w:tr>
        <w:trPr>
          <w:trHeight w:val="315" w:hRule="auto"/>
          <w:jc w:val="left"/>
        </w:trPr>
        <w:tc>
          <w:tcPr>
            <w:tcW w:w="2694"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10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Cumulative (%)</w:t>
            </w:r>
          </w:p>
        </w:tc>
        <w:tc>
          <w:tcPr>
            <w:tcW w:w="1295"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46.84 </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64.73 </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82.00 </w:t>
            </w:r>
          </w:p>
        </w:tc>
        <w:tc>
          <w:tcPr>
            <w:tcW w:w="143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92.53 </w:t>
            </w:r>
          </w:p>
        </w:tc>
      </w:tr>
    </w:tbl>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S5 Trait loadings, eigenvalues, and the percentage of trait variation explained by successive RDA axes (constrained by climate) and residual principal components, with axes 1 and 2 mirrored to facilitate comparison with the PCA (only sites with complete data). Loadings &gt; 0.3 in magnitude are shown in </w:t>
      </w:r>
      <w:r>
        <w:rPr>
          <w:rFonts w:ascii="Times New Roman" w:hAnsi="Times New Roman" w:cs="Times New Roman" w:eastAsia="Times New Roman"/>
          <w:b/>
          <w:color w:val="auto"/>
          <w:spacing w:val="0"/>
          <w:position w:val="0"/>
          <w:sz w:val="24"/>
          <w:shd w:fill="auto" w:val="clear"/>
        </w:rPr>
        <w:t xml:space="preserve">bold</w:t>
      </w:r>
      <w:r>
        <w:rPr>
          <w:rFonts w:ascii="Times New Roman" w:hAnsi="Times New Roman" w:cs="Times New Roman" w:eastAsia="Times New Roman"/>
          <w:color w:val="auto"/>
          <w:spacing w:val="0"/>
          <w:position w:val="0"/>
          <w:sz w:val="24"/>
          <w:shd w:fill="auto" w:val="clear"/>
        </w:rPr>
        <w:t xml:space="preserve">. The traits are: LA: leaf area, SLA: specific leaf area, LDMC: leaf dry matter content, </w:t>
      </w:r>
      <w:r>
        <w:rPr>
          <w:rFonts w:ascii="Times New Roman" w:hAnsi="Times New Roman" w:cs="Times New Roman" w:eastAsia="Times New Roman"/>
          <w:i/>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vertAlign w:val="subscript"/>
        </w:rPr>
        <w:t xml:space="preserve">area</w:t>
      </w:r>
      <w:r>
        <w:rPr>
          <w:rFonts w:ascii="Times New Roman" w:hAnsi="Times New Roman" w:cs="Times New Roman" w:eastAsia="Times New Roman"/>
          <w:color w:val="auto"/>
          <w:spacing w:val="0"/>
          <w:position w:val="0"/>
          <w:sz w:val="24"/>
          <w:shd w:fill="auto" w:val="clear"/>
        </w:rPr>
        <w:t xml:space="preserve">: leaf nitrogen per unit area, </w:t>
      </w:r>
      <w:r>
        <w:rPr>
          <w:rFonts w:ascii="Times New Roman" w:hAnsi="Times New Roman" w:cs="Times New Roman" w:eastAsia="Times New Roman"/>
          <w:i/>
          <w:color w:val="auto"/>
          <w:spacing w:val="0"/>
          <w:position w:val="0"/>
          <w:sz w:val="24"/>
          <w:shd w:fill="auto" w:val="clear"/>
        </w:rPr>
        <w:t xml:space="preserve">V</w:t>
      </w:r>
      <w:r>
        <w:rPr>
          <w:rFonts w:ascii="Times New Roman" w:hAnsi="Times New Roman" w:cs="Times New Roman" w:eastAsia="Times New Roman"/>
          <w:color w:val="auto"/>
          <w:spacing w:val="0"/>
          <w:position w:val="0"/>
          <w:sz w:val="24"/>
          <w:shd w:fill="auto" w:val="clear"/>
          <w:vertAlign w:val="subscript"/>
        </w:rPr>
        <w:t xml:space="preserve">cmax25:</w:t>
      </w:r>
      <w:r>
        <w:rPr>
          <w:rFonts w:ascii="Times New Roman" w:hAnsi="Times New Roman" w:cs="Times New Roman" w:eastAsia="Times New Roman"/>
          <w:color w:val="auto"/>
          <w:spacing w:val="0"/>
          <w:position w:val="0"/>
          <w:sz w:val="24"/>
          <w:shd w:fill="auto" w:val="clear"/>
        </w:rPr>
        <w:t xml:space="preserve"> maximum carboxylation rate standardized to 25</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i/>
          <w:color w:val="auto"/>
          <w:spacing w:val="0"/>
          <w:position w:val="0"/>
          <w:sz w:val="24"/>
          <w:shd w:fill="auto" w:val="clear"/>
        </w:rPr>
        <w:t xml:space="preserve">J</w:t>
      </w:r>
      <w:r>
        <w:rPr>
          <w:rFonts w:ascii="Times New Roman" w:hAnsi="Times New Roman" w:cs="Times New Roman" w:eastAsia="Times New Roman"/>
          <w:color w:val="auto"/>
          <w:spacing w:val="0"/>
          <w:position w:val="0"/>
          <w:sz w:val="24"/>
          <w:shd w:fill="auto" w:val="clear"/>
          <w:vertAlign w:val="subscript"/>
        </w:rPr>
        <w:t xml:space="preserve">max25</w:t>
      </w:r>
      <w:r>
        <w:rPr>
          <w:rFonts w:ascii="Times New Roman" w:hAnsi="Times New Roman" w:cs="Times New Roman" w:eastAsia="Times New Roman"/>
          <w:color w:val="auto"/>
          <w:spacing w:val="0"/>
          <w:position w:val="0"/>
          <w:sz w:val="24"/>
          <w:shd w:fill="auto" w:val="clear"/>
        </w:rPr>
        <w:t xml:space="preserve">: maximum electron transport rate standardized to 25</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C, and </w:t>
      </w:r>
      <w:r>
        <w:rPr>
          <w:rFonts w:ascii="Times New Roman" w:hAnsi="Times New Roman" w:cs="Times New Roman" w:eastAsia="Times New Roman"/>
          <w:i/>
          <w:color w:val="auto"/>
          <w:spacing w:val="0"/>
          <w:position w:val="0"/>
          <w:sz w:val="24"/>
          <w:shd w:fill="auto" w:val="clear"/>
        </w:rPr>
        <w:t xml:space="preserve">χ</w:t>
      </w:r>
      <w:r>
        <w:rPr>
          <w:rFonts w:ascii="Times New Roman" w:hAnsi="Times New Roman" w:cs="Times New Roman" w:eastAsia="Times New Roman"/>
          <w:color w:val="auto"/>
          <w:spacing w:val="0"/>
          <w:position w:val="0"/>
          <w:sz w:val="24"/>
          <w:shd w:fill="auto" w:val="clear"/>
        </w:rPr>
        <w:t xml:space="preserve"> :the ratio of intercellular to ambient CO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concentration.</w:t>
      </w:r>
    </w:p>
    <w:p>
      <w:pPr>
        <w:widowControl w:val="fals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843"/>
        <w:gridCol w:w="992"/>
        <w:gridCol w:w="1029"/>
        <w:gridCol w:w="902"/>
        <w:gridCol w:w="904"/>
        <w:gridCol w:w="993"/>
        <w:gridCol w:w="992"/>
        <w:gridCol w:w="992"/>
      </w:tblGrid>
      <w:tr>
        <w:trPr>
          <w:trHeight w:val="300" w:hRule="auto"/>
          <w:jc w:val="left"/>
        </w:trPr>
        <w:tc>
          <w:tcPr>
            <w:tcW w:w="18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RDA1</w:t>
            </w:r>
          </w:p>
        </w:tc>
        <w:tc>
          <w:tcPr>
            <w:tcW w:w="102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RDA2</w:t>
            </w:r>
          </w:p>
        </w:tc>
        <w:tc>
          <w:tcPr>
            <w:tcW w:w="90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RDA3</w:t>
            </w:r>
          </w:p>
        </w:tc>
        <w:tc>
          <w:tcPr>
            <w:tcW w:w="904"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PC1</w:t>
            </w:r>
          </w:p>
        </w:tc>
        <w:tc>
          <w:tcPr>
            <w:tcW w:w="99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PC2</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PC3</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PC4</w:t>
            </w:r>
          </w:p>
        </w:tc>
      </w:tr>
      <w:tr>
        <w:trPr>
          <w:trHeight w:val="300" w:hRule="auto"/>
          <w:jc w:val="left"/>
        </w:trPr>
        <w:tc>
          <w:tcPr>
            <w:tcW w:w="18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log</w:t>
            </w:r>
            <w:r>
              <w:rPr>
                <w:rFonts w:ascii="Times New Roman" w:hAnsi="Times New Roman" w:cs="Times New Roman" w:eastAsia="Times New Roman"/>
                <w:color w:val="auto"/>
                <w:spacing w:val="0"/>
                <w:position w:val="0"/>
                <w:sz w:val="20"/>
                <w:shd w:fill="auto" w:val="clear"/>
                <w:vertAlign w:val="subscript"/>
              </w:rPr>
              <w:t xml:space="preserve">e</w:t>
            </w:r>
            <w:r>
              <w:rPr>
                <w:rFonts w:ascii="Times New Roman" w:hAnsi="Times New Roman" w:cs="Times New Roman" w:eastAsia="Times New Roman"/>
                <w:color w:val="auto"/>
                <w:spacing w:val="0"/>
                <w:position w:val="0"/>
                <w:sz w:val="20"/>
                <w:shd w:fill="auto" w:val="clear"/>
              </w:rPr>
              <w:t xml:space="preserve"> </w:t>
            </w:r>
            <w:r>
              <w:rPr>
                <w:rFonts w:ascii="Cambria Math" w:hAnsi="Cambria Math" w:cs="Cambria Math" w:eastAsia="Cambria Math"/>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LA</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t>
            </w:r>
            <w:r>
              <w:rPr>
                <w:rFonts w:ascii="Times New Roman" w:hAnsi="Times New Roman" w:cs="Times New Roman" w:eastAsia="Times New Roman"/>
                <w:b/>
                <w:color w:val="auto"/>
                <w:spacing w:val="0"/>
                <w:position w:val="0"/>
                <w:sz w:val="22"/>
                <w:shd w:fill="auto" w:val="clear"/>
              </w:rPr>
              <w:t xml:space="preserve">0.64 </w:t>
            </w:r>
          </w:p>
        </w:tc>
        <w:tc>
          <w:tcPr>
            <w:tcW w:w="102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0.32 </w:t>
            </w:r>
          </w:p>
        </w:tc>
        <w:tc>
          <w:tcPr>
            <w:tcW w:w="90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0.38</w:t>
            </w:r>
            <w:r>
              <w:rPr>
                <w:rFonts w:ascii="Times New Roman" w:hAnsi="Times New Roman" w:cs="Times New Roman" w:eastAsia="Times New Roman"/>
                <w:color w:val="auto"/>
                <w:spacing w:val="0"/>
                <w:position w:val="0"/>
                <w:sz w:val="22"/>
                <w:shd w:fill="auto" w:val="clear"/>
              </w:rPr>
              <w:t xml:space="preserve"> </w:t>
            </w:r>
          </w:p>
        </w:tc>
        <w:tc>
          <w:tcPr>
            <w:tcW w:w="904"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0.12 </w:t>
            </w:r>
          </w:p>
        </w:tc>
        <w:tc>
          <w:tcPr>
            <w:tcW w:w="99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t>
            </w:r>
            <w:r>
              <w:rPr>
                <w:rFonts w:ascii="Times New Roman" w:hAnsi="Times New Roman" w:cs="Times New Roman" w:eastAsia="Times New Roman"/>
                <w:b/>
                <w:color w:val="auto"/>
                <w:spacing w:val="0"/>
                <w:position w:val="0"/>
                <w:sz w:val="22"/>
                <w:shd w:fill="auto" w:val="clear"/>
              </w:rPr>
              <w:t xml:space="preserve">0.31 </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0.93 </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0.17 </w:t>
            </w:r>
          </w:p>
        </w:tc>
      </w:tr>
      <w:tr>
        <w:trPr>
          <w:trHeight w:val="300" w:hRule="auto"/>
          <w:jc w:val="left"/>
        </w:trPr>
        <w:tc>
          <w:tcPr>
            <w:tcW w:w="18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log</w:t>
            </w:r>
            <w:r>
              <w:rPr>
                <w:rFonts w:ascii="Times New Roman" w:hAnsi="Times New Roman" w:cs="Times New Roman" w:eastAsia="Times New Roman"/>
                <w:color w:val="auto"/>
                <w:spacing w:val="0"/>
                <w:position w:val="0"/>
                <w:sz w:val="20"/>
                <w:shd w:fill="auto" w:val="clear"/>
                <w:vertAlign w:val="subscript"/>
              </w:rPr>
              <w:t xml:space="preserve">e</w:t>
            </w:r>
            <w:r>
              <w:rPr>
                <w:rFonts w:ascii="Times New Roman" w:hAnsi="Times New Roman" w:cs="Times New Roman" w:eastAsia="Times New Roman"/>
                <w:color w:val="auto"/>
                <w:spacing w:val="0"/>
                <w:position w:val="0"/>
                <w:sz w:val="20"/>
                <w:shd w:fill="auto" w:val="clear"/>
              </w:rPr>
              <w:t xml:space="preserve"> SLA</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0.08 </w:t>
            </w:r>
          </w:p>
        </w:tc>
        <w:tc>
          <w:tcPr>
            <w:tcW w:w="102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t>
            </w:r>
            <w:r>
              <w:rPr>
                <w:rFonts w:ascii="Times New Roman" w:hAnsi="Times New Roman" w:cs="Times New Roman" w:eastAsia="Times New Roman"/>
                <w:b/>
                <w:color w:val="auto"/>
                <w:spacing w:val="0"/>
                <w:position w:val="0"/>
                <w:sz w:val="22"/>
                <w:shd w:fill="auto" w:val="clear"/>
              </w:rPr>
              <w:t xml:space="preserve">0.49</w:t>
            </w:r>
            <w:r>
              <w:rPr>
                <w:rFonts w:ascii="Times New Roman" w:hAnsi="Times New Roman" w:cs="Times New Roman" w:eastAsia="Times New Roman"/>
                <w:color w:val="auto"/>
                <w:spacing w:val="0"/>
                <w:position w:val="0"/>
                <w:sz w:val="22"/>
                <w:shd w:fill="auto" w:val="clear"/>
              </w:rPr>
              <w:t xml:space="preserve"> </w:t>
            </w:r>
          </w:p>
        </w:tc>
        <w:tc>
          <w:tcPr>
            <w:tcW w:w="90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0.16 </w:t>
            </w:r>
          </w:p>
        </w:tc>
        <w:tc>
          <w:tcPr>
            <w:tcW w:w="904"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0.24 </w:t>
            </w:r>
          </w:p>
        </w:tc>
        <w:tc>
          <w:tcPr>
            <w:tcW w:w="99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t>
            </w:r>
            <w:r>
              <w:rPr>
                <w:rFonts w:ascii="Times New Roman" w:hAnsi="Times New Roman" w:cs="Times New Roman" w:eastAsia="Times New Roman"/>
                <w:b/>
                <w:color w:val="auto"/>
                <w:spacing w:val="0"/>
                <w:position w:val="0"/>
                <w:sz w:val="22"/>
                <w:shd w:fill="auto" w:val="clear"/>
              </w:rPr>
              <w:t xml:space="preserve">0.40 </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0.04 </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0.45 </w:t>
            </w:r>
          </w:p>
        </w:tc>
      </w:tr>
      <w:tr>
        <w:trPr>
          <w:trHeight w:val="300" w:hRule="auto"/>
          <w:jc w:val="left"/>
        </w:trPr>
        <w:tc>
          <w:tcPr>
            <w:tcW w:w="18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log</w:t>
            </w:r>
            <w:r>
              <w:rPr>
                <w:rFonts w:ascii="Times New Roman" w:hAnsi="Times New Roman" w:cs="Times New Roman" w:eastAsia="Times New Roman"/>
                <w:color w:val="auto"/>
                <w:spacing w:val="0"/>
                <w:position w:val="0"/>
                <w:sz w:val="20"/>
                <w:shd w:fill="auto" w:val="clear"/>
                <w:vertAlign w:val="subscript"/>
              </w:rPr>
              <w:t xml:space="preserve">e</w:t>
            </w:r>
            <w:r>
              <w:rPr>
                <w:rFonts w:ascii="Times New Roman" w:hAnsi="Times New Roman" w:cs="Times New Roman" w:eastAsia="Times New Roman"/>
                <w:color w:val="auto"/>
                <w:spacing w:val="0"/>
                <w:position w:val="0"/>
                <w:sz w:val="20"/>
                <w:shd w:fill="auto" w:val="clear"/>
              </w:rPr>
              <w:t xml:space="preserve"> LDMC</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0.02 </w:t>
            </w:r>
          </w:p>
        </w:tc>
        <w:tc>
          <w:tcPr>
            <w:tcW w:w="102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0.22 </w:t>
            </w:r>
          </w:p>
        </w:tc>
        <w:tc>
          <w:tcPr>
            <w:tcW w:w="90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0.53</w:t>
            </w:r>
            <w:r>
              <w:rPr>
                <w:rFonts w:ascii="Times New Roman" w:hAnsi="Times New Roman" w:cs="Times New Roman" w:eastAsia="Times New Roman"/>
                <w:color w:val="auto"/>
                <w:spacing w:val="0"/>
                <w:position w:val="0"/>
                <w:sz w:val="22"/>
                <w:shd w:fill="auto" w:val="clear"/>
              </w:rPr>
              <w:t xml:space="preserve"> </w:t>
            </w:r>
          </w:p>
        </w:tc>
        <w:tc>
          <w:tcPr>
            <w:tcW w:w="904"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0.14 </w:t>
            </w:r>
          </w:p>
        </w:tc>
        <w:tc>
          <w:tcPr>
            <w:tcW w:w="99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0.23 </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0.03 </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0.26 </w:t>
            </w:r>
          </w:p>
        </w:tc>
      </w:tr>
      <w:tr>
        <w:trPr>
          <w:trHeight w:val="300" w:hRule="auto"/>
          <w:jc w:val="left"/>
        </w:trPr>
        <w:tc>
          <w:tcPr>
            <w:tcW w:w="18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log</w:t>
            </w:r>
            <w:r>
              <w:rPr>
                <w:rFonts w:ascii="Times New Roman" w:hAnsi="Times New Roman" w:cs="Times New Roman" w:eastAsia="Times New Roman"/>
                <w:color w:val="auto"/>
                <w:spacing w:val="0"/>
                <w:position w:val="0"/>
                <w:sz w:val="20"/>
                <w:shd w:fill="auto" w:val="clear"/>
                <w:vertAlign w:val="subscript"/>
              </w:rPr>
              <w:t xml:space="preserve">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N</w:t>
            </w:r>
            <w:r>
              <w:rPr>
                <w:rFonts w:ascii="Times New Roman" w:hAnsi="Times New Roman" w:cs="Times New Roman" w:eastAsia="Times New Roman"/>
                <w:color w:val="auto"/>
                <w:spacing w:val="0"/>
                <w:position w:val="0"/>
                <w:sz w:val="20"/>
                <w:shd w:fill="auto" w:val="clear"/>
                <w:vertAlign w:val="subscript"/>
              </w:rPr>
              <w:t xml:space="preserve">area</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0.00 </w:t>
            </w:r>
          </w:p>
        </w:tc>
        <w:tc>
          <w:tcPr>
            <w:tcW w:w="102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0.66</w:t>
            </w:r>
            <w:r>
              <w:rPr>
                <w:rFonts w:ascii="Times New Roman" w:hAnsi="Times New Roman" w:cs="Times New Roman" w:eastAsia="Times New Roman"/>
                <w:color w:val="auto"/>
                <w:spacing w:val="0"/>
                <w:position w:val="0"/>
                <w:sz w:val="22"/>
                <w:shd w:fill="auto" w:val="clear"/>
              </w:rPr>
              <w:t xml:space="preserve"> </w:t>
            </w:r>
          </w:p>
        </w:tc>
        <w:tc>
          <w:tcPr>
            <w:tcW w:w="90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t>
            </w:r>
            <w:r>
              <w:rPr>
                <w:rFonts w:ascii="Times New Roman" w:hAnsi="Times New Roman" w:cs="Times New Roman" w:eastAsia="Times New Roman"/>
                <w:b/>
                <w:color w:val="auto"/>
                <w:spacing w:val="0"/>
                <w:position w:val="0"/>
                <w:sz w:val="22"/>
                <w:shd w:fill="auto" w:val="clear"/>
              </w:rPr>
              <w:t xml:space="preserve">0.54</w:t>
            </w:r>
            <w:r>
              <w:rPr>
                <w:rFonts w:ascii="Times New Roman" w:hAnsi="Times New Roman" w:cs="Times New Roman" w:eastAsia="Times New Roman"/>
                <w:color w:val="auto"/>
                <w:spacing w:val="0"/>
                <w:position w:val="0"/>
                <w:sz w:val="22"/>
                <w:shd w:fill="auto" w:val="clear"/>
              </w:rPr>
              <w:t xml:space="preserve"> </w:t>
            </w:r>
          </w:p>
        </w:tc>
        <w:tc>
          <w:tcPr>
            <w:tcW w:w="904"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0.18 </w:t>
            </w:r>
          </w:p>
        </w:tc>
        <w:tc>
          <w:tcPr>
            <w:tcW w:w="99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0.43 </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0.13 </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t>
            </w:r>
            <w:r>
              <w:rPr>
                <w:rFonts w:ascii="Times New Roman" w:hAnsi="Times New Roman" w:cs="Times New Roman" w:eastAsia="Times New Roman"/>
                <w:b/>
                <w:color w:val="auto"/>
                <w:spacing w:val="0"/>
                <w:position w:val="0"/>
                <w:sz w:val="22"/>
                <w:shd w:fill="auto" w:val="clear"/>
              </w:rPr>
              <w:t xml:space="preserve">0.46 </w:t>
            </w:r>
          </w:p>
        </w:tc>
      </w:tr>
      <w:tr>
        <w:trPr>
          <w:trHeight w:val="300" w:hRule="auto"/>
          <w:jc w:val="left"/>
        </w:trPr>
        <w:tc>
          <w:tcPr>
            <w:tcW w:w="18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log</w:t>
            </w:r>
            <w:r>
              <w:rPr>
                <w:rFonts w:ascii="Times New Roman" w:hAnsi="Times New Roman" w:cs="Times New Roman" w:eastAsia="Times New Roman"/>
                <w:color w:val="auto"/>
                <w:spacing w:val="0"/>
                <w:position w:val="0"/>
                <w:sz w:val="20"/>
                <w:shd w:fill="auto" w:val="clear"/>
                <w:vertAlign w:val="subscript"/>
              </w:rPr>
              <w:t xml:space="preserve">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V</w:t>
            </w:r>
            <w:r>
              <w:rPr>
                <w:rFonts w:ascii="Times New Roman" w:hAnsi="Times New Roman" w:cs="Times New Roman" w:eastAsia="Times New Roman"/>
                <w:color w:val="auto"/>
                <w:spacing w:val="0"/>
                <w:position w:val="0"/>
                <w:sz w:val="20"/>
                <w:shd w:fill="auto" w:val="clear"/>
                <w:vertAlign w:val="subscript"/>
              </w:rPr>
              <w:t xml:space="preserve">cmax,25</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0.24 </w:t>
            </w:r>
          </w:p>
        </w:tc>
        <w:tc>
          <w:tcPr>
            <w:tcW w:w="102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0.19 </w:t>
            </w:r>
          </w:p>
        </w:tc>
        <w:tc>
          <w:tcPr>
            <w:tcW w:w="90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0.15 </w:t>
            </w:r>
          </w:p>
        </w:tc>
        <w:tc>
          <w:tcPr>
            <w:tcW w:w="904"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0.25 </w:t>
            </w:r>
          </w:p>
        </w:tc>
        <w:tc>
          <w:tcPr>
            <w:tcW w:w="99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0.41 </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0.29 </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0.59 </w:t>
            </w:r>
          </w:p>
        </w:tc>
      </w:tr>
      <w:tr>
        <w:trPr>
          <w:trHeight w:val="300" w:hRule="auto"/>
          <w:jc w:val="left"/>
        </w:trPr>
        <w:tc>
          <w:tcPr>
            <w:tcW w:w="18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log</w:t>
            </w:r>
            <w:r>
              <w:rPr>
                <w:rFonts w:ascii="Times New Roman" w:hAnsi="Times New Roman" w:cs="Times New Roman" w:eastAsia="Times New Roman"/>
                <w:color w:val="auto"/>
                <w:spacing w:val="0"/>
                <w:position w:val="0"/>
                <w:sz w:val="20"/>
                <w:shd w:fill="auto" w:val="clear"/>
                <w:vertAlign w:val="subscript"/>
              </w:rPr>
              <w:t xml:space="preserve">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J</w:t>
            </w:r>
            <w:r>
              <w:rPr>
                <w:rFonts w:ascii="Times New Roman" w:hAnsi="Times New Roman" w:cs="Times New Roman" w:eastAsia="Times New Roman"/>
                <w:color w:val="auto"/>
                <w:spacing w:val="0"/>
                <w:position w:val="0"/>
                <w:sz w:val="20"/>
                <w:shd w:fill="auto" w:val="clear"/>
                <w:vertAlign w:val="subscript"/>
              </w:rPr>
              <w:t xml:space="preserve">max,25</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0.25 </w:t>
            </w:r>
          </w:p>
        </w:tc>
        <w:tc>
          <w:tcPr>
            <w:tcW w:w="102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0.12 </w:t>
            </w:r>
          </w:p>
        </w:tc>
        <w:tc>
          <w:tcPr>
            <w:tcW w:w="90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0.27 </w:t>
            </w:r>
          </w:p>
        </w:tc>
        <w:tc>
          <w:tcPr>
            <w:tcW w:w="904"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0.24 </w:t>
            </w:r>
          </w:p>
        </w:tc>
        <w:tc>
          <w:tcPr>
            <w:tcW w:w="99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0.33 </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0.18 </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0.38 </w:t>
            </w:r>
          </w:p>
        </w:tc>
      </w:tr>
      <w:tr>
        <w:trPr>
          <w:trHeight w:val="300" w:hRule="auto"/>
          <w:jc w:val="left"/>
        </w:trPr>
        <w:tc>
          <w:tcPr>
            <w:tcW w:w="18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logit</w:t>
            </w:r>
            <w:r>
              <w:rPr>
                <w:rFonts w:ascii="Times New Roman" w:hAnsi="Times New Roman" w:cs="Times New Roman" w:eastAsia="Times New Roman"/>
                <w:i/>
                <w:color w:val="auto"/>
                <w:spacing w:val="0"/>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χ</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t>
            </w:r>
            <w:r>
              <w:rPr>
                <w:rFonts w:ascii="Times New Roman" w:hAnsi="Times New Roman" w:cs="Times New Roman" w:eastAsia="Times New Roman"/>
                <w:b/>
                <w:color w:val="auto"/>
                <w:spacing w:val="0"/>
                <w:position w:val="0"/>
                <w:sz w:val="22"/>
                <w:shd w:fill="auto" w:val="clear"/>
              </w:rPr>
              <w:t xml:space="preserve">0.68</w:t>
            </w:r>
            <w:r>
              <w:rPr>
                <w:rFonts w:ascii="Times New Roman" w:hAnsi="Times New Roman" w:cs="Times New Roman" w:eastAsia="Times New Roman"/>
                <w:color w:val="auto"/>
                <w:spacing w:val="0"/>
                <w:position w:val="0"/>
                <w:sz w:val="22"/>
                <w:shd w:fill="auto" w:val="clear"/>
              </w:rPr>
              <w:t xml:space="preserve"> </w:t>
            </w:r>
          </w:p>
        </w:tc>
        <w:tc>
          <w:tcPr>
            <w:tcW w:w="102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b/>
                <w:color w:val="auto"/>
                <w:spacing w:val="0"/>
                <w:position w:val="0"/>
                <w:sz w:val="22"/>
                <w:shd w:fill="auto" w:val="clear"/>
              </w:rPr>
              <w:t xml:space="preserve">0.34</w:t>
            </w:r>
            <w:r>
              <w:rPr>
                <w:rFonts w:ascii="Times New Roman" w:hAnsi="Times New Roman" w:cs="Times New Roman" w:eastAsia="Times New Roman"/>
                <w:color w:val="auto"/>
                <w:spacing w:val="0"/>
                <w:position w:val="0"/>
                <w:sz w:val="22"/>
                <w:shd w:fill="auto" w:val="clear"/>
              </w:rPr>
              <w:t xml:space="preserve"> </w:t>
            </w:r>
          </w:p>
        </w:tc>
        <w:tc>
          <w:tcPr>
            <w:tcW w:w="90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t>
            </w:r>
            <w:r>
              <w:rPr>
                <w:rFonts w:ascii="Times New Roman" w:hAnsi="Times New Roman" w:cs="Times New Roman" w:eastAsia="Times New Roman"/>
                <w:b/>
                <w:color w:val="auto"/>
                <w:spacing w:val="0"/>
                <w:position w:val="0"/>
                <w:sz w:val="22"/>
                <w:shd w:fill="auto" w:val="clear"/>
              </w:rPr>
              <w:t xml:space="preserve">0.41 </w:t>
            </w:r>
          </w:p>
        </w:tc>
        <w:tc>
          <w:tcPr>
            <w:tcW w:w="904"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t>
            </w:r>
            <w:r>
              <w:rPr>
                <w:rFonts w:ascii="Times New Roman" w:hAnsi="Times New Roman" w:cs="Times New Roman" w:eastAsia="Times New Roman"/>
                <w:b/>
                <w:color w:val="auto"/>
                <w:spacing w:val="0"/>
                <w:position w:val="0"/>
                <w:sz w:val="22"/>
                <w:shd w:fill="auto" w:val="clear"/>
              </w:rPr>
              <w:t xml:space="preserve">0.87 </w:t>
            </w:r>
          </w:p>
        </w:tc>
        <w:tc>
          <w:tcPr>
            <w:tcW w:w="99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0.48 </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0.05 </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0.04 </w:t>
            </w:r>
          </w:p>
        </w:tc>
      </w:tr>
      <w:tr>
        <w:trPr>
          <w:trHeight w:val="300" w:hRule="auto"/>
          <w:jc w:val="left"/>
        </w:trPr>
        <w:tc>
          <w:tcPr>
            <w:tcW w:w="18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24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Eigenvalue</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0.48 </w:t>
            </w:r>
          </w:p>
        </w:tc>
        <w:tc>
          <w:tcPr>
            <w:tcW w:w="102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0.06 </w:t>
            </w:r>
          </w:p>
        </w:tc>
        <w:tc>
          <w:tcPr>
            <w:tcW w:w="90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0.03 </w:t>
            </w:r>
          </w:p>
        </w:tc>
        <w:tc>
          <w:tcPr>
            <w:tcW w:w="904"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1.01 </w:t>
            </w:r>
          </w:p>
        </w:tc>
        <w:tc>
          <w:tcPr>
            <w:tcW w:w="99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0.50 </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0.36 </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24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0.28 </w:t>
            </w:r>
          </w:p>
        </w:tc>
      </w:tr>
      <w:tr>
        <w:trPr>
          <w:trHeight w:val="300" w:hRule="auto"/>
          <w:jc w:val="left"/>
        </w:trPr>
        <w:tc>
          <w:tcPr>
            <w:tcW w:w="18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Explained (%)</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16.61 </w:t>
            </w:r>
          </w:p>
        </w:tc>
        <w:tc>
          <w:tcPr>
            <w:tcW w:w="102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2.17 </w:t>
            </w:r>
          </w:p>
        </w:tc>
        <w:tc>
          <w:tcPr>
            <w:tcW w:w="90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0.88 </w:t>
            </w:r>
          </w:p>
        </w:tc>
        <w:tc>
          <w:tcPr>
            <w:tcW w:w="904"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34.47 </w:t>
            </w:r>
          </w:p>
        </w:tc>
        <w:tc>
          <w:tcPr>
            <w:tcW w:w="99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17.25 </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12.42 </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9.56 </w:t>
            </w:r>
          </w:p>
        </w:tc>
      </w:tr>
      <w:tr>
        <w:trPr>
          <w:trHeight w:val="300" w:hRule="auto"/>
          <w:jc w:val="left"/>
        </w:trPr>
        <w:tc>
          <w:tcPr>
            <w:tcW w:w="184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Cumulative (%)</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16.61 </w:t>
            </w:r>
          </w:p>
        </w:tc>
        <w:tc>
          <w:tcPr>
            <w:tcW w:w="1029"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18.78 </w:t>
            </w:r>
          </w:p>
        </w:tc>
        <w:tc>
          <w:tcPr>
            <w:tcW w:w="90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19.65 </w:t>
            </w:r>
          </w:p>
        </w:tc>
        <w:tc>
          <w:tcPr>
            <w:tcW w:w="904"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54.12 </w:t>
            </w:r>
          </w:p>
        </w:tc>
        <w:tc>
          <w:tcPr>
            <w:tcW w:w="993"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71.38 </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83.79 </w:t>
            </w:r>
          </w:p>
        </w:tc>
        <w:tc>
          <w:tcPr>
            <w:tcW w:w="992"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widowControl w:val="false"/>
              <w:spacing w:before="0" w:after="0" w:line="240"/>
              <w:ind w:right="0" w:left="0" w:firstLine="0"/>
              <w:jc w:val="righ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93.35 </w:t>
            </w:r>
          </w:p>
        </w:tc>
      </w:tr>
    </w:tbl>
    <w:p>
      <w:pPr>
        <w:widowControl w:val="fals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S6 Number of sites from the data sets used for the global assessment of trait-climate relationships (before and after screening). The traits are: LA: leaf area, SLA: specific leaf area, LDMC: leaf dry matter content, </w:t>
      </w:r>
      <w:r>
        <w:rPr>
          <w:rFonts w:ascii="Times New Roman" w:hAnsi="Times New Roman" w:cs="Times New Roman" w:eastAsia="Times New Roman"/>
          <w:i/>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vertAlign w:val="subscript"/>
        </w:rPr>
        <w:t xml:space="preserve">area</w:t>
      </w:r>
      <w:r>
        <w:rPr>
          <w:rFonts w:ascii="Times New Roman" w:hAnsi="Times New Roman" w:cs="Times New Roman" w:eastAsia="Times New Roman"/>
          <w:color w:val="auto"/>
          <w:spacing w:val="0"/>
          <w:position w:val="0"/>
          <w:sz w:val="24"/>
          <w:shd w:fill="auto" w:val="clear"/>
        </w:rPr>
        <w:t xml:space="preserve">: leaf nitrogen per unit area, </w:t>
      </w:r>
      <w:r>
        <w:rPr>
          <w:rFonts w:ascii="Times New Roman" w:hAnsi="Times New Roman" w:cs="Times New Roman" w:eastAsia="Times New Roman"/>
          <w:i/>
          <w:color w:val="auto"/>
          <w:spacing w:val="0"/>
          <w:position w:val="0"/>
          <w:sz w:val="24"/>
          <w:shd w:fill="auto" w:val="clear"/>
        </w:rPr>
        <w:t xml:space="preserve">V</w:t>
      </w:r>
      <w:r>
        <w:rPr>
          <w:rFonts w:ascii="Times New Roman" w:hAnsi="Times New Roman" w:cs="Times New Roman" w:eastAsia="Times New Roman"/>
          <w:color w:val="auto"/>
          <w:spacing w:val="0"/>
          <w:position w:val="0"/>
          <w:sz w:val="24"/>
          <w:shd w:fill="auto" w:val="clear"/>
          <w:vertAlign w:val="subscript"/>
        </w:rPr>
        <w:t xml:space="preserve">cmax25:</w:t>
      </w:r>
      <w:r>
        <w:rPr>
          <w:rFonts w:ascii="Times New Roman" w:hAnsi="Times New Roman" w:cs="Times New Roman" w:eastAsia="Times New Roman"/>
          <w:color w:val="auto"/>
          <w:spacing w:val="0"/>
          <w:position w:val="0"/>
          <w:sz w:val="24"/>
          <w:shd w:fill="auto" w:val="clear"/>
        </w:rPr>
        <w:t xml:space="preserve"> maximum carboxylation rate standardized to 25</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i/>
          <w:color w:val="auto"/>
          <w:spacing w:val="0"/>
          <w:position w:val="0"/>
          <w:sz w:val="24"/>
          <w:shd w:fill="auto" w:val="clear"/>
        </w:rPr>
        <w:t xml:space="preserve">J</w:t>
      </w:r>
      <w:r>
        <w:rPr>
          <w:rFonts w:ascii="Times New Roman" w:hAnsi="Times New Roman" w:cs="Times New Roman" w:eastAsia="Times New Roman"/>
          <w:color w:val="auto"/>
          <w:spacing w:val="0"/>
          <w:position w:val="0"/>
          <w:sz w:val="24"/>
          <w:shd w:fill="auto" w:val="clear"/>
          <w:vertAlign w:val="subscript"/>
        </w:rPr>
        <w:t xml:space="preserve">max25</w:t>
      </w:r>
      <w:r>
        <w:rPr>
          <w:rFonts w:ascii="Times New Roman" w:hAnsi="Times New Roman" w:cs="Times New Roman" w:eastAsia="Times New Roman"/>
          <w:color w:val="auto"/>
          <w:spacing w:val="0"/>
          <w:position w:val="0"/>
          <w:sz w:val="24"/>
          <w:shd w:fill="auto" w:val="clear"/>
        </w:rPr>
        <w:t xml:space="preserve">: maximum electron transport rate standardized to 25</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C, and </w:t>
      </w:r>
      <w:r>
        <w:rPr>
          <w:rFonts w:ascii="Times New Roman" w:hAnsi="Times New Roman" w:cs="Times New Roman" w:eastAsia="Times New Roman"/>
          <w:i/>
          <w:color w:val="auto"/>
          <w:spacing w:val="0"/>
          <w:position w:val="0"/>
          <w:sz w:val="24"/>
          <w:shd w:fill="auto" w:val="clear"/>
        </w:rPr>
        <w:t xml:space="preserve">χ</w:t>
      </w:r>
      <w:r>
        <w:rPr>
          <w:rFonts w:ascii="Times New Roman" w:hAnsi="Times New Roman" w:cs="Times New Roman" w:eastAsia="Times New Roman"/>
          <w:color w:val="auto"/>
          <w:spacing w:val="0"/>
          <w:position w:val="0"/>
          <w:sz w:val="24"/>
          <w:shd w:fill="auto" w:val="clear"/>
        </w:rPr>
        <w:t xml:space="preserve"> :the ratio of intercellular to ambient CO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concentration.</w:t>
      </w: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tbl>
      <w:tblPr/>
      <w:tblGrid>
        <w:gridCol w:w="1216"/>
        <w:gridCol w:w="2350"/>
        <w:gridCol w:w="1425"/>
        <w:gridCol w:w="729"/>
        <w:gridCol w:w="1838"/>
        <w:gridCol w:w="889"/>
      </w:tblGrid>
      <w:tr>
        <w:trPr>
          <w:trHeight w:val="300" w:hRule="auto"/>
          <w:jc w:val="left"/>
        </w:trPr>
        <w:tc>
          <w:tcPr>
            <w:tcW w:w="1216"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24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Trait</w:t>
            </w:r>
          </w:p>
        </w:tc>
        <w:tc>
          <w:tcPr>
            <w:tcW w:w="2350"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widowControl w:val="false"/>
              <w:spacing w:before="24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Data source</w:t>
            </w:r>
          </w:p>
        </w:tc>
        <w:tc>
          <w:tcPr>
            <w:tcW w:w="1425"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24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Measurements </w:t>
            </w:r>
          </w:p>
        </w:tc>
        <w:tc>
          <w:tcPr>
            <w:tcW w:w="729"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24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Sites</w:t>
            </w:r>
          </w:p>
        </w:tc>
        <w:tc>
          <w:tcPr>
            <w:tcW w:w="1838"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Measurements </w:t>
            </w:r>
          </w:p>
          <w:p>
            <w:pPr>
              <w:widowControl w:val="fals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(used)</w:t>
            </w:r>
          </w:p>
        </w:tc>
        <w:tc>
          <w:tcPr>
            <w:tcW w:w="889"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Sites (used) </w:t>
            </w:r>
          </w:p>
        </w:tc>
      </w:tr>
      <w:tr>
        <w:trPr>
          <w:trHeight w:val="300" w:hRule="auto"/>
          <w:jc w:val="left"/>
        </w:trPr>
        <w:tc>
          <w:tcPr>
            <w:tcW w:w="121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log</w:t>
            </w:r>
            <w:r>
              <w:rPr>
                <w:rFonts w:ascii="Times New Roman" w:hAnsi="Times New Roman" w:cs="Times New Roman" w:eastAsia="Times New Roman"/>
                <w:color w:val="auto"/>
                <w:spacing w:val="0"/>
                <w:position w:val="0"/>
                <w:sz w:val="20"/>
                <w:shd w:fill="auto" w:val="clear"/>
                <w:vertAlign w:val="subscript"/>
              </w:rPr>
              <w:t xml:space="preserve">e</w:t>
            </w:r>
            <w:r>
              <w:rPr>
                <w:rFonts w:ascii="Times New Roman" w:hAnsi="Times New Roman" w:cs="Times New Roman" w:eastAsia="Times New Roman"/>
                <w:color w:val="auto"/>
                <w:spacing w:val="0"/>
                <w:position w:val="0"/>
                <w:sz w:val="20"/>
                <w:shd w:fill="auto" w:val="clear"/>
              </w:rPr>
              <w:t xml:space="preserve"> </w:t>
            </w:r>
            <w:r>
              <w:rPr>
                <w:rFonts w:ascii="Cambria Math" w:hAnsi="Cambria Math" w:cs="Cambria Math" w:eastAsia="Cambria Math"/>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LA</w:t>
            </w:r>
          </w:p>
        </w:tc>
        <w:tc>
          <w:tcPr>
            <w:tcW w:w="2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Wright et al. (2017)</w:t>
            </w:r>
          </w:p>
        </w:tc>
        <w:tc>
          <w:tcPr>
            <w:tcW w:w="1425"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11215</w:t>
            </w:r>
          </w:p>
        </w:tc>
        <w:tc>
          <w:tcPr>
            <w:tcW w:w="72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664</w:t>
            </w:r>
          </w:p>
        </w:tc>
        <w:tc>
          <w:tcPr>
            <w:tcW w:w="183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5973</w:t>
            </w:r>
          </w:p>
        </w:tc>
        <w:tc>
          <w:tcPr>
            <w:tcW w:w="88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388</w:t>
            </w:r>
          </w:p>
        </w:tc>
      </w:tr>
      <w:tr>
        <w:trPr>
          <w:trHeight w:val="300" w:hRule="auto"/>
          <w:jc w:val="left"/>
        </w:trPr>
        <w:tc>
          <w:tcPr>
            <w:tcW w:w="121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log</w:t>
            </w:r>
            <w:r>
              <w:rPr>
                <w:rFonts w:ascii="Times New Roman" w:hAnsi="Times New Roman" w:cs="Times New Roman" w:eastAsia="Times New Roman"/>
                <w:color w:val="auto"/>
                <w:spacing w:val="0"/>
                <w:position w:val="0"/>
                <w:sz w:val="20"/>
                <w:shd w:fill="auto" w:val="clear"/>
                <w:vertAlign w:val="subscript"/>
              </w:rPr>
              <w:t xml:space="preserve">e</w:t>
            </w:r>
            <w:r>
              <w:rPr>
                <w:rFonts w:ascii="Times New Roman" w:hAnsi="Times New Roman" w:cs="Times New Roman" w:eastAsia="Times New Roman"/>
                <w:color w:val="auto"/>
                <w:spacing w:val="0"/>
                <w:position w:val="0"/>
                <w:sz w:val="20"/>
                <w:shd w:fill="auto" w:val="clear"/>
              </w:rPr>
              <w:t xml:space="preserve"> SLA</w:t>
            </w:r>
          </w:p>
        </w:tc>
        <w:tc>
          <w:tcPr>
            <w:tcW w:w="2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Wright et al. (2004)</w:t>
            </w:r>
          </w:p>
        </w:tc>
        <w:tc>
          <w:tcPr>
            <w:tcW w:w="1425"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2370</w:t>
            </w:r>
          </w:p>
        </w:tc>
        <w:tc>
          <w:tcPr>
            <w:tcW w:w="72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121</w:t>
            </w:r>
          </w:p>
        </w:tc>
        <w:tc>
          <w:tcPr>
            <w:tcW w:w="183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1486</w:t>
            </w:r>
          </w:p>
        </w:tc>
        <w:tc>
          <w:tcPr>
            <w:tcW w:w="88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87</w:t>
            </w:r>
          </w:p>
        </w:tc>
      </w:tr>
      <w:tr>
        <w:trPr>
          <w:trHeight w:val="300" w:hRule="auto"/>
          <w:jc w:val="left"/>
        </w:trPr>
        <w:tc>
          <w:tcPr>
            <w:tcW w:w="121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log</w:t>
            </w:r>
            <w:r>
              <w:rPr>
                <w:rFonts w:ascii="Times New Roman" w:hAnsi="Times New Roman" w:cs="Times New Roman" w:eastAsia="Times New Roman"/>
                <w:color w:val="auto"/>
                <w:spacing w:val="0"/>
                <w:position w:val="0"/>
                <w:sz w:val="20"/>
                <w:shd w:fill="auto" w:val="clear"/>
                <w:vertAlign w:val="subscript"/>
              </w:rPr>
              <w:t xml:space="preserve">e</w:t>
            </w:r>
            <w:r>
              <w:rPr>
                <w:rFonts w:ascii="Times New Roman" w:hAnsi="Times New Roman" w:cs="Times New Roman" w:eastAsia="Times New Roman"/>
                <w:color w:val="auto"/>
                <w:spacing w:val="0"/>
                <w:position w:val="0"/>
                <w:sz w:val="20"/>
                <w:shd w:fill="auto" w:val="clear"/>
              </w:rPr>
              <w:t xml:space="preserve"> LDMC</w:t>
            </w:r>
          </w:p>
        </w:tc>
        <w:tc>
          <w:tcPr>
            <w:tcW w:w="2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Wright et al. (2004)</w:t>
            </w:r>
          </w:p>
        </w:tc>
        <w:tc>
          <w:tcPr>
            <w:tcW w:w="1425"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501</w:t>
            </w:r>
          </w:p>
        </w:tc>
        <w:tc>
          <w:tcPr>
            <w:tcW w:w="72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9</w:t>
            </w:r>
          </w:p>
        </w:tc>
        <w:tc>
          <w:tcPr>
            <w:tcW w:w="183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271</w:t>
            </w:r>
          </w:p>
        </w:tc>
        <w:tc>
          <w:tcPr>
            <w:tcW w:w="88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9</w:t>
            </w:r>
          </w:p>
        </w:tc>
      </w:tr>
      <w:tr>
        <w:trPr>
          <w:trHeight w:val="300" w:hRule="auto"/>
          <w:jc w:val="left"/>
        </w:trPr>
        <w:tc>
          <w:tcPr>
            <w:tcW w:w="121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log</w:t>
            </w:r>
            <w:r>
              <w:rPr>
                <w:rFonts w:ascii="Times New Roman" w:hAnsi="Times New Roman" w:cs="Times New Roman" w:eastAsia="Times New Roman"/>
                <w:color w:val="auto"/>
                <w:spacing w:val="0"/>
                <w:position w:val="0"/>
                <w:sz w:val="20"/>
                <w:shd w:fill="auto" w:val="clear"/>
                <w:vertAlign w:val="subscript"/>
              </w:rPr>
              <w:t xml:space="preserve">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N</w:t>
            </w:r>
            <w:r>
              <w:rPr>
                <w:rFonts w:ascii="Times New Roman" w:hAnsi="Times New Roman" w:cs="Times New Roman" w:eastAsia="Times New Roman"/>
                <w:color w:val="auto"/>
                <w:spacing w:val="0"/>
                <w:position w:val="0"/>
                <w:sz w:val="20"/>
                <w:shd w:fill="auto" w:val="clear"/>
                <w:vertAlign w:val="subscript"/>
              </w:rPr>
              <w:t xml:space="preserve">area</w:t>
            </w:r>
          </w:p>
        </w:tc>
        <w:tc>
          <w:tcPr>
            <w:tcW w:w="2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Wright et al. (2004)</w:t>
            </w:r>
          </w:p>
        </w:tc>
        <w:tc>
          <w:tcPr>
            <w:tcW w:w="1425"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1975</w:t>
            </w:r>
          </w:p>
        </w:tc>
        <w:tc>
          <w:tcPr>
            <w:tcW w:w="72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113</w:t>
            </w:r>
          </w:p>
        </w:tc>
        <w:tc>
          <w:tcPr>
            <w:tcW w:w="183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1151</w:t>
            </w:r>
          </w:p>
        </w:tc>
        <w:tc>
          <w:tcPr>
            <w:tcW w:w="88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77</w:t>
            </w:r>
          </w:p>
        </w:tc>
      </w:tr>
      <w:tr>
        <w:trPr>
          <w:trHeight w:val="300" w:hRule="auto"/>
          <w:jc w:val="left"/>
        </w:trPr>
        <w:tc>
          <w:tcPr>
            <w:tcW w:w="121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log</w:t>
            </w:r>
            <w:r>
              <w:rPr>
                <w:rFonts w:ascii="Times New Roman" w:hAnsi="Times New Roman" w:cs="Times New Roman" w:eastAsia="Times New Roman"/>
                <w:color w:val="auto"/>
                <w:spacing w:val="0"/>
                <w:position w:val="0"/>
                <w:sz w:val="20"/>
                <w:shd w:fill="auto" w:val="clear"/>
                <w:vertAlign w:val="subscript"/>
              </w:rPr>
              <w:t xml:space="preserve">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V</w:t>
            </w:r>
            <w:r>
              <w:rPr>
                <w:rFonts w:ascii="Times New Roman" w:hAnsi="Times New Roman" w:cs="Times New Roman" w:eastAsia="Times New Roman"/>
                <w:color w:val="auto"/>
                <w:spacing w:val="0"/>
                <w:position w:val="0"/>
                <w:sz w:val="20"/>
                <w:shd w:fill="auto" w:val="clear"/>
                <w:vertAlign w:val="subscript"/>
              </w:rPr>
              <w:t xml:space="preserve">cmax25</w:t>
            </w:r>
          </w:p>
        </w:tc>
        <w:tc>
          <w:tcPr>
            <w:tcW w:w="2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De Kauwe et al. (2016)</w:t>
            </w:r>
          </w:p>
        </w:tc>
        <w:tc>
          <w:tcPr>
            <w:tcW w:w="1425"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1303</w:t>
            </w:r>
          </w:p>
        </w:tc>
        <w:tc>
          <w:tcPr>
            <w:tcW w:w="72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79</w:t>
            </w:r>
          </w:p>
        </w:tc>
        <w:tc>
          <w:tcPr>
            <w:tcW w:w="183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786</w:t>
            </w:r>
          </w:p>
        </w:tc>
        <w:tc>
          <w:tcPr>
            <w:tcW w:w="88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38</w:t>
            </w:r>
          </w:p>
        </w:tc>
      </w:tr>
      <w:tr>
        <w:trPr>
          <w:trHeight w:val="300" w:hRule="auto"/>
          <w:jc w:val="left"/>
        </w:trPr>
        <w:tc>
          <w:tcPr>
            <w:tcW w:w="121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log</w:t>
            </w:r>
            <w:r>
              <w:rPr>
                <w:rFonts w:ascii="Times New Roman" w:hAnsi="Times New Roman" w:cs="Times New Roman" w:eastAsia="Times New Roman"/>
                <w:color w:val="auto"/>
                <w:spacing w:val="0"/>
                <w:position w:val="0"/>
                <w:sz w:val="20"/>
                <w:shd w:fill="auto" w:val="clear"/>
                <w:vertAlign w:val="subscript"/>
              </w:rPr>
              <w:t xml:space="preserve">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J</w:t>
            </w:r>
            <w:r>
              <w:rPr>
                <w:rFonts w:ascii="Times New Roman" w:hAnsi="Times New Roman" w:cs="Times New Roman" w:eastAsia="Times New Roman"/>
                <w:color w:val="auto"/>
                <w:spacing w:val="0"/>
                <w:position w:val="0"/>
                <w:sz w:val="20"/>
                <w:shd w:fill="auto" w:val="clear"/>
                <w:vertAlign w:val="subscript"/>
              </w:rPr>
              <w:t xml:space="preserve">max25</w:t>
            </w:r>
          </w:p>
        </w:tc>
        <w:tc>
          <w:tcPr>
            <w:tcW w:w="23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De Kauwe et al. (2016)</w:t>
            </w:r>
          </w:p>
        </w:tc>
        <w:tc>
          <w:tcPr>
            <w:tcW w:w="1425"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881</w:t>
            </w:r>
          </w:p>
        </w:tc>
        <w:tc>
          <w:tcPr>
            <w:tcW w:w="72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79</w:t>
            </w:r>
          </w:p>
        </w:tc>
        <w:tc>
          <w:tcPr>
            <w:tcW w:w="183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786</w:t>
            </w:r>
          </w:p>
        </w:tc>
        <w:tc>
          <w:tcPr>
            <w:tcW w:w="88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38</w:t>
            </w:r>
          </w:p>
        </w:tc>
      </w:tr>
      <w:tr>
        <w:trPr>
          <w:trHeight w:val="315" w:hRule="auto"/>
          <w:jc w:val="left"/>
        </w:trPr>
        <w:tc>
          <w:tcPr>
            <w:tcW w:w="1216"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logit </w:t>
            </w:r>
            <w:r>
              <w:rPr>
                <w:rFonts w:ascii="Times New Roman" w:hAnsi="Times New Roman" w:cs="Times New Roman" w:eastAsia="Times New Roman"/>
                <w:i/>
                <w:color w:val="auto"/>
                <w:spacing w:val="0"/>
                <w:position w:val="0"/>
                <w:sz w:val="20"/>
                <w:shd w:fill="auto" w:val="clear"/>
              </w:rPr>
              <w:t xml:space="preserve">χ</w:t>
            </w:r>
          </w:p>
        </w:tc>
        <w:tc>
          <w:tcPr>
            <w:tcW w:w="2350"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Cornwell et al. (2017)</w:t>
            </w:r>
          </w:p>
        </w:tc>
        <w:tc>
          <w:tcPr>
            <w:tcW w:w="1425"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3921</w:t>
            </w:r>
          </w:p>
        </w:tc>
        <w:tc>
          <w:tcPr>
            <w:tcW w:w="729"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491</w:t>
            </w:r>
          </w:p>
        </w:tc>
        <w:tc>
          <w:tcPr>
            <w:tcW w:w="1838"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1946</w:t>
            </w:r>
          </w:p>
        </w:tc>
        <w:tc>
          <w:tcPr>
            <w:tcW w:w="889"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281</w:t>
            </w:r>
          </w:p>
        </w:tc>
      </w:tr>
    </w:tbl>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S7 Calibration accuracy of the predictive model of trait-climate RDA relationships for sites in China. “Woody” means tree, small trees, liana and shrubs. “Non-woody” means forbs and graminoids. All expressions are significant at </w:t>
      </w:r>
      <w:r>
        <w:rPr>
          <w:rFonts w:ascii="Times New Roman" w:hAnsi="Times New Roman" w:cs="Times New Roman" w:eastAsia="Times New Roman"/>
          <w:i/>
          <w:color w:val="auto"/>
          <w:spacing w:val="0"/>
          <w:position w:val="0"/>
          <w:sz w:val="24"/>
          <w:shd w:fill="auto" w:val="clear"/>
        </w:rPr>
        <w:t xml:space="preserve">P</w:t>
      </w:r>
      <w:r>
        <w:rPr>
          <w:rFonts w:ascii="Times New Roman" w:hAnsi="Times New Roman" w:cs="Times New Roman" w:eastAsia="Times New Roman"/>
          <w:color w:val="auto"/>
          <w:spacing w:val="0"/>
          <w:position w:val="0"/>
          <w:sz w:val="24"/>
          <w:shd w:fill="auto" w:val="clear"/>
        </w:rPr>
        <w:t xml:space="preserve"> &lt; 0.01. We give the RMSE based on the total data set, and from the cross-validation based on 5-fold resampling. NA stands for not available. The traits are: LA: leaf area, SLA: specific leaf area, LDMC: leaf dry matter content, </w:t>
      </w:r>
      <w:r>
        <w:rPr>
          <w:rFonts w:ascii="Times New Roman" w:hAnsi="Times New Roman" w:cs="Times New Roman" w:eastAsia="Times New Roman"/>
          <w:i/>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vertAlign w:val="subscript"/>
        </w:rPr>
        <w:t xml:space="preserve">area</w:t>
      </w:r>
      <w:r>
        <w:rPr>
          <w:rFonts w:ascii="Times New Roman" w:hAnsi="Times New Roman" w:cs="Times New Roman" w:eastAsia="Times New Roman"/>
          <w:color w:val="auto"/>
          <w:spacing w:val="0"/>
          <w:position w:val="0"/>
          <w:sz w:val="24"/>
          <w:shd w:fill="auto" w:val="clear"/>
        </w:rPr>
        <w:t xml:space="preserve">: leaf nitrogen per unit area, </w:t>
      </w:r>
      <w:r>
        <w:rPr>
          <w:rFonts w:ascii="Times New Roman" w:hAnsi="Times New Roman" w:cs="Times New Roman" w:eastAsia="Times New Roman"/>
          <w:i/>
          <w:color w:val="auto"/>
          <w:spacing w:val="0"/>
          <w:position w:val="0"/>
          <w:sz w:val="24"/>
          <w:shd w:fill="auto" w:val="clear"/>
        </w:rPr>
        <w:t xml:space="preserve">V</w:t>
      </w:r>
      <w:r>
        <w:rPr>
          <w:rFonts w:ascii="Times New Roman" w:hAnsi="Times New Roman" w:cs="Times New Roman" w:eastAsia="Times New Roman"/>
          <w:color w:val="auto"/>
          <w:spacing w:val="0"/>
          <w:position w:val="0"/>
          <w:sz w:val="24"/>
          <w:shd w:fill="auto" w:val="clear"/>
          <w:vertAlign w:val="subscript"/>
        </w:rPr>
        <w:t xml:space="preserve">cmax25:</w:t>
      </w:r>
      <w:r>
        <w:rPr>
          <w:rFonts w:ascii="Times New Roman" w:hAnsi="Times New Roman" w:cs="Times New Roman" w:eastAsia="Times New Roman"/>
          <w:color w:val="auto"/>
          <w:spacing w:val="0"/>
          <w:position w:val="0"/>
          <w:sz w:val="24"/>
          <w:shd w:fill="auto" w:val="clear"/>
        </w:rPr>
        <w:t xml:space="preserve"> maximum carboxylation rate standardized to 25</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C, </w:t>
      </w:r>
      <w:r>
        <w:rPr>
          <w:rFonts w:ascii="Times New Roman" w:hAnsi="Times New Roman" w:cs="Times New Roman" w:eastAsia="Times New Roman"/>
          <w:i/>
          <w:color w:val="auto"/>
          <w:spacing w:val="0"/>
          <w:position w:val="0"/>
          <w:sz w:val="24"/>
          <w:shd w:fill="auto" w:val="clear"/>
        </w:rPr>
        <w:t xml:space="preserve">J</w:t>
      </w:r>
      <w:r>
        <w:rPr>
          <w:rFonts w:ascii="Times New Roman" w:hAnsi="Times New Roman" w:cs="Times New Roman" w:eastAsia="Times New Roman"/>
          <w:color w:val="auto"/>
          <w:spacing w:val="0"/>
          <w:position w:val="0"/>
          <w:sz w:val="24"/>
          <w:shd w:fill="auto" w:val="clear"/>
          <w:vertAlign w:val="subscript"/>
        </w:rPr>
        <w:t xml:space="preserve">max25</w:t>
      </w:r>
      <w:r>
        <w:rPr>
          <w:rFonts w:ascii="Times New Roman" w:hAnsi="Times New Roman" w:cs="Times New Roman" w:eastAsia="Times New Roman"/>
          <w:color w:val="auto"/>
          <w:spacing w:val="0"/>
          <w:position w:val="0"/>
          <w:sz w:val="24"/>
          <w:shd w:fill="auto" w:val="clear"/>
        </w:rPr>
        <w:t xml:space="preserve">: maximum electron transport rate standardized to 25</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C, and </w:t>
      </w:r>
      <w:r>
        <w:rPr>
          <w:rFonts w:ascii="Times New Roman" w:hAnsi="Times New Roman" w:cs="Times New Roman" w:eastAsia="Times New Roman"/>
          <w:i/>
          <w:color w:val="auto"/>
          <w:spacing w:val="0"/>
          <w:position w:val="0"/>
          <w:sz w:val="24"/>
          <w:shd w:fill="auto" w:val="clear"/>
        </w:rPr>
        <w:t xml:space="preserve">χ</w:t>
      </w:r>
      <w:r>
        <w:rPr>
          <w:rFonts w:ascii="Times New Roman" w:hAnsi="Times New Roman" w:cs="Times New Roman" w:eastAsia="Times New Roman"/>
          <w:color w:val="auto"/>
          <w:spacing w:val="0"/>
          <w:position w:val="0"/>
          <w:sz w:val="24"/>
          <w:shd w:fill="auto" w:val="clear"/>
        </w:rPr>
        <w:t xml:space="preserve"> :the ratio of intercellular to ambient CO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concentration.</w:t>
      </w:r>
    </w:p>
    <w:p>
      <w:pPr>
        <w:widowControl w:val="fals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1417"/>
        <w:gridCol w:w="1553"/>
        <w:gridCol w:w="676"/>
        <w:gridCol w:w="577"/>
        <w:gridCol w:w="887"/>
        <w:gridCol w:w="2583"/>
      </w:tblGrid>
      <w:tr>
        <w:trPr>
          <w:trHeight w:val="481" w:hRule="auto"/>
          <w:jc w:val="center"/>
        </w:trPr>
        <w:tc>
          <w:tcPr>
            <w:tcW w:w="141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rFonts w:ascii="Calibri" w:hAnsi="Calibri" w:cs="Calibri" w:eastAsia="Calibri"/>
                <w:color w:val="auto"/>
                <w:spacing w:val="0"/>
                <w:position w:val="0"/>
                <w:sz w:val="22"/>
                <w:shd w:fill="auto" w:val="clear"/>
              </w:rPr>
            </w:pPr>
          </w:p>
        </w:tc>
        <w:tc>
          <w:tcPr>
            <w:tcW w:w="155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Trait</w:t>
            </w:r>
          </w:p>
        </w:tc>
        <w:tc>
          <w:tcPr>
            <w:tcW w:w="676"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rFonts w:ascii="Calibri" w:hAnsi="Calibri" w:cs="Calibri" w:eastAsia="Calibri"/>
                <w:color w:val="auto"/>
                <w:spacing w:val="0"/>
                <w:position w:val="0"/>
                <w:sz w:val="22"/>
                <w:shd w:fill="auto" w:val="clear"/>
              </w:rPr>
            </w:pPr>
          </w:p>
        </w:tc>
        <w:tc>
          <w:tcPr>
            <w:tcW w:w="57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n</w:t>
            </w:r>
          </w:p>
        </w:tc>
        <w:tc>
          <w:tcPr>
            <w:tcW w:w="88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RMSE</w:t>
            </w:r>
          </w:p>
        </w:tc>
        <w:tc>
          <w:tcPr>
            <w:tcW w:w="258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RMSE (cross-validation)</w:t>
            </w:r>
          </w:p>
        </w:tc>
      </w:tr>
      <w:tr>
        <w:trPr>
          <w:trHeight w:val="1" w:hRule="atLeast"/>
          <w:jc w:val="center"/>
        </w:trPr>
        <w:tc>
          <w:tcPr>
            <w:tcW w:w="1417" w:type="dxa"/>
            <w:vMerge w:val="restart"/>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All species</w:t>
            </w:r>
          </w:p>
        </w:tc>
        <w:tc>
          <w:tcPr>
            <w:tcW w:w="155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log</w:t>
            </w:r>
            <w:r>
              <w:rPr>
                <w:rFonts w:ascii="Times New Roman" w:hAnsi="Times New Roman" w:cs="Times New Roman" w:eastAsia="Times New Roman"/>
                <w:color w:val="auto"/>
                <w:spacing w:val="0"/>
                <w:position w:val="0"/>
                <w:sz w:val="24"/>
                <w:shd w:fill="auto" w:val="clear"/>
                <w:vertAlign w:val="subscript"/>
              </w:rPr>
              <w:t xml:space="preserve">e</w:t>
            </w:r>
            <w:r>
              <w:rPr>
                <w:rFonts w:ascii="Times New Roman" w:hAnsi="Times New Roman" w:cs="Times New Roman" w:eastAsia="Times New Roman"/>
                <w:color w:val="auto"/>
                <w:spacing w:val="0"/>
                <w:position w:val="0"/>
                <w:sz w:val="24"/>
                <w:shd w:fill="auto" w:val="clear"/>
              </w:rPr>
              <w:t xml:space="preserve"> </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LA</w:t>
            </w:r>
          </w:p>
        </w:tc>
        <w:tc>
          <w:tcPr>
            <w:tcW w:w="676"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0.52</w:t>
            </w:r>
          </w:p>
        </w:tc>
        <w:tc>
          <w:tcPr>
            <w:tcW w:w="57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681</w:t>
            </w:r>
          </w:p>
        </w:tc>
        <w:tc>
          <w:tcPr>
            <w:tcW w:w="88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0.78</w:t>
            </w:r>
          </w:p>
        </w:tc>
        <w:tc>
          <w:tcPr>
            <w:tcW w:w="258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0.78</w:t>
            </w:r>
          </w:p>
        </w:tc>
      </w:tr>
      <w:tr>
        <w:trPr>
          <w:trHeight w:val="1" w:hRule="atLeast"/>
          <w:jc w:val="center"/>
        </w:trPr>
        <w:tc>
          <w:tcPr>
            <w:tcW w:w="1417" w:type="dxa"/>
            <w:vMerge/>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55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log</w:t>
            </w:r>
            <w:r>
              <w:rPr>
                <w:rFonts w:ascii="Times New Roman" w:hAnsi="Times New Roman" w:cs="Times New Roman" w:eastAsia="Times New Roman"/>
                <w:color w:val="auto"/>
                <w:spacing w:val="0"/>
                <w:position w:val="0"/>
                <w:sz w:val="24"/>
                <w:shd w:fill="auto" w:val="clear"/>
                <w:vertAlign w:val="subscript"/>
              </w:rPr>
              <w:t xml:space="preserve">e</w:t>
            </w:r>
            <w:r>
              <w:rPr>
                <w:rFonts w:ascii="Times New Roman" w:hAnsi="Times New Roman" w:cs="Times New Roman" w:eastAsia="Times New Roman"/>
                <w:color w:val="auto"/>
                <w:spacing w:val="0"/>
                <w:position w:val="0"/>
                <w:sz w:val="24"/>
                <w:shd w:fill="auto" w:val="clear"/>
              </w:rPr>
              <w:t xml:space="preserve"> SLA</w:t>
            </w:r>
          </w:p>
        </w:tc>
        <w:tc>
          <w:tcPr>
            <w:tcW w:w="676"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0.16</w:t>
            </w:r>
          </w:p>
        </w:tc>
        <w:tc>
          <w:tcPr>
            <w:tcW w:w="57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681</w:t>
            </w:r>
          </w:p>
        </w:tc>
        <w:tc>
          <w:tcPr>
            <w:tcW w:w="88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0.46</w:t>
            </w:r>
          </w:p>
        </w:tc>
        <w:tc>
          <w:tcPr>
            <w:tcW w:w="258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0.46</w:t>
            </w:r>
          </w:p>
        </w:tc>
      </w:tr>
      <w:tr>
        <w:trPr>
          <w:trHeight w:val="1" w:hRule="atLeast"/>
          <w:jc w:val="center"/>
        </w:trPr>
        <w:tc>
          <w:tcPr>
            <w:tcW w:w="1417" w:type="dxa"/>
            <w:vMerge/>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55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log</w:t>
            </w:r>
            <w:r>
              <w:rPr>
                <w:rFonts w:ascii="Times New Roman" w:hAnsi="Times New Roman" w:cs="Times New Roman" w:eastAsia="Times New Roman"/>
                <w:color w:val="auto"/>
                <w:spacing w:val="0"/>
                <w:position w:val="0"/>
                <w:sz w:val="24"/>
                <w:shd w:fill="auto" w:val="clear"/>
                <w:vertAlign w:val="subscript"/>
              </w:rPr>
              <w:t xml:space="preserve">e</w:t>
            </w:r>
            <w:r>
              <w:rPr>
                <w:rFonts w:ascii="Times New Roman" w:hAnsi="Times New Roman" w:cs="Times New Roman" w:eastAsia="Times New Roman"/>
                <w:color w:val="auto"/>
                <w:spacing w:val="0"/>
                <w:position w:val="0"/>
                <w:sz w:val="24"/>
                <w:shd w:fill="auto" w:val="clear"/>
              </w:rPr>
              <w:t xml:space="preserve"> LDMC</w:t>
            </w:r>
          </w:p>
        </w:tc>
        <w:tc>
          <w:tcPr>
            <w:tcW w:w="676"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0.08</w:t>
            </w:r>
          </w:p>
        </w:tc>
        <w:tc>
          <w:tcPr>
            <w:tcW w:w="57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681</w:t>
            </w:r>
          </w:p>
        </w:tc>
        <w:tc>
          <w:tcPr>
            <w:tcW w:w="88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0.34</w:t>
            </w:r>
          </w:p>
        </w:tc>
        <w:tc>
          <w:tcPr>
            <w:tcW w:w="258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0.34</w:t>
            </w:r>
          </w:p>
        </w:tc>
      </w:tr>
      <w:tr>
        <w:trPr>
          <w:trHeight w:val="1" w:hRule="atLeast"/>
          <w:jc w:val="center"/>
        </w:trPr>
        <w:tc>
          <w:tcPr>
            <w:tcW w:w="1417" w:type="dxa"/>
            <w:vMerge/>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55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log</w:t>
            </w:r>
            <w:r>
              <w:rPr>
                <w:rFonts w:ascii="Times New Roman" w:hAnsi="Times New Roman" w:cs="Times New Roman" w:eastAsia="Times New Roman"/>
                <w:color w:val="auto"/>
                <w:spacing w:val="0"/>
                <w:position w:val="0"/>
                <w:sz w:val="24"/>
                <w:shd w:fill="auto" w:val="clear"/>
                <w:vertAlign w:val="subscript"/>
              </w:rPr>
              <w:t xml:space="preserve">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vertAlign w:val="subscript"/>
              </w:rPr>
              <w:t xml:space="preserve">area</w:t>
            </w:r>
          </w:p>
        </w:tc>
        <w:tc>
          <w:tcPr>
            <w:tcW w:w="676"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0.25</w:t>
            </w:r>
          </w:p>
        </w:tc>
        <w:tc>
          <w:tcPr>
            <w:tcW w:w="57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681</w:t>
            </w:r>
          </w:p>
        </w:tc>
        <w:tc>
          <w:tcPr>
            <w:tcW w:w="88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0.47</w:t>
            </w:r>
          </w:p>
        </w:tc>
        <w:tc>
          <w:tcPr>
            <w:tcW w:w="258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0.47</w:t>
            </w:r>
          </w:p>
        </w:tc>
      </w:tr>
      <w:tr>
        <w:trPr>
          <w:trHeight w:val="1" w:hRule="atLeast"/>
          <w:jc w:val="center"/>
        </w:trPr>
        <w:tc>
          <w:tcPr>
            <w:tcW w:w="1417" w:type="dxa"/>
            <w:vMerge/>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55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log</w:t>
            </w:r>
            <w:r>
              <w:rPr>
                <w:rFonts w:ascii="Times New Roman" w:hAnsi="Times New Roman" w:cs="Times New Roman" w:eastAsia="Times New Roman"/>
                <w:color w:val="auto"/>
                <w:spacing w:val="0"/>
                <w:position w:val="0"/>
                <w:sz w:val="24"/>
                <w:shd w:fill="auto" w:val="clear"/>
                <w:vertAlign w:val="subscript"/>
              </w:rPr>
              <w:t xml:space="preserve">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V</w:t>
            </w:r>
            <w:r>
              <w:rPr>
                <w:rFonts w:ascii="Times New Roman" w:hAnsi="Times New Roman" w:cs="Times New Roman" w:eastAsia="Times New Roman"/>
                <w:color w:val="auto"/>
                <w:spacing w:val="0"/>
                <w:position w:val="0"/>
                <w:sz w:val="24"/>
                <w:shd w:fill="auto" w:val="clear"/>
                <w:vertAlign w:val="subscript"/>
              </w:rPr>
              <w:t xml:space="preserve">cmax25</w:t>
            </w:r>
          </w:p>
        </w:tc>
        <w:tc>
          <w:tcPr>
            <w:tcW w:w="676"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0.24</w:t>
            </w:r>
          </w:p>
        </w:tc>
        <w:tc>
          <w:tcPr>
            <w:tcW w:w="57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681</w:t>
            </w:r>
          </w:p>
        </w:tc>
        <w:tc>
          <w:tcPr>
            <w:tcW w:w="88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0.47</w:t>
            </w:r>
          </w:p>
        </w:tc>
        <w:tc>
          <w:tcPr>
            <w:tcW w:w="258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0.47</w:t>
            </w:r>
          </w:p>
        </w:tc>
      </w:tr>
      <w:tr>
        <w:trPr>
          <w:trHeight w:val="1" w:hRule="atLeast"/>
          <w:jc w:val="center"/>
        </w:trPr>
        <w:tc>
          <w:tcPr>
            <w:tcW w:w="1417" w:type="dxa"/>
            <w:vMerge/>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55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log</w:t>
            </w:r>
            <w:r>
              <w:rPr>
                <w:rFonts w:ascii="Times New Roman" w:hAnsi="Times New Roman" w:cs="Times New Roman" w:eastAsia="Times New Roman"/>
                <w:color w:val="auto"/>
                <w:spacing w:val="0"/>
                <w:position w:val="0"/>
                <w:sz w:val="24"/>
                <w:shd w:fill="auto" w:val="clear"/>
                <w:vertAlign w:val="subscript"/>
              </w:rPr>
              <w:t xml:space="preserve">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J</w:t>
            </w:r>
            <w:r>
              <w:rPr>
                <w:rFonts w:ascii="Times New Roman" w:hAnsi="Times New Roman" w:cs="Times New Roman" w:eastAsia="Times New Roman"/>
                <w:color w:val="auto"/>
                <w:spacing w:val="0"/>
                <w:position w:val="0"/>
                <w:sz w:val="24"/>
                <w:shd w:fill="auto" w:val="clear"/>
                <w:vertAlign w:val="subscript"/>
              </w:rPr>
              <w:t xml:space="preserve">max25</w:t>
            </w:r>
          </w:p>
        </w:tc>
        <w:tc>
          <w:tcPr>
            <w:tcW w:w="676"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0.28</w:t>
            </w:r>
          </w:p>
        </w:tc>
        <w:tc>
          <w:tcPr>
            <w:tcW w:w="57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681</w:t>
            </w:r>
          </w:p>
        </w:tc>
        <w:tc>
          <w:tcPr>
            <w:tcW w:w="88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0.37</w:t>
            </w:r>
          </w:p>
        </w:tc>
        <w:tc>
          <w:tcPr>
            <w:tcW w:w="258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0.37</w:t>
            </w:r>
          </w:p>
        </w:tc>
      </w:tr>
      <w:tr>
        <w:trPr>
          <w:trHeight w:val="1" w:hRule="atLeast"/>
          <w:jc w:val="center"/>
        </w:trPr>
        <w:tc>
          <w:tcPr>
            <w:tcW w:w="1417" w:type="dxa"/>
            <w:vMerge/>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55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logit </w:t>
            </w:r>
            <w:r>
              <w:rPr>
                <w:rFonts w:ascii="Times New Roman" w:hAnsi="Times New Roman" w:cs="Times New Roman" w:eastAsia="Times New Roman"/>
                <w:color w:val="auto"/>
                <w:spacing w:val="0"/>
                <w:position w:val="0"/>
                <w:sz w:val="24"/>
                <w:shd w:fill="auto" w:val="clear"/>
              </w:rPr>
              <w:t xml:space="preserve">χ</w:t>
            </w:r>
          </w:p>
        </w:tc>
        <w:tc>
          <w:tcPr>
            <w:tcW w:w="676"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0.40</w:t>
            </w:r>
          </w:p>
        </w:tc>
        <w:tc>
          <w:tcPr>
            <w:tcW w:w="57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681</w:t>
            </w:r>
          </w:p>
        </w:tc>
        <w:tc>
          <w:tcPr>
            <w:tcW w:w="88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1.09</w:t>
            </w:r>
          </w:p>
        </w:tc>
        <w:tc>
          <w:tcPr>
            <w:tcW w:w="258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1.10</w:t>
            </w:r>
          </w:p>
        </w:tc>
      </w:tr>
      <w:tr>
        <w:trPr>
          <w:trHeight w:val="1" w:hRule="atLeast"/>
          <w:jc w:val="center"/>
        </w:trPr>
        <w:tc>
          <w:tcPr>
            <w:tcW w:w="1417" w:type="dxa"/>
            <w:vMerge w:val="restart"/>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woody</w:t>
            </w:r>
          </w:p>
        </w:tc>
        <w:tc>
          <w:tcPr>
            <w:tcW w:w="155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log</w:t>
            </w:r>
            <w:r>
              <w:rPr>
                <w:rFonts w:ascii="Times New Roman" w:hAnsi="Times New Roman" w:cs="Times New Roman" w:eastAsia="Times New Roman"/>
                <w:color w:val="auto"/>
                <w:spacing w:val="0"/>
                <w:position w:val="0"/>
                <w:sz w:val="24"/>
                <w:shd w:fill="auto" w:val="clear"/>
                <w:vertAlign w:val="subscript"/>
              </w:rPr>
              <w:t xml:space="preserve">e</w:t>
            </w:r>
            <w:r>
              <w:rPr>
                <w:rFonts w:ascii="Times New Roman" w:hAnsi="Times New Roman" w:cs="Times New Roman" w:eastAsia="Times New Roman"/>
                <w:color w:val="auto"/>
                <w:spacing w:val="0"/>
                <w:position w:val="0"/>
                <w:sz w:val="24"/>
                <w:shd w:fill="auto" w:val="clear"/>
              </w:rPr>
              <w:t xml:space="preserve"> </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LA</w:t>
            </w:r>
          </w:p>
        </w:tc>
        <w:tc>
          <w:tcPr>
            <w:tcW w:w="676"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0.49</w:t>
            </w:r>
          </w:p>
        </w:tc>
        <w:tc>
          <w:tcPr>
            <w:tcW w:w="57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448</w:t>
            </w:r>
          </w:p>
        </w:tc>
        <w:tc>
          <w:tcPr>
            <w:tcW w:w="88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0.73</w:t>
            </w:r>
          </w:p>
        </w:tc>
        <w:tc>
          <w:tcPr>
            <w:tcW w:w="258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NA</w:t>
            </w:r>
          </w:p>
        </w:tc>
      </w:tr>
      <w:tr>
        <w:trPr>
          <w:trHeight w:val="1" w:hRule="atLeast"/>
          <w:jc w:val="center"/>
        </w:trPr>
        <w:tc>
          <w:tcPr>
            <w:tcW w:w="1417" w:type="dxa"/>
            <w:vMerge/>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55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log</w:t>
            </w:r>
            <w:r>
              <w:rPr>
                <w:rFonts w:ascii="Times New Roman" w:hAnsi="Times New Roman" w:cs="Times New Roman" w:eastAsia="Times New Roman"/>
                <w:color w:val="auto"/>
                <w:spacing w:val="0"/>
                <w:position w:val="0"/>
                <w:sz w:val="24"/>
                <w:shd w:fill="auto" w:val="clear"/>
                <w:vertAlign w:val="subscript"/>
              </w:rPr>
              <w:t xml:space="preserve">e</w:t>
            </w:r>
            <w:r>
              <w:rPr>
                <w:rFonts w:ascii="Times New Roman" w:hAnsi="Times New Roman" w:cs="Times New Roman" w:eastAsia="Times New Roman"/>
                <w:color w:val="auto"/>
                <w:spacing w:val="0"/>
                <w:position w:val="0"/>
                <w:sz w:val="24"/>
                <w:shd w:fill="auto" w:val="clear"/>
              </w:rPr>
              <w:t xml:space="preserve"> SLA</w:t>
            </w:r>
          </w:p>
        </w:tc>
        <w:tc>
          <w:tcPr>
            <w:tcW w:w="676"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0.15</w:t>
            </w:r>
          </w:p>
        </w:tc>
        <w:tc>
          <w:tcPr>
            <w:tcW w:w="57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448</w:t>
            </w:r>
          </w:p>
        </w:tc>
        <w:tc>
          <w:tcPr>
            <w:tcW w:w="88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0.46</w:t>
            </w:r>
          </w:p>
        </w:tc>
        <w:tc>
          <w:tcPr>
            <w:tcW w:w="258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NA</w:t>
            </w:r>
          </w:p>
        </w:tc>
      </w:tr>
      <w:tr>
        <w:trPr>
          <w:trHeight w:val="1" w:hRule="atLeast"/>
          <w:jc w:val="center"/>
        </w:trPr>
        <w:tc>
          <w:tcPr>
            <w:tcW w:w="1417" w:type="dxa"/>
            <w:vMerge/>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55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log</w:t>
            </w:r>
            <w:r>
              <w:rPr>
                <w:rFonts w:ascii="Times New Roman" w:hAnsi="Times New Roman" w:cs="Times New Roman" w:eastAsia="Times New Roman"/>
                <w:color w:val="auto"/>
                <w:spacing w:val="0"/>
                <w:position w:val="0"/>
                <w:sz w:val="24"/>
                <w:shd w:fill="auto" w:val="clear"/>
                <w:vertAlign w:val="subscript"/>
              </w:rPr>
              <w:t xml:space="preserve">e</w:t>
            </w:r>
            <w:r>
              <w:rPr>
                <w:rFonts w:ascii="Times New Roman" w:hAnsi="Times New Roman" w:cs="Times New Roman" w:eastAsia="Times New Roman"/>
                <w:color w:val="auto"/>
                <w:spacing w:val="0"/>
                <w:position w:val="0"/>
                <w:sz w:val="24"/>
                <w:shd w:fill="auto" w:val="clear"/>
              </w:rPr>
              <w:t xml:space="preserve"> LDMC</w:t>
            </w:r>
          </w:p>
        </w:tc>
        <w:tc>
          <w:tcPr>
            <w:tcW w:w="676"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0.12</w:t>
            </w:r>
          </w:p>
        </w:tc>
        <w:tc>
          <w:tcPr>
            <w:tcW w:w="57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448</w:t>
            </w:r>
          </w:p>
        </w:tc>
        <w:tc>
          <w:tcPr>
            <w:tcW w:w="88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0.29</w:t>
            </w:r>
          </w:p>
        </w:tc>
        <w:tc>
          <w:tcPr>
            <w:tcW w:w="258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NA</w:t>
            </w:r>
          </w:p>
        </w:tc>
      </w:tr>
      <w:tr>
        <w:trPr>
          <w:trHeight w:val="1" w:hRule="atLeast"/>
          <w:jc w:val="center"/>
        </w:trPr>
        <w:tc>
          <w:tcPr>
            <w:tcW w:w="1417" w:type="dxa"/>
            <w:vMerge/>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55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log</w:t>
            </w:r>
            <w:r>
              <w:rPr>
                <w:rFonts w:ascii="Times New Roman" w:hAnsi="Times New Roman" w:cs="Times New Roman" w:eastAsia="Times New Roman"/>
                <w:color w:val="auto"/>
                <w:spacing w:val="0"/>
                <w:position w:val="0"/>
                <w:sz w:val="24"/>
                <w:shd w:fill="auto" w:val="clear"/>
                <w:vertAlign w:val="subscript"/>
              </w:rPr>
              <w:t xml:space="preserve">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vertAlign w:val="subscript"/>
              </w:rPr>
              <w:t xml:space="preserve">area</w:t>
            </w:r>
          </w:p>
        </w:tc>
        <w:tc>
          <w:tcPr>
            <w:tcW w:w="676"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0.23</w:t>
            </w:r>
          </w:p>
        </w:tc>
        <w:tc>
          <w:tcPr>
            <w:tcW w:w="57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448</w:t>
            </w:r>
          </w:p>
        </w:tc>
        <w:tc>
          <w:tcPr>
            <w:tcW w:w="88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0.47</w:t>
            </w:r>
          </w:p>
        </w:tc>
        <w:tc>
          <w:tcPr>
            <w:tcW w:w="258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NA</w:t>
            </w:r>
          </w:p>
        </w:tc>
      </w:tr>
      <w:tr>
        <w:trPr>
          <w:trHeight w:val="1" w:hRule="atLeast"/>
          <w:jc w:val="center"/>
        </w:trPr>
        <w:tc>
          <w:tcPr>
            <w:tcW w:w="1417" w:type="dxa"/>
            <w:vMerge/>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55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log</w:t>
            </w:r>
            <w:r>
              <w:rPr>
                <w:rFonts w:ascii="Times New Roman" w:hAnsi="Times New Roman" w:cs="Times New Roman" w:eastAsia="Times New Roman"/>
                <w:color w:val="auto"/>
                <w:spacing w:val="0"/>
                <w:position w:val="0"/>
                <w:sz w:val="24"/>
                <w:shd w:fill="auto" w:val="clear"/>
                <w:vertAlign w:val="subscript"/>
              </w:rPr>
              <w:t xml:space="preserve">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V</w:t>
            </w:r>
            <w:r>
              <w:rPr>
                <w:rFonts w:ascii="Times New Roman" w:hAnsi="Times New Roman" w:cs="Times New Roman" w:eastAsia="Times New Roman"/>
                <w:color w:val="auto"/>
                <w:spacing w:val="0"/>
                <w:position w:val="0"/>
                <w:sz w:val="24"/>
                <w:shd w:fill="auto" w:val="clear"/>
                <w:vertAlign w:val="subscript"/>
              </w:rPr>
              <w:t xml:space="preserve">cmax25</w:t>
            </w:r>
          </w:p>
        </w:tc>
        <w:tc>
          <w:tcPr>
            <w:tcW w:w="676"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0.28</w:t>
            </w:r>
          </w:p>
        </w:tc>
        <w:tc>
          <w:tcPr>
            <w:tcW w:w="57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448</w:t>
            </w:r>
          </w:p>
        </w:tc>
        <w:tc>
          <w:tcPr>
            <w:tcW w:w="88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0.45</w:t>
            </w:r>
          </w:p>
        </w:tc>
        <w:tc>
          <w:tcPr>
            <w:tcW w:w="258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NA</w:t>
            </w:r>
          </w:p>
        </w:tc>
      </w:tr>
      <w:tr>
        <w:trPr>
          <w:trHeight w:val="1" w:hRule="atLeast"/>
          <w:jc w:val="center"/>
        </w:trPr>
        <w:tc>
          <w:tcPr>
            <w:tcW w:w="1417" w:type="dxa"/>
            <w:vMerge/>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55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log</w:t>
            </w:r>
            <w:r>
              <w:rPr>
                <w:rFonts w:ascii="Times New Roman" w:hAnsi="Times New Roman" w:cs="Times New Roman" w:eastAsia="Times New Roman"/>
                <w:color w:val="auto"/>
                <w:spacing w:val="0"/>
                <w:position w:val="0"/>
                <w:sz w:val="24"/>
                <w:shd w:fill="auto" w:val="clear"/>
                <w:vertAlign w:val="subscript"/>
              </w:rPr>
              <w:t xml:space="preserve">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J</w:t>
            </w:r>
            <w:r>
              <w:rPr>
                <w:rFonts w:ascii="Times New Roman" w:hAnsi="Times New Roman" w:cs="Times New Roman" w:eastAsia="Times New Roman"/>
                <w:color w:val="auto"/>
                <w:spacing w:val="0"/>
                <w:position w:val="0"/>
                <w:sz w:val="24"/>
                <w:shd w:fill="auto" w:val="clear"/>
                <w:vertAlign w:val="subscript"/>
              </w:rPr>
              <w:t xml:space="preserve">max25</w:t>
            </w:r>
          </w:p>
        </w:tc>
        <w:tc>
          <w:tcPr>
            <w:tcW w:w="676"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0.33</w:t>
            </w:r>
          </w:p>
        </w:tc>
        <w:tc>
          <w:tcPr>
            <w:tcW w:w="57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448</w:t>
            </w:r>
          </w:p>
        </w:tc>
        <w:tc>
          <w:tcPr>
            <w:tcW w:w="88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0.37</w:t>
            </w:r>
          </w:p>
        </w:tc>
        <w:tc>
          <w:tcPr>
            <w:tcW w:w="258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NA</w:t>
            </w:r>
          </w:p>
        </w:tc>
      </w:tr>
      <w:tr>
        <w:trPr>
          <w:trHeight w:val="1" w:hRule="atLeast"/>
          <w:jc w:val="center"/>
        </w:trPr>
        <w:tc>
          <w:tcPr>
            <w:tcW w:w="1417" w:type="dxa"/>
            <w:vMerge/>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55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logit </w:t>
            </w:r>
            <w:r>
              <w:rPr>
                <w:rFonts w:ascii="Times New Roman" w:hAnsi="Times New Roman" w:cs="Times New Roman" w:eastAsia="Times New Roman"/>
                <w:color w:val="auto"/>
                <w:spacing w:val="0"/>
                <w:position w:val="0"/>
                <w:sz w:val="24"/>
                <w:shd w:fill="auto" w:val="clear"/>
              </w:rPr>
              <w:t xml:space="preserve">χ</w:t>
            </w:r>
          </w:p>
        </w:tc>
        <w:tc>
          <w:tcPr>
            <w:tcW w:w="676"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0.33</w:t>
            </w:r>
          </w:p>
        </w:tc>
        <w:tc>
          <w:tcPr>
            <w:tcW w:w="57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448</w:t>
            </w:r>
          </w:p>
        </w:tc>
        <w:tc>
          <w:tcPr>
            <w:tcW w:w="88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0.78</w:t>
            </w:r>
          </w:p>
        </w:tc>
        <w:tc>
          <w:tcPr>
            <w:tcW w:w="258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NA</w:t>
            </w:r>
          </w:p>
        </w:tc>
      </w:tr>
      <w:tr>
        <w:trPr>
          <w:trHeight w:val="1" w:hRule="atLeast"/>
          <w:jc w:val="center"/>
        </w:trPr>
        <w:tc>
          <w:tcPr>
            <w:tcW w:w="1417" w:type="dxa"/>
            <w:vMerge w:val="restart"/>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Non-woody</w:t>
            </w:r>
          </w:p>
        </w:tc>
        <w:tc>
          <w:tcPr>
            <w:tcW w:w="155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log</w:t>
            </w:r>
            <w:r>
              <w:rPr>
                <w:rFonts w:ascii="Times New Roman" w:hAnsi="Times New Roman" w:cs="Times New Roman" w:eastAsia="Times New Roman"/>
                <w:color w:val="auto"/>
                <w:spacing w:val="0"/>
                <w:position w:val="0"/>
                <w:sz w:val="24"/>
                <w:shd w:fill="auto" w:val="clear"/>
                <w:vertAlign w:val="subscript"/>
              </w:rPr>
              <w:t xml:space="preserve">e</w:t>
            </w:r>
            <w:r>
              <w:rPr>
                <w:rFonts w:ascii="Times New Roman" w:hAnsi="Times New Roman" w:cs="Times New Roman" w:eastAsia="Times New Roman"/>
                <w:color w:val="auto"/>
                <w:spacing w:val="0"/>
                <w:position w:val="0"/>
                <w:sz w:val="24"/>
                <w:shd w:fill="auto" w:val="clear"/>
              </w:rPr>
              <w:t xml:space="preserve"> </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LA</w:t>
            </w:r>
          </w:p>
        </w:tc>
        <w:tc>
          <w:tcPr>
            <w:tcW w:w="676"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0.40</w:t>
            </w:r>
          </w:p>
        </w:tc>
        <w:tc>
          <w:tcPr>
            <w:tcW w:w="57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233</w:t>
            </w:r>
          </w:p>
        </w:tc>
        <w:tc>
          <w:tcPr>
            <w:tcW w:w="88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0.86</w:t>
            </w:r>
          </w:p>
        </w:tc>
        <w:tc>
          <w:tcPr>
            <w:tcW w:w="258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NA</w:t>
            </w:r>
          </w:p>
        </w:tc>
      </w:tr>
      <w:tr>
        <w:trPr>
          <w:trHeight w:val="1" w:hRule="atLeast"/>
          <w:jc w:val="center"/>
        </w:trPr>
        <w:tc>
          <w:tcPr>
            <w:tcW w:w="1417" w:type="dxa"/>
            <w:vMerge/>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55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log</w:t>
            </w:r>
            <w:r>
              <w:rPr>
                <w:rFonts w:ascii="Times New Roman" w:hAnsi="Times New Roman" w:cs="Times New Roman" w:eastAsia="Times New Roman"/>
                <w:color w:val="auto"/>
                <w:spacing w:val="0"/>
                <w:position w:val="0"/>
                <w:sz w:val="24"/>
                <w:shd w:fill="auto" w:val="clear"/>
                <w:vertAlign w:val="subscript"/>
              </w:rPr>
              <w:t xml:space="preserve">e</w:t>
            </w:r>
            <w:r>
              <w:rPr>
                <w:rFonts w:ascii="Times New Roman" w:hAnsi="Times New Roman" w:cs="Times New Roman" w:eastAsia="Times New Roman"/>
                <w:color w:val="auto"/>
                <w:spacing w:val="0"/>
                <w:position w:val="0"/>
                <w:sz w:val="24"/>
                <w:shd w:fill="auto" w:val="clear"/>
              </w:rPr>
              <w:t xml:space="preserve"> SLA</w:t>
            </w:r>
          </w:p>
        </w:tc>
        <w:tc>
          <w:tcPr>
            <w:tcW w:w="676"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0.31</w:t>
            </w:r>
          </w:p>
        </w:tc>
        <w:tc>
          <w:tcPr>
            <w:tcW w:w="57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233</w:t>
            </w:r>
          </w:p>
        </w:tc>
        <w:tc>
          <w:tcPr>
            <w:tcW w:w="88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0.38</w:t>
            </w:r>
          </w:p>
        </w:tc>
        <w:tc>
          <w:tcPr>
            <w:tcW w:w="258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NA</w:t>
            </w:r>
          </w:p>
        </w:tc>
      </w:tr>
      <w:tr>
        <w:trPr>
          <w:trHeight w:val="1" w:hRule="atLeast"/>
          <w:jc w:val="center"/>
        </w:trPr>
        <w:tc>
          <w:tcPr>
            <w:tcW w:w="1417" w:type="dxa"/>
            <w:vMerge/>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55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log</w:t>
            </w:r>
            <w:r>
              <w:rPr>
                <w:rFonts w:ascii="Times New Roman" w:hAnsi="Times New Roman" w:cs="Times New Roman" w:eastAsia="Times New Roman"/>
                <w:color w:val="auto"/>
                <w:spacing w:val="0"/>
                <w:position w:val="0"/>
                <w:sz w:val="24"/>
                <w:shd w:fill="auto" w:val="clear"/>
                <w:vertAlign w:val="subscript"/>
              </w:rPr>
              <w:t xml:space="preserve">e</w:t>
            </w:r>
            <w:r>
              <w:rPr>
                <w:rFonts w:ascii="Times New Roman" w:hAnsi="Times New Roman" w:cs="Times New Roman" w:eastAsia="Times New Roman"/>
                <w:color w:val="auto"/>
                <w:spacing w:val="0"/>
                <w:position w:val="0"/>
                <w:sz w:val="24"/>
                <w:shd w:fill="auto" w:val="clear"/>
              </w:rPr>
              <w:t xml:space="preserve"> LDMC</w:t>
            </w:r>
          </w:p>
        </w:tc>
        <w:tc>
          <w:tcPr>
            <w:tcW w:w="676"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0.25</w:t>
            </w:r>
          </w:p>
        </w:tc>
        <w:tc>
          <w:tcPr>
            <w:tcW w:w="57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233</w:t>
            </w:r>
          </w:p>
        </w:tc>
        <w:tc>
          <w:tcPr>
            <w:tcW w:w="88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0.36</w:t>
            </w:r>
          </w:p>
        </w:tc>
        <w:tc>
          <w:tcPr>
            <w:tcW w:w="258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NA</w:t>
            </w:r>
          </w:p>
        </w:tc>
      </w:tr>
      <w:tr>
        <w:trPr>
          <w:trHeight w:val="1" w:hRule="atLeast"/>
          <w:jc w:val="center"/>
        </w:trPr>
        <w:tc>
          <w:tcPr>
            <w:tcW w:w="1417" w:type="dxa"/>
            <w:vMerge/>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55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log</w:t>
            </w:r>
            <w:r>
              <w:rPr>
                <w:rFonts w:ascii="Times New Roman" w:hAnsi="Times New Roman" w:cs="Times New Roman" w:eastAsia="Times New Roman"/>
                <w:color w:val="auto"/>
                <w:spacing w:val="0"/>
                <w:position w:val="0"/>
                <w:sz w:val="24"/>
                <w:shd w:fill="auto" w:val="clear"/>
                <w:vertAlign w:val="subscript"/>
              </w:rPr>
              <w:t xml:space="preserve">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vertAlign w:val="subscript"/>
              </w:rPr>
              <w:t xml:space="preserve">area</w:t>
            </w:r>
          </w:p>
        </w:tc>
        <w:tc>
          <w:tcPr>
            <w:tcW w:w="676"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0.42</w:t>
            </w:r>
          </w:p>
        </w:tc>
        <w:tc>
          <w:tcPr>
            <w:tcW w:w="57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233</w:t>
            </w:r>
          </w:p>
        </w:tc>
        <w:tc>
          <w:tcPr>
            <w:tcW w:w="88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0.42</w:t>
            </w:r>
          </w:p>
        </w:tc>
        <w:tc>
          <w:tcPr>
            <w:tcW w:w="258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NA</w:t>
            </w:r>
          </w:p>
        </w:tc>
      </w:tr>
      <w:tr>
        <w:trPr>
          <w:trHeight w:val="1" w:hRule="atLeast"/>
          <w:jc w:val="center"/>
        </w:trPr>
        <w:tc>
          <w:tcPr>
            <w:tcW w:w="1417" w:type="dxa"/>
            <w:vMerge/>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55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log</w:t>
            </w:r>
            <w:r>
              <w:rPr>
                <w:rFonts w:ascii="Times New Roman" w:hAnsi="Times New Roman" w:cs="Times New Roman" w:eastAsia="Times New Roman"/>
                <w:color w:val="auto"/>
                <w:spacing w:val="0"/>
                <w:position w:val="0"/>
                <w:sz w:val="24"/>
                <w:shd w:fill="auto" w:val="clear"/>
                <w:vertAlign w:val="subscript"/>
              </w:rPr>
              <w:t xml:space="preserve">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V</w:t>
            </w:r>
            <w:r>
              <w:rPr>
                <w:rFonts w:ascii="Times New Roman" w:hAnsi="Times New Roman" w:cs="Times New Roman" w:eastAsia="Times New Roman"/>
                <w:color w:val="auto"/>
                <w:spacing w:val="0"/>
                <w:position w:val="0"/>
                <w:sz w:val="24"/>
                <w:shd w:fill="auto" w:val="clear"/>
                <w:vertAlign w:val="subscript"/>
              </w:rPr>
              <w:t xml:space="preserve">cmax25</w:t>
            </w:r>
          </w:p>
        </w:tc>
        <w:tc>
          <w:tcPr>
            <w:tcW w:w="676"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0.31</w:t>
            </w:r>
          </w:p>
        </w:tc>
        <w:tc>
          <w:tcPr>
            <w:tcW w:w="57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233</w:t>
            </w:r>
          </w:p>
        </w:tc>
        <w:tc>
          <w:tcPr>
            <w:tcW w:w="88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0.45</w:t>
            </w:r>
          </w:p>
        </w:tc>
        <w:tc>
          <w:tcPr>
            <w:tcW w:w="258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NA</w:t>
            </w:r>
          </w:p>
        </w:tc>
      </w:tr>
      <w:tr>
        <w:trPr>
          <w:trHeight w:val="74" w:hRule="auto"/>
          <w:jc w:val="center"/>
        </w:trPr>
        <w:tc>
          <w:tcPr>
            <w:tcW w:w="1417" w:type="dxa"/>
            <w:vMerge/>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55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log</w:t>
            </w:r>
            <w:r>
              <w:rPr>
                <w:rFonts w:ascii="Times New Roman" w:hAnsi="Times New Roman" w:cs="Times New Roman" w:eastAsia="Times New Roman"/>
                <w:color w:val="auto"/>
                <w:spacing w:val="0"/>
                <w:position w:val="0"/>
                <w:sz w:val="24"/>
                <w:shd w:fill="auto" w:val="clear"/>
                <w:vertAlign w:val="subscript"/>
              </w:rPr>
              <w:t xml:space="preserve">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J</w:t>
            </w:r>
            <w:r>
              <w:rPr>
                <w:rFonts w:ascii="Times New Roman" w:hAnsi="Times New Roman" w:cs="Times New Roman" w:eastAsia="Times New Roman"/>
                <w:color w:val="auto"/>
                <w:spacing w:val="0"/>
                <w:position w:val="0"/>
                <w:sz w:val="24"/>
                <w:shd w:fill="auto" w:val="clear"/>
                <w:vertAlign w:val="subscript"/>
              </w:rPr>
              <w:t xml:space="preserve">max25</w:t>
            </w:r>
          </w:p>
        </w:tc>
        <w:tc>
          <w:tcPr>
            <w:tcW w:w="676"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0.29</w:t>
            </w:r>
          </w:p>
        </w:tc>
        <w:tc>
          <w:tcPr>
            <w:tcW w:w="57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233</w:t>
            </w:r>
          </w:p>
        </w:tc>
        <w:tc>
          <w:tcPr>
            <w:tcW w:w="88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0.32</w:t>
            </w:r>
          </w:p>
        </w:tc>
        <w:tc>
          <w:tcPr>
            <w:tcW w:w="258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NA</w:t>
            </w:r>
          </w:p>
        </w:tc>
      </w:tr>
      <w:tr>
        <w:trPr>
          <w:trHeight w:val="1" w:hRule="atLeast"/>
          <w:jc w:val="center"/>
        </w:trPr>
        <w:tc>
          <w:tcPr>
            <w:tcW w:w="1417" w:type="dxa"/>
            <w:vMerge/>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55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logit </w:t>
            </w:r>
            <w:r>
              <w:rPr>
                <w:rFonts w:ascii="Times New Roman" w:hAnsi="Times New Roman" w:cs="Times New Roman" w:eastAsia="Times New Roman"/>
                <w:color w:val="auto"/>
                <w:spacing w:val="0"/>
                <w:position w:val="0"/>
                <w:sz w:val="24"/>
                <w:shd w:fill="auto" w:val="clear"/>
              </w:rPr>
              <w:t xml:space="preserve">χ</w:t>
            </w:r>
          </w:p>
        </w:tc>
        <w:tc>
          <w:tcPr>
            <w:tcW w:w="676"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0.32</w:t>
            </w:r>
          </w:p>
        </w:tc>
        <w:tc>
          <w:tcPr>
            <w:tcW w:w="57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233</w:t>
            </w:r>
          </w:p>
        </w:tc>
        <w:tc>
          <w:tcPr>
            <w:tcW w:w="887"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1.44</w:t>
            </w:r>
          </w:p>
        </w:tc>
        <w:tc>
          <w:tcPr>
            <w:tcW w:w="2583"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widowControl w:val="fals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NA</w:t>
            </w:r>
          </w:p>
        </w:tc>
      </w:tr>
    </w:tbl>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keepNext w:val="true"/>
        <w:widowControl w:val="false"/>
        <w:spacing w:before="240" w:after="240" w:line="36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References</w:t>
      </w:r>
    </w:p>
    <w:p>
      <w:pPr>
        <w:widowControl w:val="false"/>
        <w:spacing w:before="0" w:after="0" w:line="360"/>
        <w:ind w:right="0" w:left="720" w:hanging="72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auto"/>
          <w:spacing w:val="0"/>
          <w:position w:val="0"/>
          <w:sz w:val="24"/>
          <w:shd w:fill="auto" w:val="clear"/>
        </w:rPr>
        <w:t xml:space="preserve">Atkin OK, Bloomfield KJ, Reich PB, Tjoelker MG, Asner GP, Bonal D, Bönisch G, Bradford M, Cernusak LA, Cosio EG et al</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2015. </w:t>
      </w:r>
      <w:r>
        <w:rPr>
          <w:rFonts w:ascii="Times New Roman" w:hAnsi="Times New Roman" w:cs="Times New Roman" w:eastAsia="Times New Roman"/>
          <w:color w:val="auto"/>
          <w:spacing w:val="0"/>
          <w:position w:val="0"/>
          <w:sz w:val="24"/>
          <w:shd w:fill="auto" w:val="clear"/>
        </w:rPr>
        <w:t xml:space="preserve">Global variability in leaf respiration in relation to climate, plant functional types and leaf traits. </w:t>
      </w:r>
      <w:r>
        <w:rPr>
          <w:rFonts w:ascii="Times New Roman" w:hAnsi="Times New Roman" w:cs="Times New Roman" w:eastAsia="Times New Roman"/>
          <w:i/>
          <w:color w:val="auto"/>
          <w:spacing w:val="0"/>
          <w:position w:val="0"/>
          <w:sz w:val="24"/>
          <w:shd w:fill="auto" w:val="clear"/>
        </w:rPr>
        <w:t xml:space="preserve">New Phytologist</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206</w:t>
      </w:r>
      <w:r>
        <w:rPr>
          <w:rFonts w:ascii="Times New Roman" w:hAnsi="Times New Roman" w:cs="Times New Roman" w:eastAsia="Times New Roman"/>
          <w:color w:val="auto"/>
          <w:spacing w:val="0"/>
          <w:position w:val="0"/>
          <w:sz w:val="24"/>
          <w:shd w:fill="auto" w:val="clear"/>
        </w:rPr>
        <w:t xml:space="preserve">: 614-636</w:t>
      </w:r>
      <w:r>
        <w:rPr>
          <w:rFonts w:ascii="Calibri" w:hAnsi="Calibri" w:cs="Calibri" w:eastAsia="Calibri"/>
          <w:color w:val="auto"/>
          <w:spacing w:val="0"/>
          <w:position w:val="0"/>
          <w:sz w:val="22"/>
          <w:shd w:fill="auto" w:val="clear"/>
        </w:rPr>
        <w:t xml:space="preserve">.</w:t>
      </w:r>
    </w:p>
    <w:p>
      <w:pPr>
        <w:widowControl w:val="false"/>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Bartlett MK, Scoffoni C, Ardy R, Zhang Y, Sun S, Cao K, Sack L. 2012. </w:t>
      </w:r>
      <w:r>
        <w:rPr>
          <w:rFonts w:ascii="Times New Roman" w:hAnsi="Times New Roman" w:cs="Times New Roman" w:eastAsia="Times New Roman"/>
          <w:color w:val="auto"/>
          <w:spacing w:val="0"/>
          <w:position w:val="0"/>
          <w:sz w:val="24"/>
          <w:shd w:fill="auto" w:val="clear"/>
        </w:rPr>
        <w:t xml:space="preserve">Rapid determination of comparative drought tolerance traits: using an osmometer to predict turgor loss point. </w:t>
      </w:r>
      <w:r>
        <w:rPr>
          <w:rFonts w:ascii="Times New Roman" w:hAnsi="Times New Roman" w:cs="Times New Roman" w:eastAsia="Times New Roman"/>
          <w:i/>
          <w:color w:val="auto"/>
          <w:spacing w:val="0"/>
          <w:position w:val="0"/>
          <w:sz w:val="24"/>
          <w:shd w:fill="auto" w:val="clear"/>
        </w:rPr>
        <w:t xml:space="preserve">Methods in Ecology and Evolution</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 880-888.</w:t>
      </w:r>
    </w:p>
    <w:p>
      <w:pPr>
        <w:widowControl w:val="false"/>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Cornwell WK, Wright I, Turner J, Maire V, Barbour M, Cernusak L, Dawson T, Ellsworth D, Farquhar G, Griffiths H et al. 2017. </w:t>
      </w:r>
      <w:r>
        <w:rPr>
          <w:rFonts w:ascii="Times New Roman" w:hAnsi="Times New Roman" w:cs="Times New Roman" w:eastAsia="Times New Roman"/>
          <w:color w:val="auto"/>
          <w:spacing w:val="0"/>
          <w:position w:val="0"/>
          <w:sz w:val="24"/>
          <w:shd w:fill="auto" w:val="clear"/>
        </w:rPr>
        <w:t xml:space="preserve">A global dataset of leaf </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13 C values. </w:t>
      </w:r>
      <w:r>
        <w:rPr>
          <w:rFonts w:ascii="Arial" w:hAnsi="Arial" w:cs="Arial" w:eastAsia="Arial"/>
          <w:color w:val="auto"/>
          <w:spacing w:val="0"/>
          <w:position w:val="0"/>
          <w:sz w:val="21"/>
          <w:shd w:fill="auto" w:val="clear"/>
        </w:rPr>
        <w:t xml:space="preserve">10.5281/zenodo.569501</w:t>
      </w:r>
    </w:p>
    <w:p>
      <w:pPr>
        <w:widowControl w:val="false"/>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De Kauwe MG, Lin YS, Wright IJ, Medlyn BE, Crous KY, Ellsworth DS, Maire V, Prentice IC, Atkin OK, Rogers A. 2016.</w:t>
      </w:r>
      <w:r>
        <w:rPr>
          <w:rFonts w:ascii="Times New Roman" w:hAnsi="Times New Roman" w:cs="Times New Roman" w:eastAsia="Times New Roman"/>
          <w:color w:val="auto"/>
          <w:spacing w:val="0"/>
          <w:position w:val="0"/>
          <w:sz w:val="24"/>
          <w:shd w:fill="auto" w:val="clear"/>
        </w:rPr>
        <w:t xml:space="preserve"> A test of the 'one-point method' for estimating maximum carboxylation capacity from field-measured, light-saturated photosynthesis. </w:t>
      </w:r>
      <w:r>
        <w:rPr>
          <w:rFonts w:ascii="Times New Roman" w:hAnsi="Times New Roman" w:cs="Times New Roman" w:eastAsia="Times New Roman"/>
          <w:i/>
          <w:color w:val="auto"/>
          <w:spacing w:val="0"/>
          <w:position w:val="0"/>
          <w:sz w:val="24"/>
          <w:shd w:fill="auto" w:val="clear"/>
        </w:rPr>
        <w:t xml:space="preserve">New Phytologist</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210</w:t>
      </w:r>
      <w:r>
        <w:rPr>
          <w:rFonts w:ascii="Times New Roman" w:hAnsi="Times New Roman" w:cs="Times New Roman" w:eastAsia="Times New Roman"/>
          <w:color w:val="auto"/>
          <w:spacing w:val="0"/>
          <w:position w:val="0"/>
          <w:sz w:val="24"/>
          <w:shd w:fill="auto" w:val="clear"/>
        </w:rPr>
        <w:t xml:space="preserve">: 1130-1144.</w:t>
      </w:r>
    </w:p>
    <w:p>
      <w:pPr>
        <w:widowControl w:val="false"/>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Dong N, Prentice IC, Evans BJ, Caddy-Retalic S, Lowe AJ, Wright IJ. 2017.</w:t>
      </w:r>
      <w:r>
        <w:rPr>
          <w:rFonts w:ascii="Times New Roman" w:hAnsi="Times New Roman" w:cs="Times New Roman" w:eastAsia="Times New Roman"/>
          <w:color w:val="auto"/>
          <w:spacing w:val="0"/>
          <w:position w:val="0"/>
          <w:sz w:val="24"/>
          <w:shd w:fill="auto" w:val="clear"/>
        </w:rPr>
        <w:t xml:space="preserve"> Leaf nitrogen from first principles: field evidence for adaptive variation with climate. </w:t>
      </w:r>
      <w:r>
        <w:rPr>
          <w:rFonts w:ascii="Times New Roman" w:hAnsi="Times New Roman" w:cs="Times New Roman" w:eastAsia="Times New Roman"/>
          <w:i/>
          <w:color w:val="auto"/>
          <w:spacing w:val="0"/>
          <w:position w:val="0"/>
          <w:sz w:val="24"/>
          <w:shd w:fill="auto" w:val="clear"/>
        </w:rPr>
        <w:t xml:space="preserve">Biogeosciences</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14</w:t>
      </w:r>
      <w:r>
        <w:rPr>
          <w:rFonts w:ascii="Times New Roman" w:hAnsi="Times New Roman" w:cs="Times New Roman" w:eastAsia="Times New Roman"/>
          <w:color w:val="auto"/>
          <w:spacing w:val="0"/>
          <w:position w:val="0"/>
          <w:sz w:val="24"/>
          <w:shd w:fill="auto" w:val="clear"/>
        </w:rPr>
        <w:t xml:space="preserve">: 481-495.</w:t>
      </w:r>
    </w:p>
    <w:p>
      <w:pPr>
        <w:widowControl w:val="false"/>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Drake JE, Power SA, Duursma RA, Medlyn BE, Aspinwall MJ, Choat B, Creek D, Eamus D, Maier C, Pfautsch S et al. 2017 </w:t>
      </w:r>
      <w:r>
        <w:rPr>
          <w:rFonts w:ascii="Times New Roman" w:hAnsi="Times New Roman" w:cs="Times New Roman" w:eastAsia="Times New Roman"/>
          <w:color w:val="auto"/>
          <w:spacing w:val="0"/>
          <w:position w:val="0"/>
          <w:sz w:val="24"/>
          <w:shd w:fill="auto" w:val="clear"/>
        </w:rPr>
        <w:t xml:space="preserve">Stomatal and non-stomatal limitations of photosynthesis for four tree species under drought: a comparison of model formulations. </w:t>
      </w:r>
      <w:r>
        <w:rPr>
          <w:rFonts w:ascii="Times New Roman" w:hAnsi="Times New Roman" w:cs="Times New Roman" w:eastAsia="Times New Roman"/>
          <w:i/>
          <w:color w:val="auto"/>
          <w:spacing w:val="0"/>
          <w:position w:val="0"/>
          <w:sz w:val="24"/>
          <w:shd w:fill="auto" w:val="clear"/>
        </w:rPr>
        <w:t xml:space="preserve">Agricultural and Forest Meteorology </w:t>
      </w:r>
      <w:r>
        <w:rPr>
          <w:rFonts w:ascii="Times New Roman" w:hAnsi="Times New Roman" w:cs="Times New Roman" w:eastAsia="Times New Roman"/>
          <w:b/>
          <w:color w:val="auto"/>
          <w:spacing w:val="0"/>
          <w:position w:val="0"/>
          <w:sz w:val="24"/>
          <w:shd w:fill="auto" w:val="clear"/>
        </w:rPr>
        <w:t xml:space="preserve">247</w:t>
      </w:r>
      <w:r>
        <w:rPr>
          <w:rFonts w:ascii="Times New Roman" w:hAnsi="Times New Roman" w:cs="Times New Roman" w:eastAsia="Times New Roman"/>
          <w:color w:val="auto"/>
          <w:spacing w:val="0"/>
          <w:position w:val="0"/>
          <w:sz w:val="24"/>
          <w:shd w:fill="auto" w:val="clear"/>
        </w:rPr>
        <w:t xml:space="preserve">: 454-466.</w:t>
      </w:r>
    </w:p>
    <w:p>
      <w:pPr>
        <w:widowControl w:val="false"/>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Farquhar G, von Caemmerer S, Berry J. 1980.</w:t>
      </w:r>
      <w:r>
        <w:rPr>
          <w:rFonts w:ascii="Times New Roman" w:hAnsi="Times New Roman" w:cs="Times New Roman" w:eastAsia="Times New Roman"/>
          <w:color w:val="auto"/>
          <w:spacing w:val="0"/>
          <w:position w:val="0"/>
          <w:sz w:val="24"/>
          <w:shd w:fill="auto" w:val="clear"/>
        </w:rPr>
        <w:t xml:space="preserve"> A biochemical model of photosynthetic CO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assimilation in leaves of C</w:t>
      </w:r>
      <w:r>
        <w:rPr>
          <w:rFonts w:ascii="Times New Roman" w:hAnsi="Times New Roman" w:cs="Times New Roman" w:eastAsia="Times New Roman"/>
          <w:color w:val="auto"/>
          <w:spacing w:val="0"/>
          <w:position w:val="0"/>
          <w:sz w:val="24"/>
          <w:shd w:fill="auto" w:val="clear"/>
          <w:vertAlign w:val="subscript"/>
        </w:rPr>
        <w:t xml:space="preserve">3</w:t>
      </w:r>
      <w:r>
        <w:rPr>
          <w:rFonts w:ascii="Times New Roman" w:hAnsi="Times New Roman" w:cs="Times New Roman" w:eastAsia="Times New Roman"/>
          <w:color w:val="auto"/>
          <w:spacing w:val="0"/>
          <w:position w:val="0"/>
          <w:sz w:val="24"/>
          <w:shd w:fill="auto" w:val="clear"/>
        </w:rPr>
        <w:t xml:space="preserve"> species. </w:t>
      </w:r>
      <w:r>
        <w:rPr>
          <w:rFonts w:ascii="Times New Roman" w:hAnsi="Times New Roman" w:cs="Times New Roman" w:eastAsia="Times New Roman"/>
          <w:i/>
          <w:color w:val="auto"/>
          <w:spacing w:val="0"/>
          <w:position w:val="0"/>
          <w:sz w:val="24"/>
          <w:shd w:fill="auto" w:val="clear"/>
        </w:rPr>
        <w:t xml:space="preserve">Planta</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149</w:t>
      </w:r>
      <w:r>
        <w:rPr>
          <w:rFonts w:ascii="Times New Roman" w:hAnsi="Times New Roman" w:cs="Times New Roman" w:eastAsia="Times New Roman"/>
          <w:color w:val="auto"/>
          <w:spacing w:val="0"/>
          <w:position w:val="0"/>
          <w:sz w:val="24"/>
          <w:shd w:fill="auto" w:val="clear"/>
        </w:rPr>
        <w:t xml:space="preserve">: 78-90.</w:t>
      </w:r>
    </w:p>
    <w:p>
      <w:pPr>
        <w:widowControl w:val="false"/>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Harrison SP, Morfopoulos C, Dani KGS, Prentice IC, Arneth A, Atwell BJ, Barkley MP, Leishman MR, Loreto F, Medlyn BE et al. 2013. </w:t>
      </w:r>
      <w:r>
        <w:rPr>
          <w:rFonts w:ascii="Times New Roman" w:hAnsi="Times New Roman" w:cs="Times New Roman" w:eastAsia="Times New Roman"/>
          <w:color w:val="auto"/>
          <w:spacing w:val="0"/>
          <w:position w:val="0"/>
          <w:sz w:val="24"/>
          <w:shd w:fill="auto" w:val="clear"/>
        </w:rPr>
        <w:t xml:space="preserve">Volatile isoprenoid emissions from plastid to planet. </w:t>
      </w:r>
      <w:r>
        <w:rPr>
          <w:rFonts w:ascii="Times New Roman" w:hAnsi="Times New Roman" w:cs="Times New Roman" w:eastAsia="Times New Roman"/>
          <w:i/>
          <w:color w:val="auto"/>
          <w:spacing w:val="0"/>
          <w:position w:val="0"/>
          <w:sz w:val="24"/>
          <w:shd w:fill="auto" w:val="clear"/>
        </w:rPr>
        <w:t xml:space="preserve">New Phytologist </w:t>
      </w:r>
      <w:r>
        <w:rPr>
          <w:rFonts w:ascii="Times New Roman" w:hAnsi="Times New Roman" w:cs="Times New Roman" w:eastAsia="Times New Roman"/>
          <w:b/>
          <w:color w:val="auto"/>
          <w:spacing w:val="0"/>
          <w:position w:val="0"/>
          <w:sz w:val="24"/>
          <w:shd w:fill="auto" w:val="clear"/>
        </w:rPr>
        <w:t xml:space="preserve">197</w:t>
      </w:r>
      <w:r>
        <w:rPr>
          <w:rFonts w:ascii="Times New Roman" w:hAnsi="Times New Roman" w:cs="Times New Roman" w:eastAsia="Times New Roman"/>
          <w:color w:val="auto"/>
          <w:spacing w:val="0"/>
          <w:position w:val="0"/>
          <w:sz w:val="24"/>
          <w:shd w:fill="auto" w:val="clear"/>
        </w:rPr>
        <w:t xml:space="preserve">: 49-57.</w:t>
      </w:r>
    </w:p>
    <w:p>
      <w:pPr>
        <w:widowControl w:val="false"/>
        <w:spacing w:before="0" w:after="0" w:line="360"/>
        <w:ind w:right="0" w:left="720" w:hanging="720"/>
        <w:jc w:val="both"/>
        <w:rPr>
          <w:rFonts w:ascii="Times New Roman" w:hAnsi="Times New Roman" w:cs="Times New Roman" w:eastAsia="Times New Roman"/>
          <w:color w:val="auto"/>
          <w:spacing w:val="0"/>
          <w:position w:val="0"/>
          <w:sz w:val="24"/>
          <w:shd w:fill="auto" w:val="clear"/>
        </w:rPr>
      </w:pPr>
    </w:p>
    <w:p>
      <w:pPr>
        <w:spacing w:before="0" w:after="0" w:line="360"/>
        <w:ind w:right="0" w:left="482" w:hanging="4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Jones HG. 2013.</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Plants and microclimate: a quantitative approach to environmental plant physiology</w:t>
      </w:r>
      <w:r>
        <w:rPr>
          <w:rFonts w:ascii="Times New Roman" w:hAnsi="Times New Roman" w:cs="Times New Roman" w:eastAsia="Times New Roman"/>
          <w:color w:val="auto"/>
          <w:spacing w:val="0"/>
          <w:position w:val="0"/>
          <w:sz w:val="24"/>
          <w:shd w:fill="auto" w:val="clear"/>
        </w:rPr>
        <w:t xml:space="preserve">. Cambridge UK: Cambridge university press.</w:t>
      </w:r>
    </w:p>
    <w:p>
      <w:pPr>
        <w:spacing w:before="0" w:after="0" w:line="360"/>
        <w:ind w:right="0" w:left="482" w:hanging="4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Jordan DN, Smith WK. 1995.</w:t>
      </w:r>
      <w:r>
        <w:rPr>
          <w:rFonts w:ascii="Times New Roman" w:hAnsi="Times New Roman" w:cs="Times New Roman" w:eastAsia="Times New Roman"/>
          <w:color w:val="auto"/>
          <w:spacing w:val="0"/>
          <w:position w:val="0"/>
          <w:sz w:val="24"/>
          <w:shd w:fill="auto" w:val="clear"/>
        </w:rPr>
        <w:t xml:space="preserve"> Radiation frost susceptibility and the association between sky exposure and leaf size. </w:t>
      </w:r>
      <w:r>
        <w:rPr>
          <w:rFonts w:ascii="Times New Roman" w:hAnsi="Times New Roman" w:cs="Times New Roman" w:eastAsia="Times New Roman"/>
          <w:i/>
          <w:color w:val="auto"/>
          <w:spacing w:val="0"/>
          <w:position w:val="0"/>
          <w:sz w:val="24"/>
          <w:shd w:fill="auto" w:val="clear"/>
        </w:rPr>
        <w:t xml:space="preserve">Oecologia</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103</w:t>
      </w:r>
      <w:r>
        <w:rPr>
          <w:rFonts w:ascii="Times New Roman" w:hAnsi="Times New Roman" w:cs="Times New Roman" w:eastAsia="Times New Roman"/>
          <w:color w:val="auto"/>
          <w:spacing w:val="0"/>
          <w:position w:val="0"/>
          <w:sz w:val="24"/>
          <w:shd w:fill="auto" w:val="clear"/>
        </w:rPr>
        <w:t xml:space="preserve">:43-48.</w:t>
      </w:r>
    </w:p>
    <w:p>
      <w:pPr>
        <w:widowControl w:val="false"/>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Niinemets Ü, Portsmuth A, Tena D, Tobias M, Matesanz S, Valladares F. 2007.</w:t>
      </w:r>
      <w:r>
        <w:rPr>
          <w:rFonts w:ascii="Times New Roman" w:hAnsi="Times New Roman" w:cs="Times New Roman" w:eastAsia="Times New Roman"/>
          <w:color w:val="auto"/>
          <w:spacing w:val="0"/>
          <w:position w:val="0"/>
          <w:sz w:val="24"/>
          <w:shd w:fill="auto" w:val="clear"/>
        </w:rPr>
        <w:t xml:space="preserve"> Do we underestimate the importance of leaf size in plant economics? Disproportional scaling of support costs within the spectrum of leaf physiognomy. </w:t>
      </w:r>
      <w:r>
        <w:rPr>
          <w:rFonts w:ascii="Times New Roman" w:hAnsi="Times New Roman" w:cs="Times New Roman" w:eastAsia="Times New Roman"/>
          <w:i/>
          <w:color w:val="auto"/>
          <w:spacing w:val="0"/>
          <w:position w:val="0"/>
          <w:sz w:val="24"/>
          <w:shd w:fill="auto" w:val="clear"/>
        </w:rPr>
        <w:t xml:space="preserve">Annals of Botany</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100</w:t>
      </w:r>
      <w:r>
        <w:rPr>
          <w:rFonts w:ascii="Times New Roman" w:hAnsi="Times New Roman" w:cs="Times New Roman" w:eastAsia="Times New Roman"/>
          <w:color w:val="auto"/>
          <w:spacing w:val="0"/>
          <w:position w:val="0"/>
          <w:sz w:val="24"/>
          <w:shd w:fill="auto" w:val="clear"/>
        </w:rPr>
        <w:t xml:space="preserve">: 283-303.</w:t>
      </w:r>
    </w:p>
    <w:p>
      <w:pPr>
        <w:spacing w:before="0" w:after="0" w:line="360"/>
        <w:ind w:right="0" w:left="482" w:hanging="48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Onoda Y, Westoby M, Adler PB, Choong AM, Clissold FJ, Cornelissen JH, Díaz S, Dominy NJ, Elgart A, Enrico L et al. 2011.</w:t>
      </w:r>
      <w:r>
        <w:rPr>
          <w:rFonts w:ascii="Times New Roman" w:hAnsi="Times New Roman" w:cs="Times New Roman" w:eastAsia="Times New Roman"/>
          <w:color w:val="auto"/>
          <w:spacing w:val="0"/>
          <w:position w:val="0"/>
          <w:sz w:val="24"/>
          <w:shd w:fill="auto" w:val="clear"/>
        </w:rPr>
        <w:t xml:space="preserve"> Global patterns of leaf mechanical properties. </w:t>
      </w:r>
      <w:r>
        <w:rPr>
          <w:rFonts w:ascii="Times New Roman" w:hAnsi="Times New Roman" w:cs="Times New Roman" w:eastAsia="Times New Roman"/>
          <w:i/>
          <w:color w:val="auto"/>
          <w:spacing w:val="0"/>
          <w:position w:val="0"/>
          <w:sz w:val="24"/>
          <w:shd w:fill="auto" w:val="clear"/>
        </w:rPr>
        <w:t xml:space="preserve">Ecology Letters</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14</w:t>
      </w:r>
      <w:r>
        <w:rPr>
          <w:rFonts w:ascii="Times New Roman" w:hAnsi="Times New Roman" w:cs="Times New Roman" w:eastAsia="Times New Roman"/>
          <w:color w:val="auto"/>
          <w:spacing w:val="0"/>
          <w:position w:val="0"/>
          <w:sz w:val="24"/>
          <w:shd w:fill="auto" w:val="clear"/>
        </w:rPr>
        <w:t xml:space="preserve">:301-312.</w:t>
      </w:r>
    </w:p>
    <w:p>
      <w:pPr>
        <w:widowControl w:val="false"/>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Poorter H, Niinemets Ü, Poorter L, Wright IJ, Villar R. 2009.</w:t>
      </w:r>
      <w:r>
        <w:rPr>
          <w:rFonts w:ascii="Times New Roman" w:hAnsi="Times New Roman" w:cs="Times New Roman" w:eastAsia="Times New Roman"/>
          <w:color w:val="auto"/>
          <w:spacing w:val="0"/>
          <w:position w:val="0"/>
          <w:sz w:val="24"/>
          <w:shd w:fill="auto" w:val="clear"/>
        </w:rPr>
        <w:t xml:space="preserve"> Causes and consequences of variation in leaf mass per area (LMA): a meta-analysis. </w:t>
      </w:r>
      <w:r>
        <w:rPr>
          <w:rFonts w:ascii="Times New Roman" w:hAnsi="Times New Roman" w:cs="Times New Roman" w:eastAsia="Times New Roman"/>
          <w:i/>
          <w:color w:val="auto"/>
          <w:spacing w:val="0"/>
          <w:position w:val="0"/>
          <w:sz w:val="24"/>
          <w:shd w:fill="auto" w:val="clear"/>
        </w:rPr>
        <w:t xml:space="preserve">New Phytologist</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182</w:t>
      </w:r>
      <w:r>
        <w:rPr>
          <w:rFonts w:ascii="Times New Roman" w:hAnsi="Times New Roman" w:cs="Times New Roman" w:eastAsia="Times New Roman"/>
          <w:color w:val="auto"/>
          <w:spacing w:val="0"/>
          <w:position w:val="0"/>
          <w:sz w:val="24"/>
          <w:shd w:fill="auto" w:val="clear"/>
        </w:rPr>
        <w:t xml:space="preserve">: 565-588.</w:t>
      </w:r>
    </w:p>
    <w:p>
      <w:pPr>
        <w:widowControl w:val="false"/>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Popma J, Bongers F, Werger MJA. 1992. </w:t>
      </w:r>
      <w:r>
        <w:rPr>
          <w:rFonts w:ascii="Times New Roman" w:hAnsi="Times New Roman" w:cs="Times New Roman" w:eastAsia="Times New Roman"/>
          <w:color w:val="auto"/>
          <w:spacing w:val="0"/>
          <w:position w:val="0"/>
          <w:sz w:val="24"/>
          <w:shd w:fill="auto" w:val="clear"/>
        </w:rPr>
        <w:t xml:space="preserve">Gap-dependence and leaf characteristics of trees in a tropical lowland rain forest in mexico. </w:t>
      </w:r>
      <w:r>
        <w:rPr>
          <w:rFonts w:ascii="Times New Roman" w:hAnsi="Times New Roman" w:cs="Times New Roman" w:eastAsia="Times New Roman"/>
          <w:i/>
          <w:color w:val="auto"/>
          <w:spacing w:val="0"/>
          <w:position w:val="0"/>
          <w:sz w:val="24"/>
          <w:shd w:fill="auto" w:val="clear"/>
        </w:rPr>
        <w:t xml:space="preserve">Oikos</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63</w:t>
      </w:r>
      <w:r>
        <w:rPr>
          <w:rFonts w:ascii="Times New Roman" w:hAnsi="Times New Roman" w:cs="Times New Roman" w:eastAsia="Times New Roman"/>
          <w:color w:val="auto"/>
          <w:spacing w:val="0"/>
          <w:position w:val="0"/>
          <w:sz w:val="24"/>
          <w:shd w:fill="auto" w:val="clear"/>
        </w:rPr>
        <w:t xml:space="preserve">: 207-214.</w:t>
      </w:r>
    </w:p>
    <w:p>
      <w:pPr>
        <w:widowControl w:val="false"/>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Prentice IC, Dong N, Gleason SM, Maire V, Wright IJ. 2014.</w:t>
      </w:r>
      <w:r>
        <w:rPr>
          <w:rFonts w:ascii="Times New Roman" w:hAnsi="Times New Roman" w:cs="Times New Roman" w:eastAsia="Times New Roman"/>
          <w:color w:val="auto"/>
          <w:spacing w:val="0"/>
          <w:position w:val="0"/>
          <w:sz w:val="24"/>
          <w:shd w:fill="auto" w:val="clear"/>
        </w:rPr>
        <w:t xml:space="preserve"> Balancing the costs of carbon gain and water transport: testing a new theoretical framework for plant functional ecology. </w:t>
      </w:r>
      <w:r>
        <w:rPr>
          <w:rFonts w:ascii="Times New Roman" w:hAnsi="Times New Roman" w:cs="Times New Roman" w:eastAsia="Times New Roman"/>
          <w:i/>
          <w:color w:val="auto"/>
          <w:spacing w:val="0"/>
          <w:position w:val="0"/>
          <w:sz w:val="24"/>
          <w:shd w:fill="auto" w:val="clear"/>
        </w:rPr>
        <w:t xml:space="preserve">Ecology Letters</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17</w:t>
      </w:r>
      <w:r>
        <w:rPr>
          <w:rFonts w:ascii="Times New Roman" w:hAnsi="Times New Roman" w:cs="Times New Roman" w:eastAsia="Times New Roman"/>
          <w:color w:val="auto"/>
          <w:spacing w:val="0"/>
          <w:position w:val="0"/>
          <w:sz w:val="24"/>
          <w:shd w:fill="auto" w:val="clear"/>
        </w:rPr>
        <w:t xml:space="preserve">: 82-91.</w:t>
      </w:r>
    </w:p>
    <w:p>
      <w:pPr>
        <w:widowControl w:val="false"/>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Prentice IC, Meng T, Wang H, Harrison SP, Ni J, Wang G. 2011.</w:t>
      </w:r>
      <w:r>
        <w:rPr>
          <w:rFonts w:ascii="Times New Roman" w:hAnsi="Times New Roman" w:cs="Times New Roman" w:eastAsia="Times New Roman"/>
          <w:color w:val="auto"/>
          <w:spacing w:val="0"/>
          <w:position w:val="0"/>
          <w:sz w:val="24"/>
          <w:shd w:fill="auto" w:val="clear"/>
        </w:rPr>
        <w:t xml:space="preserve"> Evidence of a universal scaling relationship for leaf CO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drawdown along an aridity gradient. </w:t>
      </w:r>
      <w:r>
        <w:rPr>
          <w:rFonts w:ascii="Times New Roman" w:hAnsi="Times New Roman" w:cs="Times New Roman" w:eastAsia="Times New Roman"/>
          <w:i/>
          <w:color w:val="auto"/>
          <w:spacing w:val="0"/>
          <w:position w:val="0"/>
          <w:sz w:val="24"/>
          <w:shd w:fill="auto" w:val="clear"/>
        </w:rPr>
        <w:t xml:space="preserve">New Phytologist</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190</w:t>
      </w:r>
      <w:r>
        <w:rPr>
          <w:rFonts w:ascii="Times New Roman" w:hAnsi="Times New Roman" w:cs="Times New Roman" w:eastAsia="Times New Roman"/>
          <w:color w:val="auto"/>
          <w:spacing w:val="0"/>
          <w:position w:val="0"/>
          <w:sz w:val="24"/>
          <w:shd w:fill="auto" w:val="clear"/>
        </w:rPr>
        <w:t xml:space="preserve">: 169-180.</w:t>
      </w:r>
    </w:p>
    <w:p>
      <w:pPr>
        <w:widowControl w:val="false"/>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Reich PB, Walters MB, Ellsworth DS. 1997.</w:t>
      </w:r>
      <w:r>
        <w:rPr>
          <w:rFonts w:ascii="Times New Roman" w:hAnsi="Times New Roman" w:cs="Times New Roman" w:eastAsia="Times New Roman"/>
          <w:color w:val="auto"/>
          <w:spacing w:val="0"/>
          <w:position w:val="0"/>
          <w:sz w:val="24"/>
          <w:shd w:fill="auto" w:val="clear"/>
        </w:rPr>
        <w:t xml:space="preserve"> From tropics to tundra: global convergence in plant functioning. Proceedings of the National Academy of </w:t>
      </w:r>
      <w:r>
        <w:rPr>
          <w:rFonts w:ascii="Times New Roman" w:hAnsi="Times New Roman" w:cs="Times New Roman" w:eastAsia="Times New Roman"/>
          <w:i/>
          <w:color w:val="auto"/>
          <w:spacing w:val="0"/>
          <w:position w:val="0"/>
          <w:sz w:val="24"/>
          <w:shd w:fill="auto" w:val="clear"/>
        </w:rPr>
        <w:t xml:space="preserve">Sciences</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94</w:t>
      </w:r>
      <w:r>
        <w:rPr>
          <w:rFonts w:ascii="Times New Roman" w:hAnsi="Times New Roman" w:cs="Times New Roman" w:eastAsia="Times New Roman"/>
          <w:color w:val="auto"/>
          <w:spacing w:val="0"/>
          <w:position w:val="0"/>
          <w:sz w:val="24"/>
          <w:shd w:fill="auto" w:val="clear"/>
        </w:rPr>
        <w:t xml:space="preserve">: 13730-13734.</w:t>
      </w:r>
    </w:p>
    <w:p>
      <w:pPr>
        <w:widowControl w:val="false"/>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Rogers A. 2014. </w:t>
      </w:r>
      <w:r>
        <w:rPr>
          <w:rFonts w:ascii="Times New Roman" w:hAnsi="Times New Roman" w:cs="Times New Roman" w:eastAsia="Times New Roman"/>
          <w:color w:val="auto"/>
          <w:spacing w:val="0"/>
          <w:position w:val="0"/>
          <w:sz w:val="24"/>
          <w:shd w:fill="auto" w:val="clear"/>
        </w:rPr>
        <w:t xml:space="preserve">The use and misuse of </w:t>
      </w:r>
      <w:r>
        <w:rPr>
          <w:rFonts w:ascii="Times New Roman" w:hAnsi="Times New Roman" w:cs="Times New Roman" w:eastAsia="Times New Roman"/>
          <w:i/>
          <w:color w:val="auto"/>
          <w:spacing w:val="0"/>
          <w:position w:val="0"/>
          <w:sz w:val="24"/>
          <w:shd w:fill="auto" w:val="clear"/>
        </w:rPr>
        <w:t xml:space="preserve">V</w:t>
      </w:r>
      <w:r>
        <w:rPr>
          <w:rFonts w:ascii="Times New Roman" w:hAnsi="Times New Roman" w:cs="Times New Roman" w:eastAsia="Times New Roman"/>
          <w:color w:val="auto"/>
          <w:spacing w:val="0"/>
          <w:position w:val="0"/>
          <w:sz w:val="24"/>
          <w:shd w:fill="auto" w:val="clear"/>
          <w:vertAlign w:val="subscript"/>
        </w:rPr>
        <w:t xml:space="preserve">c,max</w:t>
      </w:r>
      <w:r>
        <w:rPr>
          <w:rFonts w:ascii="Times New Roman" w:hAnsi="Times New Roman" w:cs="Times New Roman" w:eastAsia="Times New Roman"/>
          <w:color w:val="auto"/>
          <w:spacing w:val="0"/>
          <w:position w:val="0"/>
          <w:sz w:val="24"/>
          <w:shd w:fill="auto" w:val="clear"/>
        </w:rPr>
        <w:t xml:space="preserve"> in Earth System Models. </w:t>
      </w:r>
      <w:r>
        <w:rPr>
          <w:rFonts w:ascii="Times New Roman" w:hAnsi="Times New Roman" w:cs="Times New Roman" w:eastAsia="Times New Roman"/>
          <w:i/>
          <w:color w:val="auto"/>
          <w:spacing w:val="0"/>
          <w:position w:val="0"/>
          <w:sz w:val="24"/>
          <w:shd w:fill="auto" w:val="clear"/>
        </w:rPr>
        <w:t xml:space="preserve">Photosynthesis Research</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119</w:t>
      </w:r>
      <w:r>
        <w:rPr>
          <w:rFonts w:ascii="Times New Roman" w:hAnsi="Times New Roman" w:cs="Times New Roman" w:eastAsia="Times New Roman"/>
          <w:color w:val="auto"/>
          <w:spacing w:val="0"/>
          <w:position w:val="0"/>
          <w:sz w:val="24"/>
          <w:shd w:fill="auto" w:val="clear"/>
        </w:rPr>
        <w:t xml:space="preserve">: 15-29.</w:t>
      </w:r>
    </w:p>
    <w:p>
      <w:pPr>
        <w:widowControl w:val="false"/>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Stocker BD, Prentice IC, Cornell SE, Davies</w:t>
      </w:r>
      <w:r>
        <w:rPr>
          <w:rFonts w:ascii="宋体" w:hAnsi="宋体" w:cs="宋体" w:eastAsia="宋体"/>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Barnard T, Finzi AC, Franklin O, Janssens I, Larmola T, Manzoni S, Näsholm S et al. 2016.</w:t>
      </w:r>
      <w:r>
        <w:rPr>
          <w:rFonts w:ascii="Times New Roman" w:hAnsi="Times New Roman" w:cs="Times New Roman" w:eastAsia="Times New Roman"/>
          <w:color w:val="auto"/>
          <w:spacing w:val="0"/>
          <w:position w:val="0"/>
          <w:sz w:val="24"/>
          <w:shd w:fill="auto" w:val="clear"/>
        </w:rPr>
        <w:t xml:space="preserve"> Terrestrial nitrogen cycling in Earth system models revisited. </w:t>
      </w:r>
      <w:r>
        <w:rPr>
          <w:rFonts w:ascii="Times New Roman" w:hAnsi="Times New Roman" w:cs="Times New Roman" w:eastAsia="Times New Roman"/>
          <w:i/>
          <w:color w:val="auto"/>
          <w:spacing w:val="0"/>
          <w:position w:val="0"/>
          <w:sz w:val="24"/>
          <w:shd w:fill="auto" w:val="clear"/>
        </w:rPr>
        <w:t xml:space="preserve">New Phytologist </w:t>
      </w:r>
      <w:r>
        <w:rPr>
          <w:rFonts w:ascii="Times New Roman" w:hAnsi="Times New Roman" w:cs="Times New Roman" w:eastAsia="Times New Roman"/>
          <w:b/>
          <w:color w:val="auto"/>
          <w:spacing w:val="0"/>
          <w:position w:val="0"/>
          <w:sz w:val="24"/>
          <w:shd w:fill="auto" w:val="clear"/>
        </w:rPr>
        <w:t xml:space="preserve">210</w:t>
      </w:r>
      <w:r>
        <w:rPr>
          <w:rFonts w:ascii="Times New Roman" w:hAnsi="Times New Roman" w:cs="Times New Roman" w:eastAsia="Times New Roman"/>
          <w:color w:val="auto"/>
          <w:spacing w:val="0"/>
          <w:position w:val="0"/>
          <w:sz w:val="24"/>
          <w:shd w:fill="auto" w:val="clear"/>
        </w:rPr>
        <w:t xml:space="preserve">: 1165-1168.</w:t>
      </w:r>
    </w:p>
    <w:p>
      <w:pPr>
        <w:widowControl w:val="false"/>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Wang H, Prentice IC, Cornwell WK, Keenan TF, Davis TW, Wright IJ, Evans BJ, Peng C. 2017a.</w:t>
      </w:r>
      <w:r>
        <w:rPr>
          <w:rFonts w:ascii="Times New Roman" w:hAnsi="Times New Roman" w:cs="Times New Roman" w:eastAsia="Times New Roman"/>
          <w:color w:val="auto"/>
          <w:spacing w:val="0"/>
          <w:position w:val="0"/>
          <w:sz w:val="24"/>
          <w:shd w:fill="auto" w:val="clear"/>
        </w:rPr>
        <w:t xml:space="preserve"> Towards a universal model for carbon dioxide uptake by plants. </w:t>
      </w:r>
      <w:r>
        <w:rPr>
          <w:rFonts w:ascii="Times New Roman" w:hAnsi="Times New Roman" w:cs="Times New Roman" w:eastAsia="Times New Roman"/>
          <w:i/>
          <w:color w:val="auto"/>
          <w:spacing w:val="0"/>
          <w:position w:val="0"/>
          <w:sz w:val="24"/>
          <w:shd w:fill="auto" w:val="clear"/>
        </w:rPr>
        <w:t xml:space="preserve">Nature Plants </w:t>
      </w:r>
      <w:r>
        <w:rPr>
          <w:rFonts w:ascii="Times New Roman" w:hAnsi="Times New Roman" w:cs="Times New Roman" w:eastAsia="Times New Roman"/>
          <w:b/>
          <w:color w:val="auto"/>
          <w:spacing w:val="0"/>
          <w:position w:val="0"/>
          <w:sz w:val="24"/>
          <w:shd w:fill="FFFFFF" w:val="clear"/>
        </w:rPr>
        <w:t xml:space="preserve">3</w:t>
      </w:r>
      <w:r>
        <w:rPr>
          <w:rFonts w:ascii="Times New Roman" w:hAnsi="Times New Roman" w:cs="Times New Roman" w:eastAsia="Times New Roman"/>
          <w:color w:val="auto"/>
          <w:spacing w:val="0"/>
          <w:position w:val="0"/>
          <w:sz w:val="24"/>
          <w:shd w:fill="FFFFFF" w:val="clear"/>
        </w:rPr>
        <w:t xml:space="preserve">: 734-741</w:t>
      </w:r>
      <w:r>
        <w:rPr>
          <w:rFonts w:ascii="Times New Roman" w:hAnsi="Times New Roman" w:cs="Times New Roman" w:eastAsia="Times New Roman"/>
          <w:color w:val="auto"/>
          <w:spacing w:val="0"/>
          <w:position w:val="0"/>
          <w:sz w:val="24"/>
          <w:shd w:fill="auto" w:val="clear"/>
        </w:rPr>
        <w:t xml:space="preserve">.</w:t>
      </w:r>
    </w:p>
    <w:p>
      <w:pPr>
        <w:widowControl w:val="false"/>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Wang H, Prentice IC, Davis TW, Keenan TF, Wright IJ, Peng C. 2017b.</w:t>
      </w:r>
      <w:r>
        <w:rPr>
          <w:rFonts w:ascii="Times New Roman" w:hAnsi="Times New Roman" w:cs="Times New Roman" w:eastAsia="Times New Roman"/>
          <w:color w:val="auto"/>
          <w:spacing w:val="0"/>
          <w:position w:val="0"/>
          <w:sz w:val="24"/>
          <w:shd w:fill="auto" w:val="clear"/>
        </w:rPr>
        <w:t xml:space="preserve"> Photosynthetic responses to altitude: an explanation based on optimality principles. </w:t>
      </w:r>
      <w:r>
        <w:rPr>
          <w:rFonts w:ascii="Times New Roman" w:hAnsi="Times New Roman" w:cs="Times New Roman" w:eastAsia="Times New Roman"/>
          <w:i/>
          <w:color w:val="auto"/>
          <w:spacing w:val="0"/>
          <w:position w:val="0"/>
          <w:sz w:val="24"/>
          <w:shd w:fill="auto" w:val="clear"/>
        </w:rPr>
        <w:t xml:space="preserve">New Phytologist</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213</w:t>
      </w:r>
      <w:r>
        <w:rPr>
          <w:rFonts w:ascii="Times New Roman" w:hAnsi="Times New Roman" w:cs="Times New Roman" w:eastAsia="Times New Roman"/>
          <w:color w:val="auto"/>
          <w:spacing w:val="0"/>
          <w:position w:val="0"/>
          <w:sz w:val="24"/>
          <w:shd w:fill="auto" w:val="clear"/>
        </w:rPr>
        <w:t xml:space="preserve">: 976-982.</w:t>
      </w:r>
    </w:p>
    <w:p>
      <w:pPr>
        <w:widowControl w:val="false"/>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Werger MJA, Hirose T. 1991. </w:t>
      </w:r>
      <w:r>
        <w:rPr>
          <w:rFonts w:ascii="Times New Roman" w:hAnsi="Times New Roman" w:cs="Times New Roman" w:eastAsia="Times New Roman"/>
          <w:color w:val="auto"/>
          <w:spacing w:val="0"/>
          <w:position w:val="0"/>
          <w:sz w:val="24"/>
          <w:shd w:fill="auto" w:val="clear"/>
        </w:rPr>
        <w:t xml:space="preserve">Leaf nitrogen distribution and whole canopy photosynthetic carbon gain in herbaceous stands. </w:t>
      </w:r>
      <w:r>
        <w:rPr>
          <w:rFonts w:ascii="Times New Roman" w:hAnsi="Times New Roman" w:cs="Times New Roman" w:eastAsia="Times New Roman"/>
          <w:i/>
          <w:color w:val="auto"/>
          <w:spacing w:val="0"/>
          <w:position w:val="0"/>
          <w:sz w:val="24"/>
          <w:shd w:fill="auto" w:val="clear"/>
        </w:rPr>
        <w:t xml:space="preserve">Vegetatio</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97</w:t>
      </w:r>
      <w:r>
        <w:rPr>
          <w:rFonts w:ascii="Times New Roman" w:hAnsi="Times New Roman" w:cs="Times New Roman" w:eastAsia="Times New Roman"/>
          <w:color w:val="auto"/>
          <w:spacing w:val="0"/>
          <w:position w:val="0"/>
          <w:sz w:val="24"/>
          <w:shd w:fill="auto" w:val="clear"/>
        </w:rPr>
        <w:t xml:space="preserve">: 11-20.</w:t>
      </w:r>
    </w:p>
    <w:p>
      <w:pPr>
        <w:widowControl w:val="false"/>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Wright IJ, Falster DS, Pickup M, Westoby M. 2006.</w:t>
      </w:r>
      <w:r>
        <w:rPr>
          <w:rFonts w:ascii="Times New Roman" w:hAnsi="Times New Roman" w:cs="Times New Roman" w:eastAsia="Times New Roman"/>
          <w:color w:val="auto"/>
          <w:spacing w:val="0"/>
          <w:position w:val="0"/>
          <w:sz w:val="24"/>
          <w:shd w:fill="auto" w:val="clear"/>
        </w:rPr>
        <w:t xml:space="preserve"> Cross</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species patterns in the coordination between leaf and stem traits, and their implications for plant hydraulics. </w:t>
      </w:r>
      <w:r>
        <w:rPr>
          <w:rFonts w:ascii="Times New Roman" w:hAnsi="Times New Roman" w:cs="Times New Roman" w:eastAsia="Times New Roman"/>
          <w:i/>
          <w:color w:val="auto"/>
          <w:spacing w:val="0"/>
          <w:position w:val="0"/>
          <w:sz w:val="24"/>
          <w:shd w:fill="auto" w:val="clear"/>
        </w:rPr>
        <w:t xml:space="preserve">Physiologia Plantarum</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127</w:t>
      </w:r>
      <w:r>
        <w:rPr>
          <w:rFonts w:ascii="Times New Roman" w:hAnsi="Times New Roman" w:cs="Times New Roman" w:eastAsia="Times New Roman"/>
          <w:color w:val="auto"/>
          <w:spacing w:val="0"/>
          <w:position w:val="0"/>
          <w:sz w:val="24"/>
          <w:shd w:fill="auto" w:val="clear"/>
        </w:rPr>
        <w:t xml:space="preserve">:445-456.</w:t>
      </w:r>
    </w:p>
    <w:p>
      <w:pPr>
        <w:widowControl w:val="false"/>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Wright IJ, Reich PB, Westoby M, Ackerly DD, Baruch Z, Bongers F, Cavender-Bares J, Chapin T, Cornelissen JH, Diemer M et al. 2004.</w:t>
      </w:r>
      <w:r>
        <w:rPr>
          <w:rFonts w:ascii="Times New Roman" w:hAnsi="Times New Roman" w:cs="Times New Roman" w:eastAsia="Times New Roman"/>
          <w:color w:val="auto"/>
          <w:spacing w:val="0"/>
          <w:position w:val="0"/>
          <w:sz w:val="24"/>
          <w:shd w:fill="auto" w:val="clear"/>
        </w:rPr>
        <w:t xml:space="preserve"> The worldwide leaf economics spectrum. </w:t>
      </w:r>
      <w:r>
        <w:rPr>
          <w:rFonts w:ascii="Times New Roman" w:hAnsi="Times New Roman" w:cs="Times New Roman" w:eastAsia="Times New Roman"/>
          <w:i/>
          <w:color w:val="auto"/>
          <w:spacing w:val="0"/>
          <w:position w:val="0"/>
          <w:sz w:val="24"/>
          <w:shd w:fill="auto" w:val="clear"/>
        </w:rPr>
        <w:t xml:space="preserve">Nature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428</w:t>
      </w:r>
      <w:r>
        <w:rPr>
          <w:rFonts w:ascii="Times New Roman" w:hAnsi="Times New Roman" w:cs="Times New Roman" w:eastAsia="Times New Roman"/>
          <w:color w:val="auto"/>
          <w:spacing w:val="0"/>
          <w:position w:val="0"/>
          <w:sz w:val="24"/>
          <w:shd w:fill="auto" w:val="clear"/>
        </w:rPr>
        <w:t xml:space="preserve">: 821-827.</w:t>
      </w:r>
    </w:p>
    <w:p>
      <w:pPr>
        <w:widowControl w:val="false"/>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Wright IJ, Dong N, Maire V, Prentice IC, Westoby M, Díaz S, Gallagher RV, Jacobs BF, Kooyman R, Law EA et al.</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2017</w:t>
      </w:r>
      <w:r>
        <w:rPr>
          <w:rFonts w:ascii="Times New Roman" w:hAnsi="Times New Roman" w:cs="Times New Roman" w:eastAsia="Times New Roman"/>
          <w:color w:val="auto"/>
          <w:spacing w:val="0"/>
          <w:position w:val="0"/>
          <w:sz w:val="24"/>
          <w:shd w:fill="auto" w:val="clear"/>
        </w:rPr>
        <w:t xml:space="preserve">. Global climatic drivers of leaf size. </w:t>
      </w:r>
      <w:r>
        <w:rPr>
          <w:rFonts w:ascii="Times New Roman" w:hAnsi="Times New Roman" w:cs="Times New Roman" w:eastAsia="Times New Roman"/>
          <w:i/>
          <w:color w:val="auto"/>
          <w:spacing w:val="0"/>
          <w:position w:val="0"/>
          <w:sz w:val="24"/>
          <w:shd w:fill="auto" w:val="clear"/>
        </w:rPr>
        <w:t xml:space="preserve">Science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357</w:t>
      </w:r>
      <w:r>
        <w:rPr>
          <w:rFonts w:ascii="Times New Roman" w:hAnsi="Times New Roman" w:cs="Times New Roman" w:eastAsia="Times New Roman"/>
          <w:color w:val="auto"/>
          <w:spacing w:val="0"/>
          <w:position w:val="0"/>
          <w:sz w:val="24"/>
          <w:shd w:fill="auto" w:val="clear"/>
        </w:rPr>
        <w:t xml:space="preserve">: 917-921.</w:t>
      </w:r>
    </w:p>
    <w:p>
      <w:pPr>
        <w:widowControl w:val="false"/>
        <w:spacing w:before="0" w:after="0" w:line="360"/>
        <w:ind w:right="0" w:left="720" w:hanging="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Zaehle S, Medlyn BE, De Kauwe MG, Walker AP, Dietze MC, Hickler T, Luo Y, Wang Y-P, El-Masri B, Thornton P et al. 2014.</w:t>
      </w:r>
      <w:r>
        <w:rPr>
          <w:rFonts w:ascii="Times New Roman" w:hAnsi="Times New Roman" w:cs="Times New Roman" w:eastAsia="Times New Roman"/>
          <w:color w:val="auto"/>
          <w:spacing w:val="0"/>
          <w:position w:val="0"/>
          <w:sz w:val="24"/>
          <w:shd w:fill="auto" w:val="clear"/>
        </w:rPr>
        <w:t xml:space="preserve"> Evaluation of 11 terrestrial carbon-nitrogen cycle models against observations from two temperate Free-Air CO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Enrichment studies. </w:t>
      </w:r>
      <w:r>
        <w:rPr>
          <w:rFonts w:ascii="Times New Roman" w:hAnsi="Times New Roman" w:cs="Times New Roman" w:eastAsia="Times New Roman"/>
          <w:i/>
          <w:color w:val="auto"/>
          <w:spacing w:val="0"/>
          <w:position w:val="0"/>
          <w:sz w:val="24"/>
          <w:shd w:fill="auto" w:val="clear"/>
        </w:rPr>
        <w:t xml:space="preserve">New Phytologist </w:t>
      </w:r>
      <w:r>
        <w:rPr>
          <w:rFonts w:ascii="Times New Roman" w:hAnsi="Times New Roman" w:cs="Times New Roman" w:eastAsia="Times New Roman"/>
          <w:b/>
          <w:color w:val="auto"/>
          <w:spacing w:val="0"/>
          <w:position w:val="0"/>
          <w:sz w:val="24"/>
          <w:shd w:fill="auto" w:val="clear"/>
        </w:rPr>
        <w:t xml:space="preserve">203</w:t>
      </w:r>
      <w:r>
        <w:rPr>
          <w:rFonts w:ascii="Times New Roman" w:hAnsi="Times New Roman" w:cs="Times New Roman" w:eastAsia="Times New Roman"/>
          <w:color w:val="auto"/>
          <w:spacing w:val="0"/>
          <w:position w:val="0"/>
          <w:sz w:val="24"/>
          <w:shd w:fill="auto" w:val="clear"/>
        </w:rPr>
        <w:t xml:space="preserve">: 803-822.</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6.wmf" Id="docRId13" Type="http://schemas.openxmlformats.org/officeDocument/2006/relationships/image" /><Relationship Target="media/image1.wmf" Id="docRId3" Type="http://schemas.openxmlformats.org/officeDocument/2006/relationships/image" /><Relationship Target="media/image3.wmf" Id="docRId7" Type="http://schemas.openxmlformats.org/officeDocument/2006/relationships/image" /><Relationship Target="embeddings/oleObject5.bin" Id="docRId10" Type="http://schemas.openxmlformats.org/officeDocument/2006/relationships/oleObject" /><Relationship Target="numbering.xml" Id="docRId14" Type="http://schemas.openxmlformats.org/officeDocument/2006/relationships/numbering"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styles.xml" Id="docRId15" Type="http://schemas.openxmlformats.org/officeDocument/2006/relationships/styles"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embeddings/oleObject2.bin" Id="docRId4" Type="http://schemas.openxmlformats.org/officeDocument/2006/relationships/oleObject" /><Relationship Target="embeddings/oleObject4.bin" Id="docRId8" Type="http://schemas.openxmlformats.org/officeDocument/2006/relationships/oleObject" /></Relationships>
</file>