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49480" w14:textId="06660022" w:rsidR="00AB3296" w:rsidRPr="00514A92" w:rsidRDefault="00050DEB" w:rsidP="008B0531">
      <w:pPr>
        <w:autoSpaceDE w:val="0"/>
        <w:autoSpaceDN w:val="0"/>
        <w:adjustRightInd w:val="0"/>
        <w:rPr>
          <w:rFonts w:ascii="Arial" w:eastAsia="Arial" w:hAnsi="Arial" w:cs="Arial"/>
          <w:b/>
          <w:sz w:val="36"/>
          <w:szCs w:val="36"/>
          <w:lang w:eastAsia="en-GB"/>
        </w:rPr>
      </w:pPr>
      <w:bookmarkStart w:id="0" w:name="_Toc469914309"/>
      <w:r w:rsidRPr="00514A92">
        <w:rPr>
          <w:rFonts w:ascii="Arial" w:eastAsia="Arial" w:hAnsi="Arial" w:cs="Arial"/>
          <w:b/>
          <w:sz w:val="36"/>
          <w:szCs w:val="36"/>
          <w:lang w:eastAsia="en-GB"/>
        </w:rPr>
        <w:t>R</w:t>
      </w:r>
      <w:r w:rsidR="00F71B86" w:rsidRPr="00514A92">
        <w:rPr>
          <w:rFonts w:ascii="Arial" w:eastAsia="Arial" w:hAnsi="Arial" w:cs="Arial"/>
          <w:b/>
          <w:sz w:val="36"/>
          <w:szCs w:val="36"/>
          <w:lang w:eastAsia="en-GB"/>
        </w:rPr>
        <w:t>aising attainment with diverse students</w:t>
      </w:r>
      <w:r w:rsidR="00AB3296" w:rsidRPr="00514A92">
        <w:rPr>
          <w:rFonts w:ascii="Arial" w:eastAsia="Arial" w:hAnsi="Arial" w:cs="Arial"/>
          <w:b/>
          <w:sz w:val="36"/>
          <w:szCs w:val="36"/>
          <w:lang w:eastAsia="en-GB"/>
        </w:rPr>
        <w:t xml:space="preserve">: An </w:t>
      </w:r>
      <w:r w:rsidRPr="00514A92">
        <w:rPr>
          <w:rFonts w:ascii="Arial" w:eastAsia="Arial" w:hAnsi="Arial" w:cs="Arial"/>
          <w:b/>
          <w:sz w:val="36"/>
          <w:szCs w:val="36"/>
          <w:lang w:eastAsia="en-GB"/>
        </w:rPr>
        <w:t>i</w:t>
      </w:r>
      <w:r w:rsidR="00AB3296" w:rsidRPr="00514A92">
        <w:rPr>
          <w:rFonts w:ascii="Arial" w:eastAsia="Arial" w:hAnsi="Arial" w:cs="Arial"/>
          <w:b/>
          <w:sz w:val="36"/>
          <w:szCs w:val="36"/>
          <w:lang w:eastAsia="en-GB"/>
        </w:rPr>
        <w:t xml:space="preserve">nclusive </w:t>
      </w:r>
      <w:r w:rsidRPr="00514A92">
        <w:rPr>
          <w:rFonts w:ascii="Arial" w:eastAsia="Arial" w:hAnsi="Arial" w:cs="Arial"/>
          <w:b/>
          <w:sz w:val="36"/>
          <w:szCs w:val="36"/>
          <w:lang w:eastAsia="en-GB"/>
        </w:rPr>
        <w:t>a</w:t>
      </w:r>
      <w:r w:rsidR="00AB3296" w:rsidRPr="00514A92">
        <w:rPr>
          <w:rFonts w:ascii="Arial" w:eastAsia="Arial" w:hAnsi="Arial" w:cs="Arial"/>
          <w:b/>
          <w:sz w:val="36"/>
          <w:szCs w:val="36"/>
          <w:lang w:eastAsia="en-GB"/>
        </w:rPr>
        <w:t xml:space="preserve">pproach to the </w:t>
      </w:r>
      <w:r w:rsidRPr="00514A92">
        <w:rPr>
          <w:rFonts w:ascii="Arial" w:eastAsia="Arial" w:hAnsi="Arial" w:cs="Arial"/>
          <w:b/>
          <w:sz w:val="36"/>
          <w:szCs w:val="36"/>
          <w:lang w:eastAsia="en-GB"/>
        </w:rPr>
        <w:t>t</w:t>
      </w:r>
      <w:r w:rsidR="00AB3296" w:rsidRPr="00514A92">
        <w:rPr>
          <w:rFonts w:ascii="Arial" w:eastAsia="Arial" w:hAnsi="Arial" w:cs="Arial"/>
          <w:b/>
          <w:sz w:val="36"/>
          <w:szCs w:val="36"/>
          <w:lang w:eastAsia="en-GB"/>
        </w:rPr>
        <w:t xml:space="preserve">eaching of </w:t>
      </w:r>
      <w:r w:rsidRPr="00514A92">
        <w:rPr>
          <w:rFonts w:ascii="Arial" w:eastAsia="Arial" w:hAnsi="Arial" w:cs="Arial"/>
          <w:b/>
          <w:sz w:val="36"/>
          <w:szCs w:val="36"/>
          <w:lang w:eastAsia="en-GB"/>
        </w:rPr>
        <w:t>a</w:t>
      </w:r>
      <w:r w:rsidR="00AB3296" w:rsidRPr="00514A92">
        <w:rPr>
          <w:rFonts w:ascii="Arial" w:eastAsia="Arial" w:hAnsi="Arial" w:cs="Arial"/>
          <w:b/>
          <w:sz w:val="36"/>
          <w:szCs w:val="36"/>
          <w:lang w:eastAsia="en-GB"/>
        </w:rPr>
        <w:t xml:space="preserve">cademic </w:t>
      </w:r>
      <w:r w:rsidRPr="00514A92">
        <w:rPr>
          <w:rFonts w:ascii="Arial" w:eastAsia="Arial" w:hAnsi="Arial" w:cs="Arial"/>
          <w:b/>
          <w:sz w:val="36"/>
          <w:szCs w:val="36"/>
          <w:lang w:eastAsia="en-GB"/>
        </w:rPr>
        <w:t>l</w:t>
      </w:r>
      <w:r w:rsidR="00AB3296" w:rsidRPr="00514A92">
        <w:rPr>
          <w:rFonts w:ascii="Arial" w:eastAsia="Arial" w:hAnsi="Arial" w:cs="Arial"/>
          <w:b/>
          <w:sz w:val="36"/>
          <w:szCs w:val="36"/>
          <w:lang w:eastAsia="en-GB"/>
        </w:rPr>
        <w:t>iteracy</w:t>
      </w:r>
    </w:p>
    <w:p w14:paraId="554D9B8D" w14:textId="2CFC393C" w:rsidR="00C61831" w:rsidRPr="00514A92" w:rsidRDefault="00C61831" w:rsidP="008B0531">
      <w:pPr>
        <w:autoSpaceDE w:val="0"/>
        <w:autoSpaceDN w:val="0"/>
        <w:adjustRightInd w:val="0"/>
        <w:rPr>
          <w:rFonts w:ascii="Arial" w:eastAsia="Arial" w:hAnsi="Arial" w:cs="Arial"/>
          <w:b/>
          <w:sz w:val="20"/>
          <w:szCs w:val="36"/>
          <w:lang w:eastAsia="en-GB"/>
        </w:rPr>
      </w:pPr>
    </w:p>
    <w:p w14:paraId="632C6CDD" w14:textId="46E7DB75" w:rsidR="00C61831" w:rsidRPr="00514A92" w:rsidRDefault="00C61831" w:rsidP="008B0531">
      <w:pPr>
        <w:autoSpaceDE w:val="0"/>
        <w:autoSpaceDN w:val="0"/>
        <w:adjustRightInd w:val="0"/>
        <w:rPr>
          <w:rFonts w:ascii="Arial" w:eastAsia="Arial" w:hAnsi="Arial" w:cs="Arial"/>
          <w:noProof/>
          <w:sz w:val="20"/>
          <w:szCs w:val="20"/>
          <w:lang w:eastAsia="en-GB"/>
        </w:rPr>
      </w:pPr>
      <w:r w:rsidRPr="00514A92">
        <w:rPr>
          <w:rFonts w:ascii="Arial" w:eastAsia="Arial" w:hAnsi="Arial" w:cs="Arial"/>
          <w:noProof/>
          <w:sz w:val="20"/>
          <w:szCs w:val="20"/>
          <w:lang w:eastAsia="en-GB"/>
        </w:rPr>
        <w:t>Yuan-Li Tiffany Chiu</w:t>
      </w:r>
    </w:p>
    <w:p w14:paraId="3F651A07" w14:textId="6ED71BE2" w:rsidR="00C61831" w:rsidRPr="00514A92" w:rsidRDefault="00C61831" w:rsidP="008B0531">
      <w:pPr>
        <w:autoSpaceDE w:val="0"/>
        <w:autoSpaceDN w:val="0"/>
        <w:adjustRightInd w:val="0"/>
        <w:rPr>
          <w:rFonts w:ascii="Arial" w:eastAsia="Arial" w:hAnsi="Arial" w:cs="Arial"/>
          <w:noProof/>
          <w:sz w:val="20"/>
          <w:szCs w:val="20"/>
          <w:lang w:eastAsia="en-GB"/>
        </w:rPr>
      </w:pPr>
      <w:r w:rsidRPr="00514A92">
        <w:rPr>
          <w:rFonts w:ascii="Arial" w:eastAsia="Arial" w:hAnsi="Arial" w:cs="Arial"/>
          <w:noProof/>
          <w:sz w:val="20"/>
          <w:szCs w:val="20"/>
          <w:lang w:eastAsia="en-GB"/>
        </w:rPr>
        <w:t>Imperial College London</w:t>
      </w:r>
      <w:r w:rsidRPr="00514A92">
        <w:rPr>
          <w:rFonts w:ascii="Arial" w:eastAsia="Arial" w:hAnsi="Arial" w:cs="Arial"/>
          <w:noProof/>
          <w:sz w:val="20"/>
          <w:szCs w:val="20"/>
          <w:lang w:eastAsia="en-GB"/>
        </w:rPr>
        <w:t>, UK</w:t>
      </w:r>
    </w:p>
    <w:p w14:paraId="4F8EFCE5" w14:textId="77777777" w:rsidR="00C61831" w:rsidRPr="00514A92" w:rsidRDefault="00C61831" w:rsidP="008B0531">
      <w:pPr>
        <w:autoSpaceDE w:val="0"/>
        <w:autoSpaceDN w:val="0"/>
        <w:adjustRightInd w:val="0"/>
        <w:rPr>
          <w:rFonts w:ascii="Arial" w:eastAsia="Arial" w:hAnsi="Arial" w:cs="Arial"/>
          <w:noProof/>
          <w:sz w:val="20"/>
          <w:szCs w:val="20"/>
          <w:lang w:eastAsia="en-GB"/>
        </w:rPr>
      </w:pPr>
    </w:p>
    <w:p w14:paraId="327F78F1" w14:textId="77777777" w:rsidR="00C61831" w:rsidRPr="00514A92" w:rsidRDefault="00C61831" w:rsidP="008B0531">
      <w:pPr>
        <w:autoSpaceDE w:val="0"/>
        <w:autoSpaceDN w:val="0"/>
        <w:adjustRightInd w:val="0"/>
        <w:rPr>
          <w:rFonts w:ascii="Arial" w:eastAsia="Arial" w:hAnsi="Arial" w:cs="Arial"/>
          <w:noProof/>
          <w:sz w:val="20"/>
          <w:szCs w:val="20"/>
          <w:lang w:eastAsia="en-GB"/>
        </w:rPr>
      </w:pPr>
      <w:r w:rsidRPr="00514A92">
        <w:rPr>
          <w:rFonts w:ascii="Arial" w:eastAsia="Arial" w:hAnsi="Arial" w:cs="Arial"/>
          <w:noProof/>
          <w:sz w:val="20"/>
          <w:szCs w:val="20"/>
          <w:lang w:eastAsia="en-GB"/>
        </w:rPr>
        <w:t>Olga Rodriguez-Falcon</w:t>
      </w:r>
    </w:p>
    <w:p w14:paraId="515CFC4E" w14:textId="3A0ABBA0" w:rsidR="00AB3296" w:rsidRPr="00514A92" w:rsidRDefault="00C61831" w:rsidP="008B0531">
      <w:pPr>
        <w:autoSpaceDE w:val="0"/>
        <w:autoSpaceDN w:val="0"/>
        <w:adjustRightInd w:val="0"/>
        <w:rPr>
          <w:rFonts w:ascii="Arial" w:eastAsia="Arial" w:hAnsi="Arial" w:cs="Arial"/>
          <w:noProof/>
          <w:sz w:val="20"/>
          <w:szCs w:val="20"/>
          <w:lang w:eastAsia="en-GB"/>
        </w:rPr>
      </w:pPr>
      <w:r w:rsidRPr="00514A92">
        <w:rPr>
          <w:rFonts w:ascii="Arial" w:eastAsia="Arial" w:hAnsi="Arial" w:cs="Arial"/>
          <w:noProof/>
          <w:sz w:val="20"/>
          <w:szCs w:val="20"/>
          <w:lang w:eastAsia="en-GB"/>
        </w:rPr>
        <w:t>University of East London</w:t>
      </w:r>
      <w:r w:rsidRPr="00514A92">
        <w:rPr>
          <w:rFonts w:ascii="Arial" w:eastAsia="Arial" w:hAnsi="Arial" w:cs="Arial"/>
          <w:noProof/>
          <w:sz w:val="20"/>
          <w:szCs w:val="20"/>
          <w:lang w:eastAsia="en-GB"/>
        </w:rPr>
        <w:t>, UK</w:t>
      </w:r>
    </w:p>
    <w:p w14:paraId="1821C9ED" w14:textId="26D0BA5C" w:rsidR="00C61831" w:rsidRPr="00514A92" w:rsidRDefault="00C61831">
      <w:pPr>
        <w:autoSpaceDE w:val="0"/>
        <w:autoSpaceDN w:val="0"/>
        <w:adjustRightInd w:val="0"/>
        <w:rPr>
          <w:rFonts w:ascii="Arial" w:eastAsia="Arial" w:hAnsi="Arial" w:cs="Arial"/>
          <w:b/>
          <w:sz w:val="20"/>
          <w:szCs w:val="20"/>
          <w:lang w:eastAsia="en-GB"/>
        </w:rPr>
      </w:pPr>
    </w:p>
    <w:p w14:paraId="308A13B2" w14:textId="77777777" w:rsidR="00C61831" w:rsidRPr="00514A92" w:rsidRDefault="00C61831">
      <w:pPr>
        <w:autoSpaceDE w:val="0"/>
        <w:autoSpaceDN w:val="0"/>
        <w:adjustRightInd w:val="0"/>
        <w:rPr>
          <w:rFonts w:ascii="Arial" w:eastAsia="Arial" w:hAnsi="Arial" w:cs="Arial"/>
          <w:b/>
          <w:sz w:val="20"/>
          <w:szCs w:val="20"/>
          <w:lang w:eastAsia="en-GB"/>
        </w:rPr>
      </w:pPr>
    </w:p>
    <w:p w14:paraId="622E756F" w14:textId="55028C67" w:rsidR="006478B0" w:rsidRPr="00514A92" w:rsidRDefault="006478B0" w:rsidP="008B0531">
      <w:pPr>
        <w:autoSpaceDE w:val="0"/>
        <w:autoSpaceDN w:val="0"/>
        <w:adjustRightInd w:val="0"/>
        <w:rPr>
          <w:rFonts w:ascii="Arial" w:eastAsia="Arial" w:hAnsi="Arial" w:cs="Arial"/>
          <w:b/>
          <w:sz w:val="20"/>
          <w:szCs w:val="20"/>
          <w:lang w:eastAsia="en-GB"/>
        </w:rPr>
      </w:pPr>
      <w:r w:rsidRPr="00514A92">
        <w:rPr>
          <w:rFonts w:ascii="Arial" w:eastAsia="Arial" w:hAnsi="Arial" w:cs="Arial"/>
          <w:b/>
          <w:sz w:val="20"/>
          <w:szCs w:val="20"/>
          <w:lang w:eastAsia="en-GB"/>
        </w:rPr>
        <w:t>Abstract</w:t>
      </w:r>
    </w:p>
    <w:p w14:paraId="5DD13477" w14:textId="77777777" w:rsidR="00A1467F" w:rsidRPr="00514A92" w:rsidRDefault="00A1467F" w:rsidP="008B0531">
      <w:pPr>
        <w:autoSpaceDE w:val="0"/>
        <w:autoSpaceDN w:val="0"/>
        <w:adjustRightInd w:val="0"/>
        <w:rPr>
          <w:rFonts w:ascii="Arial" w:eastAsia="Arial" w:hAnsi="Arial" w:cs="Arial"/>
          <w:sz w:val="20"/>
          <w:szCs w:val="20"/>
          <w:lang w:eastAsia="en-GB"/>
        </w:rPr>
      </w:pPr>
    </w:p>
    <w:p w14:paraId="31965B57" w14:textId="3A5777E1" w:rsidR="00110485" w:rsidRPr="00514A92" w:rsidRDefault="006478B0" w:rsidP="00BD38D7">
      <w:pPr>
        <w:autoSpaceDE w:val="0"/>
        <w:autoSpaceDN w:val="0"/>
        <w:adjustRightInd w:val="0"/>
        <w:jc w:val="both"/>
        <w:rPr>
          <w:rFonts w:ascii="Arial" w:eastAsia="Arial" w:hAnsi="Arial" w:cs="Arial"/>
          <w:sz w:val="20"/>
          <w:szCs w:val="20"/>
          <w:lang w:eastAsia="en-GB"/>
        </w:rPr>
      </w:pPr>
      <w:r w:rsidRPr="00514A92">
        <w:rPr>
          <w:rFonts w:ascii="Arial" w:eastAsia="Arial" w:hAnsi="Arial" w:cs="Arial"/>
          <w:sz w:val="20"/>
          <w:szCs w:val="20"/>
          <w:lang w:eastAsia="en-GB"/>
        </w:rPr>
        <w:t>This research aims to evaluate the impact of an</w:t>
      </w:r>
      <w:r w:rsidR="00773B9C" w:rsidRPr="00514A92">
        <w:rPr>
          <w:rFonts w:ascii="Arial" w:eastAsia="Arial" w:hAnsi="Arial" w:cs="Arial"/>
          <w:sz w:val="20"/>
          <w:szCs w:val="20"/>
          <w:lang w:eastAsia="en-GB"/>
        </w:rPr>
        <w:t xml:space="preserve"> inclusive writing approach</w:t>
      </w:r>
      <w:r w:rsidR="00DC56ED" w:rsidRPr="00514A92">
        <w:rPr>
          <w:rFonts w:ascii="Arial" w:eastAsia="Arial" w:hAnsi="Arial" w:cs="Arial"/>
          <w:sz w:val="20"/>
          <w:szCs w:val="20"/>
          <w:lang w:eastAsia="en-GB"/>
        </w:rPr>
        <w:t>,</w:t>
      </w:r>
      <w:r w:rsidR="00435B9E" w:rsidRPr="00514A92">
        <w:rPr>
          <w:rFonts w:ascii="Arial" w:eastAsia="Arial" w:hAnsi="Arial" w:cs="Arial"/>
          <w:sz w:val="20"/>
          <w:szCs w:val="20"/>
          <w:lang w:eastAsia="en-GB"/>
        </w:rPr>
        <w:t xml:space="preserve"> which strives to embed academic literacy into </w:t>
      </w:r>
      <w:r w:rsidR="00435B9E" w:rsidRPr="00514A92">
        <w:rPr>
          <w:rFonts w:ascii="Arial" w:eastAsia="Arial" w:hAnsi="Arial" w:cs="Arial"/>
          <w:noProof/>
          <w:sz w:val="20"/>
          <w:szCs w:val="20"/>
          <w:lang w:eastAsia="en-GB"/>
        </w:rPr>
        <w:t>subject curriculum</w:t>
      </w:r>
      <w:r w:rsidRPr="00514A92">
        <w:rPr>
          <w:rFonts w:ascii="Arial" w:eastAsia="Arial" w:hAnsi="Arial" w:cs="Arial"/>
          <w:sz w:val="20"/>
          <w:szCs w:val="20"/>
          <w:lang w:eastAsia="en-GB"/>
        </w:rPr>
        <w:t xml:space="preserve">, an initiative that </w:t>
      </w:r>
      <w:r w:rsidR="00FD5528" w:rsidRPr="00514A92">
        <w:rPr>
          <w:rFonts w:ascii="Arial" w:eastAsia="Arial" w:hAnsi="Arial" w:cs="Arial"/>
          <w:sz w:val="20"/>
          <w:szCs w:val="20"/>
          <w:lang w:eastAsia="en-GB"/>
        </w:rPr>
        <w:t>ran</w:t>
      </w:r>
      <w:r w:rsidRPr="00514A92">
        <w:rPr>
          <w:rFonts w:ascii="Arial" w:eastAsia="Arial" w:hAnsi="Arial" w:cs="Arial"/>
          <w:sz w:val="20"/>
          <w:szCs w:val="20"/>
          <w:lang w:eastAsia="en-GB"/>
        </w:rPr>
        <w:t xml:space="preserve"> across </w:t>
      </w:r>
      <w:r w:rsidR="000A41E3" w:rsidRPr="00514A92">
        <w:rPr>
          <w:rFonts w:ascii="Arial" w:eastAsia="Arial" w:hAnsi="Arial" w:cs="Arial"/>
          <w:sz w:val="20"/>
          <w:szCs w:val="20"/>
          <w:lang w:eastAsia="en-GB"/>
        </w:rPr>
        <w:t xml:space="preserve">schools </w:t>
      </w:r>
      <w:r w:rsidRPr="00514A92">
        <w:rPr>
          <w:rFonts w:ascii="Arial" w:eastAsia="Arial" w:hAnsi="Arial" w:cs="Arial"/>
          <w:sz w:val="20"/>
          <w:szCs w:val="20"/>
          <w:lang w:eastAsia="en-GB"/>
        </w:rPr>
        <w:t>at</w:t>
      </w:r>
      <w:r w:rsidR="002067DD" w:rsidRPr="00514A92">
        <w:rPr>
          <w:rFonts w:ascii="Arial" w:eastAsia="Arial" w:hAnsi="Arial" w:cs="Arial"/>
          <w:sz w:val="20"/>
          <w:szCs w:val="20"/>
          <w:lang w:eastAsia="en-GB"/>
        </w:rPr>
        <w:t xml:space="preserve"> a </w:t>
      </w:r>
      <w:r w:rsidR="00E8081C" w:rsidRPr="00514A92">
        <w:rPr>
          <w:rFonts w:ascii="Arial" w:eastAsia="Arial" w:hAnsi="Arial" w:cs="Arial"/>
          <w:sz w:val="20"/>
          <w:szCs w:val="20"/>
          <w:lang w:eastAsia="en-GB"/>
        </w:rPr>
        <w:t xml:space="preserve">UK-based </w:t>
      </w:r>
      <w:r w:rsidR="002067DD" w:rsidRPr="00514A92">
        <w:rPr>
          <w:rFonts w:ascii="Arial" w:eastAsia="Arial" w:hAnsi="Arial" w:cs="Arial"/>
          <w:sz w:val="20"/>
          <w:szCs w:val="20"/>
          <w:lang w:eastAsia="en-GB"/>
        </w:rPr>
        <w:t>post-1992</w:t>
      </w:r>
      <w:r w:rsidR="00E8081C" w:rsidRPr="00514A92">
        <w:rPr>
          <w:rFonts w:ascii="Arial" w:eastAsia="Arial" w:hAnsi="Arial" w:cs="Arial"/>
          <w:sz w:val="20"/>
          <w:szCs w:val="20"/>
          <w:lang w:eastAsia="en-GB"/>
        </w:rPr>
        <w:t xml:space="preserve"> </w:t>
      </w:r>
      <w:r w:rsidR="002067DD" w:rsidRPr="00514A92">
        <w:rPr>
          <w:rFonts w:ascii="Arial" w:eastAsia="Arial" w:hAnsi="Arial" w:cs="Arial"/>
          <w:sz w:val="20"/>
          <w:szCs w:val="20"/>
          <w:lang w:eastAsia="en-GB"/>
        </w:rPr>
        <w:t>university</w:t>
      </w:r>
      <w:r w:rsidR="000A41E3" w:rsidRPr="00514A92">
        <w:rPr>
          <w:rFonts w:ascii="Arial" w:eastAsia="Arial" w:hAnsi="Arial" w:cs="Arial"/>
          <w:sz w:val="20"/>
          <w:szCs w:val="20"/>
          <w:lang w:eastAsia="en-GB"/>
        </w:rPr>
        <w:t xml:space="preserve"> </w:t>
      </w:r>
      <w:r w:rsidR="00435B9E" w:rsidRPr="00514A92">
        <w:rPr>
          <w:rFonts w:ascii="Arial" w:eastAsia="Arial" w:hAnsi="Arial" w:cs="Arial"/>
          <w:sz w:val="20"/>
          <w:szCs w:val="20"/>
          <w:lang w:eastAsia="en-GB"/>
        </w:rPr>
        <w:t>in 2015-16</w:t>
      </w:r>
      <w:r w:rsidRPr="00514A92">
        <w:rPr>
          <w:rFonts w:ascii="Arial" w:eastAsia="Arial" w:hAnsi="Arial" w:cs="Arial"/>
          <w:sz w:val="20"/>
          <w:szCs w:val="20"/>
          <w:lang w:eastAsia="en-GB"/>
        </w:rPr>
        <w:t xml:space="preserve">. As an exploratory investigation, this research drew on a redesigned social science </w:t>
      </w:r>
      <w:r w:rsidR="00110485" w:rsidRPr="00514A92">
        <w:rPr>
          <w:rFonts w:ascii="Arial" w:eastAsia="Arial" w:hAnsi="Arial" w:cs="Arial"/>
          <w:sz w:val="20"/>
          <w:szCs w:val="20"/>
          <w:lang w:eastAsia="en-GB"/>
        </w:rPr>
        <w:t xml:space="preserve">transitional </w:t>
      </w:r>
      <w:r w:rsidRPr="00514A92">
        <w:rPr>
          <w:rFonts w:ascii="Arial" w:eastAsia="Arial" w:hAnsi="Arial" w:cs="Arial"/>
          <w:sz w:val="20"/>
          <w:szCs w:val="20"/>
          <w:lang w:eastAsia="en-GB"/>
        </w:rPr>
        <w:t xml:space="preserve">module, where academic writing </w:t>
      </w:r>
      <w:r w:rsidR="00435B9E" w:rsidRPr="00514A92">
        <w:rPr>
          <w:rFonts w:ascii="Arial" w:eastAsia="Arial" w:hAnsi="Arial" w:cs="Arial"/>
          <w:sz w:val="20"/>
          <w:szCs w:val="20"/>
          <w:lang w:eastAsia="en-GB"/>
        </w:rPr>
        <w:t xml:space="preserve">provision </w:t>
      </w:r>
      <w:r w:rsidR="002067DD" w:rsidRPr="00514A92">
        <w:rPr>
          <w:rFonts w:ascii="Arial" w:eastAsia="Arial" w:hAnsi="Arial" w:cs="Arial"/>
          <w:sz w:val="20"/>
          <w:szCs w:val="20"/>
          <w:lang w:eastAsia="en-GB"/>
        </w:rPr>
        <w:t xml:space="preserve">is closely </w:t>
      </w:r>
      <w:r w:rsidRPr="00514A92">
        <w:rPr>
          <w:rFonts w:ascii="Arial" w:eastAsia="Arial" w:hAnsi="Arial" w:cs="Arial"/>
          <w:sz w:val="20"/>
          <w:szCs w:val="20"/>
          <w:lang w:eastAsia="en-GB"/>
        </w:rPr>
        <w:t>in line with the subject content and assessments.</w:t>
      </w:r>
      <w:r w:rsidR="004E1B68" w:rsidRPr="00514A92">
        <w:rPr>
          <w:rFonts w:ascii="Arial" w:eastAsia="Arial" w:hAnsi="Arial" w:cs="Arial"/>
          <w:sz w:val="20"/>
          <w:szCs w:val="20"/>
          <w:lang w:eastAsia="en-GB"/>
        </w:rPr>
        <w:t xml:space="preserve"> </w:t>
      </w:r>
      <w:r w:rsidRPr="00514A92">
        <w:rPr>
          <w:rFonts w:ascii="Arial" w:eastAsia="Arial" w:hAnsi="Arial" w:cs="Arial"/>
          <w:sz w:val="20"/>
          <w:szCs w:val="20"/>
          <w:lang w:eastAsia="en-GB"/>
        </w:rPr>
        <w:t>Th</w:t>
      </w:r>
      <w:r w:rsidR="00435B9E" w:rsidRPr="00514A92">
        <w:rPr>
          <w:rFonts w:ascii="Arial" w:eastAsia="Arial" w:hAnsi="Arial" w:cs="Arial"/>
          <w:sz w:val="20"/>
          <w:szCs w:val="20"/>
          <w:lang w:eastAsia="en-GB"/>
        </w:rPr>
        <w:t xml:space="preserve">is project explores student perceptions and experiences of the embedded writing provision and </w:t>
      </w:r>
      <w:r w:rsidRPr="00514A92">
        <w:rPr>
          <w:rFonts w:ascii="Arial" w:eastAsia="Arial" w:hAnsi="Arial" w:cs="Arial"/>
          <w:sz w:val="20"/>
          <w:szCs w:val="20"/>
          <w:lang w:eastAsia="en-GB"/>
        </w:rPr>
        <w:t>the extent to which the intervention contribute</w:t>
      </w:r>
      <w:r w:rsidR="00412258" w:rsidRPr="00514A92">
        <w:rPr>
          <w:rFonts w:ascii="Arial" w:eastAsia="Arial" w:hAnsi="Arial" w:cs="Arial"/>
          <w:sz w:val="20"/>
          <w:szCs w:val="20"/>
          <w:lang w:eastAsia="en-GB"/>
        </w:rPr>
        <w:t xml:space="preserve">d </w:t>
      </w:r>
      <w:r w:rsidRPr="00514A92">
        <w:rPr>
          <w:rFonts w:ascii="Arial" w:eastAsia="Arial" w:hAnsi="Arial" w:cs="Arial"/>
          <w:sz w:val="20"/>
          <w:szCs w:val="20"/>
          <w:lang w:eastAsia="en-GB"/>
        </w:rPr>
        <w:t>to student attainment.</w:t>
      </w:r>
      <w:r w:rsidR="00B53153" w:rsidRPr="00514A92">
        <w:rPr>
          <w:rFonts w:ascii="Arial" w:eastAsia="Arial" w:hAnsi="Arial" w:cs="Arial"/>
          <w:sz w:val="20"/>
          <w:szCs w:val="20"/>
          <w:lang w:eastAsia="en-GB"/>
        </w:rPr>
        <w:t xml:space="preserve"> Data </w:t>
      </w:r>
      <w:r w:rsidR="00FD5528" w:rsidRPr="00514A92">
        <w:rPr>
          <w:rFonts w:ascii="Arial" w:eastAsia="Arial" w:hAnsi="Arial" w:cs="Arial"/>
          <w:sz w:val="20"/>
          <w:szCs w:val="20"/>
          <w:lang w:eastAsia="en-GB"/>
        </w:rPr>
        <w:t>were</w:t>
      </w:r>
      <w:r w:rsidR="00A4728D" w:rsidRPr="00514A92">
        <w:rPr>
          <w:rFonts w:ascii="Arial" w:eastAsia="Arial" w:hAnsi="Arial" w:cs="Arial"/>
          <w:sz w:val="20"/>
          <w:szCs w:val="20"/>
          <w:lang w:eastAsia="en-GB"/>
        </w:rPr>
        <w:t xml:space="preserve"> drawn from </w:t>
      </w:r>
      <w:r w:rsidRPr="00514A92">
        <w:rPr>
          <w:rFonts w:ascii="Arial" w:eastAsia="Arial" w:hAnsi="Arial" w:cs="Arial"/>
          <w:sz w:val="20"/>
          <w:szCs w:val="20"/>
          <w:lang w:eastAsia="en-GB"/>
        </w:rPr>
        <w:t>focus group discussions</w:t>
      </w:r>
      <w:r w:rsidR="00412258" w:rsidRPr="00514A92">
        <w:rPr>
          <w:rFonts w:ascii="Arial" w:eastAsia="Arial" w:hAnsi="Arial" w:cs="Arial"/>
          <w:sz w:val="20"/>
          <w:szCs w:val="20"/>
          <w:lang w:eastAsia="en-GB"/>
        </w:rPr>
        <w:t>,</w:t>
      </w:r>
      <w:r w:rsidRPr="00514A92">
        <w:rPr>
          <w:rFonts w:ascii="Arial" w:eastAsia="Arial" w:hAnsi="Arial" w:cs="Arial"/>
          <w:sz w:val="20"/>
          <w:szCs w:val="20"/>
          <w:lang w:eastAsia="en-GB"/>
        </w:rPr>
        <w:t xml:space="preserve"> where 41 students participated</w:t>
      </w:r>
      <w:r w:rsidR="00412258" w:rsidRPr="00514A92">
        <w:rPr>
          <w:rFonts w:ascii="Arial" w:eastAsia="Arial" w:hAnsi="Arial" w:cs="Arial"/>
          <w:sz w:val="20"/>
          <w:szCs w:val="20"/>
          <w:lang w:eastAsia="en-GB"/>
        </w:rPr>
        <w:t>,</w:t>
      </w:r>
      <w:r w:rsidR="00B53153" w:rsidRPr="00514A92">
        <w:rPr>
          <w:rFonts w:ascii="Arial" w:eastAsia="Arial" w:hAnsi="Arial" w:cs="Arial"/>
          <w:sz w:val="20"/>
          <w:szCs w:val="20"/>
          <w:lang w:eastAsia="en-GB"/>
        </w:rPr>
        <w:t xml:space="preserve"> and </w:t>
      </w:r>
      <w:r w:rsidR="00412258" w:rsidRPr="00514A92">
        <w:rPr>
          <w:rFonts w:ascii="Arial" w:eastAsia="Arial" w:hAnsi="Arial" w:cs="Arial"/>
          <w:sz w:val="20"/>
          <w:szCs w:val="20"/>
          <w:lang w:eastAsia="en-GB"/>
        </w:rPr>
        <w:t xml:space="preserve">from </w:t>
      </w:r>
      <w:r w:rsidR="00B53153" w:rsidRPr="00514A92">
        <w:rPr>
          <w:rFonts w:ascii="Arial" w:eastAsia="Arial" w:hAnsi="Arial" w:cs="Arial"/>
          <w:sz w:val="20"/>
          <w:szCs w:val="20"/>
          <w:lang w:eastAsia="en-GB"/>
        </w:rPr>
        <w:t>s</w:t>
      </w:r>
      <w:r w:rsidRPr="00514A92">
        <w:rPr>
          <w:rFonts w:ascii="Arial" w:eastAsia="Arial" w:hAnsi="Arial" w:cs="Arial"/>
          <w:sz w:val="20"/>
          <w:szCs w:val="20"/>
          <w:lang w:eastAsia="en-GB"/>
        </w:rPr>
        <w:t>tudent</w:t>
      </w:r>
      <w:r w:rsidR="00A4728D" w:rsidRPr="00514A92">
        <w:rPr>
          <w:rFonts w:ascii="Arial" w:eastAsia="Arial" w:hAnsi="Arial" w:cs="Arial"/>
          <w:sz w:val="20"/>
          <w:szCs w:val="20"/>
          <w:lang w:eastAsia="en-GB"/>
        </w:rPr>
        <w:t xml:space="preserve"> </w:t>
      </w:r>
      <w:r w:rsidRPr="00514A92">
        <w:rPr>
          <w:rFonts w:ascii="Arial" w:eastAsia="Arial" w:hAnsi="Arial" w:cs="Arial"/>
          <w:sz w:val="20"/>
          <w:szCs w:val="20"/>
          <w:lang w:eastAsia="en-GB"/>
        </w:rPr>
        <w:t>grades</w:t>
      </w:r>
      <w:r w:rsidR="00435B9E" w:rsidRPr="00514A92">
        <w:rPr>
          <w:rFonts w:ascii="Arial" w:eastAsia="Arial" w:hAnsi="Arial" w:cs="Arial"/>
          <w:sz w:val="20"/>
          <w:szCs w:val="20"/>
          <w:lang w:eastAsia="en-GB"/>
        </w:rPr>
        <w:t xml:space="preserve"> </w:t>
      </w:r>
      <w:r w:rsidR="00B53153" w:rsidRPr="00514A92">
        <w:rPr>
          <w:rFonts w:ascii="Arial" w:eastAsia="Arial" w:hAnsi="Arial" w:cs="Arial"/>
          <w:sz w:val="20"/>
          <w:szCs w:val="20"/>
          <w:lang w:eastAsia="en-GB"/>
        </w:rPr>
        <w:t xml:space="preserve">for the comparison of attainment rates across </w:t>
      </w:r>
      <w:r w:rsidR="000A41E3" w:rsidRPr="00514A92">
        <w:rPr>
          <w:rFonts w:ascii="Arial" w:eastAsia="Arial" w:hAnsi="Arial" w:cs="Arial"/>
          <w:sz w:val="20"/>
          <w:szCs w:val="20"/>
          <w:lang w:eastAsia="en-GB"/>
        </w:rPr>
        <w:t>2014-15 and 2015-16</w:t>
      </w:r>
      <w:r w:rsidR="00B53153" w:rsidRPr="00514A92">
        <w:rPr>
          <w:rFonts w:ascii="Arial" w:eastAsia="Arial" w:hAnsi="Arial" w:cs="Arial"/>
          <w:sz w:val="20"/>
          <w:szCs w:val="20"/>
          <w:lang w:eastAsia="en-GB"/>
        </w:rPr>
        <w:t>.</w:t>
      </w:r>
      <w:r w:rsidR="00A4728D" w:rsidRPr="00514A92">
        <w:rPr>
          <w:rFonts w:ascii="Arial" w:eastAsia="Arial" w:hAnsi="Arial" w:cs="Arial"/>
          <w:sz w:val="20"/>
          <w:szCs w:val="20"/>
          <w:lang w:eastAsia="en-GB"/>
        </w:rPr>
        <w:t xml:space="preserve"> The focus groups were </w:t>
      </w:r>
      <w:r w:rsidR="00C92275" w:rsidRPr="00514A92">
        <w:rPr>
          <w:rFonts w:ascii="Arial" w:eastAsia="Arial" w:hAnsi="Arial" w:cs="Arial"/>
          <w:sz w:val="20"/>
          <w:szCs w:val="20"/>
          <w:lang w:eastAsia="en-GB"/>
        </w:rPr>
        <w:t>analysed</w:t>
      </w:r>
      <w:r w:rsidR="00A4728D" w:rsidRPr="00514A92">
        <w:rPr>
          <w:rFonts w:ascii="Arial" w:eastAsia="Arial" w:hAnsi="Arial" w:cs="Arial"/>
          <w:sz w:val="20"/>
          <w:szCs w:val="20"/>
          <w:lang w:eastAsia="en-GB"/>
        </w:rPr>
        <w:t xml:space="preserve"> using </w:t>
      </w:r>
      <w:r w:rsidR="00A4728D" w:rsidRPr="00514A92">
        <w:rPr>
          <w:rFonts w:ascii="Arial" w:eastAsia="Arial" w:hAnsi="Arial" w:cs="Arial"/>
          <w:i/>
          <w:sz w:val="20"/>
          <w:szCs w:val="20"/>
          <w:lang w:eastAsia="en-GB"/>
        </w:rPr>
        <w:t>Nvivo 1</w:t>
      </w:r>
      <w:r w:rsidR="00560A6B" w:rsidRPr="00514A92">
        <w:rPr>
          <w:rFonts w:ascii="Arial" w:eastAsia="Arial" w:hAnsi="Arial" w:cs="Arial"/>
          <w:i/>
          <w:sz w:val="20"/>
          <w:szCs w:val="20"/>
          <w:lang w:eastAsia="en-GB"/>
        </w:rPr>
        <w:t>1</w:t>
      </w:r>
      <w:r w:rsidR="00A4728D" w:rsidRPr="00514A92">
        <w:rPr>
          <w:rFonts w:ascii="Arial" w:eastAsia="Arial" w:hAnsi="Arial" w:cs="Arial"/>
          <w:sz w:val="20"/>
          <w:szCs w:val="20"/>
          <w:lang w:eastAsia="en-GB"/>
        </w:rPr>
        <w:t xml:space="preserve"> to identify </w:t>
      </w:r>
      <w:r w:rsidR="009D0903" w:rsidRPr="00514A92">
        <w:rPr>
          <w:rFonts w:ascii="Arial" w:eastAsia="Arial" w:hAnsi="Arial" w:cs="Arial"/>
          <w:sz w:val="20"/>
          <w:szCs w:val="20"/>
          <w:lang w:eastAsia="en-GB"/>
        </w:rPr>
        <w:t>key themes</w:t>
      </w:r>
      <w:r w:rsidR="00A4728D" w:rsidRPr="00514A92">
        <w:rPr>
          <w:rFonts w:ascii="Arial" w:eastAsia="Arial" w:hAnsi="Arial" w:cs="Arial"/>
          <w:sz w:val="20"/>
          <w:szCs w:val="20"/>
          <w:lang w:eastAsia="en-GB"/>
        </w:rPr>
        <w:t xml:space="preserve"> in relation to student views of the embedded academic literacy provision</w:t>
      </w:r>
      <w:r w:rsidR="00110485" w:rsidRPr="00514A92">
        <w:rPr>
          <w:rFonts w:ascii="Arial" w:eastAsia="Arial" w:hAnsi="Arial" w:cs="Arial"/>
          <w:sz w:val="20"/>
          <w:szCs w:val="20"/>
          <w:lang w:eastAsia="en-GB"/>
        </w:rPr>
        <w:t>. S</w:t>
      </w:r>
      <w:r w:rsidR="00A4728D" w:rsidRPr="00514A92">
        <w:rPr>
          <w:rFonts w:ascii="Arial" w:eastAsia="Arial" w:hAnsi="Arial" w:cs="Arial"/>
          <w:sz w:val="20"/>
          <w:szCs w:val="20"/>
          <w:lang w:eastAsia="en-GB"/>
        </w:rPr>
        <w:t>tudent grades were explored using MS Excel for the relative progress</w:t>
      </w:r>
      <w:r w:rsidR="000A41E3" w:rsidRPr="00514A92">
        <w:rPr>
          <w:rFonts w:ascii="Arial" w:eastAsia="Arial" w:hAnsi="Arial" w:cs="Arial"/>
          <w:sz w:val="20"/>
          <w:szCs w:val="20"/>
          <w:lang w:eastAsia="en-GB"/>
        </w:rPr>
        <w:t xml:space="preserve"> across academic years</w:t>
      </w:r>
      <w:r w:rsidR="00A4728D" w:rsidRPr="00514A92">
        <w:rPr>
          <w:rFonts w:ascii="Arial" w:eastAsia="Arial" w:hAnsi="Arial" w:cs="Arial"/>
          <w:sz w:val="20"/>
          <w:szCs w:val="20"/>
          <w:lang w:eastAsia="en-GB"/>
        </w:rPr>
        <w:t>.</w:t>
      </w:r>
      <w:r w:rsidR="00D43FF1" w:rsidRPr="00514A92">
        <w:rPr>
          <w:rFonts w:ascii="Arial" w:eastAsia="Arial" w:hAnsi="Arial" w:cs="Arial"/>
          <w:sz w:val="20"/>
          <w:szCs w:val="20"/>
          <w:lang w:eastAsia="en-GB"/>
        </w:rPr>
        <w:t xml:space="preserve"> </w:t>
      </w:r>
      <w:r w:rsidRPr="00514A92">
        <w:rPr>
          <w:rFonts w:ascii="Arial" w:eastAsia="Arial" w:hAnsi="Arial" w:cs="Arial"/>
          <w:sz w:val="20"/>
          <w:szCs w:val="20"/>
          <w:lang w:eastAsia="en-GB"/>
        </w:rPr>
        <w:t xml:space="preserve">The findings </w:t>
      </w:r>
      <w:r w:rsidR="00325D0E" w:rsidRPr="00514A92">
        <w:rPr>
          <w:rFonts w:ascii="Arial" w:eastAsia="Arial" w:hAnsi="Arial" w:cs="Arial"/>
          <w:sz w:val="20"/>
          <w:szCs w:val="20"/>
          <w:lang w:eastAsia="en-GB"/>
        </w:rPr>
        <w:t xml:space="preserve">reveal the </w:t>
      </w:r>
      <w:r w:rsidRPr="00514A92">
        <w:rPr>
          <w:rFonts w:ascii="Arial" w:eastAsia="Arial" w:hAnsi="Arial" w:cs="Arial"/>
          <w:sz w:val="20"/>
          <w:szCs w:val="20"/>
          <w:lang w:eastAsia="en-GB"/>
        </w:rPr>
        <w:t>positive impact o</w:t>
      </w:r>
      <w:r w:rsidR="003B6A5B" w:rsidRPr="00514A92">
        <w:rPr>
          <w:rFonts w:ascii="Arial" w:eastAsia="Arial" w:hAnsi="Arial" w:cs="Arial"/>
          <w:sz w:val="20"/>
          <w:szCs w:val="20"/>
          <w:lang w:eastAsia="en-GB"/>
        </w:rPr>
        <w:t>f the</w:t>
      </w:r>
      <w:r w:rsidR="00715191" w:rsidRPr="00514A92">
        <w:rPr>
          <w:rFonts w:ascii="Arial" w:eastAsia="Arial" w:hAnsi="Arial" w:cs="Arial"/>
          <w:sz w:val="20"/>
          <w:szCs w:val="20"/>
          <w:lang w:eastAsia="en-GB"/>
        </w:rPr>
        <w:t xml:space="preserve"> </w:t>
      </w:r>
      <w:r w:rsidR="003B6A5B" w:rsidRPr="00514A92">
        <w:rPr>
          <w:rFonts w:ascii="Arial" w:eastAsia="Arial" w:hAnsi="Arial" w:cs="Arial"/>
          <w:sz w:val="20"/>
          <w:szCs w:val="20"/>
          <w:lang w:eastAsia="en-GB"/>
        </w:rPr>
        <w:t>provision o</w:t>
      </w:r>
      <w:r w:rsidRPr="00514A92">
        <w:rPr>
          <w:rFonts w:ascii="Arial" w:eastAsia="Arial" w:hAnsi="Arial" w:cs="Arial"/>
          <w:sz w:val="20"/>
          <w:szCs w:val="20"/>
          <w:lang w:eastAsia="en-GB"/>
        </w:rPr>
        <w:t>n student</w:t>
      </w:r>
      <w:r w:rsidR="003B6A5B" w:rsidRPr="00514A92">
        <w:rPr>
          <w:rFonts w:ascii="Arial" w:eastAsia="Arial" w:hAnsi="Arial" w:cs="Arial"/>
          <w:sz w:val="20"/>
          <w:szCs w:val="20"/>
          <w:lang w:eastAsia="en-GB"/>
        </w:rPr>
        <w:t>s’</w:t>
      </w:r>
      <w:r w:rsidRPr="00514A92">
        <w:rPr>
          <w:rFonts w:ascii="Arial" w:eastAsia="Arial" w:hAnsi="Arial" w:cs="Arial"/>
          <w:sz w:val="20"/>
          <w:szCs w:val="20"/>
          <w:lang w:eastAsia="en-GB"/>
        </w:rPr>
        <w:t xml:space="preserve"> </w:t>
      </w:r>
      <w:r w:rsidR="004B6C76" w:rsidRPr="00514A92">
        <w:rPr>
          <w:rFonts w:ascii="Arial" w:eastAsia="Arial" w:hAnsi="Arial" w:cs="Arial"/>
          <w:sz w:val="20"/>
          <w:szCs w:val="20"/>
          <w:lang w:eastAsia="en-GB"/>
        </w:rPr>
        <w:t xml:space="preserve">attainment and </w:t>
      </w:r>
      <w:r w:rsidR="00D43FF1" w:rsidRPr="00514A92">
        <w:rPr>
          <w:rFonts w:ascii="Arial" w:eastAsia="Arial" w:hAnsi="Arial" w:cs="Arial"/>
          <w:sz w:val="20"/>
          <w:szCs w:val="20"/>
          <w:lang w:eastAsia="en-GB"/>
        </w:rPr>
        <w:t>confidence as learner</w:t>
      </w:r>
      <w:r w:rsidR="003B6A5B" w:rsidRPr="00514A92">
        <w:rPr>
          <w:rFonts w:ascii="Arial" w:eastAsia="Arial" w:hAnsi="Arial" w:cs="Arial"/>
          <w:sz w:val="20"/>
          <w:szCs w:val="20"/>
          <w:lang w:eastAsia="en-GB"/>
        </w:rPr>
        <w:t>s</w:t>
      </w:r>
      <w:r w:rsidR="00D43FF1" w:rsidRPr="00514A92">
        <w:rPr>
          <w:rFonts w:ascii="Arial" w:eastAsia="Arial" w:hAnsi="Arial" w:cs="Arial"/>
          <w:sz w:val="20"/>
          <w:szCs w:val="20"/>
          <w:lang w:eastAsia="en-GB"/>
        </w:rPr>
        <w:t xml:space="preserve"> and writer</w:t>
      </w:r>
      <w:r w:rsidR="003B6A5B" w:rsidRPr="00514A92">
        <w:rPr>
          <w:rFonts w:ascii="Arial" w:eastAsia="Arial" w:hAnsi="Arial" w:cs="Arial"/>
          <w:sz w:val="20"/>
          <w:szCs w:val="20"/>
          <w:lang w:eastAsia="en-GB"/>
        </w:rPr>
        <w:t>s</w:t>
      </w:r>
      <w:r w:rsidR="00D43FF1" w:rsidRPr="00514A92">
        <w:rPr>
          <w:rFonts w:ascii="Arial" w:eastAsia="Arial" w:hAnsi="Arial" w:cs="Arial"/>
          <w:sz w:val="20"/>
          <w:szCs w:val="20"/>
          <w:lang w:eastAsia="en-GB"/>
        </w:rPr>
        <w:t xml:space="preserve"> in higher education. </w:t>
      </w:r>
      <w:r w:rsidR="00325D0E" w:rsidRPr="00514A92">
        <w:rPr>
          <w:rFonts w:ascii="Arial" w:eastAsia="Arial" w:hAnsi="Arial" w:cs="Arial"/>
          <w:sz w:val="20"/>
          <w:szCs w:val="20"/>
          <w:lang w:eastAsia="en-GB"/>
        </w:rPr>
        <w:t>Th</w:t>
      </w:r>
      <w:r w:rsidR="000A41E3" w:rsidRPr="00514A92">
        <w:rPr>
          <w:rFonts w:ascii="Arial" w:eastAsia="Arial" w:hAnsi="Arial" w:cs="Arial"/>
          <w:sz w:val="20"/>
          <w:szCs w:val="20"/>
          <w:lang w:eastAsia="en-GB"/>
        </w:rPr>
        <w:t>is</w:t>
      </w:r>
      <w:r w:rsidR="00325D0E" w:rsidRPr="00514A92">
        <w:rPr>
          <w:rFonts w:ascii="Arial" w:eastAsia="Arial" w:hAnsi="Arial" w:cs="Arial"/>
          <w:sz w:val="20"/>
          <w:szCs w:val="20"/>
          <w:lang w:eastAsia="en-GB"/>
        </w:rPr>
        <w:t xml:space="preserve"> paper concludes with pedagogical i</w:t>
      </w:r>
      <w:r w:rsidR="00110485" w:rsidRPr="00514A92">
        <w:rPr>
          <w:rFonts w:ascii="Arial" w:eastAsia="Arial" w:hAnsi="Arial" w:cs="Arial"/>
          <w:sz w:val="20"/>
          <w:szCs w:val="20"/>
          <w:lang w:eastAsia="en-GB"/>
        </w:rPr>
        <w:t xml:space="preserve">mplications and a discussion of </w:t>
      </w:r>
      <w:r w:rsidR="00325D0E" w:rsidRPr="00514A92">
        <w:rPr>
          <w:rFonts w:ascii="Arial" w:eastAsia="Arial" w:hAnsi="Arial" w:cs="Arial"/>
          <w:sz w:val="20"/>
          <w:szCs w:val="20"/>
          <w:lang w:eastAsia="en-GB"/>
        </w:rPr>
        <w:t>p</w:t>
      </w:r>
      <w:r w:rsidR="00110485" w:rsidRPr="00514A92">
        <w:rPr>
          <w:rFonts w:ascii="Arial" w:eastAsia="Arial" w:hAnsi="Arial" w:cs="Arial"/>
          <w:sz w:val="20"/>
          <w:szCs w:val="20"/>
          <w:lang w:eastAsia="en-GB"/>
        </w:rPr>
        <w:t xml:space="preserve">otential areas for further research to </w:t>
      </w:r>
      <w:r w:rsidR="00325D0E" w:rsidRPr="00514A92">
        <w:rPr>
          <w:rFonts w:ascii="Arial" w:eastAsia="Arial" w:hAnsi="Arial" w:cs="Arial"/>
          <w:sz w:val="20"/>
          <w:szCs w:val="20"/>
          <w:lang w:eastAsia="en-GB"/>
        </w:rPr>
        <w:t xml:space="preserve">investigate </w:t>
      </w:r>
      <w:r w:rsidR="00C914E0" w:rsidRPr="00514A92">
        <w:rPr>
          <w:rFonts w:ascii="Arial" w:eastAsia="Arial" w:hAnsi="Arial" w:cs="Arial"/>
          <w:sz w:val="20"/>
          <w:szCs w:val="20"/>
          <w:lang w:eastAsia="en-GB"/>
        </w:rPr>
        <w:t xml:space="preserve">the diversification of support modes as to accommodate different learning styles of students.  </w:t>
      </w:r>
    </w:p>
    <w:p w14:paraId="1DBCD72B" w14:textId="70973F7F" w:rsidR="001833F5" w:rsidRPr="00514A92" w:rsidRDefault="001833F5" w:rsidP="00BD38D7">
      <w:pPr>
        <w:autoSpaceDE w:val="0"/>
        <w:autoSpaceDN w:val="0"/>
        <w:adjustRightInd w:val="0"/>
        <w:jc w:val="both"/>
        <w:rPr>
          <w:rFonts w:ascii="Arial" w:eastAsia="Arial" w:hAnsi="Arial" w:cs="Arial"/>
          <w:sz w:val="20"/>
          <w:szCs w:val="20"/>
          <w:lang w:eastAsia="en-GB"/>
        </w:rPr>
      </w:pPr>
    </w:p>
    <w:p w14:paraId="756BD1C9" w14:textId="043DF26E" w:rsidR="001833F5" w:rsidRPr="00514A92" w:rsidRDefault="001833F5" w:rsidP="00BD38D7">
      <w:pPr>
        <w:autoSpaceDE w:val="0"/>
        <w:autoSpaceDN w:val="0"/>
        <w:adjustRightInd w:val="0"/>
        <w:jc w:val="both"/>
        <w:rPr>
          <w:rFonts w:ascii="Arial" w:eastAsia="Arial" w:hAnsi="Arial" w:cs="Arial"/>
          <w:sz w:val="20"/>
          <w:szCs w:val="20"/>
          <w:lang w:eastAsia="en-GB"/>
        </w:rPr>
      </w:pPr>
      <w:r w:rsidRPr="00514A92">
        <w:rPr>
          <w:rFonts w:ascii="Arial" w:eastAsia="Arial" w:hAnsi="Arial" w:cs="Arial"/>
          <w:i/>
          <w:sz w:val="20"/>
          <w:szCs w:val="20"/>
          <w:lang w:eastAsia="en-GB"/>
        </w:rPr>
        <w:t>Keywords</w:t>
      </w:r>
      <w:r w:rsidRPr="00514A92">
        <w:rPr>
          <w:rFonts w:ascii="Arial" w:eastAsia="Arial" w:hAnsi="Arial" w:cs="Arial"/>
          <w:sz w:val="20"/>
          <w:szCs w:val="20"/>
          <w:lang w:eastAsia="en-GB"/>
        </w:rPr>
        <w:t xml:space="preserve">: </w:t>
      </w:r>
      <w:r w:rsidR="009D0903" w:rsidRPr="00514A92">
        <w:rPr>
          <w:rFonts w:ascii="Arial" w:eastAsia="Arial" w:hAnsi="Arial" w:cs="Arial"/>
          <w:sz w:val="20"/>
          <w:szCs w:val="20"/>
          <w:lang w:eastAsia="en-GB"/>
        </w:rPr>
        <w:t>i</w:t>
      </w:r>
      <w:r w:rsidRPr="00514A92">
        <w:rPr>
          <w:rFonts w:ascii="Arial" w:eastAsia="Arial" w:hAnsi="Arial" w:cs="Arial"/>
          <w:sz w:val="20"/>
          <w:szCs w:val="20"/>
          <w:lang w:eastAsia="en-GB"/>
        </w:rPr>
        <w:t>nclusive; embedded; academic literacies; genre-based approach; higher education</w:t>
      </w:r>
    </w:p>
    <w:p w14:paraId="15D86EAE" w14:textId="77777777" w:rsidR="006478B0" w:rsidRPr="00514A92" w:rsidRDefault="006478B0"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22F8723B" w14:textId="6B11CAA1" w:rsidR="00D82BC4" w:rsidRPr="00514A92" w:rsidRDefault="00CE7CBB"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r w:rsidRPr="00514A92">
        <w:rPr>
          <w:rFonts w:cs="Arial"/>
          <w:b/>
          <w:sz w:val="22"/>
          <w:szCs w:val="22"/>
        </w:rPr>
        <w:t xml:space="preserve">1. </w:t>
      </w:r>
      <w:r w:rsidR="00D82BC4" w:rsidRPr="00514A92">
        <w:rPr>
          <w:rFonts w:cs="Arial"/>
          <w:b/>
          <w:sz w:val="22"/>
          <w:szCs w:val="22"/>
        </w:rPr>
        <w:t>Introduction</w:t>
      </w:r>
      <w:bookmarkEnd w:id="0"/>
    </w:p>
    <w:p w14:paraId="2328B0C2" w14:textId="77777777" w:rsidR="00A1467F" w:rsidRPr="00514A92" w:rsidRDefault="00A1467F"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6707CAFB" w14:textId="02C3CEC0" w:rsidR="00F96B39" w:rsidRPr="00514A92" w:rsidRDefault="00D82BC4" w:rsidP="00BD38D7">
      <w:pPr>
        <w:pStyle w:val="BodyText2"/>
        <w:pBdr>
          <w:top w:val="none" w:sz="0" w:space="0" w:color="auto"/>
          <w:left w:val="none" w:sz="0" w:space="0" w:color="auto"/>
          <w:bottom w:val="none" w:sz="0" w:space="0" w:color="auto"/>
          <w:right w:val="none" w:sz="0" w:space="0" w:color="auto"/>
        </w:pBdr>
        <w:spacing w:before="0" w:after="0"/>
        <w:jc w:val="both"/>
        <w:rPr>
          <w:rFonts w:ascii="Arial" w:hAnsi="Arial" w:cs="Arial"/>
          <w:sz w:val="20"/>
          <w:szCs w:val="20"/>
        </w:rPr>
      </w:pPr>
      <w:r w:rsidRPr="00514A92">
        <w:rPr>
          <w:rFonts w:ascii="Arial" w:hAnsi="Arial" w:cs="Arial"/>
          <w:sz w:val="20"/>
          <w:szCs w:val="20"/>
        </w:rPr>
        <w:t xml:space="preserve">This </w:t>
      </w:r>
      <w:r w:rsidR="008F1240" w:rsidRPr="00514A92">
        <w:rPr>
          <w:rFonts w:ascii="Arial" w:hAnsi="Arial" w:cs="Arial"/>
          <w:sz w:val="20"/>
          <w:szCs w:val="20"/>
        </w:rPr>
        <w:t xml:space="preserve">article </w:t>
      </w:r>
      <w:r w:rsidRPr="00514A92">
        <w:rPr>
          <w:rFonts w:ascii="Arial" w:hAnsi="Arial" w:cs="Arial"/>
          <w:sz w:val="20"/>
          <w:szCs w:val="20"/>
        </w:rPr>
        <w:t>documents an action research project</w:t>
      </w:r>
      <w:r w:rsidR="00230631" w:rsidRPr="00514A92">
        <w:rPr>
          <w:rFonts w:ascii="Arial" w:hAnsi="Arial" w:cs="Arial"/>
          <w:sz w:val="20"/>
          <w:szCs w:val="20"/>
        </w:rPr>
        <w:t>,</w:t>
      </w:r>
      <w:r w:rsidRPr="00514A92">
        <w:rPr>
          <w:rFonts w:ascii="Arial" w:hAnsi="Arial" w:cs="Arial"/>
          <w:sz w:val="20"/>
          <w:szCs w:val="20"/>
        </w:rPr>
        <w:t xml:space="preserve"> which </w:t>
      </w:r>
      <w:r w:rsidR="008F1240" w:rsidRPr="00514A92">
        <w:rPr>
          <w:rFonts w:ascii="Arial" w:hAnsi="Arial" w:cs="Arial"/>
          <w:sz w:val="20"/>
          <w:szCs w:val="20"/>
        </w:rPr>
        <w:t xml:space="preserve">aimed </w:t>
      </w:r>
      <w:r w:rsidRPr="00514A92">
        <w:rPr>
          <w:rFonts w:ascii="Arial" w:hAnsi="Arial" w:cs="Arial"/>
          <w:sz w:val="20"/>
          <w:szCs w:val="20"/>
        </w:rPr>
        <w:t xml:space="preserve">to </w:t>
      </w:r>
      <w:r w:rsidR="001F424C" w:rsidRPr="00514A92">
        <w:rPr>
          <w:rFonts w:ascii="Arial" w:hAnsi="Arial" w:cs="Arial"/>
          <w:sz w:val="20"/>
          <w:szCs w:val="20"/>
        </w:rPr>
        <w:t xml:space="preserve">investigate the </w:t>
      </w:r>
      <w:r w:rsidR="003B6A5B" w:rsidRPr="00514A92">
        <w:rPr>
          <w:rFonts w:ascii="Arial" w:hAnsi="Arial" w:cs="Arial"/>
          <w:sz w:val="20"/>
          <w:szCs w:val="20"/>
        </w:rPr>
        <w:t xml:space="preserve">impact of </w:t>
      </w:r>
      <w:r w:rsidRPr="00514A92">
        <w:rPr>
          <w:rFonts w:ascii="Arial" w:hAnsi="Arial" w:cs="Arial"/>
          <w:sz w:val="20"/>
          <w:szCs w:val="20"/>
        </w:rPr>
        <w:t>an inclusive</w:t>
      </w:r>
      <w:r w:rsidR="00276785" w:rsidRPr="00514A92">
        <w:rPr>
          <w:rFonts w:ascii="Arial" w:hAnsi="Arial" w:cs="Arial"/>
          <w:sz w:val="20"/>
          <w:szCs w:val="20"/>
        </w:rPr>
        <w:t xml:space="preserve"> writing</w:t>
      </w:r>
      <w:r w:rsidRPr="00514A92">
        <w:rPr>
          <w:rFonts w:ascii="Arial" w:hAnsi="Arial" w:cs="Arial"/>
          <w:sz w:val="20"/>
          <w:szCs w:val="20"/>
        </w:rPr>
        <w:t xml:space="preserve"> approach</w:t>
      </w:r>
      <w:r w:rsidR="00276785" w:rsidRPr="00514A92">
        <w:rPr>
          <w:rFonts w:ascii="Arial" w:hAnsi="Arial" w:cs="Arial"/>
          <w:sz w:val="20"/>
          <w:szCs w:val="20"/>
        </w:rPr>
        <w:t xml:space="preserve"> that </w:t>
      </w:r>
      <w:r w:rsidR="00E31103" w:rsidRPr="00514A92">
        <w:rPr>
          <w:rFonts w:ascii="Arial" w:hAnsi="Arial" w:cs="Arial"/>
          <w:sz w:val="20"/>
          <w:szCs w:val="20"/>
        </w:rPr>
        <w:t>foregrounds</w:t>
      </w:r>
      <w:r w:rsidR="002300D8" w:rsidRPr="00514A92">
        <w:rPr>
          <w:rFonts w:ascii="Arial" w:hAnsi="Arial" w:cs="Arial"/>
          <w:sz w:val="20"/>
          <w:szCs w:val="20"/>
        </w:rPr>
        <w:t xml:space="preserve"> the explicit embedding of academic literacy</w:t>
      </w:r>
      <w:r w:rsidR="001F424C" w:rsidRPr="00514A92">
        <w:rPr>
          <w:rFonts w:ascii="Arial" w:hAnsi="Arial" w:cs="Arial"/>
          <w:sz w:val="20"/>
          <w:szCs w:val="20"/>
        </w:rPr>
        <w:t xml:space="preserve"> </w:t>
      </w:r>
      <w:r w:rsidR="002300D8" w:rsidRPr="00514A92">
        <w:rPr>
          <w:rFonts w:ascii="Arial" w:hAnsi="Arial" w:cs="Arial"/>
          <w:sz w:val="20"/>
          <w:szCs w:val="20"/>
        </w:rPr>
        <w:t>instruction within the subject curriculum</w:t>
      </w:r>
      <w:r w:rsidR="006E101C" w:rsidRPr="00514A92">
        <w:rPr>
          <w:rFonts w:ascii="Arial" w:hAnsi="Arial" w:cs="Arial"/>
          <w:sz w:val="20"/>
          <w:szCs w:val="20"/>
        </w:rPr>
        <w:t xml:space="preserve"> (</w:t>
      </w:r>
      <w:r w:rsidR="009D0903" w:rsidRPr="00514A92">
        <w:rPr>
          <w:rFonts w:ascii="Arial" w:hAnsi="Arial" w:cs="Arial"/>
          <w:sz w:val="20"/>
          <w:szCs w:val="20"/>
        </w:rPr>
        <w:t>as opposed to more generic, external writing support</w:t>
      </w:r>
      <w:r w:rsidR="006E101C" w:rsidRPr="00514A92">
        <w:rPr>
          <w:rFonts w:ascii="Arial" w:hAnsi="Arial" w:cs="Arial"/>
          <w:sz w:val="20"/>
          <w:szCs w:val="20"/>
        </w:rPr>
        <w:t>)</w:t>
      </w:r>
      <w:r w:rsidR="002300D8" w:rsidRPr="00514A92">
        <w:rPr>
          <w:rFonts w:ascii="Arial" w:hAnsi="Arial" w:cs="Arial"/>
          <w:sz w:val="20"/>
          <w:szCs w:val="20"/>
        </w:rPr>
        <w:t xml:space="preserve">. The research </w:t>
      </w:r>
      <w:r w:rsidR="003834A5" w:rsidRPr="00514A92">
        <w:rPr>
          <w:rFonts w:ascii="Arial" w:hAnsi="Arial" w:cs="Arial"/>
          <w:sz w:val="20"/>
          <w:szCs w:val="20"/>
        </w:rPr>
        <w:t>drew</w:t>
      </w:r>
      <w:r w:rsidR="002300D8" w:rsidRPr="00514A92">
        <w:rPr>
          <w:rFonts w:ascii="Arial" w:hAnsi="Arial" w:cs="Arial"/>
          <w:sz w:val="20"/>
          <w:szCs w:val="20"/>
        </w:rPr>
        <w:t xml:space="preserve"> on a redesigned </w:t>
      </w:r>
      <w:r w:rsidR="009D0903" w:rsidRPr="00514A92">
        <w:rPr>
          <w:rFonts w:ascii="Arial" w:hAnsi="Arial" w:cs="Arial"/>
          <w:sz w:val="20"/>
          <w:szCs w:val="20"/>
        </w:rPr>
        <w:t xml:space="preserve">research module </w:t>
      </w:r>
      <w:r w:rsidR="002300D8" w:rsidRPr="00514A92">
        <w:rPr>
          <w:rFonts w:ascii="Arial" w:hAnsi="Arial" w:cs="Arial"/>
          <w:sz w:val="20"/>
          <w:szCs w:val="20"/>
        </w:rPr>
        <w:t xml:space="preserve">in a </w:t>
      </w:r>
      <w:r w:rsidR="009D0903" w:rsidRPr="00514A92">
        <w:rPr>
          <w:rFonts w:ascii="Arial" w:hAnsi="Arial" w:cs="Arial"/>
          <w:sz w:val="20"/>
          <w:szCs w:val="20"/>
        </w:rPr>
        <w:t xml:space="preserve">social science </w:t>
      </w:r>
      <w:r w:rsidR="002300D8" w:rsidRPr="00514A92">
        <w:rPr>
          <w:rFonts w:ascii="Arial" w:hAnsi="Arial" w:cs="Arial"/>
          <w:sz w:val="20"/>
          <w:szCs w:val="20"/>
        </w:rPr>
        <w:t>foundation programme</w:t>
      </w:r>
      <w:r w:rsidR="00530901" w:rsidRPr="00514A92">
        <w:rPr>
          <w:rStyle w:val="FootnoteReference"/>
          <w:rFonts w:ascii="Arial" w:hAnsi="Arial" w:cs="Arial"/>
          <w:sz w:val="20"/>
          <w:szCs w:val="20"/>
        </w:rPr>
        <w:footnoteReference w:id="1"/>
      </w:r>
      <w:r w:rsidR="002300D8" w:rsidRPr="00514A92">
        <w:rPr>
          <w:rFonts w:ascii="Arial" w:hAnsi="Arial" w:cs="Arial"/>
          <w:sz w:val="20"/>
          <w:szCs w:val="20"/>
        </w:rPr>
        <w:t xml:space="preserve"> for 2015-16 at a </w:t>
      </w:r>
      <w:r w:rsidR="00C0592C" w:rsidRPr="00514A92">
        <w:rPr>
          <w:rFonts w:ascii="Arial" w:hAnsi="Arial" w:cs="Arial"/>
          <w:sz w:val="20"/>
          <w:szCs w:val="20"/>
        </w:rPr>
        <w:t>UK</w:t>
      </w:r>
      <w:r w:rsidR="00E8081C" w:rsidRPr="00514A92">
        <w:rPr>
          <w:rFonts w:ascii="Arial" w:hAnsi="Arial" w:cs="Arial"/>
          <w:sz w:val="20"/>
          <w:szCs w:val="20"/>
        </w:rPr>
        <w:t>-based</w:t>
      </w:r>
      <w:r w:rsidR="00C0592C" w:rsidRPr="00514A92">
        <w:rPr>
          <w:rFonts w:ascii="Arial" w:hAnsi="Arial" w:cs="Arial"/>
          <w:sz w:val="20"/>
          <w:szCs w:val="20"/>
        </w:rPr>
        <w:t xml:space="preserve"> </w:t>
      </w:r>
      <w:r w:rsidR="002300D8" w:rsidRPr="00514A92">
        <w:rPr>
          <w:rFonts w:ascii="Arial" w:hAnsi="Arial" w:cs="Arial"/>
          <w:sz w:val="20"/>
          <w:szCs w:val="20"/>
        </w:rPr>
        <w:t>post-1992 institution</w:t>
      </w:r>
      <w:r w:rsidR="00E65490" w:rsidRPr="00514A92">
        <w:rPr>
          <w:rStyle w:val="FootnoteReference"/>
          <w:rFonts w:ascii="Arial" w:eastAsia="Arial" w:hAnsi="Arial" w:cs="Arial"/>
          <w:sz w:val="20"/>
          <w:szCs w:val="20"/>
          <w:lang w:eastAsia="en-GB"/>
        </w:rPr>
        <w:footnoteReference w:id="2"/>
      </w:r>
      <w:r w:rsidR="002300D8" w:rsidRPr="00514A92">
        <w:rPr>
          <w:rFonts w:ascii="Arial" w:hAnsi="Arial" w:cs="Arial"/>
          <w:sz w:val="20"/>
          <w:szCs w:val="20"/>
        </w:rPr>
        <w:t xml:space="preserve">, where we </w:t>
      </w:r>
      <w:r w:rsidR="009D0903" w:rsidRPr="00514A92">
        <w:rPr>
          <w:rFonts w:ascii="Arial" w:hAnsi="Arial" w:cs="Arial"/>
          <w:sz w:val="20"/>
          <w:szCs w:val="20"/>
        </w:rPr>
        <w:t>worked closely with the module leader</w:t>
      </w:r>
      <w:r w:rsidR="00F3038F" w:rsidRPr="00514A92">
        <w:rPr>
          <w:rFonts w:ascii="Arial" w:hAnsi="Arial" w:cs="Arial"/>
          <w:sz w:val="20"/>
          <w:szCs w:val="20"/>
        </w:rPr>
        <w:t>/subject lecturer</w:t>
      </w:r>
      <w:r w:rsidR="009D0903" w:rsidRPr="00514A92">
        <w:rPr>
          <w:rFonts w:ascii="Arial" w:hAnsi="Arial" w:cs="Arial"/>
          <w:sz w:val="20"/>
          <w:szCs w:val="20"/>
        </w:rPr>
        <w:t xml:space="preserve"> to embed</w:t>
      </w:r>
      <w:r w:rsidR="002300D8" w:rsidRPr="00514A92">
        <w:rPr>
          <w:rFonts w:ascii="Arial" w:hAnsi="Arial" w:cs="Arial"/>
          <w:sz w:val="20"/>
          <w:szCs w:val="20"/>
        </w:rPr>
        <w:t xml:space="preserve"> our writing support in line with the subject content and assessments</w:t>
      </w:r>
      <w:r w:rsidR="00100606" w:rsidRPr="00514A92">
        <w:rPr>
          <w:rFonts w:ascii="Arial" w:hAnsi="Arial" w:cs="Arial"/>
          <w:sz w:val="20"/>
          <w:szCs w:val="20"/>
        </w:rPr>
        <w:t xml:space="preserve"> within the programme of study</w:t>
      </w:r>
      <w:r w:rsidR="002300D8" w:rsidRPr="00514A92">
        <w:rPr>
          <w:rFonts w:ascii="Arial" w:hAnsi="Arial" w:cs="Arial"/>
          <w:sz w:val="20"/>
          <w:szCs w:val="20"/>
        </w:rPr>
        <w:t>.</w:t>
      </w:r>
      <w:r w:rsidR="00FD5528" w:rsidRPr="00514A92">
        <w:rPr>
          <w:rFonts w:ascii="Arial" w:hAnsi="Arial" w:cs="Arial"/>
          <w:sz w:val="20"/>
          <w:szCs w:val="20"/>
        </w:rPr>
        <w:t xml:space="preserve"> </w:t>
      </w:r>
      <w:r w:rsidR="00F96B39" w:rsidRPr="00514A92">
        <w:rPr>
          <w:rFonts w:ascii="Arial" w:hAnsi="Arial" w:cs="Arial"/>
          <w:sz w:val="20"/>
          <w:szCs w:val="20"/>
        </w:rPr>
        <w:t xml:space="preserve">The consideration of the embedded </w:t>
      </w:r>
      <w:r w:rsidR="00FD5528" w:rsidRPr="00514A92">
        <w:rPr>
          <w:rFonts w:ascii="Arial" w:hAnsi="Arial" w:cs="Arial"/>
          <w:sz w:val="20"/>
          <w:szCs w:val="20"/>
        </w:rPr>
        <w:t xml:space="preserve">and compulsory </w:t>
      </w:r>
      <w:r w:rsidR="00F96B39" w:rsidRPr="00514A92">
        <w:rPr>
          <w:rFonts w:ascii="Arial" w:hAnsi="Arial" w:cs="Arial"/>
          <w:sz w:val="20"/>
          <w:szCs w:val="20"/>
        </w:rPr>
        <w:t>discipline-specific writing pedagogy</w:t>
      </w:r>
      <w:r w:rsidR="00D249F8" w:rsidRPr="00514A92">
        <w:rPr>
          <w:rFonts w:ascii="Arial" w:hAnsi="Arial" w:cs="Arial"/>
          <w:sz w:val="20"/>
          <w:szCs w:val="20"/>
        </w:rPr>
        <w:t xml:space="preserve"> is</w:t>
      </w:r>
      <w:r w:rsidR="00F96B39" w:rsidRPr="00514A92">
        <w:rPr>
          <w:rFonts w:ascii="Arial" w:hAnsi="Arial" w:cs="Arial"/>
          <w:sz w:val="20"/>
          <w:szCs w:val="20"/>
        </w:rPr>
        <w:t xml:space="preserve"> in part to eliminate the concept of ‘stigma’, which dissuades some students from seeking ‘extra’ writing support. This is particularly the case when the University offers non-traditional HE students</w:t>
      </w:r>
      <w:r w:rsidR="00F96B39" w:rsidRPr="00514A92">
        <w:rPr>
          <w:rStyle w:val="FootnoteReference"/>
          <w:rFonts w:ascii="Arial" w:hAnsi="Arial" w:cs="Arial"/>
          <w:sz w:val="20"/>
          <w:szCs w:val="20"/>
        </w:rPr>
        <w:footnoteReference w:id="3"/>
      </w:r>
      <w:r w:rsidR="00F96B39" w:rsidRPr="00514A92">
        <w:rPr>
          <w:rFonts w:ascii="Arial" w:hAnsi="Arial" w:cs="Arial"/>
          <w:sz w:val="20"/>
          <w:szCs w:val="20"/>
        </w:rPr>
        <w:t xml:space="preserve"> admission through alternative pathways (</w:t>
      </w:r>
      <w:r w:rsidR="00F32E23" w:rsidRPr="00514A92">
        <w:rPr>
          <w:rFonts w:ascii="Arial" w:hAnsi="Arial" w:cs="Arial"/>
          <w:sz w:val="20"/>
          <w:szCs w:val="20"/>
        </w:rPr>
        <w:t xml:space="preserve">cf. </w:t>
      </w:r>
      <w:r w:rsidR="00F96B39" w:rsidRPr="00514A92">
        <w:rPr>
          <w:rFonts w:ascii="Arial" w:hAnsi="Arial" w:cs="Arial"/>
          <w:sz w:val="20"/>
          <w:szCs w:val="20"/>
        </w:rPr>
        <w:t>A-Levels</w:t>
      </w:r>
      <w:r w:rsidR="00530901" w:rsidRPr="00514A92">
        <w:rPr>
          <w:rStyle w:val="FootnoteReference"/>
          <w:rFonts w:ascii="Arial" w:hAnsi="Arial" w:cs="Arial"/>
          <w:sz w:val="20"/>
          <w:szCs w:val="20"/>
        </w:rPr>
        <w:footnoteReference w:id="4"/>
      </w:r>
      <w:r w:rsidR="00F96B39" w:rsidRPr="00514A92">
        <w:rPr>
          <w:rFonts w:ascii="Arial" w:hAnsi="Arial" w:cs="Arial"/>
          <w:sz w:val="20"/>
          <w:szCs w:val="20"/>
        </w:rPr>
        <w:t xml:space="preserve">) as part of widening participation (McQueen et al., 2009), and as such, students may perceive academic cultures as alien to them. In other words, “many students are not fully prepared for the demands of academic writing, which is the key assessment tool at universities </w:t>
      </w:r>
      <w:r w:rsidR="00F96B39" w:rsidRPr="00514A92">
        <w:rPr>
          <w:rFonts w:ascii="Arial" w:hAnsi="Arial" w:cs="Arial"/>
          <w:sz w:val="20"/>
          <w:szCs w:val="20"/>
        </w:rPr>
        <w:lastRenderedPageBreak/>
        <w:t>in the UK” (Win</w:t>
      </w:r>
      <w:r w:rsidR="00182377" w:rsidRPr="00514A92">
        <w:rPr>
          <w:rFonts w:ascii="Arial" w:hAnsi="Arial" w:cs="Arial"/>
          <w:sz w:val="20"/>
          <w:szCs w:val="20"/>
        </w:rPr>
        <w:t>gate, Andon &amp; Cogo</w:t>
      </w:r>
      <w:r w:rsidR="00F96B39" w:rsidRPr="00514A92">
        <w:rPr>
          <w:rFonts w:ascii="Arial" w:hAnsi="Arial" w:cs="Arial"/>
          <w:sz w:val="20"/>
          <w:szCs w:val="20"/>
        </w:rPr>
        <w:t xml:space="preserve"> 2011</w:t>
      </w:r>
      <w:r w:rsidR="00182377" w:rsidRPr="00514A92">
        <w:rPr>
          <w:rFonts w:ascii="Arial" w:hAnsi="Arial" w:cs="Arial"/>
          <w:sz w:val="20"/>
          <w:szCs w:val="20"/>
        </w:rPr>
        <w:t>:</w:t>
      </w:r>
      <w:r w:rsidR="00F96B39" w:rsidRPr="00514A92">
        <w:rPr>
          <w:rFonts w:ascii="Arial" w:hAnsi="Arial" w:cs="Arial"/>
          <w:sz w:val="20"/>
          <w:szCs w:val="20"/>
        </w:rPr>
        <w:t xml:space="preserve"> 70).</w:t>
      </w:r>
      <w:r w:rsidR="00744BA9" w:rsidRPr="00514A92">
        <w:rPr>
          <w:rFonts w:ascii="Arial" w:hAnsi="Arial" w:cs="Arial"/>
          <w:sz w:val="20"/>
          <w:szCs w:val="20"/>
        </w:rPr>
        <w:t xml:space="preserve"> This is now even more </w:t>
      </w:r>
      <w:r w:rsidR="001F32E5" w:rsidRPr="00514A92">
        <w:rPr>
          <w:rFonts w:ascii="Arial" w:hAnsi="Arial" w:cs="Arial"/>
          <w:sz w:val="20"/>
          <w:szCs w:val="20"/>
        </w:rPr>
        <w:t>prominent</w:t>
      </w:r>
      <w:r w:rsidR="001F32E5" w:rsidRPr="00514A92" w:rsidDel="001F32E5">
        <w:rPr>
          <w:rFonts w:ascii="Arial" w:hAnsi="Arial" w:cs="Arial"/>
          <w:sz w:val="20"/>
          <w:szCs w:val="20"/>
        </w:rPr>
        <w:t xml:space="preserve"> </w:t>
      </w:r>
      <w:r w:rsidR="001F32E5" w:rsidRPr="00514A92">
        <w:rPr>
          <w:rFonts w:ascii="Arial" w:hAnsi="Arial" w:cs="Arial"/>
          <w:sz w:val="20"/>
          <w:szCs w:val="20"/>
        </w:rPr>
        <w:t>due to</w:t>
      </w:r>
      <w:r w:rsidR="00744BA9" w:rsidRPr="00514A92">
        <w:rPr>
          <w:rFonts w:ascii="Arial" w:hAnsi="Arial" w:cs="Arial"/>
          <w:sz w:val="20"/>
          <w:szCs w:val="20"/>
        </w:rPr>
        <w:t xml:space="preserve"> the diversification of assessment practice</w:t>
      </w:r>
      <w:r w:rsidR="00D249F8" w:rsidRPr="00514A92">
        <w:rPr>
          <w:rFonts w:ascii="Arial" w:hAnsi="Arial" w:cs="Arial"/>
          <w:sz w:val="20"/>
          <w:szCs w:val="20"/>
        </w:rPr>
        <w:t xml:space="preserve"> in higher education</w:t>
      </w:r>
      <w:r w:rsidR="001F32E5" w:rsidRPr="00514A92">
        <w:rPr>
          <w:rFonts w:ascii="Arial" w:hAnsi="Arial" w:cs="Arial"/>
          <w:sz w:val="20"/>
          <w:szCs w:val="20"/>
        </w:rPr>
        <w:t>.</w:t>
      </w:r>
    </w:p>
    <w:p w14:paraId="5785B33E" w14:textId="77777777" w:rsidR="00F96B39" w:rsidRPr="00514A92" w:rsidRDefault="00F96B39" w:rsidP="00BD38D7">
      <w:pPr>
        <w:pStyle w:val="BodyText2"/>
        <w:pBdr>
          <w:top w:val="none" w:sz="0" w:space="0" w:color="auto"/>
          <w:left w:val="none" w:sz="0" w:space="0" w:color="auto"/>
          <w:bottom w:val="none" w:sz="0" w:space="0" w:color="auto"/>
          <w:right w:val="none" w:sz="0" w:space="0" w:color="auto"/>
        </w:pBdr>
        <w:spacing w:before="0" w:after="0"/>
        <w:jc w:val="both"/>
        <w:rPr>
          <w:rFonts w:ascii="Arial" w:hAnsi="Arial" w:cs="Arial"/>
          <w:sz w:val="20"/>
          <w:szCs w:val="20"/>
        </w:rPr>
      </w:pPr>
    </w:p>
    <w:p w14:paraId="14D02D7D" w14:textId="139CB8E7" w:rsidR="00ED47B6" w:rsidRPr="00514A92" w:rsidRDefault="00F96B39" w:rsidP="00BD38D7">
      <w:pPr>
        <w:pStyle w:val="BodyText2"/>
        <w:pBdr>
          <w:top w:val="none" w:sz="0" w:space="0" w:color="auto"/>
          <w:left w:val="none" w:sz="0" w:space="0" w:color="auto"/>
          <w:bottom w:val="none" w:sz="0" w:space="0" w:color="auto"/>
          <w:right w:val="none" w:sz="0" w:space="0" w:color="auto"/>
        </w:pBdr>
        <w:spacing w:before="0" w:after="0"/>
        <w:jc w:val="both"/>
        <w:rPr>
          <w:rFonts w:ascii="Arial" w:hAnsi="Arial" w:cs="Arial"/>
          <w:sz w:val="20"/>
          <w:szCs w:val="20"/>
        </w:rPr>
      </w:pPr>
      <w:r w:rsidRPr="00514A92">
        <w:rPr>
          <w:rFonts w:ascii="Arial" w:hAnsi="Arial" w:cs="Arial"/>
          <w:sz w:val="20"/>
          <w:szCs w:val="20"/>
        </w:rPr>
        <w:t xml:space="preserve">Our </w:t>
      </w:r>
      <w:r w:rsidR="00AB55BA" w:rsidRPr="00514A92">
        <w:rPr>
          <w:rFonts w:ascii="Arial" w:hAnsi="Arial" w:cs="Arial"/>
          <w:sz w:val="20"/>
          <w:szCs w:val="20"/>
        </w:rPr>
        <w:t xml:space="preserve">approach </w:t>
      </w:r>
      <w:r w:rsidRPr="00514A92">
        <w:rPr>
          <w:rFonts w:ascii="Arial" w:hAnsi="Arial" w:cs="Arial"/>
          <w:sz w:val="20"/>
          <w:szCs w:val="20"/>
        </w:rPr>
        <w:t>focus</w:t>
      </w:r>
      <w:r w:rsidR="003834A5" w:rsidRPr="00514A92">
        <w:rPr>
          <w:rFonts w:ascii="Arial" w:hAnsi="Arial" w:cs="Arial"/>
          <w:sz w:val="20"/>
          <w:szCs w:val="20"/>
        </w:rPr>
        <w:t>ed</w:t>
      </w:r>
      <w:r w:rsidR="00AB55BA" w:rsidRPr="00514A92">
        <w:rPr>
          <w:rFonts w:ascii="Arial" w:hAnsi="Arial" w:cs="Arial"/>
          <w:sz w:val="20"/>
          <w:szCs w:val="20"/>
        </w:rPr>
        <w:t xml:space="preserve"> on a clos</w:t>
      </w:r>
      <w:r w:rsidR="00474481" w:rsidRPr="00514A92">
        <w:rPr>
          <w:rFonts w:ascii="Arial" w:hAnsi="Arial" w:cs="Arial"/>
          <w:sz w:val="20"/>
          <w:szCs w:val="20"/>
        </w:rPr>
        <w:t xml:space="preserve">e </w:t>
      </w:r>
      <w:r w:rsidR="00AB55BA" w:rsidRPr="00514A92">
        <w:rPr>
          <w:rFonts w:ascii="Arial" w:hAnsi="Arial" w:cs="Arial"/>
          <w:sz w:val="20"/>
          <w:szCs w:val="20"/>
        </w:rPr>
        <w:t xml:space="preserve">collaboration between subject lecturers and </w:t>
      </w:r>
      <w:r w:rsidR="001F424C" w:rsidRPr="00514A92">
        <w:rPr>
          <w:rFonts w:ascii="Arial" w:hAnsi="Arial" w:cs="Arial"/>
          <w:sz w:val="20"/>
          <w:szCs w:val="20"/>
        </w:rPr>
        <w:t>us</w:t>
      </w:r>
      <w:r w:rsidR="00412258" w:rsidRPr="00514A92">
        <w:rPr>
          <w:rFonts w:ascii="Arial" w:hAnsi="Arial" w:cs="Arial"/>
          <w:sz w:val="20"/>
          <w:szCs w:val="20"/>
        </w:rPr>
        <w:t xml:space="preserve">, as </w:t>
      </w:r>
      <w:r w:rsidR="00AB55BA" w:rsidRPr="00514A92">
        <w:rPr>
          <w:rFonts w:ascii="Arial" w:hAnsi="Arial" w:cs="Arial"/>
          <w:sz w:val="20"/>
          <w:szCs w:val="20"/>
        </w:rPr>
        <w:t>academic writing tutors</w:t>
      </w:r>
      <w:r w:rsidR="003B6A5B" w:rsidRPr="00514A92">
        <w:rPr>
          <w:rFonts w:ascii="Arial" w:hAnsi="Arial" w:cs="Arial"/>
          <w:sz w:val="20"/>
          <w:szCs w:val="20"/>
        </w:rPr>
        <w:t>,</w:t>
      </w:r>
      <w:r w:rsidR="001F424C" w:rsidRPr="00514A92">
        <w:rPr>
          <w:rFonts w:ascii="Arial" w:hAnsi="Arial" w:cs="Arial"/>
          <w:sz w:val="20"/>
          <w:szCs w:val="20"/>
        </w:rPr>
        <w:t xml:space="preserve"> </w:t>
      </w:r>
      <w:r w:rsidR="00412258" w:rsidRPr="00514A92">
        <w:rPr>
          <w:rFonts w:ascii="Arial" w:hAnsi="Arial" w:cs="Arial"/>
          <w:sz w:val="20"/>
          <w:szCs w:val="20"/>
        </w:rPr>
        <w:t>taking into account</w:t>
      </w:r>
      <w:r w:rsidR="00390DDD" w:rsidRPr="00514A92">
        <w:rPr>
          <w:rFonts w:ascii="Arial" w:hAnsi="Arial" w:cs="Arial"/>
          <w:sz w:val="20"/>
          <w:szCs w:val="20"/>
        </w:rPr>
        <w:t xml:space="preserve"> </w:t>
      </w:r>
      <w:r w:rsidR="00ED47B6" w:rsidRPr="00514A92">
        <w:rPr>
          <w:rFonts w:ascii="Arial" w:hAnsi="Arial" w:cs="Arial"/>
          <w:sz w:val="20"/>
          <w:szCs w:val="20"/>
        </w:rPr>
        <w:t xml:space="preserve">the </w:t>
      </w:r>
      <w:r w:rsidR="00C0592C" w:rsidRPr="00514A92">
        <w:rPr>
          <w:rFonts w:ascii="Arial" w:hAnsi="Arial" w:cs="Arial"/>
          <w:sz w:val="20"/>
          <w:szCs w:val="20"/>
        </w:rPr>
        <w:t xml:space="preserve">following </w:t>
      </w:r>
      <w:r w:rsidR="00ED47B6" w:rsidRPr="00514A92">
        <w:rPr>
          <w:rFonts w:ascii="Arial" w:hAnsi="Arial" w:cs="Arial"/>
          <w:sz w:val="20"/>
          <w:szCs w:val="20"/>
        </w:rPr>
        <w:t>three aspects</w:t>
      </w:r>
      <w:r w:rsidR="00412258" w:rsidRPr="00514A92">
        <w:rPr>
          <w:rFonts w:ascii="Arial" w:hAnsi="Arial" w:cs="Arial"/>
          <w:sz w:val="20"/>
          <w:szCs w:val="20"/>
        </w:rPr>
        <w:t xml:space="preserve">: </w:t>
      </w:r>
      <w:r w:rsidR="00ED47B6" w:rsidRPr="00514A92">
        <w:rPr>
          <w:rFonts w:ascii="Arial" w:hAnsi="Arial" w:cs="Arial"/>
          <w:sz w:val="20"/>
          <w:szCs w:val="20"/>
        </w:rPr>
        <w:t>module learning outcomes and</w:t>
      </w:r>
      <w:r w:rsidR="00474481" w:rsidRPr="00514A92">
        <w:rPr>
          <w:rFonts w:ascii="Arial" w:hAnsi="Arial" w:cs="Arial"/>
          <w:sz w:val="20"/>
          <w:szCs w:val="20"/>
        </w:rPr>
        <w:t xml:space="preserve"> </w:t>
      </w:r>
      <w:r w:rsidR="00ED47B6" w:rsidRPr="00514A92">
        <w:rPr>
          <w:rFonts w:ascii="Arial" w:hAnsi="Arial" w:cs="Arial"/>
          <w:sz w:val="20"/>
          <w:szCs w:val="20"/>
        </w:rPr>
        <w:t xml:space="preserve">assessment, academic expectations </w:t>
      </w:r>
      <w:r w:rsidR="00063CC8" w:rsidRPr="00514A92">
        <w:rPr>
          <w:rFonts w:ascii="Arial" w:hAnsi="Arial" w:cs="Arial"/>
          <w:sz w:val="20"/>
          <w:szCs w:val="20"/>
        </w:rPr>
        <w:t xml:space="preserve">towards assessments </w:t>
      </w:r>
      <w:r w:rsidR="00ED47B6" w:rsidRPr="00514A92">
        <w:rPr>
          <w:rFonts w:ascii="Arial" w:hAnsi="Arial" w:cs="Arial"/>
          <w:sz w:val="20"/>
          <w:szCs w:val="20"/>
        </w:rPr>
        <w:t>and suitable timing for writing intervention within the</w:t>
      </w:r>
      <w:r w:rsidR="006E101C" w:rsidRPr="00514A92">
        <w:rPr>
          <w:rFonts w:ascii="Arial" w:hAnsi="Arial" w:cs="Arial"/>
          <w:sz w:val="20"/>
          <w:szCs w:val="20"/>
        </w:rPr>
        <w:t xml:space="preserve"> </w:t>
      </w:r>
      <w:r w:rsidR="00ED47B6" w:rsidRPr="00514A92">
        <w:rPr>
          <w:rFonts w:ascii="Arial" w:hAnsi="Arial" w:cs="Arial"/>
          <w:sz w:val="20"/>
          <w:szCs w:val="20"/>
        </w:rPr>
        <w:t>curriculum (see</w:t>
      </w:r>
      <w:r w:rsidR="00ED47B6" w:rsidRPr="00514A92">
        <w:rPr>
          <w:rFonts w:ascii="Arial" w:hAnsi="Arial" w:cs="Arial"/>
          <w:i/>
          <w:sz w:val="20"/>
          <w:szCs w:val="20"/>
        </w:rPr>
        <w:t xml:space="preserve"> </w:t>
      </w:r>
      <w:r w:rsidR="00ED47B6" w:rsidRPr="00514A92">
        <w:rPr>
          <w:rFonts w:ascii="Arial" w:hAnsi="Arial" w:cs="Arial"/>
          <w:sz w:val="20"/>
          <w:szCs w:val="20"/>
        </w:rPr>
        <w:t>Table 1 below for details).</w:t>
      </w:r>
      <w:r w:rsidR="006E101C" w:rsidRPr="00514A92">
        <w:rPr>
          <w:rFonts w:ascii="Arial" w:hAnsi="Arial" w:cs="Arial"/>
          <w:sz w:val="20"/>
          <w:szCs w:val="20"/>
        </w:rPr>
        <w:t xml:space="preserve"> </w:t>
      </w:r>
    </w:p>
    <w:p w14:paraId="0F1E42BA" w14:textId="3EBF61A6" w:rsidR="007A069D" w:rsidRPr="00514A92" w:rsidRDefault="007A069D" w:rsidP="008B0531">
      <w:pPr>
        <w:pStyle w:val="BodyText2"/>
        <w:pBdr>
          <w:top w:val="none" w:sz="0" w:space="0" w:color="auto"/>
          <w:left w:val="none" w:sz="0" w:space="0" w:color="auto"/>
          <w:bottom w:val="none" w:sz="0" w:space="0" w:color="auto"/>
          <w:right w:val="none" w:sz="0" w:space="0" w:color="auto"/>
        </w:pBdr>
        <w:spacing w:before="0" w:after="0"/>
        <w:rPr>
          <w:rFonts w:ascii="Arial" w:hAnsi="Arial" w:cs="Arial"/>
          <w:sz w:val="20"/>
          <w:szCs w:val="20"/>
        </w:rPr>
      </w:pPr>
    </w:p>
    <w:p w14:paraId="191D0627" w14:textId="7017CDB0" w:rsidR="001F424C" w:rsidRPr="00514A92" w:rsidRDefault="001F424C" w:rsidP="008B0531">
      <w:pPr>
        <w:rPr>
          <w:rFonts w:ascii="Arial" w:hAnsi="Arial" w:cs="Arial"/>
          <w:b/>
          <w:noProof/>
          <w:sz w:val="18"/>
          <w:szCs w:val="20"/>
        </w:rPr>
      </w:pPr>
      <w:r w:rsidRPr="00514A92">
        <w:rPr>
          <w:rFonts w:ascii="Arial" w:hAnsi="Arial" w:cs="Arial"/>
          <w:b/>
          <w:noProof/>
          <w:sz w:val="18"/>
          <w:szCs w:val="20"/>
        </w:rPr>
        <w:t xml:space="preserve">Table 1 Framework of </w:t>
      </w:r>
      <w:r w:rsidR="00F32E23" w:rsidRPr="00514A92">
        <w:rPr>
          <w:rFonts w:ascii="Arial" w:hAnsi="Arial" w:cs="Arial"/>
          <w:b/>
          <w:noProof/>
          <w:sz w:val="18"/>
          <w:szCs w:val="20"/>
        </w:rPr>
        <w:t xml:space="preserve">subject lecturer </w:t>
      </w:r>
      <w:r w:rsidRPr="00514A92">
        <w:rPr>
          <w:rFonts w:ascii="Arial" w:hAnsi="Arial" w:cs="Arial"/>
          <w:b/>
          <w:noProof/>
          <w:sz w:val="18"/>
          <w:szCs w:val="20"/>
        </w:rPr>
        <w:t xml:space="preserve">and writing tutor collaboration for </w:t>
      </w:r>
      <w:r w:rsidR="00F32E23" w:rsidRPr="00514A92">
        <w:rPr>
          <w:rFonts w:ascii="Arial" w:hAnsi="Arial" w:cs="Arial"/>
          <w:b/>
          <w:noProof/>
          <w:sz w:val="18"/>
          <w:szCs w:val="20"/>
        </w:rPr>
        <w:t xml:space="preserve">academic </w:t>
      </w:r>
      <w:r w:rsidRPr="00514A92">
        <w:rPr>
          <w:rFonts w:ascii="Arial" w:hAnsi="Arial" w:cs="Arial"/>
          <w:b/>
          <w:noProof/>
          <w:sz w:val="18"/>
          <w:szCs w:val="20"/>
        </w:rPr>
        <w:t>writing provision into</w:t>
      </w:r>
      <w:r w:rsidR="00F32E23" w:rsidRPr="00514A92">
        <w:rPr>
          <w:rFonts w:ascii="Arial" w:hAnsi="Arial" w:cs="Arial"/>
          <w:b/>
          <w:noProof/>
          <w:sz w:val="18"/>
          <w:szCs w:val="20"/>
        </w:rPr>
        <w:t xml:space="preserve"> </w:t>
      </w:r>
      <w:r w:rsidRPr="00514A92">
        <w:rPr>
          <w:rFonts w:ascii="Arial" w:hAnsi="Arial" w:cs="Arial"/>
          <w:b/>
          <w:noProof/>
          <w:sz w:val="18"/>
          <w:szCs w:val="20"/>
        </w:rPr>
        <w:t>curriculum</w:t>
      </w:r>
    </w:p>
    <w:tbl>
      <w:tblPr>
        <w:tblStyle w:val="TableGrid"/>
        <w:tblW w:w="5000" w:type="pct"/>
        <w:tblLook w:val="0420" w:firstRow="1" w:lastRow="0" w:firstColumn="0" w:lastColumn="0" w:noHBand="0" w:noVBand="1"/>
      </w:tblPr>
      <w:tblGrid>
        <w:gridCol w:w="1697"/>
        <w:gridCol w:w="3659"/>
        <w:gridCol w:w="3660"/>
      </w:tblGrid>
      <w:tr w:rsidR="00B95882" w:rsidRPr="00514A92" w14:paraId="51425740" w14:textId="77777777" w:rsidTr="006070BE">
        <w:trPr>
          <w:trHeight w:val="292"/>
        </w:trPr>
        <w:tc>
          <w:tcPr>
            <w:tcW w:w="941" w:type="pct"/>
            <w:shd w:val="clear" w:color="auto" w:fill="F2F2F2" w:themeFill="background1" w:themeFillShade="F2"/>
            <w:vAlign w:val="center"/>
            <w:hideMark/>
          </w:tcPr>
          <w:p w14:paraId="0981B500" w14:textId="77777777" w:rsidR="001F424C" w:rsidRPr="00514A92" w:rsidRDefault="001F424C" w:rsidP="008B0531">
            <w:pPr>
              <w:jc w:val="center"/>
              <w:rPr>
                <w:rFonts w:ascii="Arial" w:eastAsia="Times New Roman" w:hAnsi="Arial" w:cs="Arial"/>
                <w:b/>
                <w:sz w:val="20"/>
                <w:szCs w:val="20"/>
                <w:lang w:eastAsia="en-GB"/>
              </w:rPr>
            </w:pPr>
            <w:r w:rsidRPr="00514A92">
              <w:rPr>
                <w:rFonts w:ascii="Arial" w:eastAsia="Times New Roman" w:hAnsi="Arial" w:cs="Arial"/>
                <w:b/>
                <w:sz w:val="20"/>
                <w:szCs w:val="20"/>
                <w:lang w:eastAsia="en-GB"/>
              </w:rPr>
              <w:t>Aspects of consideration</w:t>
            </w:r>
          </w:p>
        </w:tc>
        <w:tc>
          <w:tcPr>
            <w:tcW w:w="2029" w:type="pct"/>
            <w:shd w:val="clear" w:color="auto" w:fill="F2F2F2" w:themeFill="background1" w:themeFillShade="F2"/>
            <w:vAlign w:val="center"/>
            <w:hideMark/>
          </w:tcPr>
          <w:p w14:paraId="500988A1" w14:textId="5C3AC68E" w:rsidR="001F424C" w:rsidRPr="00514A92" w:rsidRDefault="001F424C" w:rsidP="008B0531">
            <w:pPr>
              <w:jc w:val="center"/>
              <w:rPr>
                <w:rFonts w:ascii="Arial" w:eastAsia="Times New Roman" w:hAnsi="Arial" w:cs="Arial"/>
                <w:b/>
                <w:sz w:val="20"/>
                <w:szCs w:val="20"/>
                <w:lang w:eastAsia="en-GB"/>
              </w:rPr>
            </w:pPr>
            <w:r w:rsidRPr="00514A92">
              <w:rPr>
                <w:rFonts w:ascii="Arial" w:eastAsia="Times New Roman" w:hAnsi="Arial" w:cs="Arial"/>
                <w:b/>
                <w:kern w:val="24"/>
                <w:sz w:val="20"/>
                <w:szCs w:val="20"/>
                <w:lang w:eastAsia="en-GB"/>
              </w:rPr>
              <w:t xml:space="preserve">From </w:t>
            </w:r>
            <w:r w:rsidR="00F32E23" w:rsidRPr="00514A92">
              <w:rPr>
                <w:rFonts w:ascii="Arial" w:eastAsia="Times New Roman" w:hAnsi="Arial" w:cs="Arial"/>
                <w:b/>
                <w:kern w:val="24"/>
                <w:sz w:val="20"/>
                <w:szCs w:val="20"/>
                <w:lang w:eastAsia="en-GB"/>
              </w:rPr>
              <w:t>subject lecturer</w:t>
            </w:r>
          </w:p>
        </w:tc>
        <w:tc>
          <w:tcPr>
            <w:tcW w:w="2030" w:type="pct"/>
            <w:shd w:val="clear" w:color="auto" w:fill="F2F2F2" w:themeFill="background1" w:themeFillShade="F2"/>
            <w:vAlign w:val="center"/>
            <w:hideMark/>
          </w:tcPr>
          <w:p w14:paraId="18CB7B35" w14:textId="77777777" w:rsidR="001F424C" w:rsidRPr="00514A92" w:rsidRDefault="001F424C" w:rsidP="008B0531">
            <w:pPr>
              <w:jc w:val="center"/>
              <w:rPr>
                <w:rFonts w:ascii="Arial" w:eastAsia="Times New Roman" w:hAnsi="Arial" w:cs="Arial"/>
                <w:b/>
                <w:sz w:val="20"/>
                <w:szCs w:val="20"/>
                <w:lang w:eastAsia="en-GB"/>
              </w:rPr>
            </w:pPr>
            <w:r w:rsidRPr="00514A92">
              <w:rPr>
                <w:rFonts w:ascii="Arial" w:eastAsia="Times New Roman" w:hAnsi="Arial" w:cs="Arial"/>
                <w:b/>
                <w:kern w:val="24"/>
                <w:sz w:val="20"/>
                <w:szCs w:val="20"/>
                <w:lang w:eastAsia="en-GB"/>
              </w:rPr>
              <w:t>From writing specialists</w:t>
            </w:r>
          </w:p>
        </w:tc>
      </w:tr>
      <w:tr w:rsidR="00B95882" w:rsidRPr="00514A92" w14:paraId="78D03B0B" w14:textId="77777777" w:rsidTr="006070BE">
        <w:trPr>
          <w:trHeight w:val="108"/>
        </w:trPr>
        <w:tc>
          <w:tcPr>
            <w:tcW w:w="941" w:type="pct"/>
          </w:tcPr>
          <w:p w14:paraId="791A1886" w14:textId="1400E921" w:rsidR="001F424C" w:rsidRPr="00514A92" w:rsidRDefault="001F424C" w:rsidP="008B0531">
            <w:pPr>
              <w:rPr>
                <w:rFonts w:ascii="Arial" w:eastAsia="Times New Roman" w:hAnsi="Arial" w:cs="Arial"/>
                <w:sz w:val="20"/>
                <w:szCs w:val="20"/>
                <w:lang w:eastAsia="en-GB"/>
              </w:rPr>
            </w:pPr>
            <w:r w:rsidRPr="00514A92">
              <w:rPr>
                <w:rFonts w:ascii="Arial" w:eastAsia="Times New Roman" w:hAnsi="Arial" w:cs="Arial"/>
                <w:b/>
                <w:kern w:val="24"/>
                <w:sz w:val="20"/>
                <w:szCs w:val="20"/>
                <w:lang w:eastAsia="en-GB"/>
              </w:rPr>
              <w:t>Relevance</w:t>
            </w:r>
            <w:r w:rsidRPr="00514A92">
              <w:rPr>
                <w:rFonts w:ascii="Arial" w:eastAsia="Times New Roman" w:hAnsi="Arial" w:cs="Arial"/>
                <w:kern w:val="24"/>
                <w:sz w:val="20"/>
                <w:szCs w:val="20"/>
                <w:lang w:eastAsia="en-GB"/>
              </w:rPr>
              <w:t xml:space="preserve"> to module</w:t>
            </w:r>
            <w:r w:rsidR="00ED47B6" w:rsidRPr="00514A92">
              <w:rPr>
                <w:rFonts w:ascii="Arial" w:eastAsia="Times New Roman" w:hAnsi="Arial" w:cs="Arial"/>
                <w:kern w:val="24"/>
                <w:sz w:val="20"/>
                <w:szCs w:val="20"/>
                <w:lang w:eastAsia="en-GB"/>
              </w:rPr>
              <w:t xml:space="preserve"> learning outcomes </w:t>
            </w:r>
            <w:r w:rsidRPr="00514A92">
              <w:rPr>
                <w:rFonts w:ascii="Arial" w:eastAsia="Times New Roman" w:hAnsi="Arial" w:cs="Arial"/>
                <w:kern w:val="24"/>
                <w:sz w:val="20"/>
                <w:szCs w:val="20"/>
                <w:lang w:eastAsia="en-GB"/>
              </w:rPr>
              <w:t>and assessments</w:t>
            </w:r>
          </w:p>
          <w:p w14:paraId="792BCA8E" w14:textId="77777777" w:rsidR="001F424C" w:rsidRPr="00514A92" w:rsidRDefault="001F424C" w:rsidP="008B0531">
            <w:pPr>
              <w:rPr>
                <w:rFonts w:ascii="Arial" w:eastAsia="Times New Roman" w:hAnsi="Arial" w:cs="Arial"/>
                <w:sz w:val="20"/>
                <w:szCs w:val="20"/>
                <w:lang w:eastAsia="en-GB"/>
              </w:rPr>
            </w:pPr>
          </w:p>
          <w:p w14:paraId="2006AFC9" w14:textId="77777777" w:rsidR="001F424C" w:rsidRPr="00514A92" w:rsidRDefault="001F424C" w:rsidP="008B0531">
            <w:pPr>
              <w:rPr>
                <w:rFonts w:ascii="Arial" w:eastAsia="Times New Roman" w:hAnsi="Arial" w:cs="Arial"/>
                <w:sz w:val="20"/>
                <w:szCs w:val="20"/>
                <w:lang w:eastAsia="en-GB"/>
              </w:rPr>
            </w:pPr>
          </w:p>
          <w:p w14:paraId="3B9271C9" w14:textId="77777777" w:rsidR="001F424C" w:rsidRPr="00514A92" w:rsidRDefault="001F424C" w:rsidP="008B0531">
            <w:pPr>
              <w:rPr>
                <w:rFonts w:ascii="Arial" w:eastAsia="Times New Roman" w:hAnsi="Arial" w:cs="Arial"/>
                <w:sz w:val="20"/>
                <w:szCs w:val="20"/>
                <w:lang w:eastAsia="en-GB"/>
              </w:rPr>
            </w:pPr>
          </w:p>
        </w:tc>
        <w:tc>
          <w:tcPr>
            <w:tcW w:w="2029" w:type="pct"/>
          </w:tcPr>
          <w:p w14:paraId="7C23F599" w14:textId="46DF4B44" w:rsidR="001F424C" w:rsidRPr="00514A92" w:rsidRDefault="001F424C" w:rsidP="008B0531">
            <w:pPr>
              <w:numPr>
                <w:ilvl w:val="0"/>
                <w:numId w:val="16"/>
              </w:numPr>
              <w:ind w:left="360"/>
              <w:contextualSpacing/>
              <w:rPr>
                <w:rFonts w:ascii="Arial" w:eastAsia="Times New Roman" w:hAnsi="Arial" w:cs="Arial"/>
                <w:sz w:val="20"/>
                <w:szCs w:val="20"/>
                <w:lang w:eastAsia="en-GB"/>
              </w:rPr>
            </w:pPr>
            <w:r w:rsidRPr="00514A92">
              <w:rPr>
                <w:rFonts w:ascii="Arial" w:eastAsia="Times New Roman" w:hAnsi="Arial" w:cs="Arial"/>
                <w:kern w:val="24"/>
                <w:sz w:val="20"/>
                <w:szCs w:val="20"/>
                <w:lang w:eastAsia="en-GB"/>
              </w:rPr>
              <w:t>Provide module guide</w:t>
            </w:r>
            <w:r w:rsidR="00ED47B6" w:rsidRPr="00514A92">
              <w:rPr>
                <w:rFonts w:ascii="Arial" w:eastAsia="Times New Roman" w:hAnsi="Arial" w:cs="Arial"/>
                <w:kern w:val="24"/>
                <w:sz w:val="20"/>
                <w:szCs w:val="20"/>
                <w:lang w:eastAsia="en-GB"/>
              </w:rPr>
              <w:t>/handbook</w:t>
            </w:r>
            <w:r w:rsidRPr="00514A92">
              <w:rPr>
                <w:rFonts w:ascii="Arial" w:eastAsia="Times New Roman" w:hAnsi="Arial" w:cs="Arial"/>
                <w:kern w:val="24"/>
                <w:sz w:val="20"/>
                <w:szCs w:val="20"/>
                <w:lang w:eastAsia="en-GB"/>
              </w:rPr>
              <w:t>, assessment brief</w:t>
            </w:r>
            <w:r w:rsidRPr="00514A92">
              <w:rPr>
                <w:rFonts w:ascii="Arial" w:eastAsia="Times New Roman" w:hAnsi="Arial" w:cs="Arial"/>
                <w:sz w:val="20"/>
                <w:szCs w:val="20"/>
                <w:lang w:eastAsia="en-GB"/>
              </w:rPr>
              <w:t xml:space="preserve">, and </w:t>
            </w:r>
            <w:r w:rsidRPr="00514A92">
              <w:rPr>
                <w:rFonts w:ascii="Arial" w:eastAsia="Times New Roman" w:hAnsi="Arial" w:cs="Arial"/>
                <w:kern w:val="24"/>
                <w:sz w:val="20"/>
                <w:szCs w:val="20"/>
                <w:lang w:eastAsia="en-GB"/>
              </w:rPr>
              <w:t xml:space="preserve">good and bad scoring </w:t>
            </w:r>
            <w:r w:rsidRPr="00514A92">
              <w:rPr>
                <w:rFonts w:ascii="Arial" w:eastAsia="Times New Roman" w:hAnsi="Arial" w:cs="Arial"/>
                <w:noProof/>
                <w:kern w:val="24"/>
                <w:sz w:val="20"/>
                <w:szCs w:val="20"/>
                <w:lang w:eastAsia="en-GB"/>
              </w:rPr>
              <w:t>student written</w:t>
            </w:r>
            <w:r w:rsidRPr="00514A92">
              <w:rPr>
                <w:rFonts w:ascii="Arial" w:eastAsia="Times New Roman" w:hAnsi="Arial" w:cs="Arial"/>
                <w:kern w:val="24"/>
                <w:sz w:val="20"/>
                <w:szCs w:val="20"/>
                <w:lang w:eastAsia="en-GB"/>
              </w:rPr>
              <w:t xml:space="preserve"> pieces from previous academic year</w:t>
            </w:r>
          </w:p>
          <w:p w14:paraId="12610F8A" w14:textId="6F4B4078" w:rsidR="00665C9E" w:rsidRPr="00514A92" w:rsidRDefault="00665C9E" w:rsidP="008B0531">
            <w:pPr>
              <w:numPr>
                <w:ilvl w:val="0"/>
                <w:numId w:val="16"/>
              </w:numPr>
              <w:ind w:left="360"/>
              <w:contextualSpacing/>
              <w:rPr>
                <w:rFonts w:ascii="Arial" w:eastAsia="Times New Roman" w:hAnsi="Arial" w:cs="Arial"/>
                <w:sz w:val="20"/>
                <w:szCs w:val="20"/>
                <w:lang w:eastAsia="en-GB"/>
              </w:rPr>
            </w:pPr>
            <w:r w:rsidRPr="00514A92">
              <w:rPr>
                <w:rFonts w:ascii="Arial" w:eastAsia="Times New Roman" w:hAnsi="Arial" w:cs="Arial"/>
                <w:kern w:val="24"/>
                <w:sz w:val="20"/>
                <w:szCs w:val="20"/>
                <w:lang w:eastAsia="en-GB"/>
              </w:rPr>
              <w:t xml:space="preserve">Brief the challenges students </w:t>
            </w:r>
            <w:r w:rsidR="003A01F4" w:rsidRPr="00514A92">
              <w:rPr>
                <w:rFonts w:ascii="Arial" w:eastAsia="Times New Roman" w:hAnsi="Arial" w:cs="Arial"/>
                <w:kern w:val="24"/>
                <w:sz w:val="20"/>
                <w:szCs w:val="20"/>
                <w:lang w:eastAsia="en-GB"/>
              </w:rPr>
              <w:t>commonly experience</w:t>
            </w:r>
            <w:r w:rsidRPr="00514A92">
              <w:rPr>
                <w:rFonts w:ascii="Arial" w:eastAsia="Times New Roman" w:hAnsi="Arial" w:cs="Arial"/>
                <w:kern w:val="24"/>
                <w:sz w:val="20"/>
                <w:szCs w:val="20"/>
                <w:lang w:eastAsia="en-GB"/>
              </w:rPr>
              <w:t xml:space="preserve"> in the degree programme</w:t>
            </w:r>
          </w:p>
          <w:p w14:paraId="0A91D6A9" w14:textId="539845D6" w:rsidR="001F424C" w:rsidRPr="00514A92" w:rsidRDefault="001F424C" w:rsidP="008B0531">
            <w:pPr>
              <w:numPr>
                <w:ilvl w:val="0"/>
                <w:numId w:val="16"/>
              </w:numPr>
              <w:ind w:left="360"/>
              <w:contextualSpacing/>
              <w:rPr>
                <w:rFonts w:ascii="Arial" w:eastAsia="Times New Roman" w:hAnsi="Arial" w:cs="Arial"/>
                <w:sz w:val="20"/>
                <w:szCs w:val="20"/>
                <w:lang w:eastAsia="en-GB"/>
              </w:rPr>
            </w:pPr>
            <w:r w:rsidRPr="00514A92">
              <w:rPr>
                <w:rFonts w:ascii="Arial" w:eastAsia="Times New Roman" w:hAnsi="Arial" w:cs="Arial"/>
                <w:kern w:val="24"/>
                <w:sz w:val="20"/>
                <w:szCs w:val="20"/>
                <w:lang w:eastAsia="en-GB"/>
              </w:rPr>
              <w:t>Give permission for writing tutors to upload/access materials on module’s Moodle</w:t>
            </w:r>
            <w:r w:rsidR="00C778F0" w:rsidRPr="00514A92">
              <w:rPr>
                <w:rStyle w:val="FootnoteReference"/>
                <w:rFonts w:ascii="Arial" w:eastAsia="Times New Roman" w:hAnsi="Arial" w:cs="Arial"/>
                <w:kern w:val="24"/>
                <w:sz w:val="20"/>
                <w:szCs w:val="20"/>
                <w:lang w:eastAsia="en-GB"/>
              </w:rPr>
              <w:footnoteReference w:id="5"/>
            </w:r>
            <w:r w:rsidRPr="00514A92">
              <w:rPr>
                <w:rFonts w:ascii="Arial" w:eastAsia="Times New Roman" w:hAnsi="Arial" w:cs="Arial"/>
                <w:kern w:val="24"/>
                <w:sz w:val="20"/>
                <w:szCs w:val="20"/>
                <w:lang w:eastAsia="en-GB"/>
              </w:rPr>
              <w:t xml:space="preserve"> page</w:t>
            </w:r>
          </w:p>
        </w:tc>
        <w:tc>
          <w:tcPr>
            <w:tcW w:w="2030" w:type="pct"/>
          </w:tcPr>
          <w:p w14:paraId="17E4D069" w14:textId="7E6E2545" w:rsidR="001F424C" w:rsidRPr="00514A92" w:rsidRDefault="003834A5"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Map</w:t>
            </w:r>
            <w:r w:rsidR="001F424C" w:rsidRPr="00514A92">
              <w:rPr>
                <w:rFonts w:ascii="Arial" w:hAnsi="Arial" w:cs="Arial"/>
                <w:kern w:val="24"/>
                <w:sz w:val="20"/>
                <w:szCs w:val="20"/>
                <w:lang w:eastAsia="en-GB"/>
              </w:rPr>
              <w:t xml:space="preserve"> out types of assessment in modules</w:t>
            </w:r>
          </w:p>
          <w:p w14:paraId="401C1CC5" w14:textId="77777777" w:rsidR="001F424C" w:rsidRPr="00514A92" w:rsidRDefault="001F424C"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Unpack and teach discourse features and academic voice: genre awareness and text features</w:t>
            </w:r>
          </w:p>
          <w:p w14:paraId="1D705096" w14:textId="191CDE44" w:rsidR="001F424C" w:rsidRPr="00514A92" w:rsidRDefault="001F424C" w:rsidP="008B0531">
            <w:pPr>
              <w:pStyle w:val="ListParagraph"/>
              <w:numPr>
                <w:ilvl w:val="0"/>
                <w:numId w:val="16"/>
              </w:numPr>
              <w:ind w:left="360"/>
              <w:rPr>
                <w:rFonts w:ascii="Arial" w:hAnsi="Arial" w:cs="Arial"/>
                <w:sz w:val="20"/>
                <w:szCs w:val="20"/>
                <w:lang w:eastAsia="en-GB"/>
              </w:rPr>
            </w:pPr>
            <w:r w:rsidRPr="00514A92">
              <w:rPr>
                <w:rFonts w:ascii="Arial" w:hAnsi="Arial" w:cs="Arial"/>
                <w:kern w:val="24"/>
                <w:sz w:val="20"/>
                <w:szCs w:val="20"/>
                <w:lang w:eastAsia="en-GB"/>
              </w:rPr>
              <w:t>Use core readings and former student essay examples (i.e. discipline-specific texts) for</w:t>
            </w:r>
            <w:r w:rsidR="003834A5" w:rsidRPr="00514A92">
              <w:rPr>
                <w:rFonts w:ascii="Arial" w:hAnsi="Arial" w:cs="Arial"/>
                <w:kern w:val="24"/>
                <w:sz w:val="20"/>
                <w:szCs w:val="20"/>
                <w:lang w:eastAsia="en-GB"/>
              </w:rPr>
              <w:t xml:space="preserve"> </w:t>
            </w:r>
            <w:r w:rsidRPr="00514A92">
              <w:rPr>
                <w:rFonts w:ascii="Arial" w:hAnsi="Arial" w:cs="Arial"/>
                <w:kern w:val="24"/>
                <w:sz w:val="20"/>
                <w:szCs w:val="20"/>
                <w:lang w:eastAsia="en-GB"/>
              </w:rPr>
              <w:t>exercises</w:t>
            </w:r>
          </w:p>
        </w:tc>
      </w:tr>
      <w:tr w:rsidR="00B95882" w:rsidRPr="00514A92" w14:paraId="42D226CF" w14:textId="77777777" w:rsidTr="006070BE">
        <w:trPr>
          <w:trHeight w:val="108"/>
        </w:trPr>
        <w:tc>
          <w:tcPr>
            <w:tcW w:w="941" w:type="pct"/>
          </w:tcPr>
          <w:p w14:paraId="677609CF" w14:textId="77777777" w:rsidR="001F424C" w:rsidRPr="00514A92" w:rsidRDefault="001F424C" w:rsidP="008B0531">
            <w:pPr>
              <w:rPr>
                <w:rFonts w:ascii="Arial" w:eastAsia="Times New Roman" w:hAnsi="Arial" w:cs="Arial"/>
                <w:b/>
                <w:kern w:val="24"/>
                <w:sz w:val="20"/>
                <w:szCs w:val="20"/>
                <w:lang w:eastAsia="en-GB"/>
              </w:rPr>
            </w:pPr>
            <w:r w:rsidRPr="00514A92">
              <w:rPr>
                <w:rFonts w:ascii="Arial" w:eastAsia="Times New Roman" w:hAnsi="Arial" w:cs="Arial"/>
                <w:b/>
                <w:kern w:val="24"/>
                <w:sz w:val="20"/>
                <w:szCs w:val="20"/>
                <w:lang w:eastAsia="en-GB"/>
              </w:rPr>
              <w:t>Academic expectations</w:t>
            </w:r>
          </w:p>
          <w:p w14:paraId="36632AEF" w14:textId="77777777" w:rsidR="001F424C" w:rsidRPr="00514A92" w:rsidRDefault="001F424C" w:rsidP="008B0531">
            <w:pPr>
              <w:rPr>
                <w:rFonts w:ascii="Arial" w:eastAsia="Times New Roman" w:hAnsi="Arial" w:cs="Arial"/>
                <w:kern w:val="24"/>
                <w:sz w:val="20"/>
                <w:szCs w:val="20"/>
                <w:lang w:eastAsia="en-GB"/>
              </w:rPr>
            </w:pPr>
            <w:r w:rsidRPr="00514A92">
              <w:rPr>
                <w:rFonts w:ascii="Arial" w:eastAsia="Times New Roman" w:hAnsi="Arial" w:cs="Arial"/>
                <w:kern w:val="24"/>
                <w:sz w:val="20"/>
                <w:szCs w:val="20"/>
                <w:lang w:eastAsia="en-GB"/>
              </w:rPr>
              <w:t>(to ensure consistency)</w:t>
            </w:r>
          </w:p>
        </w:tc>
        <w:tc>
          <w:tcPr>
            <w:tcW w:w="2029" w:type="pct"/>
          </w:tcPr>
          <w:p w14:paraId="1572D969" w14:textId="77777777" w:rsidR="001F424C" w:rsidRPr="00514A92" w:rsidRDefault="001F424C" w:rsidP="008B0531">
            <w:pPr>
              <w:numPr>
                <w:ilvl w:val="0"/>
                <w:numId w:val="16"/>
              </w:numPr>
              <w:ind w:left="360"/>
              <w:contextualSpacing/>
              <w:rPr>
                <w:rFonts w:ascii="Arial" w:eastAsia="Times New Roman" w:hAnsi="Arial" w:cs="Arial"/>
                <w:kern w:val="24"/>
                <w:sz w:val="20"/>
                <w:szCs w:val="20"/>
                <w:lang w:eastAsia="en-GB"/>
              </w:rPr>
            </w:pPr>
            <w:r w:rsidRPr="00514A92">
              <w:rPr>
                <w:rFonts w:ascii="Arial" w:eastAsia="Times New Roman" w:hAnsi="Arial" w:cs="Arial"/>
                <w:kern w:val="24"/>
                <w:sz w:val="20"/>
                <w:szCs w:val="20"/>
                <w:lang w:eastAsia="en-GB"/>
              </w:rPr>
              <w:t xml:space="preserve">Provide expectations of module assessments (i.e. </w:t>
            </w:r>
            <w:r w:rsidRPr="00514A92">
              <w:rPr>
                <w:rFonts w:ascii="Arial" w:eastAsia="Times New Roman" w:hAnsi="Arial" w:cs="Arial"/>
                <w:i/>
                <w:kern w:val="24"/>
                <w:sz w:val="20"/>
                <w:szCs w:val="20"/>
                <w:lang w:eastAsia="en-GB"/>
              </w:rPr>
              <w:t>What do academics expect to see from reading student work?</w:t>
            </w:r>
            <w:r w:rsidRPr="00514A92">
              <w:rPr>
                <w:rFonts w:ascii="Arial" w:eastAsia="Times New Roman" w:hAnsi="Arial" w:cs="Arial"/>
                <w:kern w:val="24"/>
                <w:sz w:val="20"/>
                <w:szCs w:val="20"/>
                <w:lang w:eastAsia="en-GB"/>
              </w:rPr>
              <w:t>)</w:t>
            </w:r>
          </w:p>
        </w:tc>
        <w:tc>
          <w:tcPr>
            <w:tcW w:w="2030" w:type="pct"/>
          </w:tcPr>
          <w:p w14:paraId="720B48AA" w14:textId="77777777" w:rsidR="001F424C" w:rsidRPr="00514A92" w:rsidRDefault="001F424C"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Conceptualise academic expectations for session planning</w:t>
            </w:r>
          </w:p>
          <w:p w14:paraId="35EF9273" w14:textId="77777777" w:rsidR="001F424C" w:rsidRPr="00514A92" w:rsidRDefault="001F424C"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Facilitate discussion with students on how to meet academic expectations</w:t>
            </w:r>
          </w:p>
        </w:tc>
      </w:tr>
      <w:tr w:rsidR="00C61831" w:rsidRPr="00514A92" w14:paraId="47A9741D" w14:textId="77777777" w:rsidTr="006070BE">
        <w:trPr>
          <w:trHeight w:val="108"/>
        </w:trPr>
        <w:tc>
          <w:tcPr>
            <w:tcW w:w="941" w:type="pct"/>
          </w:tcPr>
          <w:p w14:paraId="1327B5A8" w14:textId="77777777" w:rsidR="001F424C" w:rsidRPr="00514A92" w:rsidRDefault="001F424C" w:rsidP="008B0531">
            <w:pPr>
              <w:rPr>
                <w:rFonts w:ascii="Arial" w:eastAsia="Times New Roman" w:hAnsi="Arial" w:cs="Arial"/>
                <w:kern w:val="24"/>
                <w:sz w:val="20"/>
                <w:szCs w:val="20"/>
                <w:lang w:eastAsia="en-GB"/>
              </w:rPr>
            </w:pPr>
            <w:r w:rsidRPr="00514A92">
              <w:rPr>
                <w:rFonts w:ascii="Arial" w:eastAsia="Times New Roman" w:hAnsi="Arial" w:cs="Arial"/>
                <w:b/>
                <w:kern w:val="24"/>
                <w:sz w:val="20"/>
                <w:szCs w:val="20"/>
                <w:lang w:eastAsia="en-GB"/>
              </w:rPr>
              <w:t>Timing</w:t>
            </w:r>
            <w:r w:rsidRPr="00514A92">
              <w:rPr>
                <w:rFonts w:ascii="Arial" w:eastAsia="Times New Roman" w:hAnsi="Arial" w:cs="Arial"/>
                <w:kern w:val="24"/>
                <w:sz w:val="20"/>
                <w:szCs w:val="20"/>
                <w:lang w:eastAsia="en-GB"/>
              </w:rPr>
              <w:t xml:space="preserve"> for writing intervention</w:t>
            </w:r>
          </w:p>
        </w:tc>
        <w:tc>
          <w:tcPr>
            <w:tcW w:w="2029" w:type="pct"/>
          </w:tcPr>
          <w:p w14:paraId="7570BB6E" w14:textId="77777777" w:rsidR="001F424C" w:rsidRPr="00514A92" w:rsidRDefault="001F424C"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Provide timetable for the module and information on assessment deadlines</w:t>
            </w:r>
          </w:p>
        </w:tc>
        <w:tc>
          <w:tcPr>
            <w:tcW w:w="2030" w:type="pct"/>
          </w:tcPr>
          <w:p w14:paraId="00D35D28" w14:textId="03C3E1C1" w:rsidR="001F424C" w:rsidRPr="00514A92" w:rsidRDefault="001F424C" w:rsidP="008B0531">
            <w:pPr>
              <w:pStyle w:val="ListParagraph"/>
              <w:numPr>
                <w:ilvl w:val="0"/>
                <w:numId w:val="16"/>
              </w:numPr>
              <w:ind w:left="360"/>
              <w:rPr>
                <w:rFonts w:ascii="Arial" w:hAnsi="Arial" w:cs="Arial"/>
                <w:kern w:val="24"/>
                <w:sz w:val="20"/>
                <w:szCs w:val="20"/>
                <w:lang w:eastAsia="en-GB"/>
              </w:rPr>
            </w:pPr>
            <w:r w:rsidRPr="00514A92">
              <w:rPr>
                <w:rFonts w:ascii="Arial" w:hAnsi="Arial" w:cs="Arial"/>
                <w:kern w:val="24"/>
                <w:sz w:val="20"/>
                <w:szCs w:val="20"/>
                <w:lang w:eastAsia="en-GB"/>
              </w:rPr>
              <w:t>Discuss suitable timing</w:t>
            </w:r>
            <w:r w:rsidR="003D10E1" w:rsidRPr="00514A92">
              <w:rPr>
                <w:rFonts w:ascii="Arial" w:hAnsi="Arial" w:cs="Arial"/>
                <w:kern w:val="24"/>
                <w:sz w:val="20"/>
                <w:szCs w:val="20"/>
                <w:lang w:eastAsia="en-GB"/>
              </w:rPr>
              <w:t xml:space="preserve"> within the curriculum</w:t>
            </w:r>
            <w:r w:rsidRPr="00514A92">
              <w:rPr>
                <w:rFonts w:ascii="Arial" w:hAnsi="Arial" w:cs="Arial"/>
                <w:kern w:val="24"/>
                <w:sz w:val="20"/>
                <w:szCs w:val="20"/>
                <w:lang w:eastAsia="en-GB"/>
              </w:rPr>
              <w:t xml:space="preserve"> for writing </w:t>
            </w:r>
            <w:r w:rsidR="003834A5" w:rsidRPr="00514A92">
              <w:rPr>
                <w:rFonts w:ascii="Arial" w:hAnsi="Arial" w:cs="Arial"/>
                <w:kern w:val="24"/>
                <w:sz w:val="20"/>
                <w:szCs w:val="20"/>
                <w:lang w:eastAsia="en-GB"/>
              </w:rPr>
              <w:t>sessions</w:t>
            </w:r>
            <w:r w:rsidRPr="00514A92">
              <w:rPr>
                <w:rFonts w:ascii="Arial" w:hAnsi="Arial" w:cs="Arial"/>
                <w:kern w:val="24"/>
                <w:sz w:val="20"/>
                <w:szCs w:val="20"/>
                <w:lang w:eastAsia="en-GB"/>
              </w:rPr>
              <w:t xml:space="preserve"> in module</w:t>
            </w:r>
          </w:p>
        </w:tc>
      </w:tr>
    </w:tbl>
    <w:p w14:paraId="3EC248D1" w14:textId="77777777" w:rsidR="00E54BEA" w:rsidRPr="00514A92" w:rsidRDefault="00E54BEA" w:rsidP="008B0531">
      <w:pPr>
        <w:pStyle w:val="BodyText2"/>
        <w:pBdr>
          <w:top w:val="none" w:sz="0" w:space="0" w:color="auto"/>
          <w:left w:val="none" w:sz="0" w:space="0" w:color="auto"/>
          <w:bottom w:val="none" w:sz="0" w:space="0" w:color="auto"/>
          <w:right w:val="none" w:sz="0" w:space="0" w:color="auto"/>
        </w:pBdr>
        <w:spacing w:before="0" w:after="0"/>
        <w:rPr>
          <w:rFonts w:ascii="Arial" w:hAnsi="Arial" w:cs="Arial"/>
          <w:sz w:val="20"/>
          <w:szCs w:val="20"/>
        </w:rPr>
      </w:pPr>
    </w:p>
    <w:p w14:paraId="6CEE6B17" w14:textId="3512E456" w:rsidR="00D82BC4" w:rsidRPr="00514A92" w:rsidRDefault="00782FF8"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eastAsia="Times New Roman" w:cs="Arial"/>
          <w:bCs/>
          <w:sz w:val="20"/>
        </w:rPr>
        <w:t xml:space="preserve">Here, it should be noted that the embedded academic writing instruction </w:t>
      </w:r>
      <w:r w:rsidR="00C22B34" w:rsidRPr="00514A92">
        <w:rPr>
          <w:rFonts w:eastAsia="Times New Roman" w:cs="Arial"/>
          <w:bCs/>
          <w:sz w:val="20"/>
        </w:rPr>
        <w:t>was</w:t>
      </w:r>
      <w:r w:rsidRPr="00514A92">
        <w:rPr>
          <w:rFonts w:eastAsia="Times New Roman" w:cs="Arial"/>
          <w:bCs/>
          <w:sz w:val="20"/>
        </w:rPr>
        <w:t xml:space="preserve"> delivered by </w:t>
      </w:r>
      <w:r w:rsidR="00F3038F" w:rsidRPr="00514A92">
        <w:rPr>
          <w:rFonts w:eastAsia="Times New Roman" w:cs="Arial"/>
          <w:bCs/>
          <w:sz w:val="20"/>
        </w:rPr>
        <w:t xml:space="preserve">us as </w:t>
      </w:r>
      <w:r w:rsidRPr="00514A92">
        <w:rPr>
          <w:rFonts w:eastAsia="Times New Roman" w:cs="Arial"/>
          <w:bCs/>
          <w:sz w:val="20"/>
        </w:rPr>
        <w:t>the writing tuto</w:t>
      </w:r>
      <w:r w:rsidR="00F3038F" w:rsidRPr="00514A92">
        <w:rPr>
          <w:rFonts w:eastAsia="Times New Roman" w:cs="Arial"/>
          <w:bCs/>
          <w:sz w:val="20"/>
        </w:rPr>
        <w:t xml:space="preserve">rs, </w:t>
      </w:r>
      <w:r w:rsidRPr="00514A92">
        <w:rPr>
          <w:rFonts w:eastAsia="Times New Roman" w:cs="Arial"/>
          <w:bCs/>
          <w:sz w:val="20"/>
        </w:rPr>
        <w:t xml:space="preserve">with the subject lecturer’s presence and support in the sessions. The materials used for in-class exercises </w:t>
      </w:r>
      <w:r w:rsidR="00C22B34" w:rsidRPr="00514A92">
        <w:rPr>
          <w:rFonts w:eastAsia="Times New Roman" w:cs="Arial"/>
          <w:bCs/>
          <w:sz w:val="20"/>
        </w:rPr>
        <w:t>were</w:t>
      </w:r>
      <w:r w:rsidRPr="00514A92">
        <w:rPr>
          <w:rFonts w:eastAsia="Times New Roman" w:cs="Arial"/>
          <w:bCs/>
          <w:sz w:val="20"/>
        </w:rPr>
        <w:t xml:space="preserve"> discipline-specific </w:t>
      </w:r>
      <w:r w:rsidR="00C95BAC" w:rsidRPr="00514A92">
        <w:rPr>
          <w:rFonts w:eastAsia="Times New Roman" w:cs="Arial"/>
          <w:bCs/>
          <w:sz w:val="20"/>
        </w:rPr>
        <w:t xml:space="preserve">(i.e. core readings and former student essay examples, as shown in Table 1 above) </w:t>
      </w:r>
      <w:r w:rsidRPr="00514A92">
        <w:rPr>
          <w:rFonts w:eastAsia="Times New Roman" w:cs="Arial"/>
          <w:bCs/>
          <w:sz w:val="20"/>
        </w:rPr>
        <w:t xml:space="preserve">and </w:t>
      </w:r>
      <w:r w:rsidR="00C95BAC" w:rsidRPr="00514A92">
        <w:rPr>
          <w:rFonts w:eastAsia="Times New Roman" w:cs="Arial"/>
          <w:bCs/>
          <w:sz w:val="20"/>
        </w:rPr>
        <w:t xml:space="preserve">tailored to fulfil the module learning outcomes. </w:t>
      </w:r>
      <w:r w:rsidR="00C22B34" w:rsidRPr="00514A92">
        <w:rPr>
          <w:rFonts w:eastAsia="Times New Roman" w:cs="Arial"/>
          <w:bCs/>
          <w:sz w:val="20"/>
        </w:rPr>
        <w:t>W</w:t>
      </w:r>
      <w:r w:rsidRPr="00514A92">
        <w:rPr>
          <w:rFonts w:eastAsia="Times New Roman" w:cs="Arial"/>
          <w:bCs/>
          <w:sz w:val="20"/>
        </w:rPr>
        <w:t>here appropriate, the subject lecturer provided subject-specific examples to strengthen the relevance of learning.</w:t>
      </w:r>
      <w:r w:rsidR="00F3038F" w:rsidRPr="00514A92">
        <w:rPr>
          <w:rFonts w:eastAsia="Times New Roman" w:cs="Arial"/>
          <w:bCs/>
          <w:sz w:val="20"/>
        </w:rPr>
        <w:t xml:space="preserve"> </w:t>
      </w:r>
      <w:r w:rsidR="00D82BC4" w:rsidRPr="00514A92">
        <w:rPr>
          <w:rFonts w:cs="Arial"/>
          <w:sz w:val="20"/>
        </w:rPr>
        <w:t xml:space="preserve">To embrace and appreciate student </w:t>
      </w:r>
      <w:r w:rsidR="001B25C6" w:rsidRPr="00514A92">
        <w:rPr>
          <w:rFonts w:cs="Arial"/>
          <w:sz w:val="20"/>
        </w:rPr>
        <w:t>diversity and differences</w:t>
      </w:r>
      <w:r w:rsidR="00D82BC4" w:rsidRPr="00514A92">
        <w:rPr>
          <w:rFonts w:cs="Arial"/>
          <w:sz w:val="20"/>
        </w:rPr>
        <w:t>, we employ</w:t>
      </w:r>
      <w:r w:rsidR="00C22B34" w:rsidRPr="00514A92">
        <w:rPr>
          <w:rFonts w:cs="Arial"/>
          <w:sz w:val="20"/>
        </w:rPr>
        <w:t>ed</w:t>
      </w:r>
      <w:r w:rsidR="00D82BC4" w:rsidRPr="00514A92">
        <w:rPr>
          <w:rFonts w:cs="Arial"/>
          <w:sz w:val="20"/>
        </w:rPr>
        <w:t xml:space="preserve"> the genre-based approach (</w:t>
      </w:r>
      <w:r w:rsidR="00AF4C27" w:rsidRPr="00514A92">
        <w:rPr>
          <w:rFonts w:cs="Arial"/>
          <w:sz w:val="20"/>
        </w:rPr>
        <w:t xml:space="preserve">Hyland 2004, 2005, </w:t>
      </w:r>
      <w:r w:rsidR="00D82BC4" w:rsidRPr="00514A92">
        <w:rPr>
          <w:rFonts w:cs="Arial"/>
          <w:sz w:val="20"/>
        </w:rPr>
        <w:t>Swales 1990</w:t>
      </w:r>
      <w:r w:rsidR="00AF4C27" w:rsidRPr="00514A92">
        <w:rPr>
          <w:rFonts w:cs="Arial"/>
          <w:sz w:val="20"/>
        </w:rPr>
        <w:t xml:space="preserve">, </w:t>
      </w:r>
      <w:r w:rsidR="00D82BC4" w:rsidRPr="00514A92">
        <w:rPr>
          <w:rFonts w:cs="Arial"/>
          <w:sz w:val="20"/>
        </w:rPr>
        <w:t>Wingate 2012, 2015), complemented by the academic literacies perspective (Lea &amp; Street 2006</w:t>
      </w:r>
      <w:r w:rsidR="00AF4C27" w:rsidRPr="00514A92">
        <w:rPr>
          <w:rFonts w:cs="Arial"/>
          <w:sz w:val="20"/>
        </w:rPr>
        <w:t>,</w:t>
      </w:r>
      <w:r w:rsidR="00D82BC4" w:rsidRPr="00514A92">
        <w:rPr>
          <w:rFonts w:cs="Arial"/>
          <w:sz w:val="20"/>
        </w:rPr>
        <w:t xml:space="preserve"> Street 2010</w:t>
      </w:r>
      <w:r w:rsidR="00285407" w:rsidRPr="00514A92">
        <w:rPr>
          <w:rFonts w:cs="Arial"/>
          <w:sz w:val="20"/>
        </w:rPr>
        <w:t>)</w:t>
      </w:r>
      <w:r w:rsidR="002471D9" w:rsidRPr="00514A92">
        <w:rPr>
          <w:rFonts w:cs="Arial"/>
          <w:sz w:val="20"/>
        </w:rPr>
        <w:t xml:space="preserve">, detailed in the next section. </w:t>
      </w:r>
      <w:r w:rsidR="00346941" w:rsidRPr="00514A92">
        <w:rPr>
          <w:rFonts w:cs="Arial"/>
          <w:sz w:val="20"/>
        </w:rPr>
        <w:t>The</w:t>
      </w:r>
      <w:r w:rsidR="0028285E" w:rsidRPr="00514A92">
        <w:rPr>
          <w:rFonts w:cs="Arial"/>
          <w:sz w:val="20"/>
        </w:rPr>
        <w:t xml:space="preserve"> integration</w:t>
      </w:r>
      <w:r w:rsidR="00346941" w:rsidRPr="00514A92">
        <w:rPr>
          <w:rFonts w:cs="Arial"/>
          <w:sz w:val="20"/>
        </w:rPr>
        <w:t xml:space="preserve"> of both</w:t>
      </w:r>
      <w:r w:rsidR="00285407" w:rsidRPr="00514A92">
        <w:rPr>
          <w:rFonts w:cs="Arial"/>
          <w:sz w:val="20"/>
        </w:rPr>
        <w:t xml:space="preserve"> approaches</w:t>
      </w:r>
      <w:r w:rsidR="00346941" w:rsidRPr="00514A92">
        <w:rPr>
          <w:rFonts w:cs="Arial"/>
          <w:sz w:val="20"/>
        </w:rPr>
        <w:t xml:space="preserve"> </w:t>
      </w:r>
      <w:r w:rsidR="00D82BC4" w:rsidRPr="00514A92">
        <w:rPr>
          <w:rFonts w:cs="Arial"/>
          <w:sz w:val="20"/>
        </w:rPr>
        <w:t>provide</w:t>
      </w:r>
      <w:r w:rsidR="00C22B34" w:rsidRPr="00514A92">
        <w:rPr>
          <w:rFonts w:cs="Arial"/>
          <w:sz w:val="20"/>
        </w:rPr>
        <w:t>d</w:t>
      </w:r>
      <w:r w:rsidR="00D82BC4" w:rsidRPr="00514A92">
        <w:rPr>
          <w:rFonts w:cs="Arial"/>
          <w:sz w:val="20"/>
        </w:rPr>
        <w:t xml:space="preserve"> a </w:t>
      </w:r>
      <w:r w:rsidR="00346941" w:rsidRPr="00514A92">
        <w:rPr>
          <w:rFonts w:cs="Arial"/>
          <w:sz w:val="20"/>
        </w:rPr>
        <w:t>balanced pedagogy</w:t>
      </w:r>
      <w:r w:rsidR="0028285E" w:rsidRPr="00514A92">
        <w:rPr>
          <w:rFonts w:cs="Arial"/>
          <w:sz w:val="20"/>
        </w:rPr>
        <w:t xml:space="preserve"> between ‘normative’ and ‘transformative’ approaches (Lillis &amp; Scott 2007</w:t>
      </w:r>
      <w:r w:rsidR="00AF4C27" w:rsidRPr="00514A92">
        <w:rPr>
          <w:rFonts w:cs="Arial"/>
          <w:sz w:val="20"/>
        </w:rPr>
        <w:t>,</w:t>
      </w:r>
      <w:r w:rsidR="0028285E" w:rsidRPr="00514A92">
        <w:rPr>
          <w:rFonts w:cs="Arial"/>
          <w:sz w:val="20"/>
        </w:rPr>
        <w:t xml:space="preserve"> Wingate &amp; Tribble 2012). In other words, we balance</w:t>
      </w:r>
      <w:r w:rsidR="00C22B34" w:rsidRPr="00514A92">
        <w:rPr>
          <w:rFonts w:cs="Arial"/>
          <w:sz w:val="20"/>
        </w:rPr>
        <w:t>d</w:t>
      </w:r>
      <w:r w:rsidR="0028285E" w:rsidRPr="00514A92">
        <w:rPr>
          <w:rFonts w:cs="Arial"/>
          <w:sz w:val="20"/>
        </w:rPr>
        <w:t xml:space="preserve"> between providing explicit examples for students to model and giving students</w:t>
      </w:r>
      <w:r w:rsidR="00E8617D" w:rsidRPr="00514A92">
        <w:rPr>
          <w:rFonts w:cs="Arial"/>
          <w:sz w:val="20"/>
        </w:rPr>
        <w:t xml:space="preserve"> opportunities </w:t>
      </w:r>
      <w:r w:rsidR="0028285E" w:rsidRPr="00514A92">
        <w:rPr>
          <w:rFonts w:cs="Arial"/>
          <w:sz w:val="20"/>
        </w:rPr>
        <w:t>to negotiate meaning</w:t>
      </w:r>
      <w:r w:rsidR="00E8617D" w:rsidRPr="00514A92">
        <w:rPr>
          <w:rFonts w:cs="Arial"/>
          <w:sz w:val="20"/>
        </w:rPr>
        <w:t xml:space="preserve"> through pair</w:t>
      </w:r>
      <w:r w:rsidR="00D835F1" w:rsidRPr="00514A92">
        <w:rPr>
          <w:rFonts w:cs="Arial"/>
          <w:sz w:val="20"/>
        </w:rPr>
        <w:t xml:space="preserve"> and group work</w:t>
      </w:r>
      <w:r w:rsidR="0028285E" w:rsidRPr="00514A92">
        <w:rPr>
          <w:rFonts w:cs="Arial"/>
          <w:sz w:val="20"/>
        </w:rPr>
        <w:t xml:space="preserve">, </w:t>
      </w:r>
      <w:r w:rsidR="00A375A9" w:rsidRPr="00514A92">
        <w:rPr>
          <w:rFonts w:cs="Arial"/>
          <w:sz w:val="20"/>
        </w:rPr>
        <w:t xml:space="preserve">which </w:t>
      </w:r>
      <w:r w:rsidR="00A24205" w:rsidRPr="00514A92">
        <w:rPr>
          <w:rFonts w:cs="Arial"/>
          <w:sz w:val="20"/>
        </w:rPr>
        <w:t>foster</w:t>
      </w:r>
      <w:r w:rsidR="00C22B34" w:rsidRPr="00514A92">
        <w:rPr>
          <w:rFonts w:cs="Arial"/>
          <w:sz w:val="20"/>
        </w:rPr>
        <w:t>ed</w:t>
      </w:r>
      <w:r w:rsidR="00A24205" w:rsidRPr="00514A92">
        <w:rPr>
          <w:rFonts w:cs="Arial"/>
          <w:sz w:val="20"/>
        </w:rPr>
        <w:t xml:space="preserve"> a culture of collaboration </w:t>
      </w:r>
      <w:r w:rsidR="00C22B34" w:rsidRPr="00514A92">
        <w:rPr>
          <w:rFonts w:cs="Arial"/>
          <w:sz w:val="20"/>
        </w:rPr>
        <w:t>amongst</w:t>
      </w:r>
      <w:r w:rsidR="00A24205" w:rsidRPr="00514A92">
        <w:rPr>
          <w:rFonts w:cs="Arial"/>
          <w:sz w:val="20"/>
        </w:rPr>
        <w:t xml:space="preserve"> students.</w:t>
      </w:r>
      <w:r w:rsidR="00D835F1" w:rsidRPr="00514A92">
        <w:rPr>
          <w:rFonts w:cs="Arial"/>
          <w:sz w:val="20"/>
        </w:rPr>
        <w:t xml:space="preserve"> </w:t>
      </w:r>
      <w:r w:rsidR="00D82BC4" w:rsidRPr="00514A92">
        <w:rPr>
          <w:rFonts w:cs="Arial"/>
          <w:sz w:val="20"/>
        </w:rPr>
        <w:t>By inviting students to openly discuss academic conventions, this blended approach to academic writing</w:t>
      </w:r>
      <w:r w:rsidR="00C22B34" w:rsidRPr="00514A92">
        <w:rPr>
          <w:rFonts w:cs="Arial"/>
          <w:sz w:val="20"/>
        </w:rPr>
        <w:t xml:space="preserve"> </w:t>
      </w:r>
      <w:r w:rsidR="00D82BC4" w:rsidRPr="00514A92">
        <w:rPr>
          <w:rFonts w:cs="Arial"/>
          <w:sz w:val="20"/>
        </w:rPr>
        <w:t>facilitate</w:t>
      </w:r>
      <w:r w:rsidR="00C22B34" w:rsidRPr="00514A92">
        <w:rPr>
          <w:rFonts w:cs="Arial"/>
          <w:sz w:val="20"/>
        </w:rPr>
        <w:t>d</w:t>
      </w:r>
      <w:r w:rsidR="00D82BC4" w:rsidRPr="00514A92">
        <w:rPr>
          <w:rFonts w:cs="Arial"/>
          <w:sz w:val="20"/>
        </w:rPr>
        <w:t xml:space="preserve"> a sense of autonomy, belonging and</w:t>
      </w:r>
      <w:r w:rsidR="002471D9" w:rsidRPr="00514A92">
        <w:rPr>
          <w:rFonts w:cs="Arial"/>
          <w:sz w:val="20"/>
        </w:rPr>
        <w:t xml:space="preserve"> </w:t>
      </w:r>
      <w:r w:rsidR="00D82BC4" w:rsidRPr="00514A92">
        <w:rPr>
          <w:rFonts w:cs="Arial"/>
          <w:sz w:val="20"/>
        </w:rPr>
        <w:t xml:space="preserve">partnership between students and </w:t>
      </w:r>
      <w:r w:rsidR="00A24205" w:rsidRPr="00514A92">
        <w:rPr>
          <w:rFonts w:cs="Arial"/>
          <w:sz w:val="20"/>
        </w:rPr>
        <w:t>teaching staff</w:t>
      </w:r>
      <w:r w:rsidR="00D82BC4" w:rsidRPr="00514A92">
        <w:rPr>
          <w:rFonts w:cs="Arial"/>
          <w:sz w:val="20"/>
        </w:rPr>
        <w:t xml:space="preserve">. </w:t>
      </w:r>
      <w:r w:rsidR="00D835F1" w:rsidRPr="00514A92">
        <w:rPr>
          <w:rFonts w:cs="Arial"/>
          <w:sz w:val="20"/>
        </w:rPr>
        <w:t>This research explores the following questions:</w:t>
      </w:r>
    </w:p>
    <w:p w14:paraId="118F346A" w14:textId="77777777" w:rsidR="00D82BC4" w:rsidRPr="00514A92" w:rsidRDefault="00D82BC4"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024A016E" w14:textId="6886A093" w:rsidR="006425E4" w:rsidRPr="00514A92" w:rsidRDefault="00285407"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97"/>
        <w:rPr>
          <w:rFonts w:cs="Arial"/>
          <w:sz w:val="20"/>
        </w:rPr>
      </w:pPr>
      <w:r w:rsidRPr="00514A92">
        <w:rPr>
          <w:rFonts w:cs="Arial"/>
          <w:sz w:val="20"/>
        </w:rPr>
        <w:t>1</w:t>
      </w:r>
      <w:r w:rsidR="00D82BC4" w:rsidRPr="00514A92">
        <w:rPr>
          <w:rFonts w:cs="Arial"/>
          <w:sz w:val="20"/>
        </w:rPr>
        <w:t>. What are students</w:t>
      </w:r>
      <w:r w:rsidR="00D760A9" w:rsidRPr="00514A92">
        <w:rPr>
          <w:rFonts w:cs="Arial"/>
          <w:sz w:val="20"/>
        </w:rPr>
        <w:t>’</w:t>
      </w:r>
      <w:r w:rsidR="00D82BC4" w:rsidRPr="00514A92">
        <w:rPr>
          <w:rFonts w:cs="Arial"/>
          <w:sz w:val="20"/>
        </w:rPr>
        <w:t xml:space="preserve"> perceptions and experiences of the embedded academic writing provision</w:t>
      </w:r>
      <w:r w:rsidR="00D835F1" w:rsidRPr="00514A92">
        <w:rPr>
          <w:rFonts w:cs="Arial"/>
          <w:sz w:val="20"/>
        </w:rPr>
        <w:t xml:space="preserve"> within the subject curriculum</w:t>
      </w:r>
      <w:r w:rsidR="006425E4" w:rsidRPr="00514A92">
        <w:rPr>
          <w:rFonts w:cs="Arial"/>
          <w:sz w:val="20"/>
        </w:rPr>
        <w:t>?</w:t>
      </w:r>
      <w:r w:rsidR="00D82BC4" w:rsidRPr="00514A92">
        <w:rPr>
          <w:rFonts w:cs="Arial"/>
          <w:sz w:val="20"/>
        </w:rPr>
        <w:t xml:space="preserve"> </w:t>
      </w:r>
    </w:p>
    <w:p w14:paraId="6C25804C" w14:textId="0DEB7CEF" w:rsidR="00D82BC4" w:rsidRPr="00514A92" w:rsidRDefault="00285407"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97"/>
        <w:rPr>
          <w:rFonts w:cs="Arial"/>
          <w:sz w:val="20"/>
        </w:rPr>
      </w:pPr>
      <w:r w:rsidRPr="00514A92">
        <w:rPr>
          <w:rFonts w:cs="Arial"/>
          <w:sz w:val="20"/>
        </w:rPr>
        <w:t>2</w:t>
      </w:r>
      <w:r w:rsidR="00D82BC4" w:rsidRPr="00514A92">
        <w:rPr>
          <w:rFonts w:cs="Arial"/>
          <w:sz w:val="20"/>
        </w:rPr>
        <w:t xml:space="preserve">. To what extent </w:t>
      </w:r>
      <w:r w:rsidRPr="00514A92">
        <w:rPr>
          <w:rFonts w:cs="Arial"/>
          <w:sz w:val="20"/>
        </w:rPr>
        <w:t xml:space="preserve">has </w:t>
      </w:r>
      <w:r w:rsidR="00D82BC4" w:rsidRPr="00514A92">
        <w:rPr>
          <w:rFonts w:cs="Arial"/>
          <w:sz w:val="20"/>
        </w:rPr>
        <w:t xml:space="preserve">the embedded writing </w:t>
      </w:r>
      <w:r w:rsidR="00D835F1" w:rsidRPr="00514A92">
        <w:rPr>
          <w:rFonts w:cs="Arial"/>
          <w:sz w:val="20"/>
        </w:rPr>
        <w:t>provision</w:t>
      </w:r>
      <w:r w:rsidR="00CA0CBD" w:rsidRPr="00514A92">
        <w:rPr>
          <w:rFonts w:cs="Arial"/>
          <w:sz w:val="20"/>
        </w:rPr>
        <w:t xml:space="preserve"> contribute</w:t>
      </w:r>
      <w:r w:rsidRPr="00514A92">
        <w:rPr>
          <w:rFonts w:cs="Arial"/>
          <w:sz w:val="20"/>
        </w:rPr>
        <w:t>d</w:t>
      </w:r>
      <w:r w:rsidR="00CA0CBD" w:rsidRPr="00514A92">
        <w:rPr>
          <w:rFonts w:cs="Arial"/>
          <w:sz w:val="20"/>
        </w:rPr>
        <w:t xml:space="preserve"> to </w:t>
      </w:r>
      <w:r w:rsidRPr="00514A92">
        <w:rPr>
          <w:rFonts w:cs="Arial"/>
          <w:sz w:val="20"/>
        </w:rPr>
        <w:t>students’</w:t>
      </w:r>
      <w:r w:rsidR="00CA0CBD" w:rsidRPr="00514A92">
        <w:rPr>
          <w:rFonts w:cs="Arial"/>
          <w:sz w:val="20"/>
        </w:rPr>
        <w:t xml:space="preserve"> </w:t>
      </w:r>
      <w:r w:rsidR="00D82BC4" w:rsidRPr="00514A92">
        <w:rPr>
          <w:rFonts w:cs="Arial"/>
          <w:sz w:val="20"/>
        </w:rPr>
        <w:t>attainment</w:t>
      </w:r>
      <w:r w:rsidR="00FF4A9F" w:rsidRPr="00514A92">
        <w:rPr>
          <w:rFonts w:cs="Arial"/>
          <w:sz w:val="20"/>
        </w:rPr>
        <w:t xml:space="preserve"> and academic literacy development</w:t>
      </w:r>
      <w:r w:rsidRPr="00514A92">
        <w:rPr>
          <w:rFonts w:cs="Arial"/>
          <w:sz w:val="20"/>
        </w:rPr>
        <w:t>?</w:t>
      </w:r>
    </w:p>
    <w:p w14:paraId="75B7CB4F" w14:textId="77777777" w:rsidR="00D82BC4" w:rsidRPr="00514A92" w:rsidRDefault="00D82BC4"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26FF959B" w14:textId="7DB4D523" w:rsidR="00D82BC4" w:rsidRPr="00514A92" w:rsidRDefault="00CE7CBB"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bookmarkStart w:id="1" w:name="_Toc469914310"/>
      <w:r w:rsidRPr="00514A92">
        <w:rPr>
          <w:rFonts w:cs="Arial"/>
          <w:b/>
          <w:sz w:val="22"/>
          <w:szCs w:val="22"/>
        </w:rPr>
        <w:t xml:space="preserve">2. </w:t>
      </w:r>
      <w:r w:rsidR="00D82BC4" w:rsidRPr="00514A92">
        <w:rPr>
          <w:rFonts w:cs="Arial"/>
          <w:b/>
          <w:sz w:val="22"/>
          <w:szCs w:val="22"/>
        </w:rPr>
        <w:t>Pedagogical approaches</w:t>
      </w:r>
      <w:bookmarkEnd w:id="1"/>
      <w:r w:rsidR="006425E4" w:rsidRPr="00514A92">
        <w:rPr>
          <w:rFonts w:cs="Arial"/>
          <w:b/>
          <w:sz w:val="22"/>
          <w:szCs w:val="22"/>
        </w:rPr>
        <w:t xml:space="preserve"> </w:t>
      </w:r>
      <w:r w:rsidR="001820A8" w:rsidRPr="00514A92">
        <w:rPr>
          <w:rFonts w:cs="Arial"/>
          <w:b/>
          <w:sz w:val="22"/>
          <w:szCs w:val="22"/>
        </w:rPr>
        <w:t>to</w:t>
      </w:r>
      <w:r w:rsidR="00863453" w:rsidRPr="00514A92">
        <w:rPr>
          <w:rFonts w:cs="Arial"/>
          <w:b/>
          <w:sz w:val="22"/>
          <w:szCs w:val="22"/>
        </w:rPr>
        <w:t xml:space="preserve"> the</w:t>
      </w:r>
      <w:r w:rsidR="006425E4" w:rsidRPr="00514A92">
        <w:rPr>
          <w:rFonts w:cs="Arial"/>
          <w:b/>
          <w:sz w:val="22"/>
          <w:szCs w:val="22"/>
        </w:rPr>
        <w:t xml:space="preserve"> </w:t>
      </w:r>
      <w:r w:rsidR="00D835F1" w:rsidRPr="00514A92">
        <w:rPr>
          <w:rFonts w:cs="Arial"/>
          <w:b/>
          <w:sz w:val="22"/>
          <w:szCs w:val="22"/>
        </w:rPr>
        <w:t xml:space="preserve">writing </w:t>
      </w:r>
      <w:r w:rsidR="006425E4" w:rsidRPr="00514A92">
        <w:rPr>
          <w:rFonts w:cs="Arial"/>
          <w:b/>
          <w:sz w:val="22"/>
          <w:szCs w:val="22"/>
        </w:rPr>
        <w:t>provision</w:t>
      </w:r>
    </w:p>
    <w:p w14:paraId="24E8F9B3" w14:textId="77777777" w:rsidR="00A1467F" w:rsidRPr="00514A92" w:rsidRDefault="00A1467F"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4FDDE702" w14:textId="79949162" w:rsidR="00DD7021" w:rsidRPr="00514A92" w:rsidRDefault="00A74FDD"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University</w:t>
      </w:r>
      <w:r w:rsidR="00DD7021" w:rsidRPr="00514A92">
        <w:rPr>
          <w:rFonts w:cs="Arial"/>
          <w:sz w:val="20"/>
        </w:rPr>
        <w:t xml:space="preserve"> students, both native- and non-native speakers of English, are often novice</w:t>
      </w:r>
      <w:r w:rsidR="006D06E4" w:rsidRPr="00514A92">
        <w:rPr>
          <w:rFonts w:cs="Arial"/>
          <w:sz w:val="20"/>
        </w:rPr>
        <w:t>s to their disciplines (Wingate</w:t>
      </w:r>
      <w:r w:rsidR="00DD7021" w:rsidRPr="00514A92">
        <w:rPr>
          <w:rFonts w:cs="Arial"/>
          <w:sz w:val="20"/>
        </w:rPr>
        <w:t xml:space="preserve"> 2012) and hence</w:t>
      </w:r>
      <w:r w:rsidR="00166196" w:rsidRPr="00514A92">
        <w:rPr>
          <w:rFonts w:cs="Arial"/>
          <w:sz w:val="20"/>
        </w:rPr>
        <w:t>,</w:t>
      </w:r>
      <w:r w:rsidR="00DD7021" w:rsidRPr="00514A92">
        <w:rPr>
          <w:rFonts w:cs="Arial"/>
          <w:sz w:val="20"/>
        </w:rPr>
        <w:t xml:space="preserve"> they might not be familiar with </w:t>
      </w:r>
      <w:r w:rsidR="00D835F1" w:rsidRPr="00514A92">
        <w:rPr>
          <w:rFonts w:cs="Arial"/>
          <w:sz w:val="20"/>
        </w:rPr>
        <w:t xml:space="preserve">the </w:t>
      </w:r>
      <w:r w:rsidR="00166196" w:rsidRPr="00514A92">
        <w:rPr>
          <w:rFonts w:cs="Arial"/>
          <w:sz w:val="20"/>
        </w:rPr>
        <w:t>expectations</w:t>
      </w:r>
      <w:r w:rsidR="00DD7021" w:rsidRPr="00514A92">
        <w:rPr>
          <w:rFonts w:cs="Arial"/>
          <w:sz w:val="20"/>
        </w:rPr>
        <w:t xml:space="preserve"> in terms of academic register and disciplinary conventions in their situated academic contexts</w:t>
      </w:r>
      <w:r w:rsidR="00AB4F7B" w:rsidRPr="00514A92">
        <w:rPr>
          <w:rFonts w:cs="Arial"/>
          <w:sz w:val="20"/>
        </w:rPr>
        <w:t xml:space="preserve"> (Chiu, 2015)</w:t>
      </w:r>
      <w:r w:rsidR="00DD7021" w:rsidRPr="00514A92">
        <w:rPr>
          <w:rFonts w:cs="Arial"/>
          <w:sz w:val="20"/>
        </w:rPr>
        <w:t xml:space="preserve">. </w:t>
      </w:r>
      <w:r w:rsidR="0037232A" w:rsidRPr="00514A92">
        <w:rPr>
          <w:rFonts w:cs="Arial"/>
          <w:sz w:val="20"/>
        </w:rPr>
        <w:t>Often</w:t>
      </w:r>
      <w:r w:rsidR="00DD7021" w:rsidRPr="00514A92">
        <w:rPr>
          <w:rFonts w:cs="Arial"/>
          <w:sz w:val="20"/>
        </w:rPr>
        <w:t xml:space="preserve">, </w:t>
      </w:r>
      <w:r w:rsidR="00AE2A33" w:rsidRPr="00514A92">
        <w:rPr>
          <w:rFonts w:cs="Arial"/>
          <w:sz w:val="20"/>
        </w:rPr>
        <w:lastRenderedPageBreak/>
        <w:t xml:space="preserve">students are not made explicit </w:t>
      </w:r>
      <w:r w:rsidR="001A35C8" w:rsidRPr="00514A92">
        <w:rPr>
          <w:rFonts w:cs="Arial"/>
          <w:sz w:val="20"/>
        </w:rPr>
        <w:t xml:space="preserve">as to </w:t>
      </w:r>
      <w:r w:rsidR="00AE2A33" w:rsidRPr="00514A92">
        <w:rPr>
          <w:rFonts w:cs="Arial"/>
          <w:sz w:val="20"/>
        </w:rPr>
        <w:t>what</w:t>
      </w:r>
      <w:r w:rsidR="001A35C8" w:rsidRPr="00514A92">
        <w:rPr>
          <w:rFonts w:cs="Arial"/>
          <w:sz w:val="20"/>
        </w:rPr>
        <w:t xml:space="preserve"> is expected of them and how to fulfil the requirements, </w:t>
      </w:r>
      <w:r w:rsidR="00DD7021" w:rsidRPr="00514A92">
        <w:rPr>
          <w:rFonts w:cs="Arial"/>
          <w:sz w:val="20"/>
        </w:rPr>
        <w:t xml:space="preserve">thereby compounding the challenges of writing. Here we argue that there is a </w:t>
      </w:r>
      <w:r w:rsidR="00DD7021" w:rsidRPr="00514A92">
        <w:rPr>
          <w:rFonts w:cs="Arial"/>
          <w:noProof/>
          <w:sz w:val="20"/>
        </w:rPr>
        <w:t>bounded</w:t>
      </w:r>
      <w:r w:rsidR="00DD7021" w:rsidRPr="00514A92">
        <w:rPr>
          <w:rFonts w:cs="Arial"/>
          <w:sz w:val="20"/>
        </w:rPr>
        <w:t xml:space="preserve"> connection between language and subject learning</w:t>
      </w:r>
      <w:r w:rsidR="00166196" w:rsidRPr="00514A92">
        <w:rPr>
          <w:rFonts w:cs="Arial"/>
          <w:sz w:val="20"/>
        </w:rPr>
        <w:t>,</w:t>
      </w:r>
      <w:r w:rsidR="00476B88" w:rsidRPr="00514A92">
        <w:rPr>
          <w:rFonts w:cs="Arial"/>
          <w:sz w:val="20"/>
        </w:rPr>
        <w:t xml:space="preserve"> as Hyland (2013: 53, cited in Erwin &amp; Zappile</w:t>
      </w:r>
      <w:r w:rsidR="00DD7021" w:rsidRPr="00514A92">
        <w:rPr>
          <w:rFonts w:cs="Arial"/>
          <w:sz w:val="20"/>
        </w:rPr>
        <w:t xml:space="preserve"> 2013</w:t>
      </w:r>
      <w:r w:rsidR="00476B88" w:rsidRPr="00514A92">
        <w:rPr>
          <w:rFonts w:cs="Arial"/>
          <w:sz w:val="20"/>
        </w:rPr>
        <w:t>:</w:t>
      </w:r>
      <w:r w:rsidR="00DD7021" w:rsidRPr="00514A92">
        <w:rPr>
          <w:rFonts w:cs="Arial"/>
          <w:sz w:val="20"/>
        </w:rPr>
        <w:t xml:space="preserve"> 1) states: </w:t>
      </w:r>
    </w:p>
    <w:p w14:paraId="0EF4140B" w14:textId="77777777" w:rsidR="00DD7021" w:rsidRPr="00514A92" w:rsidRDefault="00DD7021"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44B19514" w14:textId="77777777" w:rsidR="00DD7021" w:rsidRPr="00514A92" w:rsidRDefault="00DD7021"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ight="720"/>
        <w:mirrorIndents/>
        <w:rPr>
          <w:rFonts w:cs="Arial"/>
          <w:sz w:val="20"/>
        </w:rPr>
      </w:pPr>
      <w:r w:rsidRPr="00514A92">
        <w:rPr>
          <w:rFonts w:cs="Arial"/>
          <w:sz w:val="20"/>
        </w:rPr>
        <w:t xml:space="preserve">…how we as academics and students understand our discipline(s), evaluate discourse, and effectively assert our own views is inextricably linked with our understanding of and ability to </w:t>
      </w:r>
      <w:r w:rsidRPr="00514A92">
        <w:rPr>
          <w:rFonts w:cs="Arial"/>
          <w:b/>
          <w:sz w:val="20"/>
        </w:rPr>
        <w:t>express through language in the written form [our emphasis]</w:t>
      </w:r>
      <w:r w:rsidRPr="00514A92">
        <w:rPr>
          <w:rFonts w:cs="Arial"/>
          <w:sz w:val="20"/>
        </w:rPr>
        <w:t>, as it is through language that academics and students conceptualise their subjects and argue their claims persuasively.</w:t>
      </w:r>
    </w:p>
    <w:p w14:paraId="6BB10B1C" w14:textId="77777777" w:rsidR="00DD7021" w:rsidRPr="00514A92" w:rsidRDefault="00DD7021"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1345CA55" w14:textId="2D184FD4" w:rsidR="00DD7021" w:rsidRPr="00514A92" w:rsidRDefault="00DD7021"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Aligned with this view, academic language and literacies </w:t>
      </w:r>
      <w:r w:rsidR="00D835F1" w:rsidRPr="00514A92">
        <w:rPr>
          <w:rFonts w:cs="Arial"/>
          <w:sz w:val="20"/>
        </w:rPr>
        <w:t>development</w:t>
      </w:r>
      <w:r w:rsidRPr="00514A92">
        <w:rPr>
          <w:rFonts w:cs="Arial"/>
          <w:sz w:val="20"/>
        </w:rPr>
        <w:t xml:space="preserve"> cannot be seen as </w:t>
      </w:r>
      <w:r w:rsidR="0037232A" w:rsidRPr="00514A92">
        <w:rPr>
          <w:rFonts w:cs="Arial"/>
          <w:sz w:val="20"/>
        </w:rPr>
        <w:t>a separate element from subject learning</w:t>
      </w:r>
      <w:r w:rsidR="005D1DAE" w:rsidRPr="00514A92">
        <w:rPr>
          <w:rFonts w:cs="Arial"/>
          <w:sz w:val="20"/>
        </w:rPr>
        <w:t>, but rather, as</w:t>
      </w:r>
      <w:r w:rsidRPr="00514A92">
        <w:rPr>
          <w:rFonts w:cs="Arial"/>
          <w:sz w:val="20"/>
        </w:rPr>
        <w:t xml:space="preserve"> an integral part of </w:t>
      </w:r>
      <w:r w:rsidR="00D835F1" w:rsidRPr="00514A92">
        <w:rPr>
          <w:rFonts w:cs="Arial"/>
          <w:sz w:val="20"/>
        </w:rPr>
        <w:t xml:space="preserve">the process of understanding </w:t>
      </w:r>
      <w:r w:rsidRPr="00514A92">
        <w:rPr>
          <w:rFonts w:cs="Arial"/>
          <w:sz w:val="20"/>
        </w:rPr>
        <w:t>how knowledge is constructed and argued in a specific discipline.</w:t>
      </w:r>
      <w:r w:rsidR="00167802" w:rsidRPr="00514A92">
        <w:rPr>
          <w:rFonts w:cs="Arial"/>
          <w:sz w:val="20"/>
        </w:rPr>
        <w:t xml:space="preserve"> </w:t>
      </w:r>
      <w:r w:rsidR="00162630" w:rsidRPr="00514A92">
        <w:rPr>
          <w:rFonts w:cs="Arial"/>
          <w:sz w:val="20"/>
        </w:rPr>
        <w:t>To realise this</w:t>
      </w:r>
      <w:r w:rsidR="00167802" w:rsidRPr="00514A92">
        <w:rPr>
          <w:rFonts w:cs="Arial"/>
          <w:sz w:val="20"/>
        </w:rPr>
        <w:t xml:space="preserve">, </w:t>
      </w:r>
      <w:r w:rsidR="00D82BC4" w:rsidRPr="00514A92">
        <w:rPr>
          <w:rFonts w:cs="Arial"/>
          <w:sz w:val="20"/>
        </w:rPr>
        <w:t xml:space="preserve">we have drawn on the two dominant pedagogical approaches to </w:t>
      </w:r>
      <w:r w:rsidR="000653C2" w:rsidRPr="00514A92">
        <w:rPr>
          <w:rFonts w:cs="Arial"/>
          <w:sz w:val="20"/>
        </w:rPr>
        <w:t>teaching academic writing</w:t>
      </w:r>
      <w:r w:rsidR="00167802" w:rsidRPr="00514A92">
        <w:rPr>
          <w:rFonts w:cs="Arial"/>
          <w:sz w:val="20"/>
        </w:rPr>
        <w:t xml:space="preserve"> – </w:t>
      </w:r>
      <w:r w:rsidR="0072786F" w:rsidRPr="00514A92">
        <w:rPr>
          <w:rFonts w:cs="Arial"/>
          <w:sz w:val="20"/>
        </w:rPr>
        <w:t>English for Academic Purposes (EAP, i.e. genre-based approach) and Academic Literacies</w:t>
      </w:r>
      <w:r w:rsidR="00167802" w:rsidRPr="00514A92">
        <w:rPr>
          <w:rFonts w:cs="Arial"/>
          <w:sz w:val="20"/>
        </w:rPr>
        <w:t>.</w:t>
      </w:r>
    </w:p>
    <w:p w14:paraId="13ACD12F" w14:textId="77777777" w:rsidR="00DD7021" w:rsidRPr="00514A92" w:rsidRDefault="00DD7021"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1339E6D4" w14:textId="18BB3D54" w:rsidR="00D805C4" w:rsidRPr="00514A92" w:rsidRDefault="000220D1"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The </w:t>
      </w:r>
      <w:r w:rsidR="000653C2" w:rsidRPr="00514A92">
        <w:rPr>
          <w:rFonts w:cs="Arial"/>
          <w:sz w:val="20"/>
        </w:rPr>
        <w:t>genre-based pedagogy emphasises the text in context</w:t>
      </w:r>
      <w:r w:rsidR="0042627A" w:rsidRPr="00514A92">
        <w:rPr>
          <w:rFonts w:cs="Arial"/>
          <w:sz w:val="20"/>
        </w:rPr>
        <w:t xml:space="preserve"> (Wingate &amp; Tribble 2012)</w:t>
      </w:r>
      <w:r w:rsidRPr="00514A92">
        <w:rPr>
          <w:rFonts w:cs="Arial"/>
          <w:sz w:val="20"/>
        </w:rPr>
        <w:t>,</w:t>
      </w:r>
      <w:r w:rsidR="00E40056" w:rsidRPr="00514A92">
        <w:rPr>
          <w:rFonts w:cs="Arial"/>
          <w:sz w:val="20"/>
        </w:rPr>
        <w:t xml:space="preserve"> where the </w:t>
      </w:r>
      <w:r w:rsidR="001F240F" w:rsidRPr="00514A92">
        <w:rPr>
          <w:rFonts w:cs="Arial"/>
          <w:sz w:val="20"/>
        </w:rPr>
        <w:t xml:space="preserve">analysis and </w:t>
      </w:r>
      <w:r w:rsidR="00E40056" w:rsidRPr="00514A92">
        <w:rPr>
          <w:rFonts w:cs="Arial"/>
          <w:sz w:val="20"/>
        </w:rPr>
        <w:t xml:space="preserve">identification of discoursal features </w:t>
      </w:r>
      <w:r w:rsidR="00E40056" w:rsidRPr="00514A92">
        <w:rPr>
          <w:rFonts w:cs="Arial"/>
          <w:noProof/>
          <w:sz w:val="20"/>
        </w:rPr>
        <w:t>is</w:t>
      </w:r>
      <w:r w:rsidR="00E40056" w:rsidRPr="00514A92">
        <w:rPr>
          <w:rFonts w:cs="Arial"/>
          <w:sz w:val="20"/>
        </w:rPr>
        <w:t xml:space="preserve"> essential to support students to unpick the disciplinary writing requirements</w:t>
      </w:r>
      <w:r w:rsidR="001F240F" w:rsidRPr="00514A92">
        <w:rPr>
          <w:rFonts w:cs="Arial"/>
          <w:sz w:val="20"/>
        </w:rPr>
        <w:t xml:space="preserve"> in a more efficient manner</w:t>
      </w:r>
      <w:r w:rsidR="000573E6" w:rsidRPr="00514A92">
        <w:rPr>
          <w:rFonts w:cs="Arial"/>
          <w:sz w:val="20"/>
        </w:rPr>
        <w:t xml:space="preserve"> (cf. genre</w:t>
      </w:r>
      <w:r w:rsidR="00636230" w:rsidRPr="00514A92">
        <w:rPr>
          <w:rFonts w:cs="Arial"/>
          <w:sz w:val="20"/>
        </w:rPr>
        <w:t xml:space="preserve"> acquisition, see Johns 2002, 2011</w:t>
      </w:r>
      <w:r w:rsidR="000573E6" w:rsidRPr="00514A92">
        <w:rPr>
          <w:rFonts w:cs="Arial"/>
          <w:sz w:val="20"/>
        </w:rPr>
        <w:t>)</w:t>
      </w:r>
      <w:r w:rsidR="00F27B9B" w:rsidRPr="00514A92">
        <w:rPr>
          <w:rFonts w:cs="Arial"/>
          <w:sz w:val="20"/>
        </w:rPr>
        <w:t>.</w:t>
      </w:r>
      <w:r w:rsidR="00561696" w:rsidRPr="00514A92">
        <w:rPr>
          <w:rFonts w:cs="Arial"/>
          <w:sz w:val="20"/>
        </w:rPr>
        <w:t xml:space="preserve"> </w:t>
      </w:r>
      <w:r w:rsidR="00DD7021" w:rsidRPr="00514A92">
        <w:rPr>
          <w:rFonts w:cs="Arial"/>
          <w:sz w:val="20"/>
        </w:rPr>
        <w:t>This approach</w:t>
      </w:r>
      <w:r w:rsidR="00D805C4" w:rsidRPr="00514A92">
        <w:rPr>
          <w:rFonts w:cs="Arial"/>
          <w:sz w:val="20"/>
        </w:rPr>
        <w:t xml:space="preserve"> is informed by the seminal work of Swales (1981)</w:t>
      </w:r>
      <w:r w:rsidR="00DD7021" w:rsidRPr="00514A92">
        <w:rPr>
          <w:rFonts w:cs="Arial"/>
          <w:sz w:val="20"/>
        </w:rPr>
        <w:t xml:space="preserve">, </w:t>
      </w:r>
      <w:r w:rsidR="00D805C4" w:rsidRPr="00514A92">
        <w:rPr>
          <w:rFonts w:cs="Arial"/>
          <w:sz w:val="20"/>
        </w:rPr>
        <w:t>where he analysed the rhetorical structure of the introduction sections of research articles using move-step analysis. A ‘move’ can be seen as a textual logic/movement from one part of the text to another</w:t>
      </w:r>
      <w:r w:rsidR="00C210A7" w:rsidRPr="00514A92">
        <w:rPr>
          <w:rFonts w:cs="Arial"/>
          <w:sz w:val="20"/>
        </w:rPr>
        <w:t>,</w:t>
      </w:r>
      <w:r w:rsidR="00D805C4" w:rsidRPr="00514A92">
        <w:rPr>
          <w:rFonts w:cs="Arial"/>
          <w:sz w:val="20"/>
        </w:rPr>
        <w:t xml:space="preserve"> whereas a ‘step’ entails the strategies to fulfil each ‘move’ (Bhatia 1993</w:t>
      </w:r>
      <w:r w:rsidR="00AF4C27" w:rsidRPr="00514A92">
        <w:rPr>
          <w:rFonts w:cs="Arial"/>
          <w:sz w:val="20"/>
        </w:rPr>
        <w:t>, Swales 1990</w:t>
      </w:r>
      <w:r w:rsidR="00D805C4" w:rsidRPr="00514A92">
        <w:rPr>
          <w:rFonts w:cs="Arial"/>
          <w:sz w:val="20"/>
        </w:rPr>
        <w:t>). Many researchers in the field of</w:t>
      </w:r>
      <w:r w:rsidR="001321DA" w:rsidRPr="00514A92">
        <w:rPr>
          <w:rFonts w:cs="Arial"/>
          <w:sz w:val="20"/>
        </w:rPr>
        <w:t xml:space="preserve"> English for Academic/Specific Purposes </w:t>
      </w:r>
      <w:r w:rsidR="00D805C4" w:rsidRPr="00514A92">
        <w:rPr>
          <w:rFonts w:cs="Arial"/>
          <w:sz w:val="20"/>
        </w:rPr>
        <w:t xml:space="preserve">have adopted Swales’ rhetorical move-step analysis to </w:t>
      </w:r>
      <w:r w:rsidR="00FE52FF" w:rsidRPr="00514A92">
        <w:rPr>
          <w:rFonts w:cs="Arial"/>
          <w:sz w:val="20"/>
        </w:rPr>
        <w:t>identify</w:t>
      </w:r>
      <w:r w:rsidR="00D805C4" w:rsidRPr="00514A92">
        <w:rPr>
          <w:rFonts w:cs="Arial"/>
          <w:sz w:val="20"/>
        </w:rPr>
        <w:t xml:space="preserve"> the</w:t>
      </w:r>
      <w:r w:rsidR="00FE52FF" w:rsidRPr="00514A92">
        <w:rPr>
          <w:rFonts w:cs="Arial"/>
          <w:sz w:val="20"/>
        </w:rPr>
        <w:t xml:space="preserve"> prototypical</w:t>
      </w:r>
      <w:r w:rsidR="00D805C4" w:rsidRPr="00514A92">
        <w:rPr>
          <w:rFonts w:cs="Arial"/>
          <w:sz w:val="20"/>
        </w:rPr>
        <w:t xml:space="preserve"> rhetorical structures and the linguistic features of a particular type of text (e.g., Bunton</w:t>
      </w:r>
      <w:r w:rsidR="003C3D9B" w:rsidRPr="00514A92">
        <w:rPr>
          <w:rFonts w:cs="Arial"/>
          <w:sz w:val="20"/>
        </w:rPr>
        <w:t xml:space="preserve"> </w:t>
      </w:r>
      <w:r w:rsidR="00D805C4" w:rsidRPr="00514A92">
        <w:rPr>
          <w:rFonts w:cs="Arial"/>
          <w:sz w:val="20"/>
        </w:rPr>
        <w:t>2005;</w:t>
      </w:r>
      <w:r w:rsidR="007407AA" w:rsidRPr="00514A92">
        <w:rPr>
          <w:rFonts w:cs="Arial"/>
          <w:sz w:val="20"/>
        </w:rPr>
        <w:t xml:space="preserve"> Chiu </w:t>
      </w:r>
      <w:r w:rsidR="00D805C4" w:rsidRPr="00514A92">
        <w:rPr>
          <w:rFonts w:cs="Arial"/>
          <w:sz w:val="20"/>
        </w:rPr>
        <w:t>2016</w:t>
      </w:r>
      <w:r w:rsidR="00AF4C27" w:rsidRPr="00514A92">
        <w:rPr>
          <w:rFonts w:cs="Arial"/>
          <w:sz w:val="20"/>
        </w:rPr>
        <w:t>,</w:t>
      </w:r>
      <w:r w:rsidR="00BD55EF" w:rsidRPr="00514A92">
        <w:rPr>
          <w:rFonts w:cs="Arial"/>
          <w:sz w:val="20"/>
        </w:rPr>
        <w:t xml:space="preserve"> Flowerdew &amp; Dudley-Evans 2002</w:t>
      </w:r>
      <w:r w:rsidR="00AF4C27" w:rsidRPr="00514A92">
        <w:rPr>
          <w:rFonts w:cs="Arial"/>
          <w:sz w:val="20"/>
        </w:rPr>
        <w:t>,</w:t>
      </w:r>
      <w:r w:rsidR="001D7809" w:rsidRPr="00514A92">
        <w:rPr>
          <w:rFonts w:cs="Arial"/>
          <w:sz w:val="20"/>
        </w:rPr>
        <w:t xml:space="preserve"> Parkinson 2017</w:t>
      </w:r>
      <w:r w:rsidR="00D805C4" w:rsidRPr="00514A92">
        <w:rPr>
          <w:rFonts w:cs="Arial"/>
          <w:sz w:val="20"/>
        </w:rPr>
        <w:t>).</w:t>
      </w:r>
      <w:r w:rsidR="00505F61" w:rsidRPr="00514A92">
        <w:rPr>
          <w:rFonts w:cs="Arial"/>
          <w:sz w:val="20"/>
        </w:rPr>
        <w:t xml:space="preserve"> In line with</w:t>
      </w:r>
      <w:r w:rsidR="00D805C4" w:rsidRPr="00514A92">
        <w:rPr>
          <w:rFonts w:cs="Arial"/>
          <w:sz w:val="20"/>
        </w:rPr>
        <w:t xml:space="preserve"> this approach, we guide students to explore the purpose and textual features of a specific type of writing through</w:t>
      </w:r>
      <w:r w:rsidR="00363808" w:rsidRPr="00514A92">
        <w:rPr>
          <w:rFonts w:cs="Arial"/>
          <w:sz w:val="20"/>
        </w:rPr>
        <w:t xml:space="preserve"> </w:t>
      </w:r>
      <w:r w:rsidR="005A77E6" w:rsidRPr="00514A92">
        <w:rPr>
          <w:rFonts w:cs="Arial"/>
          <w:sz w:val="20"/>
        </w:rPr>
        <w:t xml:space="preserve">deconstruction and </w:t>
      </w:r>
      <w:r w:rsidR="00363808" w:rsidRPr="00514A92">
        <w:rPr>
          <w:rFonts w:cs="Arial"/>
          <w:sz w:val="20"/>
        </w:rPr>
        <w:t xml:space="preserve">explicit </w:t>
      </w:r>
      <w:r w:rsidR="00D805C4" w:rsidRPr="00514A92">
        <w:rPr>
          <w:rFonts w:cs="Arial"/>
          <w:sz w:val="20"/>
        </w:rPr>
        <w:t>modelling of a target genre</w:t>
      </w:r>
      <w:r w:rsidR="007A105A" w:rsidRPr="00514A92">
        <w:rPr>
          <w:rFonts w:cs="Arial"/>
          <w:sz w:val="20"/>
        </w:rPr>
        <w:t xml:space="preserve">, </w:t>
      </w:r>
      <w:r w:rsidR="00D805C4" w:rsidRPr="00514A92">
        <w:rPr>
          <w:rFonts w:cs="Arial"/>
          <w:sz w:val="20"/>
        </w:rPr>
        <w:t xml:space="preserve">where opportunities are provided for students to </w:t>
      </w:r>
      <w:r w:rsidR="0028365E" w:rsidRPr="00514A92">
        <w:rPr>
          <w:rFonts w:cs="Arial"/>
          <w:sz w:val="20"/>
        </w:rPr>
        <w:t>explore</w:t>
      </w:r>
      <w:r w:rsidR="005A77E6" w:rsidRPr="00514A92">
        <w:rPr>
          <w:rFonts w:cs="Arial"/>
          <w:sz w:val="20"/>
        </w:rPr>
        <w:t xml:space="preserve"> </w:t>
      </w:r>
      <w:r w:rsidR="00D805C4" w:rsidRPr="00514A92">
        <w:rPr>
          <w:rFonts w:cs="Arial"/>
          <w:sz w:val="20"/>
        </w:rPr>
        <w:t>sample texts and analyse how a text can be structured in the way that meets disciplinary conventions.</w:t>
      </w:r>
    </w:p>
    <w:p w14:paraId="6C95A0AF" w14:textId="49BF8523" w:rsidR="007D4697" w:rsidRPr="00514A92" w:rsidRDefault="007D4697"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1B3ACCAE" w14:textId="17314C50" w:rsidR="00361401" w:rsidRPr="00514A92" w:rsidRDefault="007D4697"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As </w:t>
      </w:r>
      <w:r w:rsidR="001A30EC" w:rsidRPr="00514A92">
        <w:rPr>
          <w:rFonts w:cs="Arial"/>
          <w:sz w:val="20"/>
        </w:rPr>
        <w:t>our student cohort has</w:t>
      </w:r>
      <w:r w:rsidR="001E545E" w:rsidRPr="00514A92">
        <w:rPr>
          <w:rFonts w:cs="Arial"/>
          <w:sz w:val="20"/>
        </w:rPr>
        <w:t xml:space="preserve"> a diverse </w:t>
      </w:r>
      <w:r w:rsidR="007804FF" w:rsidRPr="00514A92">
        <w:rPr>
          <w:rFonts w:cs="Arial"/>
          <w:sz w:val="20"/>
        </w:rPr>
        <w:t>linguistic and educational</w:t>
      </w:r>
      <w:r w:rsidR="00F0119D" w:rsidRPr="00514A92">
        <w:rPr>
          <w:rFonts w:cs="Arial"/>
          <w:sz w:val="20"/>
        </w:rPr>
        <w:t xml:space="preserve"> </w:t>
      </w:r>
      <w:r w:rsidR="001E545E" w:rsidRPr="00514A92">
        <w:rPr>
          <w:rFonts w:cs="Arial"/>
          <w:sz w:val="20"/>
        </w:rPr>
        <w:t>background, we have also adopted the Academic Literacies perspective</w:t>
      </w:r>
      <w:r w:rsidR="007B2958" w:rsidRPr="00514A92">
        <w:rPr>
          <w:rFonts w:cs="Arial"/>
          <w:sz w:val="20"/>
        </w:rPr>
        <w:t>s</w:t>
      </w:r>
      <w:r w:rsidR="0000560B" w:rsidRPr="00514A92">
        <w:rPr>
          <w:rFonts w:cs="Arial"/>
          <w:sz w:val="20"/>
        </w:rPr>
        <w:t xml:space="preserve"> to foster inclusion in the classroom</w:t>
      </w:r>
      <w:r w:rsidR="007A105A" w:rsidRPr="00514A92">
        <w:rPr>
          <w:rFonts w:cs="Arial"/>
          <w:sz w:val="20"/>
        </w:rPr>
        <w:t>, drawing</w:t>
      </w:r>
      <w:r w:rsidR="001E545E" w:rsidRPr="00514A92">
        <w:rPr>
          <w:rFonts w:cs="Arial"/>
          <w:sz w:val="20"/>
        </w:rPr>
        <w:t xml:space="preserve"> attention to issues such as student writer voice, and “the processes of meaning-making and contestation around meaning rather than as skills or deficits” (Lea &amp; Street 1998</w:t>
      </w:r>
      <w:r w:rsidR="003C3D9B" w:rsidRPr="00514A92">
        <w:rPr>
          <w:rFonts w:cs="Arial"/>
          <w:sz w:val="20"/>
        </w:rPr>
        <w:t xml:space="preserve">: </w:t>
      </w:r>
      <w:r w:rsidR="001E545E" w:rsidRPr="00514A92">
        <w:rPr>
          <w:rFonts w:cs="Arial"/>
          <w:sz w:val="20"/>
        </w:rPr>
        <w:t>159).</w:t>
      </w:r>
      <w:r w:rsidR="0000560B" w:rsidRPr="00514A92">
        <w:rPr>
          <w:rFonts w:cs="Arial"/>
          <w:sz w:val="20"/>
        </w:rPr>
        <w:t xml:space="preserve"> </w:t>
      </w:r>
      <w:r w:rsidR="001E545E" w:rsidRPr="00514A92">
        <w:rPr>
          <w:rFonts w:cs="Arial"/>
          <w:sz w:val="20"/>
        </w:rPr>
        <w:t xml:space="preserve">This perspective is particularly important for our teaching context as many students </w:t>
      </w:r>
      <w:r w:rsidR="0000560B" w:rsidRPr="00514A92">
        <w:rPr>
          <w:rFonts w:cs="Arial"/>
          <w:sz w:val="20"/>
        </w:rPr>
        <w:t xml:space="preserve">often experience “multiple and conflicting </w:t>
      </w:r>
      <w:r w:rsidR="0000560B" w:rsidRPr="00514A92">
        <w:rPr>
          <w:rFonts w:cs="Arial"/>
          <w:noProof/>
          <w:sz w:val="20"/>
        </w:rPr>
        <w:t>identit</w:t>
      </w:r>
      <w:r w:rsidR="00141F84" w:rsidRPr="00514A92">
        <w:rPr>
          <w:rFonts w:cs="Arial"/>
          <w:noProof/>
          <w:sz w:val="20"/>
        </w:rPr>
        <w:t>ies</w:t>
      </w:r>
      <w:r w:rsidR="0000560B" w:rsidRPr="00514A92">
        <w:rPr>
          <w:rFonts w:cs="Arial"/>
          <w:sz w:val="20"/>
        </w:rPr>
        <w:t>”</w:t>
      </w:r>
      <w:r w:rsidR="00C32BAF" w:rsidRPr="00514A92">
        <w:rPr>
          <w:rFonts w:cs="Arial"/>
          <w:sz w:val="20"/>
        </w:rPr>
        <w:t>, especially for those who have returned to university after an absence of several years from the academic community (Ivanič 1998</w:t>
      </w:r>
      <w:r w:rsidR="005B5D4E" w:rsidRPr="00514A92">
        <w:rPr>
          <w:rFonts w:cs="Arial"/>
          <w:sz w:val="20"/>
        </w:rPr>
        <w:t xml:space="preserve">: </w:t>
      </w:r>
      <w:r w:rsidR="00C32BAF" w:rsidRPr="00514A92">
        <w:rPr>
          <w:rFonts w:cs="Arial"/>
          <w:sz w:val="20"/>
        </w:rPr>
        <w:t xml:space="preserve">6). Specifically, we acknowledge that students </w:t>
      </w:r>
      <w:r w:rsidR="0028365E" w:rsidRPr="00514A92">
        <w:rPr>
          <w:rFonts w:cs="Arial"/>
          <w:sz w:val="20"/>
        </w:rPr>
        <w:t>often</w:t>
      </w:r>
      <w:r w:rsidR="00C32BAF" w:rsidRPr="00514A92">
        <w:rPr>
          <w:rFonts w:cs="Arial"/>
          <w:sz w:val="20"/>
        </w:rPr>
        <w:t xml:space="preserve"> </w:t>
      </w:r>
      <w:r w:rsidR="001E545E" w:rsidRPr="00514A92">
        <w:rPr>
          <w:rFonts w:cs="Arial"/>
          <w:sz w:val="20"/>
        </w:rPr>
        <w:t>carry</w:t>
      </w:r>
      <w:r w:rsidR="00C32BAF" w:rsidRPr="00514A92">
        <w:rPr>
          <w:rFonts w:cs="Arial"/>
          <w:sz w:val="20"/>
        </w:rPr>
        <w:t xml:space="preserve"> </w:t>
      </w:r>
      <w:r w:rsidR="00B80F95" w:rsidRPr="00514A92">
        <w:rPr>
          <w:rFonts w:cs="Arial"/>
          <w:sz w:val="20"/>
        </w:rPr>
        <w:t xml:space="preserve">their </w:t>
      </w:r>
      <w:r w:rsidR="0000560B" w:rsidRPr="00514A92">
        <w:rPr>
          <w:rFonts w:cs="Arial"/>
          <w:sz w:val="20"/>
        </w:rPr>
        <w:t>‘autobiographical sel</w:t>
      </w:r>
      <w:r w:rsidR="00B80F95" w:rsidRPr="00514A92">
        <w:rPr>
          <w:rFonts w:cs="Arial"/>
          <w:sz w:val="20"/>
        </w:rPr>
        <w:t>ves</w:t>
      </w:r>
      <w:r w:rsidR="0000560B" w:rsidRPr="00514A92">
        <w:rPr>
          <w:rFonts w:cs="Arial"/>
          <w:sz w:val="20"/>
        </w:rPr>
        <w:t>’</w:t>
      </w:r>
      <w:r w:rsidR="00B80F95" w:rsidRPr="00514A92">
        <w:rPr>
          <w:rFonts w:cs="Arial"/>
          <w:sz w:val="20"/>
        </w:rPr>
        <w:t xml:space="preserve"> (ibid.)</w:t>
      </w:r>
      <w:r w:rsidR="00C32BAF" w:rsidRPr="00514A92">
        <w:rPr>
          <w:rFonts w:cs="Arial"/>
          <w:sz w:val="20"/>
        </w:rPr>
        <w:t xml:space="preserve"> to the act of writing, </w:t>
      </w:r>
      <w:r w:rsidR="001E545E" w:rsidRPr="00514A92">
        <w:rPr>
          <w:rFonts w:cs="Arial"/>
          <w:sz w:val="20"/>
        </w:rPr>
        <w:t>which is based on their prior</w:t>
      </w:r>
      <w:r w:rsidR="007B2958" w:rsidRPr="00514A92">
        <w:rPr>
          <w:rFonts w:cs="Arial"/>
          <w:sz w:val="20"/>
        </w:rPr>
        <w:t xml:space="preserve"> literacy </w:t>
      </w:r>
      <w:r w:rsidR="001E545E" w:rsidRPr="00514A92">
        <w:rPr>
          <w:rFonts w:cs="Arial"/>
          <w:sz w:val="20"/>
        </w:rPr>
        <w:t xml:space="preserve">experiences and will continue to develop </w:t>
      </w:r>
      <w:r w:rsidR="0028365E" w:rsidRPr="00514A92">
        <w:rPr>
          <w:rFonts w:cs="Arial"/>
          <w:sz w:val="20"/>
        </w:rPr>
        <w:t>and</w:t>
      </w:r>
      <w:r w:rsidR="001E545E" w:rsidRPr="00514A92">
        <w:rPr>
          <w:rFonts w:cs="Arial"/>
          <w:sz w:val="20"/>
        </w:rPr>
        <w:t xml:space="preserve"> influence the ways in </w:t>
      </w:r>
      <w:r w:rsidR="007804FF" w:rsidRPr="00514A92">
        <w:rPr>
          <w:rFonts w:cs="Arial"/>
          <w:sz w:val="20"/>
        </w:rPr>
        <w:t>which they write.</w:t>
      </w:r>
      <w:r w:rsidR="00C32BAF" w:rsidRPr="00514A92">
        <w:rPr>
          <w:rFonts w:cs="Arial"/>
          <w:sz w:val="20"/>
        </w:rPr>
        <w:t xml:space="preserve"> </w:t>
      </w:r>
      <w:r w:rsidR="001E545E" w:rsidRPr="00514A92">
        <w:rPr>
          <w:rFonts w:cs="Arial"/>
          <w:sz w:val="20"/>
        </w:rPr>
        <w:t xml:space="preserve">To </w:t>
      </w:r>
      <w:r w:rsidR="00361401" w:rsidRPr="00514A92">
        <w:rPr>
          <w:rFonts w:cs="Arial"/>
          <w:sz w:val="20"/>
        </w:rPr>
        <w:t>embrace and appreciate diversity, we have established numerous</w:t>
      </w:r>
      <w:r w:rsidR="00876682" w:rsidRPr="00514A92">
        <w:rPr>
          <w:rFonts w:cs="Arial"/>
          <w:sz w:val="20"/>
        </w:rPr>
        <w:t xml:space="preserve"> inclusive learning</w:t>
      </w:r>
      <w:r w:rsidR="00361401" w:rsidRPr="00514A92">
        <w:rPr>
          <w:rFonts w:cs="Arial"/>
          <w:sz w:val="20"/>
        </w:rPr>
        <w:t xml:space="preserve"> opportunities</w:t>
      </w:r>
      <w:r w:rsidR="0065271A" w:rsidRPr="00514A92">
        <w:rPr>
          <w:rFonts w:cs="Arial"/>
          <w:sz w:val="20"/>
        </w:rPr>
        <w:t>, in keeping with the Academic Literacies perspectives,</w:t>
      </w:r>
      <w:r w:rsidR="00361401" w:rsidRPr="00514A92">
        <w:rPr>
          <w:rFonts w:cs="Arial"/>
          <w:sz w:val="20"/>
        </w:rPr>
        <w:t xml:space="preserve"> to engage students to explicitly discuss and explore academic conventions</w:t>
      </w:r>
      <w:r w:rsidR="0065271A" w:rsidRPr="00514A92">
        <w:rPr>
          <w:rFonts w:cs="Arial"/>
          <w:sz w:val="20"/>
        </w:rPr>
        <w:t>.</w:t>
      </w:r>
    </w:p>
    <w:p w14:paraId="5832779C" w14:textId="23238300" w:rsidR="00DA1CAE" w:rsidRPr="00514A92" w:rsidRDefault="00DA1CAE"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296C3118" w14:textId="639ECDB9" w:rsidR="00D64680" w:rsidRPr="00514A92" w:rsidRDefault="00DA1CAE"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Al</w:t>
      </w:r>
      <w:r w:rsidR="00B117CC" w:rsidRPr="00514A92">
        <w:rPr>
          <w:rFonts w:cs="Arial"/>
          <w:sz w:val="20"/>
        </w:rPr>
        <w:t>though</w:t>
      </w:r>
      <w:r w:rsidRPr="00514A92">
        <w:rPr>
          <w:rFonts w:cs="Arial"/>
          <w:sz w:val="20"/>
        </w:rPr>
        <w:t xml:space="preserve"> genre-based and Academic Literacies</w:t>
      </w:r>
      <w:r w:rsidR="00713072" w:rsidRPr="00514A92">
        <w:rPr>
          <w:rFonts w:cs="Arial"/>
          <w:sz w:val="20"/>
        </w:rPr>
        <w:t xml:space="preserve"> approaches</w:t>
      </w:r>
      <w:r w:rsidRPr="00514A92">
        <w:rPr>
          <w:rFonts w:cs="Arial"/>
          <w:sz w:val="20"/>
        </w:rPr>
        <w:t xml:space="preserve"> have often been seen as incompatible in terms of their pedag</w:t>
      </w:r>
      <w:r w:rsidR="00B117CC" w:rsidRPr="00514A92">
        <w:rPr>
          <w:rFonts w:cs="Arial"/>
          <w:sz w:val="20"/>
        </w:rPr>
        <w:t>ogical perspectives and impact</w:t>
      </w:r>
      <w:r w:rsidRPr="00514A92">
        <w:rPr>
          <w:rFonts w:cs="Arial"/>
          <w:sz w:val="20"/>
        </w:rPr>
        <w:t xml:space="preserve">, we </w:t>
      </w:r>
      <w:r w:rsidR="00F0073C" w:rsidRPr="00514A92">
        <w:rPr>
          <w:rFonts w:cs="Arial"/>
          <w:sz w:val="20"/>
        </w:rPr>
        <w:t>argue</w:t>
      </w:r>
      <w:r w:rsidRPr="00514A92">
        <w:rPr>
          <w:rFonts w:cs="Arial"/>
          <w:sz w:val="20"/>
        </w:rPr>
        <w:t xml:space="preserve"> that they can complement each other to facilitate </w:t>
      </w:r>
      <w:r w:rsidR="003124B0" w:rsidRPr="00514A92">
        <w:rPr>
          <w:rFonts w:cs="Arial"/>
          <w:sz w:val="20"/>
        </w:rPr>
        <w:t xml:space="preserve">student development of academic </w:t>
      </w:r>
      <w:r w:rsidRPr="00514A92">
        <w:rPr>
          <w:rFonts w:cs="Arial"/>
          <w:sz w:val="20"/>
        </w:rPr>
        <w:t>voice and identity</w:t>
      </w:r>
      <w:r w:rsidR="00D64680" w:rsidRPr="00514A92">
        <w:rPr>
          <w:rFonts w:cs="Arial"/>
          <w:sz w:val="20"/>
        </w:rPr>
        <w:t xml:space="preserve">. </w:t>
      </w:r>
      <w:r w:rsidR="00713072" w:rsidRPr="00514A92">
        <w:rPr>
          <w:rFonts w:cs="Arial"/>
          <w:sz w:val="20"/>
        </w:rPr>
        <w:t xml:space="preserve">An example of our session planning is </w:t>
      </w:r>
      <w:r w:rsidR="00EA538E" w:rsidRPr="00514A92">
        <w:rPr>
          <w:rFonts w:cs="Arial"/>
          <w:sz w:val="20"/>
        </w:rPr>
        <w:t>documented</w:t>
      </w:r>
      <w:r w:rsidR="00713072" w:rsidRPr="00514A92">
        <w:rPr>
          <w:rFonts w:cs="Arial"/>
          <w:sz w:val="20"/>
        </w:rPr>
        <w:t xml:space="preserve"> below, </w:t>
      </w:r>
      <w:r w:rsidR="00582C60" w:rsidRPr="00514A92">
        <w:rPr>
          <w:rFonts w:cs="Arial"/>
          <w:sz w:val="20"/>
        </w:rPr>
        <w:t>drawing upon both approaches:</w:t>
      </w:r>
    </w:p>
    <w:p w14:paraId="0BD79934" w14:textId="1D5CD93A" w:rsidR="001820A8" w:rsidRPr="00514A92" w:rsidRDefault="001820A8"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5484C242" w14:textId="36BE8636" w:rsidR="00FE7C12" w:rsidRPr="00514A92" w:rsidRDefault="001820A8"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18"/>
        </w:rPr>
      </w:pPr>
      <w:r w:rsidRPr="00514A92">
        <w:rPr>
          <w:rFonts w:cs="Arial"/>
          <w:b/>
          <w:sz w:val="18"/>
        </w:rPr>
        <w:t xml:space="preserve">Table 2 </w:t>
      </w:r>
      <w:r w:rsidR="001171A7" w:rsidRPr="00514A92">
        <w:rPr>
          <w:rFonts w:cs="Arial"/>
          <w:b/>
          <w:sz w:val="18"/>
        </w:rPr>
        <w:t xml:space="preserve">Embedded </w:t>
      </w:r>
      <w:r w:rsidR="00673A25" w:rsidRPr="00514A92">
        <w:rPr>
          <w:rFonts w:cs="Arial"/>
          <w:b/>
          <w:sz w:val="18"/>
        </w:rPr>
        <w:t>provision</w:t>
      </w:r>
      <w:r w:rsidR="001171A7" w:rsidRPr="00514A92">
        <w:rPr>
          <w:rFonts w:cs="Arial"/>
          <w:b/>
          <w:sz w:val="18"/>
        </w:rPr>
        <w:t xml:space="preserve"> for</w:t>
      </w:r>
      <w:r w:rsidRPr="00514A92">
        <w:rPr>
          <w:rFonts w:cs="Arial"/>
          <w:b/>
          <w:sz w:val="18"/>
        </w:rPr>
        <w:t xml:space="preserve"> research proposal writing</w:t>
      </w:r>
    </w:p>
    <w:tbl>
      <w:tblPr>
        <w:tblStyle w:val="TableGrid"/>
        <w:tblW w:w="0" w:type="auto"/>
        <w:tblLook w:val="04A0" w:firstRow="1" w:lastRow="0" w:firstColumn="1" w:lastColumn="0" w:noHBand="0" w:noVBand="1"/>
      </w:tblPr>
      <w:tblGrid>
        <w:gridCol w:w="3397"/>
        <w:gridCol w:w="5619"/>
      </w:tblGrid>
      <w:tr w:rsidR="00B95882" w:rsidRPr="00514A92" w14:paraId="31C69EE0" w14:textId="77777777" w:rsidTr="00F71B86">
        <w:trPr>
          <w:trHeight w:val="46"/>
        </w:trPr>
        <w:tc>
          <w:tcPr>
            <w:tcW w:w="9016" w:type="dxa"/>
            <w:gridSpan w:val="2"/>
            <w:shd w:val="clear" w:color="auto" w:fill="E7E6E6" w:themeFill="background2"/>
            <w:vAlign w:val="center"/>
          </w:tcPr>
          <w:p w14:paraId="0998461E" w14:textId="72C5AB27" w:rsidR="00D1545A" w:rsidRPr="00514A92" w:rsidRDefault="00D1545A" w:rsidP="00336734">
            <w:pPr>
              <w:jc w:val="center"/>
              <w:rPr>
                <w:rFonts w:ascii="Arial" w:hAnsi="Arial" w:cs="Arial"/>
                <w:b/>
                <w:sz w:val="20"/>
                <w:szCs w:val="20"/>
              </w:rPr>
            </w:pPr>
            <w:r w:rsidRPr="00514A92">
              <w:rPr>
                <w:rFonts w:ascii="Arial" w:hAnsi="Arial" w:cs="Arial"/>
                <w:b/>
                <w:sz w:val="20"/>
                <w:szCs w:val="20"/>
              </w:rPr>
              <w:t>SESSION PLAN</w:t>
            </w:r>
            <w:r w:rsidRPr="00514A92" w:rsidDel="007B464B">
              <w:rPr>
                <w:rFonts w:ascii="Arial" w:hAnsi="Arial" w:cs="Arial"/>
                <w:b/>
                <w:sz w:val="20"/>
                <w:szCs w:val="20"/>
              </w:rPr>
              <w:t xml:space="preserve"> </w:t>
            </w:r>
          </w:p>
        </w:tc>
      </w:tr>
      <w:tr w:rsidR="00B95882" w:rsidRPr="00514A92" w14:paraId="03227D75" w14:textId="77777777" w:rsidTr="00761392">
        <w:trPr>
          <w:trHeight w:val="1393"/>
        </w:trPr>
        <w:tc>
          <w:tcPr>
            <w:tcW w:w="3397" w:type="dxa"/>
          </w:tcPr>
          <w:p w14:paraId="25454C42" w14:textId="77777777" w:rsidR="00D1545A" w:rsidRPr="00514A92" w:rsidRDefault="007B464B" w:rsidP="00336734">
            <w:pPr>
              <w:pStyle w:val="ListParagraph"/>
              <w:numPr>
                <w:ilvl w:val="0"/>
                <w:numId w:val="49"/>
              </w:numPr>
              <w:ind w:left="360"/>
              <w:rPr>
                <w:rFonts w:ascii="Arial" w:hAnsi="Arial" w:cs="Arial"/>
                <w:sz w:val="20"/>
                <w:szCs w:val="20"/>
              </w:rPr>
            </w:pPr>
            <w:r w:rsidRPr="00514A92">
              <w:rPr>
                <w:rFonts w:ascii="Arial" w:hAnsi="Arial" w:cs="Arial"/>
                <w:sz w:val="20"/>
                <w:szCs w:val="20"/>
              </w:rPr>
              <w:t>Session topic: Research Proposal Writing for Social Scientists</w:t>
            </w:r>
          </w:p>
          <w:p w14:paraId="398A7420" w14:textId="77777777" w:rsidR="00D1545A" w:rsidRPr="00514A92" w:rsidRDefault="007B464B" w:rsidP="00336734">
            <w:pPr>
              <w:pStyle w:val="ListParagraph"/>
              <w:numPr>
                <w:ilvl w:val="0"/>
                <w:numId w:val="49"/>
              </w:numPr>
              <w:ind w:left="360"/>
              <w:rPr>
                <w:rFonts w:ascii="Arial" w:hAnsi="Arial" w:cs="Arial"/>
                <w:sz w:val="20"/>
                <w:szCs w:val="20"/>
              </w:rPr>
            </w:pPr>
            <w:r w:rsidRPr="00514A92">
              <w:rPr>
                <w:rFonts w:ascii="Arial" w:hAnsi="Arial" w:cs="Arial"/>
                <w:sz w:val="20"/>
                <w:szCs w:val="20"/>
              </w:rPr>
              <w:t>Session length: 1.5 hours</w:t>
            </w:r>
          </w:p>
          <w:p w14:paraId="14EDE7EB" w14:textId="41036019" w:rsidR="007B464B" w:rsidRPr="00514A92" w:rsidRDefault="007B464B" w:rsidP="00336734">
            <w:pPr>
              <w:pStyle w:val="ListParagraph"/>
              <w:numPr>
                <w:ilvl w:val="0"/>
                <w:numId w:val="49"/>
              </w:numPr>
              <w:ind w:left="360"/>
              <w:rPr>
                <w:rFonts w:ascii="Arial" w:hAnsi="Arial" w:cs="Arial"/>
                <w:sz w:val="20"/>
                <w:szCs w:val="20"/>
              </w:rPr>
            </w:pPr>
            <w:r w:rsidRPr="00514A92">
              <w:rPr>
                <w:rFonts w:ascii="Arial" w:hAnsi="Arial" w:cs="Arial"/>
                <w:sz w:val="20"/>
                <w:szCs w:val="20"/>
              </w:rPr>
              <w:t>Number of students: 55</w:t>
            </w:r>
          </w:p>
        </w:tc>
        <w:tc>
          <w:tcPr>
            <w:tcW w:w="5619" w:type="dxa"/>
          </w:tcPr>
          <w:p w14:paraId="0B2FF791" w14:textId="10E73746" w:rsidR="007B464B" w:rsidRPr="00514A92" w:rsidRDefault="007B464B" w:rsidP="00336734">
            <w:pPr>
              <w:pStyle w:val="ListParagraph"/>
              <w:numPr>
                <w:ilvl w:val="0"/>
                <w:numId w:val="49"/>
              </w:numPr>
              <w:ind w:left="360"/>
              <w:rPr>
                <w:rFonts w:ascii="Arial" w:hAnsi="Arial" w:cs="Arial"/>
                <w:sz w:val="20"/>
                <w:szCs w:val="20"/>
              </w:rPr>
            </w:pPr>
            <w:r w:rsidRPr="00514A92">
              <w:rPr>
                <w:rFonts w:ascii="Arial" w:hAnsi="Arial" w:cs="Arial"/>
                <w:sz w:val="20"/>
                <w:szCs w:val="20"/>
              </w:rPr>
              <w:t xml:space="preserve">Learning outcomes: </w:t>
            </w:r>
          </w:p>
          <w:p w14:paraId="308734A3" w14:textId="77777777" w:rsidR="00D1545A" w:rsidRPr="00514A92" w:rsidRDefault="00D1545A" w:rsidP="00336734">
            <w:pPr>
              <w:pStyle w:val="ListParagraph"/>
              <w:ind w:left="0"/>
              <w:rPr>
                <w:rFonts w:ascii="Arial" w:hAnsi="Arial" w:cs="Arial"/>
                <w:sz w:val="20"/>
                <w:szCs w:val="20"/>
              </w:rPr>
            </w:pPr>
            <w:r w:rsidRPr="00514A92">
              <w:rPr>
                <w:rFonts w:ascii="Arial" w:hAnsi="Arial" w:cs="Arial"/>
                <w:sz w:val="20"/>
                <w:szCs w:val="20"/>
              </w:rPr>
              <w:t xml:space="preserve">- </w:t>
            </w:r>
            <w:r w:rsidR="007B464B" w:rsidRPr="00514A92">
              <w:rPr>
                <w:rFonts w:ascii="Arial" w:hAnsi="Arial" w:cs="Arial"/>
                <w:sz w:val="20"/>
                <w:szCs w:val="20"/>
              </w:rPr>
              <w:t>To demonstrate awareness of the purpose of doing research and research proposal writing</w:t>
            </w:r>
          </w:p>
          <w:p w14:paraId="45097E41" w14:textId="77777777" w:rsidR="00D1545A" w:rsidRPr="00514A92" w:rsidRDefault="00D1545A" w:rsidP="00336734">
            <w:pPr>
              <w:pStyle w:val="ListParagraph"/>
              <w:ind w:left="0"/>
              <w:rPr>
                <w:rFonts w:ascii="Arial" w:hAnsi="Arial" w:cs="Arial"/>
                <w:sz w:val="20"/>
                <w:szCs w:val="20"/>
              </w:rPr>
            </w:pPr>
            <w:r w:rsidRPr="00514A92">
              <w:rPr>
                <w:rFonts w:ascii="Arial" w:hAnsi="Arial" w:cs="Arial"/>
                <w:sz w:val="20"/>
                <w:szCs w:val="20"/>
              </w:rPr>
              <w:t xml:space="preserve">- </w:t>
            </w:r>
            <w:r w:rsidR="007B464B" w:rsidRPr="00514A92">
              <w:rPr>
                <w:rFonts w:ascii="Arial" w:hAnsi="Arial" w:cs="Arial"/>
                <w:sz w:val="20"/>
                <w:szCs w:val="20"/>
              </w:rPr>
              <w:t>To identify the common rhetorical structure for research proposal writing</w:t>
            </w:r>
          </w:p>
          <w:p w14:paraId="05E6D267" w14:textId="6271DDA3" w:rsidR="007B464B" w:rsidRPr="00514A92" w:rsidRDefault="00D1545A" w:rsidP="00336734">
            <w:pPr>
              <w:pStyle w:val="ListParagraph"/>
              <w:ind w:left="0"/>
              <w:rPr>
                <w:rFonts w:ascii="Arial" w:hAnsi="Arial" w:cs="Arial"/>
                <w:sz w:val="20"/>
                <w:szCs w:val="20"/>
              </w:rPr>
            </w:pPr>
            <w:r w:rsidRPr="00514A92">
              <w:rPr>
                <w:rFonts w:ascii="Arial" w:hAnsi="Arial" w:cs="Arial"/>
                <w:sz w:val="20"/>
                <w:szCs w:val="20"/>
              </w:rPr>
              <w:t xml:space="preserve">- </w:t>
            </w:r>
            <w:r w:rsidR="007B464B" w:rsidRPr="00514A92">
              <w:rPr>
                <w:rFonts w:ascii="Arial" w:hAnsi="Arial" w:cs="Arial"/>
                <w:sz w:val="20"/>
                <w:szCs w:val="20"/>
              </w:rPr>
              <w:t>To explain how each section of a research proposal functions</w:t>
            </w:r>
          </w:p>
        </w:tc>
      </w:tr>
      <w:tr w:rsidR="00B95882" w:rsidRPr="00514A92" w14:paraId="4D64ACD8" w14:textId="77777777" w:rsidTr="00336734">
        <w:tc>
          <w:tcPr>
            <w:tcW w:w="3397" w:type="dxa"/>
          </w:tcPr>
          <w:p w14:paraId="0947B3C1" w14:textId="7C41F936"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center"/>
              <w:rPr>
                <w:rFonts w:cs="Arial"/>
                <w:b/>
                <w:sz w:val="20"/>
              </w:rPr>
            </w:pPr>
            <w:r w:rsidRPr="00514A92">
              <w:rPr>
                <w:rFonts w:cs="Arial"/>
                <w:b/>
                <w:sz w:val="20"/>
              </w:rPr>
              <w:t>Pedagogical considerations/stages</w:t>
            </w:r>
          </w:p>
        </w:tc>
        <w:tc>
          <w:tcPr>
            <w:tcW w:w="5619" w:type="dxa"/>
            <w:vAlign w:val="center"/>
          </w:tcPr>
          <w:p w14:paraId="6D7F72D1" w14:textId="06238ED0"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center"/>
              <w:rPr>
                <w:rFonts w:cs="Arial"/>
                <w:b/>
                <w:sz w:val="20"/>
              </w:rPr>
            </w:pPr>
            <w:r w:rsidRPr="00514A92">
              <w:rPr>
                <w:rFonts w:cs="Arial"/>
                <w:b/>
                <w:sz w:val="20"/>
              </w:rPr>
              <w:t>Activities/procedures</w:t>
            </w:r>
          </w:p>
        </w:tc>
      </w:tr>
      <w:tr w:rsidR="00B95882" w:rsidRPr="00514A92" w14:paraId="3F03DD91" w14:textId="77777777" w:rsidTr="00955EFC">
        <w:tc>
          <w:tcPr>
            <w:tcW w:w="3397" w:type="dxa"/>
          </w:tcPr>
          <w:p w14:paraId="0E986E53" w14:textId="05A3E3CD" w:rsidR="007B464B" w:rsidRPr="00514A92" w:rsidRDefault="007B464B" w:rsidP="007B464B">
            <w:pPr>
              <w:pStyle w:val="Normal0"/>
              <w:mirrorIndents/>
              <w:rPr>
                <w:rFonts w:cs="Arial"/>
                <w:sz w:val="20"/>
              </w:rPr>
            </w:pPr>
            <w:r w:rsidRPr="00514A92">
              <w:rPr>
                <w:rFonts w:cs="Arial"/>
                <w:sz w:val="20"/>
              </w:rPr>
              <w:t>Relate the session to previous one to provide a learning context</w:t>
            </w:r>
          </w:p>
          <w:p w14:paraId="08CD301C" w14:textId="77777777" w:rsidR="007B464B" w:rsidRPr="00514A92" w:rsidRDefault="007B464B" w:rsidP="007B464B">
            <w:pPr>
              <w:pStyle w:val="Normal0"/>
              <w:mirrorIndents/>
              <w:rPr>
                <w:rFonts w:cs="Arial"/>
                <w:sz w:val="20"/>
              </w:rPr>
            </w:pPr>
          </w:p>
          <w:p w14:paraId="7FB272FD" w14:textId="77777777" w:rsidR="007B464B" w:rsidRPr="00514A92" w:rsidRDefault="007B464B" w:rsidP="007B464B">
            <w:pPr>
              <w:rPr>
                <w:rFonts w:ascii="Arial" w:hAnsi="Arial" w:cs="Arial"/>
                <w:sz w:val="20"/>
                <w:szCs w:val="20"/>
              </w:rPr>
            </w:pPr>
            <w:r w:rsidRPr="00514A92">
              <w:rPr>
                <w:rFonts w:ascii="Arial" w:hAnsi="Arial" w:cs="Arial"/>
                <w:sz w:val="20"/>
                <w:szCs w:val="20"/>
              </w:rPr>
              <w:t>‘Prior knowledge’ activation – help students to connect their learning [in line with Academic Literacies perspectives]</w:t>
            </w:r>
          </w:p>
          <w:p w14:paraId="2A47AA1F" w14:textId="31873F3C"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tc>
        <w:tc>
          <w:tcPr>
            <w:tcW w:w="5619" w:type="dxa"/>
          </w:tcPr>
          <w:p w14:paraId="2FBFB2CF" w14:textId="77777777" w:rsidR="007B464B" w:rsidRPr="00514A92" w:rsidRDefault="007B464B" w:rsidP="007B464B">
            <w:pPr>
              <w:pStyle w:val="Normal0"/>
              <w:mirrorIndents/>
              <w:rPr>
                <w:rFonts w:cs="Arial"/>
                <w:sz w:val="20"/>
              </w:rPr>
            </w:pPr>
            <w:r w:rsidRPr="00514A92">
              <w:rPr>
                <w:rFonts w:cs="Arial"/>
                <w:sz w:val="20"/>
              </w:rPr>
              <w:lastRenderedPageBreak/>
              <w:t>Stage 1: Warm-up</w:t>
            </w:r>
          </w:p>
          <w:p w14:paraId="213ADE88" w14:textId="7777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r w:rsidRPr="00514A92">
              <w:rPr>
                <w:rFonts w:cs="Arial"/>
                <w:sz w:val="20"/>
              </w:rPr>
              <w:lastRenderedPageBreak/>
              <w:t xml:space="preserve">Prompt questions: What can you remember from the last session? </w:t>
            </w:r>
          </w:p>
          <w:p w14:paraId="4718817B" w14:textId="7777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74C830C5" w14:textId="41E59554"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r w:rsidRPr="00514A92">
              <w:rPr>
                <w:rFonts w:cs="Arial"/>
                <w:sz w:val="20"/>
              </w:rPr>
              <w:t>[Note: The previous session focused on generic academic writing features/conventions]</w:t>
            </w:r>
          </w:p>
        </w:tc>
      </w:tr>
      <w:tr w:rsidR="00B95882" w:rsidRPr="00514A92" w14:paraId="60A27B58" w14:textId="77777777" w:rsidTr="00955EFC">
        <w:tc>
          <w:tcPr>
            <w:tcW w:w="3397" w:type="dxa"/>
          </w:tcPr>
          <w:p w14:paraId="1257E203" w14:textId="5B9F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r w:rsidRPr="00514A92">
              <w:rPr>
                <w:rFonts w:cs="Arial"/>
                <w:sz w:val="20"/>
              </w:rPr>
              <w:lastRenderedPageBreak/>
              <w:t xml:space="preserve">Questioning that </w:t>
            </w:r>
            <w:r w:rsidRPr="00514A92">
              <w:rPr>
                <w:rFonts w:cs="Arial"/>
                <w:noProof/>
                <w:sz w:val="20"/>
              </w:rPr>
              <w:t>encourages</w:t>
            </w:r>
            <w:r w:rsidRPr="00514A92">
              <w:rPr>
                <w:rFonts w:cs="Arial"/>
                <w:sz w:val="20"/>
              </w:rPr>
              <w:t xml:space="preserve"> students to think about their learning context and </w:t>
            </w:r>
            <w:r w:rsidRPr="00514A92">
              <w:rPr>
                <w:rFonts w:cs="Arial"/>
                <w:noProof/>
                <w:sz w:val="20"/>
              </w:rPr>
              <w:t>activate</w:t>
            </w:r>
            <w:r w:rsidRPr="00514A92">
              <w:rPr>
                <w:rFonts w:cs="Arial"/>
                <w:sz w:val="20"/>
              </w:rPr>
              <w:t xml:space="preserve"> their prior knowledge and experience (‘scaffolding device’), which enhance student motivation to learn </w:t>
            </w:r>
            <w:r w:rsidRPr="00514A92">
              <w:rPr>
                <w:rFonts w:eastAsiaTheme="minorHAnsi" w:cs="Arial"/>
                <w:sz w:val="20"/>
                <w:lang w:eastAsia="en-US"/>
              </w:rPr>
              <w:t>[in line with Academic Literacies perspectives + Genre awareness]</w:t>
            </w:r>
          </w:p>
        </w:tc>
        <w:tc>
          <w:tcPr>
            <w:tcW w:w="5619" w:type="dxa"/>
          </w:tcPr>
          <w:p w14:paraId="2A2AB08C" w14:textId="77777777" w:rsidR="007B464B" w:rsidRPr="00514A92" w:rsidRDefault="007B464B" w:rsidP="007B464B">
            <w:pPr>
              <w:rPr>
                <w:rFonts w:ascii="Arial" w:eastAsia="Arial" w:hAnsi="Arial" w:cs="Arial"/>
                <w:sz w:val="20"/>
                <w:szCs w:val="20"/>
                <w:lang w:eastAsia="en-GB"/>
              </w:rPr>
            </w:pPr>
            <w:r w:rsidRPr="00514A92">
              <w:rPr>
                <w:rFonts w:ascii="Arial" w:eastAsia="Arial" w:hAnsi="Arial" w:cs="Arial"/>
                <w:sz w:val="20"/>
                <w:szCs w:val="20"/>
                <w:lang w:eastAsia="en-GB"/>
              </w:rPr>
              <w:t>Stage 2: Research &amp; Research proposal</w:t>
            </w:r>
          </w:p>
          <w:p w14:paraId="42C3C48C" w14:textId="77777777" w:rsidR="007B464B" w:rsidRPr="00514A92" w:rsidRDefault="007B464B" w:rsidP="007B464B">
            <w:pPr>
              <w:numPr>
                <w:ilvl w:val="0"/>
                <w:numId w:val="36"/>
              </w:numPr>
              <w:ind w:left="360"/>
              <w:rPr>
                <w:rFonts w:ascii="Arial" w:eastAsia="Arial" w:hAnsi="Arial" w:cs="Arial"/>
                <w:sz w:val="20"/>
                <w:szCs w:val="20"/>
                <w:lang w:eastAsia="en-GB"/>
              </w:rPr>
            </w:pPr>
            <w:r w:rsidRPr="00514A92">
              <w:rPr>
                <w:rFonts w:ascii="Arial" w:eastAsia="Arial" w:hAnsi="Arial" w:cs="Arial"/>
                <w:sz w:val="20"/>
                <w:szCs w:val="20"/>
                <w:lang w:eastAsia="en-GB"/>
              </w:rPr>
              <w:t>Prompt questions: What is research? What is a research project plan/proposal? Why are we doing a research proposal? Have you conducted a research project before?</w:t>
            </w:r>
          </w:p>
          <w:p w14:paraId="6B5818F5" w14:textId="77777777" w:rsidR="007B464B" w:rsidRPr="00514A92" w:rsidRDefault="007B464B" w:rsidP="007B464B">
            <w:pPr>
              <w:numPr>
                <w:ilvl w:val="0"/>
                <w:numId w:val="36"/>
              </w:numPr>
              <w:ind w:left="360"/>
              <w:rPr>
                <w:rFonts w:ascii="Arial" w:eastAsia="Arial" w:hAnsi="Arial" w:cs="Arial"/>
                <w:sz w:val="20"/>
                <w:szCs w:val="20"/>
                <w:lang w:eastAsia="en-GB"/>
              </w:rPr>
            </w:pPr>
            <w:r w:rsidRPr="00514A92">
              <w:rPr>
                <w:rFonts w:ascii="Arial" w:eastAsia="Arial" w:hAnsi="Arial" w:cs="Arial"/>
                <w:sz w:val="20"/>
                <w:szCs w:val="20"/>
                <w:lang w:eastAsia="en-GB"/>
              </w:rPr>
              <w:t>Research topics (based on the SMART concept) [S = Specific; M = Measurable; A = Achievable; R = Realistic; T = Time specific]</w:t>
            </w:r>
          </w:p>
          <w:p w14:paraId="2DC250A3" w14:textId="2443DCD9" w:rsidR="007B464B" w:rsidRPr="00514A92" w:rsidRDefault="007B464B" w:rsidP="007B464B">
            <w:pPr>
              <w:numPr>
                <w:ilvl w:val="0"/>
                <w:numId w:val="36"/>
              </w:numPr>
              <w:ind w:left="360"/>
              <w:rPr>
                <w:rFonts w:ascii="Arial" w:eastAsia="Arial" w:hAnsi="Arial" w:cs="Arial"/>
                <w:sz w:val="20"/>
                <w:szCs w:val="20"/>
                <w:lang w:eastAsia="en-GB"/>
              </w:rPr>
            </w:pPr>
            <w:r w:rsidRPr="00514A92">
              <w:rPr>
                <w:rFonts w:ascii="Arial" w:eastAsia="Arial" w:hAnsi="Arial" w:cs="Arial"/>
                <w:sz w:val="20"/>
                <w:szCs w:val="20"/>
                <w:lang w:eastAsia="en-GB"/>
              </w:rPr>
              <w:t>Pair/joint discussion: Observe a range of social science research working titles and discuss which one(s) are more appropriate, based on the SMART.</w:t>
            </w:r>
          </w:p>
          <w:p w14:paraId="4D58BEF4" w14:textId="7777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tc>
      </w:tr>
      <w:tr w:rsidR="00B95882" w:rsidRPr="00514A92" w14:paraId="762D9CB1" w14:textId="77777777" w:rsidTr="00955EFC">
        <w:tc>
          <w:tcPr>
            <w:tcW w:w="3397" w:type="dxa"/>
          </w:tcPr>
          <w:p w14:paraId="5514AB7B" w14:textId="6F79A796" w:rsidR="007B464B" w:rsidRPr="00514A92" w:rsidRDefault="007B464B" w:rsidP="007B464B">
            <w:pPr>
              <w:rPr>
                <w:rFonts w:ascii="Arial" w:hAnsi="Arial" w:cs="Arial"/>
                <w:sz w:val="20"/>
                <w:szCs w:val="20"/>
              </w:rPr>
            </w:pPr>
            <w:r w:rsidRPr="00514A92">
              <w:rPr>
                <w:rFonts w:ascii="Arial" w:hAnsi="Arial" w:cs="Arial"/>
                <w:sz w:val="20"/>
                <w:szCs w:val="20"/>
              </w:rPr>
              <w:t>[in line with Academic Literacies perspectives and genre awareness]</w:t>
            </w:r>
          </w:p>
          <w:p w14:paraId="2B95CA9B" w14:textId="77777777" w:rsidR="007B464B" w:rsidRPr="00514A92" w:rsidRDefault="007B464B" w:rsidP="007B464B">
            <w:pPr>
              <w:rPr>
                <w:rFonts w:ascii="Arial" w:hAnsi="Arial" w:cs="Arial"/>
                <w:sz w:val="20"/>
                <w:szCs w:val="20"/>
              </w:rPr>
            </w:pPr>
          </w:p>
          <w:p w14:paraId="4781D603" w14:textId="77777777" w:rsidR="007B464B" w:rsidRPr="00514A92" w:rsidRDefault="007B464B" w:rsidP="007B464B">
            <w:pPr>
              <w:rPr>
                <w:rFonts w:ascii="Arial" w:hAnsi="Arial" w:cs="Arial"/>
                <w:sz w:val="20"/>
                <w:szCs w:val="20"/>
              </w:rPr>
            </w:pPr>
          </w:p>
          <w:p w14:paraId="19922DF8" w14:textId="1D6F0790" w:rsidR="007B464B" w:rsidRPr="00514A92" w:rsidRDefault="007B464B" w:rsidP="007B464B">
            <w:pPr>
              <w:rPr>
                <w:rFonts w:ascii="Arial" w:hAnsi="Arial" w:cs="Arial"/>
                <w:sz w:val="20"/>
                <w:szCs w:val="20"/>
              </w:rPr>
            </w:pPr>
            <w:r w:rsidRPr="00514A92">
              <w:rPr>
                <w:rFonts w:ascii="Arial" w:hAnsi="Arial" w:cs="Arial"/>
                <w:sz w:val="20"/>
                <w:szCs w:val="20"/>
              </w:rPr>
              <w:t>Genre (de)construction stages/genre awareness</w:t>
            </w:r>
          </w:p>
          <w:p w14:paraId="17FA3DD7" w14:textId="77777777" w:rsidR="007B464B" w:rsidRPr="00514A92" w:rsidRDefault="007B464B" w:rsidP="007B464B">
            <w:pPr>
              <w:rPr>
                <w:rFonts w:ascii="Arial" w:hAnsi="Arial" w:cs="Arial"/>
                <w:sz w:val="20"/>
                <w:szCs w:val="20"/>
              </w:rPr>
            </w:pPr>
          </w:p>
          <w:p w14:paraId="6100B0FB" w14:textId="77777777" w:rsidR="007B464B" w:rsidRPr="00514A92" w:rsidRDefault="007B464B" w:rsidP="007B464B">
            <w:pPr>
              <w:rPr>
                <w:rFonts w:ascii="Arial" w:hAnsi="Arial" w:cs="Arial"/>
                <w:sz w:val="20"/>
                <w:szCs w:val="20"/>
              </w:rPr>
            </w:pPr>
          </w:p>
          <w:p w14:paraId="041C0AEF" w14:textId="16AADB29" w:rsidR="007B464B" w:rsidRPr="00514A92" w:rsidRDefault="007B464B" w:rsidP="007B464B">
            <w:pPr>
              <w:rPr>
                <w:rFonts w:ascii="Arial" w:hAnsi="Arial" w:cs="Arial"/>
                <w:sz w:val="20"/>
                <w:szCs w:val="20"/>
              </w:rPr>
            </w:pPr>
          </w:p>
          <w:p w14:paraId="33A677C8" w14:textId="7F9F4188" w:rsidR="007B464B" w:rsidRPr="00514A92" w:rsidRDefault="007B464B" w:rsidP="007B464B">
            <w:pPr>
              <w:rPr>
                <w:rFonts w:ascii="Arial" w:hAnsi="Arial" w:cs="Arial"/>
                <w:sz w:val="20"/>
                <w:szCs w:val="20"/>
              </w:rPr>
            </w:pPr>
          </w:p>
          <w:p w14:paraId="1BA1FC97" w14:textId="77777777" w:rsidR="007B464B" w:rsidRPr="00514A92" w:rsidRDefault="007B464B" w:rsidP="007B464B">
            <w:pPr>
              <w:rPr>
                <w:rFonts w:ascii="Arial" w:hAnsi="Arial" w:cs="Arial"/>
                <w:sz w:val="20"/>
                <w:szCs w:val="20"/>
              </w:rPr>
            </w:pPr>
          </w:p>
          <w:p w14:paraId="70F3C1EA" w14:textId="77777777" w:rsidR="007B464B" w:rsidRPr="00514A92" w:rsidRDefault="007B464B" w:rsidP="007B464B">
            <w:pPr>
              <w:rPr>
                <w:rFonts w:ascii="Arial" w:hAnsi="Arial" w:cs="Arial"/>
                <w:sz w:val="20"/>
                <w:szCs w:val="20"/>
              </w:rPr>
            </w:pPr>
          </w:p>
          <w:p w14:paraId="7623242A" w14:textId="76D5D367" w:rsidR="007B464B" w:rsidRPr="00514A92" w:rsidRDefault="007B464B" w:rsidP="007B464B">
            <w:pPr>
              <w:rPr>
                <w:rFonts w:ascii="Arial" w:hAnsi="Arial" w:cs="Arial"/>
                <w:sz w:val="20"/>
                <w:szCs w:val="20"/>
              </w:rPr>
            </w:pPr>
            <w:r w:rsidRPr="00514A92">
              <w:rPr>
                <w:rFonts w:ascii="Arial" w:hAnsi="Arial" w:cs="Arial"/>
                <w:sz w:val="20"/>
                <w:szCs w:val="20"/>
              </w:rPr>
              <w:t>To enhance inclusion, we deconstruct a sample research proposal and advise students to reconstruct based on their prior knowledge and experience in groups [in line with Academic Literacies perspectives]</w:t>
            </w:r>
          </w:p>
          <w:p w14:paraId="1906ED35" w14:textId="77777777" w:rsidR="007B464B" w:rsidRPr="00514A92" w:rsidRDefault="007B464B" w:rsidP="007B464B">
            <w:pPr>
              <w:rPr>
                <w:rFonts w:ascii="Arial" w:hAnsi="Arial" w:cs="Arial"/>
                <w:sz w:val="20"/>
                <w:szCs w:val="20"/>
              </w:rPr>
            </w:pPr>
          </w:p>
          <w:p w14:paraId="39C6CD9D" w14:textId="77777777" w:rsidR="007B464B" w:rsidRPr="00514A92" w:rsidRDefault="007B464B" w:rsidP="007B464B">
            <w:pPr>
              <w:rPr>
                <w:rFonts w:ascii="Arial" w:hAnsi="Arial" w:cs="Arial"/>
                <w:sz w:val="20"/>
                <w:szCs w:val="20"/>
              </w:rPr>
            </w:pPr>
            <w:r w:rsidRPr="00514A92">
              <w:rPr>
                <w:rFonts w:ascii="Arial" w:hAnsi="Arial" w:cs="Arial"/>
                <w:sz w:val="20"/>
                <w:szCs w:val="20"/>
              </w:rPr>
              <w:t xml:space="preserve">After students have constructed the sample research proposal from scattered pieces, the process of close observation starts. [Genre-based modelling process/text exploration] </w:t>
            </w:r>
          </w:p>
          <w:p w14:paraId="5462BD9A" w14:textId="7777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tc>
        <w:tc>
          <w:tcPr>
            <w:tcW w:w="5619" w:type="dxa"/>
          </w:tcPr>
          <w:p w14:paraId="1ACAE531" w14:textId="151CC1B4" w:rsidR="007B464B" w:rsidRPr="00514A92" w:rsidRDefault="007B464B" w:rsidP="007B464B">
            <w:pPr>
              <w:rPr>
                <w:rFonts w:ascii="Arial" w:hAnsi="Arial" w:cs="Arial"/>
                <w:sz w:val="20"/>
                <w:szCs w:val="20"/>
              </w:rPr>
            </w:pPr>
            <w:r w:rsidRPr="00514A92">
              <w:rPr>
                <w:rFonts w:ascii="Arial" w:hAnsi="Arial" w:cs="Arial"/>
                <w:sz w:val="20"/>
                <w:szCs w:val="20"/>
              </w:rPr>
              <w:t>Stage 3: Research proposal: Rhetorical structure</w:t>
            </w:r>
          </w:p>
          <w:p w14:paraId="74C74484" w14:textId="2ED2FA0C" w:rsidR="007B464B" w:rsidRPr="00514A92" w:rsidRDefault="007B464B" w:rsidP="007B464B">
            <w:pPr>
              <w:pStyle w:val="ListParagraph"/>
              <w:numPr>
                <w:ilvl w:val="0"/>
                <w:numId w:val="41"/>
              </w:numPr>
              <w:ind w:left="360"/>
              <w:rPr>
                <w:rFonts w:ascii="Arial" w:hAnsi="Arial" w:cs="Arial"/>
                <w:sz w:val="20"/>
                <w:szCs w:val="20"/>
              </w:rPr>
            </w:pPr>
            <w:r w:rsidRPr="00514A92">
              <w:rPr>
                <w:rFonts w:ascii="Arial" w:hAnsi="Arial" w:cs="Arial"/>
                <w:sz w:val="20"/>
                <w:szCs w:val="20"/>
              </w:rPr>
              <w:t>We advise students to consider how each section might function in a research proposal before the main exercise below.</w:t>
            </w:r>
          </w:p>
          <w:p w14:paraId="2336B84C" w14:textId="790815C7" w:rsidR="007B464B" w:rsidRPr="00514A92" w:rsidRDefault="007B464B" w:rsidP="007B464B">
            <w:pPr>
              <w:pStyle w:val="ListParagraph"/>
              <w:numPr>
                <w:ilvl w:val="0"/>
                <w:numId w:val="41"/>
              </w:numPr>
              <w:ind w:left="360"/>
              <w:rPr>
                <w:rFonts w:ascii="Arial" w:hAnsi="Arial" w:cs="Arial"/>
                <w:sz w:val="20"/>
                <w:szCs w:val="20"/>
              </w:rPr>
            </w:pPr>
            <w:r w:rsidRPr="00514A92">
              <w:rPr>
                <w:rFonts w:ascii="Arial" w:hAnsi="Arial" w:cs="Arial"/>
                <w:sz w:val="20"/>
                <w:szCs w:val="20"/>
              </w:rPr>
              <w:t xml:space="preserve">Exercise on proposal structure (Group work): Students are grouped into groups of 4-5. Each group is given three different piles of slips (1. headings of different sections in a research proposal; 2. definitions/descriptors of each section; 3. text extracts for each section from a former student submission). </w:t>
            </w:r>
          </w:p>
          <w:p w14:paraId="05F59B65" w14:textId="77777777" w:rsidR="007B464B" w:rsidRPr="00514A92" w:rsidRDefault="007B464B" w:rsidP="007B464B">
            <w:pPr>
              <w:pStyle w:val="ListParagraph"/>
              <w:ind w:left="360"/>
              <w:rPr>
                <w:rFonts w:ascii="Arial" w:hAnsi="Arial" w:cs="Arial"/>
                <w:sz w:val="20"/>
                <w:szCs w:val="20"/>
              </w:rPr>
            </w:pPr>
          </w:p>
          <w:p w14:paraId="1B9C733E" w14:textId="7B47446A" w:rsidR="007B464B" w:rsidRPr="00514A92" w:rsidRDefault="007B464B" w:rsidP="007B464B">
            <w:pPr>
              <w:pStyle w:val="ListParagraph"/>
              <w:ind w:left="360"/>
              <w:rPr>
                <w:rFonts w:ascii="Arial" w:hAnsi="Arial" w:cs="Arial"/>
                <w:sz w:val="20"/>
                <w:szCs w:val="20"/>
              </w:rPr>
            </w:pPr>
            <w:r w:rsidRPr="00514A92">
              <w:rPr>
                <w:rFonts w:ascii="Arial" w:hAnsi="Arial" w:cs="Arial"/>
                <w:sz w:val="20"/>
                <w:szCs w:val="20"/>
              </w:rPr>
              <w:t>Students are asked to follow the sequence below:</w:t>
            </w:r>
          </w:p>
          <w:p w14:paraId="5BFDCB97" w14:textId="77777777" w:rsidR="007B464B" w:rsidRPr="00514A92" w:rsidRDefault="007B464B" w:rsidP="007B464B">
            <w:pPr>
              <w:pStyle w:val="ListParagraph"/>
              <w:ind w:left="360"/>
              <w:rPr>
                <w:rFonts w:ascii="Arial" w:hAnsi="Arial" w:cs="Arial"/>
                <w:sz w:val="20"/>
                <w:szCs w:val="20"/>
              </w:rPr>
            </w:pPr>
          </w:p>
          <w:p w14:paraId="3278574B" w14:textId="5A7C370A" w:rsidR="007B464B" w:rsidRPr="00514A92" w:rsidRDefault="007B464B" w:rsidP="007B464B">
            <w:pPr>
              <w:ind w:left="360"/>
              <w:rPr>
                <w:rFonts w:ascii="Arial" w:hAnsi="Arial" w:cs="Arial"/>
                <w:sz w:val="20"/>
                <w:szCs w:val="20"/>
              </w:rPr>
            </w:pPr>
            <w:r w:rsidRPr="00514A92">
              <w:rPr>
                <w:rFonts w:ascii="Arial" w:hAnsi="Arial" w:cs="Arial"/>
                <w:sz w:val="20"/>
                <w:szCs w:val="20"/>
                <w:u w:val="single"/>
              </w:rPr>
              <w:t>Step 1</w:t>
            </w:r>
            <w:r w:rsidRPr="00514A92">
              <w:rPr>
                <w:rFonts w:ascii="Arial" w:hAnsi="Arial" w:cs="Arial"/>
                <w:sz w:val="20"/>
                <w:szCs w:val="20"/>
              </w:rPr>
              <w:t>: Put the headings in order</w:t>
            </w:r>
          </w:p>
          <w:p w14:paraId="4DB9A040" w14:textId="77777777" w:rsidR="007B464B" w:rsidRPr="00514A92" w:rsidRDefault="007B464B" w:rsidP="007B464B">
            <w:pPr>
              <w:ind w:left="360"/>
              <w:rPr>
                <w:rFonts w:ascii="Arial" w:hAnsi="Arial" w:cs="Arial"/>
                <w:sz w:val="20"/>
                <w:szCs w:val="20"/>
              </w:rPr>
            </w:pPr>
            <w:r w:rsidRPr="00514A92">
              <w:rPr>
                <w:rFonts w:ascii="Arial" w:hAnsi="Arial" w:cs="Arial"/>
                <w:sz w:val="20"/>
                <w:szCs w:val="20"/>
                <w:u w:val="single"/>
              </w:rPr>
              <w:t>Step 2</w:t>
            </w:r>
            <w:r w:rsidRPr="00514A92">
              <w:rPr>
                <w:rFonts w:ascii="Arial" w:hAnsi="Arial" w:cs="Arial"/>
                <w:sz w:val="20"/>
                <w:szCs w:val="20"/>
              </w:rPr>
              <w:t xml:space="preserve">: Put these descriptors under its correct heading </w:t>
            </w:r>
          </w:p>
          <w:p w14:paraId="6545A671" w14:textId="2B82D89A" w:rsidR="007B464B" w:rsidRPr="00514A92" w:rsidRDefault="007B464B" w:rsidP="007B464B">
            <w:pPr>
              <w:ind w:left="360"/>
              <w:rPr>
                <w:rFonts w:ascii="Arial" w:hAnsi="Arial" w:cs="Arial"/>
                <w:sz w:val="20"/>
                <w:szCs w:val="20"/>
              </w:rPr>
            </w:pPr>
            <w:r w:rsidRPr="00514A92">
              <w:rPr>
                <w:rFonts w:ascii="Arial" w:hAnsi="Arial" w:cs="Arial"/>
                <w:sz w:val="20"/>
                <w:szCs w:val="20"/>
                <w:u w:val="single"/>
              </w:rPr>
              <w:t>Step 3</w:t>
            </w:r>
            <w:r w:rsidRPr="00514A92">
              <w:rPr>
                <w:rFonts w:ascii="Arial" w:hAnsi="Arial" w:cs="Arial"/>
                <w:sz w:val="20"/>
                <w:szCs w:val="20"/>
              </w:rPr>
              <w:t>: Read the text extracts taken from a former student’s research proposal. Decide which of the sections they are from, and explain why they are appropriate for that section.</w:t>
            </w:r>
          </w:p>
          <w:p w14:paraId="3C0F2C2C" w14:textId="5D88D4DF" w:rsidR="007B464B" w:rsidRPr="00514A92" w:rsidRDefault="007B464B" w:rsidP="007B464B">
            <w:pPr>
              <w:ind w:left="360"/>
              <w:rPr>
                <w:rFonts w:ascii="Arial" w:hAnsi="Arial" w:cs="Arial"/>
                <w:sz w:val="20"/>
                <w:szCs w:val="20"/>
              </w:rPr>
            </w:pPr>
            <w:r w:rsidRPr="00514A92">
              <w:rPr>
                <w:rFonts w:ascii="Arial" w:hAnsi="Arial" w:cs="Arial"/>
                <w:sz w:val="20"/>
                <w:szCs w:val="20"/>
                <w:u w:val="single"/>
              </w:rPr>
              <w:t>Step 4</w:t>
            </w:r>
            <w:r w:rsidRPr="00514A92">
              <w:rPr>
                <w:rFonts w:ascii="Arial" w:hAnsi="Arial" w:cs="Arial"/>
                <w:sz w:val="20"/>
                <w:szCs w:val="20"/>
              </w:rPr>
              <w:t>: Once steps 1-3 are completed correctly, students are advised to observe closely on each section (including definitions, sample extracts) and take notes</w:t>
            </w:r>
          </w:p>
          <w:p w14:paraId="2D1E55C6" w14:textId="77777777" w:rsidR="007B464B" w:rsidRPr="00514A92" w:rsidRDefault="007B464B" w:rsidP="007B464B">
            <w:pPr>
              <w:rPr>
                <w:rFonts w:ascii="Arial" w:hAnsi="Arial" w:cs="Arial"/>
                <w:sz w:val="20"/>
                <w:szCs w:val="20"/>
              </w:rPr>
            </w:pPr>
          </w:p>
          <w:p w14:paraId="78D3F367" w14:textId="5ACFCA91" w:rsidR="007B464B" w:rsidRPr="00514A92" w:rsidRDefault="007B464B" w:rsidP="00336734">
            <w:pPr>
              <w:numPr>
                <w:ilvl w:val="0"/>
                <w:numId w:val="37"/>
              </w:numPr>
              <w:ind w:left="360"/>
              <w:rPr>
                <w:rFonts w:ascii="Arial" w:hAnsi="Arial" w:cs="Arial"/>
                <w:sz w:val="20"/>
                <w:szCs w:val="20"/>
              </w:rPr>
            </w:pPr>
            <w:r w:rsidRPr="00514A92">
              <w:rPr>
                <w:rFonts w:ascii="Arial" w:hAnsi="Arial" w:cs="Arial"/>
                <w:sz w:val="20"/>
                <w:szCs w:val="20"/>
              </w:rPr>
              <w:t>Joint discussion: Quickly recap key messages from the exercise</w:t>
            </w:r>
          </w:p>
        </w:tc>
      </w:tr>
      <w:tr w:rsidR="00B95882" w:rsidRPr="00514A92" w14:paraId="07B003EE" w14:textId="77777777" w:rsidTr="00955EFC">
        <w:tc>
          <w:tcPr>
            <w:tcW w:w="3397" w:type="dxa"/>
          </w:tcPr>
          <w:p w14:paraId="712A848C" w14:textId="368E7EFC" w:rsidR="007B464B" w:rsidRPr="00514A92" w:rsidRDefault="007B464B" w:rsidP="007B464B">
            <w:pPr>
              <w:rPr>
                <w:rFonts w:ascii="Arial" w:hAnsi="Arial" w:cs="Arial"/>
                <w:sz w:val="20"/>
                <w:szCs w:val="20"/>
              </w:rPr>
            </w:pPr>
            <w:r w:rsidRPr="00514A92">
              <w:rPr>
                <w:rFonts w:ascii="Arial" w:hAnsi="Arial" w:cs="Arial"/>
                <w:sz w:val="20"/>
                <w:szCs w:val="20"/>
              </w:rPr>
              <w:t>Apply the acquired knowledge for independent construction [Genre-based approach]; consolidation stage</w:t>
            </w:r>
          </w:p>
          <w:p w14:paraId="4EE13041" w14:textId="77777777"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tc>
        <w:tc>
          <w:tcPr>
            <w:tcW w:w="5619" w:type="dxa"/>
          </w:tcPr>
          <w:p w14:paraId="072BE626" w14:textId="16164580" w:rsidR="007B464B" w:rsidRPr="00514A92" w:rsidRDefault="007B464B" w:rsidP="007B464B">
            <w:pPr>
              <w:rPr>
                <w:rFonts w:ascii="Arial" w:hAnsi="Arial" w:cs="Arial"/>
                <w:sz w:val="20"/>
                <w:szCs w:val="20"/>
              </w:rPr>
            </w:pPr>
            <w:r w:rsidRPr="00514A92">
              <w:rPr>
                <w:rFonts w:ascii="Arial" w:hAnsi="Arial" w:cs="Arial"/>
                <w:sz w:val="20"/>
                <w:szCs w:val="20"/>
              </w:rPr>
              <w:t>Stage 4: Freewriting on research proposal (Homework)</w:t>
            </w:r>
          </w:p>
          <w:p w14:paraId="36BBFE95" w14:textId="77777777" w:rsidR="007B464B" w:rsidRPr="00514A92" w:rsidRDefault="007B464B" w:rsidP="007B464B">
            <w:pPr>
              <w:numPr>
                <w:ilvl w:val="0"/>
                <w:numId w:val="31"/>
              </w:numPr>
              <w:ind w:left="360"/>
              <w:rPr>
                <w:rFonts w:ascii="Arial" w:hAnsi="Arial" w:cs="Arial"/>
                <w:sz w:val="20"/>
                <w:szCs w:val="20"/>
              </w:rPr>
            </w:pPr>
            <w:r w:rsidRPr="00514A92">
              <w:rPr>
                <w:rFonts w:ascii="Arial" w:hAnsi="Arial" w:cs="Arial"/>
                <w:sz w:val="20"/>
                <w:szCs w:val="20"/>
              </w:rPr>
              <w:t>A quick introduction to the freewriting technique</w:t>
            </w:r>
          </w:p>
          <w:p w14:paraId="3719F45A" w14:textId="70458995" w:rsidR="007B464B" w:rsidRPr="00514A92" w:rsidRDefault="007B464B" w:rsidP="007B464B">
            <w:pPr>
              <w:numPr>
                <w:ilvl w:val="0"/>
                <w:numId w:val="31"/>
              </w:numPr>
              <w:ind w:left="360"/>
              <w:rPr>
                <w:rFonts w:ascii="Arial" w:hAnsi="Arial" w:cs="Arial"/>
                <w:sz w:val="20"/>
                <w:szCs w:val="20"/>
              </w:rPr>
            </w:pPr>
            <w:r w:rsidRPr="00514A92">
              <w:rPr>
                <w:rFonts w:ascii="Arial" w:hAnsi="Arial" w:cs="Arial"/>
                <w:sz w:val="20"/>
                <w:szCs w:val="20"/>
              </w:rPr>
              <w:t>Freewrite on their research proposal at home and bring to the class in the following week</w:t>
            </w:r>
          </w:p>
          <w:p w14:paraId="4DEFE84F" w14:textId="2AF293B9"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tc>
      </w:tr>
      <w:tr w:rsidR="007B464B" w:rsidRPr="00514A92" w14:paraId="69BD9D72" w14:textId="77777777" w:rsidTr="00955EFC">
        <w:tc>
          <w:tcPr>
            <w:tcW w:w="3397" w:type="dxa"/>
          </w:tcPr>
          <w:p w14:paraId="13198834" w14:textId="709AFBD5" w:rsidR="007B464B" w:rsidRPr="00514A92" w:rsidRDefault="007B464B" w:rsidP="007B464B">
            <w:pPr>
              <w:rPr>
                <w:rFonts w:ascii="Arial" w:hAnsi="Arial" w:cs="Arial"/>
                <w:sz w:val="20"/>
                <w:szCs w:val="20"/>
              </w:rPr>
            </w:pPr>
            <w:r w:rsidRPr="00514A92">
              <w:rPr>
                <w:rFonts w:ascii="Arial" w:hAnsi="Arial" w:cs="Arial"/>
                <w:sz w:val="20"/>
                <w:szCs w:val="20"/>
              </w:rPr>
              <w:t>Plenary</w:t>
            </w:r>
          </w:p>
          <w:p w14:paraId="558AE22B" w14:textId="77777777" w:rsidR="007B464B" w:rsidRPr="00514A92" w:rsidRDefault="007B464B" w:rsidP="007B464B">
            <w:pPr>
              <w:rPr>
                <w:rFonts w:ascii="Arial" w:hAnsi="Arial" w:cs="Arial"/>
                <w:sz w:val="20"/>
                <w:szCs w:val="20"/>
              </w:rPr>
            </w:pPr>
          </w:p>
          <w:p w14:paraId="06938427" w14:textId="4C137D10" w:rsidR="007B464B" w:rsidRPr="00514A92" w:rsidRDefault="007B464B" w:rsidP="007B464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eastAsiaTheme="minorHAnsi" w:cs="Arial"/>
                <w:sz w:val="20"/>
                <w:lang w:eastAsia="en-US"/>
              </w:rPr>
            </w:pPr>
            <w:r w:rsidRPr="00514A92">
              <w:rPr>
                <w:rFonts w:eastAsiaTheme="minorHAnsi" w:cs="Arial"/>
                <w:sz w:val="20"/>
                <w:lang w:eastAsia="en-US"/>
              </w:rPr>
              <w:t>Connect to the next writing focus</w:t>
            </w:r>
          </w:p>
        </w:tc>
        <w:tc>
          <w:tcPr>
            <w:tcW w:w="5619" w:type="dxa"/>
          </w:tcPr>
          <w:p w14:paraId="22B1A8CE" w14:textId="3D82ECD4" w:rsidR="007B464B" w:rsidRPr="00514A92" w:rsidRDefault="007B464B" w:rsidP="007B464B">
            <w:pPr>
              <w:rPr>
                <w:rFonts w:ascii="Arial" w:hAnsi="Arial" w:cs="Arial"/>
                <w:sz w:val="20"/>
                <w:szCs w:val="20"/>
              </w:rPr>
            </w:pPr>
            <w:r w:rsidRPr="00514A92">
              <w:rPr>
                <w:rFonts w:ascii="Arial" w:hAnsi="Arial" w:cs="Arial"/>
                <w:sz w:val="20"/>
                <w:szCs w:val="20"/>
              </w:rPr>
              <w:t xml:space="preserve">Final stage: Take-home message, self-reflection &amp; </w:t>
            </w:r>
            <w:r w:rsidRPr="00514A92">
              <w:rPr>
                <w:rFonts w:ascii="Arial" w:hAnsi="Arial" w:cs="Arial"/>
                <w:noProof/>
                <w:sz w:val="20"/>
                <w:szCs w:val="20"/>
              </w:rPr>
              <w:t>feed forward</w:t>
            </w:r>
          </w:p>
          <w:p w14:paraId="14A5A016" w14:textId="5BD7DC42" w:rsidR="007B464B" w:rsidRPr="00514A92" w:rsidRDefault="007B464B" w:rsidP="007B464B">
            <w:pPr>
              <w:pStyle w:val="ListParagraph"/>
              <w:numPr>
                <w:ilvl w:val="0"/>
                <w:numId w:val="41"/>
              </w:numPr>
              <w:ind w:left="360"/>
              <w:rPr>
                <w:rFonts w:ascii="Arial" w:eastAsiaTheme="minorHAnsi" w:hAnsi="Arial" w:cs="Arial"/>
                <w:sz w:val="20"/>
                <w:szCs w:val="20"/>
              </w:rPr>
            </w:pPr>
            <w:r w:rsidRPr="00514A92">
              <w:rPr>
                <w:rFonts w:ascii="Arial" w:eastAsiaTheme="minorHAnsi" w:hAnsi="Arial" w:cs="Arial"/>
                <w:sz w:val="20"/>
                <w:szCs w:val="20"/>
              </w:rPr>
              <w:t>Recap the purpose of the session</w:t>
            </w:r>
          </w:p>
          <w:p w14:paraId="70FE6D1D" w14:textId="77777777" w:rsidR="007B464B" w:rsidRPr="00514A92" w:rsidRDefault="007B464B" w:rsidP="007B464B">
            <w:pPr>
              <w:pStyle w:val="ListParagraph"/>
              <w:numPr>
                <w:ilvl w:val="0"/>
                <w:numId w:val="41"/>
              </w:numPr>
              <w:ind w:left="360"/>
              <w:rPr>
                <w:rFonts w:ascii="Arial" w:eastAsiaTheme="minorHAnsi" w:hAnsi="Arial" w:cs="Arial"/>
                <w:sz w:val="20"/>
                <w:szCs w:val="20"/>
              </w:rPr>
            </w:pPr>
            <w:r w:rsidRPr="00514A92">
              <w:rPr>
                <w:rFonts w:ascii="Arial" w:eastAsiaTheme="minorHAnsi" w:hAnsi="Arial" w:cs="Arial"/>
                <w:sz w:val="20"/>
                <w:szCs w:val="20"/>
              </w:rPr>
              <w:t xml:space="preserve">Ask students what they have learned from the session and any aspect they would like to work on after the session  </w:t>
            </w:r>
          </w:p>
          <w:p w14:paraId="3DD6851E" w14:textId="39118A96" w:rsidR="007B464B" w:rsidRPr="00514A92" w:rsidRDefault="007B464B" w:rsidP="007B464B">
            <w:pPr>
              <w:pStyle w:val="ListParagraph"/>
              <w:numPr>
                <w:ilvl w:val="0"/>
                <w:numId w:val="41"/>
              </w:numPr>
              <w:ind w:left="360"/>
              <w:rPr>
                <w:rFonts w:ascii="Arial" w:eastAsiaTheme="minorHAnsi" w:hAnsi="Arial" w:cs="Arial"/>
                <w:sz w:val="20"/>
                <w:szCs w:val="20"/>
              </w:rPr>
            </w:pPr>
            <w:r w:rsidRPr="00514A92">
              <w:rPr>
                <w:rFonts w:ascii="Arial" w:eastAsiaTheme="minorHAnsi" w:hAnsi="Arial" w:cs="Arial"/>
                <w:sz w:val="20"/>
                <w:szCs w:val="20"/>
              </w:rPr>
              <w:t>Forecast the next session: Language input for research proposal writing</w:t>
            </w:r>
          </w:p>
        </w:tc>
      </w:tr>
    </w:tbl>
    <w:p w14:paraId="44A5FEF5" w14:textId="6345110C" w:rsidR="00C82481" w:rsidRPr="00514A92" w:rsidRDefault="00C82481"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387B3468" w14:textId="5F311F92" w:rsidR="00CD3162" w:rsidRPr="00514A92" w:rsidRDefault="00901FF1"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lastRenderedPageBreak/>
        <w:t>As can be seen from</w:t>
      </w:r>
      <w:r w:rsidR="006433A6" w:rsidRPr="00514A92">
        <w:rPr>
          <w:rFonts w:cs="Arial"/>
          <w:sz w:val="20"/>
        </w:rPr>
        <w:t xml:space="preserve"> </w:t>
      </w:r>
      <w:r w:rsidRPr="00514A92">
        <w:rPr>
          <w:rFonts w:cs="Arial"/>
          <w:sz w:val="20"/>
        </w:rPr>
        <w:t>Table 2 above</w:t>
      </w:r>
      <w:r w:rsidR="006433A6" w:rsidRPr="00514A92">
        <w:rPr>
          <w:rFonts w:cs="Arial"/>
          <w:sz w:val="20"/>
        </w:rPr>
        <w:t xml:space="preserve">, </w:t>
      </w:r>
      <w:r w:rsidR="001B025B" w:rsidRPr="00514A92">
        <w:rPr>
          <w:rFonts w:cs="Arial"/>
          <w:sz w:val="20"/>
        </w:rPr>
        <w:t>we start</w:t>
      </w:r>
      <w:r w:rsidR="00645636" w:rsidRPr="00514A92">
        <w:rPr>
          <w:rFonts w:cs="Arial"/>
          <w:sz w:val="20"/>
        </w:rPr>
        <w:t>ed</w:t>
      </w:r>
      <w:r w:rsidR="001B025B" w:rsidRPr="00514A92">
        <w:rPr>
          <w:rFonts w:cs="Arial"/>
          <w:sz w:val="20"/>
        </w:rPr>
        <w:t xml:space="preserve"> the session with a range of prompt</w:t>
      </w:r>
      <w:r w:rsidR="003D36FA" w:rsidRPr="00514A92">
        <w:rPr>
          <w:rFonts w:cs="Arial"/>
          <w:sz w:val="20"/>
        </w:rPr>
        <w:t xml:space="preserve"> questions, aimed at establishing</w:t>
      </w:r>
      <w:r w:rsidR="0033263E" w:rsidRPr="00514A92">
        <w:rPr>
          <w:rFonts w:cs="Arial"/>
          <w:sz w:val="20"/>
        </w:rPr>
        <w:t xml:space="preserve"> a relevant learning context and </w:t>
      </w:r>
      <w:r w:rsidR="007F68E4" w:rsidRPr="00514A92">
        <w:rPr>
          <w:rFonts w:cs="Arial"/>
          <w:sz w:val="20"/>
        </w:rPr>
        <w:t>tapping into</w:t>
      </w:r>
      <w:r w:rsidR="0033263E" w:rsidRPr="00514A92">
        <w:rPr>
          <w:rFonts w:cs="Arial"/>
          <w:sz w:val="20"/>
        </w:rPr>
        <w:t xml:space="preserve"> student prior knowledge and experience for the purpose of scaffolding</w:t>
      </w:r>
      <w:r w:rsidR="00225700" w:rsidRPr="00514A92">
        <w:rPr>
          <w:rFonts w:cs="Arial"/>
          <w:sz w:val="20"/>
        </w:rPr>
        <w:t xml:space="preserve">. </w:t>
      </w:r>
      <w:r w:rsidR="004B1F60" w:rsidRPr="00514A92">
        <w:rPr>
          <w:rFonts w:cs="Arial"/>
          <w:sz w:val="20"/>
        </w:rPr>
        <w:t>The</w:t>
      </w:r>
      <w:r w:rsidR="00181C8F" w:rsidRPr="00514A92">
        <w:rPr>
          <w:rFonts w:cs="Arial"/>
          <w:sz w:val="20"/>
        </w:rPr>
        <w:t xml:space="preserve"> stage</w:t>
      </w:r>
      <w:r w:rsidR="004B1F60" w:rsidRPr="00514A92">
        <w:rPr>
          <w:rFonts w:cs="Arial"/>
          <w:sz w:val="20"/>
        </w:rPr>
        <w:t xml:space="preserve">s 1 and 2 </w:t>
      </w:r>
      <w:r w:rsidR="00955EFC" w:rsidRPr="00514A92">
        <w:rPr>
          <w:rFonts w:cs="Arial"/>
          <w:sz w:val="20"/>
        </w:rPr>
        <w:t>were</w:t>
      </w:r>
      <w:r w:rsidR="004B1F60" w:rsidRPr="00514A92">
        <w:rPr>
          <w:rFonts w:cs="Arial"/>
          <w:sz w:val="20"/>
        </w:rPr>
        <w:t xml:space="preserve"> greatly informed by the Academic Literacies perspectives</w:t>
      </w:r>
      <w:r w:rsidR="00637200" w:rsidRPr="00514A92">
        <w:rPr>
          <w:rFonts w:cs="Arial"/>
          <w:sz w:val="20"/>
        </w:rPr>
        <w:t>,</w:t>
      </w:r>
      <w:r w:rsidR="004B1F60" w:rsidRPr="00514A92">
        <w:rPr>
          <w:rFonts w:cs="Arial"/>
          <w:sz w:val="20"/>
        </w:rPr>
        <w:t xml:space="preserve"> where we strive</w:t>
      </w:r>
      <w:r w:rsidR="00955EFC" w:rsidRPr="00514A92">
        <w:rPr>
          <w:rFonts w:cs="Arial"/>
          <w:sz w:val="20"/>
        </w:rPr>
        <w:t>d</w:t>
      </w:r>
      <w:r w:rsidR="004B1F60" w:rsidRPr="00514A92">
        <w:rPr>
          <w:rFonts w:cs="Arial"/>
          <w:sz w:val="20"/>
        </w:rPr>
        <w:t xml:space="preserve"> to </w:t>
      </w:r>
      <w:r w:rsidR="007F68E4" w:rsidRPr="00514A92">
        <w:rPr>
          <w:rFonts w:cs="Arial"/>
          <w:sz w:val="20"/>
        </w:rPr>
        <w:t>create inclusive opportunities for students to construct meanings in a range of dialog</w:t>
      </w:r>
      <w:r w:rsidR="003C69A1" w:rsidRPr="00514A92">
        <w:rPr>
          <w:rFonts w:cs="Arial"/>
          <w:sz w:val="20"/>
        </w:rPr>
        <w:t xml:space="preserve">ues with their peers and tutors in class. The element of genre awareness </w:t>
      </w:r>
      <w:r w:rsidR="00955EFC" w:rsidRPr="00514A92">
        <w:rPr>
          <w:rFonts w:cs="Arial"/>
          <w:sz w:val="20"/>
        </w:rPr>
        <w:t>was</w:t>
      </w:r>
      <w:r w:rsidR="003C69A1" w:rsidRPr="00514A92">
        <w:rPr>
          <w:rFonts w:cs="Arial"/>
          <w:sz w:val="20"/>
        </w:rPr>
        <w:t xml:space="preserve"> embedded into the stage 2 as we prompt</w:t>
      </w:r>
      <w:r w:rsidR="00955EFC" w:rsidRPr="00514A92">
        <w:rPr>
          <w:rFonts w:cs="Arial"/>
          <w:sz w:val="20"/>
        </w:rPr>
        <w:t>ed</w:t>
      </w:r>
      <w:r w:rsidR="003C69A1" w:rsidRPr="00514A92">
        <w:rPr>
          <w:rFonts w:cs="Arial"/>
          <w:sz w:val="20"/>
        </w:rPr>
        <w:t xml:space="preserve"> the rationales for composi</w:t>
      </w:r>
      <w:r w:rsidR="00BA7024" w:rsidRPr="00514A92">
        <w:rPr>
          <w:rFonts w:cs="Arial"/>
          <w:sz w:val="20"/>
        </w:rPr>
        <w:t xml:space="preserve">ng a research proposal and </w:t>
      </w:r>
      <w:r w:rsidR="003C69A1" w:rsidRPr="00514A92">
        <w:rPr>
          <w:rFonts w:cs="Arial"/>
          <w:sz w:val="20"/>
        </w:rPr>
        <w:t>serve</w:t>
      </w:r>
      <w:r w:rsidR="00955EFC" w:rsidRPr="00514A92">
        <w:rPr>
          <w:rFonts w:cs="Arial"/>
          <w:sz w:val="20"/>
        </w:rPr>
        <w:t>d</w:t>
      </w:r>
      <w:r w:rsidR="003C69A1" w:rsidRPr="00514A92">
        <w:rPr>
          <w:rFonts w:cs="Arial"/>
          <w:sz w:val="20"/>
        </w:rPr>
        <w:t xml:space="preserve"> as the beginning of stage 3</w:t>
      </w:r>
      <w:r w:rsidR="00A93F1B" w:rsidRPr="00514A92">
        <w:rPr>
          <w:rFonts w:cs="Arial"/>
          <w:sz w:val="20"/>
        </w:rPr>
        <w:t>,</w:t>
      </w:r>
      <w:r w:rsidR="003C69A1" w:rsidRPr="00514A92">
        <w:rPr>
          <w:rFonts w:cs="Arial"/>
          <w:sz w:val="20"/>
        </w:rPr>
        <w:t xml:space="preserve"> where </w:t>
      </w:r>
      <w:r w:rsidR="00BA7024" w:rsidRPr="00514A92">
        <w:rPr>
          <w:rFonts w:cs="Arial"/>
          <w:sz w:val="20"/>
        </w:rPr>
        <w:t>we advise</w:t>
      </w:r>
      <w:r w:rsidR="00955EFC" w:rsidRPr="00514A92">
        <w:rPr>
          <w:rFonts w:cs="Arial"/>
          <w:sz w:val="20"/>
        </w:rPr>
        <w:t>d</w:t>
      </w:r>
      <w:r w:rsidR="00BA7024" w:rsidRPr="00514A92">
        <w:rPr>
          <w:rFonts w:cs="Arial"/>
          <w:sz w:val="20"/>
        </w:rPr>
        <w:t xml:space="preserve"> students to consider the rhetorical function of each section in a research proposal before the </w:t>
      </w:r>
      <w:r w:rsidR="00955EFC" w:rsidRPr="00514A92">
        <w:rPr>
          <w:rFonts w:cs="Arial"/>
          <w:sz w:val="20"/>
        </w:rPr>
        <w:t>main</w:t>
      </w:r>
      <w:r w:rsidR="00BA7024" w:rsidRPr="00514A92">
        <w:rPr>
          <w:rFonts w:cs="Arial"/>
          <w:sz w:val="20"/>
        </w:rPr>
        <w:t xml:space="preserve"> exercise on the </w:t>
      </w:r>
      <w:r w:rsidR="00BA7024" w:rsidRPr="00514A92">
        <w:rPr>
          <w:rFonts w:cs="Arial"/>
          <w:noProof/>
          <w:sz w:val="20"/>
        </w:rPr>
        <w:t>proposal</w:t>
      </w:r>
      <w:r w:rsidR="00BA7024" w:rsidRPr="00514A92">
        <w:rPr>
          <w:rFonts w:cs="Arial"/>
          <w:sz w:val="20"/>
        </w:rPr>
        <w:t xml:space="preserve"> structure. </w:t>
      </w:r>
    </w:p>
    <w:p w14:paraId="43F0D084" w14:textId="77777777" w:rsidR="00CD3162" w:rsidRPr="00514A92" w:rsidRDefault="00CD3162"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5852EA40" w14:textId="6880EF00" w:rsidR="001B025B" w:rsidRPr="00514A92" w:rsidRDefault="00E00FCE"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Stage</w:t>
      </w:r>
      <w:r w:rsidR="00BA7024" w:rsidRPr="00514A92">
        <w:rPr>
          <w:rFonts w:cs="Arial"/>
          <w:sz w:val="20"/>
        </w:rPr>
        <w:t xml:space="preserve"> 3 is the </w:t>
      </w:r>
      <w:r w:rsidR="00CD3162" w:rsidRPr="00514A92">
        <w:rPr>
          <w:rFonts w:cs="Arial"/>
          <w:sz w:val="20"/>
        </w:rPr>
        <w:t xml:space="preserve">key </w:t>
      </w:r>
      <w:r w:rsidR="00BA7024" w:rsidRPr="00514A92">
        <w:rPr>
          <w:rFonts w:cs="Arial"/>
          <w:sz w:val="20"/>
        </w:rPr>
        <w:t xml:space="preserve">phase </w:t>
      </w:r>
      <w:r w:rsidR="008F57B8" w:rsidRPr="00514A92">
        <w:rPr>
          <w:rFonts w:cs="Arial"/>
          <w:sz w:val="20"/>
        </w:rPr>
        <w:t>where</w:t>
      </w:r>
      <w:r w:rsidR="00BA7024" w:rsidRPr="00514A92">
        <w:rPr>
          <w:rFonts w:cs="Arial"/>
          <w:sz w:val="20"/>
        </w:rPr>
        <w:t xml:space="preserve"> students explore</w:t>
      </w:r>
      <w:r w:rsidR="008F57B8" w:rsidRPr="00514A92">
        <w:rPr>
          <w:rFonts w:cs="Arial"/>
          <w:sz w:val="20"/>
        </w:rPr>
        <w:t>d</w:t>
      </w:r>
      <w:r w:rsidR="00BA7024" w:rsidRPr="00514A92">
        <w:rPr>
          <w:rFonts w:cs="Arial"/>
          <w:sz w:val="20"/>
        </w:rPr>
        <w:t xml:space="preserve"> the structure and definition of each section</w:t>
      </w:r>
      <w:r w:rsidR="00B04134" w:rsidRPr="00514A92">
        <w:rPr>
          <w:rFonts w:cs="Arial"/>
          <w:sz w:val="20"/>
        </w:rPr>
        <w:t>. Here</w:t>
      </w:r>
      <w:r w:rsidR="000755D1" w:rsidRPr="00514A92">
        <w:rPr>
          <w:rFonts w:cs="Arial"/>
          <w:sz w:val="20"/>
        </w:rPr>
        <w:t>,</w:t>
      </w:r>
      <w:r w:rsidR="00B04134" w:rsidRPr="00514A92">
        <w:rPr>
          <w:rFonts w:cs="Arial"/>
          <w:sz w:val="20"/>
        </w:rPr>
        <w:t xml:space="preserve"> it should be noted that instead of providing students with a sample text to observe, as genre-based pedagogies would commonly suggest, we deconstructed the text into a range of slips for students to place and assemble them in the correct order (see steps 1-4 </w:t>
      </w:r>
      <w:r w:rsidR="00FF69BB" w:rsidRPr="00514A92">
        <w:rPr>
          <w:rFonts w:cs="Arial"/>
          <w:sz w:val="20"/>
        </w:rPr>
        <w:t xml:space="preserve">within the Stage 3 </w:t>
      </w:r>
      <w:r w:rsidR="00B04134" w:rsidRPr="00514A92">
        <w:rPr>
          <w:rFonts w:cs="Arial"/>
          <w:sz w:val="20"/>
        </w:rPr>
        <w:t xml:space="preserve">above). </w:t>
      </w:r>
      <w:r w:rsidR="00CD3162" w:rsidRPr="00514A92">
        <w:rPr>
          <w:rFonts w:cs="Arial"/>
          <w:sz w:val="20"/>
        </w:rPr>
        <w:t>Based on our observation, this exercise provided an inclusive platform</w:t>
      </w:r>
      <w:r w:rsidR="00847BC2" w:rsidRPr="00514A92">
        <w:rPr>
          <w:rFonts w:cs="Arial"/>
          <w:sz w:val="20"/>
        </w:rPr>
        <w:t xml:space="preserve">, in keeping with the </w:t>
      </w:r>
      <w:r w:rsidR="008F57B8" w:rsidRPr="00514A92">
        <w:rPr>
          <w:rFonts w:cs="Arial"/>
          <w:sz w:val="20"/>
        </w:rPr>
        <w:t>A</w:t>
      </w:r>
      <w:r w:rsidR="00847BC2" w:rsidRPr="00514A92">
        <w:rPr>
          <w:rFonts w:cs="Arial"/>
          <w:sz w:val="20"/>
        </w:rPr>
        <w:t xml:space="preserve">cademic </w:t>
      </w:r>
      <w:r w:rsidR="008F57B8" w:rsidRPr="00514A92">
        <w:rPr>
          <w:rFonts w:cs="Arial"/>
          <w:sz w:val="20"/>
        </w:rPr>
        <w:t>L</w:t>
      </w:r>
      <w:r w:rsidR="00847BC2" w:rsidRPr="00514A92">
        <w:rPr>
          <w:rFonts w:cs="Arial"/>
          <w:sz w:val="20"/>
        </w:rPr>
        <w:t>iteracies</w:t>
      </w:r>
      <w:r w:rsidR="00637200" w:rsidRPr="00514A92">
        <w:rPr>
          <w:rFonts w:cs="Arial"/>
          <w:sz w:val="20"/>
        </w:rPr>
        <w:t>,</w:t>
      </w:r>
      <w:r w:rsidR="00847BC2" w:rsidRPr="00514A92">
        <w:rPr>
          <w:rFonts w:cs="Arial"/>
          <w:sz w:val="20"/>
        </w:rPr>
        <w:t xml:space="preserve"> </w:t>
      </w:r>
      <w:r w:rsidR="00CD3162" w:rsidRPr="00514A92">
        <w:rPr>
          <w:rFonts w:cs="Arial"/>
          <w:sz w:val="20"/>
        </w:rPr>
        <w:t>which encourage</w:t>
      </w:r>
      <w:r w:rsidR="0087139A" w:rsidRPr="00514A92">
        <w:rPr>
          <w:rFonts w:cs="Arial"/>
          <w:sz w:val="20"/>
        </w:rPr>
        <w:t>d</w:t>
      </w:r>
      <w:r w:rsidR="00CD3162" w:rsidRPr="00514A92">
        <w:rPr>
          <w:rFonts w:cs="Arial"/>
          <w:sz w:val="20"/>
        </w:rPr>
        <w:t xml:space="preserve"> students to contribute based on their existing knowledge and negotiate meanings with their peers in groups.</w:t>
      </w:r>
      <w:r w:rsidR="008A244E" w:rsidRPr="00514A92">
        <w:rPr>
          <w:rFonts w:cs="Arial"/>
          <w:sz w:val="20"/>
        </w:rPr>
        <w:t xml:space="preserve"> After this exercise, students</w:t>
      </w:r>
      <w:r w:rsidR="008F57B8" w:rsidRPr="00514A92">
        <w:rPr>
          <w:rFonts w:cs="Arial"/>
          <w:sz w:val="20"/>
        </w:rPr>
        <w:t xml:space="preserve"> </w:t>
      </w:r>
      <w:r w:rsidR="008A244E" w:rsidRPr="00514A92">
        <w:rPr>
          <w:rFonts w:cs="Arial"/>
          <w:sz w:val="20"/>
        </w:rPr>
        <w:t xml:space="preserve">acquired the rhetorical function of each section and built a full picture of the sample text. At this stage, we advised students to consolidate their learning by closely observing the </w:t>
      </w:r>
      <w:r w:rsidR="008F57B8" w:rsidRPr="00514A92">
        <w:rPr>
          <w:rFonts w:cs="Arial"/>
          <w:sz w:val="20"/>
        </w:rPr>
        <w:t xml:space="preserve">sample </w:t>
      </w:r>
      <w:r w:rsidR="008A244E" w:rsidRPr="00514A92">
        <w:rPr>
          <w:rFonts w:cs="Arial"/>
          <w:sz w:val="20"/>
        </w:rPr>
        <w:t>text extracts to grasp what each section should entail and how it c</w:t>
      </w:r>
      <w:r w:rsidR="0087139A" w:rsidRPr="00514A92">
        <w:rPr>
          <w:rFonts w:cs="Arial"/>
          <w:sz w:val="20"/>
        </w:rPr>
        <w:t>ould</w:t>
      </w:r>
      <w:r w:rsidR="008A244E" w:rsidRPr="00514A92">
        <w:rPr>
          <w:rFonts w:cs="Arial"/>
          <w:sz w:val="20"/>
        </w:rPr>
        <w:t xml:space="preserve"> be </w:t>
      </w:r>
      <w:r w:rsidR="001E61A0" w:rsidRPr="00514A92">
        <w:rPr>
          <w:rFonts w:cs="Arial"/>
          <w:sz w:val="20"/>
        </w:rPr>
        <w:t>produced in writing (i.e. genre-based modelling process). Stage 4 aim</w:t>
      </w:r>
      <w:r w:rsidR="008F57B8" w:rsidRPr="00514A92">
        <w:rPr>
          <w:rFonts w:cs="Arial"/>
          <w:sz w:val="20"/>
        </w:rPr>
        <w:t>ed</w:t>
      </w:r>
      <w:r w:rsidR="001E61A0" w:rsidRPr="00514A92">
        <w:rPr>
          <w:rFonts w:cs="Arial"/>
          <w:sz w:val="20"/>
        </w:rPr>
        <w:t xml:space="preserve"> to encourage students to apply the knowledge and skills acquired for independent construction for their coursework. The final stage</w:t>
      </w:r>
      <w:r w:rsidR="00DB520B" w:rsidRPr="00514A92">
        <w:rPr>
          <w:rFonts w:cs="Arial"/>
          <w:sz w:val="20"/>
        </w:rPr>
        <w:t xml:space="preserve"> </w:t>
      </w:r>
      <w:r w:rsidR="00FF69BB" w:rsidRPr="00514A92">
        <w:rPr>
          <w:rFonts w:cs="Arial"/>
          <w:sz w:val="20"/>
        </w:rPr>
        <w:t xml:space="preserve">intended </w:t>
      </w:r>
      <w:r w:rsidR="00DB520B" w:rsidRPr="00514A92">
        <w:rPr>
          <w:rFonts w:cs="Arial"/>
          <w:sz w:val="20"/>
        </w:rPr>
        <w:t>to close the learning loop with take-home messages and self-reflection</w:t>
      </w:r>
      <w:r w:rsidR="00FF69BB" w:rsidRPr="00514A92">
        <w:rPr>
          <w:rFonts w:cs="Arial"/>
          <w:sz w:val="20"/>
        </w:rPr>
        <w:t>, and indicated</w:t>
      </w:r>
      <w:r w:rsidR="0087139A" w:rsidRPr="00514A92">
        <w:rPr>
          <w:rFonts w:cs="Arial"/>
          <w:sz w:val="20"/>
        </w:rPr>
        <w:t xml:space="preserve"> the topic for the next writing session.</w:t>
      </w:r>
    </w:p>
    <w:p w14:paraId="669FAD08" w14:textId="77777777" w:rsidR="00677563" w:rsidRPr="00514A92" w:rsidRDefault="00677563"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75CEEEB9" w14:textId="3C7E9216" w:rsidR="001E545E" w:rsidRPr="00514A92" w:rsidRDefault="00EB2F99"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The example above addresses the </w:t>
      </w:r>
      <w:r w:rsidR="001E545E" w:rsidRPr="00514A92">
        <w:rPr>
          <w:rFonts w:cs="Arial"/>
          <w:sz w:val="20"/>
        </w:rPr>
        <w:t xml:space="preserve">challenges </w:t>
      </w:r>
      <w:r w:rsidR="00827A52" w:rsidRPr="00514A92">
        <w:rPr>
          <w:rFonts w:cs="Arial"/>
          <w:sz w:val="20"/>
        </w:rPr>
        <w:t xml:space="preserve">presented by </w:t>
      </w:r>
      <w:r w:rsidR="001E545E" w:rsidRPr="00514A92">
        <w:rPr>
          <w:rFonts w:cs="Arial"/>
          <w:sz w:val="20"/>
        </w:rPr>
        <w:t>the gaps between student</w:t>
      </w:r>
      <w:r w:rsidR="00827A52" w:rsidRPr="00514A92">
        <w:rPr>
          <w:rFonts w:cs="Arial"/>
          <w:sz w:val="20"/>
        </w:rPr>
        <w:t>s’ understanding</w:t>
      </w:r>
      <w:r w:rsidR="001E545E" w:rsidRPr="00514A92">
        <w:rPr>
          <w:rFonts w:cs="Arial"/>
          <w:sz w:val="20"/>
        </w:rPr>
        <w:t xml:space="preserve"> and academic expectations of academic writing.</w:t>
      </w:r>
      <w:r w:rsidR="00E14B65" w:rsidRPr="00514A92">
        <w:rPr>
          <w:rFonts w:cs="Arial"/>
          <w:sz w:val="20"/>
        </w:rPr>
        <w:t xml:space="preserve"> A</w:t>
      </w:r>
      <w:r w:rsidR="001E545E" w:rsidRPr="00514A92">
        <w:rPr>
          <w:rFonts w:cs="Arial"/>
          <w:sz w:val="20"/>
        </w:rPr>
        <w:t xml:space="preserve">ccording to Lea and Street (1998), </w:t>
      </w:r>
      <w:r w:rsidR="00E14B65" w:rsidRPr="00514A92">
        <w:rPr>
          <w:rFonts w:cs="Arial"/>
          <w:sz w:val="20"/>
        </w:rPr>
        <w:t>students might not be familiar with</w:t>
      </w:r>
      <w:r w:rsidR="00A96361" w:rsidRPr="00514A92">
        <w:rPr>
          <w:rFonts w:cs="Arial"/>
          <w:sz w:val="20"/>
        </w:rPr>
        <w:t xml:space="preserve"> the terminologies that academics often use for assessment practice such as ‘analysis’, ‘argument’ and ‘research proposal’, as in the case above. </w:t>
      </w:r>
      <w:r w:rsidR="001E545E" w:rsidRPr="00514A92">
        <w:rPr>
          <w:rFonts w:cs="Arial"/>
          <w:sz w:val="20"/>
        </w:rPr>
        <w:t xml:space="preserve">In other words, students may raise questions: </w:t>
      </w:r>
      <w:r w:rsidR="001E545E" w:rsidRPr="00514A92">
        <w:rPr>
          <w:rFonts w:cs="Arial"/>
          <w:i/>
          <w:sz w:val="20"/>
        </w:rPr>
        <w:t>What does it mean by ‘argument’ in academic writing?</w:t>
      </w:r>
      <w:r w:rsidR="001E545E" w:rsidRPr="00514A92">
        <w:rPr>
          <w:rFonts w:cs="Arial"/>
          <w:sz w:val="20"/>
        </w:rPr>
        <w:t xml:space="preserve"> </w:t>
      </w:r>
      <w:r w:rsidR="001E545E" w:rsidRPr="00514A92">
        <w:rPr>
          <w:rFonts w:cs="Arial"/>
          <w:i/>
          <w:sz w:val="20"/>
        </w:rPr>
        <w:t>What does it mean by analysing and evaluating academic sources?</w:t>
      </w:r>
      <w:r w:rsidR="001E545E" w:rsidRPr="00514A92">
        <w:rPr>
          <w:rFonts w:cs="Arial"/>
          <w:sz w:val="20"/>
        </w:rPr>
        <w:t xml:space="preserve"> </w:t>
      </w:r>
      <w:r w:rsidR="00A96361" w:rsidRPr="00514A92">
        <w:rPr>
          <w:rFonts w:cs="Arial"/>
          <w:i/>
          <w:sz w:val="20"/>
        </w:rPr>
        <w:t>What is research proposal writing?</w:t>
      </w:r>
      <w:r w:rsidR="00A96361" w:rsidRPr="00514A92">
        <w:rPr>
          <w:rFonts w:cs="Arial"/>
          <w:sz w:val="20"/>
        </w:rPr>
        <w:t xml:space="preserve"> </w:t>
      </w:r>
      <w:r w:rsidR="002A1513" w:rsidRPr="00514A92">
        <w:rPr>
          <w:rFonts w:cs="Arial"/>
          <w:sz w:val="20"/>
        </w:rPr>
        <w:t xml:space="preserve">The integration of genre-based and Academic Literacies approaches has </w:t>
      </w:r>
      <w:r w:rsidR="001E545E" w:rsidRPr="00514A92">
        <w:rPr>
          <w:rFonts w:cs="Arial"/>
          <w:sz w:val="20"/>
        </w:rPr>
        <w:t>provide</w:t>
      </w:r>
      <w:r w:rsidR="002A1513" w:rsidRPr="00514A92">
        <w:rPr>
          <w:rFonts w:cs="Arial"/>
          <w:sz w:val="20"/>
        </w:rPr>
        <w:t>d</w:t>
      </w:r>
      <w:r w:rsidR="001E545E" w:rsidRPr="00514A92">
        <w:rPr>
          <w:rFonts w:cs="Arial"/>
          <w:sz w:val="20"/>
        </w:rPr>
        <w:t xml:space="preserve"> opportunities for students to </w:t>
      </w:r>
      <w:r w:rsidR="002A1513" w:rsidRPr="00514A92">
        <w:rPr>
          <w:rFonts w:cs="Arial"/>
          <w:sz w:val="20"/>
        </w:rPr>
        <w:t>build on their prior knowledge and explore the academic concepts through negotiation and modelling.</w:t>
      </w:r>
    </w:p>
    <w:p w14:paraId="5FC663B7" w14:textId="583000CD" w:rsidR="007D4697" w:rsidRPr="00514A92" w:rsidRDefault="007D4697"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6C7C7828" w14:textId="154FD5B2" w:rsidR="0014368B" w:rsidRPr="00514A92" w:rsidRDefault="0014368B"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bookmarkStart w:id="2" w:name="_Toc469914311"/>
      <w:r w:rsidRPr="00514A92">
        <w:rPr>
          <w:rFonts w:cs="Arial"/>
          <w:b/>
          <w:sz w:val="22"/>
          <w:szCs w:val="22"/>
        </w:rPr>
        <w:t>3. Methodology</w:t>
      </w:r>
    </w:p>
    <w:p w14:paraId="32C5BF0B" w14:textId="77777777" w:rsidR="003F0453" w:rsidRPr="00514A92" w:rsidRDefault="003F0453"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7E1A8C3D" w14:textId="3E1DEBCC" w:rsidR="0014368B" w:rsidRPr="00514A92" w:rsidRDefault="003F0453" w:rsidP="00BD38D7">
      <w:pPr>
        <w:pStyle w:val="Normal0"/>
        <w:mirrorIndents/>
        <w:jc w:val="both"/>
        <w:rPr>
          <w:rFonts w:cs="Arial"/>
          <w:sz w:val="20"/>
        </w:rPr>
      </w:pPr>
      <w:r w:rsidRPr="00514A92">
        <w:rPr>
          <w:rFonts w:cs="Arial"/>
          <w:sz w:val="20"/>
        </w:rPr>
        <w:t>This paper draws on an exploratory study which looked into the impact of the embedded writing provision in a social science transitional module at a</w:t>
      </w:r>
      <w:r w:rsidR="003D2A0B" w:rsidRPr="00514A92">
        <w:rPr>
          <w:rFonts w:cs="Arial"/>
          <w:sz w:val="20"/>
        </w:rPr>
        <w:t xml:space="preserve"> UK-based</w:t>
      </w:r>
      <w:r w:rsidRPr="00514A92">
        <w:rPr>
          <w:rFonts w:cs="Arial"/>
          <w:sz w:val="20"/>
        </w:rPr>
        <w:t xml:space="preserve"> post-1992 university</w:t>
      </w:r>
      <w:r w:rsidR="00670D8E" w:rsidRPr="00514A92">
        <w:rPr>
          <w:rFonts w:cs="Arial"/>
          <w:sz w:val="20"/>
        </w:rPr>
        <w:t xml:space="preserve">. </w:t>
      </w:r>
      <w:r w:rsidR="000C02D4" w:rsidRPr="00514A92">
        <w:rPr>
          <w:rFonts w:cs="Arial"/>
          <w:sz w:val="20"/>
        </w:rPr>
        <w:t xml:space="preserve">Specifically, we are interested in how students perceive and respond to the embedded writing instruction in their programme of study. We also would like to explore whether our intervention has contributed to student attainment and academic literacy development, compared to the previous year when this intervention was not present. Data were collected between 2015 and 2016 and involved student focus group discussions, and student </w:t>
      </w:r>
      <w:r w:rsidR="0014368B" w:rsidRPr="00514A92">
        <w:rPr>
          <w:rFonts w:cs="Arial"/>
          <w:sz w:val="20"/>
        </w:rPr>
        <w:t>grades across assessments in the focal module</w:t>
      </w:r>
      <w:r w:rsidR="003E056E" w:rsidRPr="00514A92">
        <w:rPr>
          <w:rFonts w:cs="Arial"/>
          <w:sz w:val="20"/>
        </w:rPr>
        <w:t xml:space="preserve"> in </w:t>
      </w:r>
      <w:r w:rsidR="0014368B" w:rsidRPr="00514A92">
        <w:rPr>
          <w:rFonts w:cs="Arial"/>
          <w:sz w:val="20"/>
        </w:rPr>
        <w:t xml:space="preserve">2015-16 </w:t>
      </w:r>
      <w:r w:rsidR="003E056E" w:rsidRPr="00514A92">
        <w:rPr>
          <w:rFonts w:cs="Arial"/>
          <w:sz w:val="20"/>
        </w:rPr>
        <w:t>(</w:t>
      </w:r>
      <w:r w:rsidR="0014368B" w:rsidRPr="00514A92">
        <w:rPr>
          <w:rFonts w:cs="Arial"/>
          <w:sz w:val="20"/>
        </w:rPr>
        <w:t>with writing intervention</w:t>
      </w:r>
      <w:r w:rsidR="000C02D4" w:rsidRPr="00514A92">
        <w:rPr>
          <w:rFonts w:cs="Arial"/>
          <w:sz w:val="20"/>
        </w:rPr>
        <w:t>) and 2014-15 (without writing intervention)</w:t>
      </w:r>
      <w:r w:rsidR="0014368B" w:rsidRPr="00514A92">
        <w:rPr>
          <w:rFonts w:cs="Arial"/>
          <w:sz w:val="20"/>
        </w:rPr>
        <w:t>. In this study, student grades</w:t>
      </w:r>
      <w:r w:rsidR="003E056E" w:rsidRPr="00514A92">
        <w:rPr>
          <w:rFonts w:cs="Arial"/>
          <w:sz w:val="20"/>
        </w:rPr>
        <w:t xml:space="preserve"> data were </w:t>
      </w:r>
      <w:r w:rsidR="0014368B" w:rsidRPr="00514A92">
        <w:rPr>
          <w:rFonts w:cs="Arial"/>
          <w:sz w:val="20"/>
        </w:rPr>
        <w:t>taken as subsidiary data to complement the discussion drawing mostly on student focus group</w:t>
      </w:r>
      <w:r w:rsidR="003D2A0B" w:rsidRPr="00514A92">
        <w:rPr>
          <w:rFonts w:cs="Arial"/>
          <w:sz w:val="20"/>
        </w:rPr>
        <w:t>s</w:t>
      </w:r>
      <w:r w:rsidR="0014368B" w:rsidRPr="00514A92">
        <w:rPr>
          <w:rFonts w:cs="Arial"/>
          <w:sz w:val="20"/>
        </w:rPr>
        <w:t>.</w:t>
      </w:r>
    </w:p>
    <w:p w14:paraId="5B830E26" w14:textId="77777777" w:rsidR="0014368B"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4DC2A9BC" w14:textId="373EA50C" w:rsidR="0014368B"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For the focus groups, we recruited students who were, at the time of this research, studying in the focal module where we had embedded our writing support.</w:t>
      </w:r>
      <w:r w:rsidR="0030721B" w:rsidRPr="00514A92">
        <w:rPr>
          <w:rFonts w:cs="Arial"/>
          <w:sz w:val="20"/>
        </w:rPr>
        <w:t xml:space="preserve"> </w:t>
      </w:r>
      <w:r w:rsidRPr="00514A92">
        <w:rPr>
          <w:rFonts w:cs="Arial"/>
          <w:sz w:val="20"/>
        </w:rPr>
        <w:t>The information sheet concerning the details pertinent to the purpose of the research and what might be asked of the students in the research process was given in class.</w:t>
      </w:r>
      <w:r w:rsidR="0030721B" w:rsidRPr="00514A92">
        <w:rPr>
          <w:rFonts w:cs="Arial"/>
          <w:sz w:val="20"/>
        </w:rPr>
        <w:t xml:space="preserve"> As the involvement in this project was voluntary, students were notified that they would not be disadvantaged should they decide not to participate in the discussions. </w:t>
      </w:r>
      <w:r w:rsidRPr="00514A92">
        <w:rPr>
          <w:rFonts w:cs="Arial"/>
          <w:sz w:val="20"/>
        </w:rPr>
        <w:t xml:space="preserve">There </w:t>
      </w:r>
      <w:r w:rsidR="0030721B" w:rsidRPr="00514A92">
        <w:rPr>
          <w:rFonts w:cs="Arial"/>
          <w:sz w:val="20"/>
        </w:rPr>
        <w:t>was</w:t>
      </w:r>
      <w:r w:rsidRPr="00514A92">
        <w:rPr>
          <w:rFonts w:cs="Arial"/>
          <w:sz w:val="20"/>
        </w:rPr>
        <w:t xml:space="preserve"> a </w:t>
      </w:r>
      <w:r w:rsidRPr="00514A92">
        <w:rPr>
          <w:rFonts w:cs="Arial"/>
          <w:noProof/>
          <w:sz w:val="20"/>
        </w:rPr>
        <w:t>total</w:t>
      </w:r>
      <w:r w:rsidRPr="00514A92">
        <w:rPr>
          <w:rFonts w:cs="Arial"/>
          <w:sz w:val="20"/>
        </w:rPr>
        <w:t xml:space="preserve"> of 55 students regularly present in the course (excluding ‘withdrawn for non-attendance’) where we recruited 41, which was more than half of the whole cohort. In terms of the grouping </w:t>
      </w:r>
      <w:r w:rsidRPr="00514A92">
        <w:rPr>
          <w:rFonts w:cs="Arial"/>
          <w:noProof/>
          <w:sz w:val="20"/>
        </w:rPr>
        <w:t>for</w:t>
      </w:r>
      <w:r w:rsidRPr="00514A92">
        <w:rPr>
          <w:rFonts w:cs="Arial"/>
          <w:sz w:val="20"/>
        </w:rPr>
        <w:t xml:space="preserve"> focus groups, we were initially thinking of having groups of</w:t>
      </w:r>
      <w:r w:rsidR="003E056E" w:rsidRPr="00514A92">
        <w:rPr>
          <w:rFonts w:cs="Arial"/>
          <w:sz w:val="20"/>
        </w:rPr>
        <w:t xml:space="preserve"> 6</w:t>
      </w:r>
      <w:r w:rsidRPr="00514A92">
        <w:rPr>
          <w:rFonts w:cs="Arial"/>
          <w:sz w:val="20"/>
        </w:rPr>
        <w:t xml:space="preserve">. However, due to student availability and our capacity, students who had expressed their interest in participating were grouped ranged from </w:t>
      </w:r>
      <w:r w:rsidR="003E056E" w:rsidRPr="00514A92">
        <w:rPr>
          <w:rFonts w:cs="Arial"/>
          <w:sz w:val="20"/>
        </w:rPr>
        <w:t xml:space="preserve">3 – </w:t>
      </w:r>
      <w:r w:rsidRPr="00514A92">
        <w:rPr>
          <w:rFonts w:cs="Arial"/>
          <w:sz w:val="20"/>
        </w:rPr>
        <w:t>6, which results in a total of 1</w:t>
      </w:r>
      <w:r w:rsidR="00753901" w:rsidRPr="00514A92">
        <w:rPr>
          <w:rFonts w:cs="Arial"/>
          <w:sz w:val="20"/>
        </w:rPr>
        <w:t>0</w:t>
      </w:r>
      <w:r w:rsidRPr="00514A92">
        <w:rPr>
          <w:rFonts w:cs="Arial"/>
          <w:sz w:val="20"/>
        </w:rPr>
        <w:t xml:space="preserve"> sessions</w:t>
      </w:r>
      <w:r w:rsidR="00FA2004" w:rsidRPr="00514A92">
        <w:rPr>
          <w:rFonts w:cs="Arial"/>
          <w:sz w:val="20"/>
        </w:rPr>
        <w:t xml:space="preserve"> (Focus group A – J)</w:t>
      </w:r>
      <w:r w:rsidRPr="00514A92">
        <w:rPr>
          <w:rFonts w:cs="Arial"/>
          <w:sz w:val="20"/>
        </w:rPr>
        <w:t>. On the day of the discussions, students were asked to read and sign the consent form, and agree to be audio-recorded. A statement about confidentiality was brought to the attention of all the participants at the beginning of the discussions to minimise their concerns. Each discussion lasted between 45 and 90 minutes and was audio-recorded.</w:t>
      </w:r>
    </w:p>
    <w:p w14:paraId="3FF67AA5" w14:textId="77777777" w:rsidR="0014368B"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24E08BF3" w14:textId="66D10CDF" w:rsidR="00186A5F" w:rsidRPr="00514A92" w:rsidRDefault="0014368B" w:rsidP="00AB4EB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For our data analysis, student focus group discussions were transcribed verbatim for analysis. We </w:t>
      </w:r>
      <w:r w:rsidR="00C92275" w:rsidRPr="00514A92">
        <w:rPr>
          <w:rFonts w:cs="Arial"/>
          <w:sz w:val="20"/>
        </w:rPr>
        <w:t>analysed</w:t>
      </w:r>
      <w:r w:rsidRPr="00514A92">
        <w:rPr>
          <w:rFonts w:cs="Arial"/>
          <w:sz w:val="20"/>
        </w:rPr>
        <w:t xml:space="preserve"> the discussions using </w:t>
      </w:r>
      <w:r w:rsidRPr="00514A92">
        <w:rPr>
          <w:rFonts w:cs="Arial"/>
          <w:i/>
          <w:sz w:val="20"/>
        </w:rPr>
        <w:t>NVivo 1</w:t>
      </w:r>
      <w:r w:rsidR="00560A6B" w:rsidRPr="00514A92">
        <w:rPr>
          <w:rFonts w:cs="Arial"/>
          <w:i/>
          <w:sz w:val="20"/>
        </w:rPr>
        <w:t>1</w:t>
      </w:r>
      <w:r w:rsidRPr="00514A92">
        <w:rPr>
          <w:rFonts w:cs="Arial"/>
          <w:sz w:val="20"/>
        </w:rPr>
        <w:t xml:space="preserve"> to help sort and </w:t>
      </w:r>
      <w:r w:rsidRPr="00514A92">
        <w:rPr>
          <w:rFonts w:cs="Arial"/>
          <w:noProof/>
          <w:sz w:val="20"/>
        </w:rPr>
        <w:t>organise</w:t>
      </w:r>
      <w:r w:rsidRPr="00514A92">
        <w:rPr>
          <w:rFonts w:cs="Arial"/>
          <w:sz w:val="20"/>
        </w:rPr>
        <w:t xml:space="preserve"> data systematically, with the aim of </w:t>
      </w:r>
      <w:r w:rsidRPr="00514A92">
        <w:rPr>
          <w:rFonts w:cs="Arial"/>
          <w:sz w:val="20"/>
        </w:rPr>
        <w:lastRenderedPageBreak/>
        <w:t>identifying recurring</w:t>
      </w:r>
      <w:r w:rsidR="0030721B" w:rsidRPr="00514A92">
        <w:rPr>
          <w:rFonts w:cs="Arial"/>
          <w:sz w:val="20"/>
        </w:rPr>
        <w:t xml:space="preserve"> and </w:t>
      </w:r>
      <w:r w:rsidRPr="00514A92">
        <w:rPr>
          <w:rFonts w:cs="Arial"/>
          <w:sz w:val="20"/>
        </w:rPr>
        <w:t>significant concepts in relation to student views of our academic writing provision and their experience of writing in the foundation programme.</w:t>
      </w:r>
      <w:r w:rsidR="00753901" w:rsidRPr="00514A92">
        <w:rPr>
          <w:rFonts w:cs="Arial"/>
          <w:sz w:val="20"/>
        </w:rPr>
        <w:t xml:space="preserve"> </w:t>
      </w:r>
      <w:r w:rsidRPr="00514A92">
        <w:rPr>
          <w:rFonts w:cs="Arial"/>
          <w:sz w:val="20"/>
        </w:rPr>
        <w:t xml:space="preserve">Once the initial themes </w:t>
      </w:r>
      <w:r w:rsidR="00204811" w:rsidRPr="00514A92">
        <w:rPr>
          <w:rFonts w:cs="Arial"/>
          <w:sz w:val="20"/>
        </w:rPr>
        <w:t>were</w:t>
      </w:r>
      <w:r w:rsidRPr="00514A92">
        <w:rPr>
          <w:rFonts w:cs="Arial"/>
          <w:sz w:val="20"/>
        </w:rPr>
        <w:t xml:space="preserve"> identified, we applied a process of “identifying links between categories, grouping them thematically and then sorting them according to different levels of generality” to develop “a hierarchy of main and subthemes”</w:t>
      </w:r>
      <w:r w:rsidR="00FB1F02" w:rsidRPr="00514A92">
        <w:rPr>
          <w:rFonts w:cs="Arial"/>
          <w:sz w:val="20"/>
        </w:rPr>
        <w:t xml:space="preserve"> (Ritchie, Spencer, &amp; O'Connor </w:t>
      </w:r>
      <w:r w:rsidRPr="00514A92">
        <w:rPr>
          <w:rFonts w:cs="Arial"/>
          <w:sz w:val="20"/>
        </w:rPr>
        <w:t>2003</w:t>
      </w:r>
      <w:r w:rsidR="00FB1F02" w:rsidRPr="00514A92">
        <w:rPr>
          <w:rFonts w:cs="Arial"/>
          <w:sz w:val="20"/>
        </w:rPr>
        <w:t>:</w:t>
      </w:r>
      <w:r w:rsidRPr="00514A92">
        <w:rPr>
          <w:rFonts w:cs="Arial"/>
          <w:sz w:val="20"/>
        </w:rPr>
        <w:t xml:space="preserve"> 222).</w:t>
      </w:r>
      <w:r w:rsidR="00753901" w:rsidRPr="00514A92">
        <w:rPr>
          <w:rFonts w:cs="Arial"/>
          <w:sz w:val="20"/>
        </w:rPr>
        <w:t xml:space="preserve"> </w:t>
      </w:r>
      <w:r w:rsidRPr="00514A92">
        <w:rPr>
          <w:rFonts w:cs="Arial"/>
          <w:sz w:val="20"/>
        </w:rPr>
        <w:t xml:space="preserve">To enhance its inter-rater reliability, we both </w:t>
      </w:r>
      <w:r w:rsidR="00C92275" w:rsidRPr="00514A92">
        <w:rPr>
          <w:rFonts w:cs="Arial"/>
          <w:sz w:val="20"/>
        </w:rPr>
        <w:t>analysed</w:t>
      </w:r>
      <w:r w:rsidRPr="00514A92">
        <w:rPr>
          <w:rFonts w:cs="Arial"/>
          <w:sz w:val="20"/>
        </w:rPr>
        <w:t xml:space="preserve"> three pieces of focus group discussions </w:t>
      </w:r>
      <w:r w:rsidRPr="00514A92">
        <w:rPr>
          <w:rFonts w:cs="Arial"/>
          <w:noProof/>
          <w:sz w:val="20"/>
        </w:rPr>
        <w:t>respectively,</w:t>
      </w:r>
      <w:r w:rsidRPr="00514A92">
        <w:rPr>
          <w:rFonts w:cs="Arial"/>
          <w:sz w:val="20"/>
        </w:rPr>
        <w:t xml:space="preserve"> and compared and discussed our </w:t>
      </w:r>
      <w:r w:rsidR="00C92275" w:rsidRPr="00514A92">
        <w:rPr>
          <w:rFonts w:cs="Arial"/>
          <w:sz w:val="20"/>
        </w:rPr>
        <w:t>thematic</w:t>
      </w:r>
      <w:r w:rsidRPr="00514A92">
        <w:rPr>
          <w:rFonts w:cs="Arial"/>
          <w:sz w:val="20"/>
        </w:rPr>
        <w:t xml:space="preserve"> categories to make sure the data </w:t>
      </w:r>
      <w:r w:rsidR="00C92275" w:rsidRPr="00514A92">
        <w:rPr>
          <w:rFonts w:cs="Arial"/>
          <w:sz w:val="20"/>
        </w:rPr>
        <w:t>analysis was consistent.</w:t>
      </w:r>
      <w:r w:rsidR="001767BA" w:rsidRPr="00514A92">
        <w:rPr>
          <w:rFonts w:cs="Arial"/>
          <w:sz w:val="20"/>
        </w:rPr>
        <w:t xml:space="preserve"> </w:t>
      </w:r>
      <w:r w:rsidRPr="00514A92">
        <w:rPr>
          <w:rFonts w:cs="Arial"/>
          <w:sz w:val="20"/>
        </w:rPr>
        <w:t>Based on th</w:t>
      </w:r>
      <w:r w:rsidR="00204811" w:rsidRPr="00514A92">
        <w:rPr>
          <w:rFonts w:cs="Arial"/>
          <w:sz w:val="20"/>
        </w:rPr>
        <w:t>is</w:t>
      </w:r>
      <w:r w:rsidRPr="00514A92">
        <w:rPr>
          <w:rFonts w:cs="Arial"/>
          <w:sz w:val="20"/>
        </w:rPr>
        <w:t xml:space="preserve"> thematic analysis, we derived </w:t>
      </w:r>
      <w:r w:rsidR="001767BA" w:rsidRPr="00514A92">
        <w:rPr>
          <w:rFonts w:cs="Arial"/>
          <w:sz w:val="20"/>
        </w:rPr>
        <w:t>clusters of data around student views towards</w:t>
      </w:r>
      <w:r w:rsidR="00141F84" w:rsidRPr="00514A92">
        <w:rPr>
          <w:rFonts w:cs="Arial"/>
          <w:sz w:val="20"/>
        </w:rPr>
        <w:t xml:space="preserve"> the</w:t>
      </w:r>
      <w:r w:rsidR="001767BA" w:rsidRPr="00514A92">
        <w:rPr>
          <w:rFonts w:cs="Arial"/>
          <w:sz w:val="20"/>
        </w:rPr>
        <w:t xml:space="preserve"> </w:t>
      </w:r>
      <w:r w:rsidR="001767BA" w:rsidRPr="00514A92">
        <w:rPr>
          <w:rFonts w:cs="Arial"/>
          <w:noProof/>
          <w:sz w:val="20"/>
        </w:rPr>
        <w:t>relevance</w:t>
      </w:r>
      <w:r w:rsidR="001767BA" w:rsidRPr="00514A92">
        <w:rPr>
          <w:rFonts w:cs="Arial"/>
          <w:sz w:val="20"/>
        </w:rPr>
        <w:t xml:space="preserve"> of the provision, the increase in confidence as writers and learners and different learning needs and styles.</w:t>
      </w:r>
      <w:r w:rsidR="003E12BF" w:rsidRPr="00514A92">
        <w:rPr>
          <w:rFonts w:cs="Arial"/>
          <w:sz w:val="20"/>
        </w:rPr>
        <w:t xml:space="preserve"> </w:t>
      </w:r>
      <w:r w:rsidRPr="00514A92">
        <w:rPr>
          <w:rFonts w:cs="Arial"/>
          <w:sz w:val="20"/>
        </w:rPr>
        <w:t>For the data of student grades</w:t>
      </w:r>
      <w:r w:rsidR="00186A5F" w:rsidRPr="00514A92">
        <w:rPr>
          <w:rFonts w:cs="Arial"/>
          <w:sz w:val="20"/>
        </w:rPr>
        <w:t xml:space="preserve"> across academic years</w:t>
      </w:r>
      <w:r w:rsidRPr="00514A92">
        <w:rPr>
          <w:rFonts w:cs="Arial"/>
          <w:sz w:val="20"/>
        </w:rPr>
        <w:t>,</w:t>
      </w:r>
      <w:r w:rsidR="00186A5F" w:rsidRPr="00514A92">
        <w:rPr>
          <w:rFonts w:cs="Arial"/>
          <w:sz w:val="20"/>
        </w:rPr>
        <w:t xml:space="preserve"> </w:t>
      </w:r>
      <w:r w:rsidRPr="00514A92">
        <w:rPr>
          <w:rFonts w:cs="Arial"/>
          <w:sz w:val="20"/>
        </w:rPr>
        <w:t xml:space="preserve">obtained from the </w:t>
      </w:r>
      <w:r w:rsidR="00186A5F" w:rsidRPr="00514A92">
        <w:rPr>
          <w:rFonts w:cs="Arial"/>
          <w:sz w:val="20"/>
        </w:rPr>
        <w:t>module</w:t>
      </w:r>
      <w:r w:rsidRPr="00514A92">
        <w:rPr>
          <w:rFonts w:cs="Arial"/>
          <w:sz w:val="20"/>
        </w:rPr>
        <w:t xml:space="preserve"> leader, we aimed to explore and compare the relative progress between Coursework 1 (</w:t>
      </w:r>
      <w:r w:rsidR="00753901" w:rsidRPr="00514A92">
        <w:rPr>
          <w:rFonts w:cs="Arial"/>
          <w:sz w:val="20"/>
        </w:rPr>
        <w:t>r</w:t>
      </w:r>
      <w:r w:rsidRPr="00514A92">
        <w:rPr>
          <w:rFonts w:cs="Arial"/>
          <w:sz w:val="20"/>
        </w:rPr>
        <w:t>esearch proposal) and Coursework 2 (</w:t>
      </w:r>
      <w:r w:rsidR="00753901" w:rsidRPr="00514A92">
        <w:rPr>
          <w:rFonts w:cs="Arial"/>
          <w:sz w:val="20"/>
        </w:rPr>
        <w:t>r</w:t>
      </w:r>
      <w:r w:rsidRPr="00514A92">
        <w:rPr>
          <w:rFonts w:cs="Arial"/>
          <w:sz w:val="20"/>
        </w:rPr>
        <w:t xml:space="preserve">esearch report) in the focal </w:t>
      </w:r>
      <w:r w:rsidR="00186A5F" w:rsidRPr="00514A92">
        <w:rPr>
          <w:rFonts w:cs="Arial"/>
          <w:sz w:val="20"/>
        </w:rPr>
        <w:t xml:space="preserve">research </w:t>
      </w:r>
      <w:r w:rsidRPr="00514A92">
        <w:rPr>
          <w:rFonts w:cs="Arial"/>
          <w:sz w:val="20"/>
        </w:rPr>
        <w:t>module.</w:t>
      </w:r>
      <w:r w:rsidR="002027EA" w:rsidRPr="00514A92">
        <w:rPr>
          <w:rFonts w:cs="Arial"/>
          <w:sz w:val="20"/>
        </w:rPr>
        <w:t xml:space="preserve"> Specifically, we average</w:t>
      </w:r>
      <w:r w:rsidR="00034CD2" w:rsidRPr="00514A92">
        <w:rPr>
          <w:rFonts w:cs="Arial"/>
          <w:sz w:val="20"/>
        </w:rPr>
        <w:t>d</w:t>
      </w:r>
      <w:r w:rsidR="002027EA" w:rsidRPr="00514A92">
        <w:rPr>
          <w:rFonts w:cs="Arial"/>
          <w:sz w:val="20"/>
        </w:rPr>
        <w:t xml:space="preserve"> the relative progress </w:t>
      </w:r>
      <w:r w:rsidR="002027EA" w:rsidRPr="00514A92">
        <w:rPr>
          <w:rFonts w:cs="Arial"/>
          <w:noProof/>
          <w:sz w:val="20"/>
        </w:rPr>
        <w:t>between</w:t>
      </w:r>
      <w:r w:rsidR="002027EA" w:rsidRPr="00514A92">
        <w:rPr>
          <w:rFonts w:cs="Arial"/>
          <w:sz w:val="20"/>
        </w:rPr>
        <w:t xml:space="preserve"> the two assignments across 2014-15 and 2015-16, aiming to gauge to what extent has the embedded writing provision contributed to students’ attainment.</w:t>
      </w:r>
      <w:r w:rsidR="00AB4EB9" w:rsidRPr="00514A92">
        <w:rPr>
          <w:rFonts w:cs="Arial"/>
          <w:sz w:val="20"/>
        </w:rPr>
        <w:t xml:space="preserve"> However, we are aware that a limitation to this comparison between the two years is the existence of many other variables, such as the differences in student number or </w:t>
      </w:r>
      <w:r w:rsidR="00A951FF" w:rsidRPr="00514A92">
        <w:rPr>
          <w:rFonts w:cs="Arial"/>
          <w:sz w:val="20"/>
        </w:rPr>
        <w:t xml:space="preserve">students’ </w:t>
      </w:r>
      <w:r w:rsidR="00AB4EB9" w:rsidRPr="00514A92">
        <w:rPr>
          <w:rFonts w:cs="Arial"/>
          <w:sz w:val="20"/>
        </w:rPr>
        <w:t>demographic information that might complicate the attempt to draw a direct link between the increase in attainment and our intervention.</w:t>
      </w:r>
      <w:r w:rsidR="00AB4EB9" w:rsidRPr="00514A92" w:rsidDel="00AB4EB9">
        <w:rPr>
          <w:rStyle w:val="CommentReference"/>
          <w:rFonts w:eastAsiaTheme="minorHAnsi" w:cs="Arial"/>
          <w:lang w:eastAsia="en-US"/>
        </w:rPr>
        <w:t xml:space="preserve"> </w:t>
      </w:r>
    </w:p>
    <w:p w14:paraId="41B27D96" w14:textId="286F7D1F" w:rsidR="0014368B" w:rsidRPr="00514A92" w:rsidRDefault="0014368B" w:rsidP="00AB4EB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37499CF4" w14:textId="77777777" w:rsidR="00527EB0" w:rsidRPr="00514A92" w:rsidRDefault="0014368B" w:rsidP="00AB4EB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r w:rsidRPr="00514A92">
        <w:rPr>
          <w:rFonts w:cs="Arial"/>
          <w:b/>
          <w:sz w:val="22"/>
          <w:szCs w:val="22"/>
        </w:rPr>
        <w:t>4. Key findings and discussion</w:t>
      </w:r>
    </w:p>
    <w:p w14:paraId="6C21079E" w14:textId="77777777" w:rsidR="00527EB0" w:rsidRPr="00514A92" w:rsidRDefault="00527EB0" w:rsidP="00AB4EB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64C1353D" w14:textId="7DE60555" w:rsidR="0014368B" w:rsidRPr="00514A92" w:rsidRDefault="0014368B" w:rsidP="00AB4EB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The focus group discussions suggest that most of the students considered the academic writing provision</w:t>
      </w:r>
      <w:r w:rsidR="0037635C" w:rsidRPr="00514A92">
        <w:rPr>
          <w:rFonts w:cs="Arial"/>
          <w:sz w:val="20"/>
        </w:rPr>
        <w:t xml:space="preserve"> within the subject curriculum</w:t>
      </w:r>
      <w:r w:rsidRPr="00514A92">
        <w:rPr>
          <w:rFonts w:cs="Arial"/>
          <w:sz w:val="20"/>
        </w:rPr>
        <w:t xml:space="preserve"> very useful and relevant to their studies, which helped to ease their transition to higher education. They associated the usefulness and relevance of the provision with a </w:t>
      </w:r>
      <w:r w:rsidRPr="00514A92">
        <w:rPr>
          <w:rFonts w:cs="Arial"/>
          <w:b/>
          <w:sz w:val="20"/>
        </w:rPr>
        <w:t xml:space="preserve">direct </w:t>
      </w:r>
      <w:r w:rsidR="004F0BF7" w:rsidRPr="00514A92">
        <w:rPr>
          <w:rFonts w:cs="Arial"/>
          <w:b/>
          <w:sz w:val="20"/>
        </w:rPr>
        <w:t>connection</w:t>
      </w:r>
      <w:r w:rsidRPr="00514A92">
        <w:rPr>
          <w:rFonts w:cs="Arial"/>
          <w:b/>
          <w:sz w:val="20"/>
        </w:rPr>
        <w:t xml:space="preserve"> with module assessments</w:t>
      </w:r>
      <w:r w:rsidRPr="00514A92">
        <w:rPr>
          <w:rFonts w:cs="Arial"/>
          <w:sz w:val="20"/>
        </w:rPr>
        <w:t xml:space="preserve">. For example, </w:t>
      </w:r>
      <w:r w:rsidR="004F0BF7" w:rsidRPr="00514A92">
        <w:rPr>
          <w:rFonts w:cs="Arial"/>
          <w:sz w:val="20"/>
        </w:rPr>
        <w:t>most of the</w:t>
      </w:r>
      <w:r w:rsidRPr="00514A92">
        <w:rPr>
          <w:rFonts w:cs="Arial"/>
          <w:sz w:val="20"/>
        </w:rPr>
        <w:t xml:space="preserve"> </w:t>
      </w:r>
      <w:r w:rsidR="004F0BF7" w:rsidRPr="00514A92">
        <w:rPr>
          <w:rFonts w:cs="Arial"/>
          <w:sz w:val="20"/>
        </w:rPr>
        <w:t>focus groups</w:t>
      </w:r>
      <w:r w:rsidRPr="00514A92">
        <w:rPr>
          <w:rFonts w:cs="Arial"/>
          <w:sz w:val="20"/>
        </w:rPr>
        <w:t xml:space="preserve"> (</w:t>
      </w:r>
      <w:r w:rsidR="00B80E6E" w:rsidRPr="00514A92">
        <w:rPr>
          <w:rFonts w:cs="Arial"/>
          <w:sz w:val="20"/>
        </w:rPr>
        <w:t>8</w:t>
      </w:r>
      <w:r w:rsidR="00560A6B" w:rsidRPr="00514A92">
        <w:rPr>
          <w:rFonts w:cs="Arial"/>
          <w:sz w:val="20"/>
        </w:rPr>
        <w:t xml:space="preserve"> out of </w:t>
      </w:r>
      <w:r w:rsidR="00B80E6E" w:rsidRPr="00514A92">
        <w:rPr>
          <w:rFonts w:cs="Arial"/>
          <w:sz w:val="20"/>
        </w:rPr>
        <w:t>10</w:t>
      </w:r>
      <w:r w:rsidRPr="00514A92">
        <w:rPr>
          <w:rFonts w:cs="Arial"/>
          <w:sz w:val="20"/>
        </w:rPr>
        <w:t xml:space="preserve">) expressed how the academic writing </w:t>
      </w:r>
      <w:r w:rsidR="004F0BF7" w:rsidRPr="00514A92">
        <w:rPr>
          <w:rFonts w:cs="Arial"/>
          <w:sz w:val="20"/>
        </w:rPr>
        <w:t xml:space="preserve">provision </w:t>
      </w:r>
      <w:r w:rsidRPr="00514A92">
        <w:rPr>
          <w:rFonts w:cs="Arial"/>
          <w:sz w:val="20"/>
        </w:rPr>
        <w:t xml:space="preserve">connected to their </w:t>
      </w:r>
      <w:r w:rsidR="004F0BF7" w:rsidRPr="00514A92">
        <w:rPr>
          <w:rFonts w:cs="Arial"/>
          <w:sz w:val="20"/>
        </w:rPr>
        <w:t xml:space="preserve">subject </w:t>
      </w:r>
      <w:r w:rsidRPr="00514A92">
        <w:rPr>
          <w:rFonts w:cs="Arial"/>
          <w:sz w:val="20"/>
        </w:rPr>
        <w:t xml:space="preserve">lectures and helped them to unpack the lecturer expectations of the assessments. </w:t>
      </w:r>
      <w:r w:rsidR="004F0BF7" w:rsidRPr="00514A92">
        <w:rPr>
          <w:rFonts w:cs="Arial"/>
          <w:sz w:val="20"/>
        </w:rPr>
        <w:t>Some</w:t>
      </w:r>
      <w:r w:rsidRPr="00514A92">
        <w:rPr>
          <w:rFonts w:cs="Arial"/>
          <w:sz w:val="20"/>
        </w:rPr>
        <w:t xml:space="preserve"> student</w:t>
      </w:r>
      <w:r w:rsidR="004F0BF7" w:rsidRPr="00514A92">
        <w:rPr>
          <w:rFonts w:cs="Arial"/>
          <w:sz w:val="20"/>
        </w:rPr>
        <w:t>s</w:t>
      </w:r>
      <w:r w:rsidRPr="00514A92">
        <w:rPr>
          <w:rFonts w:cs="Arial"/>
          <w:sz w:val="20"/>
        </w:rPr>
        <w:t xml:space="preserve">, for example, described the sessions as </w:t>
      </w:r>
      <w:r w:rsidR="004F0BF7" w:rsidRPr="00514A92">
        <w:rPr>
          <w:rFonts w:cs="Arial"/>
          <w:sz w:val="20"/>
        </w:rPr>
        <w:t>“</w:t>
      </w:r>
      <w:r w:rsidRPr="00514A92">
        <w:rPr>
          <w:rFonts w:cs="Arial"/>
          <w:sz w:val="20"/>
        </w:rPr>
        <w:t>a continuation, an expansion, of the actual lectures</w:t>
      </w:r>
      <w:r w:rsidR="004F0BF7" w:rsidRPr="00514A92">
        <w:rPr>
          <w:rFonts w:cs="Arial"/>
          <w:sz w:val="20"/>
        </w:rPr>
        <w:t>”</w:t>
      </w:r>
      <w:r w:rsidRPr="00514A92">
        <w:rPr>
          <w:rFonts w:cs="Arial"/>
          <w:sz w:val="20"/>
        </w:rPr>
        <w:t xml:space="preserve"> (Focus Group</w:t>
      </w:r>
      <w:r w:rsidR="00B80E6E" w:rsidRPr="00514A92">
        <w:rPr>
          <w:rFonts w:cs="Arial"/>
          <w:sz w:val="20"/>
        </w:rPr>
        <w:t xml:space="preserve"> J</w:t>
      </w:r>
      <w:r w:rsidRPr="00514A92">
        <w:rPr>
          <w:rFonts w:cs="Arial"/>
          <w:sz w:val="20"/>
        </w:rPr>
        <w:t>)</w:t>
      </w:r>
      <w:r w:rsidR="005C5492" w:rsidRPr="00514A92">
        <w:rPr>
          <w:rFonts w:cs="Arial"/>
          <w:sz w:val="20"/>
        </w:rPr>
        <w:t xml:space="preserve">, </w:t>
      </w:r>
      <w:r w:rsidRPr="00514A92">
        <w:rPr>
          <w:rFonts w:cs="Arial"/>
          <w:sz w:val="20"/>
        </w:rPr>
        <w:t xml:space="preserve">suggesting a close connection between the academic writing </w:t>
      </w:r>
      <w:r w:rsidR="005C5492" w:rsidRPr="00514A92">
        <w:rPr>
          <w:rFonts w:cs="Arial"/>
          <w:sz w:val="20"/>
        </w:rPr>
        <w:t>provision</w:t>
      </w:r>
      <w:r w:rsidRPr="00514A92">
        <w:rPr>
          <w:rFonts w:cs="Arial"/>
          <w:sz w:val="20"/>
        </w:rPr>
        <w:t xml:space="preserve"> and the subject lectures. </w:t>
      </w:r>
    </w:p>
    <w:p w14:paraId="632452B4" w14:textId="77777777" w:rsidR="0014368B"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397"/>
        <w:mirrorIndents/>
        <w:jc w:val="both"/>
        <w:rPr>
          <w:rFonts w:cs="Arial"/>
          <w:i/>
          <w:sz w:val="20"/>
        </w:rPr>
      </w:pPr>
    </w:p>
    <w:p w14:paraId="0385B2AA" w14:textId="7B8AF6F8" w:rsidR="0014368B" w:rsidRPr="00514A92" w:rsidRDefault="005C5492"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r w:rsidRPr="00514A92">
        <w:rPr>
          <w:rFonts w:cs="Arial"/>
          <w:sz w:val="20"/>
        </w:rPr>
        <w:t>Many</w:t>
      </w:r>
      <w:r w:rsidR="00544A39" w:rsidRPr="00514A92">
        <w:rPr>
          <w:rFonts w:cs="Arial"/>
          <w:sz w:val="20"/>
        </w:rPr>
        <w:t xml:space="preserve"> students stated that one of the most challenging aspects of writing at university was their lack of familiarity with </w:t>
      </w:r>
      <w:r w:rsidR="00871F99" w:rsidRPr="00514A92">
        <w:rPr>
          <w:rFonts w:cs="Arial"/>
          <w:sz w:val="20"/>
        </w:rPr>
        <w:t xml:space="preserve">the </w:t>
      </w:r>
      <w:r w:rsidR="00544A39" w:rsidRPr="00514A92">
        <w:rPr>
          <w:rFonts w:cs="Arial"/>
          <w:sz w:val="20"/>
        </w:rPr>
        <w:t xml:space="preserve">academic terminology frequently used by academics to describe assessments </w:t>
      </w:r>
      <w:r w:rsidR="00FD237B" w:rsidRPr="00514A92">
        <w:rPr>
          <w:rFonts w:cs="Arial"/>
          <w:sz w:val="20"/>
        </w:rPr>
        <w:t>(</w:t>
      </w:r>
      <w:r w:rsidRPr="00514A92">
        <w:rPr>
          <w:rFonts w:cs="Arial"/>
          <w:sz w:val="20"/>
        </w:rPr>
        <w:t>“W</w:t>
      </w:r>
      <w:r w:rsidR="00FD237B" w:rsidRPr="00514A92">
        <w:rPr>
          <w:rFonts w:cs="Arial"/>
          <w:sz w:val="20"/>
        </w:rPr>
        <w:t>hat do they</w:t>
      </w:r>
      <w:r w:rsidRPr="00514A92">
        <w:rPr>
          <w:rFonts w:cs="Arial"/>
          <w:sz w:val="20"/>
        </w:rPr>
        <w:t xml:space="preserve"> [subject lecturers]</w:t>
      </w:r>
      <w:r w:rsidR="00FD237B" w:rsidRPr="00514A92">
        <w:rPr>
          <w:rFonts w:cs="Arial"/>
          <w:sz w:val="20"/>
        </w:rPr>
        <w:t xml:space="preserve"> mean by ‘information sheet in research’? Do I need to give my information, are you asking for somebody else</w:t>
      </w:r>
      <w:r w:rsidR="00F86C3A" w:rsidRPr="00514A92">
        <w:rPr>
          <w:rFonts w:cs="Arial"/>
          <w:sz w:val="20"/>
        </w:rPr>
        <w:t>’</w:t>
      </w:r>
      <w:r w:rsidR="00FD237B" w:rsidRPr="00514A92">
        <w:rPr>
          <w:rFonts w:cs="Arial"/>
          <w:sz w:val="20"/>
        </w:rPr>
        <w:t>s information? I</w:t>
      </w:r>
      <w:r w:rsidRPr="00514A92">
        <w:rPr>
          <w:rFonts w:cs="Arial"/>
          <w:sz w:val="20"/>
        </w:rPr>
        <w:t xml:space="preserve"> thought I</w:t>
      </w:r>
      <w:r w:rsidR="00FD237B" w:rsidRPr="00514A92">
        <w:rPr>
          <w:rFonts w:cs="Arial"/>
          <w:sz w:val="20"/>
        </w:rPr>
        <w:t>’ll just put what I’m comfortable putting… it</w:t>
      </w:r>
      <w:r w:rsidR="00F86C3A" w:rsidRPr="00514A92">
        <w:rPr>
          <w:rFonts w:cs="Arial"/>
          <w:sz w:val="20"/>
        </w:rPr>
        <w:t>’</w:t>
      </w:r>
      <w:r w:rsidR="00FD237B" w:rsidRPr="00514A92">
        <w:rPr>
          <w:rFonts w:cs="Arial"/>
          <w:sz w:val="20"/>
        </w:rPr>
        <w:t>s really tough</w:t>
      </w:r>
      <w:r w:rsidRPr="00514A92">
        <w:rPr>
          <w:rFonts w:cs="Arial"/>
          <w:sz w:val="20"/>
        </w:rPr>
        <w:t xml:space="preserve">”, </w:t>
      </w:r>
      <w:r w:rsidR="00544A39" w:rsidRPr="00514A92">
        <w:rPr>
          <w:rFonts w:cs="Arial"/>
          <w:sz w:val="20"/>
        </w:rPr>
        <w:t xml:space="preserve">Focus Group H). </w:t>
      </w:r>
      <w:r w:rsidR="00200C59" w:rsidRPr="00514A92">
        <w:rPr>
          <w:rFonts w:cs="Arial"/>
          <w:sz w:val="20"/>
        </w:rPr>
        <w:t xml:space="preserve">This explains why most </w:t>
      </w:r>
      <w:r w:rsidR="0014368B" w:rsidRPr="00514A92">
        <w:rPr>
          <w:rFonts w:cs="Arial"/>
          <w:sz w:val="20"/>
        </w:rPr>
        <w:t xml:space="preserve">students </w:t>
      </w:r>
      <w:r w:rsidR="00200C59" w:rsidRPr="00514A92">
        <w:rPr>
          <w:rFonts w:cs="Arial"/>
          <w:sz w:val="20"/>
        </w:rPr>
        <w:t>described how</w:t>
      </w:r>
      <w:r w:rsidR="0014368B" w:rsidRPr="00514A92">
        <w:rPr>
          <w:rFonts w:cs="Arial"/>
          <w:sz w:val="20"/>
        </w:rPr>
        <w:t xml:space="preserve"> the writing sessions helped </w:t>
      </w:r>
      <w:r w:rsidR="00200C59" w:rsidRPr="00514A92">
        <w:rPr>
          <w:rFonts w:cs="Arial"/>
          <w:sz w:val="20"/>
        </w:rPr>
        <w:t xml:space="preserve">them </w:t>
      </w:r>
      <w:r w:rsidR="0014368B" w:rsidRPr="00514A92">
        <w:rPr>
          <w:rFonts w:cs="Arial"/>
          <w:sz w:val="20"/>
        </w:rPr>
        <w:t xml:space="preserve">break down the assessment requirements and unpack the terminologies </w:t>
      </w:r>
      <w:r w:rsidR="00871F99" w:rsidRPr="00514A92">
        <w:rPr>
          <w:rFonts w:cs="Arial"/>
          <w:sz w:val="20"/>
        </w:rPr>
        <w:t>used within</w:t>
      </w:r>
      <w:r w:rsidR="0014368B" w:rsidRPr="00514A92">
        <w:rPr>
          <w:rFonts w:cs="Arial"/>
          <w:sz w:val="20"/>
        </w:rPr>
        <w:t xml:space="preserve"> the assessment</w:t>
      </w:r>
      <w:r w:rsidRPr="00514A92">
        <w:rPr>
          <w:rFonts w:cs="Arial"/>
          <w:sz w:val="20"/>
        </w:rPr>
        <w:t>s’</w:t>
      </w:r>
      <w:r w:rsidR="00871F99" w:rsidRPr="00514A92">
        <w:rPr>
          <w:rFonts w:cs="Arial"/>
          <w:sz w:val="20"/>
        </w:rPr>
        <w:t xml:space="preserve"> brief</w:t>
      </w:r>
      <w:r w:rsidR="00294029" w:rsidRPr="00514A92">
        <w:rPr>
          <w:rFonts w:cs="Arial"/>
          <w:sz w:val="20"/>
        </w:rPr>
        <w:t>s</w:t>
      </w:r>
      <w:r w:rsidR="0014368B" w:rsidRPr="00514A92">
        <w:rPr>
          <w:rFonts w:cs="Arial"/>
          <w:sz w:val="20"/>
        </w:rPr>
        <w:t xml:space="preserve"> (</w:t>
      </w:r>
      <w:r w:rsidRPr="00514A92">
        <w:rPr>
          <w:rFonts w:cs="Arial"/>
          <w:sz w:val="20"/>
        </w:rPr>
        <w:t>“</w:t>
      </w:r>
      <w:r w:rsidR="00FD237B" w:rsidRPr="00514A92">
        <w:rPr>
          <w:rFonts w:cs="Arial"/>
          <w:sz w:val="20"/>
        </w:rPr>
        <w:t xml:space="preserve">They </w:t>
      </w:r>
      <w:r w:rsidRPr="00514A92">
        <w:rPr>
          <w:rFonts w:cs="Arial"/>
          <w:sz w:val="20"/>
        </w:rPr>
        <w:t xml:space="preserve">[the writing tutors] </w:t>
      </w:r>
      <w:r w:rsidR="0014368B" w:rsidRPr="00514A92">
        <w:rPr>
          <w:rFonts w:cs="Arial"/>
          <w:sz w:val="20"/>
        </w:rPr>
        <w:t xml:space="preserve">broke it down into layman’s terms that </w:t>
      </w:r>
      <w:r w:rsidR="0014368B" w:rsidRPr="00514A92">
        <w:rPr>
          <w:rFonts w:cs="Arial"/>
          <w:noProof/>
          <w:sz w:val="20"/>
        </w:rPr>
        <w:t>w</w:t>
      </w:r>
      <w:r w:rsidR="00141F84" w:rsidRPr="00514A92">
        <w:rPr>
          <w:rFonts w:cs="Arial"/>
          <w:noProof/>
          <w:sz w:val="20"/>
        </w:rPr>
        <w:t>ere</w:t>
      </w:r>
      <w:r w:rsidR="0014368B" w:rsidRPr="00514A92">
        <w:rPr>
          <w:rFonts w:cs="Arial"/>
          <w:sz w:val="20"/>
        </w:rPr>
        <w:t xml:space="preserve"> easier for us to understand</w:t>
      </w:r>
      <w:r w:rsidRPr="00514A92">
        <w:rPr>
          <w:rFonts w:cs="Arial"/>
          <w:sz w:val="20"/>
        </w:rPr>
        <w:t>”</w:t>
      </w:r>
      <w:r w:rsidR="00800977" w:rsidRPr="00514A92">
        <w:rPr>
          <w:rFonts w:cs="Arial"/>
          <w:sz w:val="20"/>
        </w:rPr>
        <w:t>, Focus Group B</w:t>
      </w:r>
      <w:r w:rsidR="0014368B" w:rsidRPr="00514A92">
        <w:rPr>
          <w:rFonts w:cs="Arial"/>
          <w:sz w:val="20"/>
        </w:rPr>
        <w:t xml:space="preserve">). </w:t>
      </w:r>
      <w:r w:rsidRPr="00514A92">
        <w:rPr>
          <w:rFonts w:cs="Arial"/>
          <w:sz w:val="20"/>
        </w:rPr>
        <w:t>In addition</w:t>
      </w:r>
      <w:r w:rsidR="0014368B" w:rsidRPr="00514A92">
        <w:rPr>
          <w:rFonts w:cs="Arial"/>
          <w:sz w:val="20"/>
        </w:rPr>
        <w:t xml:space="preserve">, students reported that the provision </w:t>
      </w:r>
      <w:r w:rsidR="00A300F1" w:rsidRPr="00514A92">
        <w:rPr>
          <w:rFonts w:cs="Arial"/>
          <w:sz w:val="20"/>
        </w:rPr>
        <w:t xml:space="preserve">helped them to </w:t>
      </w:r>
      <w:r w:rsidR="00871F99" w:rsidRPr="00514A92">
        <w:rPr>
          <w:rFonts w:cs="Arial"/>
          <w:sz w:val="20"/>
        </w:rPr>
        <w:t xml:space="preserve">also </w:t>
      </w:r>
      <w:r w:rsidR="00A300F1" w:rsidRPr="00514A92">
        <w:rPr>
          <w:rFonts w:cs="Arial"/>
          <w:sz w:val="20"/>
        </w:rPr>
        <w:t>decipher the</w:t>
      </w:r>
      <w:r w:rsidR="0014368B" w:rsidRPr="00514A92">
        <w:rPr>
          <w:rFonts w:cs="Arial"/>
          <w:sz w:val="20"/>
        </w:rPr>
        <w:t xml:space="preserve"> opaque nature of tutor expectations (</w:t>
      </w:r>
      <w:r w:rsidRPr="00514A92">
        <w:rPr>
          <w:rFonts w:cs="Arial"/>
          <w:sz w:val="20"/>
        </w:rPr>
        <w:t>“</w:t>
      </w:r>
      <w:r w:rsidR="0014368B" w:rsidRPr="00514A92">
        <w:rPr>
          <w:rFonts w:cs="Arial"/>
          <w:sz w:val="20"/>
        </w:rPr>
        <w:t>The hardest thing I found with the academic writing is trying to understand what your tutors want from you</w:t>
      </w:r>
      <w:r w:rsidRPr="00514A92">
        <w:rPr>
          <w:rFonts w:cs="Arial"/>
          <w:sz w:val="20"/>
        </w:rPr>
        <w:t>”</w:t>
      </w:r>
      <w:r w:rsidR="0014368B" w:rsidRPr="00514A92">
        <w:rPr>
          <w:rFonts w:cs="Arial"/>
          <w:sz w:val="20"/>
        </w:rPr>
        <w:t xml:space="preserve">, </w:t>
      </w:r>
      <w:r w:rsidRPr="00514A92">
        <w:rPr>
          <w:rFonts w:cs="Arial"/>
          <w:sz w:val="20"/>
        </w:rPr>
        <w:t>“</w:t>
      </w:r>
      <w:r w:rsidR="0014368B" w:rsidRPr="00514A92">
        <w:rPr>
          <w:rFonts w:cs="Arial"/>
          <w:sz w:val="20"/>
        </w:rPr>
        <w:t xml:space="preserve">I think that without </w:t>
      </w:r>
      <w:r w:rsidRPr="00514A92">
        <w:rPr>
          <w:rFonts w:cs="Arial"/>
          <w:sz w:val="20"/>
        </w:rPr>
        <w:t xml:space="preserve">the </w:t>
      </w:r>
      <w:r w:rsidR="0014368B" w:rsidRPr="00514A92">
        <w:rPr>
          <w:rFonts w:cs="Arial"/>
          <w:sz w:val="20"/>
        </w:rPr>
        <w:t xml:space="preserve">writing </w:t>
      </w:r>
      <w:r w:rsidRPr="00514A92">
        <w:rPr>
          <w:rFonts w:cs="Arial"/>
          <w:sz w:val="20"/>
        </w:rPr>
        <w:t>support</w:t>
      </w:r>
      <w:r w:rsidR="0014368B" w:rsidRPr="00514A92">
        <w:rPr>
          <w:rFonts w:cs="Arial"/>
          <w:sz w:val="20"/>
        </w:rPr>
        <w:t>, we would</w:t>
      </w:r>
      <w:r w:rsidR="0014368B" w:rsidRPr="00514A92">
        <w:rPr>
          <w:rFonts w:cs="Arial"/>
          <w:i/>
          <w:sz w:val="20"/>
        </w:rPr>
        <w:t xml:space="preserve"> </w:t>
      </w:r>
      <w:r w:rsidR="0014368B" w:rsidRPr="00514A92">
        <w:rPr>
          <w:rFonts w:cs="Arial"/>
          <w:sz w:val="20"/>
        </w:rPr>
        <w:t>have seriously struggled</w:t>
      </w:r>
      <w:r w:rsidRPr="00514A92">
        <w:rPr>
          <w:rFonts w:cs="Arial"/>
          <w:sz w:val="20"/>
        </w:rPr>
        <w:t>”</w:t>
      </w:r>
      <w:r w:rsidR="0038672F" w:rsidRPr="00514A92">
        <w:rPr>
          <w:rFonts w:cs="Arial"/>
          <w:sz w:val="20"/>
        </w:rPr>
        <w:t>, Focus Group E</w:t>
      </w:r>
      <w:r w:rsidR="0014368B" w:rsidRPr="00514A92">
        <w:rPr>
          <w:rFonts w:cs="Arial"/>
          <w:sz w:val="20"/>
        </w:rPr>
        <w:t xml:space="preserve">). </w:t>
      </w:r>
      <w:r w:rsidR="00200C59" w:rsidRPr="00514A92">
        <w:rPr>
          <w:rFonts w:cs="Arial"/>
          <w:sz w:val="20"/>
        </w:rPr>
        <w:t>Lea and Street (1998) have argued, “</w:t>
      </w:r>
      <w:r w:rsidRPr="00514A92">
        <w:rPr>
          <w:rFonts w:cs="Arial"/>
          <w:sz w:val="20"/>
        </w:rPr>
        <w:t>o</w:t>
      </w:r>
      <w:r w:rsidR="00200C59" w:rsidRPr="00514A92">
        <w:rPr>
          <w:rFonts w:cs="Arial"/>
          <w:sz w:val="20"/>
        </w:rPr>
        <w:t xml:space="preserve">ne explanation for problems in student writing might be the gaps between academic expectations and student interpretations of what is involved in student writing” (159). Many of the </w:t>
      </w:r>
      <w:r w:rsidR="00C96128" w:rsidRPr="00514A92">
        <w:rPr>
          <w:rFonts w:cs="Arial"/>
          <w:sz w:val="20"/>
        </w:rPr>
        <w:t>focus groups</w:t>
      </w:r>
      <w:r w:rsidR="00200C59" w:rsidRPr="00514A92">
        <w:rPr>
          <w:rFonts w:cs="Arial"/>
          <w:sz w:val="20"/>
        </w:rPr>
        <w:t xml:space="preserve"> </w:t>
      </w:r>
      <w:r w:rsidRPr="00514A92">
        <w:rPr>
          <w:rFonts w:cs="Arial"/>
          <w:sz w:val="20"/>
        </w:rPr>
        <w:t>(</w:t>
      </w:r>
      <w:r w:rsidR="00C96128" w:rsidRPr="00514A92">
        <w:rPr>
          <w:rFonts w:cs="Arial"/>
          <w:sz w:val="20"/>
        </w:rPr>
        <w:t>8</w:t>
      </w:r>
      <w:r w:rsidR="00847769" w:rsidRPr="00514A92">
        <w:rPr>
          <w:rFonts w:cs="Arial"/>
          <w:sz w:val="20"/>
        </w:rPr>
        <w:t xml:space="preserve"> out of </w:t>
      </w:r>
      <w:r w:rsidR="00C96128" w:rsidRPr="00514A92">
        <w:rPr>
          <w:rFonts w:cs="Arial"/>
          <w:sz w:val="20"/>
        </w:rPr>
        <w:t>10</w:t>
      </w:r>
      <w:r w:rsidRPr="00514A92">
        <w:rPr>
          <w:rFonts w:cs="Arial"/>
          <w:sz w:val="20"/>
        </w:rPr>
        <w:t xml:space="preserve">) </w:t>
      </w:r>
      <w:r w:rsidR="00294029" w:rsidRPr="00514A92">
        <w:rPr>
          <w:rFonts w:cs="Arial"/>
          <w:sz w:val="20"/>
        </w:rPr>
        <w:t>considered</w:t>
      </w:r>
      <w:r w:rsidR="0014368B" w:rsidRPr="00514A92">
        <w:rPr>
          <w:rFonts w:cs="Arial"/>
          <w:sz w:val="20"/>
        </w:rPr>
        <w:t xml:space="preserve"> the role of the writing tutors as bridging th</w:t>
      </w:r>
      <w:r w:rsidR="00E20B87" w:rsidRPr="00514A92">
        <w:rPr>
          <w:rFonts w:cs="Arial"/>
          <w:sz w:val="20"/>
        </w:rPr>
        <w:t>is</w:t>
      </w:r>
      <w:r w:rsidR="0014368B" w:rsidRPr="00514A92">
        <w:rPr>
          <w:rFonts w:cs="Arial"/>
          <w:sz w:val="20"/>
        </w:rPr>
        <w:t xml:space="preserve"> gap, helping </w:t>
      </w:r>
      <w:r w:rsidR="00FF4E6B" w:rsidRPr="00514A92">
        <w:rPr>
          <w:rFonts w:cs="Arial"/>
          <w:sz w:val="20"/>
        </w:rPr>
        <w:t xml:space="preserve">them </w:t>
      </w:r>
      <w:r w:rsidR="0014368B" w:rsidRPr="00514A92">
        <w:rPr>
          <w:rFonts w:cs="Arial"/>
          <w:sz w:val="20"/>
        </w:rPr>
        <w:t xml:space="preserve">to </w:t>
      </w:r>
      <w:r w:rsidRPr="00514A92">
        <w:rPr>
          <w:rFonts w:cs="Arial"/>
          <w:sz w:val="20"/>
        </w:rPr>
        <w:t>demystify</w:t>
      </w:r>
      <w:r w:rsidR="0014368B" w:rsidRPr="00514A92">
        <w:rPr>
          <w:rFonts w:cs="Arial"/>
          <w:sz w:val="20"/>
        </w:rPr>
        <w:t xml:space="preserve"> the underlying meanings in assessment instructions</w:t>
      </w:r>
      <w:r w:rsidR="006D1588" w:rsidRPr="00514A92">
        <w:rPr>
          <w:rFonts w:cs="Arial"/>
          <w:sz w:val="20"/>
        </w:rPr>
        <w:t xml:space="preserve"> and </w:t>
      </w:r>
      <w:r w:rsidR="0014368B" w:rsidRPr="00514A92">
        <w:rPr>
          <w:rFonts w:cs="Arial"/>
          <w:sz w:val="20"/>
        </w:rPr>
        <w:t>their lecturer</w:t>
      </w:r>
      <w:r w:rsidR="006D1588" w:rsidRPr="00514A92">
        <w:rPr>
          <w:rFonts w:cs="Arial"/>
          <w:sz w:val="20"/>
        </w:rPr>
        <w:t xml:space="preserve"> </w:t>
      </w:r>
      <w:r w:rsidR="0014368B" w:rsidRPr="00514A92">
        <w:rPr>
          <w:rFonts w:cs="Arial"/>
          <w:sz w:val="20"/>
        </w:rPr>
        <w:t>expectations (</w:t>
      </w:r>
      <w:r w:rsidR="006D1588" w:rsidRPr="00514A92">
        <w:rPr>
          <w:rFonts w:cs="Arial"/>
          <w:sz w:val="20"/>
        </w:rPr>
        <w:t>“</w:t>
      </w:r>
      <w:r w:rsidR="0014368B" w:rsidRPr="00514A92">
        <w:rPr>
          <w:rFonts w:cs="Arial"/>
          <w:sz w:val="20"/>
        </w:rPr>
        <w:t>I haven</w:t>
      </w:r>
      <w:r w:rsidR="0038672F" w:rsidRPr="00514A92">
        <w:rPr>
          <w:rFonts w:cs="Arial"/>
          <w:sz w:val="20"/>
        </w:rPr>
        <w:t>’</w:t>
      </w:r>
      <w:r w:rsidR="0014368B" w:rsidRPr="00514A92">
        <w:rPr>
          <w:rFonts w:cs="Arial"/>
          <w:sz w:val="20"/>
        </w:rPr>
        <w:t xml:space="preserve">t been in class for a long time, so you guys </w:t>
      </w:r>
      <w:r w:rsidR="006D1588" w:rsidRPr="00514A92">
        <w:rPr>
          <w:rFonts w:cs="Arial"/>
          <w:sz w:val="20"/>
        </w:rPr>
        <w:t xml:space="preserve">[writing tutors] </w:t>
      </w:r>
      <w:r w:rsidR="0014368B" w:rsidRPr="00514A92">
        <w:rPr>
          <w:rFonts w:cs="Arial"/>
          <w:sz w:val="20"/>
        </w:rPr>
        <w:t>coming in with the support, it gives you great new knowledge of what the lecturer is probably expecting of you</w:t>
      </w:r>
      <w:r w:rsidR="006D1588" w:rsidRPr="00514A92">
        <w:rPr>
          <w:rFonts w:cs="Arial"/>
          <w:sz w:val="20"/>
        </w:rPr>
        <w:t xml:space="preserve">”, </w:t>
      </w:r>
      <w:r w:rsidR="0014368B" w:rsidRPr="00514A92">
        <w:rPr>
          <w:rFonts w:cs="Arial"/>
          <w:sz w:val="20"/>
        </w:rPr>
        <w:t xml:space="preserve">Focus Group </w:t>
      </w:r>
      <w:r w:rsidR="00C96128" w:rsidRPr="00514A92">
        <w:rPr>
          <w:rFonts w:cs="Arial"/>
          <w:sz w:val="20"/>
        </w:rPr>
        <w:t>I</w:t>
      </w:r>
      <w:r w:rsidR="0014368B" w:rsidRPr="00514A92">
        <w:rPr>
          <w:rFonts w:cs="Arial"/>
          <w:sz w:val="20"/>
        </w:rPr>
        <w:t>)</w:t>
      </w:r>
      <w:r w:rsidR="006D1588" w:rsidRPr="00514A92">
        <w:rPr>
          <w:rFonts w:cs="Arial"/>
          <w:sz w:val="20"/>
        </w:rPr>
        <w:t>.</w:t>
      </w:r>
    </w:p>
    <w:p w14:paraId="7A47BAB9" w14:textId="77777777" w:rsidR="00E555F0" w:rsidRPr="00514A92" w:rsidRDefault="00E555F0"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p>
    <w:p w14:paraId="211F6648" w14:textId="581A2187" w:rsidR="008E5845" w:rsidRPr="00514A92" w:rsidRDefault="00F86C3A"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r w:rsidRPr="00514A92">
        <w:rPr>
          <w:rFonts w:cs="Arial"/>
          <w:sz w:val="20"/>
        </w:rPr>
        <w:t xml:space="preserve">When students were asked </w:t>
      </w:r>
      <w:r w:rsidR="00CA33A8" w:rsidRPr="00514A92">
        <w:rPr>
          <w:rFonts w:cs="Arial"/>
          <w:sz w:val="20"/>
        </w:rPr>
        <w:t xml:space="preserve">to identify </w:t>
      </w:r>
      <w:r w:rsidRPr="00514A92">
        <w:rPr>
          <w:rFonts w:cs="Arial"/>
          <w:sz w:val="20"/>
        </w:rPr>
        <w:t>the most useful elements in our writing provision</w:t>
      </w:r>
      <w:r w:rsidR="00E555F0" w:rsidRPr="00514A92">
        <w:rPr>
          <w:rFonts w:cs="Arial"/>
          <w:sz w:val="20"/>
        </w:rPr>
        <w:t xml:space="preserve">, most of </w:t>
      </w:r>
      <w:r w:rsidR="009833E7" w:rsidRPr="00514A92">
        <w:rPr>
          <w:rFonts w:cs="Arial"/>
          <w:sz w:val="20"/>
        </w:rPr>
        <w:t>them</w:t>
      </w:r>
      <w:r w:rsidR="00C96128" w:rsidRPr="00514A92">
        <w:rPr>
          <w:rFonts w:cs="Arial"/>
          <w:sz w:val="20"/>
        </w:rPr>
        <w:t xml:space="preserve"> </w:t>
      </w:r>
      <w:r w:rsidR="00E555F0" w:rsidRPr="00514A92">
        <w:rPr>
          <w:rFonts w:cs="Arial"/>
          <w:sz w:val="20"/>
        </w:rPr>
        <w:t>stressed the ones which were directly linked to the module assessments and learning outcomes: research proposal and report writing</w:t>
      </w:r>
      <w:r w:rsidR="00BB153B" w:rsidRPr="00514A92">
        <w:rPr>
          <w:rFonts w:cs="Arial"/>
          <w:sz w:val="20"/>
        </w:rPr>
        <w:t xml:space="preserve">, </w:t>
      </w:r>
      <w:r w:rsidR="00E555F0" w:rsidRPr="00514A92">
        <w:rPr>
          <w:rFonts w:cs="Arial"/>
          <w:sz w:val="20"/>
        </w:rPr>
        <w:t>and literature review</w:t>
      </w:r>
      <w:r w:rsidR="00FA2004" w:rsidRPr="00514A92">
        <w:rPr>
          <w:rFonts w:cs="Arial"/>
          <w:sz w:val="20"/>
        </w:rPr>
        <w:t xml:space="preserve">. </w:t>
      </w:r>
      <w:r w:rsidR="0014368B" w:rsidRPr="00514A92">
        <w:rPr>
          <w:rFonts w:cs="Arial"/>
          <w:sz w:val="20"/>
        </w:rPr>
        <w:t>This finding resonate</w:t>
      </w:r>
      <w:r w:rsidR="00F34080" w:rsidRPr="00514A92">
        <w:rPr>
          <w:rFonts w:cs="Arial"/>
          <w:sz w:val="20"/>
        </w:rPr>
        <w:t>s</w:t>
      </w:r>
      <w:r w:rsidR="0014368B" w:rsidRPr="00514A92">
        <w:rPr>
          <w:rFonts w:cs="Arial"/>
          <w:sz w:val="20"/>
        </w:rPr>
        <w:t xml:space="preserve"> with many of the students’ comments around the main difficulties they encountered with their assessments. </w:t>
      </w:r>
      <w:r w:rsidR="009833E7" w:rsidRPr="00514A92">
        <w:rPr>
          <w:rFonts w:cs="Arial"/>
          <w:sz w:val="20"/>
        </w:rPr>
        <w:t>For example</w:t>
      </w:r>
      <w:r w:rsidR="0014368B" w:rsidRPr="00514A92">
        <w:rPr>
          <w:rFonts w:cs="Arial"/>
          <w:sz w:val="20"/>
        </w:rPr>
        <w:t>,</w:t>
      </w:r>
      <w:r w:rsidR="009833E7" w:rsidRPr="00514A92">
        <w:rPr>
          <w:rFonts w:cs="Arial"/>
          <w:sz w:val="20"/>
        </w:rPr>
        <w:t xml:space="preserve"> several focus groups (</w:t>
      </w:r>
      <w:r w:rsidR="00C96128" w:rsidRPr="00514A92">
        <w:rPr>
          <w:rFonts w:cs="Arial"/>
          <w:sz w:val="20"/>
        </w:rPr>
        <w:t>6</w:t>
      </w:r>
      <w:r w:rsidR="00847769" w:rsidRPr="00514A92">
        <w:rPr>
          <w:rFonts w:cs="Arial"/>
          <w:sz w:val="20"/>
        </w:rPr>
        <w:t xml:space="preserve"> out of </w:t>
      </w:r>
      <w:r w:rsidR="00C96128" w:rsidRPr="00514A92">
        <w:rPr>
          <w:rFonts w:cs="Arial"/>
          <w:sz w:val="20"/>
        </w:rPr>
        <w:t>10</w:t>
      </w:r>
      <w:r w:rsidR="009833E7" w:rsidRPr="00514A92">
        <w:rPr>
          <w:rFonts w:cs="Arial"/>
          <w:sz w:val="20"/>
        </w:rPr>
        <w:t xml:space="preserve">) mentioned their </w:t>
      </w:r>
      <w:r w:rsidR="0014368B" w:rsidRPr="00514A92">
        <w:rPr>
          <w:rFonts w:cs="Arial"/>
          <w:sz w:val="20"/>
        </w:rPr>
        <w:t>unfamiliarity with the term</w:t>
      </w:r>
      <w:r w:rsidR="00CA33A8" w:rsidRPr="00514A92">
        <w:rPr>
          <w:rFonts w:cs="Arial"/>
          <w:sz w:val="20"/>
        </w:rPr>
        <w:t xml:space="preserve"> ‘</w:t>
      </w:r>
      <w:r w:rsidR="009833E7" w:rsidRPr="00514A92">
        <w:rPr>
          <w:rFonts w:cs="Arial"/>
          <w:sz w:val="20"/>
        </w:rPr>
        <w:t>literature review</w:t>
      </w:r>
      <w:r w:rsidR="00CA33A8" w:rsidRPr="00514A92">
        <w:rPr>
          <w:rFonts w:cs="Arial"/>
          <w:sz w:val="20"/>
        </w:rPr>
        <w:t>’</w:t>
      </w:r>
      <w:r w:rsidR="009833E7" w:rsidRPr="00514A92">
        <w:rPr>
          <w:rFonts w:cs="Arial"/>
          <w:sz w:val="20"/>
        </w:rPr>
        <w:t xml:space="preserve"> </w:t>
      </w:r>
      <w:r w:rsidR="0014368B" w:rsidRPr="00514A92">
        <w:rPr>
          <w:rFonts w:cs="Arial"/>
          <w:sz w:val="20"/>
        </w:rPr>
        <w:t xml:space="preserve">when </w:t>
      </w:r>
      <w:r w:rsidR="009833E7" w:rsidRPr="00514A92">
        <w:rPr>
          <w:rFonts w:cs="Arial"/>
          <w:sz w:val="20"/>
        </w:rPr>
        <w:t>they</w:t>
      </w:r>
      <w:r w:rsidR="0014368B" w:rsidRPr="00514A92">
        <w:rPr>
          <w:rFonts w:cs="Arial"/>
          <w:sz w:val="20"/>
        </w:rPr>
        <w:t xml:space="preserve"> first came across it</w:t>
      </w:r>
      <w:r w:rsidR="009833E7" w:rsidRPr="00514A92">
        <w:rPr>
          <w:rFonts w:cs="Arial"/>
          <w:sz w:val="20"/>
        </w:rPr>
        <w:t xml:space="preserve"> (“When you hear the title ‘Literature review’ you’re like, what is this?”</w:t>
      </w:r>
      <w:r w:rsidR="0038672F" w:rsidRPr="00514A92">
        <w:rPr>
          <w:rFonts w:cs="Arial"/>
          <w:sz w:val="20"/>
        </w:rPr>
        <w:t>, Focus Group A</w:t>
      </w:r>
      <w:r w:rsidR="009833E7" w:rsidRPr="00514A92">
        <w:rPr>
          <w:rFonts w:cs="Arial"/>
          <w:sz w:val="20"/>
        </w:rPr>
        <w:t xml:space="preserve">). </w:t>
      </w:r>
      <w:r w:rsidR="00EC00B0" w:rsidRPr="00514A92">
        <w:rPr>
          <w:rFonts w:cs="Arial"/>
          <w:sz w:val="20"/>
        </w:rPr>
        <w:t xml:space="preserve">After the discussion in class, students were able to comprehend </w:t>
      </w:r>
      <w:r w:rsidR="00CA33A8" w:rsidRPr="00514A92">
        <w:rPr>
          <w:rFonts w:cs="Arial"/>
          <w:sz w:val="20"/>
        </w:rPr>
        <w:t xml:space="preserve">it </w:t>
      </w:r>
      <w:r w:rsidR="00EC00B0" w:rsidRPr="00514A92">
        <w:rPr>
          <w:rFonts w:cs="Arial"/>
          <w:sz w:val="20"/>
        </w:rPr>
        <w:t xml:space="preserve">by </w:t>
      </w:r>
      <w:r w:rsidR="0014368B" w:rsidRPr="00514A92">
        <w:rPr>
          <w:rFonts w:cs="Arial"/>
          <w:sz w:val="20"/>
        </w:rPr>
        <w:t>relat</w:t>
      </w:r>
      <w:r w:rsidR="00EC00B0" w:rsidRPr="00514A92">
        <w:rPr>
          <w:rFonts w:cs="Arial"/>
          <w:sz w:val="20"/>
        </w:rPr>
        <w:t xml:space="preserve">ing the term to their prior learning experience (“… but when it's been broken down in class, you know what to do because </w:t>
      </w:r>
      <w:r w:rsidR="00EC00B0" w:rsidRPr="00514A92">
        <w:rPr>
          <w:rFonts w:cs="Arial"/>
          <w:noProof/>
          <w:sz w:val="20"/>
        </w:rPr>
        <w:t>in</w:t>
      </w:r>
      <w:r w:rsidR="00EC00B0" w:rsidRPr="00514A92">
        <w:rPr>
          <w:rFonts w:cs="Arial"/>
          <w:sz w:val="20"/>
        </w:rPr>
        <w:t xml:space="preserve"> secondary school, you've done the same sort of thing where you get different research and you put it together”, Focus Group A).</w:t>
      </w:r>
      <w:r w:rsidR="008C3737" w:rsidRPr="00514A92">
        <w:rPr>
          <w:rFonts w:cs="Arial"/>
          <w:sz w:val="20"/>
        </w:rPr>
        <w:t xml:space="preserve"> </w:t>
      </w:r>
    </w:p>
    <w:p w14:paraId="42BE25A2" w14:textId="7082C33B" w:rsidR="008E5845" w:rsidRPr="00514A92" w:rsidRDefault="008E5845"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p>
    <w:p w14:paraId="63888F2A" w14:textId="7778C0D6" w:rsidR="008E5845" w:rsidRPr="00514A92" w:rsidRDefault="008E5845"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r w:rsidRPr="00514A92">
        <w:rPr>
          <w:rFonts w:cs="Arial"/>
          <w:sz w:val="20"/>
        </w:rPr>
        <w:t xml:space="preserve">The example above reflects our pedagogical approaches where we argue that the academic terminologies such as ‘literature review’ and ‘case study’ cannot be treated as straightforward concepts. </w:t>
      </w:r>
      <w:r w:rsidRPr="00514A92">
        <w:rPr>
          <w:rFonts w:cs="Arial"/>
          <w:sz w:val="20"/>
        </w:rPr>
        <w:lastRenderedPageBreak/>
        <w:t>As explained earlier in section 2, to make features of academic writing transparent to our students, we designed activities that combined genre-based approaches (based on the modelling of sample texts) with approaches inspired by the Academic Literacies perspectives, focusing more on the writing processes involved in the production of the specific genre. Many students described how this type of activities provided them with a clearer picture of their assignments (“Initially, I knew what I wanted to write, but I didn’t know how to structure it, but with the writing sessions, there was a sample given to observe and explore, so it was easy to see how to structure the assignment and what to include in each section”, Focus Group I).</w:t>
      </w:r>
    </w:p>
    <w:p w14:paraId="24FE4D4F" w14:textId="77777777" w:rsidR="00C4269A" w:rsidRPr="00514A92" w:rsidRDefault="00C4269A"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p>
    <w:p w14:paraId="24C4D028" w14:textId="1C93C408" w:rsidR="006D6F6E"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With the explicit teaching of </w:t>
      </w:r>
      <w:r w:rsidRPr="00514A92">
        <w:rPr>
          <w:rFonts w:cs="Arial"/>
          <w:noProof/>
          <w:sz w:val="20"/>
        </w:rPr>
        <w:t>academic</w:t>
      </w:r>
      <w:r w:rsidRPr="00514A92">
        <w:rPr>
          <w:rFonts w:cs="Arial"/>
          <w:sz w:val="20"/>
        </w:rPr>
        <w:t xml:space="preserve"> genres and writing processes, all the focus groups (1</w:t>
      </w:r>
      <w:r w:rsidR="00847769" w:rsidRPr="00514A92">
        <w:rPr>
          <w:rFonts w:cs="Arial"/>
          <w:sz w:val="20"/>
        </w:rPr>
        <w:t xml:space="preserve">0 out of </w:t>
      </w:r>
      <w:r w:rsidR="00C96128" w:rsidRPr="00514A92">
        <w:rPr>
          <w:rFonts w:cs="Arial"/>
          <w:sz w:val="20"/>
        </w:rPr>
        <w:t>10</w:t>
      </w:r>
      <w:r w:rsidRPr="00514A92">
        <w:rPr>
          <w:rFonts w:cs="Arial"/>
          <w:sz w:val="20"/>
        </w:rPr>
        <w:t xml:space="preserve">) </w:t>
      </w:r>
      <w:r w:rsidR="003E34DB" w:rsidRPr="00514A92">
        <w:rPr>
          <w:rFonts w:cs="Arial"/>
          <w:sz w:val="20"/>
        </w:rPr>
        <w:t xml:space="preserve">provided </w:t>
      </w:r>
      <w:r w:rsidRPr="00514A92">
        <w:rPr>
          <w:rFonts w:cs="Arial"/>
          <w:sz w:val="20"/>
        </w:rPr>
        <w:t xml:space="preserve">affirmative responses when asked whether their </w:t>
      </w:r>
      <w:r w:rsidRPr="00514A92">
        <w:rPr>
          <w:rFonts w:cs="Arial"/>
          <w:b/>
          <w:sz w:val="20"/>
        </w:rPr>
        <w:t>confidence as writers and learners in higher education has increased.</w:t>
      </w:r>
      <w:r w:rsidRPr="00514A92">
        <w:rPr>
          <w:rFonts w:cs="Arial"/>
          <w:sz w:val="20"/>
        </w:rPr>
        <w:t xml:space="preserve"> This positive impact on student confidence in writing can be associated with our pedagogical belief that students’ diversity and differences are in itself </w:t>
      </w:r>
      <w:r w:rsidR="003E34DB" w:rsidRPr="00514A92">
        <w:rPr>
          <w:rFonts w:cs="Arial"/>
          <w:sz w:val="20"/>
        </w:rPr>
        <w:t xml:space="preserve">useful </w:t>
      </w:r>
      <w:r w:rsidRPr="00514A92">
        <w:rPr>
          <w:rFonts w:cs="Arial"/>
          <w:sz w:val="20"/>
        </w:rPr>
        <w:t>learning and teaching resources. Specifically, we have provide</w:t>
      </w:r>
      <w:r w:rsidR="00837BC5" w:rsidRPr="00514A92">
        <w:rPr>
          <w:rFonts w:cs="Arial"/>
          <w:sz w:val="20"/>
        </w:rPr>
        <w:t>d</w:t>
      </w:r>
      <w:r w:rsidRPr="00514A92">
        <w:rPr>
          <w:rFonts w:cs="Arial"/>
          <w:sz w:val="20"/>
        </w:rPr>
        <w:t xml:space="preserve"> students with as many opportunities as possible (e.g., pair/group </w:t>
      </w:r>
      <w:r w:rsidR="00837BC5" w:rsidRPr="00514A92">
        <w:rPr>
          <w:rFonts w:cs="Arial"/>
          <w:sz w:val="20"/>
        </w:rPr>
        <w:t>work</w:t>
      </w:r>
      <w:r w:rsidRPr="00514A92">
        <w:rPr>
          <w:rFonts w:cs="Arial"/>
          <w:sz w:val="20"/>
        </w:rPr>
        <w:t xml:space="preserve">) to interact, construct and negotiate meaning through dialogue. </w:t>
      </w:r>
      <w:r w:rsidR="001833B1" w:rsidRPr="00514A92">
        <w:rPr>
          <w:rFonts w:cs="Arial"/>
          <w:sz w:val="20"/>
        </w:rPr>
        <w:t>From the focus groups, this strategy seems to have been particularly helpful to those students who came into higher education through alternative pathways</w:t>
      </w:r>
      <w:r w:rsidR="003D4DDF" w:rsidRPr="00514A92">
        <w:rPr>
          <w:rFonts w:cs="Arial"/>
          <w:sz w:val="20"/>
        </w:rPr>
        <w:t xml:space="preserve">. </w:t>
      </w:r>
      <w:r w:rsidR="003E34DB" w:rsidRPr="00514A92">
        <w:rPr>
          <w:rFonts w:cs="Arial"/>
          <w:sz w:val="20"/>
        </w:rPr>
        <w:t xml:space="preserve">Some students stated that “I feel more confident speaking in the small group than speaking in front of the whole class” (Focus group </w:t>
      </w:r>
      <w:r w:rsidR="00C96128" w:rsidRPr="00514A92">
        <w:rPr>
          <w:rFonts w:cs="Arial"/>
          <w:sz w:val="20"/>
        </w:rPr>
        <w:t>I</w:t>
      </w:r>
      <w:r w:rsidR="003E34DB" w:rsidRPr="00514A92">
        <w:rPr>
          <w:rFonts w:cs="Arial"/>
          <w:sz w:val="20"/>
        </w:rPr>
        <w:t>), implying to the more inclusive feature of the group activity.</w:t>
      </w:r>
      <w:r w:rsidR="00383E5B" w:rsidRPr="00514A92">
        <w:rPr>
          <w:rFonts w:cs="Arial"/>
          <w:sz w:val="20"/>
        </w:rPr>
        <w:t xml:space="preserve"> </w:t>
      </w:r>
      <w:r w:rsidR="003E34DB" w:rsidRPr="00514A92">
        <w:rPr>
          <w:rFonts w:cs="Arial"/>
          <w:sz w:val="20"/>
        </w:rPr>
        <w:t xml:space="preserve">Here </w:t>
      </w:r>
      <w:r w:rsidR="00F34080" w:rsidRPr="00514A92">
        <w:rPr>
          <w:rFonts w:cs="Arial"/>
          <w:noProof/>
          <w:sz w:val="20"/>
        </w:rPr>
        <w:t>it</w:t>
      </w:r>
      <w:r w:rsidR="003E34DB" w:rsidRPr="00514A92">
        <w:rPr>
          <w:rFonts w:cs="Arial"/>
          <w:sz w:val="20"/>
        </w:rPr>
        <w:t xml:space="preserve"> should be noted that</w:t>
      </w:r>
      <w:r w:rsidR="00107E68" w:rsidRPr="00514A92">
        <w:rPr>
          <w:rFonts w:cs="Arial"/>
          <w:sz w:val="20"/>
        </w:rPr>
        <w:t xml:space="preserve"> </w:t>
      </w:r>
      <w:r w:rsidR="003D4DDF" w:rsidRPr="00514A92">
        <w:rPr>
          <w:rFonts w:cs="Arial"/>
          <w:sz w:val="20"/>
        </w:rPr>
        <w:t>although most of the students responded positively to the group activities, some students suggested that we introduce a better balance between individual and group activities</w:t>
      </w:r>
      <w:r w:rsidR="006D6F6E" w:rsidRPr="00514A92">
        <w:rPr>
          <w:rFonts w:cs="Arial"/>
          <w:sz w:val="20"/>
        </w:rPr>
        <w:t xml:space="preserve">. </w:t>
      </w:r>
      <w:r w:rsidR="003D4DDF" w:rsidRPr="00514A92">
        <w:rPr>
          <w:rFonts w:cs="Arial"/>
          <w:sz w:val="20"/>
        </w:rPr>
        <w:t>Specifically, some students raised issues of disengagement from their team members</w:t>
      </w:r>
      <w:r w:rsidR="006D6F6E" w:rsidRPr="00514A92">
        <w:rPr>
          <w:rFonts w:cs="Arial"/>
          <w:sz w:val="20"/>
        </w:rPr>
        <w:t xml:space="preserve"> (“some people do not contribute, </w:t>
      </w:r>
      <w:r w:rsidR="003D4DDF" w:rsidRPr="00514A92">
        <w:rPr>
          <w:rFonts w:cs="Arial"/>
          <w:sz w:val="20"/>
        </w:rPr>
        <w:t>so it</w:t>
      </w:r>
      <w:r w:rsidR="006D6F6E" w:rsidRPr="00514A92">
        <w:rPr>
          <w:rFonts w:cs="Arial"/>
          <w:sz w:val="20"/>
        </w:rPr>
        <w:t>’</w:t>
      </w:r>
      <w:r w:rsidR="003D4DDF" w:rsidRPr="00514A92">
        <w:rPr>
          <w:rFonts w:cs="Arial"/>
          <w:sz w:val="20"/>
        </w:rPr>
        <w:t>s quite difficult to actually do group work</w:t>
      </w:r>
      <w:r w:rsidR="006D6F6E" w:rsidRPr="00514A92">
        <w:rPr>
          <w:rFonts w:cs="Arial"/>
          <w:sz w:val="20"/>
        </w:rPr>
        <w:t xml:space="preserve">”, </w:t>
      </w:r>
      <w:r w:rsidR="003D4DDF" w:rsidRPr="00514A92">
        <w:rPr>
          <w:rFonts w:cs="Arial"/>
          <w:sz w:val="20"/>
        </w:rPr>
        <w:t>Focus Group G)</w:t>
      </w:r>
      <w:r w:rsidR="006D6F6E" w:rsidRPr="00514A92">
        <w:rPr>
          <w:rFonts w:cs="Arial"/>
          <w:sz w:val="20"/>
        </w:rPr>
        <w:t xml:space="preserve">. Some students also </w:t>
      </w:r>
      <w:r w:rsidR="00F34080" w:rsidRPr="00514A92">
        <w:rPr>
          <w:rFonts w:cs="Arial"/>
          <w:sz w:val="20"/>
        </w:rPr>
        <w:t>stated</w:t>
      </w:r>
      <w:r w:rsidR="006D6F6E" w:rsidRPr="00514A92">
        <w:rPr>
          <w:rFonts w:cs="Arial"/>
          <w:sz w:val="20"/>
        </w:rPr>
        <w:t xml:space="preserve"> that they prefer to work individually (“sometimes I just like to do my own work, instead of doing it all together all the time”, Focus Group </w:t>
      </w:r>
      <w:r w:rsidR="00C96128" w:rsidRPr="00514A92">
        <w:rPr>
          <w:rFonts w:cs="Arial"/>
          <w:sz w:val="20"/>
        </w:rPr>
        <w:t>D</w:t>
      </w:r>
      <w:r w:rsidR="006D6F6E" w:rsidRPr="00514A92">
        <w:rPr>
          <w:rFonts w:cs="Arial"/>
          <w:sz w:val="20"/>
        </w:rPr>
        <w:t>).</w:t>
      </w:r>
    </w:p>
    <w:p w14:paraId="23BB51C0" w14:textId="77777777" w:rsidR="0014368B"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643BEE77" w14:textId="7CF8CDF3" w:rsidR="0014368B" w:rsidRPr="00514A92" w:rsidRDefault="0069684F"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Another key theme is associated with </w:t>
      </w:r>
      <w:r w:rsidR="0014368B" w:rsidRPr="00514A92">
        <w:rPr>
          <w:rFonts w:cs="Arial"/>
          <w:b/>
          <w:sz w:val="20"/>
        </w:rPr>
        <w:t xml:space="preserve">students’ different learning </w:t>
      </w:r>
      <w:r w:rsidR="0014368B" w:rsidRPr="00514A92">
        <w:rPr>
          <w:rFonts w:cs="Arial"/>
          <w:b/>
          <w:noProof/>
          <w:sz w:val="20"/>
        </w:rPr>
        <w:t xml:space="preserve">needs according to </w:t>
      </w:r>
      <w:r w:rsidR="0014368B" w:rsidRPr="00514A92">
        <w:rPr>
          <w:rFonts w:cs="Arial"/>
          <w:b/>
          <w:sz w:val="20"/>
        </w:rPr>
        <w:t xml:space="preserve">their </w:t>
      </w:r>
      <w:r w:rsidRPr="00514A92">
        <w:rPr>
          <w:rFonts w:cs="Arial"/>
          <w:b/>
          <w:sz w:val="20"/>
        </w:rPr>
        <w:t xml:space="preserve">varied </w:t>
      </w:r>
      <w:r w:rsidR="0014368B" w:rsidRPr="00514A92">
        <w:rPr>
          <w:rFonts w:cs="Arial"/>
          <w:b/>
          <w:sz w:val="20"/>
        </w:rPr>
        <w:t>stages in education</w:t>
      </w:r>
      <w:r w:rsidR="0014368B" w:rsidRPr="00514A92">
        <w:rPr>
          <w:rFonts w:cs="Arial"/>
          <w:sz w:val="20"/>
        </w:rPr>
        <w:t xml:space="preserve">. Importantly, we have observed a relationship between the needs of diverse students and the ways in which students </w:t>
      </w:r>
      <w:r w:rsidRPr="00514A92">
        <w:rPr>
          <w:rFonts w:cs="Arial"/>
          <w:sz w:val="20"/>
        </w:rPr>
        <w:t xml:space="preserve">engage with </w:t>
      </w:r>
      <w:r w:rsidR="0014368B" w:rsidRPr="00514A92">
        <w:rPr>
          <w:rFonts w:cs="Arial"/>
          <w:sz w:val="20"/>
        </w:rPr>
        <w:t xml:space="preserve">the resources available to them. </w:t>
      </w:r>
      <w:r w:rsidRPr="00514A92">
        <w:rPr>
          <w:rFonts w:cs="Arial"/>
          <w:sz w:val="20"/>
        </w:rPr>
        <w:t>Specifically</w:t>
      </w:r>
      <w:r w:rsidR="0014368B" w:rsidRPr="00514A92">
        <w:rPr>
          <w:rFonts w:cs="Arial"/>
          <w:sz w:val="20"/>
        </w:rPr>
        <w:t>, we have noticed that not all the students attended our writing</w:t>
      </w:r>
      <w:r w:rsidRPr="00514A92">
        <w:rPr>
          <w:rFonts w:cs="Arial"/>
          <w:sz w:val="20"/>
        </w:rPr>
        <w:t xml:space="preserve"> sessions despite being </w:t>
      </w:r>
      <w:r w:rsidR="00F34080" w:rsidRPr="00514A92">
        <w:rPr>
          <w:rFonts w:cs="Arial"/>
          <w:sz w:val="20"/>
        </w:rPr>
        <w:t>as part of the curriculum</w:t>
      </w:r>
      <w:r w:rsidR="0014368B" w:rsidRPr="00514A92">
        <w:rPr>
          <w:rFonts w:cs="Arial"/>
          <w:sz w:val="20"/>
        </w:rPr>
        <w:t>. This is particularly the case for those who did not have a long gap in education. Initially, we were concerned with the lack of engagement in learning for this particular group of students</w:t>
      </w:r>
      <w:r w:rsidRPr="00514A92">
        <w:rPr>
          <w:rFonts w:cs="Arial"/>
          <w:sz w:val="20"/>
        </w:rPr>
        <w:t xml:space="preserve">. </w:t>
      </w:r>
      <w:r w:rsidR="0014368B" w:rsidRPr="00514A92">
        <w:rPr>
          <w:rFonts w:cs="Arial"/>
          <w:sz w:val="20"/>
        </w:rPr>
        <w:t xml:space="preserve">However, based on the focus groups, we found that these students who have relatively more academic experience have, in fact, frequently engaged with the academic writing materials we uploaded to </w:t>
      </w:r>
      <w:r w:rsidRPr="00514A92">
        <w:rPr>
          <w:rFonts w:cs="Arial"/>
          <w:sz w:val="20"/>
        </w:rPr>
        <w:t>the module’s Moodle page</w:t>
      </w:r>
      <w:r w:rsidR="00F36D4C" w:rsidRPr="00514A92">
        <w:rPr>
          <w:rFonts w:cs="Arial"/>
          <w:sz w:val="20"/>
        </w:rPr>
        <w:t xml:space="preserve">. </w:t>
      </w:r>
      <w:r w:rsidR="0070374F" w:rsidRPr="00514A92">
        <w:rPr>
          <w:rFonts w:cs="Arial"/>
          <w:sz w:val="20"/>
        </w:rPr>
        <w:t xml:space="preserve">These materials consisted of the presentation slides and student sample texts used for in-class activities and are placed in line with </w:t>
      </w:r>
      <w:r w:rsidR="0014368B" w:rsidRPr="00514A92">
        <w:rPr>
          <w:rFonts w:cs="Arial"/>
          <w:sz w:val="20"/>
        </w:rPr>
        <w:t>the overall resources for the module, including its assessment</w:t>
      </w:r>
      <w:r w:rsidR="0070374F" w:rsidRPr="00514A92">
        <w:rPr>
          <w:rFonts w:cs="Arial"/>
          <w:sz w:val="20"/>
        </w:rPr>
        <w:t>s’</w:t>
      </w:r>
      <w:r w:rsidR="0014368B" w:rsidRPr="00514A92">
        <w:rPr>
          <w:rFonts w:cs="Arial"/>
          <w:sz w:val="20"/>
        </w:rPr>
        <w:t xml:space="preserve"> briefs and </w:t>
      </w:r>
      <w:r w:rsidR="0070374F" w:rsidRPr="00514A92">
        <w:rPr>
          <w:rFonts w:cs="Arial"/>
          <w:sz w:val="20"/>
        </w:rPr>
        <w:t xml:space="preserve">subject </w:t>
      </w:r>
      <w:r w:rsidR="0014368B" w:rsidRPr="00514A92">
        <w:rPr>
          <w:rFonts w:cs="Arial"/>
          <w:sz w:val="20"/>
        </w:rPr>
        <w:t>lecture</w:t>
      </w:r>
      <w:r w:rsidR="00F34080" w:rsidRPr="00514A92">
        <w:rPr>
          <w:rFonts w:cs="Arial"/>
          <w:sz w:val="20"/>
        </w:rPr>
        <w:t>s’</w:t>
      </w:r>
      <w:r w:rsidR="0014368B" w:rsidRPr="00514A92">
        <w:rPr>
          <w:rFonts w:cs="Arial"/>
          <w:sz w:val="20"/>
        </w:rPr>
        <w:t xml:space="preserve"> slides. </w:t>
      </w:r>
      <w:r w:rsidR="0070374F" w:rsidRPr="00514A92">
        <w:rPr>
          <w:rFonts w:cs="Arial"/>
          <w:sz w:val="20"/>
        </w:rPr>
        <w:t>All the focus groups</w:t>
      </w:r>
      <w:r w:rsidR="00CD0472" w:rsidRPr="00514A92">
        <w:rPr>
          <w:rFonts w:cs="Arial"/>
          <w:sz w:val="20"/>
        </w:rPr>
        <w:t xml:space="preserve"> </w:t>
      </w:r>
      <w:r w:rsidR="0070374F" w:rsidRPr="00514A92">
        <w:rPr>
          <w:rFonts w:cs="Arial"/>
          <w:sz w:val="20"/>
        </w:rPr>
        <w:t>(1</w:t>
      </w:r>
      <w:r w:rsidR="00C96128" w:rsidRPr="00514A92">
        <w:rPr>
          <w:rFonts w:cs="Arial"/>
          <w:sz w:val="20"/>
        </w:rPr>
        <w:t>0</w:t>
      </w:r>
      <w:r w:rsidR="00847769" w:rsidRPr="00514A92">
        <w:rPr>
          <w:rFonts w:cs="Arial"/>
          <w:sz w:val="20"/>
        </w:rPr>
        <w:t xml:space="preserve"> out of </w:t>
      </w:r>
      <w:r w:rsidR="0070374F" w:rsidRPr="00514A92">
        <w:rPr>
          <w:rFonts w:cs="Arial"/>
          <w:sz w:val="20"/>
        </w:rPr>
        <w:t>1</w:t>
      </w:r>
      <w:r w:rsidR="00C96128" w:rsidRPr="00514A92">
        <w:rPr>
          <w:rFonts w:cs="Arial"/>
          <w:sz w:val="20"/>
        </w:rPr>
        <w:t>0</w:t>
      </w:r>
      <w:r w:rsidR="0070374F" w:rsidRPr="00514A92">
        <w:rPr>
          <w:rFonts w:cs="Arial"/>
          <w:sz w:val="20"/>
        </w:rPr>
        <w:t xml:space="preserve">) </w:t>
      </w:r>
      <w:r w:rsidR="0014368B" w:rsidRPr="00514A92">
        <w:rPr>
          <w:rFonts w:cs="Arial"/>
          <w:sz w:val="20"/>
        </w:rPr>
        <w:t xml:space="preserve">expressed their frequent </w:t>
      </w:r>
      <w:r w:rsidR="0070374F" w:rsidRPr="00514A92">
        <w:rPr>
          <w:rFonts w:cs="Arial"/>
          <w:sz w:val="20"/>
        </w:rPr>
        <w:t xml:space="preserve">engagement </w:t>
      </w:r>
      <w:r w:rsidR="0014368B" w:rsidRPr="00514A92">
        <w:rPr>
          <w:rFonts w:cs="Arial"/>
          <w:sz w:val="20"/>
        </w:rPr>
        <w:t xml:space="preserve">with our resources </w:t>
      </w:r>
      <w:r w:rsidR="0070374F" w:rsidRPr="00514A92">
        <w:rPr>
          <w:rFonts w:cs="Arial"/>
          <w:sz w:val="20"/>
        </w:rPr>
        <w:t>on</w:t>
      </w:r>
      <w:r w:rsidR="0014368B" w:rsidRPr="00514A92">
        <w:rPr>
          <w:rFonts w:cs="Arial"/>
          <w:sz w:val="20"/>
        </w:rPr>
        <w:t xml:space="preserve"> Moodle</w:t>
      </w:r>
      <w:r w:rsidR="00CD0472" w:rsidRPr="00514A92">
        <w:rPr>
          <w:rFonts w:cs="Arial"/>
          <w:sz w:val="20"/>
        </w:rPr>
        <w:t xml:space="preserve"> (</w:t>
      </w:r>
      <w:r w:rsidR="0070374F" w:rsidRPr="00514A92">
        <w:rPr>
          <w:rFonts w:cs="Arial"/>
          <w:sz w:val="20"/>
        </w:rPr>
        <w:t>“I used the materials e</w:t>
      </w:r>
      <w:r w:rsidR="00CD0472" w:rsidRPr="00514A92">
        <w:rPr>
          <w:rFonts w:cs="Arial"/>
          <w:sz w:val="20"/>
        </w:rPr>
        <w:t>very time, for every of my assignment</w:t>
      </w:r>
      <w:r w:rsidR="0070374F" w:rsidRPr="00514A92">
        <w:rPr>
          <w:rFonts w:cs="Arial"/>
          <w:sz w:val="20"/>
        </w:rPr>
        <w:t>… e</w:t>
      </w:r>
      <w:r w:rsidR="00CD0472" w:rsidRPr="00514A92">
        <w:rPr>
          <w:rFonts w:cs="Arial"/>
          <w:sz w:val="20"/>
        </w:rPr>
        <w:t>specially if you’ve missed th</w:t>
      </w:r>
      <w:r w:rsidR="0070374F" w:rsidRPr="00514A92">
        <w:rPr>
          <w:rFonts w:cs="Arial"/>
          <w:sz w:val="20"/>
        </w:rPr>
        <w:t xml:space="preserve">e </w:t>
      </w:r>
      <w:r w:rsidR="00CD0472" w:rsidRPr="00514A92">
        <w:rPr>
          <w:rFonts w:cs="Arial"/>
          <w:sz w:val="20"/>
        </w:rPr>
        <w:t xml:space="preserve">writing </w:t>
      </w:r>
      <w:r w:rsidR="0070374F" w:rsidRPr="00514A92">
        <w:rPr>
          <w:rFonts w:cs="Arial"/>
          <w:sz w:val="20"/>
        </w:rPr>
        <w:t xml:space="preserve">sessions”, </w:t>
      </w:r>
      <w:r w:rsidR="00800977" w:rsidRPr="00514A92">
        <w:rPr>
          <w:rFonts w:cs="Arial"/>
          <w:sz w:val="20"/>
        </w:rPr>
        <w:t>Focus</w:t>
      </w:r>
      <w:r w:rsidR="00CD0472" w:rsidRPr="00514A92">
        <w:rPr>
          <w:rFonts w:cs="Arial"/>
          <w:sz w:val="20"/>
        </w:rPr>
        <w:t xml:space="preserve"> Group I)</w:t>
      </w:r>
      <w:r w:rsidR="0070374F" w:rsidRPr="00514A92">
        <w:rPr>
          <w:rFonts w:cs="Arial"/>
          <w:sz w:val="20"/>
        </w:rPr>
        <w:t>.</w:t>
      </w:r>
    </w:p>
    <w:p w14:paraId="288D27F1" w14:textId="77777777" w:rsidR="00CD0472" w:rsidRPr="00514A92" w:rsidRDefault="00CD0472"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right="397"/>
        <w:jc w:val="both"/>
        <w:rPr>
          <w:rFonts w:cs="Arial"/>
          <w:sz w:val="20"/>
        </w:rPr>
      </w:pPr>
    </w:p>
    <w:p w14:paraId="7D1D5326" w14:textId="2E17890D" w:rsidR="00953013" w:rsidRPr="00514A92" w:rsidRDefault="00897FA9" w:rsidP="00141F84">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cs="Arial"/>
          <w:sz w:val="20"/>
        </w:rPr>
      </w:pPr>
      <w:r w:rsidRPr="00514A92">
        <w:rPr>
          <w:rFonts w:cs="Arial"/>
          <w:sz w:val="20"/>
        </w:rPr>
        <w:t>This frequent use of</w:t>
      </w:r>
      <w:r w:rsidR="00F34080" w:rsidRPr="00514A92">
        <w:rPr>
          <w:rFonts w:cs="Arial"/>
          <w:sz w:val="20"/>
        </w:rPr>
        <w:t xml:space="preserve"> Moodle </w:t>
      </w:r>
      <w:r w:rsidRPr="00514A92">
        <w:rPr>
          <w:rFonts w:cs="Arial"/>
          <w:sz w:val="20"/>
        </w:rPr>
        <w:t>to access our provision</w:t>
      </w:r>
      <w:r w:rsidR="007F7054" w:rsidRPr="00514A92">
        <w:rPr>
          <w:rFonts w:cs="Arial"/>
          <w:sz w:val="20"/>
        </w:rPr>
        <w:t xml:space="preserve"> </w:t>
      </w:r>
      <w:r w:rsidR="0014368B" w:rsidRPr="00514A92">
        <w:rPr>
          <w:rFonts w:cs="Arial"/>
          <w:sz w:val="20"/>
        </w:rPr>
        <w:t xml:space="preserve">sheds light on </w:t>
      </w:r>
      <w:r w:rsidR="0014368B" w:rsidRPr="00514A92">
        <w:rPr>
          <w:rFonts w:cs="Arial"/>
          <w:b/>
          <w:sz w:val="20"/>
        </w:rPr>
        <w:t xml:space="preserve">the importance of acknowledging the differences in student learning strategies and the role that the </w:t>
      </w:r>
      <w:r w:rsidR="00F34080" w:rsidRPr="00514A92">
        <w:rPr>
          <w:rFonts w:cs="Arial"/>
          <w:b/>
          <w:sz w:val="20"/>
        </w:rPr>
        <w:t>virtual learning environment (</w:t>
      </w:r>
      <w:r w:rsidR="007F7054" w:rsidRPr="00514A92">
        <w:rPr>
          <w:rFonts w:cs="Arial"/>
          <w:b/>
          <w:sz w:val="20"/>
        </w:rPr>
        <w:t>VLE</w:t>
      </w:r>
      <w:r w:rsidR="00F34080" w:rsidRPr="00514A92">
        <w:rPr>
          <w:rFonts w:cs="Arial"/>
          <w:b/>
          <w:sz w:val="20"/>
        </w:rPr>
        <w:t>)</w:t>
      </w:r>
      <w:r w:rsidR="007F7054" w:rsidRPr="00514A92">
        <w:rPr>
          <w:rFonts w:cs="Arial"/>
          <w:b/>
          <w:sz w:val="20"/>
        </w:rPr>
        <w:t xml:space="preserve"> </w:t>
      </w:r>
      <w:r w:rsidR="0014368B" w:rsidRPr="00514A92">
        <w:rPr>
          <w:rFonts w:cs="Arial"/>
          <w:b/>
          <w:sz w:val="20"/>
        </w:rPr>
        <w:t>has within this</w:t>
      </w:r>
      <w:r w:rsidR="0014368B" w:rsidRPr="00514A92">
        <w:rPr>
          <w:rFonts w:cs="Arial"/>
          <w:sz w:val="20"/>
        </w:rPr>
        <w:t xml:space="preserve">. Given the consideration of a higher number of </w:t>
      </w:r>
      <w:r w:rsidR="00953013" w:rsidRPr="00514A92">
        <w:rPr>
          <w:rFonts w:cs="Arial"/>
          <w:sz w:val="20"/>
        </w:rPr>
        <w:t xml:space="preserve">our </w:t>
      </w:r>
      <w:r w:rsidR="00A27819" w:rsidRPr="00514A92">
        <w:rPr>
          <w:rFonts w:cs="Arial"/>
          <w:sz w:val="20"/>
        </w:rPr>
        <w:t>students</w:t>
      </w:r>
      <w:r w:rsidR="0014368B" w:rsidRPr="00514A92">
        <w:rPr>
          <w:rFonts w:cs="Arial"/>
          <w:sz w:val="20"/>
        </w:rPr>
        <w:t xml:space="preserve"> </w:t>
      </w:r>
      <w:r w:rsidR="00A27819" w:rsidRPr="00514A92">
        <w:rPr>
          <w:rFonts w:cs="Arial"/>
          <w:sz w:val="20"/>
        </w:rPr>
        <w:t>havin</w:t>
      </w:r>
      <w:r w:rsidR="00953013" w:rsidRPr="00514A92">
        <w:rPr>
          <w:rFonts w:cs="Arial"/>
          <w:sz w:val="20"/>
        </w:rPr>
        <w:t>g</w:t>
      </w:r>
      <w:r w:rsidR="0014368B" w:rsidRPr="00514A92">
        <w:rPr>
          <w:rFonts w:cs="Arial"/>
          <w:sz w:val="20"/>
        </w:rPr>
        <w:t xml:space="preserve"> other commitments outside the university, Moodle offer</w:t>
      </w:r>
      <w:r w:rsidR="00953013" w:rsidRPr="00514A92">
        <w:rPr>
          <w:rFonts w:cs="Arial"/>
          <w:sz w:val="20"/>
        </w:rPr>
        <w:t>s</w:t>
      </w:r>
      <w:r w:rsidR="0014368B" w:rsidRPr="00514A92">
        <w:rPr>
          <w:rFonts w:cs="Arial"/>
          <w:sz w:val="20"/>
        </w:rPr>
        <w:t xml:space="preserve"> students a more flexible learning platform as they </w:t>
      </w:r>
      <w:r w:rsidR="001057BD" w:rsidRPr="00514A92">
        <w:rPr>
          <w:rFonts w:cs="Arial"/>
          <w:sz w:val="20"/>
        </w:rPr>
        <w:t>can</w:t>
      </w:r>
      <w:r w:rsidR="0014368B" w:rsidRPr="00514A92">
        <w:rPr>
          <w:rFonts w:cs="Arial"/>
          <w:sz w:val="20"/>
        </w:rPr>
        <w:t xml:space="preserve"> access these resources at any time and in any space. Lea (2004) has discussed how the expansion in the use of the VLE </w:t>
      </w:r>
      <w:r w:rsidR="0014368B" w:rsidRPr="00514A92">
        <w:rPr>
          <w:rFonts w:cs="Arial"/>
          <w:noProof/>
          <w:sz w:val="20"/>
        </w:rPr>
        <w:t>has</w:t>
      </w:r>
      <w:r w:rsidR="0014368B" w:rsidRPr="00514A92">
        <w:rPr>
          <w:rFonts w:cs="Arial"/>
          <w:sz w:val="20"/>
        </w:rPr>
        <w:t xml:space="preserve"> provided further opportunities for a more inclusive and multimodal approach to the explicit instruction of academic literacies to students from non-traditional backgrounds. In our case, </w:t>
      </w:r>
      <w:r w:rsidR="00953013" w:rsidRPr="00514A92">
        <w:rPr>
          <w:rFonts w:cs="Arial"/>
          <w:sz w:val="20"/>
        </w:rPr>
        <w:t xml:space="preserve">as these </w:t>
      </w:r>
      <w:r w:rsidR="0014368B" w:rsidRPr="00514A92">
        <w:rPr>
          <w:rFonts w:cs="Arial"/>
          <w:sz w:val="20"/>
        </w:rPr>
        <w:t xml:space="preserve">online writing resources </w:t>
      </w:r>
      <w:r w:rsidRPr="00514A92">
        <w:rPr>
          <w:rFonts w:cs="Arial"/>
          <w:sz w:val="20"/>
        </w:rPr>
        <w:t xml:space="preserve">directly addressed </w:t>
      </w:r>
      <w:r w:rsidR="00953013" w:rsidRPr="00514A92">
        <w:rPr>
          <w:rFonts w:cs="Arial"/>
          <w:sz w:val="20"/>
        </w:rPr>
        <w:t xml:space="preserve">to </w:t>
      </w:r>
      <w:r w:rsidRPr="00514A92">
        <w:rPr>
          <w:rFonts w:cs="Arial"/>
          <w:sz w:val="20"/>
        </w:rPr>
        <w:t xml:space="preserve">the </w:t>
      </w:r>
      <w:r w:rsidR="0014368B" w:rsidRPr="00514A92">
        <w:rPr>
          <w:rFonts w:cs="Arial"/>
          <w:sz w:val="20"/>
        </w:rPr>
        <w:t xml:space="preserve">specific modules’ assessments, </w:t>
      </w:r>
      <w:r w:rsidR="00953013" w:rsidRPr="00514A92">
        <w:rPr>
          <w:rFonts w:cs="Arial"/>
          <w:sz w:val="20"/>
        </w:rPr>
        <w:t xml:space="preserve">students have found them relevant and hence are willing to engage with them (“when it’s time to do the actual assignment, I'll go back to Moodle and look at the materials that you’ve put on there and it’s helpful”, </w:t>
      </w:r>
      <w:r w:rsidR="008635A6" w:rsidRPr="00514A92">
        <w:rPr>
          <w:rFonts w:cs="Arial"/>
          <w:sz w:val="20"/>
        </w:rPr>
        <w:t xml:space="preserve">Focus </w:t>
      </w:r>
      <w:r w:rsidR="00953013" w:rsidRPr="00514A92">
        <w:rPr>
          <w:rFonts w:cs="Arial"/>
          <w:sz w:val="20"/>
        </w:rPr>
        <w:t>Group F).</w:t>
      </w:r>
    </w:p>
    <w:p w14:paraId="784FFB21" w14:textId="4535E5D5" w:rsidR="00EC76BA" w:rsidRPr="00514A92" w:rsidRDefault="00EC76BA"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281BFAA1" w14:textId="6410EF5D" w:rsidR="00985B51" w:rsidRPr="00514A92" w:rsidRDefault="0014368B" w:rsidP="00EC561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As discussed earlier, all student participants (41/41) have stated that the academic writing instruction has raised their understanding of module expectations of the assessments, which has contributed to their increased level of confidence and attainment</w:t>
      </w:r>
      <w:r w:rsidR="005D47C1" w:rsidRPr="00514A92">
        <w:rPr>
          <w:rFonts w:cs="Arial"/>
          <w:sz w:val="20"/>
        </w:rPr>
        <w:t xml:space="preserve"> (</w:t>
      </w:r>
      <w:r w:rsidR="006140FE" w:rsidRPr="00514A92">
        <w:rPr>
          <w:rFonts w:cs="Arial"/>
          <w:sz w:val="20"/>
        </w:rPr>
        <w:t>“</w:t>
      </w:r>
      <w:r w:rsidR="00C96128" w:rsidRPr="00514A92">
        <w:rPr>
          <w:rFonts w:cs="Arial"/>
          <w:sz w:val="20"/>
        </w:rPr>
        <w:t>at the beginning I had no confidence, I mean coming in with my secondary school skills</w:t>
      </w:r>
      <w:r w:rsidR="004168C2" w:rsidRPr="00514A92">
        <w:rPr>
          <w:rFonts w:cs="Arial"/>
          <w:sz w:val="20"/>
        </w:rPr>
        <w:t xml:space="preserve">… </w:t>
      </w:r>
      <w:r w:rsidR="00C96128" w:rsidRPr="00514A92">
        <w:rPr>
          <w:rFonts w:cs="Arial"/>
          <w:sz w:val="20"/>
        </w:rPr>
        <w:t xml:space="preserve">I guess now I can write an academic essay properly that, maybe not that good but still like good enough. I know next year I won’t be all over the place”, </w:t>
      </w:r>
      <w:r w:rsidR="008635A6" w:rsidRPr="00514A92">
        <w:rPr>
          <w:rFonts w:cs="Arial"/>
          <w:sz w:val="20"/>
        </w:rPr>
        <w:t xml:space="preserve">Focus </w:t>
      </w:r>
      <w:r w:rsidR="00C96128" w:rsidRPr="00514A92">
        <w:rPr>
          <w:rFonts w:cs="Arial"/>
          <w:sz w:val="20"/>
        </w:rPr>
        <w:t>Group C</w:t>
      </w:r>
      <w:r w:rsidR="005D47C1" w:rsidRPr="00514A92">
        <w:rPr>
          <w:rFonts w:cs="Arial"/>
          <w:sz w:val="20"/>
        </w:rPr>
        <w:t>)</w:t>
      </w:r>
      <w:r w:rsidRPr="00514A92">
        <w:rPr>
          <w:rFonts w:cs="Arial"/>
          <w:sz w:val="20"/>
        </w:rPr>
        <w:t xml:space="preserve">. </w:t>
      </w:r>
      <w:r w:rsidR="006140FE" w:rsidRPr="00514A92">
        <w:rPr>
          <w:rFonts w:cs="Arial"/>
          <w:sz w:val="20"/>
        </w:rPr>
        <w:t xml:space="preserve">This finding echoes the results from our comparison on student relative progress </w:t>
      </w:r>
      <w:r w:rsidRPr="00514A92">
        <w:rPr>
          <w:rFonts w:cs="Arial"/>
          <w:sz w:val="20"/>
        </w:rPr>
        <w:t xml:space="preserve">between their grades for the first </w:t>
      </w:r>
      <w:r w:rsidR="00FC0FBF" w:rsidRPr="00514A92">
        <w:rPr>
          <w:rFonts w:cs="Arial"/>
          <w:sz w:val="20"/>
        </w:rPr>
        <w:t xml:space="preserve">coursework </w:t>
      </w:r>
      <w:r w:rsidRPr="00514A92">
        <w:rPr>
          <w:rFonts w:cs="Arial"/>
          <w:sz w:val="20"/>
        </w:rPr>
        <w:t>(</w:t>
      </w:r>
      <w:r w:rsidR="006140FE" w:rsidRPr="00514A92">
        <w:rPr>
          <w:rFonts w:cs="Arial"/>
          <w:sz w:val="20"/>
        </w:rPr>
        <w:t>r</w:t>
      </w:r>
      <w:r w:rsidRPr="00514A92">
        <w:rPr>
          <w:rFonts w:cs="Arial"/>
          <w:sz w:val="20"/>
        </w:rPr>
        <w:t xml:space="preserve">esearch </w:t>
      </w:r>
      <w:r w:rsidR="006140FE" w:rsidRPr="00514A92">
        <w:rPr>
          <w:rFonts w:cs="Arial"/>
          <w:sz w:val="20"/>
        </w:rPr>
        <w:t>proposal</w:t>
      </w:r>
      <w:r w:rsidRPr="00514A92">
        <w:rPr>
          <w:rFonts w:cs="Arial"/>
          <w:sz w:val="20"/>
        </w:rPr>
        <w:t xml:space="preserve">) and </w:t>
      </w:r>
      <w:r w:rsidR="006140FE" w:rsidRPr="00514A92">
        <w:rPr>
          <w:rFonts w:cs="Arial"/>
          <w:sz w:val="20"/>
        </w:rPr>
        <w:t xml:space="preserve">the </w:t>
      </w:r>
      <w:r w:rsidRPr="00514A92">
        <w:rPr>
          <w:rFonts w:cs="Arial"/>
          <w:sz w:val="20"/>
        </w:rPr>
        <w:t>second coursework (</w:t>
      </w:r>
      <w:r w:rsidR="006140FE" w:rsidRPr="00514A92">
        <w:rPr>
          <w:rFonts w:cs="Arial"/>
          <w:sz w:val="20"/>
        </w:rPr>
        <w:t>r</w:t>
      </w:r>
      <w:r w:rsidRPr="00514A92">
        <w:rPr>
          <w:rFonts w:cs="Arial"/>
          <w:sz w:val="20"/>
        </w:rPr>
        <w:t>esearch report) in the focal module, in comparison with the relative progress of students from the previous year</w:t>
      </w:r>
      <w:r w:rsidR="00CE4787" w:rsidRPr="00514A92">
        <w:rPr>
          <w:rFonts w:cs="Arial"/>
          <w:sz w:val="20"/>
        </w:rPr>
        <w:t>, as shown in Table 3 below:</w:t>
      </w:r>
    </w:p>
    <w:p w14:paraId="3F32014A" w14:textId="411CD3B8" w:rsidR="00985B51" w:rsidRPr="00514A92" w:rsidRDefault="00985B51"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621E64F5" w14:textId="7A640DDE" w:rsidR="00CE4787" w:rsidRPr="00514A92" w:rsidRDefault="00CE4787" w:rsidP="008B0531">
      <w:pPr>
        <w:rPr>
          <w:rFonts w:ascii="Arial" w:hAnsi="Arial" w:cs="Arial"/>
          <w:b/>
          <w:sz w:val="18"/>
          <w:szCs w:val="20"/>
        </w:rPr>
      </w:pPr>
      <w:r w:rsidRPr="00514A92">
        <w:rPr>
          <w:rFonts w:ascii="Arial" w:hAnsi="Arial" w:cs="Arial"/>
          <w:b/>
          <w:sz w:val="18"/>
          <w:szCs w:val="20"/>
        </w:rPr>
        <w:t>Table 3 Students' relative progress between CW1</w:t>
      </w:r>
      <w:r w:rsidR="00FC0FBF" w:rsidRPr="00514A92">
        <w:rPr>
          <w:rFonts w:ascii="Arial" w:hAnsi="Arial" w:cs="Arial"/>
          <w:b/>
          <w:sz w:val="18"/>
          <w:szCs w:val="20"/>
        </w:rPr>
        <w:t xml:space="preserve"> (research proposal)</w:t>
      </w:r>
      <w:r w:rsidRPr="00514A92">
        <w:rPr>
          <w:rFonts w:ascii="Arial" w:hAnsi="Arial" w:cs="Arial"/>
          <w:b/>
          <w:sz w:val="18"/>
          <w:szCs w:val="20"/>
        </w:rPr>
        <w:t xml:space="preserve"> and CW2 </w:t>
      </w:r>
      <w:r w:rsidR="00FC0FBF" w:rsidRPr="00514A92">
        <w:rPr>
          <w:rFonts w:ascii="Arial" w:hAnsi="Arial" w:cs="Arial"/>
          <w:b/>
          <w:sz w:val="18"/>
          <w:szCs w:val="20"/>
        </w:rPr>
        <w:t>(research report) across academic years</w:t>
      </w:r>
    </w:p>
    <w:p w14:paraId="41440CD7" w14:textId="7595766B" w:rsidR="00CE4787" w:rsidRPr="00514A92" w:rsidRDefault="00CE4787" w:rsidP="008B0531">
      <w:pPr>
        <w:rPr>
          <w:rFonts w:ascii="Arial" w:hAnsi="Arial" w:cs="Arial"/>
          <w:b/>
          <w:sz w:val="20"/>
          <w:szCs w:val="20"/>
        </w:rPr>
      </w:pPr>
      <w:r w:rsidRPr="00514A92">
        <w:rPr>
          <w:rFonts w:ascii="Arial" w:eastAsia="Arial" w:hAnsi="Arial" w:cs="Arial"/>
          <w:noProof/>
          <w:sz w:val="20"/>
          <w:szCs w:val="20"/>
          <w:lang w:eastAsia="en-GB"/>
        </w:rPr>
        <w:drawing>
          <wp:inline distT="0" distB="0" distL="0" distR="0" wp14:anchorId="33D71221" wp14:editId="0E4F4B00">
            <wp:extent cx="5731510" cy="27146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14625"/>
                    </a:xfrm>
                    <a:prstGeom prst="rect">
                      <a:avLst/>
                    </a:prstGeom>
                    <a:noFill/>
                    <a:ln>
                      <a:noFill/>
                    </a:ln>
                  </pic:spPr>
                </pic:pic>
              </a:graphicData>
            </a:graphic>
          </wp:inline>
        </w:drawing>
      </w:r>
    </w:p>
    <w:p w14:paraId="515E9B1A" w14:textId="77777777" w:rsidR="00BD38D7" w:rsidRPr="00514A92" w:rsidRDefault="00BD38D7"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38C7FDE3" w14:textId="582CEE6D" w:rsidR="00313CB7"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As can be seen from Table </w:t>
      </w:r>
      <w:r w:rsidR="00CE4787" w:rsidRPr="00514A92">
        <w:rPr>
          <w:rFonts w:cs="Arial"/>
          <w:sz w:val="20"/>
        </w:rPr>
        <w:t>3</w:t>
      </w:r>
      <w:r w:rsidRPr="00514A92">
        <w:rPr>
          <w:rFonts w:cs="Arial"/>
          <w:sz w:val="20"/>
        </w:rPr>
        <w:t xml:space="preserve"> </w:t>
      </w:r>
      <w:r w:rsidR="00CE4787" w:rsidRPr="00514A92">
        <w:rPr>
          <w:rFonts w:cs="Arial"/>
          <w:sz w:val="20"/>
        </w:rPr>
        <w:t>above</w:t>
      </w:r>
      <w:r w:rsidRPr="00514A92">
        <w:rPr>
          <w:rFonts w:cs="Arial"/>
          <w:sz w:val="20"/>
        </w:rPr>
        <w:t>, given the consideration of a higher level of difficulty of the second coursework (</w:t>
      </w:r>
      <w:r w:rsidR="00CE4787" w:rsidRPr="00514A92">
        <w:rPr>
          <w:rFonts w:cs="Arial"/>
          <w:sz w:val="20"/>
        </w:rPr>
        <w:t>r</w:t>
      </w:r>
      <w:r w:rsidRPr="00514A92">
        <w:rPr>
          <w:rFonts w:cs="Arial"/>
          <w:sz w:val="20"/>
        </w:rPr>
        <w:t xml:space="preserve">esearch report), it might not be surprising to see that around 35% of the students went down at least one </w:t>
      </w:r>
      <w:r w:rsidR="00C778F0" w:rsidRPr="00514A92">
        <w:rPr>
          <w:rFonts w:cs="Arial"/>
          <w:sz w:val="20"/>
        </w:rPr>
        <w:t>grade scale</w:t>
      </w:r>
      <w:r w:rsidRPr="00514A92">
        <w:rPr>
          <w:rFonts w:cs="Arial"/>
          <w:sz w:val="20"/>
        </w:rPr>
        <w:t xml:space="preserve"> in both academic years. However, the table shows that a </w:t>
      </w:r>
      <w:r w:rsidRPr="00514A92">
        <w:rPr>
          <w:rFonts w:cs="Arial"/>
          <w:noProof/>
          <w:sz w:val="20"/>
        </w:rPr>
        <w:t>significant</w:t>
      </w:r>
      <w:r w:rsidRPr="00514A92">
        <w:rPr>
          <w:rFonts w:cs="Arial"/>
          <w:sz w:val="20"/>
        </w:rPr>
        <w:t xml:space="preserve"> higher percentage of students in the year 2015/16 increased their grades at least by one </w:t>
      </w:r>
      <w:r w:rsidR="00C778F0" w:rsidRPr="00514A92">
        <w:rPr>
          <w:rFonts w:cs="Arial"/>
          <w:sz w:val="20"/>
        </w:rPr>
        <w:t>scale</w:t>
      </w:r>
      <w:r w:rsidRPr="00514A92">
        <w:rPr>
          <w:rFonts w:cs="Arial"/>
          <w:sz w:val="20"/>
        </w:rPr>
        <w:t xml:space="preserve"> than the ones during the previous year (44.78% vs. 33.33%). </w:t>
      </w:r>
      <w:r w:rsidR="00CE4787" w:rsidRPr="00514A92">
        <w:rPr>
          <w:rFonts w:cs="Arial"/>
          <w:sz w:val="20"/>
        </w:rPr>
        <w:t xml:space="preserve">This </w:t>
      </w:r>
      <w:r w:rsidR="00FC0FBF" w:rsidRPr="00514A92">
        <w:rPr>
          <w:rFonts w:cs="Arial"/>
          <w:sz w:val="20"/>
        </w:rPr>
        <w:t xml:space="preserve">improvement might be due to our </w:t>
      </w:r>
      <w:r w:rsidR="00E334CC" w:rsidRPr="00514A92">
        <w:rPr>
          <w:rFonts w:cs="Arial"/>
          <w:sz w:val="20"/>
        </w:rPr>
        <w:t xml:space="preserve">tailored and continuous embedded writing provision within the subject curriculum during the year 2015-16. Specifically, we had </w:t>
      </w:r>
      <w:r w:rsidRPr="00514A92">
        <w:rPr>
          <w:rFonts w:cs="Arial"/>
          <w:sz w:val="20"/>
        </w:rPr>
        <w:t xml:space="preserve">a weekly </w:t>
      </w:r>
      <w:r w:rsidR="00E334CC" w:rsidRPr="00514A92">
        <w:rPr>
          <w:rFonts w:cs="Arial"/>
          <w:sz w:val="20"/>
        </w:rPr>
        <w:t xml:space="preserve">an </w:t>
      </w:r>
      <w:r w:rsidRPr="00514A92">
        <w:rPr>
          <w:rFonts w:cs="Arial"/>
          <w:sz w:val="20"/>
        </w:rPr>
        <w:t>hour and</w:t>
      </w:r>
      <w:r w:rsidR="00E334CC" w:rsidRPr="00514A92">
        <w:rPr>
          <w:rFonts w:cs="Arial"/>
          <w:sz w:val="20"/>
        </w:rPr>
        <w:t xml:space="preserve"> </w:t>
      </w:r>
      <w:r w:rsidRPr="00514A92">
        <w:rPr>
          <w:rFonts w:cs="Arial"/>
          <w:noProof/>
          <w:sz w:val="20"/>
        </w:rPr>
        <w:t>half</w:t>
      </w:r>
      <w:r w:rsidRPr="00514A92">
        <w:rPr>
          <w:rFonts w:cs="Arial"/>
          <w:sz w:val="20"/>
        </w:rPr>
        <w:t xml:space="preserve"> </w:t>
      </w:r>
      <w:r w:rsidR="00E334CC" w:rsidRPr="00514A92">
        <w:rPr>
          <w:rFonts w:cs="Arial"/>
          <w:sz w:val="20"/>
        </w:rPr>
        <w:t xml:space="preserve">timeslots within student timetable </w:t>
      </w:r>
      <w:r w:rsidRPr="00514A92">
        <w:rPr>
          <w:rFonts w:cs="Arial"/>
          <w:sz w:val="20"/>
        </w:rPr>
        <w:t xml:space="preserve">dedicated to different sections in the research </w:t>
      </w:r>
      <w:r w:rsidR="00E334CC" w:rsidRPr="00514A92">
        <w:rPr>
          <w:rFonts w:cs="Arial"/>
          <w:sz w:val="20"/>
        </w:rPr>
        <w:t xml:space="preserve">proposal and </w:t>
      </w:r>
      <w:r w:rsidRPr="00514A92">
        <w:rPr>
          <w:rFonts w:cs="Arial"/>
          <w:sz w:val="20"/>
        </w:rPr>
        <w:t>report</w:t>
      </w:r>
      <w:r w:rsidR="00E334CC" w:rsidRPr="00514A92">
        <w:rPr>
          <w:rFonts w:cs="Arial"/>
          <w:sz w:val="20"/>
        </w:rPr>
        <w:t xml:space="preserve"> writing</w:t>
      </w:r>
      <w:r w:rsidRPr="00514A92">
        <w:rPr>
          <w:rFonts w:cs="Arial"/>
          <w:sz w:val="20"/>
        </w:rPr>
        <w:t xml:space="preserve"> (</w:t>
      </w:r>
      <w:r w:rsidR="00E334CC" w:rsidRPr="00514A92">
        <w:rPr>
          <w:rFonts w:cs="Arial"/>
          <w:sz w:val="20"/>
        </w:rPr>
        <w:t xml:space="preserve">e.g., </w:t>
      </w:r>
      <w:r w:rsidRPr="00514A92">
        <w:rPr>
          <w:rFonts w:cs="Arial"/>
          <w:sz w:val="20"/>
        </w:rPr>
        <w:t xml:space="preserve">introduction, literature review, methods, findings and discussion). We </w:t>
      </w:r>
      <w:r w:rsidR="00E334CC" w:rsidRPr="00514A92">
        <w:rPr>
          <w:rFonts w:cs="Arial"/>
          <w:sz w:val="20"/>
        </w:rPr>
        <w:t>consider</w:t>
      </w:r>
      <w:r w:rsidRPr="00514A92">
        <w:rPr>
          <w:rFonts w:cs="Arial"/>
          <w:sz w:val="20"/>
        </w:rPr>
        <w:t xml:space="preserve"> this tailored </w:t>
      </w:r>
      <w:r w:rsidR="00E334CC" w:rsidRPr="00514A92">
        <w:rPr>
          <w:rFonts w:cs="Arial"/>
          <w:sz w:val="20"/>
        </w:rPr>
        <w:t xml:space="preserve">approach </w:t>
      </w:r>
      <w:r w:rsidRPr="00514A92">
        <w:rPr>
          <w:rFonts w:cs="Arial"/>
          <w:sz w:val="20"/>
        </w:rPr>
        <w:t xml:space="preserve">could have been one of the main </w:t>
      </w:r>
      <w:r w:rsidR="00E334CC" w:rsidRPr="00514A92">
        <w:rPr>
          <w:rFonts w:cs="Arial"/>
          <w:sz w:val="20"/>
        </w:rPr>
        <w:t>reasons</w:t>
      </w:r>
      <w:r w:rsidRPr="00514A92">
        <w:rPr>
          <w:rFonts w:cs="Arial"/>
          <w:sz w:val="20"/>
        </w:rPr>
        <w:t xml:space="preserve"> for this higher proportion of student</w:t>
      </w:r>
      <w:r w:rsidR="00C778F0" w:rsidRPr="00514A92">
        <w:rPr>
          <w:rFonts w:cs="Arial"/>
          <w:sz w:val="20"/>
        </w:rPr>
        <w:t xml:space="preserve"> improvements in attainment</w:t>
      </w:r>
      <w:r w:rsidRPr="00514A92">
        <w:rPr>
          <w:rFonts w:cs="Arial"/>
          <w:sz w:val="20"/>
        </w:rPr>
        <w:t>, in comparison to the previous year. This result also coincides with students’ reported views and experiences towards our writing intervention, where they highlighted the relevance and usefulness</w:t>
      </w:r>
      <w:r w:rsidR="00E334CC" w:rsidRPr="00514A92">
        <w:rPr>
          <w:rFonts w:cs="Arial"/>
          <w:sz w:val="20"/>
        </w:rPr>
        <w:t xml:space="preserve"> </w:t>
      </w:r>
      <w:r w:rsidR="00E334CC" w:rsidRPr="00514A92">
        <w:rPr>
          <w:rFonts w:cs="Arial"/>
          <w:noProof/>
          <w:sz w:val="20"/>
        </w:rPr>
        <w:t>to</w:t>
      </w:r>
      <w:r w:rsidR="00E334CC" w:rsidRPr="00514A92">
        <w:rPr>
          <w:rFonts w:cs="Arial"/>
          <w:sz w:val="20"/>
        </w:rPr>
        <w:t xml:space="preserve"> their coursework. </w:t>
      </w:r>
      <w:r w:rsidRPr="00514A92">
        <w:rPr>
          <w:rFonts w:cs="Arial"/>
          <w:sz w:val="20"/>
        </w:rPr>
        <w:t xml:space="preserve"> </w:t>
      </w:r>
    </w:p>
    <w:p w14:paraId="13316059" w14:textId="5DD4C234" w:rsidR="00E334CC" w:rsidRPr="00514A92" w:rsidRDefault="00E334CC"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pPr>
    </w:p>
    <w:p w14:paraId="462B24E0" w14:textId="77777777" w:rsidR="00E334CC" w:rsidRPr="00514A92" w:rsidRDefault="00E334CC"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sz w:val="20"/>
        </w:rPr>
        <w:sectPr w:rsidR="00E334CC" w:rsidRPr="00514A92" w:rsidSect="00955EF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09" w:footer="709" w:gutter="0"/>
          <w:cols w:space="708"/>
          <w:titlePg/>
          <w:docGrid w:linePitch="360"/>
        </w:sectPr>
      </w:pPr>
    </w:p>
    <w:p w14:paraId="5C0A1404" w14:textId="779421F5" w:rsidR="0014368B" w:rsidRPr="00514A92" w:rsidRDefault="0014368B"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r w:rsidRPr="00514A92">
        <w:rPr>
          <w:rFonts w:cs="Arial"/>
          <w:b/>
          <w:sz w:val="22"/>
          <w:szCs w:val="22"/>
        </w:rPr>
        <w:t>5. Conclusion and w</w:t>
      </w:r>
      <w:bookmarkStart w:id="3" w:name="_GoBack"/>
      <w:bookmarkEnd w:id="3"/>
      <w:r w:rsidRPr="00514A92">
        <w:rPr>
          <w:rFonts w:cs="Arial"/>
          <w:b/>
          <w:sz w:val="22"/>
          <w:szCs w:val="22"/>
        </w:rPr>
        <w:t>ays forward</w:t>
      </w:r>
    </w:p>
    <w:p w14:paraId="08E7A453" w14:textId="77777777" w:rsidR="00A1467F" w:rsidRPr="00514A92" w:rsidRDefault="00A1467F"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713DCC80" w14:textId="3C384BBA" w:rsidR="008B1115" w:rsidRPr="00514A92" w:rsidRDefault="0014368B"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 xml:space="preserve">This project has focused on the evaluation of the impact and effectiveness of an inclusive approach to the instruction of academic writing, drawing on a case study of a redesigned </w:t>
      </w:r>
      <w:r w:rsidR="00CE040E" w:rsidRPr="00514A92">
        <w:rPr>
          <w:rFonts w:cs="Arial"/>
          <w:sz w:val="20"/>
        </w:rPr>
        <w:t xml:space="preserve">social science </w:t>
      </w:r>
      <w:r w:rsidRPr="00514A92">
        <w:rPr>
          <w:rFonts w:cs="Arial"/>
          <w:sz w:val="20"/>
        </w:rPr>
        <w:t xml:space="preserve">foundation module in a </w:t>
      </w:r>
      <w:r w:rsidR="00E8081C" w:rsidRPr="00514A92">
        <w:rPr>
          <w:rFonts w:cs="Arial"/>
          <w:sz w:val="20"/>
        </w:rPr>
        <w:t xml:space="preserve">UK-based </w:t>
      </w:r>
      <w:r w:rsidRPr="00514A92">
        <w:rPr>
          <w:rFonts w:cs="Arial"/>
          <w:sz w:val="20"/>
        </w:rPr>
        <w:t>post-1992</w:t>
      </w:r>
      <w:r w:rsidR="00E8081C" w:rsidRPr="00514A92">
        <w:rPr>
          <w:rFonts w:cs="Arial"/>
          <w:sz w:val="20"/>
        </w:rPr>
        <w:t xml:space="preserve"> </w:t>
      </w:r>
      <w:r w:rsidRPr="00514A92">
        <w:rPr>
          <w:rFonts w:cs="Arial"/>
          <w:sz w:val="20"/>
        </w:rPr>
        <w:t>institution (characterised by a higher presence of non-traditional students).</w:t>
      </w:r>
      <w:r w:rsidR="00CA22F2" w:rsidRPr="00514A92">
        <w:rPr>
          <w:rFonts w:cs="Arial"/>
          <w:sz w:val="20"/>
        </w:rPr>
        <w:t xml:space="preserve"> The inclusive aspect of the provision </w:t>
      </w:r>
      <w:r w:rsidR="002424AC" w:rsidRPr="00514A92">
        <w:rPr>
          <w:rFonts w:cs="Arial"/>
          <w:sz w:val="20"/>
        </w:rPr>
        <w:t>is informed by the genre-based approach and Academic Literacies perspectives, the integration of which aims to respond to the challenges and opportunities presented by the vast student diversity at the focal institution. Our focus groups suggest students’ positive responses and feedback on our writing provision</w:t>
      </w:r>
      <w:r w:rsidR="00FE4546" w:rsidRPr="00514A92">
        <w:rPr>
          <w:rFonts w:cs="Arial"/>
          <w:sz w:val="20"/>
        </w:rPr>
        <w:t xml:space="preserve"> where students self-reported their increased levels of confidence and attainment in terms of meeting the assessment requirements and lecturer</w:t>
      </w:r>
      <w:r w:rsidR="00C778F0" w:rsidRPr="00514A92">
        <w:rPr>
          <w:rFonts w:cs="Arial"/>
          <w:sz w:val="20"/>
        </w:rPr>
        <w:t>s’</w:t>
      </w:r>
      <w:r w:rsidR="00FE4546" w:rsidRPr="00514A92">
        <w:rPr>
          <w:rFonts w:cs="Arial"/>
          <w:sz w:val="20"/>
        </w:rPr>
        <w:t xml:space="preserve"> expectations. </w:t>
      </w:r>
      <w:r w:rsidR="001F162E" w:rsidRPr="00514A92">
        <w:rPr>
          <w:rFonts w:cs="Arial"/>
          <w:sz w:val="20"/>
        </w:rPr>
        <w:t>This</w:t>
      </w:r>
      <w:r w:rsidR="00AF0467" w:rsidRPr="00514A92">
        <w:rPr>
          <w:rFonts w:cs="Arial"/>
          <w:sz w:val="20"/>
        </w:rPr>
        <w:t xml:space="preserve"> </w:t>
      </w:r>
      <w:r w:rsidR="001F162E" w:rsidRPr="00514A92">
        <w:rPr>
          <w:rFonts w:cs="Arial"/>
          <w:sz w:val="20"/>
        </w:rPr>
        <w:t xml:space="preserve">also </w:t>
      </w:r>
      <w:r w:rsidR="00AF0467" w:rsidRPr="00514A92">
        <w:rPr>
          <w:rFonts w:cs="Arial"/>
          <w:sz w:val="20"/>
        </w:rPr>
        <w:t xml:space="preserve">resonates with the </w:t>
      </w:r>
      <w:r w:rsidR="001F162E" w:rsidRPr="00514A92">
        <w:rPr>
          <w:rFonts w:cs="Arial"/>
          <w:sz w:val="20"/>
        </w:rPr>
        <w:t xml:space="preserve">increase in the percentage of students who had positively progressed across assessments in the focal module, in comparison to the previous year. </w:t>
      </w:r>
      <w:r w:rsidR="008B1115" w:rsidRPr="00514A92" w:rsidDel="008B1115">
        <w:rPr>
          <w:rFonts w:cs="Arial"/>
          <w:sz w:val="20"/>
        </w:rPr>
        <w:t xml:space="preserve"> </w:t>
      </w:r>
    </w:p>
    <w:p w14:paraId="4056D236" w14:textId="77777777" w:rsidR="007E36CA" w:rsidRPr="00514A92" w:rsidRDefault="007E36CA"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24483FA0" w14:textId="6BFCCBD3" w:rsidR="0014368B" w:rsidRPr="00514A92" w:rsidRDefault="001F162E"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The positive outcome of the writing provision is also associated with the close collaboration between the module leader and the writing tutors to ensure the relevance, consistency and appropriate timing within the subject curriculum.</w:t>
      </w:r>
      <w:r w:rsidR="0002356B" w:rsidRPr="00514A92">
        <w:rPr>
          <w:rFonts w:cs="Arial"/>
          <w:sz w:val="20"/>
        </w:rPr>
        <w:t xml:space="preserve"> With a skill-and-subject-content balanced curriculum, </w:t>
      </w:r>
      <w:r w:rsidR="00FE4546" w:rsidRPr="00514A92">
        <w:rPr>
          <w:rFonts w:cs="Arial"/>
          <w:sz w:val="20"/>
        </w:rPr>
        <w:t>students have been able</w:t>
      </w:r>
      <w:r w:rsidR="00D37E30" w:rsidRPr="00514A92">
        <w:rPr>
          <w:rFonts w:cs="Arial"/>
          <w:sz w:val="20"/>
        </w:rPr>
        <w:t xml:space="preserve"> to acknowledge and appreciate the connection between subject learning and academic skills development. </w:t>
      </w:r>
      <w:r w:rsidR="0014368B" w:rsidRPr="00514A92">
        <w:rPr>
          <w:rFonts w:cs="Arial"/>
          <w:sz w:val="20"/>
        </w:rPr>
        <w:t>These findings demonstrate the merits of implementing the explicit academic literacy instruction within the subject curriculum</w:t>
      </w:r>
      <w:r w:rsidR="0002356B" w:rsidRPr="00514A92">
        <w:rPr>
          <w:rFonts w:cs="Arial"/>
          <w:sz w:val="20"/>
        </w:rPr>
        <w:t xml:space="preserve"> (cf. generic study skills support). T</w:t>
      </w:r>
      <w:r w:rsidR="0014368B" w:rsidRPr="00514A92">
        <w:rPr>
          <w:rFonts w:cs="Arial"/>
          <w:sz w:val="20"/>
        </w:rPr>
        <w:t xml:space="preserve">he </w:t>
      </w:r>
      <w:r w:rsidR="0002356B" w:rsidRPr="00514A92">
        <w:rPr>
          <w:rFonts w:cs="Arial"/>
          <w:sz w:val="20"/>
        </w:rPr>
        <w:t>employment</w:t>
      </w:r>
      <w:r w:rsidR="0014368B" w:rsidRPr="00514A92">
        <w:rPr>
          <w:rFonts w:cs="Arial"/>
          <w:sz w:val="20"/>
        </w:rPr>
        <w:t xml:space="preserve"> of genre-based approach</w:t>
      </w:r>
      <w:r w:rsidR="0002356B" w:rsidRPr="00514A92">
        <w:rPr>
          <w:rFonts w:cs="Arial"/>
          <w:sz w:val="20"/>
        </w:rPr>
        <w:t>es</w:t>
      </w:r>
      <w:r w:rsidR="0014368B" w:rsidRPr="00514A92">
        <w:rPr>
          <w:rFonts w:cs="Arial"/>
          <w:sz w:val="20"/>
        </w:rPr>
        <w:t xml:space="preserve"> </w:t>
      </w:r>
      <w:r w:rsidR="0002356B" w:rsidRPr="00514A92">
        <w:rPr>
          <w:rFonts w:cs="Arial"/>
          <w:sz w:val="20"/>
        </w:rPr>
        <w:t xml:space="preserve">and </w:t>
      </w:r>
      <w:r w:rsidR="0014368B" w:rsidRPr="00514A92">
        <w:rPr>
          <w:rFonts w:cs="Arial"/>
          <w:sz w:val="20"/>
        </w:rPr>
        <w:t>the academic literacies perspective</w:t>
      </w:r>
      <w:r w:rsidR="0002356B" w:rsidRPr="00514A92">
        <w:rPr>
          <w:rFonts w:cs="Arial"/>
          <w:sz w:val="20"/>
        </w:rPr>
        <w:t>s</w:t>
      </w:r>
      <w:r w:rsidR="0014368B" w:rsidRPr="00514A92">
        <w:rPr>
          <w:rFonts w:cs="Arial"/>
          <w:sz w:val="20"/>
        </w:rPr>
        <w:t xml:space="preserve"> </w:t>
      </w:r>
      <w:r w:rsidR="0002356B" w:rsidRPr="00514A92">
        <w:rPr>
          <w:rFonts w:cs="Arial"/>
          <w:sz w:val="20"/>
        </w:rPr>
        <w:t xml:space="preserve">has provided a more inclusive learning space to support students with their transition into higher education. </w:t>
      </w:r>
      <w:r w:rsidR="0014368B" w:rsidRPr="00514A92">
        <w:rPr>
          <w:rFonts w:cs="Arial"/>
          <w:sz w:val="20"/>
        </w:rPr>
        <w:t xml:space="preserve">The features of inclusion and accessibility of the discipline-specific provision </w:t>
      </w:r>
      <w:r w:rsidR="0014368B" w:rsidRPr="00514A92">
        <w:rPr>
          <w:rFonts w:cs="Arial"/>
          <w:noProof/>
          <w:sz w:val="20"/>
        </w:rPr>
        <w:t>ha</w:t>
      </w:r>
      <w:r w:rsidR="00141F84" w:rsidRPr="00514A92">
        <w:rPr>
          <w:rFonts w:cs="Arial"/>
          <w:noProof/>
          <w:sz w:val="20"/>
        </w:rPr>
        <w:t>ve</w:t>
      </w:r>
      <w:r w:rsidR="0014368B" w:rsidRPr="00514A92">
        <w:rPr>
          <w:rFonts w:cs="Arial"/>
          <w:sz w:val="20"/>
        </w:rPr>
        <w:t xml:space="preserve"> facilitated students to embrace the idea that academic literacy development is not a discrete aspect of their studies, but an integral </w:t>
      </w:r>
      <w:r w:rsidR="00D37E30" w:rsidRPr="00514A92">
        <w:rPr>
          <w:rFonts w:cs="Arial"/>
          <w:sz w:val="20"/>
        </w:rPr>
        <w:t>part of establishing their own academic voice and identity, and preparing for the graduate labour market.</w:t>
      </w:r>
      <w:r w:rsidR="0014368B" w:rsidRPr="00514A92">
        <w:rPr>
          <w:rFonts w:cs="Arial"/>
          <w:sz w:val="20"/>
        </w:rPr>
        <w:t xml:space="preserve"> </w:t>
      </w:r>
    </w:p>
    <w:p w14:paraId="14D6E096" w14:textId="77777777" w:rsidR="00D37E30" w:rsidRPr="00514A92" w:rsidRDefault="00D37E30"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p>
    <w:p w14:paraId="7F15E917" w14:textId="0AC43C5A" w:rsidR="006E4B6D" w:rsidRPr="00514A92" w:rsidRDefault="00D37E30" w:rsidP="00BD38D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lastRenderedPageBreak/>
        <w:t>It is</w:t>
      </w:r>
      <w:r w:rsidR="0014368B" w:rsidRPr="00514A92">
        <w:rPr>
          <w:rFonts w:cs="Arial"/>
          <w:sz w:val="20"/>
        </w:rPr>
        <w:t xml:space="preserve"> </w:t>
      </w:r>
      <w:r w:rsidRPr="00514A92">
        <w:rPr>
          <w:rFonts w:cs="Arial"/>
          <w:sz w:val="20"/>
        </w:rPr>
        <w:t xml:space="preserve">also </w:t>
      </w:r>
      <w:r w:rsidR="0014368B" w:rsidRPr="00514A92">
        <w:rPr>
          <w:rFonts w:cs="Arial"/>
          <w:sz w:val="20"/>
        </w:rPr>
        <w:t xml:space="preserve">interesting to note that, when it comes to the development of writing and language skills, the notion of student engagement in learning and teaching needs to be </w:t>
      </w:r>
      <w:r w:rsidRPr="00514A92">
        <w:rPr>
          <w:rFonts w:cs="Arial"/>
          <w:sz w:val="20"/>
        </w:rPr>
        <w:t>revisited</w:t>
      </w:r>
      <w:r w:rsidR="0014368B" w:rsidRPr="00514A92">
        <w:rPr>
          <w:rFonts w:cs="Arial"/>
          <w:sz w:val="20"/>
        </w:rPr>
        <w:t>.</w:t>
      </w:r>
      <w:r w:rsidRPr="00514A92">
        <w:rPr>
          <w:rFonts w:cs="Arial"/>
          <w:sz w:val="20"/>
        </w:rPr>
        <w:t xml:space="preserve"> </w:t>
      </w:r>
      <w:r w:rsidR="0014368B" w:rsidRPr="00514A92">
        <w:rPr>
          <w:rFonts w:cs="Arial"/>
          <w:sz w:val="20"/>
        </w:rPr>
        <w:t xml:space="preserve">Specifically, as </w:t>
      </w:r>
      <w:r w:rsidRPr="00514A92">
        <w:rPr>
          <w:rFonts w:cs="Arial"/>
          <w:sz w:val="20"/>
        </w:rPr>
        <w:t>discussed</w:t>
      </w:r>
      <w:r w:rsidR="0014368B" w:rsidRPr="00514A92">
        <w:rPr>
          <w:rFonts w:cs="Arial"/>
          <w:sz w:val="20"/>
        </w:rPr>
        <w:t xml:space="preserve"> earlier,</w:t>
      </w:r>
      <w:r w:rsidR="00012043" w:rsidRPr="00514A92">
        <w:rPr>
          <w:rFonts w:cs="Arial"/>
          <w:sz w:val="20"/>
        </w:rPr>
        <w:t xml:space="preserve"> despite the lack of attendance and apparent disengagement with the writing sessions</w:t>
      </w:r>
      <w:r w:rsidR="00685244" w:rsidRPr="00514A92">
        <w:rPr>
          <w:rFonts w:cs="Arial"/>
          <w:sz w:val="20"/>
        </w:rPr>
        <w:t xml:space="preserve">, many of these students expressed their frequent engagement with the resources we uploaded to </w:t>
      </w:r>
      <w:r w:rsidR="00C778F0" w:rsidRPr="00514A92">
        <w:rPr>
          <w:rFonts w:cs="Arial"/>
          <w:sz w:val="20"/>
        </w:rPr>
        <w:t>the VLE</w:t>
      </w:r>
      <w:r w:rsidR="00685244" w:rsidRPr="00514A92">
        <w:rPr>
          <w:rFonts w:cs="Arial"/>
          <w:sz w:val="20"/>
        </w:rPr>
        <w:t xml:space="preserve">, especially those which were directly tailored to their assessment requirements. </w:t>
      </w:r>
      <w:r w:rsidR="0014368B" w:rsidRPr="00514A92">
        <w:rPr>
          <w:rFonts w:cs="Arial"/>
          <w:sz w:val="20"/>
        </w:rPr>
        <w:t xml:space="preserve">This </w:t>
      </w:r>
      <w:r w:rsidR="00685244" w:rsidRPr="00514A92">
        <w:rPr>
          <w:rFonts w:cs="Arial"/>
          <w:sz w:val="20"/>
        </w:rPr>
        <w:t xml:space="preserve">finding </w:t>
      </w:r>
      <w:r w:rsidR="0014368B" w:rsidRPr="00514A92">
        <w:rPr>
          <w:rFonts w:cs="Arial"/>
          <w:sz w:val="20"/>
        </w:rPr>
        <w:t>indicates the need to better diversify our modes of support as to accommodate the different learning styles and consequently, increase the impact that this type of provision can have on the attainment</w:t>
      </w:r>
      <w:r w:rsidR="00A21EF6" w:rsidRPr="00514A92">
        <w:rPr>
          <w:rFonts w:cs="Arial"/>
          <w:sz w:val="20"/>
        </w:rPr>
        <w:t xml:space="preserve"> and student success, especially those from non-traditional backgrounds (Wong, 2018).</w:t>
      </w:r>
      <w:r w:rsidR="0014368B" w:rsidRPr="00514A92">
        <w:rPr>
          <w:rFonts w:cs="Arial"/>
          <w:sz w:val="20"/>
        </w:rPr>
        <w:t xml:space="preserve"> </w:t>
      </w:r>
      <w:bookmarkEnd w:id="2"/>
    </w:p>
    <w:p w14:paraId="5CDA7759" w14:textId="77777777" w:rsidR="00A21EF6" w:rsidRPr="00514A92" w:rsidRDefault="00A21EF6" w:rsidP="008B111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ab/>
      </w:r>
    </w:p>
    <w:p w14:paraId="560FB8F5" w14:textId="32A0C60C" w:rsidR="008B1115" w:rsidRPr="00514A92" w:rsidRDefault="00806A3B" w:rsidP="008B111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jc w:val="both"/>
        <w:rPr>
          <w:rFonts w:cs="Arial"/>
          <w:sz w:val="20"/>
        </w:rPr>
      </w:pPr>
      <w:r w:rsidRPr="00514A92">
        <w:rPr>
          <w:rFonts w:cs="Arial"/>
          <w:sz w:val="20"/>
        </w:rPr>
        <w:t>In this study</w:t>
      </w:r>
      <w:r w:rsidR="008B1115" w:rsidRPr="00514A92">
        <w:rPr>
          <w:rFonts w:cs="Arial"/>
          <w:sz w:val="20"/>
        </w:rPr>
        <w:t xml:space="preserve">, we acknowledge that the interpretation of the intervention outcomes would have been more thorough if we </w:t>
      </w:r>
      <w:r w:rsidR="000A7500" w:rsidRPr="00514A92">
        <w:rPr>
          <w:rFonts w:cs="Arial"/>
          <w:sz w:val="20"/>
        </w:rPr>
        <w:t>had been</w:t>
      </w:r>
      <w:r w:rsidR="008B1115" w:rsidRPr="00514A92">
        <w:rPr>
          <w:rFonts w:cs="Arial"/>
          <w:sz w:val="20"/>
        </w:rPr>
        <w:t xml:space="preserve"> able to conduct a longitudinal study which further observes and measures a range of variables. That said, we </w:t>
      </w:r>
      <w:r w:rsidR="000A7500" w:rsidRPr="00514A92">
        <w:rPr>
          <w:rFonts w:cs="Arial"/>
          <w:sz w:val="20"/>
        </w:rPr>
        <w:t xml:space="preserve">are confident that our intervention has a positive impact on student academic literacy development. </w:t>
      </w:r>
      <w:r w:rsidR="00124647" w:rsidRPr="00514A92">
        <w:rPr>
          <w:rFonts w:cs="Arial"/>
          <w:sz w:val="20"/>
        </w:rPr>
        <w:t xml:space="preserve">This study, we hope, has </w:t>
      </w:r>
      <w:r w:rsidR="000A7500" w:rsidRPr="00514A92">
        <w:rPr>
          <w:rFonts w:cs="Arial"/>
          <w:sz w:val="20"/>
        </w:rPr>
        <w:t>presented</w:t>
      </w:r>
      <w:r w:rsidR="00124647" w:rsidRPr="00514A92">
        <w:rPr>
          <w:rFonts w:cs="Arial"/>
          <w:sz w:val="20"/>
        </w:rPr>
        <w:t xml:space="preserve"> a working conceptual</w:t>
      </w:r>
      <w:r w:rsidR="000A7500" w:rsidRPr="00514A92">
        <w:rPr>
          <w:rFonts w:cs="Arial"/>
          <w:sz w:val="20"/>
        </w:rPr>
        <w:t xml:space="preserve"> framework </w:t>
      </w:r>
      <w:r w:rsidR="00124647" w:rsidRPr="00514A92">
        <w:rPr>
          <w:rFonts w:cs="Arial"/>
          <w:sz w:val="20"/>
        </w:rPr>
        <w:t>that brings</w:t>
      </w:r>
      <w:r w:rsidR="005B3773" w:rsidRPr="00514A92">
        <w:rPr>
          <w:rFonts w:cs="Arial"/>
          <w:sz w:val="20"/>
        </w:rPr>
        <w:t xml:space="preserve"> together </w:t>
      </w:r>
      <w:r w:rsidR="00124647" w:rsidRPr="00514A92">
        <w:rPr>
          <w:rFonts w:cs="Arial"/>
          <w:sz w:val="20"/>
        </w:rPr>
        <w:t xml:space="preserve">genre-based pedagogy and Academic Literacies </w:t>
      </w:r>
      <w:r w:rsidR="005B3773" w:rsidRPr="00514A92">
        <w:rPr>
          <w:rFonts w:cs="Arial"/>
          <w:sz w:val="20"/>
        </w:rPr>
        <w:t>in</w:t>
      </w:r>
      <w:r w:rsidR="00124647" w:rsidRPr="00514A92">
        <w:rPr>
          <w:rFonts w:cs="Arial"/>
          <w:sz w:val="20"/>
        </w:rPr>
        <w:t xml:space="preserve"> the teaching of academic writing. </w:t>
      </w:r>
      <w:r w:rsidR="008B1115" w:rsidRPr="00514A92">
        <w:rPr>
          <w:rFonts w:cs="Arial"/>
          <w:sz w:val="20"/>
        </w:rPr>
        <w:t xml:space="preserve">Going forward, we encourage researcher-practitioners in this field to </w:t>
      </w:r>
      <w:r w:rsidR="000A7500" w:rsidRPr="00514A92">
        <w:rPr>
          <w:rFonts w:cs="Arial"/>
          <w:sz w:val="20"/>
        </w:rPr>
        <w:t>consider</w:t>
      </w:r>
      <w:r w:rsidR="008B1115" w:rsidRPr="00514A92">
        <w:rPr>
          <w:rFonts w:cs="Arial"/>
          <w:sz w:val="20"/>
        </w:rPr>
        <w:t xml:space="preserve"> our </w:t>
      </w:r>
      <w:r w:rsidR="000A7500" w:rsidRPr="00514A92">
        <w:rPr>
          <w:rFonts w:cs="Arial"/>
          <w:sz w:val="20"/>
        </w:rPr>
        <w:t>approach</w:t>
      </w:r>
      <w:r w:rsidR="008B1115" w:rsidRPr="00514A92">
        <w:rPr>
          <w:rFonts w:cs="Arial"/>
          <w:sz w:val="20"/>
        </w:rPr>
        <w:t xml:space="preserve"> </w:t>
      </w:r>
      <w:r w:rsidR="000A7500" w:rsidRPr="00514A92">
        <w:rPr>
          <w:rFonts w:cs="Arial"/>
          <w:sz w:val="20"/>
        </w:rPr>
        <w:t>in the</w:t>
      </w:r>
      <w:r w:rsidR="008B1115" w:rsidRPr="00514A92">
        <w:rPr>
          <w:rFonts w:cs="Arial"/>
          <w:sz w:val="20"/>
        </w:rPr>
        <w:t xml:space="preserve"> teaching of academic literacy skills and evaluate the extent to which it is applicable/effective to their situated contexts.</w:t>
      </w:r>
      <w:r w:rsidR="0016715B" w:rsidRPr="00514A92">
        <w:rPr>
          <w:rFonts w:cs="Arial"/>
          <w:sz w:val="20"/>
        </w:rPr>
        <w:t xml:space="preserve"> </w:t>
      </w:r>
    </w:p>
    <w:p w14:paraId="3437604D" w14:textId="77777777" w:rsidR="008B1115" w:rsidRPr="00514A92" w:rsidRDefault="008B111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069C231A" w14:textId="1F9C9AA8" w:rsidR="006E4B6D" w:rsidRPr="00514A92" w:rsidRDefault="00B079EC"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2"/>
          <w:szCs w:val="22"/>
        </w:rPr>
      </w:pPr>
      <w:r w:rsidRPr="00514A92">
        <w:rPr>
          <w:rFonts w:cs="Arial"/>
          <w:b/>
          <w:sz w:val="22"/>
          <w:szCs w:val="22"/>
        </w:rPr>
        <w:t>References</w:t>
      </w:r>
    </w:p>
    <w:p w14:paraId="0CD714A5" w14:textId="429EFBE5" w:rsidR="000F0DC9" w:rsidRPr="00514A92" w:rsidRDefault="00182ECD" w:rsidP="008B0531">
      <w:pPr>
        <w:pStyle w:val="Normal0"/>
        <w:ind w:left="720" w:hanging="720"/>
        <w:mirrorIndents/>
        <w:jc w:val="both"/>
        <w:rPr>
          <w:rFonts w:cs="Arial"/>
          <w:sz w:val="20"/>
        </w:rPr>
      </w:pPr>
      <w:r w:rsidRPr="00514A92">
        <w:rPr>
          <w:rFonts w:cs="Arial"/>
          <w:sz w:val="20"/>
        </w:rPr>
        <w:t>Bhatia, V. K.</w:t>
      </w:r>
      <w:r w:rsidR="000F0DC9" w:rsidRPr="00514A92">
        <w:rPr>
          <w:rFonts w:cs="Arial"/>
          <w:sz w:val="20"/>
        </w:rPr>
        <w:t xml:space="preserve"> (1993). </w:t>
      </w:r>
      <w:r w:rsidR="000F0DC9" w:rsidRPr="00514A92">
        <w:rPr>
          <w:rFonts w:cs="Arial"/>
          <w:i/>
          <w:sz w:val="20"/>
        </w:rPr>
        <w:t>Analysing genre: Language use in professional settings</w:t>
      </w:r>
      <w:r w:rsidR="000F0DC9" w:rsidRPr="00514A92">
        <w:rPr>
          <w:rFonts w:cs="Arial"/>
          <w:sz w:val="20"/>
        </w:rPr>
        <w:t>. London, UK: Longman.</w:t>
      </w:r>
    </w:p>
    <w:p w14:paraId="323FC713"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Bunton, D. (2005). The structure of </w:t>
      </w:r>
      <w:r w:rsidRPr="00514A92">
        <w:rPr>
          <w:rFonts w:cs="Arial"/>
          <w:noProof/>
          <w:sz w:val="20"/>
        </w:rPr>
        <w:t>PhD</w:t>
      </w:r>
      <w:r w:rsidRPr="00514A92">
        <w:rPr>
          <w:rFonts w:cs="Arial"/>
          <w:sz w:val="20"/>
        </w:rPr>
        <w:t xml:space="preserve"> conclusion chapters. </w:t>
      </w:r>
      <w:r w:rsidRPr="00514A92">
        <w:rPr>
          <w:rFonts w:cs="Arial"/>
          <w:i/>
          <w:sz w:val="20"/>
        </w:rPr>
        <w:t>Journal of English for Academic Purposes</w:t>
      </w:r>
      <w:r w:rsidRPr="00514A92">
        <w:rPr>
          <w:rFonts w:cs="Arial"/>
          <w:sz w:val="20"/>
        </w:rPr>
        <w:t xml:space="preserve">, </w:t>
      </w:r>
      <w:r w:rsidRPr="00514A92">
        <w:rPr>
          <w:rFonts w:cs="Arial"/>
          <w:i/>
          <w:sz w:val="20"/>
        </w:rPr>
        <w:t>4</w:t>
      </w:r>
      <w:r w:rsidRPr="00514A92">
        <w:rPr>
          <w:rFonts w:cs="Arial"/>
          <w:sz w:val="20"/>
        </w:rPr>
        <w:t>(3), pp. 207-224.</w:t>
      </w:r>
    </w:p>
    <w:p w14:paraId="3F9A11F0" w14:textId="2DE9CF1C" w:rsidR="00AB4F7B" w:rsidRPr="00514A92" w:rsidRDefault="00AB4F7B" w:rsidP="00AB4F7B">
      <w:pPr>
        <w:pStyle w:val="Normal0"/>
        <w:ind w:left="720" w:hanging="720"/>
        <w:mirrorIndents/>
        <w:jc w:val="both"/>
        <w:rPr>
          <w:rFonts w:cs="Arial"/>
          <w:sz w:val="20"/>
          <w:lang w:val="pl-PL"/>
        </w:rPr>
      </w:pPr>
      <w:r w:rsidRPr="00514A92">
        <w:rPr>
          <w:rFonts w:cs="Arial"/>
          <w:sz w:val="20"/>
          <w:lang w:val="pl-PL"/>
        </w:rPr>
        <w:t xml:space="preserve">Chiu, Y.L.T. (2015). Personal statement in PhD applications: Gatekeepers' evaluative perspectives. </w:t>
      </w:r>
      <w:r w:rsidRPr="00514A92">
        <w:rPr>
          <w:rFonts w:cs="Arial"/>
          <w:i/>
          <w:sz w:val="20"/>
          <w:lang w:val="pl-PL"/>
        </w:rPr>
        <w:t>Journal of English for Academic Purposes</w:t>
      </w:r>
      <w:r w:rsidRPr="00514A92">
        <w:rPr>
          <w:rFonts w:cs="Arial"/>
          <w:sz w:val="20"/>
          <w:lang w:val="pl-PL"/>
        </w:rPr>
        <w:t xml:space="preserve">, </w:t>
      </w:r>
      <w:r w:rsidRPr="00514A92">
        <w:rPr>
          <w:rFonts w:cs="Arial"/>
          <w:i/>
          <w:sz w:val="20"/>
          <w:lang w:val="pl-PL"/>
        </w:rPr>
        <w:t>17</w:t>
      </w:r>
      <w:r w:rsidRPr="00514A92">
        <w:rPr>
          <w:rFonts w:cs="Arial"/>
          <w:sz w:val="20"/>
          <w:lang w:val="pl-PL"/>
        </w:rPr>
        <w:t>, pp. 63-73.</w:t>
      </w:r>
    </w:p>
    <w:p w14:paraId="0690EF20" w14:textId="4CBE9C0B" w:rsidR="007407AA" w:rsidRPr="00514A92" w:rsidRDefault="007407AA" w:rsidP="008B0531">
      <w:pPr>
        <w:pStyle w:val="Normal0"/>
        <w:ind w:left="720" w:hanging="720"/>
        <w:mirrorIndents/>
        <w:jc w:val="both"/>
        <w:rPr>
          <w:rFonts w:cs="Arial"/>
          <w:sz w:val="20"/>
          <w:lang w:val="pl-PL"/>
        </w:rPr>
      </w:pPr>
      <w:r w:rsidRPr="00514A92">
        <w:rPr>
          <w:rFonts w:cs="Arial"/>
          <w:sz w:val="20"/>
          <w:lang w:val="pl-PL"/>
        </w:rPr>
        <w:t xml:space="preserve">Chiu, Y.L.T. (2016). ‘Singing your tune’: Genre structure and writer identity in personal statements for doctoral applications. </w:t>
      </w:r>
      <w:r w:rsidRPr="00514A92">
        <w:rPr>
          <w:rFonts w:cs="Arial"/>
          <w:i/>
          <w:sz w:val="20"/>
          <w:lang w:val="pl-PL"/>
        </w:rPr>
        <w:t>Journal of English for Academic Purposes</w:t>
      </w:r>
      <w:r w:rsidRPr="00514A92">
        <w:rPr>
          <w:rFonts w:cs="Arial"/>
          <w:sz w:val="20"/>
          <w:lang w:val="pl-PL"/>
        </w:rPr>
        <w:t xml:space="preserve">, </w:t>
      </w:r>
      <w:r w:rsidRPr="00514A92">
        <w:rPr>
          <w:rFonts w:cs="Arial"/>
          <w:i/>
          <w:sz w:val="20"/>
          <w:lang w:val="pl-PL"/>
        </w:rPr>
        <w:t>21</w:t>
      </w:r>
      <w:r w:rsidRPr="00514A92">
        <w:rPr>
          <w:rFonts w:cs="Arial"/>
          <w:sz w:val="20"/>
          <w:lang w:val="pl-PL"/>
        </w:rPr>
        <w:t>, pp. 48-59.</w:t>
      </w:r>
    </w:p>
    <w:p w14:paraId="53C4E22B" w14:textId="74FD84B7" w:rsidR="000F0DC9" w:rsidRPr="00514A92" w:rsidRDefault="000F0DC9" w:rsidP="008B0531">
      <w:pPr>
        <w:pStyle w:val="Normal0"/>
        <w:ind w:left="720" w:hanging="720"/>
        <w:mirrorIndents/>
        <w:jc w:val="both"/>
        <w:rPr>
          <w:rFonts w:cs="Arial"/>
          <w:sz w:val="20"/>
        </w:rPr>
      </w:pPr>
      <w:r w:rsidRPr="00514A92">
        <w:rPr>
          <w:rFonts w:cs="Arial"/>
          <w:sz w:val="20"/>
          <w:lang w:val="pl-PL"/>
        </w:rPr>
        <w:t>Erwin, C.O.</w:t>
      </w:r>
      <w:r w:rsidR="00182ECD" w:rsidRPr="00514A92">
        <w:rPr>
          <w:rFonts w:cs="Arial"/>
          <w:sz w:val="20"/>
          <w:lang w:val="pl-PL"/>
        </w:rPr>
        <w:t>,</w:t>
      </w:r>
      <w:r w:rsidRPr="00514A92">
        <w:rPr>
          <w:rFonts w:cs="Arial"/>
          <w:sz w:val="20"/>
          <w:lang w:val="pl-PL"/>
        </w:rPr>
        <w:t xml:space="preserve"> &amp; Zappile, T.M. (2013). </w:t>
      </w:r>
      <w:r w:rsidRPr="00514A92">
        <w:rPr>
          <w:rFonts w:cs="Arial"/>
          <w:sz w:val="20"/>
        </w:rPr>
        <w:t xml:space="preserve">Organizational Response to a University Writing Initiative: Writing in the Disciplines (WID) in an Interdisciplinary Department. </w:t>
      </w:r>
      <w:r w:rsidRPr="00514A92">
        <w:rPr>
          <w:rFonts w:cs="Arial"/>
          <w:i/>
          <w:sz w:val="20"/>
        </w:rPr>
        <w:t>Double Helix</w:t>
      </w:r>
      <w:r w:rsidRPr="00514A92">
        <w:rPr>
          <w:rFonts w:cs="Arial"/>
          <w:sz w:val="20"/>
        </w:rPr>
        <w:t xml:space="preserve">, </w:t>
      </w:r>
      <w:r w:rsidRPr="00514A92">
        <w:rPr>
          <w:rFonts w:cs="Arial"/>
          <w:i/>
          <w:sz w:val="20"/>
        </w:rPr>
        <w:t>1</w:t>
      </w:r>
      <w:r w:rsidRPr="00514A92">
        <w:rPr>
          <w:rFonts w:cs="Arial"/>
          <w:sz w:val="20"/>
        </w:rPr>
        <w:t>, pp. 1-19.</w:t>
      </w:r>
    </w:p>
    <w:p w14:paraId="4325634A" w14:textId="72AC4BAD" w:rsidR="000F0DC9" w:rsidRPr="00514A92" w:rsidRDefault="000F0DC9" w:rsidP="008B0531">
      <w:pPr>
        <w:pStyle w:val="Normal0"/>
        <w:ind w:left="720" w:hanging="720"/>
        <w:mirrorIndents/>
        <w:jc w:val="both"/>
        <w:rPr>
          <w:rFonts w:cs="Arial"/>
          <w:sz w:val="20"/>
        </w:rPr>
      </w:pPr>
      <w:r w:rsidRPr="00514A92">
        <w:rPr>
          <w:rFonts w:cs="Arial"/>
          <w:sz w:val="20"/>
        </w:rPr>
        <w:t>Flowerdew, J.</w:t>
      </w:r>
      <w:r w:rsidR="00182ECD" w:rsidRPr="00514A92">
        <w:rPr>
          <w:rFonts w:cs="Arial"/>
          <w:sz w:val="20"/>
        </w:rPr>
        <w:t>,</w:t>
      </w:r>
      <w:r w:rsidRPr="00514A92">
        <w:rPr>
          <w:rFonts w:cs="Arial"/>
          <w:sz w:val="20"/>
        </w:rPr>
        <w:t xml:space="preserve"> &amp; Dudley</w:t>
      </w:r>
      <w:r w:rsidRPr="00514A92">
        <w:rPr>
          <w:rFonts w:ascii="Cambria Math" w:hAnsi="Cambria Math" w:cs="Cambria Math"/>
          <w:sz w:val="20"/>
        </w:rPr>
        <w:t>‐</w:t>
      </w:r>
      <w:r w:rsidRPr="00514A92">
        <w:rPr>
          <w:rFonts w:cs="Arial"/>
          <w:sz w:val="20"/>
        </w:rPr>
        <w:t>Evans, T. (2002). Genre analysis of editorial letters to international journal contributors. </w:t>
      </w:r>
      <w:r w:rsidRPr="00514A92">
        <w:rPr>
          <w:rFonts w:cs="Arial"/>
          <w:i/>
          <w:sz w:val="20"/>
        </w:rPr>
        <w:t xml:space="preserve">Applied </w:t>
      </w:r>
      <w:r w:rsidRPr="00514A92">
        <w:rPr>
          <w:rFonts w:cs="Arial"/>
          <w:i/>
          <w:noProof/>
          <w:sz w:val="20"/>
        </w:rPr>
        <w:t>linguistics</w:t>
      </w:r>
      <w:r w:rsidRPr="00514A92">
        <w:rPr>
          <w:rFonts w:cs="Arial"/>
          <w:sz w:val="20"/>
        </w:rPr>
        <w:t>, </w:t>
      </w:r>
      <w:r w:rsidRPr="00514A92">
        <w:rPr>
          <w:rFonts w:cs="Arial"/>
          <w:i/>
          <w:sz w:val="20"/>
        </w:rPr>
        <w:t>23</w:t>
      </w:r>
      <w:r w:rsidRPr="00514A92">
        <w:rPr>
          <w:rFonts w:cs="Arial"/>
          <w:sz w:val="20"/>
        </w:rPr>
        <w:t>(4), pp.463-489.</w:t>
      </w:r>
    </w:p>
    <w:p w14:paraId="0C5ED54B" w14:textId="77777777" w:rsidR="000F0DC9" w:rsidRPr="00514A92" w:rsidRDefault="000F0DC9" w:rsidP="008B0531">
      <w:pPr>
        <w:pStyle w:val="Normal0"/>
        <w:ind w:left="720" w:hanging="720"/>
        <w:mirrorIndents/>
        <w:jc w:val="both"/>
        <w:rPr>
          <w:rFonts w:cs="Arial"/>
          <w:i/>
          <w:sz w:val="20"/>
        </w:rPr>
      </w:pPr>
      <w:r w:rsidRPr="00514A92">
        <w:rPr>
          <w:rFonts w:cs="Arial"/>
          <w:sz w:val="20"/>
        </w:rPr>
        <w:t xml:space="preserve">Hyland, K. (2004). </w:t>
      </w:r>
      <w:r w:rsidRPr="00514A92">
        <w:rPr>
          <w:rFonts w:cs="Arial"/>
          <w:i/>
          <w:sz w:val="20"/>
        </w:rPr>
        <w:t>Genre and second language writing</w:t>
      </w:r>
      <w:r w:rsidRPr="00514A92">
        <w:rPr>
          <w:rFonts w:cs="Arial"/>
          <w:sz w:val="20"/>
        </w:rPr>
        <w:t>. USA: University of Michigan Press, Ann Arbor.</w:t>
      </w:r>
    </w:p>
    <w:p w14:paraId="2D2955B2"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Hyland, K. (2005). </w:t>
      </w:r>
      <w:r w:rsidRPr="00514A92">
        <w:rPr>
          <w:rFonts w:cs="Arial"/>
          <w:i/>
          <w:sz w:val="20"/>
        </w:rPr>
        <w:t>Metadiscourse: Exploring interaction in writing. London</w:t>
      </w:r>
      <w:r w:rsidRPr="00514A92">
        <w:rPr>
          <w:rFonts w:cs="Arial"/>
          <w:sz w:val="20"/>
        </w:rPr>
        <w:t>. UK: Continuum Intl Pub Group.</w:t>
      </w:r>
    </w:p>
    <w:p w14:paraId="25C95107"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Hyland, K. (2013). Writing in the university: education, </w:t>
      </w:r>
      <w:r w:rsidRPr="00514A92">
        <w:rPr>
          <w:rFonts w:cs="Arial"/>
          <w:noProof/>
          <w:sz w:val="20"/>
        </w:rPr>
        <w:t>knowledge</w:t>
      </w:r>
      <w:r w:rsidRPr="00514A92">
        <w:rPr>
          <w:rFonts w:cs="Arial"/>
          <w:sz w:val="20"/>
        </w:rPr>
        <w:t xml:space="preserve"> and reputation. </w:t>
      </w:r>
      <w:r w:rsidRPr="00514A92">
        <w:rPr>
          <w:rFonts w:cs="Arial"/>
          <w:i/>
          <w:sz w:val="20"/>
        </w:rPr>
        <w:t>Language Teaching</w:t>
      </w:r>
      <w:r w:rsidRPr="00514A92">
        <w:rPr>
          <w:rFonts w:cs="Arial"/>
          <w:sz w:val="20"/>
        </w:rPr>
        <w:t xml:space="preserve">, </w:t>
      </w:r>
      <w:r w:rsidRPr="00514A92">
        <w:rPr>
          <w:rFonts w:cs="Arial"/>
          <w:i/>
          <w:sz w:val="20"/>
        </w:rPr>
        <w:t>46</w:t>
      </w:r>
      <w:r w:rsidRPr="00514A92">
        <w:rPr>
          <w:rFonts w:cs="Arial"/>
          <w:sz w:val="20"/>
        </w:rPr>
        <w:t>(1), 53-70.</w:t>
      </w:r>
    </w:p>
    <w:p w14:paraId="37363855"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Ivanič, R. (1998). </w:t>
      </w:r>
      <w:r w:rsidRPr="00514A92">
        <w:rPr>
          <w:rFonts w:cs="Arial"/>
          <w:i/>
          <w:sz w:val="20"/>
        </w:rPr>
        <w:t>Writing and identity: The discoursal construction of identity in academic writing</w:t>
      </w:r>
      <w:r w:rsidRPr="00514A92">
        <w:rPr>
          <w:rFonts w:cs="Arial"/>
          <w:sz w:val="20"/>
        </w:rPr>
        <w:t>. Amsterdam: John Benjamins.</w:t>
      </w:r>
    </w:p>
    <w:p w14:paraId="361BF6F6"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Johns, A. M. (Ed.). (2002). </w:t>
      </w:r>
      <w:r w:rsidRPr="00514A92">
        <w:rPr>
          <w:rFonts w:cs="Arial"/>
          <w:i/>
          <w:sz w:val="20"/>
        </w:rPr>
        <w:t>Genre in the classroom: Multiple perspectives</w:t>
      </w:r>
      <w:r w:rsidRPr="00514A92">
        <w:rPr>
          <w:rFonts w:cs="Arial"/>
          <w:sz w:val="20"/>
        </w:rPr>
        <w:t>. Mahwah, NJ: Lawrence Erlbaum.</w:t>
      </w:r>
    </w:p>
    <w:p w14:paraId="69DE0C4A" w14:textId="62CFC4B2" w:rsidR="000F0DC9" w:rsidRPr="00514A92" w:rsidRDefault="000F0DC9" w:rsidP="008B0531">
      <w:pPr>
        <w:pStyle w:val="Normal0"/>
        <w:ind w:left="720" w:hanging="720"/>
        <w:mirrorIndents/>
        <w:jc w:val="both"/>
        <w:rPr>
          <w:rFonts w:cs="Arial"/>
          <w:sz w:val="20"/>
        </w:rPr>
      </w:pPr>
      <w:r w:rsidRPr="00514A92">
        <w:rPr>
          <w:rFonts w:cs="Arial"/>
          <w:sz w:val="20"/>
        </w:rPr>
        <w:t>Johns, A.</w:t>
      </w:r>
      <w:r w:rsidR="00C778F0" w:rsidRPr="00514A92">
        <w:rPr>
          <w:rFonts w:cs="Arial"/>
          <w:sz w:val="20"/>
        </w:rPr>
        <w:t xml:space="preserve"> </w:t>
      </w:r>
      <w:r w:rsidRPr="00514A92">
        <w:rPr>
          <w:rFonts w:cs="Arial"/>
          <w:sz w:val="20"/>
        </w:rPr>
        <w:t xml:space="preserve">M. (2011). The future of </w:t>
      </w:r>
      <w:r w:rsidRPr="00514A92">
        <w:rPr>
          <w:rFonts w:cs="Arial"/>
          <w:noProof/>
          <w:sz w:val="20"/>
        </w:rPr>
        <w:t>genre</w:t>
      </w:r>
      <w:r w:rsidRPr="00514A92">
        <w:rPr>
          <w:rFonts w:cs="Arial"/>
          <w:sz w:val="20"/>
        </w:rPr>
        <w:t xml:space="preserve"> in L2 writing: Fundamental, but contested, instructional decisions. </w:t>
      </w:r>
      <w:r w:rsidRPr="00514A92">
        <w:rPr>
          <w:rFonts w:cs="Arial"/>
          <w:i/>
          <w:sz w:val="20"/>
        </w:rPr>
        <w:t>Journal of Second Language Writing</w:t>
      </w:r>
      <w:r w:rsidRPr="00514A92">
        <w:rPr>
          <w:rFonts w:cs="Arial"/>
          <w:sz w:val="20"/>
        </w:rPr>
        <w:t xml:space="preserve">, </w:t>
      </w:r>
      <w:r w:rsidRPr="00514A92">
        <w:rPr>
          <w:rFonts w:cs="Arial"/>
          <w:i/>
          <w:sz w:val="20"/>
        </w:rPr>
        <w:t>20</w:t>
      </w:r>
      <w:r w:rsidRPr="00514A92">
        <w:rPr>
          <w:rFonts w:cs="Arial"/>
          <w:sz w:val="20"/>
        </w:rPr>
        <w:t>(1), pp. 56-68.</w:t>
      </w:r>
    </w:p>
    <w:p w14:paraId="068A5352"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Lea, M. R., &amp; Street, B. V. (1998). Student writing in higher education: An academic literacies approach. </w:t>
      </w:r>
      <w:r w:rsidRPr="00514A92">
        <w:rPr>
          <w:rFonts w:cs="Arial"/>
          <w:i/>
          <w:sz w:val="20"/>
        </w:rPr>
        <w:t>Studies in Higher Education</w:t>
      </w:r>
      <w:r w:rsidRPr="00514A92">
        <w:rPr>
          <w:rFonts w:cs="Arial"/>
          <w:sz w:val="20"/>
        </w:rPr>
        <w:t xml:space="preserve">, </w:t>
      </w:r>
      <w:r w:rsidRPr="00514A92">
        <w:rPr>
          <w:rFonts w:cs="Arial"/>
          <w:i/>
          <w:sz w:val="20"/>
        </w:rPr>
        <w:t>23</w:t>
      </w:r>
      <w:r w:rsidRPr="00514A92">
        <w:rPr>
          <w:rFonts w:cs="Arial"/>
          <w:sz w:val="20"/>
        </w:rPr>
        <w:t>, pp. 157-172.</w:t>
      </w:r>
    </w:p>
    <w:p w14:paraId="03AB1B81"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Lea, M. R., &amp; Street, B. V. (2006). The “academic literacies” model: Theory and applications. </w:t>
      </w:r>
      <w:r w:rsidRPr="00514A92">
        <w:rPr>
          <w:rFonts w:cs="Arial"/>
          <w:i/>
          <w:sz w:val="20"/>
        </w:rPr>
        <w:t>Theory into practice</w:t>
      </w:r>
      <w:r w:rsidRPr="00514A92">
        <w:rPr>
          <w:rFonts w:cs="Arial"/>
          <w:sz w:val="20"/>
        </w:rPr>
        <w:t xml:space="preserve">, </w:t>
      </w:r>
      <w:r w:rsidRPr="00514A92">
        <w:rPr>
          <w:rFonts w:cs="Arial"/>
          <w:i/>
          <w:sz w:val="20"/>
        </w:rPr>
        <w:t>45</w:t>
      </w:r>
      <w:r w:rsidRPr="00514A92">
        <w:rPr>
          <w:rFonts w:cs="Arial"/>
          <w:sz w:val="20"/>
        </w:rPr>
        <w:t>(4), pp. 368-377.</w:t>
      </w:r>
    </w:p>
    <w:p w14:paraId="564AC581" w14:textId="10D5C918" w:rsidR="000F0DC9" w:rsidRPr="00514A92" w:rsidRDefault="000F0DC9" w:rsidP="008B0531">
      <w:pPr>
        <w:pStyle w:val="Normal0"/>
        <w:ind w:left="720" w:hanging="720"/>
        <w:mirrorIndents/>
        <w:jc w:val="both"/>
        <w:rPr>
          <w:rFonts w:cs="Arial"/>
          <w:sz w:val="20"/>
        </w:rPr>
      </w:pPr>
      <w:r w:rsidRPr="00514A92">
        <w:rPr>
          <w:rFonts w:cs="Arial"/>
          <w:sz w:val="20"/>
        </w:rPr>
        <w:t>Lea, M.</w:t>
      </w:r>
      <w:r w:rsidR="00C778F0" w:rsidRPr="00514A92">
        <w:rPr>
          <w:rFonts w:cs="Arial"/>
          <w:sz w:val="20"/>
        </w:rPr>
        <w:t xml:space="preserve"> </w:t>
      </w:r>
      <w:r w:rsidRPr="00514A92">
        <w:rPr>
          <w:rFonts w:cs="Arial"/>
          <w:sz w:val="20"/>
        </w:rPr>
        <w:t xml:space="preserve">R. (2004). Academic literacies: A pedagogy for course design. </w:t>
      </w:r>
      <w:r w:rsidRPr="00514A92">
        <w:rPr>
          <w:rFonts w:cs="Arial"/>
          <w:i/>
          <w:sz w:val="20"/>
        </w:rPr>
        <w:t>Studies in Higher Education</w:t>
      </w:r>
      <w:r w:rsidRPr="00514A92">
        <w:rPr>
          <w:rFonts w:cs="Arial"/>
          <w:sz w:val="20"/>
        </w:rPr>
        <w:t xml:space="preserve">, </w:t>
      </w:r>
      <w:r w:rsidRPr="00514A92">
        <w:rPr>
          <w:rFonts w:cs="Arial"/>
          <w:i/>
          <w:sz w:val="20"/>
        </w:rPr>
        <w:t>29</w:t>
      </w:r>
      <w:r w:rsidRPr="00514A92">
        <w:rPr>
          <w:rFonts w:cs="Arial"/>
          <w:sz w:val="20"/>
        </w:rPr>
        <w:t>(6), pp. 739-756.</w:t>
      </w:r>
    </w:p>
    <w:p w14:paraId="0D87D50F" w14:textId="3372C652" w:rsidR="000F0DC9" w:rsidRPr="00514A92" w:rsidRDefault="000F0DC9" w:rsidP="008B0531">
      <w:pPr>
        <w:pStyle w:val="Normal0"/>
        <w:ind w:left="720" w:hanging="720"/>
        <w:mirrorIndents/>
        <w:jc w:val="both"/>
        <w:rPr>
          <w:rFonts w:cs="Arial"/>
          <w:sz w:val="20"/>
        </w:rPr>
      </w:pPr>
      <w:r w:rsidRPr="00514A92">
        <w:rPr>
          <w:rFonts w:cs="Arial"/>
          <w:sz w:val="20"/>
        </w:rPr>
        <w:t>McQueen, H., Wilcox, P., Stephen, D.</w:t>
      </w:r>
      <w:r w:rsidR="00182ECD" w:rsidRPr="00514A92">
        <w:rPr>
          <w:rFonts w:cs="Arial"/>
          <w:sz w:val="20"/>
        </w:rPr>
        <w:t>,</w:t>
      </w:r>
      <w:r w:rsidRPr="00514A92">
        <w:rPr>
          <w:rFonts w:cs="Arial"/>
          <w:sz w:val="20"/>
        </w:rPr>
        <w:t xml:space="preserve"> &amp; Walker, C. (2009). </w:t>
      </w:r>
      <w:r w:rsidRPr="00514A92">
        <w:rPr>
          <w:rFonts w:cs="Arial"/>
          <w:i/>
          <w:sz w:val="20"/>
        </w:rPr>
        <w:t>Widening participation and the role of social motivation in students' transitional experiences in higher education</w:t>
      </w:r>
      <w:r w:rsidR="00182ECD" w:rsidRPr="00514A92">
        <w:rPr>
          <w:rFonts w:cs="Arial"/>
          <w:sz w:val="20"/>
        </w:rPr>
        <w:t xml:space="preserve">. </w:t>
      </w:r>
      <w:r w:rsidRPr="00514A92">
        <w:rPr>
          <w:rFonts w:cs="Arial"/>
          <w:sz w:val="20"/>
        </w:rPr>
        <w:t>Brighton, UK: University of Brighton.</w:t>
      </w:r>
    </w:p>
    <w:p w14:paraId="7DA1D80A" w14:textId="77777777" w:rsidR="000F0DC9" w:rsidRPr="00514A92" w:rsidRDefault="000F0DC9" w:rsidP="008B0531">
      <w:pPr>
        <w:pStyle w:val="Normal0"/>
        <w:ind w:left="720" w:hanging="720"/>
        <w:mirrorIndents/>
        <w:jc w:val="both"/>
        <w:rPr>
          <w:rFonts w:cs="Arial"/>
          <w:sz w:val="20"/>
        </w:rPr>
      </w:pPr>
      <w:r w:rsidRPr="00514A92">
        <w:rPr>
          <w:rFonts w:cs="Arial"/>
          <w:sz w:val="20"/>
        </w:rPr>
        <w:t>Parkinson, J. (2017). The student laboratory report genre: A genre analysis. </w:t>
      </w:r>
      <w:r w:rsidRPr="00514A92">
        <w:rPr>
          <w:rFonts w:cs="Arial"/>
          <w:i/>
          <w:sz w:val="20"/>
        </w:rPr>
        <w:t>English for Specific Purposes</w:t>
      </w:r>
      <w:r w:rsidRPr="00514A92">
        <w:rPr>
          <w:rFonts w:cs="Arial"/>
          <w:sz w:val="20"/>
        </w:rPr>
        <w:t>, </w:t>
      </w:r>
      <w:r w:rsidRPr="00514A92">
        <w:rPr>
          <w:rFonts w:cs="Arial"/>
          <w:i/>
          <w:sz w:val="20"/>
        </w:rPr>
        <w:t>45</w:t>
      </w:r>
      <w:r w:rsidRPr="00514A92">
        <w:rPr>
          <w:rFonts w:cs="Arial"/>
          <w:sz w:val="20"/>
        </w:rPr>
        <w:t>, pp.1-13.</w:t>
      </w:r>
    </w:p>
    <w:p w14:paraId="44E9E3E7"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Ritchie, J., Spencer, L., &amp; O’Connor, W. (2003). Carrying out qualitative analysis. In J. Ritchie and J. Lewis. </w:t>
      </w:r>
      <w:r w:rsidRPr="00514A92">
        <w:rPr>
          <w:rFonts w:cs="Arial"/>
          <w:i/>
          <w:sz w:val="20"/>
        </w:rPr>
        <w:t>Qualitative research practice: a guide for social science students and researchers</w:t>
      </w:r>
      <w:r w:rsidRPr="00514A92">
        <w:rPr>
          <w:rFonts w:cs="Arial"/>
          <w:sz w:val="20"/>
        </w:rPr>
        <w:t>, (pp. 219-262). London, UK: Sage Publications Ltd.</w:t>
      </w:r>
    </w:p>
    <w:p w14:paraId="3EC2BFFE" w14:textId="77777777" w:rsidR="00CA33A8" w:rsidRPr="00514A92" w:rsidRDefault="00CA33A8" w:rsidP="00CA33A8">
      <w:pPr>
        <w:pStyle w:val="Normal0"/>
        <w:ind w:left="720" w:hanging="720"/>
        <w:mirrorIndents/>
        <w:jc w:val="both"/>
        <w:rPr>
          <w:rFonts w:cs="Arial"/>
          <w:sz w:val="20"/>
          <w:lang w:val="es-ES"/>
        </w:rPr>
      </w:pPr>
      <w:r w:rsidRPr="00514A92">
        <w:rPr>
          <w:rFonts w:cs="Arial"/>
          <w:sz w:val="20"/>
        </w:rPr>
        <w:t xml:space="preserve">Street, B. (2010). ‘Academic literacies </w:t>
      </w:r>
      <w:r w:rsidRPr="00514A92">
        <w:rPr>
          <w:rFonts w:cs="Arial"/>
          <w:noProof/>
          <w:sz w:val="20"/>
        </w:rPr>
        <w:t>approaches</w:t>
      </w:r>
      <w:r w:rsidRPr="00514A92">
        <w:rPr>
          <w:rFonts w:cs="Arial"/>
          <w:sz w:val="20"/>
        </w:rPr>
        <w:t xml:space="preserve"> to </w:t>
      </w:r>
      <w:r w:rsidRPr="00514A92">
        <w:rPr>
          <w:rFonts w:cs="Arial"/>
          <w:noProof/>
          <w:sz w:val="20"/>
        </w:rPr>
        <w:t>genre</w:t>
      </w:r>
      <w:r w:rsidRPr="00514A92">
        <w:rPr>
          <w:rFonts w:cs="Arial"/>
          <w:sz w:val="20"/>
        </w:rPr>
        <w:t xml:space="preserve">’? </w:t>
      </w:r>
      <w:r w:rsidRPr="00514A92">
        <w:rPr>
          <w:rFonts w:cs="Arial"/>
          <w:i/>
          <w:sz w:val="20"/>
          <w:lang w:val="es-ES"/>
        </w:rPr>
        <w:t>Revista Brasileira de Linguística Aplicada</w:t>
      </w:r>
      <w:r w:rsidRPr="00514A92">
        <w:rPr>
          <w:rFonts w:cs="Arial"/>
          <w:sz w:val="20"/>
          <w:lang w:val="es-ES"/>
        </w:rPr>
        <w:t xml:space="preserve">, </w:t>
      </w:r>
      <w:r w:rsidRPr="00514A92">
        <w:rPr>
          <w:rFonts w:cs="Arial"/>
          <w:i/>
          <w:sz w:val="20"/>
          <w:lang w:val="es-ES"/>
        </w:rPr>
        <w:t>10</w:t>
      </w:r>
      <w:r w:rsidRPr="00514A92">
        <w:rPr>
          <w:rFonts w:cs="Arial"/>
          <w:sz w:val="20"/>
          <w:lang w:val="es-ES"/>
        </w:rPr>
        <w:t>(2), pp. 347-361.</w:t>
      </w:r>
    </w:p>
    <w:p w14:paraId="2F03FADA"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Swales, J. (1981). </w:t>
      </w:r>
      <w:r w:rsidRPr="00514A92">
        <w:rPr>
          <w:rFonts w:cs="Arial"/>
          <w:i/>
          <w:sz w:val="20"/>
        </w:rPr>
        <w:t>Aspects of article introductions</w:t>
      </w:r>
      <w:r w:rsidRPr="00514A92">
        <w:rPr>
          <w:rFonts w:cs="Arial"/>
          <w:sz w:val="20"/>
        </w:rPr>
        <w:t>. Aston ESP Research Report No. 1, Language Studies Unit. Birmingham, UK: University of Aston.</w:t>
      </w:r>
    </w:p>
    <w:p w14:paraId="46BB56BC" w14:textId="77777777" w:rsidR="000F0DC9" w:rsidRPr="00514A92" w:rsidRDefault="000F0DC9" w:rsidP="008B0531">
      <w:pPr>
        <w:pStyle w:val="Normal0"/>
        <w:ind w:left="720" w:hanging="720"/>
        <w:mirrorIndents/>
        <w:jc w:val="both"/>
        <w:rPr>
          <w:rFonts w:cs="Arial"/>
          <w:sz w:val="20"/>
        </w:rPr>
      </w:pPr>
      <w:r w:rsidRPr="00514A92">
        <w:rPr>
          <w:rFonts w:cs="Arial"/>
          <w:sz w:val="20"/>
        </w:rPr>
        <w:lastRenderedPageBreak/>
        <w:t xml:space="preserve">Swales, J. (1990). </w:t>
      </w:r>
      <w:r w:rsidRPr="00514A92">
        <w:rPr>
          <w:rFonts w:cs="Arial"/>
          <w:i/>
          <w:sz w:val="20"/>
        </w:rPr>
        <w:t>Genre analysis: English in academic and research settings</w:t>
      </w:r>
      <w:r w:rsidRPr="00514A92">
        <w:rPr>
          <w:rFonts w:cs="Arial"/>
          <w:sz w:val="20"/>
        </w:rPr>
        <w:t>. Cambridge, UK: Cambridge University Press.</w:t>
      </w:r>
    </w:p>
    <w:p w14:paraId="1BFB4676" w14:textId="6C65069D" w:rsidR="000F0DC9" w:rsidRPr="00514A92" w:rsidRDefault="000F0DC9" w:rsidP="008B0531">
      <w:pPr>
        <w:pStyle w:val="Normal0"/>
        <w:ind w:left="720" w:hanging="720"/>
        <w:mirrorIndents/>
        <w:jc w:val="both"/>
        <w:rPr>
          <w:rFonts w:cs="Arial"/>
          <w:sz w:val="20"/>
        </w:rPr>
      </w:pPr>
      <w:r w:rsidRPr="00514A92">
        <w:rPr>
          <w:rFonts w:cs="Arial"/>
          <w:sz w:val="20"/>
        </w:rPr>
        <w:t>Wingate, U.</w:t>
      </w:r>
      <w:r w:rsidR="00182ECD" w:rsidRPr="00514A92">
        <w:rPr>
          <w:rFonts w:cs="Arial"/>
          <w:sz w:val="20"/>
        </w:rPr>
        <w:t>,</w:t>
      </w:r>
      <w:r w:rsidRPr="00514A92">
        <w:rPr>
          <w:rFonts w:cs="Arial"/>
          <w:sz w:val="20"/>
        </w:rPr>
        <w:t xml:space="preserve"> &amp; Tribble, C. (2012). The best of both worlds? Towards an English for Academic Purposes/Academic Literacies writing pedagogy. </w:t>
      </w:r>
      <w:r w:rsidRPr="00514A92">
        <w:rPr>
          <w:rFonts w:cs="Arial"/>
          <w:i/>
          <w:sz w:val="20"/>
        </w:rPr>
        <w:t>Studies in Higher Education</w:t>
      </w:r>
      <w:r w:rsidRPr="00514A92">
        <w:rPr>
          <w:rFonts w:cs="Arial"/>
          <w:sz w:val="20"/>
        </w:rPr>
        <w:t xml:space="preserve">, </w:t>
      </w:r>
      <w:r w:rsidRPr="00514A92">
        <w:rPr>
          <w:rFonts w:cs="Arial"/>
          <w:i/>
          <w:sz w:val="20"/>
        </w:rPr>
        <w:t>37</w:t>
      </w:r>
      <w:r w:rsidRPr="00514A92">
        <w:rPr>
          <w:rFonts w:cs="Arial"/>
          <w:sz w:val="20"/>
        </w:rPr>
        <w:t>(4), pp. 481-495.</w:t>
      </w:r>
    </w:p>
    <w:p w14:paraId="11CAE061"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Wingate, U. (2012). Using academic literacies and genre-based models for academic writing instruction: A ‘literacy’ journey. </w:t>
      </w:r>
      <w:r w:rsidRPr="00514A92">
        <w:rPr>
          <w:rFonts w:cs="Arial"/>
          <w:i/>
          <w:sz w:val="20"/>
        </w:rPr>
        <w:t>Journal of English for Academic Purposes</w:t>
      </w:r>
      <w:r w:rsidRPr="00514A92">
        <w:rPr>
          <w:rFonts w:cs="Arial"/>
          <w:sz w:val="20"/>
        </w:rPr>
        <w:t xml:space="preserve">, </w:t>
      </w:r>
      <w:r w:rsidRPr="00514A92">
        <w:rPr>
          <w:rFonts w:cs="Arial"/>
          <w:i/>
          <w:sz w:val="20"/>
        </w:rPr>
        <w:t>11</w:t>
      </w:r>
      <w:r w:rsidRPr="00514A92">
        <w:rPr>
          <w:rFonts w:cs="Arial"/>
          <w:sz w:val="20"/>
        </w:rPr>
        <w:t>(1), pp. 26-37.</w:t>
      </w:r>
    </w:p>
    <w:p w14:paraId="2F0EB5F7" w14:textId="77777777" w:rsidR="000F0DC9" w:rsidRPr="00514A92" w:rsidRDefault="000F0DC9" w:rsidP="008B0531">
      <w:pPr>
        <w:pStyle w:val="Normal0"/>
        <w:ind w:left="720" w:hanging="720"/>
        <w:mirrorIndents/>
        <w:jc w:val="both"/>
        <w:rPr>
          <w:rFonts w:cs="Arial"/>
          <w:sz w:val="20"/>
        </w:rPr>
      </w:pPr>
      <w:r w:rsidRPr="00514A92">
        <w:rPr>
          <w:rFonts w:cs="Arial"/>
          <w:sz w:val="20"/>
        </w:rPr>
        <w:t xml:space="preserve">Wingate, U. (2015). </w:t>
      </w:r>
      <w:r w:rsidRPr="00514A92">
        <w:rPr>
          <w:rFonts w:cs="Arial"/>
          <w:i/>
          <w:sz w:val="20"/>
        </w:rPr>
        <w:t>Academic literacy and student diversity: The case for inclusive practice</w:t>
      </w:r>
      <w:r w:rsidRPr="00514A92">
        <w:rPr>
          <w:rFonts w:cs="Arial"/>
          <w:sz w:val="20"/>
        </w:rPr>
        <w:t>. UK: Multilingual Matters.</w:t>
      </w:r>
    </w:p>
    <w:p w14:paraId="45923934" w14:textId="7888F60E" w:rsidR="00F6442C" w:rsidRPr="00514A92" w:rsidRDefault="000F0DC9" w:rsidP="00F6442C">
      <w:pPr>
        <w:pStyle w:val="Normal0"/>
        <w:ind w:left="720" w:hanging="720"/>
        <w:mirrorIndents/>
        <w:jc w:val="both"/>
        <w:rPr>
          <w:rFonts w:cs="Arial"/>
          <w:sz w:val="20"/>
        </w:rPr>
      </w:pPr>
      <w:r w:rsidRPr="00514A92">
        <w:rPr>
          <w:rFonts w:cs="Arial"/>
          <w:sz w:val="20"/>
        </w:rPr>
        <w:t xml:space="preserve">Wingate, U., Andon, N., &amp; Cogo, A. (2011). Embedding academic writing instruction into subject teaching: A case study. </w:t>
      </w:r>
      <w:r w:rsidRPr="00514A92">
        <w:rPr>
          <w:rFonts w:cs="Arial"/>
          <w:i/>
          <w:sz w:val="20"/>
        </w:rPr>
        <w:t>Active Learning in Higher Education</w:t>
      </w:r>
      <w:r w:rsidRPr="00514A92">
        <w:rPr>
          <w:rFonts w:cs="Arial"/>
          <w:sz w:val="20"/>
        </w:rPr>
        <w:t xml:space="preserve">, </w:t>
      </w:r>
      <w:r w:rsidRPr="00514A92">
        <w:rPr>
          <w:rFonts w:cs="Arial"/>
          <w:i/>
          <w:sz w:val="20"/>
        </w:rPr>
        <w:t>12</w:t>
      </w:r>
      <w:r w:rsidRPr="00514A92">
        <w:rPr>
          <w:rFonts w:cs="Arial"/>
          <w:sz w:val="20"/>
        </w:rPr>
        <w:t>(1), pp. 69-81.</w:t>
      </w:r>
    </w:p>
    <w:p w14:paraId="39546814" w14:textId="43DAABBE" w:rsidR="00A21EF6" w:rsidRPr="00514A92" w:rsidRDefault="00A21EF6" w:rsidP="00F6442C">
      <w:pPr>
        <w:pStyle w:val="Normal0"/>
        <w:ind w:left="720" w:hanging="720"/>
        <w:mirrorIndents/>
        <w:jc w:val="both"/>
        <w:rPr>
          <w:rFonts w:cs="Arial"/>
          <w:sz w:val="20"/>
        </w:rPr>
      </w:pPr>
      <w:r w:rsidRPr="00514A92">
        <w:rPr>
          <w:rFonts w:cs="Arial"/>
          <w:sz w:val="20"/>
        </w:rPr>
        <w:t xml:space="preserve">Wong, B. (2018). By Chance or by Plan?: The Academic Success of Nontraditional Students in Higher Education. </w:t>
      </w:r>
      <w:r w:rsidRPr="00514A92">
        <w:rPr>
          <w:rFonts w:cs="Arial"/>
          <w:i/>
          <w:sz w:val="20"/>
        </w:rPr>
        <w:t>AERA Open</w:t>
      </w:r>
      <w:r w:rsidRPr="00514A92">
        <w:rPr>
          <w:rFonts w:cs="Arial"/>
          <w:sz w:val="20"/>
        </w:rPr>
        <w:t xml:space="preserve">, </w:t>
      </w:r>
      <w:r w:rsidRPr="00514A92">
        <w:rPr>
          <w:rFonts w:cs="Arial"/>
          <w:i/>
          <w:sz w:val="20"/>
        </w:rPr>
        <w:t>4</w:t>
      </w:r>
      <w:r w:rsidRPr="00514A92">
        <w:rPr>
          <w:rFonts w:cs="Arial"/>
          <w:sz w:val="20"/>
        </w:rPr>
        <w:t>(2), pp. 1-14.</w:t>
      </w:r>
    </w:p>
    <w:p w14:paraId="20B0CDCC" w14:textId="5237E67D" w:rsidR="00F6442C" w:rsidRPr="00514A92" w:rsidRDefault="00F6442C" w:rsidP="00F6442C">
      <w:pPr>
        <w:pStyle w:val="Normal0"/>
        <w:ind w:left="720" w:hanging="720"/>
        <w:mirrorIndents/>
        <w:jc w:val="both"/>
        <w:rPr>
          <w:rFonts w:cs="Arial"/>
          <w:sz w:val="20"/>
        </w:rPr>
        <w:sectPr w:rsidR="00F6442C" w:rsidRPr="00514A92" w:rsidSect="000F0DC9">
          <w:footerReference w:type="default" r:id="rId15"/>
          <w:type w:val="continuous"/>
          <w:pgSz w:w="11906" w:h="16838" w:code="9"/>
          <w:pgMar w:top="1418" w:right="1418" w:bottom="1418" w:left="1418" w:header="709" w:footer="709" w:gutter="0"/>
          <w:cols w:space="708"/>
          <w:docGrid w:linePitch="360"/>
        </w:sectPr>
      </w:pPr>
      <w:r w:rsidRPr="00514A92">
        <w:rPr>
          <w:rFonts w:cs="Arial"/>
          <w:sz w:val="20"/>
        </w:rPr>
        <w:t xml:space="preserve">Wong, B., &amp; Chiu, Y.L.T. (2017). Let me entertain you: the ambivalent role of university lecturers as educators and performers. </w:t>
      </w:r>
      <w:r w:rsidRPr="00514A92">
        <w:rPr>
          <w:rFonts w:cs="Arial"/>
          <w:i/>
          <w:sz w:val="20"/>
        </w:rPr>
        <w:t>Educational Review</w:t>
      </w:r>
      <w:r w:rsidRPr="00514A92">
        <w:rPr>
          <w:rFonts w:cs="Arial"/>
          <w:sz w:val="20"/>
        </w:rPr>
        <w:t>. Doi: 10.1080/00131911.2017.1363718</w:t>
      </w:r>
    </w:p>
    <w:p w14:paraId="55E5F0A1" w14:textId="77777777" w:rsidR="000F0DC9" w:rsidRPr="00514A92" w:rsidRDefault="000F0DC9"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mirrorIndents/>
        <w:rPr>
          <w:rFonts w:cs="Arial"/>
          <w:b/>
          <w:sz w:val="20"/>
        </w:rPr>
      </w:pPr>
    </w:p>
    <w:p w14:paraId="13446C89" w14:textId="0E929FD1" w:rsidR="006D5AE8" w:rsidRPr="00514A92" w:rsidRDefault="006D5AE8" w:rsidP="008B053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cs="Arial"/>
          <w:sz w:val="20"/>
        </w:rPr>
      </w:pPr>
    </w:p>
    <w:sectPr w:rsidR="006D5AE8" w:rsidRPr="00514A92" w:rsidSect="00CC0487">
      <w:footerReference w:type="defaul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A136" w14:textId="77777777" w:rsidR="00C37222" w:rsidRDefault="00C37222" w:rsidP="00D82BC4">
      <w:r>
        <w:separator/>
      </w:r>
    </w:p>
  </w:endnote>
  <w:endnote w:type="continuationSeparator" w:id="0">
    <w:p w14:paraId="5E80DE24" w14:textId="77777777" w:rsidR="00C37222" w:rsidRDefault="00C37222" w:rsidP="00D8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238D" w14:textId="77777777" w:rsidR="0016715B" w:rsidRDefault="0016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44608"/>
      <w:docPartObj>
        <w:docPartGallery w:val="Page Numbers (Bottom of Page)"/>
        <w:docPartUnique/>
      </w:docPartObj>
    </w:sdtPr>
    <w:sdtEndPr>
      <w:rPr>
        <w:noProof/>
        <w:sz w:val="20"/>
      </w:rPr>
    </w:sdtEndPr>
    <w:sdtContent>
      <w:p w14:paraId="78F7BF96" w14:textId="48052135" w:rsidR="0016715B" w:rsidRPr="00B654CA" w:rsidRDefault="0016715B">
        <w:pPr>
          <w:pStyle w:val="Footer"/>
          <w:jc w:val="center"/>
          <w:rPr>
            <w:sz w:val="20"/>
          </w:rPr>
        </w:pPr>
        <w:r w:rsidRPr="00B654CA">
          <w:rPr>
            <w:sz w:val="20"/>
          </w:rPr>
          <w:fldChar w:fldCharType="begin"/>
        </w:r>
        <w:r w:rsidRPr="00B654CA">
          <w:rPr>
            <w:sz w:val="20"/>
          </w:rPr>
          <w:instrText xml:space="preserve"> PAGE   \* MERGEFORMAT </w:instrText>
        </w:r>
        <w:r w:rsidRPr="00B654CA">
          <w:rPr>
            <w:sz w:val="20"/>
          </w:rPr>
          <w:fldChar w:fldCharType="separate"/>
        </w:r>
        <w:r w:rsidR="00514A92">
          <w:rPr>
            <w:noProof/>
            <w:sz w:val="20"/>
          </w:rPr>
          <w:t>8</w:t>
        </w:r>
        <w:r w:rsidRPr="00B654CA">
          <w:rPr>
            <w:noProof/>
            <w:sz w:val="20"/>
          </w:rPr>
          <w:fldChar w:fldCharType="end"/>
        </w:r>
      </w:p>
    </w:sdtContent>
  </w:sdt>
  <w:p w14:paraId="537DDE5E" w14:textId="77777777" w:rsidR="0016715B" w:rsidRDefault="00167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484B" w14:textId="77777777" w:rsidR="0016715B" w:rsidRDefault="001671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076299"/>
      <w:docPartObj>
        <w:docPartGallery w:val="Page Numbers (Bottom of Page)"/>
        <w:docPartUnique/>
      </w:docPartObj>
    </w:sdtPr>
    <w:sdtEndPr>
      <w:rPr>
        <w:rFonts w:ascii="Arial" w:hAnsi="Arial" w:cs="Arial"/>
        <w:noProof/>
        <w:sz w:val="18"/>
      </w:rPr>
    </w:sdtEndPr>
    <w:sdtContent>
      <w:p w14:paraId="3C3B18B6" w14:textId="7B32B441" w:rsidR="0016715B" w:rsidRPr="00985B51" w:rsidRDefault="0016715B">
        <w:pPr>
          <w:pStyle w:val="Footer"/>
          <w:jc w:val="center"/>
          <w:rPr>
            <w:rFonts w:ascii="Arial" w:hAnsi="Arial" w:cs="Arial"/>
            <w:sz w:val="18"/>
          </w:rPr>
        </w:pPr>
        <w:r w:rsidRPr="00985B51">
          <w:rPr>
            <w:rFonts w:ascii="Arial" w:hAnsi="Arial" w:cs="Arial"/>
            <w:sz w:val="18"/>
          </w:rPr>
          <w:fldChar w:fldCharType="begin"/>
        </w:r>
        <w:r w:rsidRPr="00985B51">
          <w:rPr>
            <w:rFonts w:ascii="Arial" w:hAnsi="Arial" w:cs="Arial"/>
            <w:sz w:val="18"/>
          </w:rPr>
          <w:instrText xml:space="preserve"> PAGE   \* MERGEFORMAT </w:instrText>
        </w:r>
        <w:r w:rsidRPr="00985B51">
          <w:rPr>
            <w:rFonts w:ascii="Arial" w:hAnsi="Arial" w:cs="Arial"/>
            <w:sz w:val="18"/>
          </w:rPr>
          <w:fldChar w:fldCharType="separate"/>
        </w:r>
        <w:r w:rsidR="00514A92">
          <w:rPr>
            <w:rFonts w:ascii="Arial" w:hAnsi="Arial" w:cs="Arial"/>
            <w:noProof/>
            <w:sz w:val="18"/>
          </w:rPr>
          <w:t>9</w:t>
        </w:r>
        <w:r w:rsidRPr="00985B51">
          <w:rPr>
            <w:rFonts w:ascii="Arial" w:hAnsi="Arial" w:cs="Arial"/>
            <w:noProof/>
            <w:sz w:val="18"/>
          </w:rPr>
          <w:fldChar w:fldCharType="end"/>
        </w:r>
      </w:p>
    </w:sdtContent>
  </w:sdt>
  <w:p w14:paraId="422FD782" w14:textId="77777777" w:rsidR="0016715B" w:rsidRDefault="001671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238071"/>
      <w:docPartObj>
        <w:docPartGallery w:val="Page Numbers (Bottom of Page)"/>
        <w:docPartUnique/>
      </w:docPartObj>
    </w:sdtPr>
    <w:sdtEndPr>
      <w:rPr>
        <w:noProof/>
      </w:rPr>
    </w:sdtEndPr>
    <w:sdtContent>
      <w:p w14:paraId="16ABA9BE" w14:textId="2C410AC3" w:rsidR="0016715B" w:rsidRDefault="0016715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29B9D69" w14:textId="77777777" w:rsidR="0016715B" w:rsidRDefault="0016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33DC8" w14:textId="77777777" w:rsidR="00C37222" w:rsidRDefault="00C37222" w:rsidP="00D82BC4">
      <w:r>
        <w:separator/>
      </w:r>
    </w:p>
  </w:footnote>
  <w:footnote w:type="continuationSeparator" w:id="0">
    <w:p w14:paraId="07B3DD5C" w14:textId="77777777" w:rsidR="00C37222" w:rsidRDefault="00C37222" w:rsidP="00D82BC4">
      <w:r>
        <w:continuationSeparator/>
      </w:r>
    </w:p>
  </w:footnote>
  <w:footnote w:id="1">
    <w:p w14:paraId="455EC7CC" w14:textId="34E08CCD" w:rsidR="0016715B" w:rsidRPr="008B0531" w:rsidRDefault="0016715B" w:rsidP="00B22E9A">
      <w:pPr>
        <w:pStyle w:val="FootnoteText"/>
        <w:jc w:val="both"/>
        <w:rPr>
          <w:rFonts w:ascii="Arial" w:hAnsi="Arial" w:cs="Arial"/>
        </w:rPr>
      </w:pPr>
      <w:r w:rsidRPr="008B0531">
        <w:rPr>
          <w:rStyle w:val="FootnoteReference"/>
          <w:rFonts w:ascii="Arial" w:hAnsi="Arial" w:cs="Arial"/>
        </w:rPr>
        <w:footnoteRef/>
      </w:r>
      <w:r w:rsidRPr="008B0531">
        <w:rPr>
          <w:rFonts w:ascii="Arial" w:hAnsi="Arial" w:cs="Arial"/>
        </w:rPr>
        <w:t xml:space="preserve"> Foundation programmes are transitional programmes of study offered by most UK universities for those who do not meet the minimum requirements to embark on a standard three-year undergraduate course.</w:t>
      </w:r>
    </w:p>
  </w:footnote>
  <w:footnote w:id="2">
    <w:p w14:paraId="0173562E" w14:textId="60D280CE" w:rsidR="0016715B" w:rsidRPr="008B0531" w:rsidRDefault="0016715B" w:rsidP="00B22E9A">
      <w:pPr>
        <w:pStyle w:val="FootnoteText"/>
        <w:jc w:val="both"/>
        <w:rPr>
          <w:rFonts w:ascii="Arial" w:hAnsi="Arial" w:cs="Arial"/>
        </w:rPr>
      </w:pPr>
      <w:r w:rsidRPr="008B0531">
        <w:rPr>
          <w:rStyle w:val="FootnoteReference"/>
          <w:rFonts w:ascii="Arial" w:hAnsi="Arial" w:cs="Arial"/>
        </w:rPr>
        <w:footnoteRef/>
      </w:r>
      <w:r w:rsidRPr="008B0531">
        <w:rPr>
          <w:rFonts w:ascii="Arial" w:hAnsi="Arial" w:cs="Arial"/>
        </w:rPr>
        <w:t xml:space="preserve"> Post-1992 universities in the UK refer to those that received university status through the Further</w:t>
      </w:r>
      <w:r w:rsidR="00F6442C">
        <w:rPr>
          <w:rFonts w:ascii="Arial" w:hAnsi="Arial" w:cs="Arial"/>
        </w:rPr>
        <w:t xml:space="preserve"> and Higher Education Act 1992. These institutions tend to be more teaching-oriented, especially since 2012 where English universities increased tuition fees which promoted a ‘student-as-consumer’ discourse (Wong &amp; Chiu, 2017).</w:t>
      </w:r>
    </w:p>
  </w:footnote>
  <w:footnote w:id="3">
    <w:p w14:paraId="22D6F131" w14:textId="64DAFF4D" w:rsidR="0016715B" w:rsidRPr="008B0531" w:rsidRDefault="0016715B" w:rsidP="00B22E9A">
      <w:pPr>
        <w:tabs>
          <w:tab w:val="num" w:pos="851"/>
        </w:tabs>
        <w:jc w:val="both"/>
        <w:rPr>
          <w:rFonts w:ascii="Arial" w:eastAsia="Times New Roman" w:hAnsi="Arial" w:cs="Arial"/>
          <w:sz w:val="20"/>
          <w:szCs w:val="20"/>
          <w:lang w:eastAsia="en-GB"/>
        </w:rPr>
      </w:pPr>
      <w:r w:rsidRPr="008B0531">
        <w:rPr>
          <w:rStyle w:val="FootnoteReference"/>
          <w:rFonts w:ascii="Arial" w:hAnsi="Arial" w:cs="Arial"/>
          <w:sz w:val="20"/>
          <w:szCs w:val="20"/>
        </w:rPr>
        <w:footnoteRef/>
      </w:r>
      <w:r w:rsidRPr="008B0531">
        <w:rPr>
          <w:rFonts w:ascii="Arial" w:hAnsi="Arial" w:cs="Arial"/>
          <w:sz w:val="20"/>
          <w:szCs w:val="20"/>
        </w:rPr>
        <w:t xml:space="preserve"> </w:t>
      </w:r>
      <w:r w:rsidR="00182ECD">
        <w:rPr>
          <w:rFonts w:ascii="Arial" w:hAnsi="Arial" w:cs="Arial"/>
          <w:sz w:val="20"/>
          <w:szCs w:val="20"/>
        </w:rPr>
        <w:t>N</w:t>
      </w:r>
      <w:r w:rsidRPr="008B0531">
        <w:rPr>
          <w:rFonts w:ascii="Arial" w:eastAsia="Times New Roman" w:hAnsi="Arial" w:cs="Arial"/>
          <w:sz w:val="20"/>
          <w:szCs w:val="20"/>
          <w:lang w:eastAsia="en-GB"/>
        </w:rPr>
        <w:t xml:space="preserve">on-traditional </w:t>
      </w:r>
      <w:r w:rsidR="00182ECD">
        <w:rPr>
          <w:rFonts w:ascii="Arial" w:eastAsia="Times New Roman" w:hAnsi="Arial" w:cs="Arial"/>
          <w:sz w:val="20"/>
          <w:szCs w:val="20"/>
          <w:lang w:eastAsia="en-GB"/>
        </w:rPr>
        <w:t>students in the UK are typically understood as:</w:t>
      </w:r>
      <w:r w:rsidRPr="008B0531">
        <w:rPr>
          <w:rFonts w:ascii="Arial" w:eastAsia="Times New Roman" w:hAnsi="Arial" w:cs="Arial"/>
          <w:sz w:val="20"/>
          <w:szCs w:val="20"/>
          <w:lang w:eastAsia="en-GB"/>
        </w:rPr>
        <w:t xml:space="preserve"> a) mature students, b) those from lower socio-economic backgrounds, b) first generation undergraduates, and c) students from ethnic minorities. </w:t>
      </w:r>
    </w:p>
  </w:footnote>
  <w:footnote w:id="4">
    <w:p w14:paraId="10B22CCF" w14:textId="3A55D624" w:rsidR="0016715B" w:rsidRDefault="0016715B" w:rsidP="00B22E9A">
      <w:pPr>
        <w:pStyle w:val="FootnoteText"/>
        <w:jc w:val="both"/>
      </w:pPr>
      <w:r w:rsidRPr="008B0531">
        <w:rPr>
          <w:rStyle w:val="FootnoteReference"/>
          <w:rFonts w:ascii="Arial" w:hAnsi="Arial" w:cs="Arial"/>
        </w:rPr>
        <w:footnoteRef/>
      </w:r>
      <w:r w:rsidRPr="008B0531">
        <w:rPr>
          <w:rFonts w:ascii="Arial" w:hAnsi="Arial" w:cs="Arial"/>
        </w:rPr>
        <w:t xml:space="preserve"> A-Levels refer to the Advance Level of the General Certificate in Education in the UK and the British Isles. It is a secondary school leaving qualification prior to university entry.</w:t>
      </w:r>
    </w:p>
  </w:footnote>
  <w:footnote w:id="5">
    <w:p w14:paraId="13BC12B0" w14:textId="2646AA45" w:rsidR="0016715B" w:rsidRPr="00336734" w:rsidRDefault="0016715B" w:rsidP="00285E44">
      <w:pPr>
        <w:pStyle w:val="FootnoteText"/>
        <w:rPr>
          <w:rFonts w:ascii="Arial" w:eastAsia="Times New Roman" w:hAnsi="Arial" w:cs="Arial"/>
          <w:lang w:eastAsia="en-GB"/>
        </w:rPr>
      </w:pPr>
      <w:r>
        <w:rPr>
          <w:rStyle w:val="FootnoteReference"/>
        </w:rPr>
        <w:footnoteRef/>
      </w:r>
      <w:r>
        <w:t xml:space="preserve"> </w:t>
      </w:r>
      <w:r w:rsidRPr="00336734">
        <w:rPr>
          <w:rFonts w:ascii="Arial" w:eastAsia="Times New Roman" w:hAnsi="Arial" w:cs="Arial"/>
          <w:lang w:eastAsia="en-GB"/>
        </w:rPr>
        <w:t xml:space="preserve">This is the virtual learning environment for the focal institution. Students </w:t>
      </w:r>
      <w:r w:rsidR="00B22E9A" w:rsidRPr="00336734">
        <w:rPr>
          <w:rFonts w:ascii="Arial" w:eastAsia="Times New Roman" w:hAnsi="Arial" w:cs="Arial"/>
          <w:lang w:eastAsia="en-GB"/>
        </w:rPr>
        <w:t>can</w:t>
      </w:r>
      <w:r w:rsidRPr="00336734">
        <w:rPr>
          <w:rFonts w:ascii="Arial" w:eastAsia="Times New Roman" w:hAnsi="Arial" w:cs="Arial"/>
          <w:lang w:eastAsia="en-GB"/>
        </w:rPr>
        <w:t xml:space="preserve"> retrieve all the course learning materials and assessment</w:t>
      </w:r>
      <w:r w:rsidR="00751A4D">
        <w:rPr>
          <w:rFonts w:ascii="Arial" w:eastAsia="Times New Roman" w:hAnsi="Arial" w:cs="Arial"/>
          <w:lang w:eastAsia="en-GB"/>
        </w:rPr>
        <w:t>s’</w:t>
      </w:r>
      <w:r w:rsidRPr="00336734">
        <w:rPr>
          <w:rFonts w:ascii="Arial" w:eastAsia="Times New Roman" w:hAnsi="Arial" w:cs="Arial"/>
          <w:lang w:eastAsia="en-GB"/>
        </w:rPr>
        <w:t xml:space="preserve"> brief</w:t>
      </w:r>
      <w:r w:rsidR="00751A4D">
        <w:rPr>
          <w:rFonts w:ascii="Arial" w:eastAsia="Times New Roman" w:hAnsi="Arial" w:cs="Arial"/>
          <w:lang w:eastAsia="en-GB"/>
        </w:rPr>
        <w:t>s</w:t>
      </w:r>
      <w:r w:rsidRPr="00336734">
        <w:rPr>
          <w:rFonts w:ascii="Arial" w:eastAsia="Times New Roman" w:hAnsi="Arial" w:cs="Arial"/>
          <w:lang w:eastAsia="en-GB"/>
        </w:rPr>
        <w:t xml:space="preserve"> from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29F5" w14:textId="77777777" w:rsidR="0016715B" w:rsidRDefault="0016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F482" w14:textId="77777777" w:rsidR="0016715B" w:rsidRDefault="00167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E26A" w14:textId="77777777" w:rsidR="0016715B" w:rsidRDefault="0016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3837E"/>
    <w:multiLevelType w:val="hybridMultilevel"/>
    <w:tmpl w:val="71F369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D596F"/>
    <w:multiLevelType w:val="hybridMultilevel"/>
    <w:tmpl w:val="BB24E4FA"/>
    <w:lvl w:ilvl="0" w:tplc="079A00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21A7D"/>
    <w:multiLevelType w:val="hybridMultilevel"/>
    <w:tmpl w:val="4CB2D880"/>
    <w:lvl w:ilvl="0" w:tplc="24D8CB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555D3"/>
    <w:multiLevelType w:val="hybridMultilevel"/>
    <w:tmpl w:val="69D80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E136F"/>
    <w:multiLevelType w:val="hybridMultilevel"/>
    <w:tmpl w:val="939E7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179E2"/>
    <w:multiLevelType w:val="hybridMultilevel"/>
    <w:tmpl w:val="23388F48"/>
    <w:lvl w:ilvl="0" w:tplc="5A085E82">
      <w:start w:val="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A1D29"/>
    <w:multiLevelType w:val="hybridMultilevel"/>
    <w:tmpl w:val="FE0A9264"/>
    <w:lvl w:ilvl="0" w:tplc="76DEAB9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462E7"/>
    <w:multiLevelType w:val="hybridMultilevel"/>
    <w:tmpl w:val="FCF8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C45E8"/>
    <w:multiLevelType w:val="hybridMultilevel"/>
    <w:tmpl w:val="2336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54D5A"/>
    <w:multiLevelType w:val="hybridMultilevel"/>
    <w:tmpl w:val="1A92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77989"/>
    <w:multiLevelType w:val="hybridMultilevel"/>
    <w:tmpl w:val="7F929118"/>
    <w:lvl w:ilvl="0" w:tplc="76DEAB9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501BC"/>
    <w:multiLevelType w:val="hybridMultilevel"/>
    <w:tmpl w:val="ED383C40"/>
    <w:lvl w:ilvl="0" w:tplc="B100FA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F2AA5"/>
    <w:multiLevelType w:val="hybridMultilevel"/>
    <w:tmpl w:val="8C58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46113"/>
    <w:multiLevelType w:val="hybridMultilevel"/>
    <w:tmpl w:val="763E8BFC"/>
    <w:lvl w:ilvl="0" w:tplc="DDACB5B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4111A"/>
    <w:multiLevelType w:val="hybridMultilevel"/>
    <w:tmpl w:val="AE629C6E"/>
    <w:lvl w:ilvl="0" w:tplc="B9941B9C">
      <w:start w:val="1"/>
      <w:numFmt w:val="bullet"/>
      <w:lvlText w:val="•"/>
      <w:lvlJc w:val="left"/>
      <w:pPr>
        <w:tabs>
          <w:tab w:val="num" w:pos="720"/>
        </w:tabs>
        <w:ind w:left="720" w:hanging="360"/>
      </w:pPr>
      <w:rPr>
        <w:rFonts w:ascii="Arial" w:hAnsi="Arial" w:hint="default"/>
      </w:rPr>
    </w:lvl>
    <w:lvl w:ilvl="1" w:tplc="A7F25C12" w:tentative="1">
      <w:start w:val="1"/>
      <w:numFmt w:val="bullet"/>
      <w:lvlText w:val="•"/>
      <w:lvlJc w:val="left"/>
      <w:pPr>
        <w:tabs>
          <w:tab w:val="num" w:pos="1440"/>
        </w:tabs>
        <w:ind w:left="1440" w:hanging="360"/>
      </w:pPr>
      <w:rPr>
        <w:rFonts w:ascii="Arial" w:hAnsi="Arial" w:hint="default"/>
      </w:rPr>
    </w:lvl>
    <w:lvl w:ilvl="2" w:tplc="76B43E04" w:tentative="1">
      <w:start w:val="1"/>
      <w:numFmt w:val="bullet"/>
      <w:lvlText w:val="•"/>
      <w:lvlJc w:val="left"/>
      <w:pPr>
        <w:tabs>
          <w:tab w:val="num" w:pos="2160"/>
        </w:tabs>
        <w:ind w:left="2160" w:hanging="360"/>
      </w:pPr>
      <w:rPr>
        <w:rFonts w:ascii="Arial" w:hAnsi="Arial" w:hint="default"/>
      </w:rPr>
    </w:lvl>
    <w:lvl w:ilvl="3" w:tplc="B03440E8" w:tentative="1">
      <w:start w:val="1"/>
      <w:numFmt w:val="bullet"/>
      <w:lvlText w:val="•"/>
      <w:lvlJc w:val="left"/>
      <w:pPr>
        <w:tabs>
          <w:tab w:val="num" w:pos="2880"/>
        </w:tabs>
        <w:ind w:left="2880" w:hanging="360"/>
      </w:pPr>
      <w:rPr>
        <w:rFonts w:ascii="Arial" w:hAnsi="Arial" w:hint="default"/>
      </w:rPr>
    </w:lvl>
    <w:lvl w:ilvl="4" w:tplc="7AEE9892" w:tentative="1">
      <w:start w:val="1"/>
      <w:numFmt w:val="bullet"/>
      <w:lvlText w:val="•"/>
      <w:lvlJc w:val="left"/>
      <w:pPr>
        <w:tabs>
          <w:tab w:val="num" w:pos="3600"/>
        </w:tabs>
        <w:ind w:left="3600" w:hanging="360"/>
      </w:pPr>
      <w:rPr>
        <w:rFonts w:ascii="Arial" w:hAnsi="Arial" w:hint="default"/>
      </w:rPr>
    </w:lvl>
    <w:lvl w:ilvl="5" w:tplc="809A2E1C" w:tentative="1">
      <w:start w:val="1"/>
      <w:numFmt w:val="bullet"/>
      <w:lvlText w:val="•"/>
      <w:lvlJc w:val="left"/>
      <w:pPr>
        <w:tabs>
          <w:tab w:val="num" w:pos="4320"/>
        </w:tabs>
        <w:ind w:left="4320" w:hanging="360"/>
      </w:pPr>
      <w:rPr>
        <w:rFonts w:ascii="Arial" w:hAnsi="Arial" w:hint="default"/>
      </w:rPr>
    </w:lvl>
    <w:lvl w:ilvl="6" w:tplc="3804433A" w:tentative="1">
      <w:start w:val="1"/>
      <w:numFmt w:val="bullet"/>
      <w:lvlText w:val="•"/>
      <w:lvlJc w:val="left"/>
      <w:pPr>
        <w:tabs>
          <w:tab w:val="num" w:pos="5040"/>
        </w:tabs>
        <w:ind w:left="5040" w:hanging="360"/>
      </w:pPr>
      <w:rPr>
        <w:rFonts w:ascii="Arial" w:hAnsi="Arial" w:hint="default"/>
      </w:rPr>
    </w:lvl>
    <w:lvl w:ilvl="7" w:tplc="7E482B8A" w:tentative="1">
      <w:start w:val="1"/>
      <w:numFmt w:val="bullet"/>
      <w:lvlText w:val="•"/>
      <w:lvlJc w:val="left"/>
      <w:pPr>
        <w:tabs>
          <w:tab w:val="num" w:pos="5760"/>
        </w:tabs>
        <w:ind w:left="5760" w:hanging="360"/>
      </w:pPr>
      <w:rPr>
        <w:rFonts w:ascii="Arial" w:hAnsi="Arial" w:hint="default"/>
      </w:rPr>
    </w:lvl>
    <w:lvl w:ilvl="8" w:tplc="AEB85B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9E70D3"/>
    <w:multiLevelType w:val="hybridMultilevel"/>
    <w:tmpl w:val="3C1EB7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6F71"/>
    <w:multiLevelType w:val="hybridMultilevel"/>
    <w:tmpl w:val="3A2A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3D316D"/>
    <w:multiLevelType w:val="hybridMultilevel"/>
    <w:tmpl w:val="B33EEC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03EB6"/>
    <w:multiLevelType w:val="hybridMultilevel"/>
    <w:tmpl w:val="B746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14C28"/>
    <w:multiLevelType w:val="hybridMultilevel"/>
    <w:tmpl w:val="D0E8F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4134F"/>
    <w:multiLevelType w:val="hybridMultilevel"/>
    <w:tmpl w:val="E168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82013"/>
    <w:multiLevelType w:val="hybridMultilevel"/>
    <w:tmpl w:val="9EE8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95507"/>
    <w:multiLevelType w:val="hybridMultilevel"/>
    <w:tmpl w:val="8864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D37E8"/>
    <w:multiLevelType w:val="hybridMultilevel"/>
    <w:tmpl w:val="186420B6"/>
    <w:lvl w:ilvl="0" w:tplc="BA2E08B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600AE"/>
    <w:multiLevelType w:val="hybridMultilevel"/>
    <w:tmpl w:val="6744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813CF"/>
    <w:multiLevelType w:val="hybridMultilevel"/>
    <w:tmpl w:val="6A166CB2"/>
    <w:lvl w:ilvl="0" w:tplc="6E00773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91ED8"/>
    <w:multiLevelType w:val="hybridMultilevel"/>
    <w:tmpl w:val="781EA898"/>
    <w:lvl w:ilvl="0" w:tplc="F64EB036">
      <w:start w:val="1"/>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2A6A57"/>
    <w:multiLevelType w:val="hybridMultilevel"/>
    <w:tmpl w:val="D5AC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F3C13"/>
    <w:multiLevelType w:val="hybridMultilevel"/>
    <w:tmpl w:val="15AA70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2E3CD3"/>
    <w:multiLevelType w:val="hybridMultilevel"/>
    <w:tmpl w:val="5978B9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F757B"/>
    <w:multiLevelType w:val="hybridMultilevel"/>
    <w:tmpl w:val="91EA4826"/>
    <w:lvl w:ilvl="0" w:tplc="6AC0EA3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9D636E"/>
    <w:multiLevelType w:val="hybridMultilevel"/>
    <w:tmpl w:val="8188A9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D5A3A"/>
    <w:multiLevelType w:val="hybridMultilevel"/>
    <w:tmpl w:val="F4B0AA4C"/>
    <w:lvl w:ilvl="0" w:tplc="B778F74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64A2B"/>
    <w:multiLevelType w:val="hybridMultilevel"/>
    <w:tmpl w:val="627E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B75E9"/>
    <w:multiLevelType w:val="hybridMultilevel"/>
    <w:tmpl w:val="7212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9674E"/>
    <w:multiLevelType w:val="hybridMultilevel"/>
    <w:tmpl w:val="CA802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E32CD"/>
    <w:multiLevelType w:val="hybridMultilevel"/>
    <w:tmpl w:val="C6486AEC"/>
    <w:lvl w:ilvl="0" w:tplc="5D32C43E">
      <w:start w:val="1"/>
      <w:numFmt w:val="bullet"/>
      <w:lvlText w:val=""/>
      <w:lvlJc w:val="left"/>
      <w:pPr>
        <w:ind w:left="720" w:hanging="360"/>
      </w:pPr>
      <w:rPr>
        <w:rFonts w:ascii="Symbol" w:hAnsi="Symbol" w:hint="default"/>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1D022E"/>
    <w:multiLevelType w:val="hybridMultilevel"/>
    <w:tmpl w:val="B69C0F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3A86221"/>
    <w:multiLevelType w:val="hybridMultilevel"/>
    <w:tmpl w:val="AFC4813E"/>
    <w:lvl w:ilvl="0" w:tplc="CF30F6C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54A9F"/>
    <w:multiLevelType w:val="hybridMultilevel"/>
    <w:tmpl w:val="D3FA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3380C"/>
    <w:multiLevelType w:val="hybridMultilevel"/>
    <w:tmpl w:val="60143A62"/>
    <w:lvl w:ilvl="0" w:tplc="3DC40CA0">
      <w:start w:val="1"/>
      <w:numFmt w:val="bullet"/>
      <w:lvlText w:val=""/>
      <w:lvlJc w:val="left"/>
      <w:pPr>
        <w:tabs>
          <w:tab w:val="num" w:pos="720"/>
        </w:tabs>
        <w:ind w:left="720" w:hanging="360"/>
      </w:pPr>
      <w:rPr>
        <w:rFonts w:ascii="Symbol" w:hAnsi="Symbol" w:hint="default"/>
        <w:sz w:val="20"/>
      </w:rPr>
    </w:lvl>
    <w:lvl w:ilvl="1" w:tplc="6DEC5BBA" w:tentative="1">
      <w:start w:val="1"/>
      <w:numFmt w:val="bullet"/>
      <w:lvlText w:val="•"/>
      <w:lvlJc w:val="left"/>
      <w:pPr>
        <w:tabs>
          <w:tab w:val="num" w:pos="1440"/>
        </w:tabs>
        <w:ind w:left="1440" w:hanging="360"/>
      </w:pPr>
      <w:rPr>
        <w:rFonts w:ascii="Arial" w:hAnsi="Arial" w:hint="default"/>
      </w:rPr>
    </w:lvl>
    <w:lvl w:ilvl="2" w:tplc="69F42F48" w:tentative="1">
      <w:start w:val="1"/>
      <w:numFmt w:val="bullet"/>
      <w:lvlText w:val="•"/>
      <w:lvlJc w:val="left"/>
      <w:pPr>
        <w:tabs>
          <w:tab w:val="num" w:pos="2160"/>
        </w:tabs>
        <w:ind w:left="2160" w:hanging="360"/>
      </w:pPr>
      <w:rPr>
        <w:rFonts w:ascii="Arial" w:hAnsi="Arial" w:hint="default"/>
      </w:rPr>
    </w:lvl>
    <w:lvl w:ilvl="3" w:tplc="53DA4FA8" w:tentative="1">
      <w:start w:val="1"/>
      <w:numFmt w:val="bullet"/>
      <w:lvlText w:val="•"/>
      <w:lvlJc w:val="left"/>
      <w:pPr>
        <w:tabs>
          <w:tab w:val="num" w:pos="2880"/>
        </w:tabs>
        <w:ind w:left="2880" w:hanging="360"/>
      </w:pPr>
      <w:rPr>
        <w:rFonts w:ascii="Arial" w:hAnsi="Arial" w:hint="default"/>
      </w:rPr>
    </w:lvl>
    <w:lvl w:ilvl="4" w:tplc="6AC474B8" w:tentative="1">
      <w:start w:val="1"/>
      <w:numFmt w:val="bullet"/>
      <w:lvlText w:val="•"/>
      <w:lvlJc w:val="left"/>
      <w:pPr>
        <w:tabs>
          <w:tab w:val="num" w:pos="3600"/>
        </w:tabs>
        <w:ind w:left="3600" w:hanging="360"/>
      </w:pPr>
      <w:rPr>
        <w:rFonts w:ascii="Arial" w:hAnsi="Arial" w:hint="default"/>
      </w:rPr>
    </w:lvl>
    <w:lvl w:ilvl="5" w:tplc="4768B1E0" w:tentative="1">
      <w:start w:val="1"/>
      <w:numFmt w:val="bullet"/>
      <w:lvlText w:val="•"/>
      <w:lvlJc w:val="left"/>
      <w:pPr>
        <w:tabs>
          <w:tab w:val="num" w:pos="4320"/>
        </w:tabs>
        <w:ind w:left="4320" w:hanging="360"/>
      </w:pPr>
      <w:rPr>
        <w:rFonts w:ascii="Arial" w:hAnsi="Arial" w:hint="default"/>
      </w:rPr>
    </w:lvl>
    <w:lvl w:ilvl="6" w:tplc="54362746" w:tentative="1">
      <w:start w:val="1"/>
      <w:numFmt w:val="bullet"/>
      <w:lvlText w:val="•"/>
      <w:lvlJc w:val="left"/>
      <w:pPr>
        <w:tabs>
          <w:tab w:val="num" w:pos="5040"/>
        </w:tabs>
        <w:ind w:left="5040" w:hanging="360"/>
      </w:pPr>
      <w:rPr>
        <w:rFonts w:ascii="Arial" w:hAnsi="Arial" w:hint="default"/>
      </w:rPr>
    </w:lvl>
    <w:lvl w:ilvl="7" w:tplc="2312D50E" w:tentative="1">
      <w:start w:val="1"/>
      <w:numFmt w:val="bullet"/>
      <w:lvlText w:val="•"/>
      <w:lvlJc w:val="left"/>
      <w:pPr>
        <w:tabs>
          <w:tab w:val="num" w:pos="5760"/>
        </w:tabs>
        <w:ind w:left="5760" w:hanging="360"/>
      </w:pPr>
      <w:rPr>
        <w:rFonts w:ascii="Arial" w:hAnsi="Arial" w:hint="default"/>
      </w:rPr>
    </w:lvl>
    <w:lvl w:ilvl="8" w:tplc="F3A46DE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321368"/>
    <w:multiLevelType w:val="hybridMultilevel"/>
    <w:tmpl w:val="B282C0F6"/>
    <w:lvl w:ilvl="0" w:tplc="14346640">
      <w:start w:val="1"/>
      <w:numFmt w:val="bullet"/>
      <w:lvlText w:val=""/>
      <w:lvlJc w:val="left"/>
      <w:pPr>
        <w:tabs>
          <w:tab w:val="num" w:pos="720"/>
        </w:tabs>
        <w:ind w:left="720" w:hanging="360"/>
      </w:pPr>
      <w:rPr>
        <w:rFonts w:ascii="Symbol" w:hAnsi="Symbol" w:hint="default"/>
        <w:sz w:val="20"/>
        <w:szCs w:val="20"/>
      </w:rPr>
    </w:lvl>
    <w:lvl w:ilvl="1" w:tplc="4E069DAE" w:tentative="1">
      <w:start w:val="1"/>
      <w:numFmt w:val="bullet"/>
      <w:lvlText w:val="•"/>
      <w:lvlJc w:val="left"/>
      <w:pPr>
        <w:tabs>
          <w:tab w:val="num" w:pos="1440"/>
        </w:tabs>
        <w:ind w:left="1440" w:hanging="360"/>
      </w:pPr>
      <w:rPr>
        <w:rFonts w:ascii="Arial" w:hAnsi="Arial" w:hint="default"/>
      </w:rPr>
    </w:lvl>
    <w:lvl w:ilvl="2" w:tplc="AE9E79F6" w:tentative="1">
      <w:start w:val="1"/>
      <w:numFmt w:val="bullet"/>
      <w:lvlText w:val="•"/>
      <w:lvlJc w:val="left"/>
      <w:pPr>
        <w:tabs>
          <w:tab w:val="num" w:pos="2160"/>
        </w:tabs>
        <w:ind w:left="2160" w:hanging="360"/>
      </w:pPr>
      <w:rPr>
        <w:rFonts w:ascii="Arial" w:hAnsi="Arial" w:hint="default"/>
      </w:rPr>
    </w:lvl>
    <w:lvl w:ilvl="3" w:tplc="334A2D00" w:tentative="1">
      <w:start w:val="1"/>
      <w:numFmt w:val="bullet"/>
      <w:lvlText w:val="•"/>
      <w:lvlJc w:val="left"/>
      <w:pPr>
        <w:tabs>
          <w:tab w:val="num" w:pos="2880"/>
        </w:tabs>
        <w:ind w:left="2880" w:hanging="360"/>
      </w:pPr>
      <w:rPr>
        <w:rFonts w:ascii="Arial" w:hAnsi="Arial" w:hint="default"/>
      </w:rPr>
    </w:lvl>
    <w:lvl w:ilvl="4" w:tplc="D6726124" w:tentative="1">
      <w:start w:val="1"/>
      <w:numFmt w:val="bullet"/>
      <w:lvlText w:val="•"/>
      <w:lvlJc w:val="left"/>
      <w:pPr>
        <w:tabs>
          <w:tab w:val="num" w:pos="3600"/>
        </w:tabs>
        <w:ind w:left="3600" w:hanging="360"/>
      </w:pPr>
      <w:rPr>
        <w:rFonts w:ascii="Arial" w:hAnsi="Arial" w:hint="default"/>
      </w:rPr>
    </w:lvl>
    <w:lvl w:ilvl="5" w:tplc="2CC036E8" w:tentative="1">
      <w:start w:val="1"/>
      <w:numFmt w:val="bullet"/>
      <w:lvlText w:val="•"/>
      <w:lvlJc w:val="left"/>
      <w:pPr>
        <w:tabs>
          <w:tab w:val="num" w:pos="4320"/>
        </w:tabs>
        <w:ind w:left="4320" w:hanging="360"/>
      </w:pPr>
      <w:rPr>
        <w:rFonts w:ascii="Arial" w:hAnsi="Arial" w:hint="default"/>
      </w:rPr>
    </w:lvl>
    <w:lvl w:ilvl="6" w:tplc="AF04C02E" w:tentative="1">
      <w:start w:val="1"/>
      <w:numFmt w:val="bullet"/>
      <w:lvlText w:val="•"/>
      <w:lvlJc w:val="left"/>
      <w:pPr>
        <w:tabs>
          <w:tab w:val="num" w:pos="5040"/>
        </w:tabs>
        <w:ind w:left="5040" w:hanging="360"/>
      </w:pPr>
      <w:rPr>
        <w:rFonts w:ascii="Arial" w:hAnsi="Arial" w:hint="default"/>
      </w:rPr>
    </w:lvl>
    <w:lvl w:ilvl="7" w:tplc="2B3AC774" w:tentative="1">
      <w:start w:val="1"/>
      <w:numFmt w:val="bullet"/>
      <w:lvlText w:val="•"/>
      <w:lvlJc w:val="left"/>
      <w:pPr>
        <w:tabs>
          <w:tab w:val="num" w:pos="5760"/>
        </w:tabs>
        <w:ind w:left="5760" w:hanging="360"/>
      </w:pPr>
      <w:rPr>
        <w:rFonts w:ascii="Arial" w:hAnsi="Arial" w:hint="default"/>
      </w:rPr>
    </w:lvl>
    <w:lvl w:ilvl="8" w:tplc="2E001D2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A66265"/>
    <w:multiLevelType w:val="hybridMultilevel"/>
    <w:tmpl w:val="F2820B9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CDF00D0"/>
    <w:multiLevelType w:val="hybridMultilevel"/>
    <w:tmpl w:val="B8B6A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523C6"/>
    <w:multiLevelType w:val="hybridMultilevel"/>
    <w:tmpl w:val="44A493AC"/>
    <w:lvl w:ilvl="0" w:tplc="97FC2B8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E2F5C"/>
    <w:multiLevelType w:val="hybridMultilevel"/>
    <w:tmpl w:val="EBC6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185A99"/>
    <w:multiLevelType w:val="hybridMultilevel"/>
    <w:tmpl w:val="D2BE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267AD0"/>
    <w:multiLevelType w:val="hybridMultilevel"/>
    <w:tmpl w:val="93D85FCE"/>
    <w:lvl w:ilvl="0" w:tplc="BA2E08B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36698"/>
    <w:multiLevelType w:val="hybridMultilevel"/>
    <w:tmpl w:val="5FF807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5"/>
  </w:num>
  <w:num w:numId="2">
    <w:abstractNumId w:val="16"/>
  </w:num>
  <w:num w:numId="3">
    <w:abstractNumId w:val="31"/>
  </w:num>
  <w:num w:numId="4">
    <w:abstractNumId w:val="35"/>
  </w:num>
  <w:num w:numId="5">
    <w:abstractNumId w:val="38"/>
  </w:num>
  <w:num w:numId="6">
    <w:abstractNumId w:val="43"/>
  </w:num>
  <w:num w:numId="7">
    <w:abstractNumId w:val="15"/>
  </w:num>
  <w:num w:numId="8">
    <w:abstractNumId w:val="4"/>
  </w:num>
  <w:num w:numId="9">
    <w:abstractNumId w:val="21"/>
  </w:num>
  <w:num w:numId="10">
    <w:abstractNumId w:val="3"/>
  </w:num>
  <w:num w:numId="11">
    <w:abstractNumId w:val="29"/>
  </w:num>
  <w:num w:numId="12">
    <w:abstractNumId w:val="20"/>
  </w:num>
  <w:num w:numId="13">
    <w:abstractNumId w:val="17"/>
  </w:num>
  <w:num w:numId="14">
    <w:abstractNumId w:val="19"/>
  </w:num>
  <w:num w:numId="15">
    <w:abstractNumId w:val="34"/>
  </w:num>
  <w:num w:numId="16">
    <w:abstractNumId w:val="40"/>
  </w:num>
  <w:num w:numId="17">
    <w:abstractNumId w:val="41"/>
  </w:num>
  <w:num w:numId="18">
    <w:abstractNumId w:val="14"/>
  </w:num>
  <w:num w:numId="19">
    <w:abstractNumId w:val="6"/>
  </w:num>
  <w:num w:numId="20">
    <w:abstractNumId w:val="10"/>
  </w:num>
  <w:num w:numId="21">
    <w:abstractNumId w:val="47"/>
  </w:num>
  <w:num w:numId="22">
    <w:abstractNumId w:val="23"/>
  </w:num>
  <w:num w:numId="23">
    <w:abstractNumId w:val="42"/>
  </w:num>
  <w:num w:numId="24">
    <w:abstractNumId w:val="2"/>
  </w:num>
  <w:num w:numId="25">
    <w:abstractNumId w:val="44"/>
  </w:num>
  <w:num w:numId="26">
    <w:abstractNumId w:val="9"/>
  </w:num>
  <w:num w:numId="27">
    <w:abstractNumId w:val="7"/>
  </w:num>
  <w:num w:numId="28">
    <w:abstractNumId w:val="28"/>
  </w:num>
  <w:num w:numId="29">
    <w:abstractNumId w:val="0"/>
  </w:num>
  <w:num w:numId="30">
    <w:abstractNumId w:val="25"/>
  </w:num>
  <w:num w:numId="31">
    <w:abstractNumId w:val="36"/>
  </w:num>
  <w:num w:numId="32">
    <w:abstractNumId w:val="13"/>
  </w:num>
  <w:num w:numId="33">
    <w:abstractNumId w:val="1"/>
  </w:num>
  <w:num w:numId="34">
    <w:abstractNumId w:val="48"/>
  </w:num>
  <w:num w:numId="35">
    <w:abstractNumId w:val="37"/>
  </w:num>
  <w:num w:numId="36">
    <w:abstractNumId w:val="32"/>
  </w:num>
  <w:num w:numId="37">
    <w:abstractNumId w:val="30"/>
  </w:num>
  <w:num w:numId="38">
    <w:abstractNumId w:val="27"/>
  </w:num>
  <w:num w:numId="39">
    <w:abstractNumId w:val="22"/>
  </w:num>
  <w:num w:numId="40">
    <w:abstractNumId w:val="39"/>
  </w:num>
  <w:num w:numId="41">
    <w:abstractNumId w:val="18"/>
  </w:num>
  <w:num w:numId="42">
    <w:abstractNumId w:val="24"/>
  </w:num>
  <w:num w:numId="43">
    <w:abstractNumId w:val="8"/>
  </w:num>
  <w:num w:numId="44">
    <w:abstractNumId w:val="12"/>
  </w:num>
  <w:num w:numId="45">
    <w:abstractNumId w:val="11"/>
  </w:num>
  <w:num w:numId="46">
    <w:abstractNumId w:val="5"/>
  </w:num>
  <w:num w:numId="47">
    <w:abstractNumId w:val="26"/>
  </w:num>
  <w:num w:numId="48">
    <w:abstractNumId w:val="4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ytDA3NDM1BrLMDZR0lIJTi4sz8/NACoxNagFqGrkhLQAAAA=="/>
  </w:docVars>
  <w:rsids>
    <w:rsidRoot w:val="00D82BC4"/>
    <w:rsid w:val="000029C0"/>
    <w:rsid w:val="000053C8"/>
    <w:rsid w:val="0000560B"/>
    <w:rsid w:val="00007EA9"/>
    <w:rsid w:val="00012043"/>
    <w:rsid w:val="000143E1"/>
    <w:rsid w:val="000220D1"/>
    <w:rsid w:val="0002356B"/>
    <w:rsid w:val="0002528F"/>
    <w:rsid w:val="00026CD2"/>
    <w:rsid w:val="00027524"/>
    <w:rsid w:val="00034CD2"/>
    <w:rsid w:val="00036EDA"/>
    <w:rsid w:val="0003708A"/>
    <w:rsid w:val="00037B2B"/>
    <w:rsid w:val="00050DEB"/>
    <w:rsid w:val="0005117D"/>
    <w:rsid w:val="000573E6"/>
    <w:rsid w:val="000634AE"/>
    <w:rsid w:val="000635B3"/>
    <w:rsid w:val="00063CC8"/>
    <w:rsid w:val="00063E49"/>
    <w:rsid w:val="000653C2"/>
    <w:rsid w:val="00070415"/>
    <w:rsid w:val="000755D1"/>
    <w:rsid w:val="00075F1B"/>
    <w:rsid w:val="0008312D"/>
    <w:rsid w:val="00086A6B"/>
    <w:rsid w:val="00091E45"/>
    <w:rsid w:val="00094A65"/>
    <w:rsid w:val="00094E6C"/>
    <w:rsid w:val="00095769"/>
    <w:rsid w:val="000A41E3"/>
    <w:rsid w:val="000A7500"/>
    <w:rsid w:val="000B4996"/>
    <w:rsid w:val="000C02D4"/>
    <w:rsid w:val="000D4327"/>
    <w:rsid w:val="000D449B"/>
    <w:rsid w:val="000D74B6"/>
    <w:rsid w:val="000E1D7F"/>
    <w:rsid w:val="000F0DC9"/>
    <w:rsid w:val="000F168E"/>
    <w:rsid w:val="000F546D"/>
    <w:rsid w:val="000F7BF7"/>
    <w:rsid w:val="00100606"/>
    <w:rsid w:val="00102430"/>
    <w:rsid w:val="001057BD"/>
    <w:rsid w:val="00107E68"/>
    <w:rsid w:val="00110485"/>
    <w:rsid w:val="00113119"/>
    <w:rsid w:val="00113707"/>
    <w:rsid w:val="001168A3"/>
    <w:rsid w:val="001171A7"/>
    <w:rsid w:val="00123D0D"/>
    <w:rsid w:val="00124647"/>
    <w:rsid w:val="00127687"/>
    <w:rsid w:val="0013010A"/>
    <w:rsid w:val="001321DA"/>
    <w:rsid w:val="0013334D"/>
    <w:rsid w:val="001348A7"/>
    <w:rsid w:val="00134ED5"/>
    <w:rsid w:val="001406B8"/>
    <w:rsid w:val="0014176A"/>
    <w:rsid w:val="00141F84"/>
    <w:rsid w:val="00142E62"/>
    <w:rsid w:val="0014368B"/>
    <w:rsid w:val="00150B08"/>
    <w:rsid w:val="00151126"/>
    <w:rsid w:val="0015507E"/>
    <w:rsid w:val="00156E07"/>
    <w:rsid w:val="00160EE2"/>
    <w:rsid w:val="00162630"/>
    <w:rsid w:val="00163CDA"/>
    <w:rsid w:val="00166196"/>
    <w:rsid w:val="0016715B"/>
    <w:rsid w:val="00167802"/>
    <w:rsid w:val="001722F2"/>
    <w:rsid w:val="00175DBD"/>
    <w:rsid w:val="001767BA"/>
    <w:rsid w:val="00181C8F"/>
    <w:rsid w:val="001820A8"/>
    <w:rsid w:val="00182377"/>
    <w:rsid w:val="00182ECD"/>
    <w:rsid w:val="001833B1"/>
    <w:rsid w:val="001833F5"/>
    <w:rsid w:val="00186A5F"/>
    <w:rsid w:val="00191FD6"/>
    <w:rsid w:val="00192019"/>
    <w:rsid w:val="00194612"/>
    <w:rsid w:val="00194C35"/>
    <w:rsid w:val="001967C5"/>
    <w:rsid w:val="001A1E5D"/>
    <w:rsid w:val="001A24AF"/>
    <w:rsid w:val="001A2788"/>
    <w:rsid w:val="001A30EC"/>
    <w:rsid w:val="001A35C8"/>
    <w:rsid w:val="001A56AA"/>
    <w:rsid w:val="001A7DA2"/>
    <w:rsid w:val="001B025B"/>
    <w:rsid w:val="001B25C6"/>
    <w:rsid w:val="001C7672"/>
    <w:rsid w:val="001D1275"/>
    <w:rsid w:val="001D4E36"/>
    <w:rsid w:val="001D5C69"/>
    <w:rsid w:val="001D70B7"/>
    <w:rsid w:val="001D7809"/>
    <w:rsid w:val="001E545E"/>
    <w:rsid w:val="001E61A0"/>
    <w:rsid w:val="001E6BEF"/>
    <w:rsid w:val="001F062D"/>
    <w:rsid w:val="001F162E"/>
    <w:rsid w:val="001F21E4"/>
    <w:rsid w:val="001F240F"/>
    <w:rsid w:val="001F32E5"/>
    <w:rsid w:val="001F41FE"/>
    <w:rsid w:val="001F424C"/>
    <w:rsid w:val="00200C59"/>
    <w:rsid w:val="002027EA"/>
    <w:rsid w:val="00204811"/>
    <w:rsid w:val="002067DD"/>
    <w:rsid w:val="00210108"/>
    <w:rsid w:val="00210634"/>
    <w:rsid w:val="00210A8A"/>
    <w:rsid w:val="00212320"/>
    <w:rsid w:val="0021458C"/>
    <w:rsid w:val="0021595F"/>
    <w:rsid w:val="00225700"/>
    <w:rsid w:val="00227768"/>
    <w:rsid w:val="002300D8"/>
    <w:rsid w:val="00230631"/>
    <w:rsid w:val="00230AC9"/>
    <w:rsid w:val="002341C2"/>
    <w:rsid w:val="002424AC"/>
    <w:rsid w:val="00244EF1"/>
    <w:rsid w:val="002471D9"/>
    <w:rsid w:val="00250F5E"/>
    <w:rsid w:val="00266D4F"/>
    <w:rsid w:val="0027043A"/>
    <w:rsid w:val="002709BE"/>
    <w:rsid w:val="00276785"/>
    <w:rsid w:val="002767F1"/>
    <w:rsid w:val="00277346"/>
    <w:rsid w:val="00277889"/>
    <w:rsid w:val="00282228"/>
    <w:rsid w:val="0028285E"/>
    <w:rsid w:val="00282F06"/>
    <w:rsid w:val="0028365E"/>
    <w:rsid w:val="00285407"/>
    <w:rsid w:val="00285E44"/>
    <w:rsid w:val="002876F7"/>
    <w:rsid w:val="00287C2C"/>
    <w:rsid w:val="00290AE6"/>
    <w:rsid w:val="00294029"/>
    <w:rsid w:val="002A0230"/>
    <w:rsid w:val="002A1513"/>
    <w:rsid w:val="002A5F54"/>
    <w:rsid w:val="002A7652"/>
    <w:rsid w:val="002B3A52"/>
    <w:rsid w:val="002B46A1"/>
    <w:rsid w:val="002B6DE2"/>
    <w:rsid w:val="002B6EAC"/>
    <w:rsid w:val="002C125E"/>
    <w:rsid w:val="002D1B10"/>
    <w:rsid w:val="002D6997"/>
    <w:rsid w:val="002D72DA"/>
    <w:rsid w:val="002D7DC8"/>
    <w:rsid w:val="002E478D"/>
    <w:rsid w:val="002F0DB5"/>
    <w:rsid w:val="002F16AC"/>
    <w:rsid w:val="002F22EA"/>
    <w:rsid w:val="00300893"/>
    <w:rsid w:val="0030721B"/>
    <w:rsid w:val="003124B0"/>
    <w:rsid w:val="003137E7"/>
    <w:rsid w:val="00313CB7"/>
    <w:rsid w:val="00315984"/>
    <w:rsid w:val="00320839"/>
    <w:rsid w:val="003214C4"/>
    <w:rsid w:val="00325D0E"/>
    <w:rsid w:val="00327639"/>
    <w:rsid w:val="0033109E"/>
    <w:rsid w:val="0033263E"/>
    <w:rsid w:val="00335C2B"/>
    <w:rsid w:val="00336734"/>
    <w:rsid w:val="00336B7C"/>
    <w:rsid w:val="00346941"/>
    <w:rsid w:val="00347B49"/>
    <w:rsid w:val="00352041"/>
    <w:rsid w:val="00361401"/>
    <w:rsid w:val="00363808"/>
    <w:rsid w:val="003722DD"/>
    <w:rsid w:val="0037232A"/>
    <w:rsid w:val="003726D6"/>
    <w:rsid w:val="003752C2"/>
    <w:rsid w:val="00375FD2"/>
    <w:rsid w:val="0037635C"/>
    <w:rsid w:val="00377E0A"/>
    <w:rsid w:val="003834A5"/>
    <w:rsid w:val="00383E5B"/>
    <w:rsid w:val="0038672F"/>
    <w:rsid w:val="00390004"/>
    <w:rsid w:val="00390DDD"/>
    <w:rsid w:val="00391ADB"/>
    <w:rsid w:val="003962A4"/>
    <w:rsid w:val="003A01F4"/>
    <w:rsid w:val="003A73AD"/>
    <w:rsid w:val="003A7AE2"/>
    <w:rsid w:val="003B271E"/>
    <w:rsid w:val="003B55BF"/>
    <w:rsid w:val="003B6A5B"/>
    <w:rsid w:val="003B7889"/>
    <w:rsid w:val="003C3D9B"/>
    <w:rsid w:val="003C45DC"/>
    <w:rsid w:val="003C69A1"/>
    <w:rsid w:val="003D10E1"/>
    <w:rsid w:val="003D2A0B"/>
    <w:rsid w:val="003D36FA"/>
    <w:rsid w:val="003D4DDF"/>
    <w:rsid w:val="003D5AFD"/>
    <w:rsid w:val="003D61AC"/>
    <w:rsid w:val="003E056E"/>
    <w:rsid w:val="003E12BF"/>
    <w:rsid w:val="003E34DB"/>
    <w:rsid w:val="003E36C3"/>
    <w:rsid w:val="003E54DF"/>
    <w:rsid w:val="003E604D"/>
    <w:rsid w:val="003E7707"/>
    <w:rsid w:val="003F0453"/>
    <w:rsid w:val="003F25B4"/>
    <w:rsid w:val="003F339E"/>
    <w:rsid w:val="003F3CB8"/>
    <w:rsid w:val="00400496"/>
    <w:rsid w:val="004017A2"/>
    <w:rsid w:val="00410453"/>
    <w:rsid w:val="00412258"/>
    <w:rsid w:val="00412C06"/>
    <w:rsid w:val="00413D75"/>
    <w:rsid w:val="004157BD"/>
    <w:rsid w:val="004168C2"/>
    <w:rsid w:val="00421661"/>
    <w:rsid w:val="00423DF2"/>
    <w:rsid w:val="00424543"/>
    <w:rsid w:val="00425F3F"/>
    <w:rsid w:val="0042627A"/>
    <w:rsid w:val="004277FD"/>
    <w:rsid w:val="00435B9E"/>
    <w:rsid w:val="00457983"/>
    <w:rsid w:val="0046451C"/>
    <w:rsid w:val="00470B48"/>
    <w:rsid w:val="00471105"/>
    <w:rsid w:val="00471919"/>
    <w:rsid w:val="00474481"/>
    <w:rsid w:val="00474704"/>
    <w:rsid w:val="0047605F"/>
    <w:rsid w:val="00476B88"/>
    <w:rsid w:val="004909D5"/>
    <w:rsid w:val="004947B2"/>
    <w:rsid w:val="0049523F"/>
    <w:rsid w:val="004A043E"/>
    <w:rsid w:val="004A4F0C"/>
    <w:rsid w:val="004A5CC7"/>
    <w:rsid w:val="004A7CDD"/>
    <w:rsid w:val="004B1C25"/>
    <w:rsid w:val="004B1F60"/>
    <w:rsid w:val="004B3F8A"/>
    <w:rsid w:val="004B6C76"/>
    <w:rsid w:val="004C14BB"/>
    <w:rsid w:val="004E18E9"/>
    <w:rsid w:val="004E1B68"/>
    <w:rsid w:val="004F0BF7"/>
    <w:rsid w:val="00504368"/>
    <w:rsid w:val="00505F61"/>
    <w:rsid w:val="00511213"/>
    <w:rsid w:val="00514A92"/>
    <w:rsid w:val="00522926"/>
    <w:rsid w:val="0052538E"/>
    <w:rsid w:val="00527229"/>
    <w:rsid w:val="00527EB0"/>
    <w:rsid w:val="00530901"/>
    <w:rsid w:val="0053117A"/>
    <w:rsid w:val="0053293D"/>
    <w:rsid w:val="00535F19"/>
    <w:rsid w:val="005405C6"/>
    <w:rsid w:val="00543B26"/>
    <w:rsid w:val="00544A39"/>
    <w:rsid w:val="0054578F"/>
    <w:rsid w:val="0054709F"/>
    <w:rsid w:val="005510AD"/>
    <w:rsid w:val="00557B0C"/>
    <w:rsid w:val="00560A6B"/>
    <w:rsid w:val="00561696"/>
    <w:rsid w:val="00571902"/>
    <w:rsid w:val="00574CA8"/>
    <w:rsid w:val="0058106F"/>
    <w:rsid w:val="00582C60"/>
    <w:rsid w:val="0059791F"/>
    <w:rsid w:val="005A1196"/>
    <w:rsid w:val="005A128F"/>
    <w:rsid w:val="005A604A"/>
    <w:rsid w:val="005A77E6"/>
    <w:rsid w:val="005B1AD5"/>
    <w:rsid w:val="005B3773"/>
    <w:rsid w:val="005B5D4E"/>
    <w:rsid w:val="005C07FF"/>
    <w:rsid w:val="005C446B"/>
    <w:rsid w:val="005C5492"/>
    <w:rsid w:val="005C5D1A"/>
    <w:rsid w:val="005C7B0D"/>
    <w:rsid w:val="005D1DAE"/>
    <w:rsid w:val="005D4042"/>
    <w:rsid w:val="005D47C1"/>
    <w:rsid w:val="005E256B"/>
    <w:rsid w:val="005E4F8D"/>
    <w:rsid w:val="005E508C"/>
    <w:rsid w:val="005E5FC0"/>
    <w:rsid w:val="005F32CE"/>
    <w:rsid w:val="005F4B3C"/>
    <w:rsid w:val="005F5B61"/>
    <w:rsid w:val="005F6985"/>
    <w:rsid w:val="00603198"/>
    <w:rsid w:val="00604B95"/>
    <w:rsid w:val="00606A3C"/>
    <w:rsid w:val="006070BE"/>
    <w:rsid w:val="006140FE"/>
    <w:rsid w:val="006142BC"/>
    <w:rsid w:val="00616F1F"/>
    <w:rsid w:val="006262B4"/>
    <w:rsid w:val="0062724C"/>
    <w:rsid w:val="0062733D"/>
    <w:rsid w:val="006277F1"/>
    <w:rsid w:val="006342BF"/>
    <w:rsid w:val="00636230"/>
    <w:rsid w:val="00637200"/>
    <w:rsid w:val="006379C8"/>
    <w:rsid w:val="006425E4"/>
    <w:rsid w:val="006433A6"/>
    <w:rsid w:val="00645636"/>
    <w:rsid w:val="006478B0"/>
    <w:rsid w:val="00647A90"/>
    <w:rsid w:val="0065271A"/>
    <w:rsid w:val="00653DA6"/>
    <w:rsid w:val="00654DF5"/>
    <w:rsid w:val="00657F96"/>
    <w:rsid w:val="006612D6"/>
    <w:rsid w:val="0066413F"/>
    <w:rsid w:val="006647F4"/>
    <w:rsid w:val="00665C9E"/>
    <w:rsid w:val="00666778"/>
    <w:rsid w:val="00670D8E"/>
    <w:rsid w:val="0067101E"/>
    <w:rsid w:val="00671B34"/>
    <w:rsid w:val="00673A25"/>
    <w:rsid w:val="006747B3"/>
    <w:rsid w:val="00677563"/>
    <w:rsid w:val="00684914"/>
    <w:rsid w:val="00685244"/>
    <w:rsid w:val="0069140D"/>
    <w:rsid w:val="006931DE"/>
    <w:rsid w:val="0069684F"/>
    <w:rsid w:val="006A2579"/>
    <w:rsid w:val="006A413C"/>
    <w:rsid w:val="006A4BA0"/>
    <w:rsid w:val="006A7C2B"/>
    <w:rsid w:val="006B091A"/>
    <w:rsid w:val="006B52DA"/>
    <w:rsid w:val="006D06E4"/>
    <w:rsid w:val="006D1588"/>
    <w:rsid w:val="006D2426"/>
    <w:rsid w:val="006D336F"/>
    <w:rsid w:val="006D5AE8"/>
    <w:rsid w:val="006D6F6E"/>
    <w:rsid w:val="006D75FE"/>
    <w:rsid w:val="006E101C"/>
    <w:rsid w:val="006E1F08"/>
    <w:rsid w:val="006E4B6D"/>
    <w:rsid w:val="006E4CBA"/>
    <w:rsid w:val="006E4EE9"/>
    <w:rsid w:val="006F0018"/>
    <w:rsid w:val="006F0B15"/>
    <w:rsid w:val="006F2551"/>
    <w:rsid w:val="006F4CF1"/>
    <w:rsid w:val="006F5633"/>
    <w:rsid w:val="0070374F"/>
    <w:rsid w:val="00706F4B"/>
    <w:rsid w:val="00713072"/>
    <w:rsid w:val="0071336B"/>
    <w:rsid w:val="00715191"/>
    <w:rsid w:val="00715431"/>
    <w:rsid w:val="00715B70"/>
    <w:rsid w:val="00725AAE"/>
    <w:rsid w:val="0072786F"/>
    <w:rsid w:val="00734B5D"/>
    <w:rsid w:val="00736259"/>
    <w:rsid w:val="00736DCC"/>
    <w:rsid w:val="00737051"/>
    <w:rsid w:val="007407AA"/>
    <w:rsid w:val="00742142"/>
    <w:rsid w:val="00743F65"/>
    <w:rsid w:val="00744AD1"/>
    <w:rsid w:val="00744BA9"/>
    <w:rsid w:val="007457DD"/>
    <w:rsid w:val="00747124"/>
    <w:rsid w:val="00751A4D"/>
    <w:rsid w:val="00752EFB"/>
    <w:rsid w:val="00753901"/>
    <w:rsid w:val="00755062"/>
    <w:rsid w:val="007550AD"/>
    <w:rsid w:val="00757BCE"/>
    <w:rsid w:val="00761392"/>
    <w:rsid w:val="00763E6F"/>
    <w:rsid w:val="0076549E"/>
    <w:rsid w:val="0076683E"/>
    <w:rsid w:val="00766F6F"/>
    <w:rsid w:val="00772F07"/>
    <w:rsid w:val="00773B9C"/>
    <w:rsid w:val="007775DF"/>
    <w:rsid w:val="007804FF"/>
    <w:rsid w:val="0078139E"/>
    <w:rsid w:val="00781EAF"/>
    <w:rsid w:val="00782FF8"/>
    <w:rsid w:val="00791D40"/>
    <w:rsid w:val="007923DC"/>
    <w:rsid w:val="007927B0"/>
    <w:rsid w:val="007965BC"/>
    <w:rsid w:val="007A069D"/>
    <w:rsid w:val="007A105A"/>
    <w:rsid w:val="007A60B6"/>
    <w:rsid w:val="007B2958"/>
    <w:rsid w:val="007B464B"/>
    <w:rsid w:val="007B4E27"/>
    <w:rsid w:val="007B7D05"/>
    <w:rsid w:val="007C07D7"/>
    <w:rsid w:val="007C2A10"/>
    <w:rsid w:val="007C6D07"/>
    <w:rsid w:val="007D4697"/>
    <w:rsid w:val="007E36CA"/>
    <w:rsid w:val="007E71C3"/>
    <w:rsid w:val="007F42C2"/>
    <w:rsid w:val="007F54C3"/>
    <w:rsid w:val="007F68E4"/>
    <w:rsid w:val="007F7054"/>
    <w:rsid w:val="007F783C"/>
    <w:rsid w:val="00800977"/>
    <w:rsid w:val="0080687C"/>
    <w:rsid w:val="00806A3B"/>
    <w:rsid w:val="00806A8F"/>
    <w:rsid w:val="00811427"/>
    <w:rsid w:val="008117B4"/>
    <w:rsid w:val="008141F9"/>
    <w:rsid w:val="00814840"/>
    <w:rsid w:val="00817F44"/>
    <w:rsid w:val="00823285"/>
    <w:rsid w:val="008258C5"/>
    <w:rsid w:val="00825FF1"/>
    <w:rsid w:val="0082661E"/>
    <w:rsid w:val="00827A52"/>
    <w:rsid w:val="008327CB"/>
    <w:rsid w:val="00833FA1"/>
    <w:rsid w:val="00837BBE"/>
    <w:rsid w:val="00837BC5"/>
    <w:rsid w:val="00846CFE"/>
    <w:rsid w:val="00847769"/>
    <w:rsid w:val="00847BC2"/>
    <w:rsid w:val="00851F6F"/>
    <w:rsid w:val="008570EF"/>
    <w:rsid w:val="0085795E"/>
    <w:rsid w:val="00857E08"/>
    <w:rsid w:val="00860DE1"/>
    <w:rsid w:val="00861B00"/>
    <w:rsid w:val="00863453"/>
    <w:rsid w:val="008635A6"/>
    <w:rsid w:val="0086659B"/>
    <w:rsid w:val="0087139A"/>
    <w:rsid w:val="00871F99"/>
    <w:rsid w:val="00876682"/>
    <w:rsid w:val="00877C5C"/>
    <w:rsid w:val="00883622"/>
    <w:rsid w:val="00885208"/>
    <w:rsid w:val="008852BA"/>
    <w:rsid w:val="00886D42"/>
    <w:rsid w:val="00887BC8"/>
    <w:rsid w:val="00890ADE"/>
    <w:rsid w:val="00891FC7"/>
    <w:rsid w:val="00897FA9"/>
    <w:rsid w:val="008A244E"/>
    <w:rsid w:val="008B0531"/>
    <w:rsid w:val="008B1115"/>
    <w:rsid w:val="008C3737"/>
    <w:rsid w:val="008C54FC"/>
    <w:rsid w:val="008D18B2"/>
    <w:rsid w:val="008E0963"/>
    <w:rsid w:val="008E3928"/>
    <w:rsid w:val="008E54D4"/>
    <w:rsid w:val="008E5845"/>
    <w:rsid w:val="008F0FDB"/>
    <w:rsid w:val="008F1240"/>
    <w:rsid w:val="008F2A28"/>
    <w:rsid w:val="008F3A68"/>
    <w:rsid w:val="008F3B46"/>
    <w:rsid w:val="008F4A7E"/>
    <w:rsid w:val="008F57B8"/>
    <w:rsid w:val="008F5F64"/>
    <w:rsid w:val="008F79D4"/>
    <w:rsid w:val="0090009E"/>
    <w:rsid w:val="00901FF1"/>
    <w:rsid w:val="00905432"/>
    <w:rsid w:val="00905E23"/>
    <w:rsid w:val="009107FC"/>
    <w:rsid w:val="00920656"/>
    <w:rsid w:val="009228EB"/>
    <w:rsid w:val="00922996"/>
    <w:rsid w:val="00922E5C"/>
    <w:rsid w:val="009334C4"/>
    <w:rsid w:val="00934190"/>
    <w:rsid w:val="00941EFD"/>
    <w:rsid w:val="009477AC"/>
    <w:rsid w:val="00953013"/>
    <w:rsid w:val="00955305"/>
    <w:rsid w:val="00955EFC"/>
    <w:rsid w:val="00962EFE"/>
    <w:rsid w:val="00964B74"/>
    <w:rsid w:val="00975DCE"/>
    <w:rsid w:val="00977833"/>
    <w:rsid w:val="00980E67"/>
    <w:rsid w:val="00982D8A"/>
    <w:rsid w:val="009833E7"/>
    <w:rsid w:val="00985B51"/>
    <w:rsid w:val="00992659"/>
    <w:rsid w:val="00997274"/>
    <w:rsid w:val="009A2DF5"/>
    <w:rsid w:val="009A3A86"/>
    <w:rsid w:val="009A5678"/>
    <w:rsid w:val="009A5FDB"/>
    <w:rsid w:val="009B434F"/>
    <w:rsid w:val="009B6D43"/>
    <w:rsid w:val="009C510E"/>
    <w:rsid w:val="009C546A"/>
    <w:rsid w:val="009C6718"/>
    <w:rsid w:val="009D0903"/>
    <w:rsid w:val="009D1E72"/>
    <w:rsid w:val="009D3C84"/>
    <w:rsid w:val="009D41D2"/>
    <w:rsid w:val="009D48C6"/>
    <w:rsid w:val="009D5DC5"/>
    <w:rsid w:val="009E1560"/>
    <w:rsid w:val="009E5362"/>
    <w:rsid w:val="009E6273"/>
    <w:rsid w:val="009F0671"/>
    <w:rsid w:val="00A01D33"/>
    <w:rsid w:val="00A05815"/>
    <w:rsid w:val="00A1467F"/>
    <w:rsid w:val="00A178AB"/>
    <w:rsid w:val="00A21EF6"/>
    <w:rsid w:val="00A24205"/>
    <w:rsid w:val="00A260D7"/>
    <w:rsid w:val="00A27052"/>
    <w:rsid w:val="00A27819"/>
    <w:rsid w:val="00A300F1"/>
    <w:rsid w:val="00A324FA"/>
    <w:rsid w:val="00A375A9"/>
    <w:rsid w:val="00A44BBE"/>
    <w:rsid w:val="00A4728D"/>
    <w:rsid w:val="00A51C32"/>
    <w:rsid w:val="00A544AA"/>
    <w:rsid w:val="00A561D9"/>
    <w:rsid w:val="00A57136"/>
    <w:rsid w:val="00A5727D"/>
    <w:rsid w:val="00A60E0C"/>
    <w:rsid w:val="00A70886"/>
    <w:rsid w:val="00A74FDD"/>
    <w:rsid w:val="00A76337"/>
    <w:rsid w:val="00A76FE9"/>
    <w:rsid w:val="00A80CB0"/>
    <w:rsid w:val="00A80CED"/>
    <w:rsid w:val="00A86E98"/>
    <w:rsid w:val="00A93F1B"/>
    <w:rsid w:val="00A951FF"/>
    <w:rsid w:val="00A96103"/>
    <w:rsid w:val="00A96361"/>
    <w:rsid w:val="00AA298F"/>
    <w:rsid w:val="00AA7482"/>
    <w:rsid w:val="00AB0813"/>
    <w:rsid w:val="00AB3296"/>
    <w:rsid w:val="00AB4EB9"/>
    <w:rsid w:val="00AB4F7B"/>
    <w:rsid w:val="00AB55BA"/>
    <w:rsid w:val="00AB6801"/>
    <w:rsid w:val="00AC3E34"/>
    <w:rsid w:val="00AE2A33"/>
    <w:rsid w:val="00AF0467"/>
    <w:rsid w:val="00AF1CE4"/>
    <w:rsid w:val="00AF4C27"/>
    <w:rsid w:val="00AF4EDE"/>
    <w:rsid w:val="00B0140E"/>
    <w:rsid w:val="00B04134"/>
    <w:rsid w:val="00B079EC"/>
    <w:rsid w:val="00B117CC"/>
    <w:rsid w:val="00B12CC2"/>
    <w:rsid w:val="00B16816"/>
    <w:rsid w:val="00B17130"/>
    <w:rsid w:val="00B22E9A"/>
    <w:rsid w:val="00B310B9"/>
    <w:rsid w:val="00B341CE"/>
    <w:rsid w:val="00B34CE2"/>
    <w:rsid w:val="00B36AB2"/>
    <w:rsid w:val="00B40F40"/>
    <w:rsid w:val="00B41867"/>
    <w:rsid w:val="00B438E2"/>
    <w:rsid w:val="00B4448E"/>
    <w:rsid w:val="00B4563F"/>
    <w:rsid w:val="00B457D1"/>
    <w:rsid w:val="00B516BF"/>
    <w:rsid w:val="00B53153"/>
    <w:rsid w:val="00B602A8"/>
    <w:rsid w:val="00B654CA"/>
    <w:rsid w:val="00B67009"/>
    <w:rsid w:val="00B71449"/>
    <w:rsid w:val="00B80E6E"/>
    <w:rsid w:val="00B80F95"/>
    <w:rsid w:val="00B82563"/>
    <w:rsid w:val="00B95882"/>
    <w:rsid w:val="00B96D5A"/>
    <w:rsid w:val="00BA210F"/>
    <w:rsid w:val="00BA3D52"/>
    <w:rsid w:val="00BA512B"/>
    <w:rsid w:val="00BA6D79"/>
    <w:rsid w:val="00BA7024"/>
    <w:rsid w:val="00BB0BFF"/>
    <w:rsid w:val="00BB153B"/>
    <w:rsid w:val="00BB3C7B"/>
    <w:rsid w:val="00BB5046"/>
    <w:rsid w:val="00BB5686"/>
    <w:rsid w:val="00BB7127"/>
    <w:rsid w:val="00BC1A4A"/>
    <w:rsid w:val="00BC34CD"/>
    <w:rsid w:val="00BC42F4"/>
    <w:rsid w:val="00BC5201"/>
    <w:rsid w:val="00BD226C"/>
    <w:rsid w:val="00BD23BC"/>
    <w:rsid w:val="00BD37D5"/>
    <w:rsid w:val="00BD38D7"/>
    <w:rsid w:val="00BD55EF"/>
    <w:rsid w:val="00BE0D8E"/>
    <w:rsid w:val="00BE719F"/>
    <w:rsid w:val="00C00F38"/>
    <w:rsid w:val="00C0415C"/>
    <w:rsid w:val="00C043CD"/>
    <w:rsid w:val="00C0592C"/>
    <w:rsid w:val="00C05CA9"/>
    <w:rsid w:val="00C06A2E"/>
    <w:rsid w:val="00C075F7"/>
    <w:rsid w:val="00C10142"/>
    <w:rsid w:val="00C10F98"/>
    <w:rsid w:val="00C15FE1"/>
    <w:rsid w:val="00C16CE3"/>
    <w:rsid w:val="00C203D9"/>
    <w:rsid w:val="00C210A7"/>
    <w:rsid w:val="00C22B34"/>
    <w:rsid w:val="00C2466D"/>
    <w:rsid w:val="00C26DCC"/>
    <w:rsid w:val="00C32BAF"/>
    <w:rsid w:val="00C32BEE"/>
    <w:rsid w:val="00C34473"/>
    <w:rsid w:val="00C350F0"/>
    <w:rsid w:val="00C37222"/>
    <w:rsid w:val="00C4269A"/>
    <w:rsid w:val="00C44109"/>
    <w:rsid w:val="00C44A12"/>
    <w:rsid w:val="00C46761"/>
    <w:rsid w:val="00C56A47"/>
    <w:rsid w:val="00C606D4"/>
    <w:rsid w:val="00C61831"/>
    <w:rsid w:val="00C66B08"/>
    <w:rsid w:val="00C67FBF"/>
    <w:rsid w:val="00C72889"/>
    <w:rsid w:val="00C778F0"/>
    <w:rsid w:val="00C82481"/>
    <w:rsid w:val="00C8307F"/>
    <w:rsid w:val="00C85C63"/>
    <w:rsid w:val="00C87020"/>
    <w:rsid w:val="00C914E0"/>
    <w:rsid w:val="00C92275"/>
    <w:rsid w:val="00C94BA0"/>
    <w:rsid w:val="00C95BAC"/>
    <w:rsid w:val="00C96128"/>
    <w:rsid w:val="00C96375"/>
    <w:rsid w:val="00CA0CBD"/>
    <w:rsid w:val="00CA22F2"/>
    <w:rsid w:val="00CA33A8"/>
    <w:rsid w:val="00CA4191"/>
    <w:rsid w:val="00CA5BEC"/>
    <w:rsid w:val="00CB45DA"/>
    <w:rsid w:val="00CB5477"/>
    <w:rsid w:val="00CB5634"/>
    <w:rsid w:val="00CB7870"/>
    <w:rsid w:val="00CB7DCD"/>
    <w:rsid w:val="00CC0487"/>
    <w:rsid w:val="00CC512B"/>
    <w:rsid w:val="00CC56B4"/>
    <w:rsid w:val="00CD0472"/>
    <w:rsid w:val="00CD3162"/>
    <w:rsid w:val="00CD40C2"/>
    <w:rsid w:val="00CE040E"/>
    <w:rsid w:val="00CE113D"/>
    <w:rsid w:val="00CE4787"/>
    <w:rsid w:val="00CE5726"/>
    <w:rsid w:val="00CE67E4"/>
    <w:rsid w:val="00CE7CBB"/>
    <w:rsid w:val="00CF38E7"/>
    <w:rsid w:val="00D079D0"/>
    <w:rsid w:val="00D140F5"/>
    <w:rsid w:val="00D14D82"/>
    <w:rsid w:val="00D1545A"/>
    <w:rsid w:val="00D201A9"/>
    <w:rsid w:val="00D23582"/>
    <w:rsid w:val="00D235A6"/>
    <w:rsid w:val="00D249F8"/>
    <w:rsid w:val="00D24B87"/>
    <w:rsid w:val="00D27CF9"/>
    <w:rsid w:val="00D34FD1"/>
    <w:rsid w:val="00D37E30"/>
    <w:rsid w:val="00D41A8D"/>
    <w:rsid w:val="00D42D92"/>
    <w:rsid w:val="00D43FF1"/>
    <w:rsid w:val="00D44DB8"/>
    <w:rsid w:val="00D47D9F"/>
    <w:rsid w:val="00D511A6"/>
    <w:rsid w:val="00D5554D"/>
    <w:rsid w:val="00D576C6"/>
    <w:rsid w:val="00D621E1"/>
    <w:rsid w:val="00D64468"/>
    <w:rsid w:val="00D64680"/>
    <w:rsid w:val="00D65DA2"/>
    <w:rsid w:val="00D72ED3"/>
    <w:rsid w:val="00D732A0"/>
    <w:rsid w:val="00D73361"/>
    <w:rsid w:val="00D75805"/>
    <w:rsid w:val="00D760A9"/>
    <w:rsid w:val="00D805C4"/>
    <w:rsid w:val="00D82BC4"/>
    <w:rsid w:val="00D835F1"/>
    <w:rsid w:val="00D83FA0"/>
    <w:rsid w:val="00D92174"/>
    <w:rsid w:val="00D921C0"/>
    <w:rsid w:val="00D926B2"/>
    <w:rsid w:val="00D9616E"/>
    <w:rsid w:val="00DA0EF3"/>
    <w:rsid w:val="00DA1CAE"/>
    <w:rsid w:val="00DA2134"/>
    <w:rsid w:val="00DA28D1"/>
    <w:rsid w:val="00DA7EC4"/>
    <w:rsid w:val="00DB0B01"/>
    <w:rsid w:val="00DB1E2C"/>
    <w:rsid w:val="00DB43F1"/>
    <w:rsid w:val="00DB520B"/>
    <w:rsid w:val="00DC1E8E"/>
    <w:rsid w:val="00DC5166"/>
    <w:rsid w:val="00DC56ED"/>
    <w:rsid w:val="00DC5B9D"/>
    <w:rsid w:val="00DD26CF"/>
    <w:rsid w:val="00DD7021"/>
    <w:rsid w:val="00DE3B75"/>
    <w:rsid w:val="00DF084C"/>
    <w:rsid w:val="00DF11BB"/>
    <w:rsid w:val="00DF1E45"/>
    <w:rsid w:val="00DF3A3B"/>
    <w:rsid w:val="00DF6D4C"/>
    <w:rsid w:val="00E00FCE"/>
    <w:rsid w:val="00E056C7"/>
    <w:rsid w:val="00E06106"/>
    <w:rsid w:val="00E064DC"/>
    <w:rsid w:val="00E067B5"/>
    <w:rsid w:val="00E104FF"/>
    <w:rsid w:val="00E14B65"/>
    <w:rsid w:val="00E15E52"/>
    <w:rsid w:val="00E20B7C"/>
    <w:rsid w:val="00E20B87"/>
    <w:rsid w:val="00E243C9"/>
    <w:rsid w:val="00E27E07"/>
    <w:rsid w:val="00E304D3"/>
    <w:rsid w:val="00E31103"/>
    <w:rsid w:val="00E316C1"/>
    <w:rsid w:val="00E334CC"/>
    <w:rsid w:val="00E342E9"/>
    <w:rsid w:val="00E344AF"/>
    <w:rsid w:val="00E34D68"/>
    <w:rsid w:val="00E40056"/>
    <w:rsid w:val="00E420DE"/>
    <w:rsid w:val="00E42389"/>
    <w:rsid w:val="00E5238E"/>
    <w:rsid w:val="00E54BEA"/>
    <w:rsid w:val="00E555F0"/>
    <w:rsid w:val="00E55E6F"/>
    <w:rsid w:val="00E57B3F"/>
    <w:rsid w:val="00E60EC5"/>
    <w:rsid w:val="00E623C3"/>
    <w:rsid w:val="00E64B88"/>
    <w:rsid w:val="00E65490"/>
    <w:rsid w:val="00E65CB3"/>
    <w:rsid w:val="00E73217"/>
    <w:rsid w:val="00E7349F"/>
    <w:rsid w:val="00E74303"/>
    <w:rsid w:val="00E74F77"/>
    <w:rsid w:val="00E8081C"/>
    <w:rsid w:val="00E8617D"/>
    <w:rsid w:val="00E93740"/>
    <w:rsid w:val="00E962C5"/>
    <w:rsid w:val="00EA538E"/>
    <w:rsid w:val="00EA75F5"/>
    <w:rsid w:val="00EB2F99"/>
    <w:rsid w:val="00EC00B0"/>
    <w:rsid w:val="00EC0973"/>
    <w:rsid w:val="00EC0D83"/>
    <w:rsid w:val="00EC1B05"/>
    <w:rsid w:val="00EC31BD"/>
    <w:rsid w:val="00EC4A41"/>
    <w:rsid w:val="00EC5619"/>
    <w:rsid w:val="00EC76BA"/>
    <w:rsid w:val="00ED47B6"/>
    <w:rsid w:val="00EE02FF"/>
    <w:rsid w:val="00EE256B"/>
    <w:rsid w:val="00EE3D48"/>
    <w:rsid w:val="00EE469E"/>
    <w:rsid w:val="00EF6D64"/>
    <w:rsid w:val="00F0073C"/>
    <w:rsid w:val="00F0119D"/>
    <w:rsid w:val="00F02478"/>
    <w:rsid w:val="00F03508"/>
    <w:rsid w:val="00F11F9E"/>
    <w:rsid w:val="00F12296"/>
    <w:rsid w:val="00F13E72"/>
    <w:rsid w:val="00F20817"/>
    <w:rsid w:val="00F21341"/>
    <w:rsid w:val="00F240A3"/>
    <w:rsid w:val="00F245A6"/>
    <w:rsid w:val="00F275D1"/>
    <w:rsid w:val="00F27B9B"/>
    <w:rsid w:val="00F3038F"/>
    <w:rsid w:val="00F32E23"/>
    <w:rsid w:val="00F34080"/>
    <w:rsid w:val="00F3450A"/>
    <w:rsid w:val="00F35631"/>
    <w:rsid w:val="00F36D4C"/>
    <w:rsid w:val="00F37745"/>
    <w:rsid w:val="00F45BC1"/>
    <w:rsid w:val="00F45DE9"/>
    <w:rsid w:val="00F47C9A"/>
    <w:rsid w:val="00F50038"/>
    <w:rsid w:val="00F5162D"/>
    <w:rsid w:val="00F530C3"/>
    <w:rsid w:val="00F57329"/>
    <w:rsid w:val="00F634AA"/>
    <w:rsid w:val="00F6442C"/>
    <w:rsid w:val="00F664D1"/>
    <w:rsid w:val="00F67B40"/>
    <w:rsid w:val="00F67CEA"/>
    <w:rsid w:val="00F714C2"/>
    <w:rsid w:val="00F71B86"/>
    <w:rsid w:val="00F72C1F"/>
    <w:rsid w:val="00F80CE4"/>
    <w:rsid w:val="00F81143"/>
    <w:rsid w:val="00F81D80"/>
    <w:rsid w:val="00F85838"/>
    <w:rsid w:val="00F86230"/>
    <w:rsid w:val="00F86C3A"/>
    <w:rsid w:val="00F87DCF"/>
    <w:rsid w:val="00F92A5F"/>
    <w:rsid w:val="00F96B39"/>
    <w:rsid w:val="00FA10F4"/>
    <w:rsid w:val="00FA2004"/>
    <w:rsid w:val="00FA27A1"/>
    <w:rsid w:val="00FA3FAF"/>
    <w:rsid w:val="00FB0675"/>
    <w:rsid w:val="00FB0B12"/>
    <w:rsid w:val="00FB0C08"/>
    <w:rsid w:val="00FB1AAC"/>
    <w:rsid w:val="00FB1F02"/>
    <w:rsid w:val="00FC04F4"/>
    <w:rsid w:val="00FC0EC0"/>
    <w:rsid w:val="00FC0FBF"/>
    <w:rsid w:val="00FC27DA"/>
    <w:rsid w:val="00FC3E57"/>
    <w:rsid w:val="00FC44F3"/>
    <w:rsid w:val="00FD237B"/>
    <w:rsid w:val="00FD5528"/>
    <w:rsid w:val="00FD59BC"/>
    <w:rsid w:val="00FE0D2A"/>
    <w:rsid w:val="00FE1F71"/>
    <w:rsid w:val="00FE3961"/>
    <w:rsid w:val="00FE4546"/>
    <w:rsid w:val="00FE52FF"/>
    <w:rsid w:val="00FE669E"/>
    <w:rsid w:val="00FE7C12"/>
    <w:rsid w:val="00FF07DE"/>
    <w:rsid w:val="00FF4A9F"/>
    <w:rsid w:val="00FF4E6B"/>
    <w:rsid w:val="00FF5CA0"/>
    <w:rsid w:val="00FF640A"/>
    <w:rsid w:val="00FF65B4"/>
    <w:rsid w:val="00FF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DC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BC4"/>
    <w:pPr>
      <w:spacing w:after="0" w:line="240" w:lineRule="auto"/>
    </w:pPr>
    <w:rPr>
      <w:rFonts w:ascii="Times New Roman" w:hAnsi="Times New Roman"/>
    </w:rPr>
  </w:style>
  <w:style w:type="paragraph" w:styleId="Heading1">
    <w:name w:val="heading 1"/>
    <w:basedOn w:val="Normal"/>
    <w:next w:val="Normal"/>
    <w:link w:val="Heading1Char"/>
    <w:uiPriority w:val="9"/>
    <w:qFormat/>
    <w:rsid w:val="00D82BC4"/>
    <w:pPr>
      <w:keepNext/>
      <w:keepLines/>
      <w:outlineLvl w:val="0"/>
    </w:pPr>
    <w:rPr>
      <w:rFonts w:eastAsiaTheme="majorEastAsia" w:cstheme="majorBidi"/>
      <w:b/>
      <w:color w:val="1F4E79" w:themeColor="accent1" w:themeShade="80"/>
      <w:sz w:val="24"/>
      <w:szCs w:val="32"/>
    </w:rPr>
  </w:style>
  <w:style w:type="paragraph" w:styleId="Heading2">
    <w:name w:val="heading 2"/>
    <w:basedOn w:val="Normal"/>
    <w:next w:val="Normal"/>
    <w:link w:val="Heading2Char"/>
    <w:uiPriority w:val="9"/>
    <w:unhideWhenUsed/>
    <w:qFormat/>
    <w:rsid w:val="00D82BC4"/>
    <w:pPr>
      <w:keepNext/>
      <w:keepLines/>
      <w:outlineLvl w:val="1"/>
    </w:pPr>
    <w:rPr>
      <w:rFonts w:eastAsiaTheme="majorEastAsia" w:cstheme="majorBidi"/>
      <w:color w:val="1F4E79" w:themeColor="accent1" w:themeShade="80"/>
      <w:szCs w:val="26"/>
    </w:rPr>
  </w:style>
  <w:style w:type="paragraph" w:styleId="Heading3">
    <w:name w:val="heading 3"/>
    <w:basedOn w:val="Normal"/>
    <w:next w:val="Normal"/>
    <w:link w:val="Heading3Char"/>
    <w:uiPriority w:val="9"/>
    <w:semiHidden/>
    <w:unhideWhenUsed/>
    <w:qFormat/>
    <w:rsid w:val="00D82B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C4"/>
    <w:rPr>
      <w:rFonts w:ascii="Times New Roman" w:eastAsiaTheme="majorEastAsia" w:hAnsi="Times New Roman" w:cstheme="majorBidi"/>
      <w:b/>
      <w:color w:val="1F4E79" w:themeColor="accent1" w:themeShade="80"/>
      <w:sz w:val="24"/>
      <w:szCs w:val="32"/>
    </w:rPr>
  </w:style>
  <w:style w:type="character" w:customStyle="1" w:styleId="Heading2Char">
    <w:name w:val="Heading 2 Char"/>
    <w:basedOn w:val="DefaultParagraphFont"/>
    <w:link w:val="Heading2"/>
    <w:uiPriority w:val="9"/>
    <w:rsid w:val="00D82BC4"/>
    <w:rPr>
      <w:rFonts w:ascii="Times New Roman" w:eastAsiaTheme="majorEastAsia" w:hAnsi="Times New Roman" w:cstheme="majorBidi"/>
      <w:color w:val="1F4E79" w:themeColor="accent1" w:themeShade="80"/>
      <w:szCs w:val="26"/>
    </w:rPr>
  </w:style>
  <w:style w:type="character" w:customStyle="1" w:styleId="Heading3Char">
    <w:name w:val="Heading 3 Char"/>
    <w:basedOn w:val="DefaultParagraphFont"/>
    <w:link w:val="Heading3"/>
    <w:uiPriority w:val="9"/>
    <w:semiHidden/>
    <w:rsid w:val="00D82BC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82BC4"/>
    <w:pPr>
      <w:tabs>
        <w:tab w:val="center" w:pos="4513"/>
        <w:tab w:val="right" w:pos="9026"/>
      </w:tabs>
    </w:pPr>
  </w:style>
  <w:style w:type="character" w:customStyle="1" w:styleId="HeaderChar">
    <w:name w:val="Header Char"/>
    <w:basedOn w:val="DefaultParagraphFont"/>
    <w:link w:val="Header"/>
    <w:uiPriority w:val="99"/>
    <w:rsid w:val="00D82BC4"/>
    <w:rPr>
      <w:rFonts w:ascii="Times New Roman" w:hAnsi="Times New Roman"/>
    </w:rPr>
  </w:style>
  <w:style w:type="paragraph" w:styleId="Footer">
    <w:name w:val="footer"/>
    <w:basedOn w:val="Normal"/>
    <w:link w:val="FooterChar"/>
    <w:uiPriority w:val="99"/>
    <w:unhideWhenUsed/>
    <w:rsid w:val="00D82BC4"/>
    <w:pPr>
      <w:tabs>
        <w:tab w:val="center" w:pos="4513"/>
        <w:tab w:val="right" w:pos="9026"/>
      </w:tabs>
    </w:pPr>
  </w:style>
  <w:style w:type="character" w:customStyle="1" w:styleId="FooterChar">
    <w:name w:val="Footer Char"/>
    <w:basedOn w:val="DefaultParagraphFont"/>
    <w:link w:val="Footer"/>
    <w:uiPriority w:val="99"/>
    <w:rsid w:val="00D82BC4"/>
    <w:rPr>
      <w:rFonts w:ascii="Times New Roman" w:hAnsi="Times New Roman"/>
    </w:rPr>
  </w:style>
  <w:style w:type="paragraph" w:styleId="NoSpacing">
    <w:name w:val="No Spacing"/>
    <w:link w:val="NoSpacingChar"/>
    <w:uiPriority w:val="1"/>
    <w:qFormat/>
    <w:rsid w:val="00D82B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2BC4"/>
    <w:rPr>
      <w:rFonts w:eastAsiaTheme="minorEastAsia"/>
      <w:lang w:val="en-US"/>
    </w:rPr>
  </w:style>
  <w:style w:type="character" w:styleId="Hyperlink">
    <w:name w:val="Hyperlink"/>
    <w:basedOn w:val="DefaultParagraphFont"/>
    <w:uiPriority w:val="99"/>
    <w:unhideWhenUsed/>
    <w:rsid w:val="00D82BC4"/>
    <w:rPr>
      <w:color w:val="0563C1" w:themeColor="hyperlink"/>
      <w:u w:val="single"/>
    </w:rPr>
  </w:style>
  <w:style w:type="paragraph" w:styleId="TOCHeading">
    <w:name w:val="TOC Heading"/>
    <w:basedOn w:val="Heading1"/>
    <w:next w:val="Normal"/>
    <w:uiPriority w:val="39"/>
    <w:unhideWhenUsed/>
    <w:qFormat/>
    <w:rsid w:val="00D82BC4"/>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D82BC4"/>
    <w:pPr>
      <w:spacing w:after="100"/>
    </w:pPr>
  </w:style>
  <w:style w:type="paragraph" w:customStyle="1" w:styleId="Default">
    <w:name w:val="Default"/>
    <w:rsid w:val="00D82B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82BC4"/>
  </w:style>
  <w:style w:type="character" w:styleId="Emphasis">
    <w:name w:val="Emphasis"/>
    <w:basedOn w:val="DefaultParagraphFont"/>
    <w:uiPriority w:val="20"/>
    <w:qFormat/>
    <w:rsid w:val="00D82BC4"/>
    <w:rPr>
      <w:i/>
      <w:iCs/>
    </w:rPr>
  </w:style>
  <w:style w:type="character" w:customStyle="1" w:styleId="selectable">
    <w:name w:val="selectable"/>
    <w:basedOn w:val="DefaultParagraphFont"/>
    <w:rsid w:val="00D82BC4"/>
  </w:style>
  <w:style w:type="paragraph" w:styleId="TOC2">
    <w:name w:val="toc 2"/>
    <w:basedOn w:val="Normal"/>
    <w:next w:val="Normal"/>
    <w:autoRedefine/>
    <w:uiPriority w:val="39"/>
    <w:unhideWhenUsed/>
    <w:rsid w:val="00D82BC4"/>
    <w:pPr>
      <w:spacing w:after="100"/>
      <w:ind w:left="220"/>
    </w:pPr>
  </w:style>
  <w:style w:type="paragraph" w:styleId="Revision">
    <w:name w:val="Revision"/>
    <w:hidden/>
    <w:uiPriority w:val="99"/>
    <w:semiHidden/>
    <w:rsid w:val="00D82BC4"/>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D82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BC4"/>
    <w:rPr>
      <w:rFonts w:ascii="Segoe UI" w:hAnsi="Segoe UI" w:cs="Segoe UI"/>
      <w:sz w:val="18"/>
      <w:szCs w:val="18"/>
    </w:rPr>
  </w:style>
  <w:style w:type="paragraph" w:styleId="ListParagraph">
    <w:name w:val="List Paragraph"/>
    <w:basedOn w:val="Normal"/>
    <w:uiPriority w:val="34"/>
    <w:qFormat/>
    <w:rsid w:val="00D82BC4"/>
    <w:pPr>
      <w:ind w:left="720"/>
      <w:contextualSpacing/>
    </w:pPr>
    <w:rPr>
      <w:rFonts w:eastAsia="Times New Roman" w:cs="Times New Roman"/>
      <w:sz w:val="24"/>
      <w:szCs w:val="24"/>
    </w:rPr>
  </w:style>
  <w:style w:type="table" w:styleId="TableGrid">
    <w:name w:val="Table Grid"/>
    <w:basedOn w:val="TableNormal"/>
    <w:uiPriority w:val="39"/>
    <w:rsid w:val="00D8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82B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82BC4"/>
    <w:rPr>
      <w:sz w:val="16"/>
      <w:szCs w:val="16"/>
    </w:rPr>
  </w:style>
  <w:style w:type="paragraph" w:styleId="CommentText">
    <w:name w:val="annotation text"/>
    <w:basedOn w:val="Normal"/>
    <w:link w:val="CommentTextChar"/>
    <w:uiPriority w:val="99"/>
    <w:unhideWhenUsed/>
    <w:rsid w:val="00D82BC4"/>
    <w:rPr>
      <w:sz w:val="20"/>
      <w:szCs w:val="20"/>
    </w:rPr>
  </w:style>
  <w:style w:type="character" w:customStyle="1" w:styleId="CommentTextChar">
    <w:name w:val="Comment Text Char"/>
    <w:basedOn w:val="DefaultParagraphFont"/>
    <w:link w:val="CommentText"/>
    <w:uiPriority w:val="99"/>
    <w:rsid w:val="00D82BC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2BC4"/>
    <w:rPr>
      <w:b/>
      <w:bCs/>
    </w:rPr>
  </w:style>
  <w:style w:type="character" w:customStyle="1" w:styleId="CommentSubjectChar">
    <w:name w:val="Comment Subject Char"/>
    <w:basedOn w:val="CommentTextChar"/>
    <w:link w:val="CommentSubject"/>
    <w:uiPriority w:val="99"/>
    <w:semiHidden/>
    <w:rsid w:val="00D82BC4"/>
    <w:rPr>
      <w:rFonts w:ascii="Times New Roman" w:hAnsi="Times New Roman"/>
      <w:b/>
      <w:bCs/>
      <w:sz w:val="20"/>
      <w:szCs w:val="20"/>
    </w:rPr>
  </w:style>
  <w:style w:type="table" w:styleId="GridTable1Light">
    <w:name w:val="Grid Table 1 Light"/>
    <w:basedOn w:val="TableNormal"/>
    <w:uiPriority w:val="46"/>
    <w:rsid w:val="00D82B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82BC4"/>
    <w:rPr>
      <w:sz w:val="20"/>
      <w:szCs w:val="20"/>
    </w:rPr>
  </w:style>
  <w:style w:type="character" w:customStyle="1" w:styleId="FootnoteTextChar">
    <w:name w:val="Footnote Text Char"/>
    <w:basedOn w:val="DefaultParagraphFont"/>
    <w:link w:val="FootnoteText"/>
    <w:uiPriority w:val="99"/>
    <w:semiHidden/>
    <w:rsid w:val="00D82BC4"/>
    <w:rPr>
      <w:rFonts w:ascii="Times New Roman" w:hAnsi="Times New Roman"/>
      <w:sz w:val="20"/>
      <w:szCs w:val="20"/>
    </w:rPr>
  </w:style>
  <w:style w:type="character" w:styleId="FootnoteReference">
    <w:name w:val="footnote reference"/>
    <w:basedOn w:val="DefaultParagraphFont"/>
    <w:uiPriority w:val="99"/>
    <w:semiHidden/>
    <w:unhideWhenUsed/>
    <w:rsid w:val="00D82BC4"/>
    <w:rPr>
      <w:vertAlign w:val="superscript"/>
    </w:rPr>
  </w:style>
  <w:style w:type="paragraph" w:customStyle="1" w:styleId="Normal0">
    <w:name w:val="[Normal]"/>
    <w:qFormat/>
    <w:rsid w:val="00D82BC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paragraph" w:styleId="BodyText2">
    <w:name w:val="Body Text 2"/>
    <w:basedOn w:val="Normal"/>
    <w:link w:val="BodyText2Char"/>
    <w:rsid w:val="002300D8"/>
    <w:pPr>
      <w:pBdr>
        <w:top w:val="single" w:sz="4" w:space="1" w:color="auto"/>
        <w:left w:val="single" w:sz="4" w:space="4" w:color="auto"/>
        <w:bottom w:val="single" w:sz="4" w:space="1" w:color="auto"/>
        <w:right w:val="single" w:sz="4" w:space="4" w:color="auto"/>
      </w:pBdr>
      <w:spacing w:before="120" w:after="120"/>
    </w:pPr>
    <w:rPr>
      <w:rFonts w:eastAsia="Times New Roman" w:cs="Times New Roman"/>
      <w:bCs/>
      <w:sz w:val="24"/>
      <w:szCs w:val="24"/>
    </w:rPr>
  </w:style>
  <w:style w:type="character" w:customStyle="1" w:styleId="BodyText2Char">
    <w:name w:val="Body Text 2 Char"/>
    <w:basedOn w:val="DefaultParagraphFont"/>
    <w:link w:val="BodyText2"/>
    <w:rsid w:val="002300D8"/>
    <w:rPr>
      <w:rFonts w:ascii="Times New Roman" w:eastAsia="Times New Roman" w:hAnsi="Times New Roman" w:cs="Times New Roman"/>
      <w:bCs/>
      <w:sz w:val="24"/>
      <w:szCs w:val="24"/>
    </w:rPr>
  </w:style>
  <w:style w:type="paragraph" w:styleId="BodyText">
    <w:name w:val="Body Text"/>
    <w:basedOn w:val="Normal"/>
    <w:link w:val="BodyTextChar"/>
    <w:uiPriority w:val="99"/>
    <w:unhideWhenUsed/>
    <w:rsid w:val="00CB7870"/>
    <w:pPr>
      <w:spacing w:after="120" w:line="276" w:lineRule="auto"/>
    </w:pPr>
    <w:rPr>
      <w:rFonts w:ascii="Calibri" w:eastAsia="SimSun" w:hAnsi="Calibri" w:cs="Times New Roman"/>
      <w:lang w:eastAsia="zh-CN"/>
    </w:rPr>
  </w:style>
  <w:style w:type="character" w:customStyle="1" w:styleId="BodyTextChar">
    <w:name w:val="Body Text Char"/>
    <w:basedOn w:val="DefaultParagraphFont"/>
    <w:link w:val="BodyText"/>
    <w:uiPriority w:val="99"/>
    <w:rsid w:val="00CB7870"/>
    <w:rPr>
      <w:rFonts w:ascii="Calibri" w:eastAsia="SimSun" w:hAnsi="Calibri" w:cs="Times New Roman"/>
      <w:lang w:eastAsia="zh-CN"/>
    </w:rPr>
  </w:style>
  <w:style w:type="table" w:styleId="GridTable4-Accent1">
    <w:name w:val="Grid Table 4 Accent 1"/>
    <w:basedOn w:val="TableNormal"/>
    <w:uiPriority w:val="49"/>
    <w:rsid w:val="00CE67E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dnoteText">
    <w:name w:val="endnote text"/>
    <w:basedOn w:val="Normal"/>
    <w:link w:val="EndnoteTextChar"/>
    <w:uiPriority w:val="99"/>
    <w:semiHidden/>
    <w:unhideWhenUsed/>
    <w:rsid w:val="00421661"/>
    <w:rPr>
      <w:sz w:val="20"/>
      <w:szCs w:val="20"/>
    </w:rPr>
  </w:style>
  <w:style w:type="character" w:customStyle="1" w:styleId="EndnoteTextChar">
    <w:name w:val="Endnote Text Char"/>
    <w:basedOn w:val="DefaultParagraphFont"/>
    <w:link w:val="EndnoteText"/>
    <w:uiPriority w:val="99"/>
    <w:semiHidden/>
    <w:rsid w:val="00421661"/>
    <w:rPr>
      <w:rFonts w:ascii="Times New Roman" w:hAnsi="Times New Roman"/>
      <w:sz w:val="20"/>
      <w:szCs w:val="20"/>
    </w:rPr>
  </w:style>
  <w:style w:type="character" w:styleId="EndnoteReference">
    <w:name w:val="endnote reference"/>
    <w:basedOn w:val="DefaultParagraphFont"/>
    <w:uiPriority w:val="99"/>
    <w:semiHidden/>
    <w:unhideWhenUsed/>
    <w:rsid w:val="00421661"/>
    <w:rPr>
      <w:vertAlign w:val="superscript"/>
    </w:rPr>
  </w:style>
  <w:style w:type="character" w:customStyle="1" w:styleId="style16">
    <w:name w:val="style16"/>
    <w:basedOn w:val="DefaultParagraphFont"/>
    <w:rsid w:val="00DF11BB"/>
  </w:style>
  <w:style w:type="character" w:styleId="FollowedHyperlink">
    <w:name w:val="FollowedHyperlink"/>
    <w:basedOn w:val="DefaultParagraphFont"/>
    <w:uiPriority w:val="99"/>
    <w:semiHidden/>
    <w:unhideWhenUsed/>
    <w:rsid w:val="00424543"/>
    <w:rPr>
      <w:color w:val="954F72" w:themeColor="followedHyperlink"/>
      <w:u w:val="single"/>
    </w:rPr>
  </w:style>
  <w:style w:type="table" w:styleId="GridTable4-Accent3">
    <w:name w:val="Grid Table 4 Accent 3"/>
    <w:basedOn w:val="TableNormal"/>
    <w:uiPriority w:val="49"/>
    <w:rsid w:val="009228E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0F0D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89086">
      <w:bodyDiv w:val="1"/>
      <w:marLeft w:val="0"/>
      <w:marRight w:val="0"/>
      <w:marTop w:val="0"/>
      <w:marBottom w:val="0"/>
      <w:divBdr>
        <w:top w:val="none" w:sz="0" w:space="0" w:color="auto"/>
        <w:left w:val="none" w:sz="0" w:space="0" w:color="auto"/>
        <w:bottom w:val="none" w:sz="0" w:space="0" w:color="auto"/>
        <w:right w:val="none" w:sz="0" w:space="0" w:color="auto"/>
      </w:divBdr>
    </w:div>
    <w:div w:id="371197603">
      <w:bodyDiv w:val="1"/>
      <w:marLeft w:val="0"/>
      <w:marRight w:val="0"/>
      <w:marTop w:val="0"/>
      <w:marBottom w:val="0"/>
      <w:divBdr>
        <w:top w:val="none" w:sz="0" w:space="0" w:color="auto"/>
        <w:left w:val="none" w:sz="0" w:space="0" w:color="auto"/>
        <w:bottom w:val="none" w:sz="0" w:space="0" w:color="auto"/>
        <w:right w:val="none" w:sz="0" w:space="0" w:color="auto"/>
      </w:divBdr>
    </w:div>
    <w:div w:id="375155429">
      <w:bodyDiv w:val="1"/>
      <w:marLeft w:val="0"/>
      <w:marRight w:val="0"/>
      <w:marTop w:val="0"/>
      <w:marBottom w:val="0"/>
      <w:divBdr>
        <w:top w:val="none" w:sz="0" w:space="0" w:color="auto"/>
        <w:left w:val="none" w:sz="0" w:space="0" w:color="auto"/>
        <w:bottom w:val="none" w:sz="0" w:space="0" w:color="auto"/>
        <w:right w:val="none" w:sz="0" w:space="0" w:color="auto"/>
      </w:divBdr>
    </w:div>
    <w:div w:id="384911869">
      <w:bodyDiv w:val="1"/>
      <w:marLeft w:val="0"/>
      <w:marRight w:val="0"/>
      <w:marTop w:val="0"/>
      <w:marBottom w:val="0"/>
      <w:divBdr>
        <w:top w:val="none" w:sz="0" w:space="0" w:color="auto"/>
        <w:left w:val="none" w:sz="0" w:space="0" w:color="auto"/>
        <w:bottom w:val="none" w:sz="0" w:space="0" w:color="auto"/>
        <w:right w:val="none" w:sz="0" w:space="0" w:color="auto"/>
      </w:divBdr>
    </w:div>
    <w:div w:id="442727251">
      <w:bodyDiv w:val="1"/>
      <w:marLeft w:val="0"/>
      <w:marRight w:val="0"/>
      <w:marTop w:val="0"/>
      <w:marBottom w:val="0"/>
      <w:divBdr>
        <w:top w:val="none" w:sz="0" w:space="0" w:color="auto"/>
        <w:left w:val="none" w:sz="0" w:space="0" w:color="auto"/>
        <w:bottom w:val="none" w:sz="0" w:space="0" w:color="auto"/>
        <w:right w:val="none" w:sz="0" w:space="0" w:color="auto"/>
      </w:divBdr>
    </w:div>
    <w:div w:id="500387971">
      <w:bodyDiv w:val="1"/>
      <w:marLeft w:val="0"/>
      <w:marRight w:val="0"/>
      <w:marTop w:val="0"/>
      <w:marBottom w:val="0"/>
      <w:divBdr>
        <w:top w:val="none" w:sz="0" w:space="0" w:color="auto"/>
        <w:left w:val="none" w:sz="0" w:space="0" w:color="auto"/>
        <w:bottom w:val="none" w:sz="0" w:space="0" w:color="auto"/>
        <w:right w:val="none" w:sz="0" w:space="0" w:color="auto"/>
      </w:divBdr>
    </w:div>
    <w:div w:id="530193785">
      <w:bodyDiv w:val="1"/>
      <w:marLeft w:val="0"/>
      <w:marRight w:val="0"/>
      <w:marTop w:val="0"/>
      <w:marBottom w:val="0"/>
      <w:divBdr>
        <w:top w:val="none" w:sz="0" w:space="0" w:color="auto"/>
        <w:left w:val="none" w:sz="0" w:space="0" w:color="auto"/>
        <w:bottom w:val="none" w:sz="0" w:space="0" w:color="auto"/>
        <w:right w:val="none" w:sz="0" w:space="0" w:color="auto"/>
      </w:divBdr>
      <w:divsChild>
        <w:div w:id="900990539">
          <w:marLeft w:val="0"/>
          <w:marRight w:val="0"/>
          <w:marTop w:val="0"/>
          <w:marBottom w:val="0"/>
          <w:divBdr>
            <w:top w:val="none" w:sz="0" w:space="0" w:color="auto"/>
            <w:left w:val="none" w:sz="0" w:space="0" w:color="auto"/>
            <w:bottom w:val="none" w:sz="0" w:space="0" w:color="auto"/>
            <w:right w:val="none" w:sz="0" w:space="0" w:color="auto"/>
          </w:divBdr>
          <w:divsChild>
            <w:div w:id="845704064">
              <w:marLeft w:val="0"/>
              <w:marRight w:val="0"/>
              <w:marTop w:val="0"/>
              <w:marBottom w:val="0"/>
              <w:divBdr>
                <w:top w:val="none" w:sz="0" w:space="0" w:color="auto"/>
                <w:left w:val="none" w:sz="0" w:space="0" w:color="auto"/>
                <w:bottom w:val="none" w:sz="0" w:space="0" w:color="auto"/>
                <w:right w:val="none" w:sz="0" w:space="0" w:color="auto"/>
              </w:divBdr>
              <w:divsChild>
                <w:div w:id="565921874">
                  <w:marLeft w:val="0"/>
                  <w:marRight w:val="0"/>
                  <w:marTop w:val="0"/>
                  <w:marBottom w:val="0"/>
                  <w:divBdr>
                    <w:top w:val="none" w:sz="0" w:space="0" w:color="auto"/>
                    <w:left w:val="none" w:sz="0" w:space="0" w:color="auto"/>
                    <w:bottom w:val="none" w:sz="0" w:space="0" w:color="auto"/>
                    <w:right w:val="none" w:sz="0" w:space="0" w:color="auto"/>
                  </w:divBdr>
                </w:div>
                <w:div w:id="444228296">
                  <w:marLeft w:val="0"/>
                  <w:marRight w:val="0"/>
                  <w:marTop w:val="0"/>
                  <w:marBottom w:val="0"/>
                  <w:divBdr>
                    <w:top w:val="none" w:sz="0" w:space="0" w:color="auto"/>
                    <w:left w:val="none" w:sz="0" w:space="0" w:color="auto"/>
                    <w:bottom w:val="none" w:sz="0" w:space="0" w:color="auto"/>
                    <w:right w:val="none" w:sz="0" w:space="0" w:color="auto"/>
                  </w:divBdr>
                </w:div>
              </w:divsChild>
            </w:div>
            <w:div w:id="1800760212">
              <w:marLeft w:val="0"/>
              <w:marRight w:val="0"/>
              <w:marTop w:val="0"/>
              <w:marBottom w:val="0"/>
              <w:divBdr>
                <w:top w:val="none" w:sz="0" w:space="0" w:color="auto"/>
                <w:left w:val="none" w:sz="0" w:space="0" w:color="auto"/>
                <w:bottom w:val="none" w:sz="0" w:space="0" w:color="auto"/>
                <w:right w:val="none" w:sz="0" w:space="0" w:color="auto"/>
              </w:divBdr>
              <w:divsChild>
                <w:div w:id="674265150">
                  <w:marLeft w:val="0"/>
                  <w:marRight w:val="0"/>
                  <w:marTop w:val="0"/>
                  <w:marBottom w:val="0"/>
                  <w:divBdr>
                    <w:top w:val="none" w:sz="0" w:space="0" w:color="auto"/>
                    <w:left w:val="none" w:sz="0" w:space="0" w:color="auto"/>
                    <w:bottom w:val="none" w:sz="0" w:space="0" w:color="auto"/>
                    <w:right w:val="none" w:sz="0" w:space="0" w:color="auto"/>
                  </w:divBdr>
                </w:div>
                <w:div w:id="4561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0137">
          <w:marLeft w:val="0"/>
          <w:marRight w:val="0"/>
          <w:marTop w:val="0"/>
          <w:marBottom w:val="0"/>
          <w:divBdr>
            <w:top w:val="none" w:sz="0" w:space="0" w:color="auto"/>
            <w:left w:val="none" w:sz="0" w:space="0" w:color="auto"/>
            <w:bottom w:val="none" w:sz="0" w:space="0" w:color="auto"/>
            <w:right w:val="none" w:sz="0" w:space="0" w:color="auto"/>
          </w:divBdr>
        </w:div>
        <w:div w:id="1249189957">
          <w:marLeft w:val="0"/>
          <w:marRight w:val="0"/>
          <w:marTop w:val="0"/>
          <w:marBottom w:val="0"/>
          <w:divBdr>
            <w:top w:val="none" w:sz="0" w:space="0" w:color="auto"/>
            <w:left w:val="none" w:sz="0" w:space="0" w:color="auto"/>
            <w:bottom w:val="none" w:sz="0" w:space="0" w:color="auto"/>
            <w:right w:val="none" w:sz="0" w:space="0" w:color="auto"/>
          </w:divBdr>
        </w:div>
        <w:div w:id="423918581">
          <w:marLeft w:val="0"/>
          <w:marRight w:val="0"/>
          <w:marTop w:val="0"/>
          <w:marBottom w:val="0"/>
          <w:divBdr>
            <w:top w:val="none" w:sz="0" w:space="0" w:color="auto"/>
            <w:left w:val="none" w:sz="0" w:space="0" w:color="auto"/>
            <w:bottom w:val="none" w:sz="0" w:space="0" w:color="auto"/>
            <w:right w:val="none" w:sz="0" w:space="0" w:color="auto"/>
          </w:divBdr>
        </w:div>
        <w:div w:id="624233687">
          <w:marLeft w:val="0"/>
          <w:marRight w:val="0"/>
          <w:marTop w:val="0"/>
          <w:marBottom w:val="0"/>
          <w:divBdr>
            <w:top w:val="none" w:sz="0" w:space="0" w:color="auto"/>
            <w:left w:val="none" w:sz="0" w:space="0" w:color="auto"/>
            <w:bottom w:val="none" w:sz="0" w:space="0" w:color="auto"/>
            <w:right w:val="none" w:sz="0" w:space="0" w:color="auto"/>
          </w:divBdr>
        </w:div>
        <w:div w:id="599531187">
          <w:marLeft w:val="0"/>
          <w:marRight w:val="0"/>
          <w:marTop w:val="0"/>
          <w:marBottom w:val="0"/>
          <w:divBdr>
            <w:top w:val="none" w:sz="0" w:space="0" w:color="auto"/>
            <w:left w:val="none" w:sz="0" w:space="0" w:color="auto"/>
            <w:bottom w:val="none" w:sz="0" w:space="0" w:color="auto"/>
            <w:right w:val="none" w:sz="0" w:space="0" w:color="auto"/>
          </w:divBdr>
        </w:div>
        <w:div w:id="1148403580">
          <w:marLeft w:val="0"/>
          <w:marRight w:val="0"/>
          <w:marTop w:val="0"/>
          <w:marBottom w:val="0"/>
          <w:divBdr>
            <w:top w:val="none" w:sz="0" w:space="0" w:color="auto"/>
            <w:left w:val="none" w:sz="0" w:space="0" w:color="auto"/>
            <w:bottom w:val="none" w:sz="0" w:space="0" w:color="auto"/>
            <w:right w:val="none" w:sz="0" w:space="0" w:color="auto"/>
          </w:divBdr>
        </w:div>
      </w:divsChild>
    </w:div>
    <w:div w:id="1105542304">
      <w:bodyDiv w:val="1"/>
      <w:marLeft w:val="0"/>
      <w:marRight w:val="0"/>
      <w:marTop w:val="0"/>
      <w:marBottom w:val="0"/>
      <w:divBdr>
        <w:top w:val="none" w:sz="0" w:space="0" w:color="auto"/>
        <w:left w:val="none" w:sz="0" w:space="0" w:color="auto"/>
        <w:bottom w:val="none" w:sz="0" w:space="0" w:color="auto"/>
        <w:right w:val="none" w:sz="0" w:space="0" w:color="auto"/>
      </w:divBdr>
    </w:div>
    <w:div w:id="1148286052">
      <w:bodyDiv w:val="1"/>
      <w:marLeft w:val="0"/>
      <w:marRight w:val="0"/>
      <w:marTop w:val="0"/>
      <w:marBottom w:val="0"/>
      <w:divBdr>
        <w:top w:val="none" w:sz="0" w:space="0" w:color="auto"/>
        <w:left w:val="none" w:sz="0" w:space="0" w:color="auto"/>
        <w:bottom w:val="none" w:sz="0" w:space="0" w:color="auto"/>
        <w:right w:val="none" w:sz="0" w:space="0" w:color="auto"/>
      </w:divBdr>
    </w:div>
    <w:div w:id="1605579121">
      <w:bodyDiv w:val="1"/>
      <w:marLeft w:val="0"/>
      <w:marRight w:val="0"/>
      <w:marTop w:val="0"/>
      <w:marBottom w:val="0"/>
      <w:divBdr>
        <w:top w:val="none" w:sz="0" w:space="0" w:color="auto"/>
        <w:left w:val="none" w:sz="0" w:space="0" w:color="auto"/>
        <w:bottom w:val="none" w:sz="0" w:space="0" w:color="auto"/>
        <w:right w:val="none" w:sz="0" w:space="0" w:color="auto"/>
      </w:divBdr>
      <w:divsChild>
        <w:div w:id="504831934">
          <w:marLeft w:val="0"/>
          <w:marRight w:val="0"/>
          <w:marTop w:val="0"/>
          <w:marBottom w:val="0"/>
          <w:divBdr>
            <w:top w:val="none" w:sz="0" w:space="0" w:color="auto"/>
            <w:left w:val="none" w:sz="0" w:space="0" w:color="auto"/>
            <w:bottom w:val="none" w:sz="0" w:space="0" w:color="auto"/>
            <w:right w:val="none" w:sz="0" w:space="0" w:color="auto"/>
          </w:divBdr>
        </w:div>
      </w:divsChild>
    </w:div>
    <w:div w:id="1671524749">
      <w:bodyDiv w:val="1"/>
      <w:marLeft w:val="0"/>
      <w:marRight w:val="0"/>
      <w:marTop w:val="0"/>
      <w:marBottom w:val="0"/>
      <w:divBdr>
        <w:top w:val="none" w:sz="0" w:space="0" w:color="auto"/>
        <w:left w:val="none" w:sz="0" w:space="0" w:color="auto"/>
        <w:bottom w:val="none" w:sz="0" w:space="0" w:color="auto"/>
        <w:right w:val="none" w:sz="0" w:space="0" w:color="auto"/>
      </w:divBdr>
    </w:div>
    <w:div w:id="1710033068">
      <w:bodyDiv w:val="1"/>
      <w:marLeft w:val="0"/>
      <w:marRight w:val="0"/>
      <w:marTop w:val="0"/>
      <w:marBottom w:val="0"/>
      <w:divBdr>
        <w:top w:val="none" w:sz="0" w:space="0" w:color="auto"/>
        <w:left w:val="none" w:sz="0" w:space="0" w:color="auto"/>
        <w:bottom w:val="none" w:sz="0" w:space="0" w:color="auto"/>
        <w:right w:val="none" w:sz="0" w:space="0" w:color="auto"/>
      </w:divBdr>
    </w:div>
    <w:div w:id="1795252814">
      <w:bodyDiv w:val="1"/>
      <w:marLeft w:val="0"/>
      <w:marRight w:val="0"/>
      <w:marTop w:val="0"/>
      <w:marBottom w:val="0"/>
      <w:divBdr>
        <w:top w:val="none" w:sz="0" w:space="0" w:color="auto"/>
        <w:left w:val="none" w:sz="0" w:space="0" w:color="auto"/>
        <w:bottom w:val="none" w:sz="0" w:space="0" w:color="auto"/>
        <w:right w:val="none" w:sz="0" w:space="0" w:color="auto"/>
      </w:divBdr>
    </w:div>
    <w:div w:id="1825971856">
      <w:bodyDiv w:val="1"/>
      <w:marLeft w:val="0"/>
      <w:marRight w:val="0"/>
      <w:marTop w:val="0"/>
      <w:marBottom w:val="0"/>
      <w:divBdr>
        <w:top w:val="none" w:sz="0" w:space="0" w:color="auto"/>
        <w:left w:val="none" w:sz="0" w:space="0" w:color="auto"/>
        <w:bottom w:val="none" w:sz="0" w:space="0" w:color="auto"/>
        <w:right w:val="none" w:sz="0" w:space="0" w:color="auto"/>
      </w:divBdr>
    </w:div>
    <w:div w:id="1877156789">
      <w:bodyDiv w:val="1"/>
      <w:marLeft w:val="0"/>
      <w:marRight w:val="0"/>
      <w:marTop w:val="0"/>
      <w:marBottom w:val="0"/>
      <w:divBdr>
        <w:top w:val="none" w:sz="0" w:space="0" w:color="auto"/>
        <w:left w:val="none" w:sz="0" w:space="0" w:color="auto"/>
        <w:bottom w:val="none" w:sz="0" w:space="0" w:color="auto"/>
        <w:right w:val="none" w:sz="0" w:space="0" w:color="auto"/>
      </w:divBdr>
    </w:div>
    <w:div w:id="18955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2674-F285-4CF9-B985-05337AEF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5838</Words>
  <Characters>33282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2018-03-21T12:27:00Z</dcterms:created>
  <dcterms:modified xsi:type="dcterms:W3CDTF">2018-06-08T18:30:00Z</dcterms:modified>
</cp:coreProperties>
</file>